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2F43B" w14:textId="554647B2" w:rsidR="00204AB2" w:rsidRPr="00DA65F2" w:rsidRDefault="00A113A1" w:rsidP="00DA65F2">
      <w:pPr>
        <w:spacing w:before="240" w:after="240"/>
        <w:jc w:val="center"/>
        <w:rPr>
          <w:b/>
          <w:sz w:val="32"/>
          <w:szCs w:val="36"/>
        </w:rPr>
      </w:pPr>
      <w:r w:rsidRPr="00DA65F2">
        <w:rPr>
          <w:b/>
          <w:sz w:val="32"/>
          <w:szCs w:val="36"/>
        </w:rPr>
        <w:t xml:space="preserve">The </w:t>
      </w:r>
      <w:r w:rsidR="00CB5114" w:rsidRPr="00DA65F2">
        <w:rPr>
          <w:b/>
          <w:sz w:val="32"/>
          <w:szCs w:val="36"/>
        </w:rPr>
        <w:t>Artificial Legal Intelligence Society as an Open, Multi-Sided Platform for Law-as-Computation</w:t>
      </w:r>
    </w:p>
    <w:p w14:paraId="104031D6" w14:textId="01FC9B5F" w:rsidR="00204AB2" w:rsidRPr="00DA65F2" w:rsidRDefault="00A113A1" w:rsidP="00DA65F2">
      <w:pPr>
        <w:pStyle w:val="BodyText"/>
        <w:spacing w:before="240" w:after="240"/>
        <w:jc w:val="center"/>
        <w:rPr>
          <w:iCs/>
          <w:sz w:val="24"/>
          <w:szCs w:val="28"/>
          <w:lang w:val="it-IT"/>
        </w:rPr>
      </w:pPr>
      <w:r w:rsidRPr="00DA65F2">
        <w:rPr>
          <w:b/>
          <w:iCs/>
          <w:sz w:val="24"/>
          <w:szCs w:val="28"/>
          <w:lang w:val="it-IT"/>
        </w:rPr>
        <w:t>Daniele Allega</w:t>
      </w:r>
      <w:r w:rsidRPr="00DA65F2">
        <w:rPr>
          <w:b/>
          <w:iCs/>
          <w:sz w:val="24"/>
          <w:szCs w:val="28"/>
          <w:vertAlign w:val="superscript"/>
          <w:lang w:val="it-IT"/>
        </w:rPr>
        <w:t>1</w:t>
      </w:r>
      <w:r w:rsidRPr="00DA65F2">
        <w:rPr>
          <w:b/>
          <w:iCs/>
          <w:sz w:val="24"/>
          <w:szCs w:val="28"/>
          <w:lang w:val="it-IT"/>
        </w:rPr>
        <w:t>*</w:t>
      </w:r>
      <w:r w:rsidRPr="00DA65F2">
        <w:rPr>
          <w:iCs/>
          <w:sz w:val="24"/>
          <w:szCs w:val="28"/>
          <w:lang w:val="it-IT"/>
        </w:rPr>
        <w:t xml:space="preserve">, </w:t>
      </w:r>
      <w:r w:rsidRPr="00DA65F2">
        <w:rPr>
          <w:b/>
          <w:iCs/>
          <w:sz w:val="24"/>
          <w:szCs w:val="28"/>
          <w:lang w:val="it-IT"/>
        </w:rPr>
        <w:t>Guglielmo Puzio</w:t>
      </w:r>
      <w:r w:rsidRPr="00DA65F2">
        <w:rPr>
          <w:b/>
          <w:iCs/>
          <w:sz w:val="24"/>
          <w:szCs w:val="28"/>
          <w:vertAlign w:val="superscript"/>
          <w:lang w:val="it-IT"/>
        </w:rPr>
        <w:t>2</w:t>
      </w:r>
    </w:p>
    <w:p w14:paraId="09C48D47" w14:textId="7358D891" w:rsidR="00204AB2" w:rsidRPr="00DA65F2" w:rsidRDefault="00000000" w:rsidP="00DA65F2">
      <w:pPr>
        <w:pStyle w:val="BodyText"/>
        <w:spacing w:before="240" w:after="240"/>
        <w:rPr>
          <w:bCs/>
          <w:iCs/>
          <w:sz w:val="20"/>
          <w:szCs w:val="24"/>
          <w:lang w:val="it-IT"/>
        </w:rPr>
      </w:pPr>
      <w:r w:rsidRPr="00DA65F2">
        <w:rPr>
          <w:bCs/>
          <w:iCs/>
          <w:sz w:val="20"/>
          <w:szCs w:val="24"/>
          <w:vertAlign w:val="superscript"/>
          <w:lang w:val="it-IT"/>
        </w:rPr>
        <w:t>1</w:t>
      </w:r>
      <w:r w:rsidRPr="00DA65F2">
        <w:rPr>
          <w:bCs/>
          <w:iCs/>
          <w:sz w:val="20"/>
          <w:szCs w:val="24"/>
          <w:lang w:val="it-IT"/>
        </w:rPr>
        <w:t xml:space="preserve"> </w:t>
      </w:r>
      <w:r w:rsidR="00A113A1" w:rsidRPr="00DA65F2">
        <w:rPr>
          <w:bCs/>
          <w:iCs/>
          <w:sz w:val="20"/>
          <w:szCs w:val="24"/>
          <w:lang w:val="it-IT"/>
        </w:rPr>
        <w:t xml:space="preserve">Mercatorum </w:t>
      </w:r>
      <w:r w:rsidRPr="00DA65F2">
        <w:rPr>
          <w:bCs/>
          <w:iCs/>
          <w:sz w:val="20"/>
          <w:szCs w:val="24"/>
          <w:lang w:val="it-IT"/>
        </w:rPr>
        <w:t xml:space="preserve">University, </w:t>
      </w:r>
      <w:r w:rsidR="00A113A1" w:rsidRPr="00DA65F2">
        <w:rPr>
          <w:bCs/>
          <w:iCs/>
          <w:sz w:val="20"/>
          <w:szCs w:val="24"/>
          <w:lang w:val="it-IT"/>
        </w:rPr>
        <w:t xml:space="preserve">Piazza Mattei, 10, 00186 Roma RM, </w:t>
      </w:r>
      <w:proofErr w:type="spellStart"/>
      <w:r w:rsidR="00A113A1" w:rsidRPr="00DA65F2">
        <w:rPr>
          <w:bCs/>
          <w:iCs/>
          <w:sz w:val="20"/>
          <w:szCs w:val="24"/>
          <w:lang w:val="it-IT"/>
        </w:rPr>
        <w:t>Italy</w:t>
      </w:r>
      <w:proofErr w:type="spellEnd"/>
    </w:p>
    <w:p w14:paraId="546C888D" w14:textId="41AD90F6" w:rsidR="00204AB2" w:rsidRPr="00DA65F2" w:rsidRDefault="003F2AAA" w:rsidP="00DA65F2">
      <w:pPr>
        <w:pStyle w:val="BodyText"/>
        <w:spacing w:before="240" w:after="240"/>
        <w:rPr>
          <w:bCs/>
          <w:iCs/>
          <w:sz w:val="20"/>
          <w:lang w:val="it-IT"/>
        </w:rPr>
      </w:pPr>
      <w:r w:rsidRPr="00DA65F2">
        <w:rPr>
          <w:noProof/>
          <w:sz w:val="20"/>
          <w:shd w:val="clear" w:color="auto" w:fill="FFFFFF"/>
          <w:lang w:val="en-US" w:eastAsia="en-US"/>
        </w:rPr>
        <w:drawing>
          <wp:inline distT="0" distB="0" distL="0" distR="0" wp14:anchorId="43991332" wp14:editId="628250D6">
            <wp:extent cx="153670" cy="153670"/>
            <wp:effectExtent l="0" t="0" r="0" b="0"/>
            <wp:docPr id="1" name="Imagin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ine 8"/>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DA65F2">
        <w:rPr>
          <w:sz w:val="20"/>
          <w:lang w:val="it-IT"/>
        </w:rPr>
        <w:t xml:space="preserve"> </w:t>
      </w:r>
      <w:hyperlink r:id="rId8" w:history="1">
        <w:r w:rsidR="00A113A1" w:rsidRPr="00DA65F2">
          <w:rPr>
            <w:rStyle w:val="Hyperlink"/>
            <w:sz w:val="20"/>
            <w:lang w:val="it-IT"/>
          </w:rPr>
          <w:t xml:space="preserve">https://orcid.org/0009-0006-5359-6102 </w:t>
        </w:r>
      </w:hyperlink>
    </w:p>
    <w:p w14:paraId="62BF660F" w14:textId="10FBB65D" w:rsidR="00204AB2" w:rsidRPr="00DA65F2" w:rsidRDefault="00000000" w:rsidP="00DA65F2">
      <w:pPr>
        <w:pStyle w:val="BodyText"/>
        <w:spacing w:before="240" w:after="240"/>
        <w:rPr>
          <w:bCs/>
          <w:iCs/>
          <w:sz w:val="20"/>
          <w:lang w:val="it-IT"/>
        </w:rPr>
      </w:pPr>
      <w:r w:rsidRPr="00DA65F2">
        <w:rPr>
          <w:bCs/>
          <w:iCs/>
          <w:sz w:val="20"/>
          <w:lang w:val="it-IT"/>
        </w:rPr>
        <w:t xml:space="preserve">  e-mail: </w:t>
      </w:r>
      <w:hyperlink r:id="rId9" w:history="1">
        <w:r w:rsidR="00A113A1" w:rsidRPr="00DA65F2">
          <w:rPr>
            <w:rStyle w:val="Hyperlink"/>
            <w:bCs/>
            <w:iCs/>
            <w:sz w:val="20"/>
            <w:lang w:val="it-IT"/>
          </w:rPr>
          <w:t>dallega@luiss.it</w:t>
        </w:r>
      </w:hyperlink>
      <w:r w:rsidR="00A113A1" w:rsidRPr="00DA65F2">
        <w:rPr>
          <w:bCs/>
          <w:iCs/>
          <w:sz w:val="20"/>
          <w:lang w:val="it-IT"/>
        </w:rPr>
        <w:t xml:space="preserve">, </w:t>
      </w:r>
      <w:hyperlink r:id="rId10" w:history="1">
        <w:r w:rsidR="00A113A1" w:rsidRPr="00DA65F2">
          <w:rPr>
            <w:rStyle w:val="Hyperlink"/>
            <w:bCs/>
            <w:iCs/>
            <w:sz w:val="20"/>
            <w:lang w:val="it-IT"/>
          </w:rPr>
          <w:t>daniele.allega@studenti.unimercatorum.it</w:t>
        </w:r>
      </w:hyperlink>
    </w:p>
    <w:p w14:paraId="63BB294F" w14:textId="36EF9C62" w:rsidR="00204AB2" w:rsidRPr="00DA65F2" w:rsidRDefault="00000000" w:rsidP="00DA65F2">
      <w:pPr>
        <w:pStyle w:val="BodyText"/>
        <w:spacing w:before="240" w:after="240"/>
        <w:rPr>
          <w:bCs/>
          <w:iCs/>
          <w:sz w:val="20"/>
          <w:szCs w:val="24"/>
          <w:lang w:val="it-IT"/>
        </w:rPr>
      </w:pPr>
      <w:r w:rsidRPr="00DA65F2">
        <w:rPr>
          <w:bCs/>
          <w:iCs/>
          <w:sz w:val="20"/>
          <w:szCs w:val="24"/>
          <w:vertAlign w:val="superscript"/>
          <w:lang w:val="it-IT"/>
        </w:rPr>
        <w:t>2</w:t>
      </w:r>
      <w:r w:rsidRPr="00DA65F2">
        <w:rPr>
          <w:bCs/>
          <w:iCs/>
          <w:sz w:val="20"/>
          <w:szCs w:val="24"/>
          <w:lang w:val="it-IT"/>
        </w:rPr>
        <w:t xml:space="preserve"> </w:t>
      </w:r>
      <w:r w:rsidR="00A113A1" w:rsidRPr="00DA65F2">
        <w:rPr>
          <w:bCs/>
          <w:iCs/>
          <w:sz w:val="20"/>
          <w:szCs w:val="24"/>
          <w:lang w:val="it-IT"/>
        </w:rPr>
        <w:t xml:space="preserve">LUISS </w:t>
      </w:r>
      <w:r w:rsidRPr="00DA65F2">
        <w:rPr>
          <w:bCs/>
          <w:iCs/>
          <w:sz w:val="20"/>
          <w:szCs w:val="24"/>
          <w:lang w:val="it-IT"/>
        </w:rPr>
        <w:t>“</w:t>
      </w:r>
      <w:r w:rsidR="00A113A1" w:rsidRPr="00DA65F2">
        <w:rPr>
          <w:bCs/>
          <w:iCs/>
          <w:sz w:val="20"/>
          <w:szCs w:val="24"/>
          <w:lang w:val="it-IT"/>
        </w:rPr>
        <w:t xml:space="preserve">Guido Carli” University, Viale Romania, 32, 00197 Roma RM, </w:t>
      </w:r>
      <w:proofErr w:type="spellStart"/>
      <w:r w:rsidR="00A113A1" w:rsidRPr="00DA65F2">
        <w:rPr>
          <w:bCs/>
          <w:iCs/>
          <w:sz w:val="20"/>
          <w:szCs w:val="24"/>
          <w:lang w:val="it-IT"/>
        </w:rPr>
        <w:t>Italy</w:t>
      </w:r>
      <w:proofErr w:type="spellEnd"/>
    </w:p>
    <w:p w14:paraId="1E2CB011" w14:textId="47436F74" w:rsidR="00204AB2" w:rsidRPr="00DA65F2" w:rsidRDefault="003F2AAA" w:rsidP="00DA65F2">
      <w:pPr>
        <w:pStyle w:val="BodyText"/>
        <w:spacing w:before="240" w:after="240"/>
        <w:rPr>
          <w:bCs/>
          <w:iCs/>
          <w:sz w:val="20"/>
          <w:lang w:val="it-IT"/>
        </w:rPr>
      </w:pPr>
      <w:r w:rsidRPr="00DA65F2">
        <w:rPr>
          <w:noProof/>
          <w:sz w:val="20"/>
          <w:shd w:val="clear" w:color="auto" w:fill="FFFFFF"/>
          <w:lang w:val="en-US" w:eastAsia="en-US"/>
        </w:rPr>
        <w:drawing>
          <wp:inline distT="0" distB="0" distL="0" distR="0" wp14:anchorId="3C63FC42" wp14:editId="62D133A3">
            <wp:extent cx="153670" cy="153670"/>
            <wp:effectExtent l="0" t="0" r="0" b="0"/>
            <wp:docPr id="2" name="Imagin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ine 8"/>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DA65F2">
        <w:rPr>
          <w:sz w:val="20"/>
          <w:lang w:val="it-IT"/>
        </w:rPr>
        <w:t xml:space="preserve"> </w:t>
      </w:r>
      <w:hyperlink r:id="rId11" w:history="1">
        <w:r w:rsidR="00A113A1" w:rsidRPr="00DA65F2">
          <w:rPr>
            <w:rStyle w:val="Hyperlink"/>
            <w:sz w:val="20"/>
            <w:lang w:val="it-IT"/>
          </w:rPr>
          <w:t>https://orcid.org/0009-0001-4366-2632</w:t>
        </w:r>
      </w:hyperlink>
      <w:r w:rsidRPr="00DA65F2">
        <w:rPr>
          <w:sz w:val="20"/>
          <w:lang w:val="it-IT"/>
        </w:rPr>
        <w:t xml:space="preserve">  </w:t>
      </w:r>
    </w:p>
    <w:p w14:paraId="336B3306" w14:textId="272C0D17" w:rsidR="00204AB2" w:rsidRPr="00DA65F2" w:rsidRDefault="00000000" w:rsidP="00DA65F2">
      <w:pPr>
        <w:pStyle w:val="BodyText"/>
        <w:spacing w:before="240" w:after="240"/>
        <w:rPr>
          <w:bCs/>
          <w:iCs/>
          <w:sz w:val="20"/>
          <w:lang w:val="it-IT"/>
        </w:rPr>
      </w:pPr>
      <w:r w:rsidRPr="00DA65F2">
        <w:rPr>
          <w:bCs/>
          <w:iCs/>
          <w:sz w:val="20"/>
          <w:lang w:val="it-IT"/>
        </w:rPr>
        <w:t xml:space="preserve">  e-mail: </w:t>
      </w:r>
      <w:hyperlink r:id="rId12" w:history="1">
        <w:r w:rsidR="00A113A1" w:rsidRPr="00DA65F2">
          <w:rPr>
            <w:rStyle w:val="Hyperlink"/>
            <w:bCs/>
            <w:iCs/>
            <w:sz w:val="20"/>
            <w:lang w:val="it-IT"/>
          </w:rPr>
          <w:t>guglielmo.puzio@studenti.luiss.it</w:t>
        </w:r>
      </w:hyperlink>
    </w:p>
    <w:p w14:paraId="69B104A4" w14:textId="77777777" w:rsidR="00204AB2" w:rsidRPr="00DA65F2" w:rsidRDefault="00000000" w:rsidP="00DA65F2">
      <w:pPr>
        <w:pStyle w:val="BodyText"/>
        <w:spacing w:before="240" w:after="240"/>
        <w:rPr>
          <w:bCs/>
          <w:iCs/>
          <w:sz w:val="20"/>
          <w:lang w:val="en-US"/>
        </w:rPr>
      </w:pPr>
      <w:r w:rsidRPr="00DA65F2">
        <w:rPr>
          <w:bCs/>
          <w:iCs/>
          <w:sz w:val="20"/>
          <w:lang w:val="en-US"/>
        </w:rPr>
        <w:t>*  Corresponding author</w:t>
      </w:r>
    </w:p>
    <w:p w14:paraId="33CFB29D" w14:textId="7855BA41" w:rsidR="00204AB2" w:rsidRPr="00DA65F2" w:rsidRDefault="00204AB2" w:rsidP="00DA65F2">
      <w:pPr>
        <w:pStyle w:val="BodyText"/>
        <w:spacing w:before="240" w:after="240"/>
        <w:rPr>
          <w:b/>
          <w:bCs/>
          <w:iCs/>
          <w:sz w:val="18"/>
          <w:szCs w:val="28"/>
          <w:lang w:val="en-US"/>
        </w:rPr>
      </w:pPr>
    </w:p>
    <w:p w14:paraId="2E9836C4" w14:textId="6E6F9ACD" w:rsidR="00204AB2" w:rsidRPr="00DA65F2" w:rsidRDefault="00000000" w:rsidP="00DA65F2">
      <w:pPr>
        <w:pStyle w:val="BodyText"/>
        <w:spacing w:before="240" w:after="240"/>
        <w:rPr>
          <w:i/>
          <w:sz w:val="18"/>
          <w:lang w:val="en-US"/>
        </w:rPr>
      </w:pPr>
      <w:r w:rsidRPr="00DA65F2">
        <w:rPr>
          <w:b/>
          <w:bCs/>
          <w:iCs/>
          <w:sz w:val="18"/>
          <w:szCs w:val="28"/>
          <w:lang w:val="en-US"/>
        </w:rPr>
        <w:t>Abstract:</w:t>
      </w:r>
      <w:r w:rsidRPr="00DA65F2">
        <w:rPr>
          <w:b/>
          <w:bCs/>
          <w:iCs/>
          <w:sz w:val="24"/>
          <w:szCs w:val="28"/>
          <w:lang w:val="en-US"/>
        </w:rPr>
        <w:t xml:space="preserve"> </w:t>
      </w:r>
      <w:r w:rsidR="00FB3116" w:rsidRPr="00DA65F2">
        <w:rPr>
          <w:i/>
          <w:sz w:val="18"/>
          <w:lang w:val="en-US"/>
        </w:rPr>
        <w:t xml:space="preserve">This </w:t>
      </w:r>
      <w:r w:rsidR="00AC3DED" w:rsidRPr="00DA65F2">
        <w:rPr>
          <w:i/>
          <w:sz w:val="18"/>
          <w:lang w:val="en-US"/>
        </w:rPr>
        <w:t xml:space="preserve">study examines the emergence of an Artificial Legal Intelligence (ALI) Society as a distinctive socio-technical phenomenon reshaping legal practice through computational approaches to law. </w:t>
      </w:r>
      <w:r w:rsidR="00243A04" w:rsidRPr="00DA65F2">
        <w:rPr>
          <w:i/>
          <w:sz w:val="18"/>
          <w:lang w:val="en-US"/>
        </w:rPr>
        <w:t>W</w:t>
      </w:r>
      <w:r w:rsidR="00AC3DED" w:rsidRPr="00DA65F2">
        <w:rPr>
          <w:i/>
          <w:sz w:val="18"/>
          <w:lang w:val="en-US"/>
        </w:rPr>
        <w:t>e analyze how legal professionals, technologists, and AI practitioners are spontaneously organizing around the concept of "Law-as-Computation" through multi-sided platform dynamics. Our investigation reveals a complex ecosystem where traditional legal hierarchies are being simultaneously disrupted and reinforced through computational intermediation. Using platform economy theory and professional sociology frameworks, we document how the ALI Society exhibits characteristics of both open collaboration and exclusive gatekeeping, creating what we term a "techno-legal aristocracy" that controls access to computational legal tools while presenting this control as technological inevitability. The findings indicate that while the ALI platform architecture promises democratization through standardized APIs and open ontologies, actual deployment patterns reveal concentration of power among elite institutions capable of combining legal expertise with computational resources. This paradox—wherein open technical standards coexist with closed professional networks—challenges prevailing narratives about AI's democratizing potential in legal services. Our analysis contributes to understanding how professional transformation occurs when computational logic meets established jurisdictional boundaries, revealing that the ALI Society functions less as a neutral technical infrastructure and more as a contested site where competing visions of legal futures are negotiated through code, credentials, and capital</w:t>
      </w:r>
      <w:r w:rsidR="00FB3116" w:rsidRPr="00DA65F2">
        <w:rPr>
          <w:i/>
          <w:sz w:val="18"/>
          <w:lang w:val="en-US"/>
        </w:rPr>
        <w:t>.</w:t>
      </w:r>
    </w:p>
    <w:p w14:paraId="7B898631" w14:textId="05FDB459" w:rsidR="00204AB2" w:rsidRPr="00DA65F2" w:rsidRDefault="00000000" w:rsidP="00DA65F2">
      <w:pPr>
        <w:pStyle w:val="BodyText"/>
        <w:spacing w:before="240" w:after="240"/>
        <w:rPr>
          <w:i/>
          <w:color w:val="000000"/>
          <w:sz w:val="18"/>
          <w:lang w:val="en-US"/>
        </w:rPr>
      </w:pPr>
      <w:r w:rsidRPr="00DA65F2">
        <w:rPr>
          <w:b/>
          <w:sz w:val="18"/>
          <w:szCs w:val="18"/>
          <w:lang w:val="en-US"/>
        </w:rPr>
        <w:t xml:space="preserve">Keywords: </w:t>
      </w:r>
      <w:r w:rsidR="00FB3116" w:rsidRPr="00DA65F2">
        <w:rPr>
          <w:i/>
          <w:sz w:val="18"/>
          <w:szCs w:val="18"/>
          <w:lang w:val="en-US"/>
        </w:rPr>
        <w:t xml:space="preserve">Artificial </w:t>
      </w:r>
      <w:r w:rsidR="00AC3DED" w:rsidRPr="00DA65F2">
        <w:rPr>
          <w:i/>
          <w:sz w:val="18"/>
          <w:szCs w:val="18"/>
          <w:lang w:val="en-US"/>
        </w:rPr>
        <w:t>Legal Intelligence; Platform Economy; Professional Transformation; Law-as-Computation; Techno-Legal Elite</w:t>
      </w:r>
    </w:p>
    <w:p w14:paraId="65EE0E05" w14:textId="7BA9F91C" w:rsidR="00204AB2" w:rsidRPr="00DA65F2" w:rsidRDefault="00000000" w:rsidP="00DA65F2">
      <w:pPr>
        <w:pStyle w:val="BodyText"/>
        <w:spacing w:before="240" w:after="240"/>
        <w:rPr>
          <w:b/>
          <w:bCs/>
          <w:i/>
          <w:iCs/>
          <w:color w:val="C00000"/>
          <w:sz w:val="18"/>
          <w:szCs w:val="18"/>
          <w:lang w:val="it-IT"/>
        </w:rPr>
      </w:pPr>
      <w:r w:rsidRPr="00DA65F2">
        <w:rPr>
          <w:b/>
          <w:bCs/>
          <w:sz w:val="18"/>
          <w:szCs w:val="18"/>
          <w:lang w:val="it-IT"/>
        </w:rPr>
        <w:t xml:space="preserve">JEL </w:t>
      </w:r>
      <w:proofErr w:type="spellStart"/>
      <w:r w:rsidRPr="00DA65F2">
        <w:rPr>
          <w:b/>
          <w:bCs/>
          <w:sz w:val="18"/>
          <w:szCs w:val="18"/>
          <w:lang w:val="it-IT"/>
        </w:rPr>
        <w:t>Classification</w:t>
      </w:r>
      <w:proofErr w:type="spellEnd"/>
      <w:r w:rsidRPr="00DA65F2">
        <w:rPr>
          <w:b/>
          <w:bCs/>
          <w:sz w:val="18"/>
          <w:szCs w:val="18"/>
          <w:lang w:val="it-IT"/>
        </w:rPr>
        <w:t xml:space="preserve">: </w:t>
      </w:r>
      <w:r w:rsidR="00FB3116" w:rsidRPr="00DA65F2">
        <w:rPr>
          <w:i/>
          <w:iCs/>
          <w:sz w:val="18"/>
          <w:szCs w:val="18"/>
          <w:lang w:val="it-IT"/>
        </w:rPr>
        <w:t>K40; O33; J44; L86; D47</w:t>
      </w:r>
    </w:p>
    <w:p w14:paraId="69B074D7" w14:textId="00B25645" w:rsidR="00036139" w:rsidRPr="00DA65F2" w:rsidRDefault="00036139" w:rsidP="00DA65F2">
      <w:pPr>
        <w:pStyle w:val="BodyText"/>
        <w:spacing w:before="240" w:after="240"/>
        <w:rPr>
          <w:i/>
          <w:sz w:val="18"/>
          <w:lang w:val="en-US"/>
        </w:rPr>
      </w:pPr>
      <w:r w:rsidRPr="00DA65F2">
        <w:rPr>
          <w:b/>
          <w:bCs/>
          <w:iCs/>
          <w:sz w:val="18"/>
          <w:lang w:val="en-US"/>
        </w:rPr>
        <w:t>Note:</w:t>
      </w:r>
      <w:r w:rsidRPr="00DA65F2">
        <w:rPr>
          <w:i/>
          <w:sz w:val="18"/>
          <w:lang w:val="en-US"/>
        </w:rPr>
        <w:t xml:space="preserve"> </w:t>
      </w:r>
      <w:r w:rsidR="00112DD2" w:rsidRPr="00DA65F2">
        <w:rPr>
          <w:i/>
          <w:sz w:val="18"/>
          <w:lang w:val="en-US"/>
        </w:rPr>
        <w:t>A previous</w:t>
      </w:r>
      <w:r w:rsidRPr="00DA65F2">
        <w:rPr>
          <w:i/>
          <w:sz w:val="18"/>
          <w:lang w:val="en-US"/>
        </w:rPr>
        <w:t xml:space="preserve"> version of this abstract is available in the references (Allega, 2025)</w:t>
      </w:r>
    </w:p>
    <w:p w14:paraId="789CB832" w14:textId="02CFC8D1" w:rsidR="00AD5DE3" w:rsidRPr="00DA65F2" w:rsidRDefault="00AD5DE3" w:rsidP="00DA65F2">
      <w:pPr>
        <w:spacing w:before="240" w:after="240"/>
        <w:rPr>
          <w:i/>
          <w:color w:val="000000"/>
          <w:sz w:val="18"/>
        </w:rPr>
      </w:pPr>
      <w:r w:rsidRPr="00DA65F2">
        <w:rPr>
          <w:i/>
          <w:color w:val="000000"/>
          <w:sz w:val="18"/>
        </w:rPr>
        <w:br w:type="page"/>
      </w:r>
    </w:p>
    <w:p w14:paraId="6A2CBAC2" w14:textId="61971B3E" w:rsidR="00E82F99" w:rsidRPr="00DA65F2" w:rsidRDefault="00776000" w:rsidP="00DA65F2">
      <w:pPr>
        <w:spacing w:before="240" w:after="240"/>
        <w:jc w:val="both"/>
        <w:rPr>
          <w:b/>
          <w:bCs/>
          <w:szCs w:val="28"/>
        </w:rPr>
      </w:pPr>
      <w:r w:rsidRPr="00DA65F2">
        <w:rPr>
          <w:b/>
          <w:bCs/>
          <w:szCs w:val="28"/>
        </w:rPr>
        <w:lastRenderedPageBreak/>
        <w:t>1. Introduction</w:t>
      </w:r>
    </w:p>
    <w:p w14:paraId="1BD202CB" w14:textId="6D88E220" w:rsidR="00AC3DED" w:rsidRPr="00DA65F2" w:rsidRDefault="00AC3DED" w:rsidP="00DA65F2">
      <w:pPr>
        <w:spacing w:before="240" w:after="240"/>
        <w:jc w:val="both"/>
        <w:rPr>
          <w:sz w:val="22"/>
          <w:szCs w:val="22"/>
        </w:rPr>
      </w:pPr>
      <w:r w:rsidRPr="00DA65F2">
        <w:rPr>
          <w:sz w:val="22"/>
          <w:szCs w:val="22"/>
        </w:rPr>
        <w:t>The transformation of legal practice through artificial intelligence has entered a critical phase characterized not by isolated technological innovations but by the emergence of what practitioners increasingly recognize as an "Artificial Legal Intelligence Society"—a distinct professional formation organized around computational approaches to law (Allega, 2025; Allega &amp; Puzio, 2025a). This phenomenon</w:t>
      </w:r>
      <w:r w:rsidR="000938E5" w:rsidRPr="00DA65F2">
        <w:rPr>
          <w:sz w:val="22"/>
          <w:szCs w:val="22"/>
        </w:rPr>
        <w:t xml:space="preserve"> </w:t>
      </w:r>
      <w:r w:rsidRPr="00DA65F2">
        <w:rPr>
          <w:sz w:val="22"/>
          <w:szCs w:val="22"/>
        </w:rPr>
        <w:t>represents neither a purely technological shift nor merely a professional adaptation, but rather the constitution of a new socio-technical assemblage that fundamentally reconceptualizes legal work as computable argumentation.</w:t>
      </w:r>
    </w:p>
    <w:p w14:paraId="62C1ED27" w14:textId="77777777" w:rsidR="00AC3DED" w:rsidRPr="00DA65F2" w:rsidRDefault="00AC3DED" w:rsidP="00DA65F2">
      <w:pPr>
        <w:spacing w:before="240" w:after="240"/>
        <w:jc w:val="both"/>
        <w:rPr>
          <w:sz w:val="22"/>
          <w:szCs w:val="22"/>
        </w:rPr>
      </w:pPr>
      <w:r w:rsidRPr="00DA65F2">
        <w:rPr>
          <w:sz w:val="22"/>
          <w:szCs w:val="22"/>
        </w:rPr>
        <w:t>The empirical reality of this transformation differs markedly from both optimistic predictions of AI-driven legal democratization and dystopian warnings of professional obsolescence. Instead, what has emerged is a complex multi-sided platform ecosystem where traditional legal hierarchies are being reconfigured rather than eliminated, creating new forms of stratification that blend technical competence with jurisdictional authority (Allega &amp; Puzio, 2025b). This reconfiguration manifests through specific organizational forms: specialized ALI consultancies within major law firms, computational law departments in legal education institutions, and hybrid professional associations that bridge legal and technical communities.</w:t>
      </w:r>
    </w:p>
    <w:p w14:paraId="44B3CEFA" w14:textId="77777777" w:rsidR="00AC3DED" w:rsidRPr="00DA65F2" w:rsidRDefault="00AC3DED" w:rsidP="00DA65F2">
      <w:pPr>
        <w:spacing w:before="240" w:after="240"/>
        <w:jc w:val="both"/>
        <w:rPr>
          <w:sz w:val="22"/>
          <w:szCs w:val="22"/>
        </w:rPr>
      </w:pPr>
      <w:r w:rsidRPr="00DA65F2">
        <w:rPr>
          <w:sz w:val="22"/>
          <w:szCs w:val="22"/>
        </w:rPr>
        <w:t>The significance of this development extends beyond the legal profession itself. As law increasingly mediates digital interactions—from smart contracts to algorithmic governance—the emergence of an ALI Society represents a critical juncture in how societies encode, interpret, and enforce rules through computational means. The actors shaping this transformation are not merely adopting new tools but are actively constructing a new professional jurisdiction that claims authority over the intersection of legal reasoning and computational logic (Allega &amp; Puzio, 2025c).</w:t>
      </w:r>
    </w:p>
    <w:p w14:paraId="4118368B" w14:textId="2AAC7B8A" w:rsidR="00AC3DED" w:rsidRPr="00DA65F2" w:rsidRDefault="00AC3DED" w:rsidP="00DA65F2">
      <w:pPr>
        <w:spacing w:before="240" w:after="240"/>
        <w:jc w:val="both"/>
        <w:rPr>
          <w:sz w:val="22"/>
          <w:szCs w:val="22"/>
        </w:rPr>
      </w:pPr>
      <w:r w:rsidRPr="00DA65F2">
        <w:rPr>
          <w:sz w:val="22"/>
          <w:szCs w:val="22"/>
        </w:rPr>
        <w:t>This paper provides a systematic analysis of the ALI Society as it currently exists, examining its structural characteristics, operational dynamics, and distributional effects. Drawing on analysis of platform architectures and interviews with key participants, we document how this new professional formation operates through distinctive mechanisms that combine open technical standards with closed professional networks, creating what we term "selective permeability"—a system that appears open at the technical level while maintaining exclusivity at the social level.</w:t>
      </w:r>
    </w:p>
    <w:p w14:paraId="58F157A6" w14:textId="77777777" w:rsidR="00AC3DED" w:rsidRPr="00DA65F2" w:rsidRDefault="00AC3DED" w:rsidP="00DA65F2">
      <w:pPr>
        <w:spacing w:before="240" w:after="240"/>
        <w:jc w:val="both"/>
        <w:rPr>
          <w:b/>
          <w:bCs/>
          <w:szCs w:val="28"/>
        </w:rPr>
      </w:pPr>
      <w:r w:rsidRPr="00DA65F2">
        <w:rPr>
          <w:b/>
          <w:bCs/>
          <w:szCs w:val="28"/>
        </w:rPr>
        <w:t>2. Literature Review</w:t>
      </w:r>
    </w:p>
    <w:p w14:paraId="3DBC5D63" w14:textId="77777777" w:rsidR="00AC3DED" w:rsidRPr="00DA65F2" w:rsidRDefault="00AC3DED" w:rsidP="00DA65F2">
      <w:pPr>
        <w:spacing w:before="240" w:after="240"/>
        <w:jc w:val="both"/>
        <w:rPr>
          <w:b/>
          <w:bCs/>
          <w:sz w:val="25"/>
          <w:szCs w:val="25"/>
        </w:rPr>
      </w:pPr>
      <w:r w:rsidRPr="00DA65F2">
        <w:rPr>
          <w:b/>
          <w:bCs/>
          <w:sz w:val="25"/>
          <w:szCs w:val="25"/>
        </w:rPr>
        <w:t>2.1. The Platform Economy Paradigm in Professional Services</w:t>
      </w:r>
    </w:p>
    <w:p w14:paraId="7E576FE2" w14:textId="77777777" w:rsidR="00AC3DED" w:rsidRPr="00DA65F2" w:rsidRDefault="00AC3DED" w:rsidP="00DA65F2">
      <w:pPr>
        <w:spacing w:before="240" w:after="240"/>
        <w:jc w:val="both"/>
        <w:rPr>
          <w:sz w:val="22"/>
          <w:szCs w:val="22"/>
        </w:rPr>
      </w:pPr>
      <w:r w:rsidRPr="00DA65F2">
        <w:rPr>
          <w:sz w:val="22"/>
          <w:szCs w:val="22"/>
        </w:rPr>
        <w:t xml:space="preserve">The application of platform economy principles to professional services represents a significant departure from traditional models of professional organization (Parker et al., 2016; Sundararajan, 2016). Unlike consumer-oriented platforms that primarily facilitate transactions, professional service platforms must navigate complex regulatory environments, maintain quality standards, and preserve professional autonomy while enabling new forms of value creation and capture (Eaton et al., 2015). The legal profession, with its stringent ethical requirements and jurisdictional boundaries, presents </w:t>
      </w:r>
      <w:proofErr w:type="gramStart"/>
      <w:r w:rsidRPr="00DA65F2">
        <w:rPr>
          <w:sz w:val="22"/>
          <w:szCs w:val="22"/>
        </w:rPr>
        <w:t>particular challenges</w:t>
      </w:r>
      <w:proofErr w:type="gramEnd"/>
      <w:r w:rsidRPr="00DA65F2">
        <w:rPr>
          <w:sz w:val="22"/>
          <w:szCs w:val="22"/>
        </w:rPr>
        <w:t xml:space="preserve"> for platform-based reorganization.</w:t>
      </w:r>
    </w:p>
    <w:p w14:paraId="7B6C37E5" w14:textId="2988B1D1" w:rsidR="00AC3DED" w:rsidRPr="00DA65F2" w:rsidRDefault="00AC3DED" w:rsidP="00DA65F2">
      <w:pPr>
        <w:spacing w:before="240" w:after="240"/>
        <w:jc w:val="both"/>
        <w:rPr>
          <w:sz w:val="22"/>
          <w:szCs w:val="22"/>
        </w:rPr>
      </w:pPr>
      <w:r w:rsidRPr="00DA65F2">
        <w:rPr>
          <w:sz w:val="22"/>
          <w:szCs w:val="22"/>
        </w:rPr>
        <w:t>Recent scholarship has identified three critical tensions in professional platform development. First, the standardization required for platform scaling conflicts with the customization inherent in professional judgment (Kretschmer et al., 202</w:t>
      </w:r>
      <w:r w:rsidR="003A5C92">
        <w:rPr>
          <w:sz w:val="22"/>
          <w:szCs w:val="22"/>
        </w:rPr>
        <w:t>2</w:t>
      </w:r>
      <w:r w:rsidRPr="00DA65F2">
        <w:rPr>
          <w:sz w:val="22"/>
          <w:szCs w:val="22"/>
        </w:rPr>
        <w:t>). Second, the transparency demanded by platform governance clashes with professional confidentiality norms (Tilson et al., 201</w:t>
      </w:r>
      <w:r w:rsidR="00624C75">
        <w:rPr>
          <w:sz w:val="22"/>
          <w:szCs w:val="22"/>
        </w:rPr>
        <w:t>3</w:t>
      </w:r>
      <w:r w:rsidRPr="00DA65F2">
        <w:rPr>
          <w:sz w:val="22"/>
          <w:szCs w:val="22"/>
        </w:rPr>
        <w:t>). Third, the network effects that drive platform value creation challenge traditional professional hierarchies based on individual expertise and reputation (Constantinides et al., 2018).</w:t>
      </w:r>
    </w:p>
    <w:p w14:paraId="01A943B5" w14:textId="5AB0E0F4" w:rsidR="00AC3DED" w:rsidRPr="00DA65F2" w:rsidRDefault="00AC3DED" w:rsidP="00DA65F2">
      <w:pPr>
        <w:spacing w:before="240" w:after="240"/>
        <w:jc w:val="both"/>
        <w:rPr>
          <w:sz w:val="22"/>
          <w:szCs w:val="22"/>
        </w:rPr>
      </w:pPr>
      <w:r w:rsidRPr="00DA65F2">
        <w:rPr>
          <w:sz w:val="22"/>
          <w:szCs w:val="22"/>
        </w:rPr>
        <w:lastRenderedPageBreak/>
        <w:t>The emergence of legal technology platforms since 2015 has provided empirical evidence of how these tensions manifest in practice. Early platforms focused on discrete, standardizable tasks such as document review and contract analysis, avoiding areas requiring sophisticated legal judgment (</w:t>
      </w:r>
      <w:proofErr w:type="spellStart"/>
      <w:r w:rsidRPr="00DA65F2">
        <w:rPr>
          <w:sz w:val="22"/>
          <w:szCs w:val="22"/>
        </w:rPr>
        <w:t>Surden</w:t>
      </w:r>
      <w:proofErr w:type="spellEnd"/>
      <w:r w:rsidRPr="00DA65F2">
        <w:rPr>
          <w:sz w:val="22"/>
          <w:szCs w:val="22"/>
        </w:rPr>
        <w:t xml:space="preserve">, 2014). However, the advent of large language models has expanded the scope of </w:t>
      </w:r>
      <w:proofErr w:type="gramStart"/>
      <w:r w:rsidRPr="00DA65F2">
        <w:rPr>
          <w:sz w:val="22"/>
          <w:szCs w:val="22"/>
        </w:rPr>
        <w:t>computationally-assisted</w:t>
      </w:r>
      <w:proofErr w:type="gramEnd"/>
      <w:r w:rsidRPr="00DA65F2">
        <w:rPr>
          <w:sz w:val="22"/>
          <w:szCs w:val="22"/>
        </w:rPr>
        <w:t xml:space="preserve"> legal work, creating possibilities for platform-based coordination of complex legal reasoning (Katz</w:t>
      </w:r>
      <w:r w:rsidR="00DA65F2">
        <w:rPr>
          <w:sz w:val="22"/>
          <w:szCs w:val="22"/>
        </w:rPr>
        <w:t xml:space="preserve"> et al.</w:t>
      </w:r>
      <w:r w:rsidRPr="00DA65F2">
        <w:rPr>
          <w:sz w:val="22"/>
          <w:szCs w:val="22"/>
        </w:rPr>
        <w:t>, 202</w:t>
      </w:r>
      <w:r w:rsidR="003A5C92">
        <w:rPr>
          <w:sz w:val="22"/>
          <w:szCs w:val="22"/>
        </w:rPr>
        <w:t>4</w:t>
      </w:r>
      <w:r w:rsidRPr="00DA65F2">
        <w:rPr>
          <w:sz w:val="22"/>
          <w:szCs w:val="22"/>
        </w:rPr>
        <w:t>).</w:t>
      </w:r>
    </w:p>
    <w:p w14:paraId="55971F70" w14:textId="77777777" w:rsidR="00AC3DED" w:rsidRPr="00DA65F2" w:rsidRDefault="00AC3DED" w:rsidP="00DA65F2">
      <w:pPr>
        <w:spacing w:before="240" w:after="240"/>
        <w:jc w:val="both"/>
        <w:rPr>
          <w:b/>
          <w:bCs/>
          <w:sz w:val="25"/>
          <w:szCs w:val="25"/>
        </w:rPr>
      </w:pPr>
      <w:r w:rsidRPr="00DA65F2">
        <w:rPr>
          <w:b/>
          <w:bCs/>
          <w:sz w:val="25"/>
          <w:szCs w:val="25"/>
        </w:rPr>
        <w:t>2.2. Professional Transformation and Computational Logic</w:t>
      </w:r>
    </w:p>
    <w:p w14:paraId="219DFDBB" w14:textId="77777777" w:rsidR="00AC3DED" w:rsidRPr="00DA65F2" w:rsidRDefault="00AC3DED" w:rsidP="00DA65F2">
      <w:pPr>
        <w:spacing w:before="240" w:after="240"/>
        <w:jc w:val="both"/>
        <w:rPr>
          <w:sz w:val="22"/>
          <w:szCs w:val="22"/>
        </w:rPr>
      </w:pPr>
      <w:r w:rsidRPr="00DA65F2">
        <w:rPr>
          <w:sz w:val="22"/>
          <w:szCs w:val="22"/>
        </w:rPr>
        <w:t>The integration of computational logic into professional practice represents what Abbott (1988) would term a "jurisdictional challenge"—a fundamental disruption to the system of professional control over abstract knowledge. In the legal context, this challenge is particularly acute because legal reasoning has historically been presented as irreducibly human, requiring contextual understanding, ethical judgment, and rhetorical skill that resist algorithmic formalization (Hildebrandt, 2018).</w:t>
      </w:r>
    </w:p>
    <w:p w14:paraId="451BBF68" w14:textId="77777777" w:rsidR="00AC3DED" w:rsidRPr="00DA65F2" w:rsidRDefault="00AC3DED" w:rsidP="00DA65F2">
      <w:pPr>
        <w:spacing w:before="240" w:after="240"/>
        <w:jc w:val="both"/>
        <w:rPr>
          <w:sz w:val="22"/>
          <w:szCs w:val="22"/>
        </w:rPr>
      </w:pPr>
      <w:r w:rsidRPr="00DA65F2">
        <w:rPr>
          <w:sz w:val="22"/>
          <w:szCs w:val="22"/>
        </w:rPr>
        <w:t xml:space="preserve">Yet empirical observation reveals that legal professionals are not simply resisting computational encroachment but are actively participating in what Susskind (2017) describes as "decomposition and recombination"—breaking down legal work into component tasks, identifying which can be </w:t>
      </w:r>
      <w:proofErr w:type="spellStart"/>
      <w:r w:rsidRPr="00DA65F2">
        <w:rPr>
          <w:sz w:val="22"/>
          <w:szCs w:val="22"/>
        </w:rPr>
        <w:t>computationalized</w:t>
      </w:r>
      <w:proofErr w:type="spellEnd"/>
      <w:r w:rsidRPr="00DA65F2">
        <w:rPr>
          <w:sz w:val="22"/>
          <w:szCs w:val="22"/>
        </w:rPr>
        <w:t>, and recombining them in new configurations that blend human and machine capabilities. This process, however, is not neutral or equally accessible. As documented by Pasquale (2015), the ability to decompose and recompose professional work through computational means requires significant technical capital that is unevenly distributed across the profession.</w:t>
      </w:r>
    </w:p>
    <w:p w14:paraId="548AD5C4" w14:textId="77777777" w:rsidR="00AC3DED" w:rsidRPr="00DA65F2" w:rsidRDefault="00AC3DED" w:rsidP="00DA65F2">
      <w:pPr>
        <w:spacing w:before="240" w:after="240"/>
        <w:jc w:val="both"/>
        <w:rPr>
          <w:sz w:val="22"/>
          <w:szCs w:val="22"/>
        </w:rPr>
      </w:pPr>
      <w:r w:rsidRPr="00DA65F2">
        <w:rPr>
          <w:sz w:val="22"/>
          <w:szCs w:val="22"/>
        </w:rPr>
        <w:t xml:space="preserve">The concept of "hybrid professionalism" introduced by </w:t>
      </w:r>
      <w:proofErr w:type="spellStart"/>
      <w:r w:rsidRPr="00DA65F2">
        <w:rPr>
          <w:sz w:val="22"/>
          <w:szCs w:val="22"/>
        </w:rPr>
        <w:t>Noordegraaf</w:t>
      </w:r>
      <w:proofErr w:type="spellEnd"/>
      <w:r w:rsidRPr="00DA65F2">
        <w:rPr>
          <w:sz w:val="22"/>
          <w:szCs w:val="22"/>
        </w:rPr>
        <w:t xml:space="preserve"> (2015) provides a framework for understanding how legal professionals navigate this transformation. Rather than maintaining pure professional logic or fully embracing managerial/technical logic, practitioners develop hybrid identities that selectively incorporate computational approaches while maintaining claims to professional distinctiveness. This hybridization, we argue, is not merely adaptive but constitutive of the emerging ALI Society.</w:t>
      </w:r>
    </w:p>
    <w:p w14:paraId="6D37AA00" w14:textId="77777777" w:rsidR="00AC3DED" w:rsidRPr="00DA65F2" w:rsidRDefault="00AC3DED" w:rsidP="00DA65F2">
      <w:pPr>
        <w:spacing w:before="240" w:after="240"/>
        <w:jc w:val="both"/>
        <w:rPr>
          <w:b/>
          <w:bCs/>
          <w:sz w:val="25"/>
          <w:szCs w:val="25"/>
        </w:rPr>
      </w:pPr>
      <w:r w:rsidRPr="00DA65F2">
        <w:rPr>
          <w:b/>
          <w:bCs/>
          <w:sz w:val="25"/>
          <w:szCs w:val="25"/>
        </w:rPr>
        <w:t>2.3. The Sociology of Artificial Legal Intelligence</w:t>
      </w:r>
    </w:p>
    <w:p w14:paraId="0B81AE20" w14:textId="77777777" w:rsidR="00AC3DED" w:rsidRPr="00DA65F2" w:rsidRDefault="00AC3DED" w:rsidP="00DA65F2">
      <w:pPr>
        <w:spacing w:before="240" w:after="240"/>
        <w:jc w:val="both"/>
        <w:rPr>
          <w:sz w:val="22"/>
          <w:szCs w:val="22"/>
        </w:rPr>
      </w:pPr>
      <w:r w:rsidRPr="00DA65F2">
        <w:rPr>
          <w:sz w:val="22"/>
          <w:szCs w:val="22"/>
        </w:rPr>
        <w:t>The sociological dimensions of artificial intelligence adoption in law have received increasing attention as the gap between technical capabilities and practical deployment has become apparent. Flood (2019) identifies three sociological factors shaping legal AI adoption: professional identity preservation, client relationship management, and regulatory uncertainty navigation. Each of these factors operates differently across market segments, creating divergent adoption patterns that reinforce existing stratification.</w:t>
      </w:r>
    </w:p>
    <w:p w14:paraId="0901B94D" w14:textId="77777777" w:rsidR="00AC3DED" w:rsidRPr="00DA65F2" w:rsidRDefault="00AC3DED" w:rsidP="00DA65F2">
      <w:pPr>
        <w:spacing w:before="240" w:after="240"/>
        <w:jc w:val="both"/>
        <w:rPr>
          <w:sz w:val="22"/>
          <w:szCs w:val="22"/>
        </w:rPr>
      </w:pPr>
      <w:r w:rsidRPr="00DA65F2">
        <w:rPr>
          <w:sz w:val="22"/>
          <w:szCs w:val="22"/>
        </w:rPr>
        <w:t xml:space="preserve">Critical scholarship has highlighted how AI adoption in law reproduces and potentially amplifies existing inequalities. </w:t>
      </w:r>
      <w:proofErr w:type="spellStart"/>
      <w:r w:rsidRPr="00DA65F2">
        <w:rPr>
          <w:sz w:val="22"/>
          <w:szCs w:val="22"/>
        </w:rPr>
        <w:t>Katsh</w:t>
      </w:r>
      <w:proofErr w:type="spellEnd"/>
      <w:r w:rsidRPr="00DA65F2">
        <w:rPr>
          <w:sz w:val="22"/>
          <w:szCs w:val="22"/>
        </w:rPr>
        <w:t xml:space="preserve"> and Rabinovich-</w:t>
      </w:r>
      <w:proofErr w:type="spellStart"/>
      <w:r w:rsidRPr="00DA65F2">
        <w:rPr>
          <w:sz w:val="22"/>
          <w:szCs w:val="22"/>
        </w:rPr>
        <w:t>Einy</w:t>
      </w:r>
      <w:proofErr w:type="spellEnd"/>
      <w:r w:rsidRPr="00DA65F2">
        <w:rPr>
          <w:sz w:val="22"/>
          <w:szCs w:val="22"/>
        </w:rPr>
        <w:t xml:space="preserve"> (2017) demonstrate how digital legal platforms, despite promises of democratization, often create new barriers through technical complexity, data requirements, and algorithmic opacity. Similarly, Remus and Levy (2017) show how AI tools marketed as "democratizing" legal services </w:t>
      </w:r>
      <w:proofErr w:type="gramStart"/>
      <w:r w:rsidRPr="00DA65F2">
        <w:rPr>
          <w:sz w:val="22"/>
          <w:szCs w:val="22"/>
        </w:rPr>
        <w:t>actually concentrate</w:t>
      </w:r>
      <w:proofErr w:type="gramEnd"/>
      <w:r w:rsidRPr="00DA65F2">
        <w:rPr>
          <w:sz w:val="22"/>
          <w:szCs w:val="22"/>
        </w:rPr>
        <w:t xml:space="preserve"> power among providers with sufficient scale to develop and deploy sophisticated systems.</w:t>
      </w:r>
    </w:p>
    <w:p w14:paraId="01BFE130" w14:textId="20DB4D95" w:rsidR="00FB3116" w:rsidRPr="00DA65F2" w:rsidRDefault="00AC3DED" w:rsidP="00DA65F2">
      <w:pPr>
        <w:spacing w:before="240" w:after="240"/>
        <w:jc w:val="both"/>
        <w:rPr>
          <w:sz w:val="22"/>
          <w:szCs w:val="22"/>
        </w:rPr>
      </w:pPr>
      <w:r w:rsidRPr="00DA65F2">
        <w:rPr>
          <w:sz w:val="22"/>
          <w:szCs w:val="22"/>
        </w:rPr>
        <w:t>The formation of what Castells (2015) terms "network society" provides a broader context for understanding the ALI phenomenon. Legal practice increasingly operates within digital networks where power derives not from position in formal hierarchies but from position in information flows. The ALI Society can be understood as an attempt to control these flows through technical architecture, professional credentialing, and regulatory capture.</w:t>
      </w:r>
    </w:p>
    <w:p w14:paraId="54605A14" w14:textId="1B206404" w:rsidR="005A1675" w:rsidRPr="00DA65F2" w:rsidRDefault="005A1675" w:rsidP="00DA65F2">
      <w:pPr>
        <w:spacing w:before="240" w:after="240"/>
        <w:jc w:val="both"/>
        <w:rPr>
          <w:b/>
          <w:bCs/>
          <w:szCs w:val="28"/>
        </w:rPr>
      </w:pPr>
      <w:r w:rsidRPr="00DA65F2">
        <w:rPr>
          <w:b/>
          <w:bCs/>
          <w:szCs w:val="28"/>
        </w:rPr>
        <w:lastRenderedPageBreak/>
        <w:t>3</w:t>
      </w:r>
      <w:r w:rsidRPr="00DA65F2">
        <w:rPr>
          <w:b/>
          <w:bCs/>
          <w:szCs w:val="28"/>
        </w:rPr>
        <w:t>. Discussion</w:t>
      </w:r>
    </w:p>
    <w:p w14:paraId="52C814FB" w14:textId="107A872D" w:rsidR="005A1675" w:rsidRPr="00DA65F2" w:rsidRDefault="005A1675" w:rsidP="00DA65F2">
      <w:pPr>
        <w:spacing w:before="240" w:after="240"/>
        <w:jc w:val="both"/>
        <w:rPr>
          <w:b/>
          <w:bCs/>
          <w:sz w:val="25"/>
          <w:szCs w:val="25"/>
        </w:rPr>
      </w:pPr>
      <w:r w:rsidRPr="00DA65F2">
        <w:rPr>
          <w:b/>
          <w:bCs/>
          <w:sz w:val="25"/>
          <w:szCs w:val="25"/>
        </w:rPr>
        <w:t>3</w:t>
      </w:r>
      <w:r w:rsidRPr="00DA65F2">
        <w:rPr>
          <w:b/>
          <w:bCs/>
          <w:sz w:val="25"/>
          <w:szCs w:val="25"/>
        </w:rPr>
        <w:t>.1. Implications for Professional Transformation Theory</w:t>
      </w:r>
    </w:p>
    <w:p w14:paraId="1A8436E4" w14:textId="331B52A5" w:rsidR="005A1675" w:rsidRPr="00DA65F2" w:rsidRDefault="005A1675" w:rsidP="00DA65F2">
      <w:pPr>
        <w:spacing w:before="240" w:after="240"/>
        <w:jc w:val="both"/>
        <w:rPr>
          <w:sz w:val="22"/>
          <w:szCs w:val="22"/>
        </w:rPr>
      </w:pPr>
      <w:r w:rsidRPr="00DA65F2">
        <w:rPr>
          <w:sz w:val="22"/>
          <w:szCs w:val="22"/>
        </w:rPr>
        <w:t>Our findings challenge prevailing theories of professional transformation that assume either displacement (technology replaces professionals) or augmentation (technology enhances professionals). Instead, the ALI Society represents a more complex dynamic we term "selective reconstitution"‚</w:t>
      </w:r>
      <w:r w:rsidRPr="00DA65F2">
        <w:rPr>
          <w:sz w:val="22"/>
          <w:szCs w:val="22"/>
        </w:rPr>
        <w:t xml:space="preserve"> w</w:t>
      </w:r>
      <w:r w:rsidRPr="00DA65F2">
        <w:rPr>
          <w:sz w:val="22"/>
          <w:szCs w:val="22"/>
        </w:rPr>
        <w:t>here professional jurisdiction is neither maintained nor eliminated but rather reconstituted through computational mediation in ways that preserve elite advantage while transforming the nature of professional work.</w:t>
      </w:r>
    </w:p>
    <w:p w14:paraId="2985B993" w14:textId="4D4AB640" w:rsidR="005A1675" w:rsidRPr="00DA65F2" w:rsidRDefault="005A1675" w:rsidP="00DA65F2">
      <w:pPr>
        <w:spacing w:before="240" w:after="240"/>
        <w:jc w:val="both"/>
        <w:rPr>
          <w:sz w:val="22"/>
          <w:szCs w:val="22"/>
        </w:rPr>
      </w:pPr>
      <w:r w:rsidRPr="00DA65F2">
        <w:rPr>
          <w:sz w:val="22"/>
          <w:szCs w:val="22"/>
        </w:rPr>
        <w:t>This selective reconstitution operates through what we identify as "computational enclosure"‚</w:t>
      </w:r>
      <w:r w:rsidRPr="00DA65F2">
        <w:rPr>
          <w:sz w:val="22"/>
          <w:szCs w:val="22"/>
        </w:rPr>
        <w:t xml:space="preserve"> t</w:t>
      </w:r>
      <w:r w:rsidRPr="00DA65F2">
        <w:rPr>
          <w:sz w:val="22"/>
          <w:szCs w:val="22"/>
        </w:rPr>
        <w:t>he process by which previously open professional knowledge becomes enclosed within proprietary computational systems. Legal precedents, statutory interpretations, and practical know-how that once circulated freely within professional networks now become embedded in algorithms, training data, and API calls controlled by platform operators. This enclosure does not eliminate professional expertise but rather changes its form and distribution, creating new hierarchies based on computational access rather than traditional credentials.</w:t>
      </w:r>
    </w:p>
    <w:p w14:paraId="7ED21928" w14:textId="605FA378" w:rsidR="005A1675" w:rsidRPr="00DA65F2" w:rsidRDefault="005A1675" w:rsidP="00DA65F2">
      <w:pPr>
        <w:spacing w:before="240" w:after="240"/>
        <w:jc w:val="both"/>
        <w:rPr>
          <w:sz w:val="22"/>
          <w:szCs w:val="22"/>
        </w:rPr>
      </w:pPr>
      <w:r w:rsidRPr="00DA65F2">
        <w:rPr>
          <w:sz w:val="22"/>
          <w:szCs w:val="22"/>
        </w:rPr>
        <w:t>The implications extend beyond the legal profession to any knowledge-intensive field undergoing computational transformation. The pattern we observe‚</w:t>
      </w:r>
      <w:r w:rsidRPr="00DA65F2">
        <w:rPr>
          <w:sz w:val="22"/>
          <w:szCs w:val="22"/>
        </w:rPr>
        <w:t xml:space="preserve"> </w:t>
      </w:r>
      <w:r w:rsidRPr="00DA65F2">
        <w:rPr>
          <w:sz w:val="22"/>
          <w:szCs w:val="22"/>
        </w:rPr>
        <w:t>where promises of democratization through technology result in new forms of concentration and control‚</w:t>
      </w:r>
      <w:r w:rsidRPr="00DA65F2">
        <w:rPr>
          <w:sz w:val="22"/>
          <w:szCs w:val="22"/>
        </w:rPr>
        <w:t xml:space="preserve"> </w:t>
      </w:r>
      <w:r w:rsidRPr="00DA65F2">
        <w:rPr>
          <w:sz w:val="22"/>
          <w:szCs w:val="22"/>
        </w:rPr>
        <w:t>suggests that professional transformation through AI follows political-economic logics rather than purely technical trajectories. Understanding these logics requires attention to how technical architectures embed professional visions and how economic incentives shape technological development.</w:t>
      </w:r>
    </w:p>
    <w:p w14:paraId="19EB9C83" w14:textId="13F509C7" w:rsidR="005A1675" w:rsidRPr="00DA65F2" w:rsidRDefault="005A1675" w:rsidP="00DA65F2">
      <w:pPr>
        <w:spacing w:before="240" w:after="240"/>
        <w:jc w:val="both"/>
        <w:rPr>
          <w:b/>
          <w:bCs/>
          <w:sz w:val="24"/>
          <w:szCs w:val="24"/>
        </w:rPr>
      </w:pPr>
      <w:r w:rsidRPr="00DA65F2">
        <w:rPr>
          <w:b/>
          <w:bCs/>
          <w:sz w:val="24"/>
          <w:szCs w:val="24"/>
        </w:rPr>
        <w:t>3</w:t>
      </w:r>
      <w:r w:rsidRPr="00DA65F2">
        <w:rPr>
          <w:b/>
          <w:bCs/>
          <w:sz w:val="24"/>
          <w:szCs w:val="24"/>
        </w:rPr>
        <w:t>.2. The Techno-Legal Aristocracy</w:t>
      </w:r>
    </w:p>
    <w:p w14:paraId="730B958B" w14:textId="60F2F9D4" w:rsidR="005A1675" w:rsidRPr="00DA65F2" w:rsidRDefault="005A1675" w:rsidP="00DA65F2">
      <w:pPr>
        <w:spacing w:before="240" w:after="240"/>
        <w:jc w:val="both"/>
        <w:rPr>
          <w:sz w:val="22"/>
          <w:szCs w:val="22"/>
        </w:rPr>
      </w:pPr>
      <w:r w:rsidRPr="00DA65F2">
        <w:rPr>
          <w:sz w:val="22"/>
          <w:szCs w:val="22"/>
        </w:rPr>
        <w:t>Our analysis reveals the emergence of what we term a "techno-legal aristocracy"‚</w:t>
      </w:r>
      <w:r w:rsidRPr="00DA65F2">
        <w:rPr>
          <w:sz w:val="22"/>
          <w:szCs w:val="22"/>
        </w:rPr>
        <w:t xml:space="preserve"> </w:t>
      </w:r>
      <w:r w:rsidRPr="00DA65F2">
        <w:rPr>
          <w:sz w:val="22"/>
          <w:szCs w:val="22"/>
        </w:rPr>
        <w:t>a new elite class that combines traditional legal authority with computational control. This aristocracy differs from traditional legal elites in several crucial respects. First, membership requires hybrid expertise spanning legal and technical domains, creating barriers to entry that exceed those of traditional legal practice. Second, power derives from control over computational infrastructure rather than solely from professional reputation or institutional position. Third, the aristocracy operates through technical standards and platform architectures rather than through formal professional associations or regulatory bodies.</w:t>
      </w:r>
    </w:p>
    <w:p w14:paraId="05A14132" w14:textId="2CE56C29" w:rsidR="005A1675" w:rsidRPr="00DA65F2" w:rsidRDefault="005A1675" w:rsidP="00DA65F2">
      <w:pPr>
        <w:spacing w:before="240" w:after="240"/>
        <w:jc w:val="both"/>
        <w:rPr>
          <w:sz w:val="22"/>
          <w:szCs w:val="22"/>
        </w:rPr>
      </w:pPr>
      <w:r w:rsidRPr="00DA65F2">
        <w:rPr>
          <w:sz w:val="22"/>
          <w:szCs w:val="22"/>
        </w:rPr>
        <w:t xml:space="preserve">The techno-legal aristocracy's power manifests through three mechanisms. </w:t>
      </w:r>
      <w:r w:rsidR="004774EB" w:rsidRPr="00DA65F2">
        <w:rPr>
          <w:sz w:val="22"/>
          <w:szCs w:val="22"/>
        </w:rPr>
        <w:t xml:space="preserve">(1) </w:t>
      </w:r>
      <w:r w:rsidRPr="00DA65F2">
        <w:rPr>
          <w:sz w:val="22"/>
          <w:szCs w:val="22"/>
        </w:rPr>
        <w:t xml:space="preserve">Infrastructural Control involves ownership or privileged access to the computational resources, training data, and platform architectures necessary for legal AI development. </w:t>
      </w:r>
      <w:r w:rsidR="004774EB" w:rsidRPr="00DA65F2">
        <w:rPr>
          <w:sz w:val="22"/>
          <w:szCs w:val="22"/>
        </w:rPr>
        <w:t xml:space="preserve">(2) </w:t>
      </w:r>
      <w:r w:rsidRPr="00DA65F2">
        <w:rPr>
          <w:sz w:val="22"/>
          <w:szCs w:val="22"/>
        </w:rPr>
        <w:t xml:space="preserve">Semantic Authority represents the power to define how legal concepts are translated into computational representations, determining what aspects of legal reasoning are preserved, simplified, or eliminated in the translation process. </w:t>
      </w:r>
      <w:r w:rsidR="004774EB" w:rsidRPr="00DA65F2">
        <w:rPr>
          <w:sz w:val="22"/>
          <w:szCs w:val="22"/>
        </w:rPr>
        <w:t xml:space="preserve">(3) </w:t>
      </w:r>
      <w:r w:rsidRPr="00DA65F2">
        <w:rPr>
          <w:sz w:val="22"/>
          <w:szCs w:val="22"/>
        </w:rPr>
        <w:t>Regulatory Arbitrage exploits the gap between existing professional regulations designed for human practitioners and the novel capabilities of computational systems, allowing the aristocracy to operate in regulatory gray zones while competitors remain bound by traditional restrictions.</w:t>
      </w:r>
    </w:p>
    <w:p w14:paraId="6806DF00" w14:textId="7989EAC0" w:rsidR="005A1675" w:rsidRPr="00DA65F2" w:rsidRDefault="005A1675" w:rsidP="00DA65F2">
      <w:pPr>
        <w:spacing w:before="240" w:after="240"/>
        <w:jc w:val="both"/>
        <w:rPr>
          <w:sz w:val="22"/>
          <w:szCs w:val="22"/>
        </w:rPr>
      </w:pPr>
      <w:r w:rsidRPr="00DA65F2">
        <w:rPr>
          <w:sz w:val="22"/>
          <w:szCs w:val="22"/>
        </w:rPr>
        <w:t>This aristocracy's emergence has significant implications for access to justice and legal system legitimacy. While legal AI platforms promise to democratize legal services, our findings suggest they may instead create a two-tier system where sophisticated computational tools remain accessible only to well-resourced actors while others receive commoditized, lower-quality alternatives</w:t>
      </w:r>
      <w:r w:rsidR="00096BA9" w:rsidRPr="00DA65F2">
        <w:rPr>
          <w:sz w:val="22"/>
          <w:szCs w:val="22"/>
        </w:rPr>
        <w:t xml:space="preserve"> (Allega &amp; Puzio, 2025a)</w:t>
      </w:r>
      <w:r w:rsidRPr="00DA65F2">
        <w:rPr>
          <w:sz w:val="22"/>
          <w:szCs w:val="22"/>
        </w:rPr>
        <w:t xml:space="preserve">. We're seeing the emergence of 'first </w:t>
      </w:r>
      <w:proofErr w:type="spellStart"/>
      <w:r w:rsidRPr="00DA65F2">
        <w:rPr>
          <w:sz w:val="22"/>
          <w:szCs w:val="22"/>
        </w:rPr>
        <w:t>class'</w:t>
      </w:r>
      <w:proofErr w:type="spellEnd"/>
      <w:r w:rsidRPr="00DA65F2">
        <w:rPr>
          <w:sz w:val="22"/>
          <w:szCs w:val="22"/>
        </w:rPr>
        <w:t xml:space="preserve"> and 'economy' justice, where your access to sophisticated legal AI determines your chances of success.</w:t>
      </w:r>
    </w:p>
    <w:p w14:paraId="78AE4EEB" w14:textId="4512E2DD" w:rsidR="005A1675" w:rsidRPr="00DA65F2" w:rsidRDefault="00243A04" w:rsidP="00DA65F2">
      <w:pPr>
        <w:spacing w:before="240" w:after="240"/>
        <w:jc w:val="both"/>
        <w:rPr>
          <w:b/>
          <w:bCs/>
          <w:sz w:val="25"/>
          <w:szCs w:val="25"/>
        </w:rPr>
      </w:pPr>
      <w:r w:rsidRPr="00DA65F2">
        <w:rPr>
          <w:b/>
          <w:bCs/>
          <w:sz w:val="25"/>
          <w:szCs w:val="25"/>
        </w:rPr>
        <w:lastRenderedPageBreak/>
        <w:t>3</w:t>
      </w:r>
      <w:r w:rsidR="005A1675" w:rsidRPr="00DA65F2">
        <w:rPr>
          <w:b/>
          <w:bCs/>
          <w:sz w:val="25"/>
          <w:szCs w:val="25"/>
        </w:rPr>
        <w:t>.3. The Platform Paradox</w:t>
      </w:r>
    </w:p>
    <w:p w14:paraId="47F41E8C" w14:textId="74508B91" w:rsidR="005A1675" w:rsidRPr="00DA65F2" w:rsidRDefault="005A1675" w:rsidP="00DA65F2">
      <w:pPr>
        <w:spacing w:before="240" w:after="240"/>
        <w:jc w:val="both"/>
        <w:rPr>
          <w:sz w:val="22"/>
          <w:szCs w:val="22"/>
        </w:rPr>
      </w:pPr>
      <w:r w:rsidRPr="00DA65F2">
        <w:rPr>
          <w:sz w:val="22"/>
          <w:szCs w:val="22"/>
        </w:rPr>
        <w:t>The ALI Society embodies what we identify as a fundamental "platform paradox"‚</w:t>
      </w:r>
      <w:r w:rsidRPr="00DA65F2">
        <w:rPr>
          <w:sz w:val="22"/>
          <w:szCs w:val="22"/>
        </w:rPr>
        <w:t xml:space="preserve"> </w:t>
      </w:r>
      <w:r w:rsidRPr="00DA65F2">
        <w:rPr>
          <w:sz w:val="22"/>
          <w:szCs w:val="22"/>
        </w:rPr>
        <w:t>the simultaneous pursuit of openness and control, standardization and differentiation, collaboration and competition. This paradox manifests in the tension between platforms' need for network effects (requiring openness and participation) and their need for value capture (requiring exclusivity and control).</w:t>
      </w:r>
    </w:p>
    <w:p w14:paraId="15652618" w14:textId="05B38D9B" w:rsidR="005A1675" w:rsidRPr="00DA65F2" w:rsidRDefault="005A1675" w:rsidP="00DA65F2">
      <w:pPr>
        <w:spacing w:before="240" w:after="240"/>
        <w:jc w:val="both"/>
        <w:rPr>
          <w:sz w:val="22"/>
          <w:szCs w:val="22"/>
        </w:rPr>
      </w:pPr>
      <w:r w:rsidRPr="00DA65F2">
        <w:rPr>
          <w:sz w:val="22"/>
          <w:szCs w:val="22"/>
        </w:rPr>
        <w:t>We observe three strategies platforms employ to navigate this paradox. Selective Openness involves making certain layers of the platform stack open while maintaining proprietary control over others. For example, a platform might open-source its legal ontology while keeping its reasoning engine proprietary, creating an appearance of openness while maintaining competitive advantage. Temporal Sequencing starts with open, participatory approaches to build network effects, then gradually introduces restrictions and value extraction mechanisms once network effects create lock-in. Functional Segmentation maintains openness in commoditized functions while restricting access to high-value capabilities, creating a hierarchy of access that maps onto ability to pay.</w:t>
      </w:r>
    </w:p>
    <w:p w14:paraId="2D7350D7" w14:textId="1CF7D71A" w:rsidR="005A1675" w:rsidRPr="00DA65F2" w:rsidRDefault="005A1675" w:rsidP="00DA65F2">
      <w:pPr>
        <w:spacing w:before="240" w:after="240"/>
        <w:jc w:val="both"/>
        <w:rPr>
          <w:sz w:val="22"/>
          <w:szCs w:val="22"/>
        </w:rPr>
      </w:pPr>
      <w:r w:rsidRPr="00DA65F2">
        <w:rPr>
          <w:sz w:val="22"/>
          <w:szCs w:val="22"/>
        </w:rPr>
        <w:t>These strategies have collective effects that shape the ALI Society's evolution. Rather than converging toward either full openness or complete closure, the ecosystem exhibits what we term "dynamic tension equilibrium"‚</w:t>
      </w:r>
      <w:r w:rsidR="00243A04" w:rsidRPr="00DA65F2">
        <w:rPr>
          <w:sz w:val="22"/>
          <w:szCs w:val="22"/>
        </w:rPr>
        <w:t xml:space="preserve"> </w:t>
      </w:r>
      <w:r w:rsidRPr="00DA65F2">
        <w:rPr>
          <w:sz w:val="22"/>
          <w:szCs w:val="22"/>
        </w:rPr>
        <w:t>a state where forces pushing toward openness and closure remain in constant tension, creating an unstable but persistent configuration. This equilibrium is maintained through continuous negotiation among stakeholders, with temporary victories for openness or closure quickly countered by opposing moves.</w:t>
      </w:r>
    </w:p>
    <w:p w14:paraId="2985770F" w14:textId="1514273E" w:rsidR="005A1675" w:rsidRPr="00DA65F2" w:rsidRDefault="00243A04" w:rsidP="00DA65F2">
      <w:pPr>
        <w:spacing w:before="240" w:after="240"/>
        <w:jc w:val="both"/>
        <w:rPr>
          <w:b/>
          <w:bCs/>
          <w:sz w:val="25"/>
          <w:szCs w:val="25"/>
        </w:rPr>
      </w:pPr>
      <w:r w:rsidRPr="00DA65F2">
        <w:rPr>
          <w:b/>
          <w:bCs/>
          <w:sz w:val="25"/>
          <w:szCs w:val="25"/>
        </w:rPr>
        <w:t>3</w:t>
      </w:r>
      <w:r w:rsidR="005A1675" w:rsidRPr="00DA65F2">
        <w:rPr>
          <w:b/>
          <w:bCs/>
          <w:sz w:val="25"/>
          <w:szCs w:val="25"/>
        </w:rPr>
        <w:t>.4. Alternative Futures and Critical Possibilities</w:t>
      </w:r>
    </w:p>
    <w:p w14:paraId="14CD9C26" w14:textId="7BE8552F" w:rsidR="005A1675" w:rsidRPr="00DA65F2" w:rsidRDefault="005A1675" w:rsidP="00DA65F2">
      <w:pPr>
        <w:spacing w:before="240" w:after="240"/>
        <w:jc w:val="both"/>
        <w:rPr>
          <w:sz w:val="22"/>
          <w:szCs w:val="22"/>
        </w:rPr>
      </w:pPr>
      <w:r w:rsidRPr="00DA65F2">
        <w:rPr>
          <w:sz w:val="22"/>
          <w:szCs w:val="22"/>
        </w:rPr>
        <w:t>While our analysis documents concerning patterns of concentration and exclusion within the emerging ALI Society, we also identify seeds of alternative possibilities that could lead toward more equitable and democratically accountable forms of legal computation. These alternatives emerge not from top-down design but from grassroots initiatives, critical interventions, and unexpected appropriations of computational legal tools.</w:t>
      </w:r>
    </w:p>
    <w:p w14:paraId="532BB072" w14:textId="0061DBEE" w:rsidR="005A1675" w:rsidRPr="00DA65F2" w:rsidRDefault="005A1675" w:rsidP="00DA65F2">
      <w:pPr>
        <w:spacing w:before="240" w:after="240"/>
        <w:jc w:val="both"/>
        <w:rPr>
          <w:sz w:val="22"/>
          <w:szCs w:val="22"/>
        </w:rPr>
      </w:pPr>
      <w:r w:rsidRPr="00DA65F2">
        <w:rPr>
          <w:sz w:val="22"/>
          <w:szCs w:val="22"/>
        </w:rPr>
        <w:t xml:space="preserve">The concept of "critical legal computation" emerged during our research as practitioners and scholars began questioning not just how to compute law but whether and why law should be computed. This critical perspective examines how computational representation changes legal meaning, whose interests are served by </w:t>
      </w:r>
      <w:proofErr w:type="gramStart"/>
      <w:r w:rsidRPr="00DA65F2">
        <w:rPr>
          <w:sz w:val="22"/>
          <w:szCs w:val="22"/>
        </w:rPr>
        <w:t>particular forms</w:t>
      </w:r>
      <w:proofErr w:type="gramEnd"/>
      <w:r w:rsidRPr="00DA65F2">
        <w:rPr>
          <w:sz w:val="22"/>
          <w:szCs w:val="22"/>
        </w:rPr>
        <w:t xml:space="preserve"> of computation, and what alternatives might exist to dominant approaches. We need to ask not just 'can we compute this legal process?' but 'what happens to justice when we do?'</w:t>
      </w:r>
    </w:p>
    <w:p w14:paraId="4396BED4" w14:textId="1FFB2750" w:rsidR="005A1675" w:rsidRPr="00DA65F2" w:rsidRDefault="00243A04" w:rsidP="00DA65F2">
      <w:pPr>
        <w:spacing w:before="240" w:after="240"/>
        <w:jc w:val="both"/>
        <w:rPr>
          <w:b/>
          <w:bCs/>
          <w:szCs w:val="28"/>
        </w:rPr>
      </w:pPr>
      <w:r w:rsidRPr="00DA65F2">
        <w:rPr>
          <w:b/>
          <w:bCs/>
          <w:szCs w:val="28"/>
        </w:rPr>
        <w:t>4</w:t>
      </w:r>
      <w:r w:rsidR="005A1675" w:rsidRPr="00DA65F2">
        <w:rPr>
          <w:b/>
          <w:bCs/>
          <w:szCs w:val="28"/>
        </w:rPr>
        <w:t>. Conclusions</w:t>
      </w:r>
    </w:p>
    <w:p w14:paraId="39D0FC34" w14:textId="3FC8B627" w:rsidR="005A1675" w:rsidRPr="00DA65F2" w:rsidRDefault="005A1675" w:rsidP="00DA65F2">
      <w:pPr>
        <w:spacing w:before="240" w:after="240"/>
        <w:jc w:val="both"/>
        <w:rPr>
          <w:sz w:val="22"/>
          <w:szCs w:val="22"/>
        </w:rPr>
      </w:pPr>
      <w:r w:rsidRPr="00DA65F2">
        <w:rPr>
          <w:sz w:val="22"/>
          <w:szCs w:val="22"/>
        </w:rPr>
        <w:t>The emergence of the Artificial Legal Intelligence Society represents neither the triumphant democratization of legal services nor the dystopian replacement of human judgment with algorithmic decision-making. Instead, our empirical investigation reveals a complex process of professional reconstitution where computational mediation creates new forms of stratification, control, and possibility within the legal field. The ALI Society operates as a multi-sided platform that exhibits characteristics of both openness and closure, creating what we have termed "selective permeability" that allows certain flows while restricting others.</w:t>
      </w:r>
    </w:p>
    <w:p w14:paraId="32790642" w14:textId="2ECB13F0" w:rsidR="005A1675" w:rsidRPr="00DA65F2" w:rsidRDefault="005A1675" w:rsidP="00DA65F2">
      <w:pPr>
        <w:spacing w:before="240" w:after="240"/>
        <w:jc w:val="both"/>
        <w:rPr>
          <w:sz w:val="22"/>
          <w:szCs w:val="22"/>
        </w:rPr>
      </w:pPr>
      <w:r w:rsidRPr="00DA65F2">
        <w:rPr>
          <w:sz w:val="22"/>
          <w:szCs w:val="22"/>
        </w:rPr>
        <w:t xml:space="preserve">Our findings contribute to theoretical understanding of professional transformation in three ways. First, we demonstrate that computational integration into professional practice involves not simply the adoption of new tools but the fundamental reconstitution of professional jurisdiction </w:t>
      </w:r>
      <w:r w:rsidRPr="00DA65F2">
        <w:rPr>
          <w:sz w:val="22"/>
          <w:szCs w:val="22"/>
        </w:rPr>
        <w:lastRenderedPageBreak/>
        <w:t>through technical architectures. Second, we identify the emergence of a "techno-legal aristocracy" that derives power from hybrid expertise and infrastructural control rather than traditional professional authority. Third, we document how platform dynamics in professional services create paradoxes that resist resolution, maintaining dynamic tension between competing logics rather than converging toward stable configurations.</w:t>
      </w:r>
    </w:p>
    <w:p w14:paraId="43C30732" w14:textId="51F13D57" w:rsidR="005A1675" w:rsidRPr="00DA65F2" w:rsidRDefault="005A1675" w:rsidP="00DA65F2">
      <w:pPr>
        <w:spacing w:before="240" w:after="240"/>
        <w:jc w:val="both"/>
        <w:rPr>
          <w:sz w:val="22"/>
          <w:szCs w:val="22"/>
        </w:rPr>
      </w:pPr>
      <w:r w:rsidRPr="00DA65F2">
        <w:rPr>
          <w:sz w:val="22"/>
          <w:szCs w:val="22"/>
        </w:rPr>
        <w:t>The practical implications of our analysis are significant for multiple stakeholder groups. Legal professionals must recognize that the ALI Society is not a neutral technical development but a political-economic transformation that will reshape professional opportunities and constraints. Regulators need to understand how existing frameworks designed for human practitioners may be inadequate or counterproductive when applied to computational systems. Technology developers should acknowledge their role in shaping not just technical capabilities but professional futures and access to just</w:t>
      </w:r>
      <w:r w:rsidRPr="00DA65F2">
        <w:rPr>
          <w:sz w:val="22"/>
          <w:szCs w:val="22"/>
        </w:rPr>
        <w:t>i</w:t>
      </w:r>
      <w:r w:rsidRPr="00DA65F2">
        <w:rPr>
          <w:sz w:val="22"/>
          <w:szCs w:val="22"/>
        </w:rPr>
        <w:t>ce.</w:t>
      </w:r>
    </w:p>
    <w:p w14:paraId="6208754C" w14:textId="6187EA15" w:rsidR="005A1675" w:rsidRPr="00DA65F2" w:rsidRDefault="005A1675" w:rsidP="00DA65F2">
      <w:pPr>
        <w:spacing w:before="240" w:after="240"/>
        <w:jc w:val="both"/>
        <w:rPr>
          <w:sz w:val="22"/>
          <w:szCs w:val="22"/>
        </w:rPr>
      </w:pPr>
      <w:r w:rsidRPr="00DA65F2">
        <w:rPr>
          <w:sz w:val="22"/>
          <w:szCs w:val="22"/>
        </w:rPr>
        <w:t>Future research should examine how the patterns we identify in the legal profession manifest in other knowledge-intensive fields undergoing computational transformation. Comparative analysis across jurisdictions with different legal traditions and regulatory frameworks could reveal whether the ALI Society represents a universal pattern or a specific configuration shaped by Anglo-American legal culture. Longitudinal studies tracking the career trajectories of legal professionals navigating the computational transition could provide insights into how individual agency interacts with structural transformation.</w:t>
      </w:r>
    </w:p>
    <w:p w14:paraId="1182CAF9" w14:textId="6EC6682A" w:rsidR="005A1675" w:rsidRPr="00DA65F2" w:rsidRDefault="005A1675" w:rsidP="00DA65F2">
      <w:pPr>
        <w:spacing w:before="240" w:after="240"/>
        <w:jc w:val="both"/>
        <w:rPr>
          <w:sz w:val="22"/>
          <w:szCs w:val="22"/>
        </w:rPr>
      </w:pPr>
      <w:r w:rsidRPr="00DA65F2">
        <w:rPr>
          <w:sz w:val="22"/>
          <w:szCs w:val="22"/>
        </w:rPr>
        <w:t>The ALI Society stands at a critical juncture where its future trajectory remains undetermined. While current patterns suggest movement toward greater concentration and exclusion, alternative possibilities remain viable if actively pursued. The challenge for legal professionals, policymakers, and citizens is to recognize that the future of legal AI is not technologically determined but socially constructed through the choices made today about platform architectures, governance structures, and professional values. The emergence of the ALI Society thus represents not an endpoint but an opening‚</w:t>
      </w:r>
      <w:r w:rsidR="00243A04" w:rsidRPr="00DA65F2">
        <w:rPr>
          <w:sz w:val="22"/>
          <w:szCs w:val="22"/>
        </w:rPr>
        <w:t xml:space="preserve"> </w:t>
      </w:r>
      <w:r w:rsidRPr="00DA65F2">
        <w:rPr>
          <w:sz w:val="22"/>
          <w:szCs w:val="22"/>
        </w:rPr>
        <w:t>a moment where fundamental questions about law, technology, and society are being renegotiated through computational means.</w:t>
      </w:r>
    </w:p>
    <w:p w14:paraId="6F8D6B07" w14:textId="54236ECC" w:rsidR="00CD4E68" w:rsidRPr="00DA65F2" w:rsidRDefault="005A1675" w:rsidP="00DA65F2">
      <w:pPr>
        <w:spacing w:before="240" w:after="240"/>
        <w:jc w:val="both"/>
        <w:rPr>
          <w:b/>
          <w:bCs/>
          <w:szCs w:val="28"/>
        </w:rPr>
      </w:pPr>
      <w:r w:rsidRPr="00DA65F2">
        <w:rPr>
          <w:b/>
          <w:bCs/>
          <w:szCs w:val="28"/>
        </w:rPr>
        <w:t>References</w:t>
      </w:r>
    </w:p>
    <w:p w14:paraId="13B7C45B" w14:textId="77777777"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rPr>
        <w:t xml:space="preserve">Abbott, A. (1988). </w:t>
      </w:r>
      <w:r w:rsidRPr="00DA65F2">
        <w:rPr>
          <w:rFonts w:ascii="Times New Roman" w:hAnsi="Times New Roman"/>
          <w:i/>
          <w:iCs/>
          <w:szCs w:val="16"/>
        </w:rPr>
        <w:t>The system of professions: An essay on the division of expert labor</w:t>
      </w:r>
      <w:r w:rsidRPr="00DA65F2">
        <w:rPr>
          <w:rFonts w:ascii="Times New Roman" w:hAnsi="Times New Roman"/>
          <w:szCs w:val="16"/>
        </w:rPr>
        <w:t xml:space="preserve">. University of Chicago Press. </w:t>
      </w:r>
      <w:hyperlink r:id="rId13" w:tgtFrame="_new" w:history="1">
        <w:r w:rsidRPr="00DA65F2">
          <w:rPr>
            <w:rStyle w:val="Hyperlink"/>
            <w:rFonts w:ascii="Times New Roman" w:hAnsi="Times New Roman"/>
            <w:szCs w:val="16"/>
          </w:rPr>
          <w:t>https://doi.org/10.7208/chicago/9780226189666.001.0001</w:t>
        </w:r>
      </w:hyperlink>
    </w:p>
    <w:p w14:paraId="0BF48E36" w14:textId="73FF6610"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rPr>
        <w:t xml:space="preserve">Allega, D. (2025). The artificial legal intelligence society as an open, multi-sided platform for law-as-computation. In M. Panait, I. Rădulescu, B. </w:t>
      </w:r>
      <w:proofErr w:type="spellStart"/>
      <w:r w:rsidRPr="00DA65F2">
        <w:rPr>
          <w:rFonts w:ascii="Times New Roman" w:hAnsi="Times New Roman"/>
          <w:szCs w:val="16"/>
        </w:rPr>
        <w:t>Tudorică</w:t>
      </w:r>
      <w:proofErr w:type="spellEnd"/>
      <w:r w:rsidRPr="00DA65F2">
        <w:rPr>
          <w:rFonts w:ascii="Times New Roman" w:hAnsi="Times New Roman"/>
          <w:szCs w:val="16"/>
        </w:rPr>
        <w:t xml:space="preserve">, C. Popescu, &amp; M. Cătălin Voica (Eds.), </w:t>
      </w:r>
      <w:r w:rsidRPr="00DA65F2">
        <w:rPr>
          <w:rFonts w:ascii="Times New Roman" w:hAnsi="Times New Roman"/>
          <w:i/>
          <w:iCs/>
          <w:szCs w:val="16"/>
        </w:rPr>
        <w:t>Creativity and Innovation in Digital Economy: Book of Abstracts</w:t>
      </w:r>
      <w:r w:rsidRPr="00DA65F2">
        <w:rPr>
          <w:rFonts w:ascii="Times New Roman" w:hAnsi="Times New Roman"/>
          <w:szCs w:val="16"/>
        </w:rPr>
        <w:t xml:space="preserve"> (pp. 136–138). Petroleum-Gas University of </w:t>
      </w:r>
      <w:proofErr w:type="spellStart"/>
      <w:r w:rsidRPr="00DA65F2">
        <w:rPr>
          <w:rFonts w:ascii="Times New Roman" w:hAnsi="Times New Roman"/>
          <w:szCs w:val="16"/>
        </w:rPr>
        <w:t>Ploiești</w:t>
      </w:r>
      <w:proofErr w:type="spellEnd"/>
      <w:r w:rsidRPr="00DA65F2">
        <w:rPr>
          <w:rFonts w:ascii="Times New Roman" w:hAnsi="Times New Roman"/>
          <w:szCs w:val="16"/>
        </w:rPr>
        <w:t xml:space="preserve"> Publishing House.</w:t>
      </w:r>
      <w:r w:rsidR="007268AF" w:rsidRPr="00DA65F2">
        <w:rPr>
          <w:rFonts w:ascii="Times New Roman" w:hAnsi="Times New Roman"/>
          <w:szCs w:val="16"/>
        </w:rPr>
        <w:t xml:space="preserve"> </w:t>
      </w:r>
      <w:r w:rsidR="007268AF" w:rsidRPr="00DA65F2">
        <w:rPr>
          <w:rFonts w:ascii="Times New Roman" w:hAnsi="Times New Roman"/>
          <w:color w:val="000000"/>
        </w:rPr>
        <w:t>ISSN: 2971-9798</w:t>
      </w:r>
    </w:p>
    <w:p w14:paraId="4000551B" w14:textId="1FDEE6E8"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rPr>
        <w:t xml:space="preserve">Allega, D., &amp; Puzio, G. (2025a). The knowledge commoditization paradox: Theoretical and practical challenges of AI-driven value extraction in information-intensive organizations. In M. Panait, I. Rădulescu, B. </w:t>
      </w:r>
      <w:proofErr w:type="spellStart"/>
      <w:r w:rsidRPr="00DA65F2">
        <w:rPr>
          <w:rFonts w:ascii="Times New Roman" w:hAnsi="Times New Roman"/>
          <w:szCs w:val="16"/>
        </w:rPr>
        <w:t>Tudorică</w:t>
      </w:r>
      <w:proofErr w:type="spellEnd"/>
      <w:r w:rsidRPr="00DA65F2">
        <w:rPr>
          <w:rFonts w:ascii="Times New Roman" w:hAnsi="Times New Roman"/>
          <w:szCs w:val="16"/>
        </w:rPr>
        <w:t xml:space="preserve">, C. Popescu, &amp; M. Cătălin Voica (Eds.), </w:t>
      </w:r>
      <w:r w:rsidRPr="00DA65F2">
        <w:rPr>
          <w:rFonts w:ascii="Times New Roman" w:hAnsi="Times New Roman"/>
          <w:i/>
          <w:iCs/>
          <w:szCs w:val="16"/>
        </w:rPr>
        <w:t>Creativity and Innovation in Digital Economy: Book of Abstracts</w:t>
      </w:r>
      <w:r w:rsidRPr="00DA65F2">
        <w:rPr>
          <w:rFonts w:ascii="Times New Roman" w:hAnsi="Times New Roman"/>
          <w:szCs w:val="16"/>
        </w:rPr>
        <w:t xml:space="preserve"> (pp. 66–68). Petroleum-Gas University of </w:t>
      </w:r>
      <w:proofErr w:type="spellStart"/>
      <w:r w:rsidRPr="00DA65F2">
        <w:rPr>
          <w:rFonts w:ascii="Times New Roman" w:hAnsi="Times New Roman"/>
          <w:szCs w:val="16"/>
        </w:rPr>
        <w:t>Ploiești</w:t>
      </w:r>
      <w:proofErr w:type="spellEnd"/>
      <w:r w:rsidRPr="00DA65F2">
        <w:rPr>
          <w:rFonts w:ascii="Times New Roman" w:hAnsi="Times New Roman"/>
          <w:szCs w:val="16"/>
        </w:rPr>
        <w:t xml:space="preserve"> Publishing House.</w:t>
      </w:r>
      <w:r w:rsidR="007268AF" w:rsidRPr="00DA65F2">
        <w:rPr>
          <w:rFonts w:ascii="Times New Roman" w:hAnsi="Times New Roman"/>
          <w:szCs w:val="16"/>
        </w:rPr>
        <w:t xml:space="preserve"> </w:t>
      </w:r>
      <w:r w:rsidR="007268AF" w:rsidRPr="00DA65F2">
        <w:rPr>
          <w:rFonts w:ascii="Times New Roman" w:hAnsi="Times New Roman"/>
          <w:color w:val="000000"/>
        </w:rPr>
        <w:t>ISSN: 2971-9798</w:t>
      </w:r>
    </w:p>
    <w:p w14:paraId="67CDBC15" w14:textId="380DA7B3"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rPr>
        <w:t xml:space="preserve">Allega, D., &amp; Puzio, G. (2025b). MERL-T: A multi-expert architecture for trustworthy artificial legal intelligence. In M. Panait, I. Rădulescu, B. </w:t>
      </w:r>
      <w:proofErr w:type="spellStart"/>
      <w:r w:rsidRPr="00DA65F2">
        <w:rPr>
          <w:rFonts w:ascii="Times New Roman" w:hAnsi="Times New Roman"/>
          <w:szCs w:val="16"/>
        </w:rPr>
        <w:t>Tudorică</w:t>
      </w:r>
      <w:proofErr w:type="spellEnd"/>
      <w:r w:rsidRPr="00DA65F2">
        <w:rPr>
          <w:rFonts w:ascii="Times New Roman" w:hAnsi="Times New Roman"/>
          <w:szCs w:val="16"/>
        </w:rPr>
        <w:t xml:space="preserve">, C. Popescu, &amp; M. Cătălin Voica (Eds.), </w:t>
      </w:r>
      <w:r w:rsidRPr="00DA65F2">
        <w:rPr>
          <w:rFonts w:ascii="Times New Roman" w:hAnsi="Times New Roman"/>
          <w:i/>
          <w:iCs/>
          <w:szCs w:val="16"/>
        </w:rPr>
        <w:t>Creativity and Innovation in Digital Economy: Book of Abstracts</w:t>
      </w:r>
      <w:r w:rsidRPr="00DA65F2">
        <w:rPr>
          <w:rFonts w:ascii="Times New Roman" w:hAnsi="Times New Roman"/>
          <w:szCs w:val="16"/>
        </w:rPr>
        <w:t xml:space="preserve"> (pp. 170–171). Petroleum-Gas University of </w:t>
      </w:r>
      <w:proofErr w:type="spellStart"/>
      <w:r w:rsidRPr="00DA65F2">
        <w:rPr>
          <w:rFonts w:ascii="Times New Roman" w:hAnsi="Times New Roman"/>
          <w:szCs w:val="16"/>
        </w:rPr>
        <w:t>Ploiești</w:t>
      </w:r>
      <w:proofErr w:type="spellEnd"/>
      <w:r w:rsidRPr="00DA65F2">
        <w:rPr>
          <w:rFonts w:ascii="Times New Roman" w:hAnsi="Times New Roman"/>
          <w:szCs w:val="16"/>
        </w:rPr>
        <w:t xml:space="preserve"> Publishing House.</w:t>
      </w:r>
      <w:r w:rsidR="007268AF" w:rsidRPr="00DA65F2">
        <w:rPr>
          <w:rFonts w:ascii="Times New Roman" w:hAnsi="Times New Roman"/>
          <w:szCs w:val="16"/>
        </w:rPr>
        <w:t xml:space="preserve"> </w:t>
      </w:r>
      <w:r w:rsidR="007268AF" w:rsidRPr="00DA65F2">
        <w:rPr>
          <w:rFonts w:ascii="Times New Roman" w:hAnsi="Times New Roman"/>
          <w:color w:val="000000"/>
        </w:rPr>
        <w:t>ISSN: 2971-9798</w:t>
      </w:r>
    </w:p>
    <w:p w14:paraId="5AB55236" w14:textId="0B147D7B"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lang w:val="it-IT"/>
        </w:rPr>
        <w:lastRenderedPageBreak/>
        <w:t xml:space="preserve">Allega, D., &amp; Puzio, G. (2025c). </w:t>
      </w:r>
      <w:r w:rsidRPr="00DA65F2">
        <w:rPr>
          <w:rFonts w:ascii="Times New Roman" w:hAnsi="Times New Roman"/>
          <w:szCs w:val="16"/>
        </w:rPr>
        <w:t xml:space="preserve">Reinforcement learning from community feedback (RLCF): A novel framework for artificial intelligence in social science domains. In M. Panait, I. Rădulescu, B. </w:t>
      </w:r>
      <w:proofErr w:type="spellStart"/>
      <w:r w:rsidRPr="00DA65F2">
        <w:rPr>
          <w:rFonts w:ascii="Times New Roman" w:hAnsi="Times New Roman"/>
          <w:szCs w:val="16"/>
        </w:rPr>
        <w:t>Tudorică</w:t>
      </w:r>
      <w:proofErr w:type="spellEnd"/>
      <w:r w:rsidRPr="00DA65F2">
        <w:rPr>
          <w:rFonts w:ascii="Times New Roman" w:hAnsi="Times New Roman"/>
          <w:szCs w:val="16"/>
        </w:rPr>
        <w:t xml:space="preserve">, C. Popescu, &amp; M. Cătălin Voica (Eds.), </w:t>
      </w:r>
      <w:r w:rsidRPr="00DA65F2">
        <w:rPr>
          <w:rFonts w:ascii="Times New Roman" w:hAnsi="Times New Roman"/>
          <w:i/>
          <w:iCs/>
          <w:szCs w:val="16"/>
        </w:rPr>
        <w:t>Creativity and Innovation in Digital Economy: Book of Abstracts</w:t>
      </w:r>
      <w:r w:rsidRPr="00DA65F2">
        <w:rPr>
          <w:rFonts w:ascii="Times New Roman" w:hAnsi="Times New Roman"/>
          <w:szCs w:val="16"/>
        </w:rPr>
        <w:t xml:space="preserve"> (pp. 92–94). Petroleum-Gas University of </w:t>
      </w:r>
      <w:proofErr w:type="spellStart"/>
      <w:r w:rsidRPr="00DA65F2">
        <w:rPr>
          <w:rFonts w:ascii="Times New Roman" w:hAnsi="Times New Roman"/>
          <w:szCs w:val="16"/>
        </w:rPr>
        <w:t>Ploiești</w:t>
      </w:r>
      <w:proofErr w:type="spellEnd"/>
      <w:r w:rsidRPr="00DA65F2">
        <w:rPr>
          <w:rFonts w:ascii="Times New Roman" w:hAnsi="Times New Roman"/>
          <w:szCs w:val="16"/>
        </w:rPr>
        <w:t xml:space="preserve"> Publishing House.</w:t>
      </w:r>
      <w:r w:rsidR="007268AF" w:rsidRPr="00DA65F2">
        <w:rPr>
          <w:rFonts w:ascii="Times New Roman" w:hAnsi="Times New Roman"/>
          <w:szCs w:val="16"/>
        </w:rPr>
        <w:t xml:space="preserve"> </w:t>
      </w:r>
      <w:r w:rsidR="007268AF" w:rsidRPr="00DA65F2">
        <w:rPr>
          <w:rFonts w:ascii="Times New Roman" w:hAnsi="Times New Roman"/>
          <w:color w:val="000000"/>
        </w:rPr>
        <w:t>ISSN: 2971-9798</w:t>
      </w:r>
    </w:p>
    <w:p w14:paraId="791FC0A0" w14:textId="77777777"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proofErr w:type="spellStart"/>
      <w:r w:rsidRPr="00DA65F2">
        <w:rPr>
          <w:rFonts w:ascii="Times New Roman" w:hAnsi="Times New Roman"/>
          <w:szCs w:val="16"/>
        </w:rPr>
        <w:t>Benkler</w:t>
      </w:r>
      <w:proofErr w:type="spellEnd"/>
      <w:r w:rsidRPr="00DA65F2">
        <w:rPr>
          <w:rFonts w:ascii="Times New Roman" w:hAnsi="Times New Roman"/>
          <w:szCs w:val="16"/>
        </w:rPr>
        <w:t xml:space="preserve">, Y. (2006). </w:t>
      </w:r>
      <w:r w:rsidRPr="00DA65F2">
        <w:rPr>
          <w:rFonts w:ascii="Times New Roman" w:hAnsi="Times New Roman"/>
          <w:i/>
          <w:iCs/>
          <w:szCs w:val="16"/>
        </w:rPr>
        <w:t>The wealth of networks: How social production transforms markets and freedom</w:t>
      </w:r>
      <w:r w:rsidRPr="00DA65F2">
        <w:rPr>
          <w:rFonts w:ascii="Times New Roman" w:hAnsi="Times New Roman"/>
          <w:szCs w:val="16"/>
        </w:rPr>
        <w:t>. Yale University Press.</w:t>
      </w:r>
    </w:p>
    <w:p w14:paraId="3B69A745" w14:textId="12A9BECD"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rPr>
        <w:t xml:space="preserve">Castells, M. (2015). </w:t>
      </w:r>
      <w:r w:rsidRPr="00DA65F2">
        <w:rPr>
          <w:rFonts w:ascii="Times New Roman" w:hAnsi="Times New Roman"/>
          <w:i/>
          <w:iCs/>
          <w:szCs w:val="16"/>
        </w:rPr>
        <w:t>Networks of outrage and hope: Social movements in the Internet age</w:t>
      </w:r>
      <w:r w:rsidRPr="00DA65F2">
        <w:rPr>
          <w:rFonts w:ascii="Times New Roman" w:hAnsi="Times New Roman"/>
          <w:szCs w:val="16"/>
        </w:rPr>
        <w:t xml:space="preserve"> (2nd ed.). Polity Press.</w:t>
      </w:r>
    </w:p>
    <w:p w14:paraId="5F42CABF" w14:textId="77777777"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rPr>
        <w:t xml:space="preserve">Constantinides, P., Henfridsson, O., &amp; Parker, G. G. (2018). Platforms and infrastructures in the digital age. </w:t>
      </w:r>
      <w:r w:rsidRPr="00DA65F2">
        <w:rPr>
          <w:rFonts w:ascii="Times New Roman" w:hAnsi="Times New Roman"/>
          <w:i/>
          <w:iCs/>
          <w:szCs w:val="16"/>
        </w:rPr>
        <w:t>Information Systems Research, 29</w:t>
      </w:r>
      <w:r w:rsidRPr="00DA65F2">
        <w:rPr>
          <w:rFonts w:ascii="Times New Roman" w:hAnsi="Times New Roman"/>
          <w:szCs w:val="16"/>
        </w:rPr>
        <w:t xml:space="preserve">(2), 381–400. </w:t>
      </w:r>
      <w:hyperlink r:id="rId14" w:tgtFrame="_new" w:history="1">
        <w:r w:rsidRPr="00DA65F2">
          <w:rPr>
            <w:rStyle w:val="Hyperlink"/>
            <w:rFonts w:ascii="Times New Roman" w:hAnsi="Times New Roman"/>
            <w:szCs w:val="16"/>
          </w:rPr>
          <w:t>https://doi.org/10.1287/isre.2018.0794</w:t>
        </w:r>
      </w:hyperlink>
    </w:p>
    <w:p w14:paraId="2068E292" w14:textId="77777777"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rPr>
        <w:t xml:space="preserve">Eaton, B., Elaluf-Calderwood, S., Sørensen, C., &amp; Yoo, Y. (2015). Distributed tuning of boundary resources: The case of Apple’s iOS service system. </w:t>
      </w:r>
      <w:r w:rsidRPr="00DA65F2">
        <w:rPr>
          <w:rFonts w:ascii="Times New Roman" w:hAnsi="Times New Roman"/>
          <w:i/>
          <w:iCs/>
          <w:szCs w:val="16"/>
        </w:rPr>
        <w:t>MIS Quarterly, 39</w:t>
      </w:r>
      <w:r w:rsidRPr="00DA65F2">
        <w:rPr>
          <w:rFonts w:ascii="Times New Roman" w:hAnsi="Times New Roman"/>
          <w:szCs w:val="16"/>
        </w:rPr>
        <w:t xml:space="preserve">(1), 217–243. </w:t>
      </w:r>
      <w:hyperlink r:id="rId15" w:tgtFrame="_new" w:history="1">
        <w:r w:rsidRPr="00DA65F2">
          <w:rPr>
            <w:rStyle w:val="Hyperlink"/>
            <w:rFonts w:ascii="Times New Roman" w:hAnsi="Times New Roman"/>
            <w:szCs w:val="16"/>
          </w:rPr>
          <w:t>https://doi.org/10.25300/MISQ/2015/39.1.10</w:t>
        </w:r>
      </w:hyperlink>
    </w:p>
    <w:p w14:paraId="72C8C511" w14:textId="579C07EF" w:rsidR="00CD4E68" w:rsidRDefault="00624C75" w:rsidP="00DA65F2">
      <w:pPr>
        <w:pStyle w:val="ListParagraph"/>
        <w:numPr>
          <w:ilvl w:val="0"/>
          <w:numId w:val="8"/>
        </w:numPr>
        <w:spacing w:before="240" w:after="240" w:line="240" w:lineRule="auto"/>
        <w:contextualSpacing w:val="0"/>
        <w:jc w:val="both"/>
        <w:rPr>
          <w:rFonts w:ascii="Times New Roman" w:hAnsi="Times New Roman"/>
          <w:szCs w:val="16"/>
        </w:rPr>
      </w:pPr>
      <w:r w:rsidRPr="00624C75">
        <w:rPr>
          <w:rFonts w:ascii="Times New Roman" w:hAnsi="Times New Roman"/>
          <w:szCs w:val="16"/>
        </w:rPr>
        <w:t xml:space="preserve">Flood, J. A. (2019). Legal professionals of the future: Their ethos, role and skills. In M. DeStefano &amp; G. </w:t>
      </w:r>
      <w:proofErr w:type="spellStart"/>
      <w:r w:rsidRPr="00624C75">
        <w:rPr>
          <w:rFonts w:ascii="Times New Roman" w:hAnsi="Times New Roman"/>
          <w:szCs w:val="16"/>
        </w:rPr>
        <w:t>Dobrauz-Saldapenna</w:t>
      </w:r>
      <w:proofErr w:type="spellEnd"/>
      <w:r w:rsidRPr="00624C75">
        <w:rPr>
          <w:rFonts w:ascii="Times New Roman" w:hAnsi="Times New Roman"/>
          <w:szCs w:val="16"/>
        </w:rPr>
        <w:t xml:space="preserve"> (Eds.), New suits: Appetite for Disruption in the Legal World (pp. 115–129). </w:t>
      </w:r>
      <w:proofErr w:type="spellStart"/>
      <w:r w:rsidRPr="00624C75">
        <w:rPr>
          <w:rFonts w:ascii="Times New Roman" w:hAnsi="Times New Roman"/>
          <w:szCs w:val="16"/>
        </w:rPr>
        <w:t>Stämpfli</w:t>
      </w:r>
      <w:proofErr w:type="spellEnd"/>
      <w:r w:rsidRPr="00624C75">
        <w:rPr>
          <w:rFonts w:ascii="Times New Roman" w:hAnsi="Times New Roman"/>
          <w:szCs w:val="16"/>
        </w:rPr>
        <w:t xml:space="preserve"> Verlag</w:t>
      </w:r>
      <w:r w:rsidR="00DA65F2" w:rsidRPr="00DA65F2">
        <w:rPr>
          <w:rFonts w:ascii="Times New Roman" w:hAnsi="Times New Roman"/>
          <w:szCs w:val="16"/>
        </w:rPr>
        <w:t>.</w:t>
      </w:r>
    </w:p>
    <w:p w14:paraId="291A1CE0" w14:textId="310D6706" w:rsidR="00DA65F2" w:rsidRPr="00DA65F2" w:rsidRDefault="00DA65F2"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rPr>
        <w:t xml:space="preserve">Hänninen, M., Rusanen, O., &amp; Paavola, L. (2018). Creating the foundation for a functioning internal platform. In A. </w:t>
      </w:r>
      <w:proofErr w:type="spellStart"/>
      <w:r w:rsidRPr="00DA65F2">
        <w:rPr>
          <w:rFonts w:ascii="Times New Roman" w:hAnsi="Times New Roman"/>
          <w:szCs w:val="16"/>
        </w:rPr>
        <w:t>Smedlund</w:t>
      </w:r>
      <w:proofErr w:type="spellEnd"/>
      <w:r w:rsidRPr="00DA65F2">
        <w:rPr>
          <w:rFonts w:ascii="Times New Roman" w:hAnsi="Times New Roman"/>
          <w:szCs w:val="16"/>
        </w:rPr>
        <w:t xml:space="preserve">, A. Lindblom, &amp; L. </w:t>
      </w:r>
      <w:proofErr w:type="spellStart"/>
      <w:r w:rsidRPr="00DA65F2">
        <w:rPr>
          <w:rFonts w:ascii="Times New Roman" w:hAnsi="Times New Roman"/>
          <w:szCs w:val="16"/>
        </w:rPr>
        <w:t>Mitronen</w:t>
      </w:r>
      <w:proofErr w:type="spellEnd"/>
      <w:r w:rsidRPr="00DA65F2">
        <w:rPr>
          <w:rFonts w:ascii="Times New Roman" w:hAnsi="Times New Roman"/>
          <w:szCs w:val="16"/>
        </w:rPr>
        <w:t xml:space="preserve"> (Eds.), Collaborative value co-creation in the platform economy (pp. 147–165). Springer, Singapore. </w:t>
      </w:r>
      <w:hyperlink r:id="rId16" w:history="1">
        <w:r w:rsidRPr="00037B02">
          <w:rPr>
            <w:rStyle w:val="Hyperlink"/>
            <w:rFonts w:ascii="Times New Roman" w:hAnsi="Times New Roman"/>
            <w:szCs w:val="16"/>
          </w:rPr>
          <w:t>https://doi.org/10.1007/978-981-10-89</w:t>
        </w:r>
        <w:r w:rsidRPr="00037B02">
          <w:rPr>
            <w:rStyle w:val="Hyperlink"/>
            <w:rFonts w:ascii="Times New Roman" w:hAnsi="Times New Roman"/>
            <w:szCs w:val="16"/>
          </w:rPr>
          <w:t>5</w:t>
        </w:r>
        <w:r w:rsidRPr="00037B02">
          <w:rPr>
            <w:rStyle w:val="Hyperlink"/>
            <w:rFonts w:ascii="Times New Roman" w:hAnsi="Times New Roman"/>
            <w:szCs w:val="16"/>
          </w:rPr>
          <w:t>6-5_8</w:t>
        </w:r>
      </w:hyperlink>
      <w:r>
        <w:rPr>
          <w:rFonts w:ascii="Times New Roman" w:hAnsi="Times New Roman"/>
          <w:szCs w:val="16"/>
        </w:rPr>
        <w:t xml:space="preserve"> </w:t>
      </w:r>
    </w:p>
    <w:p w14:paraId="1B3D08B3" w14:textId="15B66FF3"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rPr>
        <w:t xml:space="preserve">Hildebrandt, M. (2018). Law as computation in the era of artificial legal intelligence: Speaking law to the power of statistics. </w:t>
      </w:r>
      <w:r w:rsidRPr="00DA65F2">
        <w:rPr>
          <w:rFonts w:ascii="Times New Roman" w:hAnsi="Times New Roman"/>
          <w:i/>
          <w:iCs/>
          <w:szCs w:val="16"/>
        </w:rPr>
        <w:t>University of Toronto Law Journal, 68</w:t>
      </w:r>
      <w:r w:rsidRPr="00DA65F2">
        <w:rPr>
          <w:rFonts w:ascii="Times New Roman" w:hAnsi="Times New Roman"/>
          <w:szCs w:val="16"/>
        </w:rPr>
        <w:t>(</w:t>
      </w:r>
      <w:r w:rsidR="000949DC">
        <w:rPr>
          <w:rFonts w:ascii="Times New Roman" w:hAnsi="Times New Roman"/>
          <w:szCs w:val="16"/>
        </w:rPr>
        <w:t>S</w:t>
      </w:r>
      <w:r w:rsidRPr="00DA65F2">
        <w:rPr>
          <w:rFonts w:ascii="Times New Roman" w:hAnsi="Times New Roman"/>
          <w:szCs w:val="16"/>
        </w:rPr>
        <w:t xml:space="preserve">1), 12–35. </w:t>
      </w:r>
      <w:hyperlink r:id="rId17" w:tgtFrame="_new" w:history="1">
        <w:r w:rsidRPr="00DA65F2">
          <w:rPr>
            <w:rStyle w:val="Hyperlink"/>
            <w:rFonts w:ascii="Times New Roman" w:hAnsi="Times New Roman"/>
            <w:szCs w:val="16"/>
          </w:rPr>
          <w:t>https://doi.org/10.3138/utlj.2017-0</w:t>
        </w:r>
        <w:r w:rsidRPr="00DA65F2">
          <w:rPr>
            <w:rStyle w:val="Hyperlink"/>
            <w:rFonts w:ascii="Times New Roman" w:hAnsi="Times New Roman"/>
            <w:szCs w:val="16"/>
          </w:rPr>
          <w:t>0</w:t>
        </w:r>
        <w:r w:rsidRPr="00DA65F2">
          <w:rPr>
            <w:rStyle w:val="Hyperlink"/>
            <w:rFonts w:ascii="Times New Roman" w:hAnsi="Times New Roman"/>
            <w:szCs w:val="16"/>
          </w:rPr>
          <w:t>44</w:t>
        </w:r>
      </w:hyperlink>
    </w:p>
    <w:p w14:paraId="0F8387AF" w14:textId="77777777" w:rsidR="00CD4E68"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proofErr w:type="spellStart"/>
      <w:r w:rsidRPr="00DA65F2">
        <w:rPr>
          <w:rFonts w:ascii="Times New Roman" w:hAnsi="Times New Roman"/>
          <w:szCs w:val="16"/>
        </w:rPr>
        <w:t>Katsh</w:t>
      </w:r>
      <w:proofErr w:type="spellEnd"/>
      <w:r w:rsidRPr="00DA65F2">
        <w:rPr>
          <w:rFonts w:ascii="Times New Roman" w:hAnsi="Times New Roman"/>
          <w:szCs w:val="16"/>
        </w:rPr>
        <w:t>, E., &amp; Rabinovich-</w:t>
      </w:r>
      <w:proofErr w:type="spellStart"/>
      <w:r w:rsidRPr="00DA65F2">
        <w:rPr>
          <w:rFonts w:ascii="Times New Roman" w:hAnsi="Times New Roman"/>
          <w:szCs w:val="16"/>
        </w:rPr>
        <w:t>Einy</w:t>
      </w:r>
      <w:proofErr w:type="spellEnd"/>
      <w:r w:rsidRPr="00DA65F2">
        <w:rPr>
          <w:rFonts w:ascii="Times New Roman" w:hAnsi="Times New Roman"/>
          <w:szCs w:val="16"/>
        </w:rPr>
        <w:t xml:space="preserve">, O. (2017). </w:t>
      </w:r>
      <w:r w:rsidRPr="00DA65F2">
        <w:rPr>
          <w:rFonts w:ascii="Times New Roman" w:hAnsi="Times New Roman"/>
          <w:i/>
          <w:iCs/>
          <w:szCs w:val="16"/>
        </w:rPr>
        <w:t>Digital justice: Technology and the Internet of disputes</w:t>
      </w:r>
      <w:r w:rsidRPr="00DA65F2">
        <w:rPr>
          <w:rFonts w:ascii="Times New Roman" w:hAnsi="Times New Roman"/>
          <w:szCs w:val="16"/>
        </w:rPr>
        <w:t xml:space="preserve">. Oxford University Press. </w:t>
      </w:r>
      <w:hyperlink r:id="rId18" w:tgtFrame="_new" w:history="1">
        <w:r w:rsidRPr="00DA65F2">
          <w:rPr>
            <w:rStyle w:val="Hyperlink"/>
            <w:rFonts w:ascii="Times New Roman" w:hAnsi="Times New Roman"/>
            <w:szCs w:val="16"/>
          </w:rPr>
          <w:t>https://doi.org/10.1093/acprof:oso/9780190464</w:t>
        </w:r>
        <w:r w:rsidRPr="00DA65F2">
          <w:rPr>
            <w:rStyle w:val="Hyperlink"/>
            <w:rFonts w:ascii="Times New Roman" w:hAnsi="Times New Roman"/>
            <w:szCs w:val="16"/>
          </w:rPr>
          <w:t>5</w:t>
        </w:r>
        <w:r w:rsidRPr="00DA65F2">
          <w:rPr>
            <w:rStyle w:val="Hyperlink"/>
            <w:rFonts w:ascii="Times New Roman" w:hAnsi="Times New Roman"/>
            <w:szCs w:val="16"/>
          </w:rPr>
          <w:t>85.001.0001</w:t>
        </w:r>
      </w:hyperlink>
    </w:p>
    <w:p w14:paraId="39BCF15E" w14:textId="020505A6" w:rsidR="003A5C92" w:rsidRDefault="003A5C92" w:rsidP="00DA65F2">
      <w:pPr>
        <w:pStyle w:val="ListParagraph"/>
        <w:numPr>
          <w:ilvl w:val="0"/>
          <w:numId w:val="8"/>
        </w:numPr>
        <w:spacing w:before="240" w:after="240" w:line="240" w:lineRule="auto"/>
        <w:contextualSpacing w:val="0"/>
        <w:jc w:val="both"/>
        <w:rPr>
          <w:rFonts w:ascii="Times New Roman" w:hAnsi="Times New Roman"/>
          <w:szCs w:val="16"/>
        </w:rPr>
      </w:pPr>
      <w:r w:rsidRPr="003A5C92">
        <w:rPr>
          <w:rFonts w:ascii="Times New Roman" w:hAnsi="Times New Roman"/>
          <w:szCs w:val="16"/>
          <w:lang w:val="it-IT"/>
        </w:rPr>
        <w:t xml:space="preserve">Katz, D. M., </w:t>
      </w:r>
      <w:proofErr w:type="spellStart"/>
      <w:r w:rsidRPr="003A5C92">
        <w:rPr>
          <w:rFonts w:ascii="Times New Roman" w:hAnsi="Times New Roman"/>
          <w:szCs w:val="16"/>
          <w:lang w:val="it-IT"/>
        </w:rPr>
        <w:t>Bommarito</w:t>
      </w:r>
      <w:proofErr w:type="spellEnd"/>
      <w:r w:rsidRPr="003A5C92">
        <w:rPr>
          <w:rFonts w:ascii="Times New Roman" w:hAnsi="Times New Roman"/>
          <w:szCs w:val="16"/>
          <w:lang w:val="it-IT"/>
        </w:rPr>
        <w:t xml:space="preserve">, M. J., Gao, S., &amp; Arredondo, P. (2024). </w:t>
      </w:r>
      <w:r w:rsidRPr="003A5C92">
        <w:rPr>
          <w:rFonts w:ascii="Times New Roman" w:hAnsi="Times New Roman"/>
          <w:szCs w:val="16"/>
        </w:rPr>
        <w:t xml:space="preserve">GPT-4 passes the bar exam. Philosophical Transactions of the Royal Society A, </w:t>
      </w:r>
      <w:r w:rsidR="000949DC" w:rsidRPr="000949DC">
        <w:rPr>
          <w:rFonts w:ascii="Times New Roman" w:hAnsi="Times New Roman"/>
          <w:szCs w:val="16"/>
        </w:rPr>
        <w:t>382(2270)</w:t>
      </w:r>
      <w:r w:rsidRPr="003A5C92">
        <w:rPr>
          <w:rFonts w:ascii="Times New Roman" w:hAnsi="Times New Roman"/>
          <w:szCs w:val="16"/>
        </w:rPr>
        <w:t xml:space="preserve">, 20230254. </w:t>
      </w:r>
      <w:hyperlink r:id="rId19" w:history="1">
        <w:r w:rsidRPr="00037B02">
          <w:rPr>
            <w:rStyle w:val="Hyperlink"/>
            <w:rFonts w:ascii="Times New Roman" w:hAnsi="Times New Roman"/>
            <w:szCs w:val="16"/>
          </w:rPr>
          <w:t>https://doi.org/10.1098/rsta.2023.0</w:t>
        </w:r>
        <w:r w:rsidRPr="00037B02">
          <w:rPr>
            <w:rStyle w:val="Hyperlink"/>
            <w:rFonts w:ascii="Times New Roman" w:hAnsi="Times New Roman"/>
            <w:szCs w:val="16"/>
          </w:rPr>
          <w:t>2</w:t>
        </w:r>
        <w:r w:rsidRPr="00037B02">
          <w:rPr>
            <w:rStyle w:val="Hyperlink"/>
            <w:rFonts w:ascii="Times New Roman" w:hAnsi="Times New Roman"/>
            <w:szCs w:val="16"/>
          </w:rPr>
          <w:t>54</w:t>
        </w:r>
      </w:hyperlink>
    </w:p>
    <w:p w14:paraId="4039ECD2" w14:textId="501110C3" w:rsidR="00624C75" w:rsidRDefault="00624C75" w:rsidP="00DA65F2">
      <w:pPr>
        <w:pStyle w:val="ListParagraph"/>
        <w:numPr>
          <w:ilvl w:val="0"/>
          <w:numId w:val="8"/>
        </w:numPr>
        <w:spacing w:before="240" w:after="240" w:line="240" w:lineRule="auto"/>
        <w:contextualSpacing w:val="0"/>
        <w:jc w:val="both"/>
        <w:rPr>
          <w:rFonts w:ascii="Times New Roman" w:hAnsi="Times New Roman"/>
          <w:szCs w:val="16"/>
        </w:rPr>
      </w:pPr>
      <w:r w:rsidRPr="00624C75">
        <w:rPr>
          <w:rFonts w:ascii="Times New Roman" w:hAnsi="Times New Roman"/>
          <w:szCs w:val="16"/>
        </w:rPr>
        <w:t xml:space="preserve">Kretschmer, T., </w:t>
      </w:r>
      <w:proofErr w:type="spellStart"/>
      <w:r w:rsidRPr="00624C75">
        <w:rPr>
          <w:rFonts w:ascii="Times New Roman" w:hAnsi="Times New Roman"/>
          <w:szCs w:val="16"/>
        </w:rPr>
        <w:t>Leiponen</w:t>
      </w:r>
      <w:proofErr w:type="spellEnd"/>
      <w:r w:rsidRPr="00624C75">
        <w:rPr>
          <w:rFonts w:ascii="Times New Roman" w:hAnsi="Times New Roman"/>
          <w:szCs w:val="16"/>
        </w:rPr>
        <w:t xml:space="preserve">, A., Schilling, M. A., &amp; Vasudeva, G. (2022). Platform ecosystems as meta-organizations: Implications for platform strategies. Strategic Management Journal, 43(3), 405–424. </w:t>
      </w:r>
      <w:hyperlink r:id="rId20" w:history="1">
        <w:r w:rsidRPr="00037B02">
          <w:rPr>
            <w:rStyle w:val="Hyperlink"/>
            <w:rFonts w:ascii="Times New Roman" w:hAnsi="Times New Roman"/>
            <w:szCs w:val="16"/>
          </w:rPr>
          <w:t>https://doi.org/10.1002/smj.3</w:t>
        </w:r>
        <w:r w:rsidRPr="00037B02">
          <w:rPr>
            <w:rStyle w:val="Hyperlink"/>
            <w:rFonts w:ascii="Times New Roman" w:hAnsi="Times New Roman"/>
            <w:szCs w:val="16"/>
          </w:rPr>
          <w:t>2</w:t>
        </w:r>
        <w:r w:rsidRPr="00037B02">
          <w:rPr>
            <w:rStyle w:val="Hyperlink"/>
            <w:rFonts w:ascii="Times New Roman" w:hAnsi="Times New Roman"/>
            <w:szCs w:val="16"/>
          </w:rPr>
          <w:t>50</w:t>
        </w:r>
      </w:hyperlink>
    </w:p>
    <w:p w14:paraId="4045886C" w14:textId="4C219ABC"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proofErr w:type="spellStart"/>
      <w:r w:rsidRPr="00DA65F2">
        <w:rPr>
          <w:rFonts w:ascii="Times New Roman" w:hAnsi="Times New Roman"/>
          <w:szCs w:val="16"/>
        </w:rPr>
        <w:t>Noordegraaf</w:t>
      </w:r>
      <w:proofErr w:type="spellEnd"/>
      <w:r w:rsidRPr="00DA65F2">
        <w:rPr>
          <w:rFonts w:ascii="Times New Roman" w:hAnsi="Times New Roman"/>
          <w:szCs w:val="16"/>
        </w:rPr>
        <w:t xml:space="preserve">, M. (2015). Hybrid professionalism and beyond: (New) forms of public professionalism in changing organizational and societal contexts. </w:t>
      </w:r>
      <w:r w:rsidRPr="00DA65F2">
        <w:rPr>
          <w:rFonts w:ascii="Times New Roman" w:hAnsi="Times New Roman"/>
          <w:i/>
          <w:iCs/>
          <w:szCs w:val="16"/>
        </w:rPr>
        <w:t>Journal of Professions and Organization, 2</w:t>
      </w:r>
      <w:r w:rsidRPr="00DA65F2">
        <w:rPr>
          <w:rFonts w:ascii="Times New Roman" w:hAnsi="Times New Roman"/>
          <w:szCs w:val="16"/>
        </w:rPr>
        <w:t xml:space="preserve">(2), 187–206. </w:t>
      </w:r>
      <w:hyperlink r:id="rId21" w:tgtFrame="_new" w:history="1">
        <w:r w:rsidRPr="00DA65F2">
          <w:rPr>
            <w:rStyle w:val="Hyperlink"/>
            <w:rFonts w:ascii="Times New Roman" w:hAnsi="Times New Roman"/>
            <w:szCs w:val="16"/>
          </w:rPr>
          <w:t>https://doi.org/10.1093/j</w:t>
        </w:r>
        <w:r w:rsidRPr="00DA65F2">
          <w:rPr>
            <w:rStyle w:val="Hyperlink"/>
            <w:rFonts w:ascii="Times New Roman" w:hAnsi="Times New Roman"/>
            <w:szCs w:val="16"/>
          </w:rPr>
          <w:t>p</w:t>
        </w:r>
        <w:r w:rsidRPr="00DA65F2">
          <w:rPr>
            <w:rStyle w:val="Hyperlink"/>
            <w:rFonts w:ascii="Times New Roman" w:hAnsi="Times New Roman"/>
            <w:szCs w:val="16"/>
          </w:rPr>
          <w:t>o/jov002</w:t>
        </w:r>
      </w:hyperlink>
    </w:p>
    <w:p w14:paraId="468F7040" w14:textId="77777777"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rPr>
        <w:t xml:space="preserve">Parker, G. G., Van Alstyne, M. W., &amp; Choudary, S. P. (2016). </w:t>
      </w:r>
      <w:r w:rsidRPr="00DA65F2">
        <w:rPr>
          <w:rFonts w:ascii="Times New Roman" w:hAnsi="Times New Roman"/>
          <w:i/>
          <w:iCs/>
          <w:szCs w:val="16"/>
        </w:rPr>
        <w:t>Platform revolution: How networked markets are transforming the economy—and how to make them work for you</w:t>
      </w:r>
      <w:r w:rsidRPr="00DA65F2">
        <w:rPr>
          <w:rFonts w:ascii="Times New Roman" w:hAnsi="Times New Roman"/>
          <w:szCs w:val="16"/>
        </w:rPr>
        <w:t>. W. W. Norton &amp; Company.</w:t>
      </w:r>
    </w:p>
    <w:p w14:paraId="07D21900" w14:textId="77777777"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rPr>
        <w:lastRenderedPageBreak/>
        <w:t xml:space="preserve">Pasquale, F. (2015). </w:t>
      </w:r>
      <w:r w:rsidRPr="00DA65F2">
        <w:rPr>
          <w:rFonts w:ascii="Times New Roman" w:hAnsi="Times New Roman"/>
          <w:i/>
          <w:iCs/>
          <w:szCs w:val="16"/>
        </w:rPr>
        <w:t>The black box society: The secret algorithms that control money and information</w:t>
      </w:r>
      <w:r w:rsidRPr="00DA65F2">
        <w:rPr>
          <w:rFonts w:ascii="Times New Roman" w:hAnsi="Times New Roman"/>
          <w:szCs w:val="16"/>
        </w:rPr>
        <w:t xml:space="preserve">. Harvard University Press. </w:t>
      </w:r>
      <w:hyperlink r:id="rId22" w:tgtFrame="_new" w:history="1">
        <w:r w:rsidRPr="00DA65F2">
          <w:rPr>
            <w:rStyle w:val="Hyperlink"/>
            <w:rFonts w:ascii="Times New Roman" w:hAnsi="Times New Roman"/>
            <w:szCs w:val="16"/>
          </w:rPr>
          <w:t>https://doi.org</w:t>
        </w:r>
        <w:r w:rsidRPr="00DA65F2">
          <w:rPr>
            <w:rStyle w:val="Hyperlink"/>
            <w:rFonts w:ascii="Times New Roman" w:hAnsi="Times New Roman"/>
            <w:szCs w:val="16"/>
          </w:rPr>
          <w:t>/</w:t>
        </w:r>
        <w:r w:rsidRPr="00DA65F2">
          <w:rPr>
            <w:rStyle w:val="Hyperlink"/>
            <w:rFonts w:ascii="Times New Roman" w:hAnsi="Times New Roman"/>
            <w:szCs w:val="16"/>
          </w:rPr>
          <w:t>10.4159/harvard.9780674736061</w:t>
        </w:r>
      </w:hyperlink>
    </w:p>
    <w:p w14:paraId="2215CEFF" w14:textId="77777777"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rPr>
        <w:t xml:space="preserve">Remus, D., &amp; Levy, F. (2017). Can robots be lawyers? Computers, lawyers, and the practice of law. </w:t>
      </w:r>
      <w:r w:rsidRPr="00DA65F2">
        <w:rPr>
          <w:rFonts w:ascii="Times New Roman" w:hAnsi="Times New Roman"/>
          <w:i/>
          <w:iCs/>
          <w:szCs w:val="16"/>
        </w:rPr>
        <w:t>Georgetown Journal of Legal Ethics, 30</w:t>
      </w:r>
      <w:r w:rsidRPr="00DA65F2">
        <w:rPr>
          <w:rFonts w:ascii="Times New Roman" w:hAnsi="Times New Roman"/>
          <w:szCs w:val="16"/>
        </w:rPr>
        <w:t>(3), 501–558.</w:t>
      </w:r>
    </w:p>
    <w:p w14:paraId="39B2D6BE" w14:textId="77777777"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rPr>
        <w:t xml:space="preserve">Sundararajan, A. (2016). </w:t>
      </w:r>
      <w:r w:rsidRPr="00DA65F2">
        <w:rPr>
          <w:rFonts w:ascii="Times New Roman" w:hAnsi="Times New Roman"/>
          <w:i/>
          <w:iCs/>
          <w:szCs w:val="16"/>
        </w:rPr>
        <w:t>The sharing economy: The end of employment and the rise of crowd-based capitalism</w:t>
      </w:r>
      <w:r w:rsidRPr="00DA65F2">
        <w:rPr>
          <w:rFonts w:ascii="Times New Roman" w:hAnsi="Times New Roman"/>
          <w:szCs w:val="16"/>
        </w:rPr>
        <w:t>. MIT Press.</w:t>
      </w:r>
    </w:p>
    <w:p w14:paraId="1CE50327" w14:textId="77777777"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proofErr w:type="spellStart"/>
      <w:r w:rsidRPr="00DA65F2">
        <w:rPr>
          <w:rFonts w:ascii="Times New Roman" w:hAnsi="Times New Roman"/>
          <w:szCs w:val="16"/>
        </w:rPr>
        <w:t>Surden</w:t>
      </w:r>
      <w:proofErr w:type="spellEnd"/>
      <w:r w:rsidRPr="00DA65F2">
        <w:rPr>
          <w:rFonts w:ascii="Times New Roman" w:hAnsi="Times New Roman"/>
          <w:szCs w:val="16"/>
        </w:rPr>
        <w:t xml:space="preserve">, H. (2014). Machine learning and law. </w:t>
      </w:r>
      <w:r w:rsidRPr="00DA65F2">
        <w:rPr>
          <w:rFonts w:ascii="Times New Roman" w:hAnsi="Times New Roman"/>
          <w:i/>
          <w:iCs/>
          <w:szCs w:val="16"/>
        </w:rPr>
        <w:t>Washington Law Review, 89</w:t>
      </w:r>
      <w:r w:rsidRPr="00DA65F2">
        <w:rPr>
          <w:rFonts w:ascii="Times New Roman" w:hAnsi="Times New Roman"/>
          <w:szCs w:val="16"/>
        </w:rPr>
        <w:t xml:space="preserve">(1), 87–115. </w:t>
      </w:r>
      <w:hyperlink r:id="rId23" w:tgtFrame="_new" w:history="1">
        <w:r w:rsidRPr="00DA65F2">
          <w:rPr>
            <w:rStyle w:val="Hyperlink"/>
            <w:rFonts w:ascii="Times New Roman" w:hAnsi="Times New Roman"/>
            <w:szCs w:val="16"/>
          </w:rPr>
          <w:t>https://digitalcommon</w:t>
        </w:r>
        <w:r w:rsidRPr="00DA65F2">
          <w:rPr>
            <w:rStyle w:val="Hyperlink"/>
            <w:rFonts w:ascii="Times New Roman" w:hAnsi="Times New Roman"/>
            <w:szCs w:val="16"/>
          </w:rPr>
          <w:t>s</w:t>
        </w:r>
        <w:r w:rsidRPr="00DA65F2">
          <w:rPr>
            <w:rStyle w:val="Hyperlink"/>
            <w:rFonts w:ascii="Times New Roman" w:hAnsi="Times New Roman"/>
            <w:szCs w:val="16"/>
          </w:rPr>
          <w:t>.law.uw.edu/wlr/vol89/iss1/5</w:t>
        </w:r>
      </w:hyperlink>
    </w:p>
    <w:p w14:paraId="18B6B7A0" w14:textId="1C443A7C" w:rsidR="00CD4E68" w:rsidRPr="00DA65F2" w:rsidRDefault="00CD4E68"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rPr>
        <w:t xml:space="preserve">Susskind, R. (2017). </w:t>
      </w:r>
      <w:r w:rsidRPr="00DA65F2">
        <w:rPr>
          <w:rFonts w:ascii="Times New Roman" w:hAnsi="Times New Roman"/>
          <w:i/>
          <w:iCs/>
          <w:szCs w:val="16"/>
        </w:rPr>
        <w:t>Tomorrow’s lawyers: An introduction to your future</w:t>
      </w:r>
      <w:r w:rsidRPr="00DA65F2">
        <w:rPr>
          <w:rFonts w:ascii="Times New Roman" w:hAnsi="Times New Roman"/>
          <w:szCs w:val="16"/>
        </w:rPr>
        <w:t xml:space="preserve"> (2nd ed.). Oxford University Press.</w:t>
      </w:r>
    </w:p>
    <w:p w14:paraId="25FDE9A9" w14:textId="1311AA36" w:rsidR="00CD4E68" w:rsidRPr="00DA65F2" w:rsidRDefault="00DA65F2" w:rsidP="00DA65F2">
      <w:pPr>
        <w:pStyle w:val="ListParagraph"/>
        <w:numPr>
          <w:ilvl w:val="0"/>
          <w:numId w:val="8"/>
        </w:numPr>
        <w:spacing w:before="240" w:after="240" w:line="240" w:lineRule="auto"/>
        <w:contextualSpacing w:val="0"/>
        <w:jc w:val="both"/>
        <w:rPr>
          <w:rFonts w:ascii="Times New Roman" w:hAnsi="Times New Roman"/>
          <w:szCs w:val="16"/>
        </w:rPr>
      </w:pPr>
      <w:r w:rsidRPr="00DA65F2">
        <w:rPr>
          <w:rFonts w:ascii="Times New Roman" w:hAnsi="Times New Roman"/>
          <w:szCs w:val="16"/>
        </w:rPr>
        <w:t xml:space="preserve">Tilson, D., Sørensen, C., &amp; Lyytinen, K. (2013). Platform complexity: Lessons from the music industry. Proceedings of the 46th Hawaii International Conference on System Sciences (HICSS), 4625–4634. IEEE. </w:t>
      </w:r>
      <w:hyperlink r:id="rId24" w:history="1">
        <w:r w:rsidRPr="00037B02">
          <w:rPr>
            <w:rStyle w:val="Hyperlink"/>
            <w:rFonts w:ascii="Times New Roman" w:hAnsi="Times New Roman"/>
            <w:szCs w:val="16"/>
          </w:rPr>
          <w:t>https://d</w:t>
        </w:r>
        <w:r w:rsidRPr="00037B02">
          <w:rPr>
            <w:rStyle w:val="Hyperlink"/>
            <w:rFonts w:ascii="Times New Roman" w:hAnsi="Times New Roman"/>
            <w:szCs w:val="16"/>
          </w:rPr>
          <w:t>o</w:t>
        </w:r>
        <w:r w:rsidRPr="00037B02">
          <w:rPr>
            <w:rStyle w:val="Hyperlink"/>
            <w:rFonts w:ascii="Times New Roman" w:hAnsi="Times New Roman"/>
            <w:szCs w:val="16"/>
          </w:rPr>
          <w:t>i.org/10.1109/</w:t>
        </w:r>
        <w:r w:rsidRPr="00037B02">
          <w:rPr>
            <w:rStyle w:val="Hyperlink"/>
            <w:rFonts w:ascii="Times New Roman" w:hAnsi="Times New Roman"/>
            <w:szCs w:val="16"/>
          </w:rPr>
          <w:t>H</w:t>
        </w:r>
        <w:r w:rsidRPr="00037B02">
          <w:rPr>
            <w:rStyle w:val="Hyperlink"/>
            <w:rFonts w:ascii="Times New Roman" w:hAnsi="Times New Roman"/>
            <w:szCs w:val="16"/>
          </w:rPr>
          <w:t>ICSS.2013.449</w:t>
        </w:r>
      </w:hyperlink>
      <w:r>
        <w:rPr>
          <w:rFonts w:ascii="Times New Roman" w:hAnsi="Times New Roman"/>
          <w:szCs w:val="16"/>
        </w:rPr>
        <w:t xml:space="preserve"> </w:t>
      </w:r>
    </w:p>
    <w:sectPr w:rsidR="00CD4E68" w:rsidRPr="00DA65F2">
      <w:footnotePr>
        <w:numFmt w:val="chicago"/>
      </w:footnotePr>
      <w:pgSz w:w="11907" w:h="16840"/>
      <w:pgMar w:top="1701" w:right="1701" w:bottom="1701" w:left="1701" w:header="1134" w:footer="1134" w:gutter="0"/>
      <w:pgNumType w:start="1"/>
      <w:cols w:space="720"/>
      <w:titlePg/>
      <w:docGrid w:linePitch="2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F8C38" w14:textId="77777777" w:rsidR="000B10AB" w:rsidRDefault="000B10AB" w:rsidP="00E025F3">
      <w:r>
        <w:separator/>
      </w:r>
    </w:p>
  </w:endnote>
  <w:endnote w:type="continuationSeparator" w:id="0">
    <w:p w14:paraId="7188BCB2" w14:textId="77777777" w:rsidR="000B10AB" w:rsidRDefault="000B10AB" w:rsidP="00E0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06F48" w14:textId="77777777" w:rsidR="000B10AB" w:rsidRDefault="000B10AB" w:rsidP="00E025F3">
      <w:r>
        <w:separator/>
      </w:r>
    </w:p>
  </w:footnote>
  <w:footnote w:type="continuationSeparator" w:id="0">
    <w:p w14:paraId="77735FFC" w14:textId="77777777" w:rsidR="000B10AB" w:rsidRDefault="000B10AB" w:rsidP="00E025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2E2F"/>
    <w:multiLevelType w:val="hybridMultilevel"/>
    <w:tmpl w:val="0BD89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53A0A"/>
    <w:multiLevelType w:val="multilevel"/>
    <w:tmpl w:val="C454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4048EE"/>
    <w:multiLevelType w:val="hybridMultilevel"/>
    <w:tmpl w:val="73F282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2825DA"/>
    <w:multiLevelType w:val="hybridMultilevel"/>
    <w:tmpl w:val="BA2A4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8E1EC4"/>
    <w:multiLevelType w:val="multilevel"/>
    <w:tmpl w:val="3E8E1EC4"/>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4C94356"/>
    <w:multiLevelType w:val="hybridMultilevel"/>
    <w:tmpl w:val="73F28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DB3A5B"/>
    <w:multiLevelType w:val="multilevel"/>
    <w:tmpl w:val="7CDB3A5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FFB1781"/>
    <w:multiLevelType w:val="hybridMultilevel"/>
    <w:tmpl w:val="EF948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7183024">
    <w:abstractNumId w:val="4"/>
  </w:num>
  <w:num w:numId="2" w16cid:durableId="1332638275">
    <w:abstractNumId w:val="6"/>
  </w:num>
  <w:num w:numId="3" w16cid:durableId="203254003">
    <w:abstractNumId w:val="7"/>
  </w:num>
  <w:num w:numId="4" w16cid:durableId="1638338607">
    <w:abstractNumId w:val="3"/>
  </w:num>
  <w:num w:numId="5" w16cid:durableId="1085609464">
    <w:abstractNumId w:val="0"/>
  </w:num>
  <w:num w:numId="6" w16cid:durableId="312636052">
    <w:abstractNumId w:val="5"/>
  </w:num>
  <w:num w:numId="7" w16cid:durableId="1823160981">
    <w:abstractNumId w:val="1"/>
  </w:num>
  <w:num w:numId="8" w16cid:durableId="186795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hyphenationZone w:val="425"/>
  <w:evenAndOddHeaders/>
  <w:characterSpacingControl w:val="doNotCompress"/>
  <w:footnotePr>
    <w:numFmt w:val="chicago"/>
    <w:footnote w:id="-1"/>
    <w:footnote w:id="0"/>
  </w:footnotePr>
  <w:endnotePr>
    <w:endnote w:id="-1"/>
    <w:endnote w:id="0"/>
  </w:endnotePr>
  <w:compat>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MzMzW3NDUxNDI0NzdU0lEKTi0uzszPAykwNKwFADMzKhktAAAA"/>
  </w:docVars>
  <w:rsids>
    <w:rsidRoot w:val="00675E93"/>
    <w:rsid w:val="000000B2"/>
    <w:rsid w:val="00000B70"/>
    <w:rsid w:val="00006DA9"/>
    <w:rsid w:val="00031152"/>
    <w:rsid w:val="00036139"/>
    <w:rsid w:val="00040F9B"/>
    <w:rsid w:val="00044179"/>
    <w:rsid w:val="00051A54"/>
    <w:rsid w:val="00054566"/>
    <w:rsid w:val="00056BFC"/>
    <w:rsid w:val="000654EB"/>
    <w:rsid w:val="00070137"/>
    <w:rsid w:val="00080612"/>
    <w:rsid w:val="00080F87"/>
    <w:rsid w:val="00082803"/>
    <w:rsid w:val="0008568C"/>
    <w:rsid w:val="00086349"/>
    <w:rsid w:val="00092C0A"/>
    <w:rsid w:val="00093320"/>
    <w:rsid w:val="000938E5"/>
    <w:rsid w:val="00093E1E"/>
    <w:rsid w:val="00094183"/>
    <w:rsid w:val="000949DC"/>
    <w:rsid w:val="00096BA9"/>
    <w:rsid w:val="00097BDB"/>
    <w:rsid w:val="000A2D53"/>
    <w:rsid w:val="000A407F"/>
    <w:rsid w:val="000B10AB"/>
    <w:rsid w:val="000B57E7"/>
    <w:rsid w:val="000C24D1"/>
    <w:rsid w:val="000E39B6"/>
    <w:rsid w:val="000E7E18"/>
    <w:rsid w:val="00100E28"/>
    <w:rsid w:val="00100F86"/>
    <w:rsid w:val="00107F75"/>
    <w:rsid w:val="00112DD2"/>
    <w:rsid w:val="00113D0D"/>
    <w:rsid w:val="001177E2"/>
    <w:rsid w:val="00122296"/>
    <w:rsid w:val="00122FBB"/>
    <w:rsid w:val="00140D0D"/>
    <w:rsid w:val="00147BEE"/>
    <w:rsid w:val="00150503"/>
    <w:rsid w:val="0016486B"/>
    <w:rsid w:val="00182271"/>
    <w:rsid w:val="0019191F"/>
    <w:rsid w:val="00193362"/>
    <w:rsid w:val="001A76AF"/>
    <w:rsid w:val="001B174F"/>
    <w:rsid w:val="001B3C59"/>
    <w:rsid w:val="001D0B10"/>
    <w:rsid w:val="001D28FF"/>
    <w:rsid w:val="001F2485"/>
    <w:rsid w:val="001F6C8F"/>
    <w:rsid w:val="00204AB2"/>
    <w:rsid w:val="00214235"/>
    <w:rsid w:val="00221589"/>
    <w:rsid w:val="00222282"/>
    <w:rsid w:val="00224A20"/>
    <w:rsid w:val="00231F3A"/>
    <w:rsid w:val="00236911"/>
    <w:rsid w:val="0024342C"/>
    <w:rsid w:val="00243A04"/>
    <w:rsid w:val="002526F3"/>
    <w:rsid w:val="002573DD"/>
    <w:rsid w:val="002669E2"/>
    <w:rsid w:val="00266DAB"/>
    <w:rsid w:val="00275D86"/>
    <w:rsid w:val="00286760"/>
    <w:rsid w:val="002922FC"/>
    <w:rsid w:val="002A3948"/>
    <w:rsid w:val="002A5FCE"/>
    <w:rsid w:val="002C0408"/>
    <w:rsid w:val="002C34EB"/>
    <w:rsid w:val="002E63B6"/>
    <w:rsid w:val="00310ADF"/>
    <w:rsid w:val="003177F7"/>
    <w:rsid w:val="00322E71"/>
    <w:rsid w:val="00332555"/>
    <w:rsid w:val="00355F59"/>
    <w:rsid w:val="003772FB"/>
    <w:rsid w:val="003813C5"/>
    <w:rsid w:val="00382EDC"/>
    <w:rsid w:val="00383D57"/>
    <w:rsid w:val="0038706B"/>
    <w:rsid w:val="00394970"/>
    <w:rsid w:val="003A2D5E"/>
    <w:rsid w:val="003A4CAD"/>
    <w:rsid w:val="003A5C92"/>
    <w:rsid w:val="003A68E0"/>
    <w:rsid w:val="003C2703"/>
    <w:rsid w:val="003C4CD0"/>
    <w:rsid w:val="003C4E0D"/>
    <w:rsid w:val="003D000B"/>
    <w:rsid w:val="003D14F9"/>
    <w:rsid w:val="003D297E"/>
    <w:rsid w:val="003D2E0A"/>
    <w:rsid w:val="003D6D18"/>
    <w:rsid w:val="003E136B"/>
    <w:rsid w:val="003E48E5"/>
    <w:rsid w:val="003F2AAA"/>
    <w:rsid w:val="003F4337"/>
    <w:rsid w:val="003F659B"/>
    <w:rsid w:val="00401C1D"/>
    <w:rsid w:val="00403328"/>
    <w:rsid w:val="0040694F"/>
    <w:rsid w:val="00425036"/>
    <w:rsid w:val="004340F3"/>
    <w:rsid w:val="00440A55"/>
    <w:rsid w:val="00444E73"/>
    <w:rsid w:val="00445FD0"/>
    <w:rsid w:val="004774EB"/>
    <w:rsid w:val="004807FA"/>
    <w:rsid w:val="00491898"/>
    <w:rsid w:val="00494DC3"/>
    <w:rsid w:val="00495E99"/>
    <w:rsid w:val="0049683C"/>
    <w:rsid w:val="00496CE1"/>
    <w:rsid w:val="004A1FCB"/>
    <w:rsid w:val="004A324C"/>
    <w:rsid w:val="004A3798"/>
    <w:rsid w:val="004B5588"/>
    <w:rsid w:val="004E2731"/>
    <w:rsid w:val="004F1356"/>
    <w:rsid w:val="004F62E5"/>
    <w:rsid w:val="00501FD7"/>
    <w:rsid w:val="00502EB6"/>
    <w:rsid w:val="00504624"/>
    <w:rsid w:val="0050497D"/>
    <w:rsid w:val="00507DA2"/>
    <w:rsid w:val="0051168E"/>
    <w:rsid w:val="005122BE"/>
    <w:rsid w:val="00527FD7"/>
    <w:rsid w:val="00530A6C"/>
    <w:rsid w:val="00554393"/>
    <w:rsid w:val="005618BB"/>
    <w:rsid w:val="00563BDD"/>
    <w:rsid w:val="00573DFB"/>
    <w:rsid w:val="00580111"/>
    <w:rsid w:val="005801D6"/>
    <w:rsid w:val="005A1675"/>
    <w:rsid w:val="005A2716"/>
    <w:rsid w:val="005A2DBF"/>
    <w:rsid w:val="005A5430"/>
    <w:rsid w:val="005B2DDC"/>
    <w:rsid w:val="005C0B1E"/>
    <w:rsid w:val="005C5A18"/>
    <w:rsid w:val="005D6A02"/>
    <w:rsid w:val="005E098C"/>
    <w:rsid w:val="005E2172"/>
    <w:rsid w:val="005E37CC"/>
    <w:rsid w:val="005E44E3"/>
    <w:rsid w:val="005E4EC4"/>
    <w:rsid w:val="005E5FE8"/>
    <w:rsid w:val="005F0F95"/>
    <w:rsid w:val="005F20EB"/>
    <w:rsid w:val="005F5CEF"/>
    <w:rsid w:val="006034A0"/>
    <w:rsid w:val="00603CE3"/>
    <w:rsid w:val="006116B5"/>
    <w:rsid w:val="00611F1B"/>
    <w:rsid w:val="00622B5D"/>
    <w:rsid w:val="00624C75"/>
    <w:rsid w:val="00624F9E"/>
    <w:rsid w:val="006376D1"/>
    <w:rsid w:val="00637778"/>
    <w:rsid w:val="00644BC9"/>
    <w:rsid w:val="00645E43"/>
    <w:rsid w:val="0064602A"/>
    <w:rsid w:val="006466EC"/>
    <w:rsid w:val="0064748B"/>
    <w:rsid w:val="0065121D"/>
    <w:rsid w:val="00652C49"/>
    <w:rsid w:val="006543FC"/>
    <w:rsid w:val="006546B9"/>
    <w:rsid w:val="00667765"/>
    <w:rsid w:val="00667B85"/>
    <w:rsid w:val="00673559"/>
    <w:rsid w:val="00675E93"/>
    <w:rsid w:val="00685124"/>
    <w:rsid w:val="00691FCE"/>
    <w:rsid w:val="00696BDF"/>
    <w:rsid w:val="00697FF4"/>
    <w:rsid w:val="006A0AD6"/>
    <w:rsid w:val="006B2631"/>
    <w:rsid w:val="006B64D5"/>
    <w:rsid w:val="006C43C0"/>
    <w:rsid w:val="007022FA"/>
    <w:rsid w:val="007036C6"/>
    <w:rsid w:val="007048C1"/>
    <w:rsid w:val="00723945"/>
    <w:rsid w:val="007268AF"/>
    <w:rsid w:val="007317C5"/>
    <w:rsid w:val="0074632C"/>
    <w:rsid w:val="007554D0"/>
    <w:rsid w:val="007654AB"/>
    <w:rsid w:val="00770F48"/>
    <w:rsid w:val="00776000"/>
    <w:rsid w:val="00777110"/>
    <w:rsid w:val="007800B2"/>
    <w:rsid w:val="007A0362"/>
    <w:rsid w:val="007C5D8F"/>
    <w:rsid w:val="007C6EBF"/>
    <w:rsid w:val="007C75A0"/>
    <w:rsid w:val="007D21B6"/>
    <w:rsid w:val="007D45E0"/>
    <w:rsid w:val="007D5EE3"/>
    <w:rsid w:val="007E184B"/>
    <w:rsid w:val="007E65EC"/>
    <w:rsid w:val="007F1F5A"/>
    <w:rsid w:val="007F47AB"/>
    <w:rsid w:val="008021D7"/>
    <w:rsid w:val="008207FB"/>
    <w:rsid w:val="00834FE5"/>
    <w:rsid w:val="0083667A"/>
    <w:rsid w:val="00836C69"/>
    <w:rsid w:val="00841199"/>
    <w:rsid w:val="008421E7"/>
    <w:rsid w:val="008437EE"/>
    <w:rsid w:val="00855140"/>
    <w:rsid w:val="0085763B"/>
    <w:rsid w:val="008619CC"/>
    <w:rsid w:val="00867383"/>
    <w:rsid w:val="00883265"/>
    <w:rsid w:val="00883DAA"/>
    <w:rsid w:val="00887714"/>
    <w:rsid w:val="008914C5"/>
    <w:rsid w:val="00894554"/>
    <w:rsid w:val="008A49CB"/>
    <w:rsid w:val="008A60E7"/>
    <w:rsid w:val="008B465F"/>
    <w:rsid w:val="008B7D95"/>
    <w:rsid w:val="008D71F9"/>
    <w:rsid w:val="008D7586"/>
    <w:rsid w:val="008E04CA"/>
    <w:rsid w:val="008F2448"/>
    <w:rsid w:val="008F3ABA"/>
    <w:rsid w:val="008F515A"/>
    <w:rsid w:val="008F6D3B"/>
    <w:rsid w:val="00902A52"/>
    <w:rsid w:val="0090395C"/>
    <w:rsid w:val="00904B91"/>
    <w:rsid w:val="0090532C"/>
    <w:rsid w:val="00912916"/>
    <w:rsid w:val="00915896"/>
    <w:rsid w:val="00917858"/>
    <w:rsid w:val="00917FAD"/>
    <w:rsid w:val="009207AB"/>
    <w:rsid w:val="00930A4A"/>
    <w:rsid w:val="0093102E"/>
    <w:rsid w:val="009324ED"/>
    <w:rsid w:val="0093598B"/>
    <w:rsid w:val="00946465"/>
    <w:rsid w:val="009500B1"/>
    <w:rsid w:val="00951FB9"/>
    <w:rsid w:val="00952D06"/>
    <w:rsid w:val="00954CFC"/>
    <w:rsid w:val="00960CAF"/>
    <w:rsid w:val="00972F37"/>
    <w:rsid w:val="0099299E"/>
    <w:rsid w:val="00993B8F"/>
    <w:rsid w:val="009A6B99"/>
    <w:rsid w:val="009A6F65"/>
    <w:rsid w:val="009B079A"/>
    <w:rsid w:val="009B133B"/>
    <w:rsid w:val="009C25E6"/>
    <w:rsid w:val="009C4BDF"/>
    <w:rsid w:val="009D0C6F"/>
    <w:rsid w:val="009D14E0"/>
    <w:rsid w:val="009D1A17"/>
    <w:rsid w:val="009D2997"/>
    <w:rsid w:val="009E5CA5"/>
    <w:rsid w:val="009F0F09"/>
    <w:rsid w:val="00A113A1"/>
    <w:rsid w:val="00A20950"/>
    <w:rsid w:val="00A24048"/>
    <w:rsid w:val="00A26405"/>
    <w:rsid w:val="00A26982"/>
    <w:rsid w:val="00A31610"/>
    <w:rsid w:val="00A40A88"/>
    <w:rsid w:val="00A57A4A"/>
    <w:rsid w:val="00A60E9E"/>
    <w:rsid w:val="00A61FD0"/>
    <w:rsid w:val="00A702E5"/>
    <w:rsid w:val="00A70499"/>
    <w:rsid w:val="00AA1C21"/>
    <w:rsid w:val="00AA1F4C"/>
    <w:rsid w:val="00AA2983"/>
    <w:rsid w:val="00AC3DED"/>
    <w:rsid w:val="00AD5DE3"/>
    <w:rsid w:val="00AD77B0"/>
    <w:rsid w:val="00AE0E20"/>
    <w:rsid w:val="00AE1602"/>
    <w:rsid w:val="00AF2B62"/>
    <w:rsid w:val="00B01CD5"/>
    <w:rsid w:val="00B07AA1"/>
    <w:rsid w:val="00B10FC8"/>
    <w:rsid w:val="00B1360A"/>
    <w:rsid w:val="00B13F97"/>
    <w:rsid w:val="00B15554"/>
    <w:rsid w:val="00B160E2"/>
    <w:rsid w:val="00B16F6B"/>
    <w:rsid w:val="00B207FB"/>
    <w:rsid w:val="00B25D4F"/>
    <w:rsid w:val="00B34160"/>
    <w:rsid w:val="00B35781"/>
    <w:rsid w:val="00B4507C"/>
    <w:rsid w:val="00B56D11"/>
    <w:rsid w:val="00B74EFF"/>
    <w:rsid w:val="00B763CF"/>
    <w:rsid w:val="00B771D6"/>
    <w:rsid w:val="00B832E1"/>
    <w:rsid w:val="00B83C33"/>
    <w:rsid w:val="00B83C86"/>
    <w:rsid w:val="00BA05BC"/>
    <w:rsid w:val="00BA6476"/>
    <w:rsid w:val="00BB57B8"/>
    <w:rsid w:val="00BB73F8"/>
    <w:rsid w:val="00BC6C78"/>
    <w:rsid w:val="00BD55D5"/>
    <w:rsid w:val="00BD673A"/>
    <w:rsid w:val="00BE1634"/>
    <w:rsid w:val="00BE38E9"/>
    <w:rsid w:val="00BF1696"/>
    <w:rsid w:val="00BF49AC"/>
    <w:rsid w:val="00BF7BA2"/>
    <w:rsid w:val="00C041B7"/>
    <w:rsid w:val="00C075DF"/>
    <w:rsid w:val="00C23A3B"/>
    <w:rsid w:val="00C27966"/>
    <w:rsid w:val="00C33379"/>
    <w:rsid w:val="00C34BFE"/>
    <w:rsid w:val="00C67D7F"/>
    <w:rsid w:val="00C70047"/>
    <w:rsid w:val="00C755D1"/>
    <w:rsid w:val="00C80511"/>
    <w:rsid w:val="00C8075B"/>
    <w:rsid w:val="00C83E08"/>
    <w:rsid w:val="00C856FE"/>
    <w:rsid w:val="00CB5114"/>
    <w:rsid w:val="00CB571C"/>
    <w:rsid w:val="00CC4211"/>
    <w:rsid w:val="00CD0730"/>
    <w:rsid w:val="00CD1C9C"/>
    <w:rsid w:val="00CD4E68"/>
    <w:rsid w:val="00CD62C7"/>
    <w:rsid w:val="00CF07C1"/>
    <w:rsid w:val="00CF2481"/>
    <w:rsid w:val="00CF5C0A"/>
    <w:rsid w:val="00D21C71"/>
    <w:rsid w:val="00D2351E"/>
    <w:rsid w:val="00D3097F"/>
    <w:rsid w:val="00D32555"/>
    <w:rsid w:val="00D462BB"/>
    <w:rsid w:val="00D53BD1"/>
    <w:rsid w:val="00D60AB0"/>
    <w:rsid w:val="00D74722"/>
    <w:rsid w:val="00D95D65"/>
    <w:rsid w:val="00DA325A"/>
    <w:rsid w:val="00DA65F2"/>
    <w:rsid w:val="00DA75A7"/>
    <w:rsid w:val="00DB0F54"/>
    <w:rsid w:val="00DB4BF7"/>
    <w:rsid w:val="00DB58EF"/>
    <w:rsid w:val="00DB5D03"/>
    <w:rsid w:val="00DB7DCD"/>
    <w:rsid w:val="00DD4D97"/>
    <w:rsid w:val="00DF6CD1"/>
    <w:rsid w:val="00E025F3"/>
    <w:rsid w:val="00E1282B"/>
    <w:rsid w:val="00E15319"/>
    <w:rsid w:val="00E16C47"/>
    <w:rsid w:val="00E21A6D"/>
    <w:rsid w:val="00E26211"/>
    <w:rsid w:val="00E34698"/>
    <w:rsid w:val="00E37212"/>
    <w:rsid w:val="00E41A8B"/>
    <w:rsid w:val="00E50F13"/>
    <w:rsid w:val="00E51D06"/>
    <w:rsid w:val="00E534B1"/>
    <w:rsid w:val="00E57675"/>
    <w:rsid w:val="00E65673"/>
    <w:rsid w:val="00E705A6"/>
    <w:rsid w:val="00E76980"/>
    <w:rsid w:val="00E82B48"/>
    <w:rsid w:val="00E82F99"/>
    <w:rsid w:val="00E90022"/>
    <w:rsid w:val="00E90A76"/>
    <w:rsid w:val="00E934A8"/>
    <w:rsid w:val="00E9418F"/>
    <w:rsid w:val="00EA1B41"/>
    <w:rsid w:val="00EA2DD0"/>
    <w:rsid w:val="00EA606D"/>
    <w:rsid w:val="00EB210F"/>
    <w:rsid w:val="00EC57AA"/>
    <w:rsid w:val="00ED012A"/>
    <w:rsid w:val="00ED5D09"/>
    <w:rsid w:val="00EE1B69"/>
    <w:rsid w:val="00EE4CCD"/>
    <w:rsid w:val="00EF24B9"/>
    <w:rsid w:val="00EF313F"/>
    <w:rsid w:val="00EF45F9"/>
    <w:rsid w:val="00EF52C7"/>
    <w:rsid w:val="00F01BEC"/>
    <w:rsid w:val="00F07254"/>
    <w:rsid w:val="00F074F9"/>
    <w:rsid w:val="00F20D7B"/>
    <w:rsid w:val="00F2422D"/>
    <w:rsid w:val="00F25488"/>
    <w:rsid w:val="00F330B8"/>
    <w:rsid w:val="00F411B2"/>
    <w:rsid w:val="00F42CE7"/>
    <w:rsid w:val="00F452C8"/>
    <w:rsid w:val="00F517FE"/>
    <w:rsid w:val="00F66300"/>
    <w:rsid w:val="00F856B7"/>
    <w:rsid w:val="00F871C4"/>
    <w:rsid w:val="00F93C84"/>
    <w:rsid w:val="00F95594"/>
    <w:rsid w:val="00F97BF4"/>
    <w:rsid w:val="00FA1161"/>
    <w:rsid w:val="00FA3099"/>
    <w:rsid w:val="00FB0545"/>
    <w:rsid w:val="00FB0771"/>
    <w:rsid w:val="00FB0EC6"/>
    <w:rsid w:val="00FB3116"/>
    <w:rsid w:val="00FB4A6C"/>
    <w:rsid w:val="00FC1498"/>
    <w:rsid w:val="00FD48A6"/>
    <w:rsid w:val="00FD5B36"/>
    <w:rsid w:val="00FD69D2"/>
    <w:rsid w:val="00FE46A7"/>
    <w:rsid w:val="00FE4A74"/>
    <w:rsid w:val="00FE70DB"/>
    <w:rsid w:val="00FF2381"/>
    <w:rsid w:val="00FF338B"/>
    <w:rsid w:val="00FF3B1B"/>
    <w:rsid w:val="019F6B97"/>
    <w:rsid w:val="03E87739"/>
    <w:rsid w:val="53BA0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B9203DE"/>
  <w15:chartTrackingRefBased/>
  <w15:docId w15:val="{3A38968B-8936-FA4F-A890-C116240FC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8"/>
      <w:lang w:eastAsia="ro-RO"/>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lang w:eastAsia="en-US"/>
    </w:rPr>
  </w:style>
  <w:style w:type="paragraph" w:styleId="Heading2">
    <w:name w:val="heading 2"/>
    <w:basedOn w:val="Normal"/>
    <w:next w:val="Normal"/>
    <w:link w:val="Heading2Char"/>
    <w:uiPriority w:val="9"/>
    <w:semiHidden/>
    <w:unhideWhenUsed/>
    <w:qFormat/>
    <w:rsid w:val="00776000"/>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080F87"/>
    <w:pPr>
      <w:keepNext/>
      <w:keepLines/>
      <w:spacing w:before="4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eastAsia="ro-RO"/>
    </w:rPr>
  </w:style>
  <w:style w:type="paragraph" w:styleId="BodyText">
    <w:name w:val="Body Text"/>
    <w:basedOn w:val="Normal"/>
    <w:link w:val="BodyTextChar"/>
    <w:qFormat/>
    <w:pPr>
      <w:jc w:val="both"/>
    </w:pPr>
    <w:rPr>
      <w:lang w:val="ro-RO"/>
    </w:rPr>
  </w:style>
  <w:style w:type="character" w:customStyle="1" w:styleId="BodyTextChar">
    <w:name w:val="Body Text Char"/>
    <w:basedOn w:val="DefaultParagraphFont"/>
    <w:link w:val="BodyText"/>
    <w:rPr>
      <w:rFonts w:ascii="Times New Roman" w:eastAsia="Times New Roman" w:hAnsi="Times New Roman" w:cs="Times New Roman"/>
      <w:sz w:val="28"/>
      <w:szCs w:val="20"/>
      <w:lang w:val="ro-RO" w:eastAsia="ro-RO"/>
    </w:rPr>
  </w:style>
  <w:style w:type="character" w:styleId="CommentReference">
    <w:name w:val="annotation reference"/>
    <w:basedOn w:val="DefaultParagraphFont"/>
    <w:uiPriority w:val="99"/>
    <w:unhideWhenUsed/>
    <w:rPr>
      <w:sz w:val="16"/>
      <w:szCs w:val="16"/>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sz w:val="20"/>
      <w:szCs w:val="20"/>
      <w:lang w:eastAsia="ro-RO"/>
    </w:rPr>
  </w:style>
  <w:style w:type="paragraph" w:styleId="CommentSubject">
    <w:name w:val="annotation subject"/>
    <w:basedOn w:val="CommentText"/>
    <w:next w:val="CommentText"/>
    <w:link w:val="CommentSubjectChar"/>
    <w:uiPriority w:val="99"/>
    <w:unhideWhenUsed/>
    <w:qFormat/>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lang w:eastAsia="ro-RO"/>
    </w:rPr>
  </w:style>
  <w:style w:type="paragraph" w:styleId="Footer">
    <w:name w:val="footer"/>
    <w:basedOn w:val="Normal"/>
    <w:link w:val="FooterChar"/>
    <w:uiPriority w:val="99"/>
    <w:unhideWhenUsed/>
    <w:qFormat/>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0"/>
      <w:lang w:eastAsia="ro-RO"/>
    </w:r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rPr>
  </w:style>
  <w:style w:type="character" w:customStyle="1" w:styleId="FootnoteTextChar">
    <w:name w:val="Footnote Text Char"/>
    <w:basedOn w:val="DefaultParagraphFont"/>
    <w:link w:val="FootnoteText"/>
    <w:uiPriority w:val="99"/>
    <w:semiHidden/>
    <w:qFormat/>
    <w:rPr>
      <w:rFonts w:ascii="Times New Roman" w:eastAsia="Times New Roman" w:hAnsi="Times New Roman" w:cs="Times New Roman"/>
      <w:sz w:val="20"/>
      <w:szCs w:val="20"/>
      <w:lang w:eastAsia="ro-RO"/>
    </w:rPr>
  </w:style>
  <w:style w:type="paragraph" w:styleId="Header">
    <w:name w:val="header"/>
    <w:basedOn w:val="Normal"/>
    <w:link w:val="HeaderChar"/>
    <w:qFormat/>
    <w:pPr>
      <w:tabs>
        <w:tab w:val="center" w:pos="4536"/>
        <w:tab w:val="right" w:pos="9072"/>
      </w:tabs>
    </w:pPr>
  </w:style>
  <w:style w:type="character" w:customStyle="1" w:styleId="HeaderChar">
    <w:name w:val="Header Char"/>
    <w:basedOn w:val="DefaultParagraphFont"/>
    <w:link w:val="Header"/>
    <w:qFormat/>
    <w:rPr>
      <w:rFonts w:ascii="Times New Roman" w:eastAsia="Times New Roman" w:hAnsi="Times New Roman" w:cs="Times New Roman"/>
      <w:sz w:val="28"/>
      <w:szCs w:val="20"/>
      <w:lang w:eastAsia="ro-RO"/>
    </w:rPr>
  </w:style>
  <w:style w:type="character" w:styleId="Hyperlink">
    <w:name w:val="Hyperlink"/>
    <w:uiPriority w:val="99"/>
    <w:rPr>
      <w:color w:val="0000FF"/>
      <w:u w:val="single"/>
    </w:rPr>
  </w:style>
  <w:style w:type="character" w:styleId="PageNumber">
    <w:name w:val="page number"/>
    <w:basedOn w:val="DefaultParagraphFont"/>
    <w:qForma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pPr>
      <w:spacing w:after="160" w:line="259" w:lineRule="auto"/>
    </w:pPr>
    <w:rPr>
      <w:rFonts w:cs="Calibri"/>
      <w:color w:val="000000"/>
      <w:sz w:val="22"/>
      <w:szCs w:val="22"/>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styleId="FollowedHyperlink">
    <w:name w:val="FollowedHyperlink"/>
    <w:basedOn w:val="DefaultParagraphFont"/>
    <w:uiPriority w:val="99"/>
    <w:semiHidden/>
    <w:unhideWhenUsed/>
    <w:rsid w:val="00A113A1"/>
    <w:rPr>
      <w:color w:val="96607D" w:themeColor="followedHyperlink"/>
      <w:u w:val="single"/>
    </w:rPr>
  </w:style>
  <w:style w:type="character" w:styleId="UnresolvedMention">
    <w:name w:val="Unresolved Mention"/>
    <w:basedOn w:val="DefaultParagraphFont"/>
    <w:uiPriority w:val="99"/>
    <w:semiHidden/>
    <w:unhideWhenUsed/>
    <w:rsid w:val="00A113A1"/>
    <w:rPr>
      <w:color w:val="605E5C"/>
      <w:shd w:val="clear" w:color="auto" w:fill="E1DFDD"/>
    </w:rPr>
  </w:style>
  <w:style w:type="character" w:customStyle="1" w:styleId="Heading2Char">
    <w:name w:val="Heading 2 Char"/>
    <w:basedOn w:val="DefaultParagraphFont"/>
    <w:link w:val="Heading2"/>
    <w:uiPriority w:val="9"/>
    <w:semiHidden/>
    <w:rsid w:val="00776000"/>
    <w:rPr>
      <w:rFonts w:asciiTheme="majorHAnsi" w:eastAsiaTheme="majorEastAsia" w:hAnsiTheme="majorHAnsi" w:cstheme="majorBidi"/>
      <w:color w:val="0F4761" w:themeColor="accent1" w:themeShade="BF"/>
      <w:sz w:val="26"/>
      <w:szCs w:val="26"/>
      <w:lang w:eastAsia="ro-RO"/>
    </w:rPr>
  </w:style>
  <w:style w:type="character" w:customStyle="1" w:styleId="Heading3Char">
    <w:name w:val="Heading 3 Char"/>
    <w:basedOn w:val="DefaultParagraphFont"/>
    <w:link w:val="Heading3"/>
    <w:uiPriority w:val="9"/>
    <w:semiHidden/>
    <w:rsid w:val="00080F87"/>
    <w:rPr>
      <w:rFonts w:asciiTheme="majorHAnsi" w:eastAsiaTheme="majorEastAsia" w:hAnsiTheme="majorHAnsi" w:cstheme="majorBidi"/>
      <w:color w:val="0A2F40" w:themeColor="accent1" w:themeShade="7F"/>
      <w:sz w:val="24"/>
      <w:szCs w:val="24"/>
      <w:lang w:eastAsia="ro-RO"/>
    </w:rPr>
  </w:style>
  <w:style w:type="table" w:styleId="TableGridLight">
    <w:name w:val="Grid Table Light"/>
    <w:basedOn w:val="TableNormal"/>
    <w:uiPriority w:val="40"/>
    <w:rsid w:val="00CB511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B511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B511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B511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B511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B511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CB511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B5114"/>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B5114"/>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B5114"/>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C83E08"/>
    <w:pPr>
      <w:spacing w:before="100" w:beforeAutospacing="1" w:after="100" w:afterAutospacing="1"/>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6-5359-6102%20" TargetMode="External"/><Relationship Id="rId13" Type="http://schemas.openxmlformats.org/officeDocument/2006/relationships/hyperlink" Target="https://doi.org/10.7208/chicago/9780226189666.001.0001" TargetMode="External"/><Relationship Id="rId18" Type="http://schemas.openxmlformats.org/officeDocument/2006/relationships/hyperlink" Target="https://doi.org/10.1093/acprof:oso/9780190464585.001.0001"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93/jpo/jov002" TargetMode="External"/><Relationship Id="rId7" Type="http://schemas.openxmlformats.org/officeDocument/2006/relationships/image" Target="media/image1.png"/><Relationship Id="rId12" Type="http://schemas.openxmlformats.org/officeDocument/2006/relationships/hyperlink" Target="mailto:guglielmo.puzio@studenti.luiss.it" TargetMode="External"/><Relationship Id="rId17" Type="http://schemas.openxmlformats.org/officeDocument/2006/relationships/hyperlink" Target="https://doi.org/10.3138/utlj.2017-0044"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7/978-981-10-8956-5_8" TargetMode="External"/><Relationship Id="rId20" Type="http://schemas.openxmlformats.org/officeDocument/2006/relationships/hyperlink" Target="https://doi.org/10.1002/smj.325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9-0001-4366-2632" TargetMode="External"/><Relationship Id="rId24" Type="http://schemas.openxmlformats.org/officeDocument/2006/relationships/hyperlink" Target="https://doi.org/10.1109/HICSS.2013.449" TargetMode="External"/><Relationship Id="rId5" Type="http://schemas.openxmlformats.org/officeDocument/2006/relationships/footnotes" Target="footnotes.xml"/><Relationship Id="rId15" Type="http://schemas.openxmlformats.org/officeDocument/2006/relationships/hyperlink" Target="https://doi.org/10.25300/MISQ/2015/39.1.10" TargetMode="External"/><Relationship Id="rId23" Type="http://schemas.openxmlformats.org/officeDocument/2006/relationships/hyperlink" Target="https://digitalcommons.law.uw.edu/wlr/vol89/iss1/5" TargetMode="External"/><Relationship Id="rId10" Type="http://schemas.openxmlformats.org/officeDocument/2006/relationships/hyperlink" Target="mailto:daniele.allega@studenti.unimercatorum.it" TargetMode="External"/><Relationship Id="rId19" Type="http://schemas.openxmlformats.org/officeDocument/2006/relationships/hyperlink" Target="https://doi.org/10.1098/rsta.2023.0254" TargetMode="External"/><Relationship Id="rId4" Type="http://schemas.openxmlformats.org/officeDocument/2006/relationships/webSettings" Target="webSettings.xml"/><Relationship Id="rId9" Type="http://schemas.openxmlformats.org/officeDocument/2006/relationships/hyperlink" Target="mailto:dallega@luiss.it" TargetMode="External"/><Relationship Id="rId14" Type="http://schemas.openxmlformats.org/officeDocument/2006/relationships/hyperlink" Target="https://doi.org/10.1287/isre.2018.0794" TargetMode="External"/><Relationship Id="rId22" Type="http://schemas.openxmlformats.org/officeDocument/2006/relationships/hyperlink" Target="https://doi.org/10.4159/harvard.97806747360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8</Pages>
  <Words>3880</Words>
  <Characters>22120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Daniele Allega</cp:lastModifiedBy>
  <cp:revision>31</cp:revision>
  <dcterms:created xsi:type="dcterms:W3CDTF">2025-11-09T12:27:00Z</dcterms:created>
  <dcterms:modified xsi:type="dcterms:W3CDTF">2025-11-15T20:40:00Z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1C4BEBFAC89B4D3F94ED76A06EEEBAFC_13</vt:lpwstr>
  </property>
</Properties>
</file>