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611C7" w14:textId="77777777" w:rsidR="003F0216" w:rsidRPr="00FE1F70" w:rsidRDefault="00000000">
      <w:pPr>
        <w:pStyle w:val="Titolo1"/>
        <w:rPr>
          <w:color w:val="000000" w:themeColor="text1"/>
        </w:rPr>
      </w:pPr>
      <w:bookmarkStart w:id="0" w:name="chapter-1-meaning-without-measure"/>
      <w:r w:rsidRPr="00FE1F70">
        <w:rPr>
          <w:color w:val="000000" w:themeColor="text1"/>
        </w:rPr>
        <w:t>Chapter 1 — Meaning without measure</w:t>
      </w:r>
    </w:p>
    <w:p w14:paraId="7F64D9E1" w14:textId="77777777" w:rsidR="003F0216" w:rsidRPr="00FE1F70" w:rsidRDefault="00000000">
      <w:pPr>
        <w:pStyle w:val="Titolo2"/>
        <w:rPr>
          <w:color w:val="000000" w:themeColor="text1"/>
        </w:rPr>
      </w:pPr>
      <w:bookmarkStart w:id="1" w:name="Xc670720400f2b66f2fa04978294b0c6964d7cd1"/>
      <w:r w:rsidRPr="00FE1F70">
        <w:rPr>
          <w:color w:val="000000" w:themeColor="text1"/>
        </w:rPr>
        <w:t xml:space="preserve">1.2 Law as language: </w:t>
      </w:r>
      <w:r w:rsidRPr="00FE1F70">
        <w:rPr>
          <w:i/>
          <w:iCs/>
          <w:color w:val="000000" w:themeColor="text1"/>
        </w:rPr>
        <w:t>Volksgeist</w:t>
      </w:r>
      <w:r w:rsidRPr="00FE1F70">
        <w:rPr>
          <w:color w:val="000000" w:themeColor="text1"/>
        </w:rPr>
        <w:t xml:space="preserve">, </w:t>
      </w:r>
      <w:r w:rsidRPr="00FE1F70">
        <w:rPr>
          <w:i/>
          <w:iCs/>
          <w:color w:val="000000" w:themeColor="text1"/>
        </w:rPr>
        <w:t>lebendes Recht</w:t>
      </w:r>
      <w:r w:rsidRPr="00FE1F70">
        <w:rPr>
          <w:color w:val="000000" w:themeColor="text1"/>
        </w:rPr>
        <w:t>, and meaning as collective practice</w:t>
      </w:r>
    </w:p>
    <w:p w14:paraId="5B077DBB" w14:textId="77777777" w:rsidR="003F0216" w:rsidRDefault="00000000">
      <w:pPr>
        <w:pStyle w:val="FirstParagraph"/>
      </w:pPr>
      <w:r>
        <w:t>The intellectual tradition that most clearly links law to meaning, and meaning to collective practice, originates in the controversy that defined the direction of European legal thought in the early nineteenth century.</w:t>
      </w:r>
    </w:p>
    <w:p w14:paraId="496F457A" w14:textId="77777777" w:rsidR="003F0216" w:rsidRDefault="00000000">
      <w:pPr>
        <w:pStyle w:val="Corpotesto"/>
      </w:pPr>
      <w:r>
        <w:t>In 1814, as post-Napoleonic Europe debated whether to adopt rational codes on the French model, Anton Friedrich Justus Thibaut published his programmatic Über die Nothwendigkeit eines allgemeinen bürgerlichen Rechts für Deutschland, advocating juridical unification as an instrument of political consolidation. Friedrich Carl von Savigny’s response, contained in Vom Beruf unsrer Zeit für Gesetzgebung und Rechtswissenschaft, inverted the terms of the question. The issue, for Savigny, was not whether Germany needed a unified code, but whether authentic law could be produced by legislative fiat at all. His answer was unequivocal: it could not. Law, like language, is not made but found. It does not arise from the will of the legislator, but emerges from the collective consciousness of a people, from its Rechtsbewußtseyn.</w:t>
      </w:r>
      <w:r>
        <w:footnoteReference w:id="1"/>
      </w:r>
      <w:r>
        <w:footnoteReference w:id="2"/>
      </w:r>
      <w:r>
        <w:footnoteReference w:id="3"/>
      </w:r>
    </w:p>
    <w:p w14:paraId="4CC92B4B" w14:textId="77777777" w:rsidR="003F0216" w:rsidRDefault="00000000">
      <w:pPr>
        <w:pStyle w:val="Corpotesto"/>
      </w:pPr>
      <w:r>
        <w:t>In the work of his maturity, the System des heutigen römischen Rechts, Savigny articulated this intuition with full systematic force. «Das Recht hat seine Wurzel in dem gemeinsamen Bewußtseyn des Volkes» (“law has its root in the common consciousness of the people”). Positive law, he continued, «hat seinen Sitz in dem Volk als einem großen Naturganzen» (“has its seat in the people understood as a great natural totality”). The constitutive analogy, for Savigny, is with language. No one invents a grammar; no one decrees the rules of syntax. Yet grammar exists, binds, and is transmitted from generation to generation. In the same manner, law is not deliberated: it precipitates slowly from daily practices, from repeated contracts, from consolidated expectations. Jurists do not create this law; they articulate it, bring it to consciousness, systematize it, render it technically operative. But the raw material, the spirit that informs the rules, pre-exists their intervention.</w:t>
      </w:r>
      <w:r>
        <w:footnoteReference w:id="4"/>
      </w:r>
      <w:r>
        <w:footnoteReference w:id="5"/>
      </w:r>
    </w:p>
    <w:p w14:paraId="5C8EAB25" w14:textId="77777777" w:rsidR="003F0216" w:rsidRDefault="00000000">
      <w:pPr>
        <w:pStyle w:val="Corpotesto"/>
      </w:pPr>
      <w:r>
        <w:t>What matters for the present inquiry is not the political programme of the Historical School, nor its romanticist overtones, but the epistemological claim embedded in the analogy. If law is analogous to language in its mode of emergence, then legal meaning is a collective phenomenon: it arises from the practices of a community, not from the intentions of individual actors. The jurist who interprets a legal concept is not decoding a message sent by a legislator; she is participating in, and drawing upon, a shared reservoir of normative meaning that no single agent has authored. The question for methodology is whether such a collective phenomenon can be observed empirically, or whether hermeneutic reconstruction is the only available mode of access.</w:t>
      </w:r>
    </w:p>
    <w:p w14:paraId="68488E8B" w14:textId="77777777" w:rsidR="003F0216" w:rsidRDefault="00000000">
      <w:pPr>
        <w:pStyle w:val="Corpotesto"/>
      </w:pPr>
      <w:r>
        <w:lastRenderedPageBreak/>
        <w:t>Savigny’s analogy between law and language was not an isolated metaphor. It was inscribed within a philosophical tradition which, from Herder to Humboldt, had recognised in language a function that was not merely representative but constitutive of reality.</w:t>
      </w:r>
    </w:p>
    <w:p w14:paraId="42915E1C" w14:textId="77777777" w:rsidR="003F0216" w:rsidRDefault="00000000">
      <w:pPr>
        <w:pStyle w:val="Corpotesto"/>
      </w:pPr>
      <w:r>
        <w:t>Johann Gottfried Herder, in his Abhandlung über den Ursprung der Sprache (1772), argued that language is not an instrument external to thought, but its “natural organ.” Every people, for Herder, possesses a peculiar spirit, a Volksgeist, that expresses itself above all in its language. Language does not mirror the world; it articulates it according to categories that are proper to that community and to no other. Wilhelm von Humboldt radicalised this insight. In his posthumous Über die Verschiedenheit des menschlichen Sprachbaues (1836), Humboldt introduced the concept of Weltansicht: every language is a “worldview,” a peculiar way of segmenting experience. Language does not translate pre-existing thoughts into words; it generates the thoughts themselves. «Die Sprache ist das bildende Organ des Gedankens» (“language is the formative organ of thought”). He who speaks one language inhabits one world; he who speaks another inhabits a different world, even if he walks upon the same soil.</w:t>
      </w:r>
      <w:r>
        <w:footnoteReference w:id="6"/>
      </w:r>
      <w:r>
        <w:footnoteReference w:id="7"/>
      </w:r>
    </w:p>
    <w:p w14:paraId="5DD43C6D" w14:textId="77777777" w:rsidR="003F0216" w:rsidRDefault="00000000">
      <w:pPr>
        <w:pStyle w:val="Corpotesto"/>
      </w:pPr>
      <w:r>
        <w:t>The implication for legal methodology, though Humboldt himself did not draw it, is direct. If law is analogous to language in its emergence (Savigny), and if language constitutes rather than represents the conceptual world of its speakers (Humboldt), then every legal tradition does not merely describe a normative reality that exists independently of it. It constitutes one. The legal vocabulary of a tradition is not a neutral labelling system applied to a pre-existing set of normative objects; it is the very medium through which those objects acquire their determinate shape. This is not a comparative claim about differences between legal systems. It is a claim about how legal meaning is constituted within any tradition whatsoever.</w:t>
      </w:r>
    </w:p>
    <w:p w14:paraId="321EFCC9" w14:textId="77777777" w:rsidR="003F0216" w:rsidRDefault="00000000">
      <w:pPr>
        <w:pStyle w:val="Corpotesto"/>
      </w:pPr>
      <w:r>
        <w:t>A century later, Ludwig Wittgenstein’s Philosophische Untersuchungen would reformulate and deepen these insights with a rigour that Herder and Humboldt could not have attained. The formulation that concerns us is stated in 43 with characteristic precision: «Man kann für eine große Klasse von Fällen der Benutzung des Wortes “Bedeutung” — wenn auch nicht für alle Fälle seiner Benutzung — dieses Wort so erklären: Die Bedeutung eines Wortes ist sein Gebrauch in der Sprache» (“For a large class of cases of the use of the word ‘meaning’, though not for all cases of its use, this word can be explained thus: the meaning of a word is its use in the language”). The qualification (“though not for all cases”) is essential: Wittgenstein does not advance a reductive thesis. He offers, rather, a reorientation of attention, from the question “what does a word refer to?” to the question “how is a word used?”</w:t>
      </w:r>
      <w:r>
        <w:footnoteReference w:id="8"/>
      </w:r>
      <w:r>
        <w:footnoteReference w:id="9"/>
      </w:r>
    </w:p>
    <w:p w14:paraId="69D48707" w14:textId="77777777" w:rsidR="003F0216" w:rsidRDefault="00000000">
      <w:pPr>
        <w:pStyle w:val="Corpotesto"/>
      </w:pPr>
      <w:r>
        <w:t xml:space="preserve">For the later Wittgenstein, to imagine a language is to imagine a Lebensform, a “form of life.” The concept of the Sprachspiel (“language-game”) is introduced precisely to emphasise that «das Sprechen der Sprache </w:t>
      </w:r>
      <w:r>
        <w:lastRenderedPageBreak/>
        <w:t>ein Teil ist einer Tätigkeit, oder einer Lebensform» (“the speaking of language is part of an activity, or of a form of life”). Meaning does not pre-exist use; it is constituted by use within a shared practice.</w:t>
      </w:r>
      <w:r>
        <w:footnoteReference w:id="10"/>
      </w:r>
      <w:r>
        <w:footnoteReference w:id="11"/>
      </w:r>
    </w:p>
    <w:p w14:paraId="194D19D9" w14:textId="77777777" w:rsidR="003F0216" w:rsidRDefault="00000000">
      <w:pPr>
        <w:pStyle w:val="Corpotesto"/>
      </w:pPr>
      <w:r>
        <w:t>The implications for normativity are profound. To follow a rule, Wittgenstein argues, is not to interpret a formula in the privacy of one’s mind: it is to participate in a Gepflogenheit (a practice, a custom). «Einer Regel folgen, eine Mitteilung machen, einen Befehl geben, eine Schachpartie spielen sind Gepflogenheiten (Gebräuche, Institutionen)» (“To obey a rule, to make a report, to give an order, to play a game of chess, are customs, uses, institutions”). One cannot follow a rule “privately”: the very concept of correctness presupposes a shared practice against which individual performances can be measured. And it is in this shared practice, in this Lebensform, that people agree: not in opinions, but in something more fundamental. «Dies ist keine Übereinstimmung der Meinungen, sondern der Lebensform» (“This is not agreement in opinions but in form of life”).</w:t>
      </w:r>
      <w:r>
        <w:footnoteReference w:id="12"/>
      </w:r>
      <w:r>
        <w:footnoteReference w:id="13"/>
      </w:r>
    </w:p>
    <w:p w14:paraId="3DE54870" w14:textId="77777777" w:rsidR="003F0216" w:rsidRDefault="00000000">
      <w:pPr>
        <w:pStyle w:val="Corpotesto"/>
      </w:pPr>
      <w:r>
        <w:t>This is the hinge upon which the argument of the present chapter turns. If meaning is use (Wittgenstein), and if use is a shared, observable practice rather than a private mental event, then meaning is in principle amenable to empirical observation. The Wittgensteinian framework does not merely permit this conclusion; it demands it. A meaning that could not, even in principle, be observed in the practices of a community would be a meaning that no one could be said to share, and therefore, on Wittgenstein’s own account, no meaning at all. Yet “use” in Wittgenstein remains a qualitative notion. He describes it, illustrates it, philosophises about it. He does not measure it. The question is whether the transition from philosophical insight to empirical procedure is possible.</w:t>
      </w:r>
    </w:p>
    <w:p w14:paraId="2018C9C8" w14:textId="77777777" w:rsidR="003F0216" w:rsidRDefault="00000000">
      <w:pPr>
        <w:pStyle w:val="Corpotesto"/>
      </w:pPr>
      <w:r>
        <w:t>In his Grundlegung der Soziologie des Rechts (1913), Ehrlich distinguished between the norms that courts apply, the Entscheidungsnormen (“norms of decision”), and the norms that actually govern social life: the lebendes Recht (“living law”). This second category comprises the rules that people follow daily, often without knowing that written laws exist on the same subject. The contract that two merchants conclude with a handshake, the reciprocal expectations that regulate neighbourly relations, the professional customs that no code has ever sanctioned: all this is living law. And social life, for Ehrlich, always has the last word, because formal law, however solemn, is destined to remain a dead letter if it does not intercept the actual practices of the community.</w:t>
      </w:r>
      <w:r>
        <w:footnoteReference w:id="14"/>
      </w:r>
    </w:p>
    <w:p w14:paraId="7201B001" w14:textId="77777777" w:rsidR="003F0216" w:rsidRDefault="00000000">
      <w:pPr>
        <w:pStyle w:val="Corpotesto"/>
      </w:pPr>
      <w:r>
        <w:t xml:space="preserve">Ehrlich’s distinction illuminates a tension that is methodologically significant. If there exists a gap between declared norm and practised norm, between Entscheidungsnormen and lebendes Recht, then the meaning of legal concepts as they function in social life may differ systematically from their meaning as defined in statute books. Ehrlich’s method for investigating this gap was sociological: observation, interviews, the </w:t>
      </w:r>
      <w:r>
        <w:lastRenderedPageBreak/>
        <w:t>study of contractual practices. It was, in other words, empirical. But it remained qualitative and local. Ehrlich could study the living law of Bukovina; he could not measure the semantic structure of an entire legal vocabulary or compare it systematically across traditions. The aspiration was there; the instrument was not.</w:t>
      </w:r>
    </w:p>
    <w:p w14:paraId="45CA18F7" w14:textId="77777777" w:rsidR="003F0216" w:rsidRDefault="00000000">
      <w:pPr>
        <w:pStyle w:val="Corpotesto"/>
      </w:pPr>
      <w:r>
        <w:t>The tradition traced in this section, from Savigny through Humboldt and Wittgenstein to Ehrlich, provides the richest account available in the jurisprudential literature of legal meaning as a collective, emergent, practice-based phenomenon. It tells us what legal meaning is: not a content decreed by authority, but a structure that arises from the practices of a linguistic community. It does not, however, tell us how to observe it at scale. The methods it offers are hermeneutic (Savigny’s canons), philosophical (Wittgenstein’s analysis of rule-following), or sociological (Ehrlich’s fieldwork). None produces the kind of systematic, replicable, intersubjectively verifiable observation that an instrument of measurement would afford.</w:t>
      </w:r>
    </w:p>
    <w:p w14:paraId="752C8648" w14:textId="77777777" w:rsidR="003F0216" w:rsidRDefault="00000000">
      <w:pPr>
        <w:pStyle w:val="Corpotesto"/>
      </w:pPr>
      <w:r>
        <w:t>Wittgenstein tells us that meaning is use. The question, then, is whether “use” can be formalised, whether there exists a procedure that takes the observable patterns of linguistic practice and converts them into a structure amenable to measurement. Such a procedure exists. It was formulated, independently of the philosophical tradition sketched above, by linguists working in the empirical analysis of language. It is known as the distributional hypothesis.</w:t>
      </w:r>
    </w:p>
    <w:p w14:paraId="48286E18" w14:textId="77777777" w:rsidR="003F0216" w:rsidRDefault="00AD652A">
      <w:r>
        <w:rPr>
          <w:noProof/>
        </w:rPr>
        <w:pict w14:anchorId="714D350B">
          <v:rect id="_x0000_i1025" alt="" style="width:481.9pt;height:.05pt;mso-width-percent:0;mso-height-percent:0;mso-width-percent:0;mso-height-percent:0" o:hralign="center" o:hrstd="t" o:hr="t"/>
        </w:pict>
      </w:r>
      <w:bookmarkEnd w:id="0"/>
      <w:bookmarkEnd w:id="1"/>
    </w:p>
    <w:sectPr w:rsidR="003F0216" w:rsidSect="00034616">
      <w:pgSz w:w="12240" w:h="15840"/>
      <w:pgMar w:top="1417" w:right="1134" w:bottom="1134" w:left="1134"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85E50" w14:textId="77777777" w:rsidR="00AD652A" w:rsidRDefault="00AD652A">
      <w:pPr>
        <w:spacing w:line="240" w:lineRule="auto"/>
      </w:pPr>
      <w:r>
        <w:separator/>
      </w:r>
    </w:p>
  </w:endnote>
  <w:endnote w:type="continuationSeparator" w:id="0">
    <w:p w14:paraId="0AB107E5" w14:textId="77777777" w:rsidR="00AD652A" w:rsidRDefault="00AD65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18A53" w14:textId="77777777" w:rsidR="00AD652A" w:rsidRDefault="00AD652A">
      <w:pPr>
        <w:spacing w:line="240" w:lineRule="auto"/>
      </w:pPr>
      <w:r>
        <w:separator/>
      </w:r>
    </w:p>
  </w:footnote>
  <w:footnote w:type="continuationSeparator" w:id="0">
    <w:p w14:paraId="2627DE07" w14:textId="77777777" w:rsidR="00AD652A" w:rsidRDefault="00AD652A">
      <w:pPr>
        <w:spacing w:line="240" w:lineRule="auto"/>
      </w:pPr>
      <w:r>
        <w:continuationSeparator/>
      </w:r>
    </w:p>
  </w:footnote>
  <w:footnote w:id="1">
    <w:p w14:paraId="2D56BEF1" w14:textId="77777777" w:rsidR="003F0216" w:rsidRDefault="00000000">
      <w:pPr>
        <w:pStyle w:val="Testonotaapidipagina1"/>
      </w:pPr>
      <w:r>
        <w:footnoteRef/>
      </w:r>
      <w:r>
        <w:t xml:space="preserve"> THIBAUT, A. F. J., </w:t>
      </w:r>
      <w:r>
        <w:rPr>
          <w:i/>
          <w:iCs/>
        </w:rPr>
        <w:t>Über die Nothwendigkeit eines allgemeinen bürgerlichen Rechts für Deutschland</w:t>
      </w:r>
      <w:r>
        <w:t>, Mohr und Zimmer, Heidelberg 1814.</w:t>
      </w:r>
    </w:p>
  </w:footnote>
  <w:footnote w:id="2">
    <w:p w14:paraId="73E7DD8B" w14:textId="77777777" w:rsidR="003F0216" w:rsidRDefault="00000000">
      <w:pPr>
        <w:pStyle w:val="Testonotaapidipagina1"/>
      </w:pPr>
      <w:r>
        <w:footnoteRef/>
      </w:r>
      <w:r>
        <w:t xml:space="preserve"> SAVIGNY, F. C. VON, </w:t>
      </w:r>
      <w:r>
        <w:rPr>
          <w:i/>
          <w:iCs/>
        </w:rPr>
        <w:t>Vom Beruf unsrer Zeit für Gesetzgebung und Rechtswissenschaft</w:t>
      </w:r>
      <w:r>
        <w:t>, Mohr und Zimmer, Heidelberg 1814.</w:t>
      </w:r>
    </w:p>
  </w:footnote>
  <w:footnote w:id="3">
    <w:p w14:paraId="212B0DF7" w14:textId="77777777" w:rsidR="003F0216" w:rsidRDefault="00000000">
      <w:pPr>
        <w:pStyle w:val="Testonotaapidipagina1"/>
      </w:pPr>
      <w:r>
        <w:footnoteRef/>
      </w:r>
      <w:r>
        <w:t xml:space="preserve"> Lit. “legal consciousness.” The term designates the collective awareness of legal norms that, in Savigny’s account, precedes and grounds positive legislation.</w:t>
      </w:r>
    </w:p>
  </w:footnote>
  <w:footnote w:id="4">
    <w:p w14:paraId="0BC388F0" w14:textId="77777777" w:rsidR="003F0216" w:rsidRDefault="00000000">
      <w:pPr>
        <w:pStyle w:val="Testonotaapidipagina1"/>
      </w:pPr>
      <w:r>
        <w:footnoteRef/>
      </w:r>
      <w:r>
        <w:t xml:space="preserve"> SAVIGNY, F. C. VON, </w:t>
      </w:r>
      <w:r>
        <w:rPr>
          <w:i/>
          <w:iCs/>
        </w:rPr>
        <w:t>System des heutigen römischen Rechts</w:t>
      </w:r>
      <w:r>
        <w:t>, Bd. I, Veit, Berlin 1840, 7.</w:t>
      </w:r>
    </w:p>
  </w:footnote>
  <w:footnote w:id="5">
    <w:p w14:paraId="6769083F" w14:textId="77777777" w:rsidR="003F0216" w:rsidRDefault="00000000">
      <w:pPr>
        <w:pStyle w:val="Testonotaapidipagina1"/>
      </w:pPr>
      <w:r>
        <w:footnoteRef/>
      </w:r>
      <w:r>
        <w:t xml:space="preserve"> Ibid., 8. The notion that law “has its seat in the people understood as a great natural totality” underscores the organicist conception of the political community proper to the Historical School.</w:t>
      </w:r>
    </w:p>
  </w:footnote>
  <w:footnote w:id="6">
    <w:p w14:paraId="436E4768" w14:textId="77777777" w:rsidR="003F0216" w:rsidRDefault="00000000">
      <w:pPr>
        <w:pStyle w:val="Testonotaapidipagina1"/>
      </w:pPr>
      <w:r>
        <w:footnoteRef/>
      </w:r>
      <w:r>
        <w:t xml:space="preserve"> HERDER, J. G., </w:t>
      </w:r>
      <w:r>
        <w:rPr>
          <w:i/>
          <w:iCs/>
        </w:rPr>
        <w:t>Abhandlung über den Ursprung der Sprache</w:t>
      </w:r>
      <w:r>
        <w:t>, Voss, Berlin 1772. Herder was among the first to theorise the nexus between language, thought, and national identity.</w:t>
      </w:r>
    </w:p>
  </w:footnote>
  <w:footnote w:id="7">
    <w:p w14:paraId="78B6378C" w14:textId="77777777" w:rsidR="003F0216" w:rsidRDefault="00000000">
      <w:pPr>
        <w:pStyle w:val="Testonotaapidipagina1"/>
      </w:pPr>
      <w:r>
        <w:footnoteRef/>
      </w:r>
      <w:r>
        <w:t xml:space="preserve"> HUMBOLDT, W. VON, </w:t>
      </w:r>
      <w:r>
        <w:rPr>
          <w:i/>
          <w:iCs/>
        </w:rPr>
        <w:t>Über die Verschiedenheit des menschlichen Sprachbaues und ihren Einfluß auf die geistige Entwicklung des Menschengeschlechts</w:t>
      </w:r>
      <w:r>
        <w:t>, Dümmler, Berlin 1836, 9. The formula encapsulates the Humboldtian conception of language as activity (energeia) rather than product (ergon).</w:t>
      </w:r>
    </w:p>
  </w:footnote>
  <w:footnote w:id="8">
    <w:p w14:paraId="017DDCBD" w14:textId="77777777" w:rsidR="003F0216" w:rsidRDefault="00000000">
      <w:pPr>
        <w:pStyle w:val="Testonotaapidipagina1"/>
      </w:pPr>
      <w:r>
        <w:footnoteRef/>
      </w:r>
      <w:r>
        <w:t xml:space="preserve"> WITTGENSTEIN, L., </w:t>
      </w:r>
      <w:r>
        <w:rPr>
          <w:i/>
          <w:iCs/>
        </w:rPr>
        <w:t>Philosophische Untersuchungen</w:t>
      </w:r>
      <w:r>
        <w:t>, Blackwell, Oxford 1953. The fourth edition (2009), ed. P. M. S. Hacker and J. Schulte, Wiley-Blackwell, has been consulted. The full German text is available at the Ludwig Wittgenstein Project (wittgensteinproject.org).</w:t>
      </w:r>
    </w:p>
  </w:footnote>
  <w:footnote w:id="9">
    <w:p w14:paraId="548A0145" w14:textId="77777777" w:rsidR="003F0216" w:rsidRDefault="00000000">
      <w:pPr>
        <w:pStyle w:val="Testonotaapidipagina1"/>
      </w:pPr>
      <w:r>
        <w:footnoteRef/>
      </w:r>
      <w:r>
        <w:t xml:space="preserve"> Ibid., 43. The qualification is crucial: Wittgenstein does not claim that all meaning reduces to use; he reorients the investigation of meaning from reference to practice. The passage has been verified against the Wittgenstein Project full text.</w:t>
      </w:r>
    </w:p>
  </w:footnote>
  <w:footnote w:id="10">
    <w:p w14:paraId="4D5FA043" w14:textId="77777777" w:rsidR="003F0216" w:rsidRDefault="00000000">
      <w:pPr>
        <w:pStyle w:val="Testonotaapidipagina1"/>
      </w:pPr>
      <w:r>
        <w:footnoteRef/>
      </w:r>
      <w:r>
        <w:t xml:space="preserve"> Ibid., 19: «Und eine Sprache vorstellen heißt, sich eine Lebensform vorstellen» (“And to imagine a language means to imagine a form of life”).</w:t>
      </w:r>
    </w:p>
  </w:footnote>
  <w:footnote w:id="11">
    <w:p w14:paraId="68941ABB" w14:textId="77777777" w:rsidR="003F0216" w:rsidRDefault="00000000">
      <w:pPr>
        <w:pStyle w:val="Testonotaapidipagina1"/>
      </w:pPr>
      <w:r>
        <w:footnoteRef/>
      </w:r>
      <w:r>
        <w:t xml:space="preserve"> Ibid., 23.</w:t>
      </w:r>
    </w:p>
  </w:footnote>
  <w:footnote w:id="12">
    <w:p w14:paraId="14D26375" w14:textId="77777777" w:rsidR="003F0216" w:rsidRDefault="00000000">
      <w:pPr>
        <w:pStyle w:val="Testonotaapidipagina1"/>
      </w:pPr>
      <w:r>
        <w:footnoteRef/>
      </w:r>
      <w:r>
        <w:t xml:space="preserve"> Ibid., 199. And 202: «Darum ist ‘der Regel folgen’ eine Praxis. Und der Regel zu folgen glauben ist nicht: der Regel folgen. Und darum kann man nicht der Regel ‘privatim’ folgen» (“Therefore ‘following a rule’ is a practice. And to believe one is following a rule is not: to follow a rule. And therefore one cannot follow a rule ‘privately’”).</w:t>
      </w:r>
    </w:p>
  </w:footnote>
  <w:footnote w:id="13">
    <w:p w14:paraId="663E4C14" w14:textId="77777777" w:rsidR="003F0216" w:rsidRDefault="00000000">
      <w:pPr>
        <w:pStyle w:val="Testonotaapidipagina1"/>
      </w:pPr>
      <w:r>
        <w:footnoteRef/>
      </w:r>
      <w:r>
        <w:t xml:space="preserve"> Ibid., 241: «Richtig und falsch ist, was Menschen sagen, und in der Sprache stimmen die Menschen überein. Dies ist keine Übereinstimmung der Meinungen, sondern der Lebensform».</w:t>
      </w:r>
    </w:p>
  </w:footnote>
  <w:footnote w:id="14">
    <w:p w14:paraId="7EF98D87" w14:textId="77777777" w:rsidR="003F0216" w:rsidRDefault="00000000">
      <w:pPr>
        <w:pStyle w:val="Testonotaapidipagina1"/>
      </w:pPr>
      <w:r>
        <w:footnoteRef/>
      </w:r>
      <w:r>
        <w:t xml:space="preserve"> EHRLICH, E., </w:t>
      </w:r>
      <w:r>
        <w:rPr>
          <w:i/>
          <w:iCs/>
        </w:rPr>
        <w:t>Grundlegung der Soziologie des Rechts</w:t>
      </w:r>
      <w:r>
        <w:t>, Duncker &amp; Humblot, München-Leipzig 1913, spec. ch. II-III. The distinction between Entscheidungsnormen and lebendes Recht is Ehrlich’s most enduring contribution to legal theory. The tradition traced in this section, from Savigny through Wittgenstein to Ehrlich, admits of two readings: an ontological one, in which the collective consciousness of a legal community is the ultimate source of normative meaning, and an epistemological one, in which the patterns of that community’s linguistic practices become the object of measurement. The present chapter pursues the second reading.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D0A8C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19407467">
    <w:abstractNumId w:val="8"/>
  </w:num>
  <w:num w:numId="2" w16cid:durableId="70586647">
    <w:abstractNumId w:val="6"/>
  </w:num>
  <w:num w:numId="3" w16cid:durableId="1936982237">
    <w:abstractNumId w:val="5"/>
  </w:num>
  <w:num w:numId="4" w16cid:durableId="724649178">
    <w:abstractNumId w:val="4"/>
  </w:num>
  <w:num w:numId="5" w16cid:durableId="735051820">
    <w:abstractNumId w:val="7"/>
  </w:num>
  <w:num w:numId="6" w16cid:durableId="972053153">
    <w:abstractNumId w:val="3"/>
  </w:num>
  <w:num w:numId="7" w16cid:durableId="617032344">
    <w:abstractNumId w:val="2"/>
  </w:num>
  <w:num w:numId="8" w16cid:durableId="1771122961">
    <w:abstractNumId w:val="1"/>
  </w:num>
  <w:num w:numId="9" w16cid:durableId="1062874856">
    <w:abstractNumId w:val="0"/>
  </w:num>
  <w:num w:numId="10" w16cid:durableId="6976565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0216"/>
    <w:rsid w:val="00AA1D8D"/>
    <w:rsid w:val="00AC6113"/>
    <w:rsid w:val="00AD652A"/>
    <w:rsid w:val="00B47730"/>
    <w:rsid w:val="00C32680"/>
    <w:rsid w:val="00CB0664"/>
    <w:rsid w:val="00FC693F"/>
    <w:rsid w:val="00FE1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8BF3B"/>
  <w15:docId w15:val="{89CE81B1-2498-0A40-AC04-A44F0CE9D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0"/>
    </w:pPr>
    <w:rPr>
      <w:rFonts w:ascii="Times New Roman" w:hAnsi="Times New Roman"/>
      <w:sz w:val="23"/>
    </w:rPr>
  </w:style>
  <w:style w:type="paragraph" w:styleId="Titolo1">
    <w:name w:val="heading 1"/>
    <w:basedOn w:val="Normale"/>
    <w:next w:val="Normale"/>
    <w:link w:val="Titolo1Carattere"/>
    <w:uiPriority w:val="9"/>
    <w:qFormat/>
    <w:rsid w:val="00FC693F"/>
    <w:pPr>
      <w:keepNext/>
      <w:keepLines/>
      <w:spacing w:before="480" w:after="240"/>
      <w:outlineLvl w:val="0"/>
    </w:pPr>
    <w:rPr>
      <w:rFonts w:asciiTheme="majorHAnsi" w:eastAsiaTheme="majorEastAsia" w:hAnsiTheme="majorHAnsi" w:cstheme="majorBidi"/>
      <w:b/>
      <w:bCs/>
      <w:color w:val="4F81BD"/>
      <w:sz w:val="32"/>
      <w:szCs w:val="28"/>
    </w:rPr>
  </w:style>
  <w:style w:type="paragraph" w:styleId="Titolo2">
    <w:name w:val="heading 2"/>
    <w:basedOn w:val="Normale"/>
    <w:next w:val="Normale"/>
    <w:link w:val="Titolo2Carattere"/>
    <w:uiPriority w:val="9"/>
    <w:unhideWhenUsed/>
    <w:qFormat/>
    <w:rsid w:val="00FC693F"/>
    <w:pPr>
      <w:keepNext/>
      <w:keepLines/>
      <w:spacing w:before="240" w:after="120"/>
      <w:outlineLvl w:val="1"/>
    </w:pPr>
    <w:rPr>
      <w:rFonts w:asciiTheme="majorHAnsi" w:eastAsiaTheme="majorEastAsia" w:hAnsiTheme="majorHAnsi" w:cstheme="majorBidi"/>
      <w:b/>
      <w:bCs/>
      <w:color w:val="4F81BD"/>
      <w:szCs w:val="26"/>
    </w:rPr>
  </w:style>
  <w:style w:type="paragraph" w:styleId="Titolo3">
    <w:name w:val="heading 3"/>
    <w:basedOn w:val="Normale"/>
    <w:next w:val="Normale"/>
    <w:link w:val="Titolo3Carattere"/>
    <w:uiPriority w:val="9"/>
    <w:unhideWhenUsed/>
    <w:qFormat/>
    <w:rsid w:val="00FC693F"/>
    <w:pPr>
      <w:keepNext/>
      <w:keepLines/>
      <w:spacing w:before="200" w:after="80"/>
      <w:outlineLvl w:val="2"/>
    </w:pPr>
    <w:rPr>
      <w:rFonts w:asciiTheme="majorHAnsi" w:eastAsiaTheme="majorEastAsia" w:hAnsiTheme="majorHAnsi" w:cstheme="majorBidi"/>
      <w:bCs/>
      <w:i/>
      <w:color w:val="4F81BD"/>
    </w:rPr>
  </w:style>
  <w:style w:type="paragraph" w:styleId="Titolo4">
    <w:name w:val="heading 4"/>
    <w:basedOn w:val="Normale"/>
    <w:next w:val="Normale"/>
    <w:link w:val="Titolo4Carattere"/>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20"/>
    </w:pPr>
    <w:rPr>
      <w:rFonts w:ascii="Times New Roman" w:hAnsi="Times New Roman"/>
      <w:sz w:val="23"/>
    </w:rPr>
  </w:style>
  <w:style w:type="paragraph" w:customStyle="1" w:styleId="Testodelblocco1">
    <w:name w:val="Testo del blocco1"/>
    <w:pPr>
      <w:spacing w:before="120" w:after="120"/>
      <w:ind w:left="850" w:right="850"/>
    </w:pPr>
    <w:rPr>
      <w:rFonts w:ascii="Times New Roman" w:hAnsi="Times New Roman"/>
      <w:i/>
      <w:sz w:val="21"/>
    </w:rPr>
  </w:style>
  <w:style w:type="paragraph" w:customStyle="1" w:styleId="Testonotaapidipagina1">
    <w:name w:val="Testo nota a piè di pagina1"/>
    <w:pPr>
      <w:spacing w:after="40" w:line="240" w:lineRule="auto"/>
    </w:pPr>
    <w:rPr>
      <w:rFonts w:ascii="Times New Roman" w:hAnsi="Times New Roman"/>
      <w:sz w:val="18"/>
    </w:rPr>
  </w:style>
  <w:style w:type="paragraph" w:customStyle="1" w:styleId="SourceCode">
    <w:name w:val="Source Code"/>
    <w:basedOn w:val="Normal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1587</Words>
  <Characters>9046</Characters>
  <Application>Microsoft Office Word</Application>
  <DocSecurity>0</DocSecurity>
  <Lines>75</Lines>
  <Paragraphs>21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Guglielmo Puzio</cp:lastModifiedBy>
  <cp:revision>2</cp:revision>
  <dcterms:created xsi:type="dcterms:W3CDTF">2026-03-30T12:28:00Z</dcterms:created>
  <dcterms:modified xsi:type="dcterms:W3CDTF">2026-03-31T19:12:00Z</dcterms:modified>
</cp:coreProperties>
</file>