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right"/>
      </w:pPr>
      <w:r>
        <w:rPr>
          <w:rFonts w:ascii="Times New Roman" w:cs="Times New Roman" w:eastAsia="Times New Roman" w:hAnsi="Times New Roman"/>
          <w:b w:val="false"/>
          <w:bCs w:val="false"/>
          <w:color w:val="000000"/>
          <w:sz w:val="24"/>
          <w:szCs w:val="24"/>
        </w:rPr>
        <w:t xml:space="preserve">Studio SAPG</w:t>
      </w:r>
    </w:p>
    <w:p>
      <w:pPr>
        <w:spacing w:after="600" w:line="360" w:lineRule="auto"/>
        <w:jc w:val="right"/>
      </w:pPr>
      <w:r>
        <w:rPr>
          <w:rFonts w:ascii="Times New Roman" w:cs="Times New Roman" w:eastAsia="Times New Roman" w:hAnsi="Times New Roman"/>
          <w:b w:val="false"/>
          <w:bCs w:val="false"/>
          <w:color w:val="000000"/>
          <w:sz w:val="24"/>
          <w:szCs w:val="24"/>
        </w:rPr>
        <w:t xml:space="preserve">Revisione RV3, 29 settembre 2026</w:t>
      </w:r>
    </w:p>
    <w:p>
      <w:pPr>
        <w:spacing w:after="120" w:line="360" w:lineRule="auto"/>
        <w:jc w:val="left"/>
      </w:pPr>
      <w:r>
        <w:rPr>
          <w:rFonts w:ascii="Times New Roman" w:cs="Times New Roman" w:eastAsia="Times New Roman" w:hAnsi="Times New Roman"/>
          <w:b/>
          <w:bCs/>
          <w:color w:val="000000"/>
          <w:sz w:val="32"/>
          <w:szCs w:val="32"/>
        </w:rPr>
        <w:t xml:space="preserve">Benchmark dei tool di mcp-legal-it</w:t>
      </w:r>
    </w:p>
    <w:p>
      <w:pPr>
        <w:spacing w:after="360" w:line="360" w:lineRule="auto"/>
        <w:jc w:val="left"/>
      </w:pPr>
      <w:r>
        <w:rPr>
          <w:rFonts w:ascii="Times New Roman" w:cs="Times New Roman" w:eastAsia="Times New Roman" w:hAnsi="Times New Roman"/>
          <w:b w:val="false"/>
          <w:bCs w:val="false"/>
          <w:color w:val="000000"/>
          <w:sz w:val="26"/>
          <w:szCs w:val="26"/>
        </w:rPr>
        <w:t xml:space="preserve">Controllo di 228 tool contro i calcolatori di avvocatoandreani.it, le fonti ufficiali e il testo vigente delle norme</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6400"/>
      </w:tblGrid>
      <w:tr>
        <w:trPr>
          <w:tblHeader/>
        </w:trPr>
        <w:tc>
          <w:tcPr>
            <w:tcW w:type="dxa" w:w="2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20"/>
                <w:szCs w:val="20"/>
              </w:rPr>
              <w:t xml:space="preserve">Voce</w:t>
            </w:r>
          </w:p>
        </w:tc>
        <w:tc>
          <w:tcPr>
            <w:tcW w:type="dxa" w:w="6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20"/>
                <w:szCs w:val="20"/>
              </w:rPr>
              <w:t xml:space="preserve">Contenuto</w:t>
            </w:r>
          </w:p>
        </w:tc>
      </w:tr>
      <w:tr>
        <w:trPr>
          <w:cantSplit/>
        </w:trPr>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Repository</w:t>
            </w:r>
          </w:p>
        </w:tc>
        <w:tc>
          <w:tcPr>
            <w:tcW w:type="dxa" w:w="6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capazme/mcp-legal-it, ramo audit-normativa-cartabia</w:t>
            </w:r>
          </w:p>
        </w:tc>
      </w:tr>
      <w:tr>
        <w:trPr>
          <w:cantSplit/>
        </w:trPr>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Documento collegato</w:t>
            </w:r>
          </w:p>
        </w:tc>
        <w:tc>
          <w:tcPr>
            <w:tcW w:type="dxa" w:w="6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docs/001_mcp-legal-it_AuditNormativa_RV_SAPG.md (paragrafi 5.1, 6, 7 e 8)</w:t>
            </w:r>
          </w:p>
        </w:tc>
      </w:tr>
      <w:tr>
        <w:trPr>
          <w:cantSplit/>
        </w:trPr>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Periodo di esecuzione</w:t>
            </w:r>
          </w:p>
        </w:tc>
        <w:tc>
          <w:tcPr>
            <w:tcW w:type="dxa" w:w="6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25-29 settembre 2026</w:t>
            </w:r>
          </w:p>
        </w:tc>
      </w:tr>
      <w:tr>
        <w:trPr>
          <w:cantSplit/>
        </w:trPr>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Commit del benchmark</w:t>
            </w:r>
          </w:p>
        </w:tc>
        <w:tc>
          <w:tcPr>
            <w:tcW w:type="dxa" w:w="6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25, da ff6829e a 6d2aa84</w:t>
            </w:r>
          </w:p>
        </w:tc>
      </w:tr>
      <w:tr>
        <w:trPr>
          <w:cantSplit/>
        </w:trPr>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Stato finale della suite</w:t>
            </w:r>
          </w:p>
        </w:tc>
        <w:tc>
          <w:tcPr>
            <w:tcW w:type="dxa" w:w="6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4182 test passati e 2 saltati con pytest tests/ -m "not live"; audit delle annotazioni e verifica di freschezza dei dati in verde</w:t>
            </w:r>
          </w:p>
        </w:tc>
      </w:tr>
    </w:tbl>
    <w:p>
      <w:r>
        <w:br w:type="page"/>
      </w:r>
    </w:p>
    <w:p>
      <w:pPr>
        <w:pStyle w:val="SAPGHeading1"/>
      </w:pPr>
      <w:r>
        <w:rPr>
          <w:rFonts w:ascii="Times New Roman" w:cs="Times New Roman" w:eastAsia="Times New Roman" w:hAnsi="Times New Roman"/>
          <w:b/>
          <w:bCs/>
          <w:color w:val="000000"/>
        </w:rPr>
        <w:t xml:space="preserve">Sintesi</w:t>
      </w:r>
    </w:p>
    <w:p>
      <w:pPr>
        <w:pStyle w:val="SAPGBody"/>
        <w:spacing w:after="120" w:line="360" w:lineRule="auto"/>
      </w:pPr>
      <w:r>
        <w:rPr>
          <w:rFonts w:ascii="Times New Roman" w:cs="Times New Roman" w:eastAsia="Times New Roman" w:hAnsi="Times New Roman"/>
          <w:color w:val="000000"/>
        </w:rPr>
        <w:t xml:space="preserve">Il benchmark ha riguardato tutti i 228 tool registrati nel server Model Context Protocol (MCP): i 227 dell'audit di settembre e stato_server, aggiunto con la versione 2.14.1. Nessun tool è rimasto senza una riga nella matrice di verdetti. Il sito avvocatoandreani.it è stato usato come termine di confronto e mai come fonte: un tool è stato modificato solo quando una norma, una tabella ufficiale o un decreto lo dimostravano.</w:t>
      </w:r>
    </w:p>
    <w:p>
      <w:pPr>
        <w:pStyle w:val="SAPGBody"/>
        <w:spacing w:after="120" w:line="360" w:lineRule="auto"/>
      </w:pPr>
      <w:r>
        <w:rPr>
          <w:rFonts w:ascii="Times New Roman" w:cs="Times New Roman" w:eastAsia="Times New Roman" w:hAnsi="Times New Roman"/>
          <w:color w:val="000000"/>
        </w:rPr>
        <w:t xml:space="preserve">Il risultato principale è che 161 tool erano sbagliati rispetto alla fonte primaria e sono stati corretti, ciascuno con un test che fissa il valore verificato a mano e cita l'articolo o la tabella applicati. Altri 31 coincidono già con il sito o con la fonte, 17 differiscono per una convenzione difendibile (documentata nei test), in 5 casi l'errore era del sito e in 1 caso del test. Restano 9 tool con una voce aperta, elencati al capitolo 7 con ciò che manca per chiuderli.</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7000"/>
        <w:gridCol w:w="1800"/>
      </w:tblGrid>
      <w:tr>
        <w:trPr>
          <w:tblHeader/>
        </w:trPr>
        <w:tc>
          <w:tcPr>
            <w:tcW w:type="dxa" w:w="70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20"/>
                <w:szCs w:val="20"/>
              </w:rPr>
              <w:t xml:space="preserve">Esito</w:t>
            </w:r>
          </w:p>
        </w:tc>
        <w:tc>
          <w:tcPr>
            <w:tcW w:type="dxa" w:w="18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20"/>
                <w:szCs w:val="20"/>
              </w:rPr>
              <w:t xml:space="preserve">Tool</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Errore del tool accertato sulla fonte e corretto</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160</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Corretto con riserva (competenza_giudice)</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1</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Coincide con il sito o con la fonte</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31</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Differenza di convenzione, documentata</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17</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Errore del sito, tool conforme alla norma</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5</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Errore del test</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1</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Da chiarire con una fonte primaria</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7</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Errato ma non correggibile senza trascrivere una tabella</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2</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Non applicabile (utilità interne)</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4</w:t>
            </w:r>
          </w:p>
        </w:tc>
      </w:tr>
      <w:tr>
        <w:trPr>
          <w:cantSplit/>
        </w:trPr>
        <w:tc>
          <w:tcPr>
            <w:tcW w:type="dxa" w:w="7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Totale</w:t>
            </w:r>
          </w:p>
        </w:tc>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20"/>
                <w:szCs w:val="20"/>
              </w:rPr>
              <w:t xml:space="preserve">228</w:t>
            </w:r>
          </w:p>
        </w:tc>
      </w:tr>
    </w:tbl>
    <w:p>
      <w:pPr>
        <w:spacing w:after="120"/>
      </w:pPr>
    </w:p>
    <w:p>
      <w:pPr>
        <w:pStyle w:val="SAPGBody"/>
        <w:spacing w:after="120" w:line="360" w:lineRule="auto"/>
      </w:pPr>
      <w:r>
        <w:rPr>
          <w:rFonts w:ascii="Times New Roman" w:cs="Times New Roman" w:eastAsia="Times New Roman" w:hAnsi="Times New Roman"/>
          <w:color w:val="000000"/>
        </w:rPr>
        <w:t xml:space="preserve">Sono stati prodotti 141 file di confronto in tests/comparison, 32 file live nuovi in tests/unit e l'helper condiviso _norme_live.py, per un totale di circa 1857 casi eseguiti sulle matrici. Nessun test che dipende dalla rete è entrato nella suite predefinita.</w:t>
      </w:r>
    </w:p>
    <w:p>
      <w:pPr>
        <w:pStyle w:val="SAPGHeading1"/>
      </w:pPr>
      <w:r>
        <w:rPr>
          <w:rFonts w:ascii="Times New Roman" w:cs="Times New Roman" w:eastAsia="Times New Roman" w:hAnsi="Times New Roman"/>
          <w:b/>
          <w:bCs/>
          <w:color w:val="000000"/>
        </w:rPr>
        <w:t xml:space="preserve">Ambito e metodo</w:t>
      </w:r>
    </w:p>
    <w:p>
      <w:pPr>
        <w:pStyle w:val="SAPGHeading2"/>
      </w:pPr>
      <w:r>
        <w:rPr>
          <w:rFonts w:ascii="Times New Roman" w:cs="Times New Roman" w:eastAsia="Times New Roman" w:hAnsi="Times New Roman"/>
          <w:b/>
          <w:bCs/>
          <w:color w:val="000000"/>
        </w:rPr>
        <w:t xml:space="preserve">Le sei strategie</w:t>
      </w:r>
    </w:p>
    <w:p>
      <w:pPr>
        <w:pStyle w:val="SAPGBody"/>
        <w:spacing w:after="120" w:line="360" w:lineRule="auto"/>
      </w:pPr>
      <w:r>
        <w:rPr>
          <w:rFonts w:ascii="Times New Roman" w:cs="Times New Roman" w:eastAsia="Times New Roman" w:hAnsi="Times New Roman"/>
          <w:color w:val="000000"/>
        </w:rPr>
        <w:t xml:space="preserve">Dopo aver aperto con il browser le 252 pagine raggiungibili del sito, il piano è stato riconciliato: 56 voci sono state corrette (cinque indirizzi inesistenti, cinque tool promossi dalla sola norma al calcolatore del sito, due tool senza calcolatore portati alla fonte ufficiale). Ogni tool ha una delle sei strategie seguenti.</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800"/>
        <w:gridCol w:w="6300"/>
      </w:tblGrid>
      <w:tr>
        <w:trPr>
          <w:tblHeader/>
        </w:trPr>
        <w:tc>
          <w:tcPr>
            <w:tcW w:type="dxa" w:w="1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Strategia</w:t>
            </w:r>
          </w:p>
        </w:tc>
        <w:tc>
          <w:tcPr>
            <w:tcW w:type="dxa" w:w="8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Tool</w:t>
            </w:r>
          </w:p>
        </w:tc>
        <w:tc>
          <w:tcPr>
            <w:tcW w:type="dxa" w:w="63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Che cosa è stato fatto</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Sito</w:t>
            </w:r>
          </w:p>
        </w:tc>
        <w:tc>
          <w:tcPr>
            <w:tcW w:type="dxa" w:w="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119</w:t>
            </w:r>
          </w:p>
        </w:tc>
        <w:tc>
          <w:tcPr>
            <w:tcW w:type="dxa" w:w="6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Il calcolatore è guidato con Playwright e confrontato con il tool su casi del piano e su casi al limite: confini di scaglione, date a cavallo di agosto, anni diversi delle tabelle, opzioni enumerate. Ogni scostamento è giudicato sulla fonte primaria.</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Fonte ufficiale</w:t>
            </w:r>
          </w:p>
        </w:tc>
        <w:tc>
          <w:tcPr>
            <w:tcW w:type="dxa" w:w="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10</w:t>
            </w:r>
          </w:p>
        </w:tc>
        <w:tc>
          <w:tcPr>
            <w:tcW w:type="dxa" w:w="6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Confronto con la tabella o il calcolatore dell'ente: Agenzia delle Entrate, INPS, CNEL, MEF e Cassa Depositi e Prestiti, EDPB e Garante.</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Norma</w:t>
            </w:r>
          </w:p>
        </w:tc>
        <w:tc>
          <w:tcPr>
            <w:tcW w:type="dxa" w:w="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15</w:t>
            </w:r>
          </w:p>
        </w:tc>
        <w:tc>
          <w:tcPr>
            <w:tcW w:type="dxa" w:w="6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I numeri e le soglie usati dal tool sono asseriti sul testo vigente di Normattiva, letto con cite_law.</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Chiamata reale</w:t>
            </w:r>
          </w:p>
        </w:tc>
        <w:tc>
          <w:tcPr>
            <w:tcW w:type="dxa" w:w="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54</w:t>
            </w:r>
          </w:p>
        </w:tc>
        <w:tc>
          <w:tcPr>
            <w:tcW w:type="dxa" w:w="6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Una chiamata su un documento noto con verifica dei metadati attesi, per le funzioni di ricerca online.</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Documento</w:t>
            </w:r>
          </w:p>
        </w:tc>
        <w:tc>
          <w:tcPr>
            <w:tcW w:type="dxa" w:w="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26</w:t>
            </w:r>
          </w:p>
        </w:tc>
        <w:tc>
          <w:tcPr>
            <w:tcW w:type="dxa" w:w="6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Struttura dei generatori di atti e verifica dei riferimenti normativi prodotti con verifica_citazioni.</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Non applicabile</w:t>
            </w:r>
          </w:p>
        </w:tc>
        <w:tc>
          <w:tcPr>
            <w:tcW w:type="dxa" w:w="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4</w:t>
            </w:r>
          </w:p>
        </w:tc>
        <w:tc>
          <w:tcPr>
            <w:tcW w:type="dxa" w:w="6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Utilità interne senza riferimento esterno (verbale, backlog, catalogo dei modelli, diagnostica del server).</w:t>
            </w:r>
          </w:p>
        </w:tc>
      </w:tr>
    </w:tbl>
    <w:p>
      <w:pPr>
        <w:spacing w:after="120"/>
      </w:pPr>
    </w:p>
    <w:p>
      <w:pPr>
        <w:pStyle w:val="SAPGHeading2"/>
      </w:pPr>
      <w:r>
        <w:rPr>
          <w:rFonts w:ascii="Times New Roman" w:cs="Times New Roman" w:eastAsia="Times New Roman" w:hAnsi="Times New Roman"/>
          <w:b/>
          <w:bCs/>
          <w:color w:val="000000"/>
        </w:rPr>
        <w:t xml:space="preserve">Regole di giudizio</w:t>
      </w:r>
    </w:p>
    <w:p>
      <w:pPr>
        <w:pStyle w:val="SAPGBody"/>
        <w:spacing w:after="120" w:line="360" w:lineRule="auto"/>
      </w:pPr>
      <w:r>
        <w:rPr>
          <w:rFonts w:ascii="Times New Roman" w:cs="Times New Roman" w:eastAsia="Times New Roman" w:hAnsi="Times New Roman"/>
          <w:color w:val="000000"/>
        </w:rPr>
        <w:t xml:space="preserve">Le tolleranze sono di 0,01 euro sugli importi, date esatte e quattro decimali sulle percentuali. Un verdetto "tool errato" vale solo se cita l'articolo, il comma, la tabella o il decreto che lo dimostra e indica il valore corretto ricavato da quella fonte; senza fonte primaria il verdetto resta "da chiarire". Le differenze di convenzione (arrotondamento, divisore 365 o 366, troncamento del quoziente alla quarta cifra decimale, dies a quo, lettura prudenziale della sospensione feriale) si documentano nel test e non modificano il tool. Gli errori del sito si riportano soltanto.</w:t>
      </w:r>
    </w:p>
    <w:p>
      <w:pPr>
        <w:pStyle w:val="SAPGBody"/>
        <w:spacing w:after="120" w:line="360" w:lineRule="auto"/>
      </w:pPr>
      <w:r>
        <w:rPr>
          <w:rFonts w:ascii="Times New Roman" w:cs="Times New Roman" w:eastAsia="Times New Roman" w:hAnsi="Times New Roman"/>
          <w:color w:val="000000"/>
        </w:rPr>
        <w:t xml:space="preserve">I valori già verificati a mano nei test unitari, in particolare quelli della sospensione feriale, sono stati cambiati solo con una fonte primaria. Un tool è tornato da INDICATIVO a ESATTO solo se i valori coincidono con il decreto e non soltanto con il sito.</w:t>
      </w:r>
    </w:p>
    <w:p>
      <w:pPr>
        <w:pStyle w:val="SAPGHeading2"/>
      </w:pPr>
      <w:r>
        <w:rPr>
          <w:rFonts w:ascii="Times New Roman" w:cs="Times New Roman" w:eastAsia="Times New Roman" w:hAnsi="Times New Roman"/>
          <w:b/>
          <w:bCs/>
          <w:color w:val="000000"/>
        </w:rPr>
        <w:t xml:space="preserve">Fasi eseguite</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600"/>
        <w:gridCol w:w="4500"/>
      </w:tblGrid>
      <w:tr>
        <w:trPr>
          <w:tblHeader/>
        </w:trPr>
        <w:tc>
          <w:tcPr>
            <w:tcW w:type="dxa" w:w="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Fase</w:t>
            </w:r>
          </w:p>
        </w:tc>
        <w:tc>
          <w:tcPr>
            <w:tcW w:type="dxa" w:w="36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Contenuto</w:t>
            </w:r>
          </w:p>
        </w:tc>
        <w:tc>
          <w:tcPr>
            <w:tcW w:type="dxa" w:w="45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Esito</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0</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Ricognizione del sito con Playwright e riconciliazione del piano</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252 pagine: 166 calcolatori, 67 rimandi a servizi di terzi, 11 pagine informative, 4 duplicati, 4 non raggiungibili; 26 calcolatori senza tool corrispondente</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1</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Confronto con il sito, un agente per tool</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119 tool, 141 file di test; 97 tool con almeno uno scostamento, 18 che coincidono su ogni caso</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2</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Verifica degli scostamenti sulla fonte primaria</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Giudizio a tre lenti per i tool senza calcolatore; un agente più un revisore per gruppo di tool per gli altri</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3</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Correzioni</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Patch in worktree isolati, revisione indipendente, rigenerazione di annotazioni e golden; commit per blocco</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4</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Tool senza calcolatore sul sito</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105 tool: norma, fonte ufficiale, chiamata reale, struttura del documento; 85 errori confermati</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5</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Completezza</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Controllo deterministico dei 228 tool contro la matrice e contro il catalogo del sito; nessun tool senza verdetto</w:t>
            </w:r>
          </w:p>
        </w:tc>
      </w:tr>
      <w:tr>
        <w:trPr>
          <w:cantSplit/>
        </w:trPr>
        <w:tc>
          <w:tcPr>
            <w:tcW w:type="dxa" w:w="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6</w:t>
            </w:r>
          </w:p>
        </w:tc>
        <w:tc>
          <w:tcPr>
            <w:tcW w:type="dxa" w:w="3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Report e consegna</w:t>
            </w:r>
          </w:p>
        </w:tc>
        <w:tc>
          <w:tcPr>
            <w:tcW w:type="dxa" w:w="4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Paragrafo 6 dell'audit con la matrice, paragrafi 5.1, 7 e 8, docs/testing.md, push del ramo</w:t>
            </w:r>
          </w:p>
        </w:tc>
      </w:tr>
    </w:tbl>
    <w:p>
      <w:pPr>
        <w:spacing w:after="120"/>
      </w:pPr>
    </w:p>
    <w:p>
      <w:pPr>
        <w:pStyle w:val="SAPGHeading1"/>
      </w:pPr>
      <w:r>
        <w:rPr>
          <w:rFonts w:ascii="Times New Roman" w:cs="Times New Roman" w:eastAsia="Times New Roman" w:hAnsi="Times New Roman"/>
          <w:b/>
          <w:bCs/>
          <w:color w:val="000000"/>
        </w:rPr>
        <w:t xml:space="preserve">Correzioni al codice, per area</w:t>
      </w:r>
    </w:p>
    <w:p>
      <w:pPr>
        <w:pStyle w:val="SAPGBody"/>
        <w:spacing w:after="120" w:line="360" w:lineRule="auto"/>
      </w:pPr>
      <w:r>
        <w:rPr>
          <w:rFonts w:ascii="Times New Roman" w:cs="Times New Roman" w:eastAsia="Times New Roman" w:hAnsi="Times New Roman"/>
          <w:color w:val="000000"/>
        </w:rPr>
        <w:t xml:space="preserve">Le tabelle seguenti riportano, per le aree principali, esempi verificati del valore prima e dopo la correzione. L'elenco completo, con la voce di changelog di ogni tool, è nella sezione Unreleased di CHANGELOG.md.</w:t>
      </w:r>
    </w:p>
    <w:p>
      <w:pPr>
        <w:pStyle w:val="SAPGHeading2"/>
      </w:pPr>
      <w:r>
        <w:rPr>
          <w:rFonts w:ascii="Times New Roman" w:cs="Times New Roman" w:eastAsia="Times New Roman" w:hAnsi="Times New Roman"/>
          <w:b/>
          <w:bCs/>
          <w:color w:val="000000"/>
        </w:rPr>
        <w:t xml:space="preserve">Termini processuali e costi giudiziari</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600"/>
        <w:gridCol w:w="1300"/>
        <w:gridCol w:w="1700"/>
        <w:gridCol w:w="1500"/>
      </w:tblGrid>
      <w:tr>
        <w:trPr>
          <w:tblHeader/>
        </w:trPr>
        <w:tc>
          <w:tcPr>
            <w:tcW w:type="dxa" w:w="1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Tool</w:t>
            </w:r>
          </w:p>
        </w:tc>
        <w:tc>
          <w:tcPr>
            <w:tcW w:type="dxa" w:w="26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Caso</w:t>
            </w:r>
          </w:p>
        </w:tc>
        <w:tc>
          <w:tcPr>
            <w:tcW w:type="dxa" w:w="13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Prima</w:t>
            </w:r>
          </w:p>
        </w:tc>
        <w:tc>
          <w:tcPr>
            <w:tcW w:type="dxa" w:w="1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Dopo</w:t>
            </w:r>
          </w:p>
        </w:tc>
        <w:tc>
          <w:tcPr>
            <w:tcW w:type="dxa" w:w="15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Fonte</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scadenze_multe</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Ricorso al giudice di pace, notifica 20/07/2025</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19/08/2025</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19/09/2025</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 L. 742/1969; art. 7 D.Lgs. 150/2011; Cass. 30427/2022</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scadenze_multe</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Pagamento in misura ridotta che scade il 15/08/2026 (sabato festivo)</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sabato festivo</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lunedì 17/08/2026</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155 co. 4 c.p.c.</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diritti_copia</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Copia semplice cartacea di 4 pagine</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1,20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1,47</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D.I. 9 luglio 2021, allegato 6</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diritti_copia</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Copia autentica digitale</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8,00 fissi</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calcolo rifiutato con spiegazione</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importo non riscontrato su alcuna fonte</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copie_processo_tributario</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Copia semplice di 4 pagine</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1,00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1,50</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DM 27 dicembre 2011, allegato 1</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sollecito_pagamento</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Contratto anteriore al 2013</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40 euro forfettari</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omessi</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6 co. 2 D.Lgs. 231/2002 (D.Lgs. 192/2012)</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pignoramento_stipendio</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Pensione di 1.500 euro</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minimo non applicato</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doppio dell'assegno sociale, minimo 1.000</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545 co. 7 c.p.c.</w:t>
            </w:r>
          </w:p>
        </w:tc>
      </w:tr>
      <w:tr>
        <w:trPr>
          <w:cantSplit/>
        </w:trPr>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interessi_corso_causa</w:t>
            </w:r>
          </w:p>
        </w:tc>
        <w:tc>
          <w:tcPr>
            <w:tcW w:type="dxa" w:w="2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Domanda del 03/06/2014, sentenza 03/06/2016</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1.618,73</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116,30</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17 co. 2 DL 132/2014</w:t>
            </w:r>
          </w:p>
        </w:tc>
      </w:tr>
    </w:tbl>
    <w:p>
      <w:pPr>
        <w:spacing w:after="120"/>
      </w:pPr>
    </w:p>
    <w:p>
      <w:pPr>
        <w:pStyle w:val="SAPGHeading2"/>
      </w:pPr>
      <w:r>
        <w:rPr>
          <w:rFonts w:ascii="Times New Roman" w:cs="Times New Roman" w:eastAsia="Times New Roman" w:hAnsi="Times New Roman"/>
          <w:b/>
          <w:bCs/>
          <w:color w:val="000000"/>
        </w:rPr>
        <w:t xml:space="preserve">Parcelle, fatture e compensi</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2300"/>
        <w:gridCol w:w="1400"/>
        <w:gridCol w:w="1700"/>
        <w:gridCol w:w="1500"/>
      </w:tblGrid>
      <w:tr>
        <w:trPr>
          <w:tblHeader/>
        </w:trPr>
        <w:tc>
          <w:tcPr>
            <w:tcW w:type="dxa" w:w="19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Tool</w:t>
            </w:r>
          </w:p>
        </w:tc>
        <w:tc>
          <w:tcPr>
            <w:tcW w:type="dxa" w:w="23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Caso</w:t>
            </w:r>
          </w:p>
        </w:tc>
        <w:tc>
          <w:tcPr>
            <w:tcW w:type="dxa" w:w="1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Prima</w:t>
            </w:r>
          </w:p>
        </w:tc>
        <w:tc>
          <w:tcPr>
            <w:tcW w:type="dxa" w:w="1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Dopo</w:t>
            </w:r>
          </w:p>
        </w:tc>
        <w:tc>
          <w:tcPr>
            <w:tcW w:type="dxa" w:w="15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Fonte</w:t>
            </w:r>
          </w:p>
        </w:tc>
      </w:tr>
      <w:tr>
        <w:trPr>
          <w:cantSplit/>
        </w:trPr>
        <w:tc>
          <w:tcPr>
            <w:tcW w:type="dxa" w:w="19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modello_notula</w:t>
            </w:r>
          </w:p>
        </w:tc>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Decreto ingiuntivo di 10.000 euro, livello medio</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compensi 1.696</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compenso 567 (fase unica)</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DM 55/2014, Tabella 8, agg. DM 147/2022</w:t>
            </w:r>
          </w:p>
        </w:tc>
      </w:tr>
      <w:tr>
        <w:trPr>
          <w:cantSplit/>
        </w:trPr>
        <w:tc>
          <w:tcPr>
            <w:tcW w:type="dxa" w:w="19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nota_spese</w:t>
            </w:r>
          </w:p>
        </w:tc>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15% di 1.000,10 euro</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150,01</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150,02</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arrotondamento commerciale, art. 5 Reg. CE 1103/97</w:t>
            </w:r>
          </w:p>
        </w:tc>
      </w:tr>
      <w:tr>
        <w:trPr>
          <w:cantSplit/>
        </w:trPr>
        <w:tc>
          <w:tcPr>
            <w:tcW w:type="dxa" w:w="19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parcella_avvocato_civile</w:t>
            </w:r>
          </w:p>
        </w:tc>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Valore di 32.000.000,01 euro, livello medio</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108.394 (ripete la fascia 16-32 milioni)</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140.912 (+30% per ogni raddoppio)</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DM 55/2014 art. 6 co. 1</w:t>
            </w:r>
          </w:p>
        </w:tc>
      </w:tr>
      <w:tr>
        <w:trPr>
          <w:cantSplit/>
        </w:trPr>
        <w:tc>
          <w:tcPr>
            <w:tcW w:type="dxa" w:w="19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costi_costituzione</w:t>
            </w:r>
          </w:p>
        </w:tc>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S.r.l. semplificata</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senza tassa di concessione</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629,87 con 309,87 di tassa</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3 co. 3 DL 1/2012; art. 23 Tariffa DPR 641/1972</w:t>
            </w:r>
          </w:p>
        </w:tc>
      </w:tr>
      <w:tr>
        <w:trPr>
          <w:cantSplit/>
        </w:trPr>
        <w:tc>
          <w:tcPr>
            <w:tcW w:type="dxa" w:w="19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compenso_curatore_fallimentare</w:t>
            </w:r>
          </w:p>
        </w:tc>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Attivo 100.000 e passivo 200.000</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aliquote singole e massimo di 405.656,80 non previsti</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8.240,66-10.568,03 (forbici per scaglione, minimo 811,35)</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DM 30/2012 artt. 1 e 4</w:t>
            </w:r>
          </w:p>
        </w:tc>
      </w:tr>
      <w:tr>
        <w:trPr>
          <w:cantSplit/>
        </w:trPr>
        <w:tc>
          <w:tcPr>
            <w:tcW w:type="dxa" w:w="19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spese_mediazione</w:t>
            </w:r>
          </w:p>
        </w:tc>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Valore 1.000 euro, accordo al primo incontro</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146,40 (schema DM 180/2010)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202,52 con IVA (spese di avvio 40 e prima riunione 60)</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DM 150/2023 artt. 28, 30, 31, Tabella A</w:t>
            </w:r>
          </w:p>
        </w:tc>
      </w:tr>
    </w:tbl>
    <w:p>
      <w:pPr>
        <w:spacing w:after="120"/>
      </w:pPr>
    </w:p>
    <w:p>
      <w:pPr>
        <w:pStyle w:val="SAPGHeading2"/>
      </w:pPr>
      <w:r>
        <w:rPr>
          <w:rFonts w:ascii="Times New Roman" w:cs="Times New Roman" w:eastAsia="Times New Roman" w:hAnsi="Times New Roman"/>
          <w:b/>
          <w:bCs/>
          <w:color w:val="000000"/>
        </w:rPr>
        <w:t xml:space="preserve">Imposte sul reddito e immobili</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2400"/>
        <w:gridCol w:w="1300"/>
        <w:gridCol w:w="1400"/>
        <w:gridCol w:w="1700"/>
      </w:tblGrid>
      <w:tr>
        <w:trPr>
          <w:tblHeader/>
        </w:trPr>
        <w:tc>
          <w:tcPr>
            <w:tcW w:type="dxa" w:w="20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Tool</w:t>
            </w:r>
          </w:p>
        </w:tc>
        <w:tc>
          <w:tcPr>
            <w:tcW w:type="dxa" w:w="2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Caso</w:t>
            </w:r>
          </w:p>
        </w:tc>
        <w:tc>
          <w:tcPr>
            <w:tcW w:type="dxa" w:w="13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Prima</w:t>
            </w:r>
          </w:p>
        </w:tc>
        <w:tc>
          <w:tcPr>
            <w:tcW w:type="dxa" w:w="1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Dopo</w:t>
            </w:r>
          </w:p>
        </w:tc>
        <w:tc>
          <w:tcPr>
            <w:tcW w:type="dxa" w:w="1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Fonte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detrazione_lavoro_dipendente</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Reddito 30.000, 365 giorni</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1.736,36</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1.801,19</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13 co. 1.1 TUIR (maggiorazione di 65)</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detrazione_pensione</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Pensione di 8.000 per 100 giorni</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535,62</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713,00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13 co. 3 lett. a TUIR (minimo)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detrazione_coniuge</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Reddito 30.000</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690</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710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12 co. 1 lett. b n. 2 TUIR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detrazione_assegno_coniuge</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Assegno con reddito 12.000</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1.044</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1.729,73</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13 co. 5-bis TUIR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calcolo_valore_catastale</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Categoria B/1, rendita 1.000, successione</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147.000 (140)</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176.400 (168)</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309 co. 6 lett. b D.Lgs. 141/2026</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calcolo_valore_catastale</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A/10 in compravendita, rendita 1.000</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75.600 (doppia rivalutazione del 20%)</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63.000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299 co. 5 lett. d D.Lgs. 141/2026</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costo_lavoro</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Retribuzione 30.000, netto del dipendente</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22.956,40</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24.021,37</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13 TUIR; art. 1 co. 4-6 L. 207/2024</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calcolo_tfr</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Rivalutazione con indice in calo</w:t>
            </w:r>
          </w:p>
        </w:tc>
        <w:tc>
          <w:tcPr>
            <w:tcW w:type="dxa" w:w="1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variazione negativa applicata</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1,5% fisso</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2120 co. 4 c.c.</w:t>
            </w:r>
          </w:p>
        </w:tc>
      </w:tr>
    </w:tbl>
    <w:p>
      <w:pPr>
        <w:spacing w:after="120"/>
      </w:pPr>
    </w:p>
    <w:p>
      <w:pPr>
        <w:pStyle w:val="SAPGHeading2"/>
      </w:pPr>
      <w:r>
        <w:rPr>
          <w:rFonts w:ascii="Times New Roman" w:cs="Times New Roman" w:eastAsia="Times New Roman" w:hAnsi="Times New Roman"/>
          <w:b/>
          <w:bCs/>
          <w:color w:val="000000"/>
        </w:rPr>
        <w:t xml:space="preserve">Interessi, rivalutazione e altre correzioni numeriche</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2400"/>
        <w:gridCol w:w="1400"/>
        <w:gridCol w:w="1500"/>
        <w:gridCol w:w="1700"/>
      </w:tblGrid>
      <w:tr>
        <w:trPr>
          <w:tblHeader/>
        </w:trPr>
        <w:tc>
          <w:tcPr>
            <w:tcW w:type="dxa" w:w="18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Tool</w:t>
            </w:r>
          </w:p>
        </w:tc>
        <w:tc>
          <w:tcPr>
            <w:tcW w:type="dxa" w:w="2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Caso</w:t>
            </w:r>
          </w:p>
        </w:tc>
        <w:tc>
          <w:tcPr>
            <w:tcW w:type="dxa" w:w="1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Prima</w:t>
            </w:r>
          </w:p>
        </w:tc>
        <w:tc>
          <w:tcPr>
            <w:tcW w:type="dxa" w:w="15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Dopo</w:t>
            </w:r>
          </w:p>
        </w:tc>
        <w:tc>
          <w:tcPr>
            <w:tcW w:type="dxa" w:w="1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7"/>
                <w:szCs w:val="17"/>
              </w:rPr>
              <w:t xml:space="preserve">Fonte</w:t>
            </w:r>
          </w:p>
        </w:tc>
      </w:tr>
      <w:tr>
        <w:trPr>
          <w:cantSplit/>
        </w:trPr>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interessi_legali</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01/01/1990-31/12/1990, 10.000 euro</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854,79</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520,55</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 L. 353/1990 (10% dal 16/12/1990)</w:t>
            </w:r>
          </w:p>
        </w:tc>
      </w:tr>
      <w:tr>
        <w:trPr>
          <w:cantSplit/>
        </w:trPr>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interessi_mora</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Transazione anteriore al 2013</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8 punti</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7 punti</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5 D.Lgs. 231/2002 nel testo anteriore al D.Lgs. 192/2012</w:t>
            </w:r>
          </w:p>
        </w:tc>
      </w:tr>
      <w:tr>
        <w:trPr>
          <w:cantSplit/>
        </w:trPr>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rivalutazione (7 tool)</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Serie FOI</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dal 1996, valori a più basi</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dal 1990, ricostruita da ISTAT</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serie ISTAT senza tabacchi</w:t>
            </w:r>
          </w:p>
        </w:tc>
      </w:tr>
      <w:tr>
        <w:trPr>
          <w:cantSplit/>
        </w:trPr>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concordato_preventivo</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Privilegiati 200.000 al 70%, chirografari 500.000 al 21%</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offerta totale 245.000</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257.600</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artt. 84 co. 4-5 e 109 CCII</w:t>
            </w:r>
          </w:p>
        </w:tc>
      </w:tr>
      <w:tr>
        <w:trPr>
          <w:cantSplit/>
        </w:trPr>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tasso_alcolemico</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Tasso esattamente 0,5 g/l</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fascia lett. a</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nessuna fascia</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art. 186 co. 2 D.Lgs. 285/1992</w:t>
            </w:r>
          </w:p>
        </w:tc>
      </w:tr>
      <w:tr>
        <w:trPr>
          <w:cantSplit/>
        </w:trPr>
        <w:tc>
          <w:tcPr>
            <w:tcW w:type="dxa" w:w="1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cerca_codice_tributo</w:t>
            </w:r>
          </w:p>
        </w:tc>
        <w:tc>
          <w:tcPr>
            <w:tcW w:type="dxa" w:w="2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Tabella dei codici</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13 codici su 55 errati</w:t>
            </w:r>
          </w:p>
        </w:tc>
        <w:tc>
          <w:tcPr>
            <w:tcW w:type="dxa" w:w="1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riletti sulle tabelle del 23/09/2026</w:t>
            </w:r>
          </w:p>
        </w:tc>
        <w:tc>
          <w:tcPr>
            <w:tcW w:type="dxa" w:w="1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7"/>
                <w:szCs w:val="17"/>
              </w:rPr>
              <w:t xml:space="preserve">tabelle dei codici tributo dell'Agenzia delle Entrate</w:t>
            </w:r>
          </w:p>
        </w:tc>
      </w:tr>
    </w:tbl>
    <w:p>
      <w:pPr>
        <w:spacing w:after="120"/>
      </w:pPr>
    </w:p>
    <w:p>
      <w:pPr>
        <w:pStyle w:val="SAPGHeading2"/>
      </w:pPr>
      <w:r>
        <w:rPr>
          <w:rFonts w:ascii="Times New Roman" w:cs="Times New Roman" w:eastAsia="Times New Roman" w:hAnsi="Times New Roman"/>
          <w:b/>
          <w:bCs/>
          <w:color w:val="000000"/>
        </w:rPr>
        <w:t xml:space="preserve">Ricerca online, fonti e generatori di documenti</w:t>
      </w:r>
    </w:p>
    <w:p>
      <w:pPr>
        <w:pStyle w:val="SAPGBody"/>
        <w:spacing w:after="120" w:line="360" w:lineRule="auto"/>
      </w:pPr>
      <w:r>
        <w:rPr>
          <w:rFonts w:ascii="Times New Roman" w:cs="Times New Roman" w:eastAsia="Times New Roman" w:hAnsi="Times New Roman"/>
          <w:color w:val="000000"/>
        </w:rPr>
        <w:t xml:space="preserve">Sui 105 tool della Fase 4 sono stati confermati 85 errori, corretti nei blocchi 3A, 3D e 3E. Per la ricerca online gli errori dipendevano quasi sempre da portali cambiati o da formati non previsti: CeRDEF (campi del modulo), CONSOB (numero e tipo dei documenti), Corte costituzionale (dispositivo troncato in coda), Garante (date in formato AAAA-MM-GG), Gazzetta Ufficiale (segmento della serie speciale nell'indirizzo ELI e numerazione dei feed), CGUE (tipo del CELEX confrontato come stringa), Italgiure (codici di sezione), cite_law (considerando dei regolamenti UE, scaricamento del PDF da CELLAR per aggirare la protezione di EUR-Lex).</w:t>
      </w:r>
    </w:p>
    <w:p>
      <w:pPr>
        <w:pStyle w:val="SAPGBody"/>
        <w:spacing w:after="120" w:line="360" w:lineRule="auto"/>
      </w:pPr>
      <w:r>
        <w:rPr>
          <w:rFonts w:ascii="Times New Roman" w:cs="Times New Roman" w:eastAsia="Times New Roman" w:hAnsi="Times New Roman"/>
          <w:color w:val="000000"/>
        </w:rPr>
        <w:t xml:space="preserve">I generatori di documenti riportavano riferimenti superati: attestazioni di conformità che citavano gli articoli 16-bis e 16-undecies del DL 179/2012 abrogati, un precetto senza la data di notificazione del titolo richiesta a pena di nullità dall'art. 480 c.p.c., informative privacy senza i legittimi interessi e la decisione automatizzata degli artt. 13 e 14 GDPR, un accordo di responsabilità del trattamento che ometteva l'ultimo periodo dell'art. 28(3) GDPR, una testimonianza scritta con l'ammonimento dichiarato illegittimo dalla Corte costituzionale.</w:t>
      </w:r>
    </w:p>
    <w:p>
      <w:pPr>
        <w:pStyle w:val="SAPGHeading1"/>
      </w:pPr>
      <w:r>
        <w:rPr>
          <w:rFonts w:ascii="Times New Roman" w:cs="Times New Roman" w:eastAsia="Times New Roman" w:hAnsi="Times New Roman"/>
          <w:b/>
          <w:bCs/>
          <w:color w:val="000000"/>
        </w:rPr>
        <w:t xml:space="preserve">Casi in cui il sito è errato o la differenza è di convenzione</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1400"/>
        <w:gridCol w:w="5100"/>
      </w:tblGrid>
      <w:tr>
        <w:trPr>
          <w:tblHeader/>
        </w:trPr>
        <w:tc>
          <w:tcPr>
            <w:tcW w:type="dxa" w:w="23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Tool</w:t>
            </w:r>
          </w:p>
        </w:tc>
        <w:tc>
          <w:tcPr>
            <w:tcW w:type="dxa" w:w="14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Esito</w:t>
            </w:r>
          </w:p>
        </w:tc>
        <w:tc>
          <w:tcPr>
            <w:tcW w:type="dxa" w:w="51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Che cosa succede</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scadenza_processuale</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sito errato</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non proroga il sabato (art. 155 co. 5 c.p.c.) e non conosce il 4 ottobre come festa nazionale dal 2026 (L. 151/2025)</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conversione_pena</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sito errato</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tronca la frazione di 250 euro; per l'art. 135 c.p. una frazione vale un giorno</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calcolo_taeg</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sito errato</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stampa il tasso nominale (12 volte il tasso mensile) con l'etichetta TAEG; il tool distingue il TAEG effettivo dal nominale</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pronti_termine</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sito errato</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divide il netto per capitale più ritenuta; il tool usa il solo capitale</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conta_giorni</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sito errato</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non conosce il 4 ottobre come festa nazionale dal 2026 (L. 151/2025): i giorni lavorativi e festivi differiscono di uno</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detrazioni (quoziente)</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convenzione</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tronca il quoziente alla quarta cifra come impone il TUIR; il tool ora fa lo stesso</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acconti IRPEF e cedolare</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convenzione</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arrotonda l'importo all'euro perché il rigo è in euro interi</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interessi (anno bisestile)</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convenzione</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Divisore 365 nel sito e nel tool, 366 in altre letture: la norma non lo fissa</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aumenti e riduzioni di pena</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convenzione</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tronca la frazione di giorno a ogni passaggio</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termini_183_190_cpc</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convenzione</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sito conta i termini a catena dalla scadenza prorogata; il tool dall'udienza, con la data più anticipata</w:t>
            </w:r>
          </w:p>
        </w:tc>
      </w:tr>
      <w:tr>
        <w:trPr>
          <w:cantSplit/>
        </w:trPr>
        <w:tc>
          <w:tcPr>
            <w:tcW w:type="dxa" w:w="23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termini_deposito_atti_appello</w:t>
            </w:r>
          </w:p>
        </w:tc>
        <w:tc>
          <w:tcPr>
            <w:tcW w:type="dxa" w:w="14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convenzione</w:t>
            </w:r>
          </w:p>
        </w:tc>
        <w:tc>
          <w:tcPr>
            <w:tcW w:type="dxa" w:w="5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Termine a ritroso con data grezza di domenica: venerdì (tool) contro sabato (sito)</w:t>
            </w:r>
          </w:p>
        </w:tc>
      </w:tr>
    </w:tbl>
    <w:p>
      <w:pPr>
        <w:spacing w:after="120"/>
      </w:pPr>
    </w:p>
    <w:p>
      <w:pPr>
        <w:pStyle w:val="SAPGBody"/>
        <w:spacing w:after="120" w:line="360" w:lineRule="auto"/>
      </w:pPr>
      <w:r>
        <w:rPr>
          <w:rFonts w:ascii="Times New Roman" w:cs="Times New Roman" w:eastAsia="Times New Roman" w:hAnsi="Times New Roman"/>
          <w:color w:val="000000"/>
        </w:rPr>
        <w:t xml:space="preserve">Per i termini a mesi che iniziano in agosto il tool usa la lettura prudenziale che fa decorrere dal 31 agosto, dove il sito e la lettura alternativa usano il 1° settembre: le due date sono riportate nei test e nel documento di audit.</w:t>
      </w:r>
    </w:p>
    <w:p>
      <w:pPr>
        <w:pStyle w:val="SAPGHeading1"/>
      </w:pPr>
      <w:r>
        <w:rPr>
          <w:rFonts w:ascii="Times New Roman" w:cs="Times New Roman" w:eastAsia="Times New Roman" w:hAnsi="Times New Roman"/>
          <w:b/>
          <w:bCs/>
          <w:color w:val="000000"/>
        </w:rPr>
        <w:t xml:space="preserve">Qualità del processo e difetti trovati lungo la strada</w:t>
      </w:r>
    </w:p>
    <w:p>
      <w:pPr>
        <w:pStyle w:val="SAPGBody"/>
        <w:spacing w:after="120" w:line="360" w:lineRule="auto"/>
      </w:pPr>
      <w:r>
        <w:rPr>
          <w:rFonts w:ascii="Times New Roman" w:cs="Times New Roman" w:eastAsia="Times New Roman" w:hAnsi="Times New Roman"/>
          <w:color w:val="000000"/>
        </w:rPr>
        <w:t xml:space="preserve">Ogni patch prodotta da un agente è stata riletta da un secondo agente. La revisione ha trovato difetti reali, corretti prima di ogni commit:</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5000"/>
        <w:gridCol w:w="3800"/>
      </w:tblGrid>
      <w:tr>
        <w:trPr>
          <w:tblHeader/>
        </w:trPr>
        <w:tc>
          <w:tcPr>
            <w:tcW w:type="dxa" w:w="50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Difetto trovato dal revisore o dalla suite</w:t>
            </w:r>
          </w:p>
        </w:tc>
        <w:tc>
          <w:tcPr>
            <w:tcW w:type="dxa" w:w="38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Correzione</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scadenze_multe: la funzione di proroga si fermava su un sabato festivo (Ferragosto 2026), lasciando una scadenza in giorno festivo</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sabato è lavorativo solo se non è festività nazionale; test con scadenza al 15/08/2026</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diritti_copia: 8 euro fissi per la copia autentica digitale, senza fonte</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tool rifiuta il calcolo e spiega perché</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sollecito_pagamento: 40 euro forfettari anche prima del 2013</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Il forfettario compare solo con il tasso a 8 punti</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Serie FOI ricostruita in due modi diversi da due gruppi</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Tenuta la serie più completa, dal 1990; test TFR ricalcolato a mano (6.773,68)</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calcolo_valore_catastale: gruppo B a 140 in successione</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Portato a 168 in ogni caso, come da art. 309 co. 6 lett. b</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Golden dei calcolatori: argomento generico di 10.000 millesimi rifiutato da spese_condominiali</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Caso curato nel harness dei test</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Test del golden confuso da parentesi quadre nella fonte della tabella DPIA</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Parentesi tonde nel blocco di provenienza</w:t>
            </w:r>
          </w:p>
        </w:tc>
      </w:tr>
      <w:tr>
        <w:trPr>
          <w:cantSplit/>
        </w:trPr>
        <w:tc>
          <w:tcPr>
            <w:tcW w:type="dxa" w:w="5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Verdetto "tool errato" per ricerca_codici_ateco senza rilettura della fonte</w:t>
            </w:r>
          </w:p>
        </w:tc>
        <w:tc>
          <w:tcPr>
            <w:tcW w:type="dxa" w:w="3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Declassato a "da chiarire": la regola impone una fonte primaria</w:t>
            </w:r>
          </w:p>
        </w:tc>
      </w:tr>
    </w:tbl>
    <w:p>
      <w:pPr>
        <w:spacing w:after="120"/>
      </w:pPr>
    </w:p>
    <w:p>
      <w:pPr>
        <w:pStyle w:val="SAPGBody"/>
        <w:spacing w:after="120" w:line="360" w:lineRule="auto"/>
      </w:pPr>
      <w:r>
        <w:rPr>
          <w:rFonts w:ascii="Times New Roman" w:cs="Times New Roman" w:eastAsia="Times New Roman" w:hAnsi="Times New Roman"/>
          <w:color w:val="000000"/>
        </w:rPr>
        <w:t xml:space="preserve">Il consumo del limite di utilizzo è stato un problema di esecuzione. Due workflow paralleli con fino a 16 agenti e i tentativi automatici dopo ogni blocco hanno bruciato il limite cinque volte, con circa 15 milioni di token sprecati in un giro di correzioni interrotto. Dopo la decisione di procedere con un solo workflow alla volta, quattro agenti per volta, un agente che verifica e corregge più un revisore per gruppo, e salvataggio incrementale delle patch, i giri successivi sono costati tra 0,3 e 4,8 milioni di token ciascuno e nessun lavoro è andato perso.</w:t>
      </w:r>
    </w:p>
    <w:p>
      <w:pPr>
        <w:pStyle w:val="SAPGHeading1"/>
      </w:pPr>
      <w:r>
        <w:rPr>
          <w:rFonts w:ascii="Times New Roman" w:cs="Times New Roman" w:eastAsia="Times New Roman" w:hAnsi="Times New Roman"/>
          <w:b/>
          <w:bCs/>
          <w:color w:val="000000"/>
        </w:rPr>
        <w:t xml:space="preserve">Riproducibilità</w:t>
      </w:r>
    </w:p>
    <w:p>
      <w:pPr>
        <w:pStyle w:val="SAPGBody"/>
        <w:spacing w:after="120" w:line="360" w:lineRule="auto"/>
      </w:pPr>
      <w:r>
        <w:rPr>
          <w:rFonts w:ascii="Times New Roman" w:cs="Times New Roman" w:eastAsia="Times New Roman" w:hAnsi="Times New Roman"/>
          <w:color w:val="000000"/>
        </w:rPr>
        <w:t xml:space="preserve">I comandi per rieseguire i controlli sono i seguenti. I test live richiedono rete verso il sito, Normattiva ed EUR-Lex e, per il confronto con il sito, Playwright con Chromium.</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4600"/>
        <w:gridCol w:w="4200"/>
      </w:tblGrid>
      <w:tr>
        <w:trPr>
          <w:tblHeader/>
        </w:trPr>
        <w:tc>
          <w:tcPr>
            <w:tcW w:type="dxa" w:w="46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Comando</w:t>
            </w:r>
          </w:p>
        </w:tc>
        <w:tc>
          <w:tcPr>
            <w:tcW w:type="dxa" w:w="42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9"/>
                <w:szCs w:val="19"/>
              </w:rPr>
              <w:t xml:space="preserve">Scopo</w:t>
            </w:r>
          </w:p>
        </w:tc>
      </w:tr>
      <w:tr>
        <w:trPr>
          <w:cantSplit/>
        </w:trPr>
        <w:tc>
          <w:tcPr>
            <w:tcW w:type="dxa" w:w="4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pytest tests/ -m "not live" -q</w:t>
            </w:r>
          </w:p>
        </w:tc>
        <w:tc>
          <w:tcPr>
            <w:tcW w:type="dxa" w:w="4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Suite predefinita: 4182 test passati</w:t>
            </w:r>
          </w:p>
        </w:tc>
      </w:tr>
      <w:tr>
        <w:trPr>
          <w:cantSplit/>
        </w:trPr>
        <w:tc>
          <w:tcPr>
            <w:tcW w:type="dxa" w:w="4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pytest tests/comparison -m live -q</w:t>
            </w:r>
          </w:p>
        </w:tc>
        <w:tc>
          <w:tcPr>
            <w:tcW w:type="dxa" w:w="4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Confronto dei tool con il sito, 141 file</w:t>
            </w:r>
          </w:p>
        </w:tc>
      </w:tr>
      <w:tr>
        <w:trPr>
          <w:cantSplit/>
        </w:trPr>
        <w:tc>
          <w:tcPr>
            <w:tcW w:type="dxa" w:w="4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pytest tests/unit -m live -q</w:t>
            </w:r>
          </w:p>
        </w:tc>
        <w:tc>
          <w:tcPr>
            <w:tcW w:type="dxa" w:w="4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Norme, fonti ufficiali, chiamate reali e generatori</w:t>
            </w:r>
          </w:p>
        </w:tc>
      </w:tr>
      <w:tr>
        <w:trPr>
          <w:cantSplit/>
        </w:trPr>
        <w:tc>
          <w:tcPr>
            <w:tcW w:type="dxa" w:w="4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python scripts/audit_tool_annotations.py --check</w:t>
            </w:r>
          </w:p>
        </w:tc>
        <w:tc>
          <w:tcPr>
            <w:tcW w:type="dxa" w:w="4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Coerenza di annotazioni, tabelle e orologio</w:t>
            </w:r>
          </w:p>
        </w:tc>
      </w:tr>
      <w:tr>
        <w:trPr>
          <w:cantSplit/>
        </w:trPr>
        <w:tc>
          <w:tcPr>
            <w:tcW w:type="dxa" w:w="46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python scripts/update-data.py --strict</w:t>
            </w:r>
          </w:p>
        </w:tc>
        <w:tc>
          <w:tcPr>
            <w:tcW w:type="dxa" w:w="4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9"/>
                <w:szCs w:val="19"/>
              </w:rPr>
              <w:t xml:space="preserve">Freschezza delle tabelle in src/data</w:t>
            </w:r>
          </w:p>
        </w:tc>
      </w:tr>
    </w:tbl>
    <w:p>
      <w:pPr>
        <w:spacing w:after="120"/>
      </w:pPr>
    </w:p>
    <w:p>
      <w:pPr>
        <w:pStyle w:val="SAPGHeading1"/>
      </w:pPr>
      <w:r>
        <w:rPr>
          <w:rFonts w:ascii="Times New Roman" w:cs="Times New Roman" w:eastAsia="Times New Roman" w:hAnsi="Times New Roman"/>
          <w:b/>
          <w:bCs/>
          <w:color w:val="000000"/>
        </w:rPr>
        <w:t xml:space="preserve">Voci ancora aperte</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2800"/>
        <w:gridCol w:w="6000"/>
      </w:tblGrid>
      <w:tr>
        <w:trPr>
          <w:tblHeader/>
        </w:trPr>
        <w:tc>
          <w:tcPr>
            <w:tcW w:type="dxa" w:w="28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Tool</w:t>
            </w:r>
          </w:p>
        </w:tc>
        <w:tc>
          <w:tcPr>
            <w:tcW w:type="dxa" w:w="60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8"/>
                <w:szCs w:val="18"/>
              </w:rPr>
              <w:t xml:space="preserve">Che cosa manca per chiuderla</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danno_biologico_macro</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Trascrivere dalla Gazzetta Ufficiale la tabella unica nazionale (DPR 13 gennaio 2025 n. 12): valore punto per grado 10-100 e coefficienti d'età. Resta STIMATO.</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risarcimento_inail</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Riscrivere sulle tabelle INAIL: capitale per il grado 6-15% (DM 23/04/2019) e rendita dal 16%.</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calcolo_maggior_danno</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Decidere fra indice FOI, criterio annuale e rendimento dei titoli di Stato (Cass. SS.UU. 19499/2008).</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termini_esecuzioni, termini_separazione_divorzio</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Una fonte giurisprudenziale per la doppia proroga festivo e sabato e per la natura del termine di 6 e 12 mesi.</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competenza_giudice</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Corretto con riserva: servitù e condominio sopra 10.000 euro rispetto all'art. 7 co. 3 e 4 nel testo dal 31/10/2027; rendere il tool sensibile alla data.</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ricerca_codici_ateco</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Rileggere l'Allegato 4 alla L. 190/2014 e riconciliare con ATECO 2025: circa 45 codici ATECO 2007 non esistono più; quattro coefficienti sembrano errati ma la fonte non è stata riletta.</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esporta_atto_docx</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Conversione dei marcatori inline e permessi dei file temporanei: lavoro di prodotto.</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interessi_legali, interessi_mora, interessi_corso_causa</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Oltre il 31/12/2026 i tool si fermano: estendere col saggio in vigore con avviso di stima (art. 1284 co. 1 c.c.).</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fattura_avvocato (forfettario)</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0,08 euro per fattura: CPA sul bollo riaddebitato, in attesa del chiarimento dell'Agenzia delle Entrate.</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detrazione_assegno_coniuge</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Se l'art. 13 co. 5-bis rinvii anche alla maggiorazione di 50 euro del co. 3-bis.</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cedolare_secca, detrazione_canone_locazione</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Locazioni brevi al 21% sulla prima unità (L. 213/2023); art. 16 co. 1-bis TUIR per i lavoratori trasferiti.</w:t>
            </w:r>
          </w:p>
        </w:tc>
      </w:tr>
      <w:tr>
        <w:trPr>
          <w:cantSplit/>
        </w:trPr>
        <w:tc>
          <w:tcPr>
            <w:tcW w:type="dxa" w:w="28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pignoramento_stipendio, costi_costituzione, assegno_unico</w:t>
            </w:r>
          </w:p>
        </w:tc>
        <w:tc>
          <w:tcPr>
            <w:tcW w:type="dxa" w:w="6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8"/>
                <w:szCs w:val="18"/>
              </w:rPr>
              <w:t xml:space="preserve">Importi ancora nel codice: portarli in src/data con blocco di provenienza.</w:t>
            </w:r>
          </w:p>
        </w:tc>
      </w:tr>
    </w:tbl>
    <w:p>
      <w:pPr>
        <w:spacing w:after="120"/>
      </w:pPr>
    </w:p>
    <w:p>
      <w:pPr>
        <w:pStyle w:val="SAPGHeading2"/>
      </w:pPr>
      <w:r>
        <w:rPr>
          <w:rFonts w:ascii="Times New Roman" w:cs="Times New Roman" w:eastAsia="Times New Roman" w:hAnsi="Times New Roman"/>
          <w:b/>
          <w:bCs/>
          <w:color w:val="000000"/>
        </w:rPr>
        <w:t xml:space="preserve">Calcolatori del sito senza tool corrispondente</w:t>
      </w:r>
    </w:p>
    <w:p>
      <w:pPr>
        <w:pStyle w:val="SAPGBody"/>
        <w:spacing w:after="120" w:line="360" w:lineRule="auto"/>
      </w:pPr>
      <w:r>
        <w:rPr>
          <w:rFonts w:ascii="Times New Roman" w:cs="Times New Roman" w:eastAsia="Times New Roman" w:hAnsi="Times New Roman"/>
          <w:color w:val="000000"/>
        </w:rPr>
        <w:t xml:space="preserve">Elencati come possibili nuovi tool, non implementati in questo benchmark: interessi di mora negli appalti di lavori pubblici, rimborso chilometrico ACI, modello per il deposito telematico dei documenti, lettera di sollecito, calcolo di ore e percentuali, conversioni di unità, tabelle di consultazione (contributo unificato, coefficienti di usufrutto, tassi legali e di mora, punti della patente). I calcolatori a parametri forensi 2012 e a tariffe 2004 sono superati dal DM 55/2014 e non vanno replicati. L'elenco completo di 26 pagine è nel piano, sezione "Riscontro della Fase 0".</w:t>
      </w:r>
    </w:p>
    <w:p>
      <w:r>
        <w:br w:type="page"/>
      </w:r>
    </w:p>
    <w:p>
      <w:pPr>
        <w:pStyle w:val="SAPGHeading1"/>
      </w:pPr>
      <w:r>
        <w:rPr>
          <w:rFonts w:ascii="Times New Roman" w:cs="Times New Roman" w:eastAsia="Times New Roman" w:hAnsi="Times New Roman"/>
          <w:b/>
          <w:bCs/>
          <w:color w:val="000000"/>
        </w:rPr>
        <w:t xml:space="preserve">Matrice dei 228 tool</w:t>
      </w:r>
    </w:p>
    <w:p>
      <w:pPr>
        <w:pStyle w:val="SAPGBody"/>
        <w:spacing w:after="120" w:line="360" w:lineRule="auto"/>
      </w:pPr>
      <w:r>
        <w:rPr>
          <w:rFonts w:ascii="Times New Roman" w:cs="Times New Roman" w:eastAsia="Times New Roman" w:hAnsi="Times New Roman"/>
          <w:color w:val="000000"/>
        </w:rPr>
        <w:t xml:space="preserve">Una riga per tool: strategia, numero di casi eseguiti, esito e, per gli scostamenti, la causa e l'azione. La versione con i valori del tool e del sito è nel paragrafo 6.3 del documento di audit.</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1100"/>
        <w:gridCol w:w="500"/>
        <w:gridCol w:w="1200"/>
        <w:gridCol w:w="4000"/>
      </w:tblGrid>
      <w:tr>
        <w:trPr>
          <w:tblHeader/>
        </w:trPr>
        <w:tc>
          <w:tcPr>
            <w:tcW w:type="dxa" w:w="20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5"/>
                <w:szCs w:val="15"/>
              </w:rPr>
              <w:t xml:space="preserve">Tool</w:t>
            </w:r>
          </w:p>
        </w:tc>
        <w:tc>
          <w:tcPr>
            <w:tcW w:type="dxa" w:w="11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5"/>
                <w:szCs w:val="15"/>
              </w:rPr>
              <w:t xml:space="preserve">Strategia</w:t>
            </w:r>
          </w:p>
        </w:tc>
        <w:tc>
          <w:tcPr>
            <w:tcW w:type="dxa" w:w="5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5"/>
                <w:szCs w:val="15"/>
              </w:rPr>
              <w:t xml:space="preserve">Casi</w:t>
            </w:r>
          </w:p>
        </w:tc>
        <w:tc>
          <w:tcPr>
            <w:tcW w:type="dxa" w:w="12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5"/>
                <w:szCs w:val="15"/>
              </w:rPr>
              <w:t xml:space="preserve">Esito</w:t>
            </w:r>
          </w:p>
        </w:tc>
        <w:tc>
          <w:tcPr>
            <w:tcW w:type="dxa" w:w="40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5"/>
                <w:szCs w:val="15"/>
              </w:rPr>
              <w:t xml:space="preserve">Causa e azione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acconto_cedolare_secca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acconto_cedolare_secca: single payment now stops at 257.51 (first instalment not above euro 103, art. 17 c. 3 D.P.R. 435/2001, applie…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acconto_irpef</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acconto_irpef: single payment now stops at 257.51, since the first instalment (40%) must not exceed euro 103 (art. 17 c. 3 D.P.R. 435…</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adeguamento_canone_locazione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fix(adeguamento_canone_locazione): the 12/24-month FOI variation is rounded to one decimal as published by ISTAT in the GU (art. 81 L. 392/…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assegno_unico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assegno_unico: without ISEE the minimum amounts apply (art. 4 c. 9 D.Lgs. 230/2021), +50% of the base for under-1 and (up to the upper ISEE…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aumenti_riduzioni_pena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aumenti_riduzioni_pena: the art. 67 co. 2 c.p. floor (not below a quarter with several ordinary attenuanti) is now applied; 12 months…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calcolo_ammortamento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calcolo_devalutazione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fix(calcolo_devalutazione): corrected through the rebuilt ISTAT FOI series (e.g. 10,000 euro of Dec 2023 back to Dec 2013 is 8,410.43 inste…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calcolo_eredita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calcolo_eta_anagrafica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calcolo_eta_anagrafica: age in years/months/days now follows the common calendar with the art. 2963 c.c. last-day-of-month rule (no negativ…</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calcolo_hash</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calcolo_imu</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fix(calcolo_imu): default rate for the A/1, A/8, A/9 principal residence is 0.5% (art. 1 co. 748 L. 160/2019) instead of 0.86%; 0.86% (co.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calcolo_inflazione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fix(calcolo_inflazione): FOI series 1990-2025 rebuilt from the ISTAT indices in their original bases and spliced with the official ISTAT co…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calcolo_irpef</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fix(calcolo_irpef): art. 13 TUIR: deductions computed on total income with ratios truncated to four decimals (c. 6, 6-bis), 65 euro increas…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calcolo_maggior_danno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calcolo_notula_penale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calcolo_notula_penale: half-cent ties are rounded up on exact decimals (art. 5 Reg. CE 1103/97); 1,301.25 taxable now gives IVA 286.2…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calcolo_superficie_commerciale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fix(calcolo_superficie_commerciale): coefficients aligned to DPR 138/1998 allegato C (balconi and terrazze 30% up to 25 mq then 10%, garden…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calcolo_surroga_mutuo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Rata attuale arrotondata al centesimo (tool) vs rata ricostruita non arrotondata (sito). Commento in tests/comparison/test_calcolo_surroga_…</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calcolo_taeg</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 errato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calcolo_tempo_trascorso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calcolo_tempo_trascorso: years/months/days now follow art. 2963 c.c. (month completed on the matching day or the last day of the month), no…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calcolo_tfr</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calcolo_tfr: TFR net of the 17% (11% up to 2014) imposta sostitutiva on revaluations, revaluations excluded from taxable base and reference…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calcolo_usufrutto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calcolo_valore_catastale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fix(calcolo_valore_catastale): removed the double 20% uplift (art. 1-bis co. 7 DL 168/2004) on A/10, C/1, D and E in compravendita, whose b…</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cedolare_secca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fix(cedolare_secca): for concordato contracts the ordinary IRPEF comparison uses 66.5% of the rent (95% x 70%), applying the further 30% re…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cerca_ufficio_giudiziario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cerca_ufficio_giudiziario: no more wrong tribunal suggestions for comuni whose name contains a capoluogo's (Torino di Sangro, Bari Sardo...…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codice_fiscale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codice_fiscale: accented vowels are folded to the plain vowel (Nicolò = NICOLO) instead of raising KeyError; non-Latin letters give an expl…</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codici_iscrizione_ruolo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codici_iscrizione_ruolo: keyword search now ignores accents and apostrophes, so 'responsabilita', 'responsabilita'' and 'responsabili…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compenso_ctu</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compenso_ctu: computes the DM 30/05/2002 tables (arts. 2, 3, 11, 13, 21, minimum 145.12 euro) and the art. 4 L. 319/1980 vacazioni at 14.68…</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compenso_curatore_fallimentare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compenso_curatore_fallimentare: applies the DM 30/2012 art. 1 min-max percentages per bracket on assets and liabilities (0.19-0.94% / 0.06-…</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compenso_delegati_vendite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compenso_delegati_vendite: applies the DM 227/2015 art. 2 fixed amount per phase (1,000/1,500/2,000 euro x 4), 10% general expenses, the 40…</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compenso_mediatore_familiare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test errato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compenso_mediatore_familiare: applies the DM 151/2023 art. 8 parameters (40 euro per meeting and party x 1/1.5/2 by complexity), adds the 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compenso_orario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conta_giorni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 errato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tipo 'festivi' conta le sole festivita (anche in domenica), non le domeniche.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contributo_unificato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conversione_pena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 errato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copie_processo_tributario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copie_processo_tributario: rights now follow DM 27 December 2011 annex 1 per-band amounts plus the EUR 9 conformity fee (art. 2(2)),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danno_biologico_macro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errato, non 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danno_biologico_micro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Base della personalizzazione ex art. 139 co. 3. Il tool la applica su permanente+temporaneo (604,93 sul solo permanente contro 662,57 su en…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danno_non_patrimoniale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danno_non_patrimoniale: micropermanent damage now applies the grade coefficient to each point (art. 139 co. 1 lett. a and co. 6 Cod. Ass.)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danno_parentale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danno_parentale: output now carries an avvertenza stating that the Milano 2024 minimum is the old forbice floor and not a limit (the points…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decodifica_codice_fiscale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decodifica_codice_fiscale: the century of the birth year is now the most recent one that does not put the birth date in the future (year 29…</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decurtazione_punti_patente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decurtazione_punti_patente: art. 173 c.3-bis recidiva within two years now 10 points (new cellulare_recidiva entry and punti_recidiva_bienn…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detrazione_altri_familiari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fix(detrazione_altri_familiari): art. 12 c. 1 lett. d) and c. 4 TUIR: ratio truncated to four decimals, no deduction when the ratio equals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detrazione_assegno_coniuge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detrazione_assegno_coniuge: apply art. 13 co. 5-bis TUIR (measure of co. 3: 1,955 up to 8,500, 700 + 1,255 x q, 700 x q) instead of the co.…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detrazione_canone_locazione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fix(detrazione_canone_locazione): art. 16 c. 1-ter TUIR: young tenants get 991.60 euro or, if higher, 20% of the rent capped at 2,000 (new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detrazione_coniuge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detrazione_coniuge: apply the art. 12 co. 1 lett. b) TUIR surcharges (10-30 euro between 29,000 and 35,200), truncate ratios to four decima…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detrazione_figli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fix(detrazione_figli): art. 12 c. 1 lett. c) and c. 4 TUIR: ratio truncated to four decimals, no deduction when the ratio equals one, and 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detrazione_lavoro_dipendente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detrazione_lavoro_dipendente: add the art. 13 co. 1.1 TUIR surcharge of 65 euro (25,000-35,000), the co. 1 lett. a) minimums of 690/1,380 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detrazione_pensione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detrazione_pensione: add the art. 13 co. 3 lett. a) minimum of 713 euro, the co. 3-bis surcharge of 50 euro (25,000-29,000) and ratios trun…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diritti_copia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diritti_copia: paper copy rights now follow the fixed per-band amounts of DPR 115/2002 annexes 6 and 7 (D.I. 9 July 2021, +50% art. 4…</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equo_indennizzo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equo_indennizzo: amount now follows Tabella 1 of L. 662/1996 (2 x tabular salary x category percentage 100/92/75/61/44/27/12/6), art. 49 DP…</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fattura_avvocato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fattura_avvocato: VAT, CPA and withholding are rounded half-up on exact decimals (art. 5 Reg. CE 1103/97); compensation 1,000.24 now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fattura_enasarco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fattura_enasarco: applies the annual commission ceiling per agency relationship (Enasarco RAI art. 5; 2026: 45,717 mono / 30,478 pluri), th…</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fattura_professionista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fattura_professionista: rounds every amount to the cent half-up on Decimal instead of binary float round(), which sent half-cent amounts (e…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fine_pena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fine_pena: liberazione anticipata (art. 54 co. 1 L. 354/1975) now counts only the semesters served before release instead of nominal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grado_parentela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gratuito_patrocinio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gratuito_patrocinio: added diritti_personalita and interessi_in_conflitto parameters, counting only the applicant's own income (art. 76 co.…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imposta_registro_locazioni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imposta_registro_locazioni: concordato contracts taxed at 2% on 70% of the rent (art. 8 c. 1 L. 431/1998), single-payment option reduced by…</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imposte_compravendita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fix(imposte_compravendita): luxury dwellings (A/1, A/8, A/9) declared as prima casa are taxed at 9% registro, since the 2% rate is excluded…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imposte_successione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inflazione_titoli_stato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interessi_acconti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interessi_acconti: payments are now imputed first to accrued interest (art. 1194 c.c.), with imputazione='capitale' for imputation wi…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interessi_corso_causa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Saggio legale per domande anteriori all'11/12/2014 (art. 17 co. 2 DL 132/2014); oltre il 31/12/2026 il tool non estende il tasso (aperto)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interessi_legali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 dal 16/12/1990 (art. 1 L. 353/1990, art. 92 co. 1); tassi_legali.json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interessi_mora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interessi_mora: transactions concluded before 1/1/2013 now use BCE + 7 points (art. 5 c.1 D.Lgs. 231/2002 original text, art. 3 c.1 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interessi_tasso_fisso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Divisore 366 (anno di inizio bisestile) del tool contro 365 del sito; capitalizzazione esponenziale continua contro annuale a date fisse.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interessi_vari_capitale_rivalutato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fix(interessi_vari_capitale_rivalutato): last-year segment now counts 1 January (art. 2963 c.c., dies a quo excluded only at the start: 365…</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lettera_adeguamento_canone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fix(lettera_adeguamento_canone): variation used in the letter rounded to one decimal as in the ISTAT communiques (art. 81 L. 392/1978), sam…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menomazioni_plurime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modello_notula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modello_notula now pays each procedure on its own DM 55/2014 table (Tab. VIII monitorio, VI precetto, XVI esecuzione mobiliare, XVII…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nota_spese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nota_spese: every line is rounded to the cent half-up on exact decimals (art. 5 Reg. CE 1103/97), so half-cent ties no longer depend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note_iscrizione_ruolo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note_iscrizione_ruolo: convalida di sfratto now halves the contributo unificato (art. 13(3) DPR 115/2002), labour cases can flag inco…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parcella_avvocato_civile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parcella_avvocato_civile (and preventivo_civile) above 32 million euro now applies the art. 6 co. 1 DM 55/2014 +30% for each further…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parcella_avvocato_penale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parcella_stragiudiziale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parcella_stragiudiziale above 520,000 euro now applies the decreasing percentage of Tab. 25 (art. 22 DM 55/2014: 3% up to 2 million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parcella_volontaria_giurisdizione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Oltre 520.000: ultimo scaglione senza aumento (art. 6 e' facoltativo, 'fino al 30%'), contro il 30% pieno del sito e di parcella_avvocato_c…</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pena_concordata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 troncamento della frazione di giorno a ogni passaggio; tool: mesi continui a due decimali, nessun troncamento.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pensione_reversibilita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fix(pensione_reversibilita): added the Tabella F safeguard clause (art. 1 co. 41 L. 335/1995), no cumulation reduction for households with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pignoramento_stipendio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pignoramento_stipendio: default assegno sociale updated to 2026 (546,24, INPS circular 153/2025, art. 545 co. 7 c.p.c.) and pignorabile rou…</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prescrizione_diritti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prescrizione_diritti: a limitation period expiring on a Sunday or national holiday is extended to the next non-holiday day (art. 2963 c. 3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prescrizione_reato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preventivo_civile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preventivo_stragiudiziale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preventivo_stragiudiziale above 520,000 euro now uses the Tab. 25 decreasing percentage (art. 22 DM 55/2014) instead of the last fix…</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preventivo_volontaria_giurisdizione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Oltre 520.000 senza aumento art. 6, dichiarato in docstring.</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pronti_termine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 errato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rateizzazione_imposte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rateizzazione_imposte: interest on each instalment (AdE table 0.18% then +0.33% per month) instead of on the residual balance, instal…</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ravvedimento_operoso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ravvedimento_operoso: new optional data_scadenza; lett. b threshold is the dichiarazione deadline (31 Oct of the following year, art.…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regime_forfettario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Eccedenza contributi: tool imponibile 0, sito -1.000 (deducibile dal reddito complessivo, art. 10 TUIR).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rendimento_bot</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rendimento_bot: net yield now computed on the real outlay (price + substitute tax + commission, tax withheld at subscription, MEF BOT sheet…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ricerca_codici_ateco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Coefficienti da riconciliare con l'Allegato 4 L. 190/2014 e con ATECO 2025 (tabella da_verificare): fonte non riletta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ricevuta_prestazione_occasionale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ricevuta_prestazione_occasionale: now computes the worker's third of the INPS Gestione separata contribution on the excess over 5,000 euro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risarcimento_inail</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errato, non 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risarcimento_inail: rendita patrimoniale quota now retribuzione x coefficient of the D.M. 12/07/2000 table x grade (art. 13 co. 2 lett. b 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ritenuta_acconto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rivalutazione_annuale_media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fix(rivalutazione_annuale_media): annual means now come from the rebuilt ISTAT FOI series (2011 to 2013 gives 10,417.79 instead of 10,241.6…</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rivalutazione_mensile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fix(rivalutazione_mensile): FOI series 1996-2019 rebuilt from the ISTAT monthly series (SDMX, senza tabacchi); the old table was wrong in 1…</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rivalutazione_monetaria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fix(rivalutazione_monetaria): FOI indices for 1996-2019 taken from the ISTAT monthly series with the official linking coefficients 1,373 (1…</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rivalutazione_storica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fix(rivalutazione_storica): annual means now computed on the corrected ISTAT FOI series (e.g. 2000-&gt;2020 coefficient 1.342967 instead of 1.…</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rivalutazione_tfr</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fix(rivalutazione_tfr): revaluation computed on the fund net of the substitute tax charged each year (art. 11 co. 4 D.Lgs. 47/2000), tax 11…</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scadenza_processuale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 errato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scadenze_impugnazioni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scadenze_multe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scadenze_multe: the giudice di pace appeal now applies the August feriale suspension (art. 1 L. 742/1969, art. 7 D.Lgs. 150/2011, Cas…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scorporo_iva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Tool: imponibile arrotondato e IVA per differenza (somma = importo ivato); sito: half-up indipendente su ciascuna cifra. Sui mezzi centesim…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sollecito_pagamento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sollecito_pagamento: BCE + 7 points for transactions concluded by 31/12/2012 (new data_contratto parameter, art. 5 D.Lgs. 231/2002 pre D.Lg…</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spese_condominiali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fix(spese_condominiali): reject millesimi above 1000; lift expense split over the sum of building heights as per art. 1124 c.c. (was normal…</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spese_mediazione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spese_mediazione: rebuilt on DM 150/2023 (arts. 28, 30, 31, Tabella A with 12 brackets): avvio 40/75/110, first-meeting fee 60/120/170, +10…</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spese_trasferta_avvocati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spese_trasferta_avvocati: kilometric allowance is now one fifth of the fuel price per litre (art. 27 DM 55/2014) via the new prezzo_c…</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tariffe_mediazione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tariffe_mediazione: rebuilt on the DM 150/2023 Tabella A (12 brackets, min/max/mean), first-meeting fee and the four outcome scenarios with…</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tasso_alcolemico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Confini delle fasce come da art. 186 co. 2 ('superiore a', 'non superiore a'); il picco Widmark resta una stima (convenzione)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termini_183_190_cpc</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Decorrenza dei termini successivi: dall'udienza (tool, 30/60/80 e 60/80 giorni, prudenziale) contro a catena dalla scadenza precedente pror…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termini_deposito_atti_appello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Termine a ritroso con data grezza di domenica: venerdi (tool, prudenziale) contro sabato (sito). Caso appellante di sabato: tool corretto p…</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termini_deposito_ctu</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Dies a quo dei termini successivi: scadenza non prorogata (tool) contro scadenza prorogata (sito). Commento aggiunto in tests/comparison/te…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termini_esecuzioni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Doppia proroga (festivo poi sabato) contro proroga singola. Commento aggiunto in tests/comparison/test_termini_esecuzioni.py.</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termini_memorie_repliche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termini_procedimento_semplificato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 statute references in termini_procedimento_semplificato: 10-day filing term is art. 281-undecies co. 2, 20+10 day briefs are art. 281-d…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termini_processuali_civili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termini_separazione_divorzio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Doppia proroga festivo poi sabato (tool: 2025-12-29) contro singola (sito: 2025-12-27). Commento aggiunto in tests/comparison/test_termini_…</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variazioni_istat</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fix(variazioni_istat): annual FOI variations recomputed on the corrected ISTAT series (2009 +0.68 instead of -0.65); first year of the seri…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verifica_iban</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Ambito volutamente limitato agli IBAN italiani; San Marino formalmente valido ma fuori ambito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verifica_partita_iva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verifica_partita_iva: codice_ufficio now reads digits 8-10 (was digits 1-2), new matricola field; the office code list is still not validat…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verifica_usura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verifica_usura: leasing strumentale 2025-Q1 TEGM corrected from 7.44 to 9.75 (MEF decree Allegato A, 1 Jan-31 Mar 2025, threshold 16.1875);…</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calcolo_naspi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calcolo_naspi: below 13 weeks of contribution the outcome is 'non_spettante' with no amount (art. 3 co. 1 lett. b D.Lgs. 22/2015); the 3% 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calcolo_sanzione_gdpr</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calcolo_sanzione_gdpr: art. 83(2) criteria now list letters a) to k) (k added), the range follows the EDPB Guidelines 04/2022 v2.1 method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cerca_codice_tributo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`cerca_codice_tributo`: re-read src/data/codici_tributo.json on the AdE code tables of 23/09/2026 (erariali e regionali) and 27/07/20…</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costi_costituzione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costi_costituzione: SRLS now includes the concession tax (EUR 309.87, art. 3 co. 3 DL 1/2012 does not exempt it; total 629.87), SAS/S…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costo_lavoro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costo_lavoro: apprentice worker share 5.84% (INPS circ. 128/2012), +1% above the first pensionable band (art. 3-ter DL 384/1992, INPS circ.…</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indennita_preavviso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indennita_preavviso: importo without intermediate rounding (art. 2118 co. 2 c.c., 150 days on 1.000 euro = 5.000,00); metalmeccanici C1_D1_…</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rendimento_btp</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Aliquota (12,5%) e aritmetica di cedole e scarto coincidono con la norma. La formula del rendimento pero' e' semplice, non composta: rendim…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rendimento_buoni_postali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rendimento_buoni_postali: rewritten on the CDP fogli informativi coefficients per series (new table buoni_postali, @sourced: ordinario TF12…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valutazione_data_breach</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valutazione_data_breach: the art. 34(3)(a) exemption from communicating to data subjects now applies only to confidentiality breaches with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verifica_necessita_dpia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fonte ufficiale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verifica_necessita_dpia: the transfer outside the EU no longer counts as a WP248 criterion (provv. Garante 467/2018); the DPIA is now also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analisi_base_giuridica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analisi_base_giuridica: the matrix entry is now chosen from the processing (order execution rests on art. 6(1)(b) GDPR, employee vide…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compenso_occ</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compenso_occ: fee now computed as the range of art. 16 D.M. 202/2014 (attivo and passivo with the D.M. 30/2012 curatore percentages, reduce…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competenza_giudice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 con riserva</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competenza_giudice: condominio is no longer treated as reserved to the Tribunale (art. 7 co. 1 and co. 3 n. 2 c.p.c.), art. 9 co. 2 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composizione_negoziata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tool attribuisce l'accesso dell'impresa agricola all'art. 25-quater, che riguarda le imprese sotto soglia. Per il tipo sotto_soglia il 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concordato_preventivo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concordato_preventivo: the 20% threshold now covers chirografari plus privileged creditors degraded for incapienza (art. 84 co. 4-5 CCII),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confronto_investimenti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confronto_investimenti: substitute tax clipped at zero on negative yields (art. 45 co. 1 TUIR, art. 3 co. 1 D.L. 66/2014, art. 2 co. 1 D.Lg…</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indennita_licenziamento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indennita_licenziamento: with tipo='reintegra' the ceiling is 12 mensilita whatever the seniority (art. 3 co. 2 D.Lgs. 23/2015, was min(ann…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offerta_conciliativa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quorum_assembleari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fix(quorum_assembleari): quorums rewritten on artt. 2368-2369, 2479-bis co. 3, 2487, 2538 c.c.; new parameters convocazione and ricorso_mer…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scadenze_licenziamento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computo dei tre termini (60/180/60 giorni di calendario, dies a quo escluso, senza sospensione feriale) e la decorrenza dei 180 giorni 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scadenze_societarie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fix(scadenze_societarie): verbale filed under art. 2435 co. 1 (not art. 2436), added the art. 2429 co. 1 communication to sindaci and weeke…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soglie_organo_controllo_srl</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fix(soglie_organo_controllo_srl): obbligo_nomina no longer asserted on a single esercizio (art. 2477 co. 2 lett. c c.c.); optional previous…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tassazione_atti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tassazione_atti: taxes judicial acts by content (DPR 131/1986 Tariffa I art. 8 lett. a-c with Notes I and II, art. 40, art. 41 co. 2), exem…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test_crisi_impresa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tool riprende gli indicatori della versione originaria (DSCR a 6 mesi, debiti/attivo, ritardi misurati a giorni), non piu' vigente dopo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verifica_mediazione_obbligatoria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norma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verifica_mediazione_obbligatoria: exact/alias matching with accent normalisation instead of substring (rete, contratto di rete, respo…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cerca_brocardi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cerca_brocardi: Cassazione references older than the Italgiure archive (a moving window, from 27/01/2021 penal and 17/02/2021 civil on 2026…</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cerca_ddl</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cerca_delibere_consob</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CONSOB Bollettino: results that are not delibere (Comunicazione n. 13/25, Richiamo di attenzione n. 14/25, protocol-numbered comunicazioni,…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cerca_gazzetta_ufficiale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cerca_gazzetta_ufficiale: a search with a single hit (the site redirects to the atto page) is no longer reported as 'no results', res…</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build_search_params inserisce sezione così com'è (fq szdec:{sezione}). Il docstring e _SEZIONI del client usano SU e T, codici che l'indice…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cerca_giurisprudenza_amministrativa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cerca_giurisprudenza_amministrativa no longer promises a date the portal search page does not carry (date of publication, art. 89 c.p.a., 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cerca_giurisprudenza_cgue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cerca_giurisprudenza_cgue: the corte filter compares the CELEX type through STR() (CELLAR stores it as xsd:string, so it returned nothing),…</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cerca_giurisprudenza_tributaria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cerca_giurisprudenza_tributaria: already fixed by the 2.14.2 CeRDEF search-form rewrite (#46); no further change in this phase.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cerca_giurisprudenza_unificata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cerca_giurisprudenza_unificata: the all-words fallback for multi-word CGUE queries now calls the CGUE library with required_terms, so…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cerca_marchi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cerca_pronuncia_costituzionale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_cerca_pronuncia_costituzionale_impl (src/tools/corte_cost.py) indica il perimetro della ricerca solo nel ramo no_results; l'intestazione 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cerca_provvedimenti_garante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cerca_provvedimenti_garante: dates given as GG/MM/AAAA (as documented) are converted to AAAA-MM-GG, the only format the Garante portal's &lt;i…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cerdef_leggi_provvedimento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cerdef_leggi_provvedimento: an unknown GUID is now reported as 'provvedimento non trovato o GUID non valido' (not_found, no retries) instea…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cite_law</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cite_law: recitals of EU acts return the whole text (number cell + text cell of div#rct_N on CELLAR, Reg. (UE) 2016/679 recital 42), an act…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ddl_su_norma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download_law_pdf</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download_law_pdf: EU acts are downloaded from CELLAR by content negotiation (Accept application/pdf;type=pdfa1a with pdfa2a/pdf1x/pdfx fall…</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elenco_misure_nazionali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elenco_misure_nazionali names the requested Member State in the heading and in the no-measures message ("Recepimento in Francia (FRA)", "Ne…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fetch_act_index</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fetch_full_act</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fetch_full_act: short acts no longer fall back to the HTML walker (AKN export validated by structure instead of a 40,000-byte floor; L. 742…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fetch_law_annotations</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fetch_law_annotations: the article text ('Testo dell'articolo', Brocardi div.corpoDelTesto.dispositivo, art. 2043 c.c.) is no longer droppe…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fetch_law_article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get_eu_basis</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get_eu_basis now finds acts whose CELLAR notice has no resource_legal_id_local (e.g. D.Lgs. 196/2003 -&gt; directive 2002/58/CE, MNE 72002L005…</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get_italian_implementation</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get_italian_implementation no longer prints CELLAR's copy of the Gazzetta Ufficiale date as "Entrata in vigore" (D.Lgs. 177/2021: GU 27/11/…</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giurisprudenza_amm_su_norma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giurisprudenza_articolo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_safe_search passa i primi 300 caratteri della massima a _cerca_giurisprudenza_impl. Con più di 50 risultati questa applica _auto_refine, 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giurisprudenza_cgue_su_norma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giurisprudenza_cgue_su_norma: the reference is normalised (art./artt./articolo -&gt; 'articolo N', 'direttiva 2006/112/CE' -&gt; '2006/112', GDPR…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giurisprudenza_su_norma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build_norma_variants mette sempre in OR le varianti nude "art. N" e "articolo N" con quelle qualificate. Per sigle che non sono né codici 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iter_ddl</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leggi_atto_gazzetta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leggi_atto_gazzetta: the atto page is read with the ELI segment of its series (s1..s5, p2), the header now reports estremi, oggetto 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leggi_delibera_consob</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leggi_marchio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leggi_marchio: an unknown ST13 (TMview HTTP 500 "Can't get trademark/design detail") is now reported as no_results ("ST13 inesistente o sch…</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leggi_pronuncia_costituzionale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leggi_pronuncia_costituzionale: the dispositivo and the epigrafe are always returned in full and only the reasons are cut to the 25,000-cha…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leggi_provvedimento_amm</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leggi_provvedimento_amm no longer hands PDF bytes over as full text (PDF-only provvedimenti get an explicit message with the official URL),…</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leggi_provvedimento_garante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leggi_provvedimento_garante: an unavailable DocWeb id (portal page 'Il contenuto o il file richiesto non e' disponibile') is now an explici…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leggi_sentenza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format_full_text tiene solo i primi _MAX_OCR_LENGTH=30000 caratteri dell'OCR, e nelle decisioni lunghe il principio di diritto e il P.Q.M.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leggi_sentenza_cgue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leggi_sentenza_cgue: over 25000 characters the text keeps its beginning and the operative part from the last 'Per questi motivi' (art. 87(i…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mappa_orientamento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L'ancoraggio Brocardi è corretto. La mappa però è prodotta da _orientamento_su_norma_impl e ne eredita tutti i difetti: varianti nude per g…</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orientamento_su_norma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 build_norma_variants (src/lib/italgiure/client.py) aggiunge sempre le varianti nude '"art. N"' e '"articolo N"'. Quando l'atto non è un…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orientamento_su_principio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Sia _fetch_ss_uu sia la query principale usano edismax con mm '2&lt;75% 5&lt;60%': con 6 termini ne bastano 3, e 'schema', 'nullità' e 'parziale'…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pronunce_cost_su_norma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pronunce_cost_su_norma: with no years the search now runs from the current year down to 1956 (the massime bundle named 2001_2015 holds ever…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scarica_pdf_gazzetta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scarica_pdf_gazzetta: the PDF URL uses the ELI segment of the requested series (.../s4/pdf for Concorsi, not .../sg/pdf which the sit…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sommario_gazzetta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sommario_gazzetta: the sommario now reads estremi, issuer and oggetto of each atto (two anchors per span.risultato, shared parser wit…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ultime_delibere_consob</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Same CONSOB Bollettino fix (shared parser and formatter): unnumbered Avvisi and Orientamenti are no longer silently dropped, non-delibere c…</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ultime_gazzette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ultime_gazzette: RSS_CODE follows the official numbering of the special series (S1 Corte costituzionale, S2 Unione europea, S3 Region…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ultime_pronunce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fq szdec:{sezione} con il valore così com'è: il docstring documenta SU e T, codici che nell'indice non esistono (ci sono U e 5). format_est…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ultime_pronunce_cost</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ultime_sentenze_cgue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ultime_sentenze_cgue: corte filter now returns the latest decisions of the Court or of the General Court (STR on the CELEX type), each deci…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ultime_sentenze_tributarie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ultime_sentenze_tributarie: already fixed by the 2.14.2 CeRDEF search-form rewrite (#46); the publication delay is already declared in the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ultimi_provvedimenti_amm</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ultimi_provvedimenti_garante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ultimi_provvedimenti_garante: tipologia is applied server-side through the portal's idsTipologia ('provvedimento' = Provvedimenti 10533 plu…</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verifica_anteriorita_marchio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verifica_citazioni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verifica_citazioni: the Italgiure archive start is read from the archive (moving window, 17/02/2021 civil and 27/01/2021 penal on 2026-09-2…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verifica_dpa_fornitore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verifica_dpa_fornitore: the probe now sends Accept-Language en-US and the judge recognises Italian DPA titles and plural duty wording (art.…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verifica_partita_iva_vies</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chiamata reale</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attestazione_conformita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attestazione_conformita: cites art. 196-novies (not 196-decies) for the copy of an analog act filed by the lawyer and drops the repealed ar…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atto_di_precetto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atto_di_precetto: template now states the date of notification of the title (art. 480 co. 2 c.p.c., null if missing), the full over-indebte…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decreto_ingiuntivo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decreto_ingiuntivo: labour credits pay no contributo unificato unless income exceeds three times the art. 76 threshold (art. 9 co. 1-bis DP…</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dichiarazione_553_cpc</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6</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dichiarazione_553_cpc: the third party declaration now states, in every variant, the debts and when payment or delivery is due, seizures an…</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esporta_atto_docx</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8</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convertitore lavora riga per riga con espressioni regolari. I marcatori inline vengono interpretati solo nei paragrafi normali, non nei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fascicolo_di_parte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coincide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genera_dpa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testo del DPA e' fisso: omette l'ultimo periodo dell'art. 28(3) e attenua l'art. 28(4). La checklist clausole_obbligatorie_art28 vale se…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genera_dpia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rischio residuo deriva solo dalla matrice dei rischi inerenti: misure_mitigazione non entra nel calcolo. La consultazione ex art. 36 e'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genera_informativa_cookie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genera_informativa_cookie: the banner now warns that closing it with the X keeps the default settings (Garante cookie guidelines 10/06/2021…</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genera_informativa_dipendenti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genera_informativa_dipendenti: the ITL authorisation is cited to art. 4(1) L. 300/1970 (not 4(2)), tools of work to art. 4(2)-(3); the noti…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genera_informativa_privacy</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genera_informativa_privacy now carries the legitimate interests (art. 13(1)(d) / 14(2)(b) GDPR), the nature of the provision of data (13(2)…</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genera_informativa_videosorveglianza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genera_informativa_videosorveglianza: the sign now carries the DPO contacts and the pointer to the full notice (EDPB 3/2019, Garante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genera_modello_atto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fix(genera_modello_atto): catalogue realigned to the vigente text: PCT attestations cite arts. 196-octies to 196-undecies disp. att. c.p.c.…</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genera_notifica_data_breach</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calcolo del termine e' corretto. Il modello pero' lega la lett. b) al solo DPO, etichetta male la sezione dei contatti, omette le regist…</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genera_procura_liti_docx</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9</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convenzione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La clausola privacy è rimasta al lessico e alle citazioni anteriori al GDPR. Cita 'Regolamento UE n. 679/2016' invece di 'Regolamento (UE) …</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genera_quotazione_docx</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fix(genera_quotazione_docx): minimum fees are exactly half of the medio (art. 4 co. 1 D.M. 55/2014, no euro rounding), execution defaults c…</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genera_registro_trattamenti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Fixed genera_registro_trattamenti: entry 1 now carries contacts of controller, joint controller, representative and DPO (art. 30(1)(a) GDPR…</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genera_report_fornitori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10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genera_report_fornitori: control characters forbidden by XML 1.0 s.2.2 (U+0000-0008, 000B-000C, 000E-001F) are stripped from every received…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indice_documenti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da chiarire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Il campo 'pagine' non è validato: un valore non numerico solleva un'eccezione. Il riferimento al DM 44/2011 non riguarda l'indice dei docum…</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istanza_visibilita_fascicolo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istanza_visibilita_fascicolo: cites art. 76 co. 2 and art. 196-quater disp. att. c.p.c. instead of the repealed art. 16-bis DL 179/2012, re…</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nota_precisazione_credito</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2</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nota_precisazione_credito: cite art. 553 c.p.c. (assegnazione di crediti) instead of art. 543 (form of the garnishment deed).</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note_trattazione_scritta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3</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note_trattazione_scritta: only istanze and conclusioni, no argumentative part or document production, recalls the substituting order and th…</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procura_alle_liti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procura_alle_liti: anti-money-laundering clause now refers to arts. 17 ff. D.Lgs. 231/2007 (art. 4 repealed by D.Lgs. 90/2017), privacy cla…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relata_notifica_pec</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4</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relata_notifica_pec: relata now carries the content of art. 3-bis co. 5-6 L. 53/1994 (lawyer and party tax codes, source list, conformity a…</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sfratto_morosita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5</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sfratto_morosita: adds the art. 660 co. 3 c.p.c. legal-aid warning, asks for an injunction to pay (arts. 658, 664) instead of a condemnatio…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testimonianza_scritta</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documento</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7</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corretto</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testimonianza_scritta: form rebuilt on art. 103-bis disp. att. c.p.c. and art. 257-bis (truth warning per Corte cost. 149/1995, direct/indi…</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backlog_riconciliazione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non applicabile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lista_categorie_atti</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non applicabile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stato_server</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non applicabile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diagnostica interna del server (2.14.1), nessun riferimento esterno</w:t>
            </w:r>
          </w:p>
        </w:tc>
      </w:tr>
      <w:tr>
        <w:trPr>
          <w:cantSplit/>
        </w:trPr>
        <w:tc>
          <w:tcPr>
            <w:tcW w:type="dxa" w:w="2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verbale_mensile</w:t>
            </w:r>
          </w:p>
        </w:tc>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n.a.</w:t>
            </w:r>
          </w:p>
        </w:tc>
        <w:tc>
          <w:tcPr>
            <w:tcW w:type="dxa" w:w="5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0</w:t>
            </w:r>
          </w:p>
        </w:tc>
        <w:tc>
          <w:tcPr>
            <w:tcW w:type="dxa" w:w="12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non applicabile</w:t>
            </w:r>
          </w:p>
        </w:tc>
        <w:tc>
          <w:tcPr>
            <w:tcW w:type="dxa" w:w="40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5"/>
                <w:szCs w:val="15"/>
              </w:rPr>
              <w:t xml:space="preserve"/>
            </w:r>
          </w:p>
        </w:tc>
      </w:tr>
    </w:tbl>
    <w:p>
      <w:pPr>
        <w:spacing w:after="120"/>
      </w:pPr>
    </w:p>
    <w:p>
      <w:pPr>
        <w:pStyle w:val="SAPGHeading1"/>
      </w:pPr>
      <w:r>
        <w:rPr>
          <w:rFonts w:ascii="Times New Roman" w:cs="Times New Roman" w:eastAsia="Times New Roman" w:hAnsi="Times New Roman"/>
          <w:b/>
          <w:bCs/>
          <w:color w:val="000000"/>
        </w:rPr>
        <w:t xml:space="preserve">Commit del benchmark</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7700"/>
      </w:tblGrid>
      <w:tr>
        <w:trPr>
          <w:tblHeader/>
        </w:trPr>
        <w:tc>
          <w:tcPr>
            <w:tcW w:type="dxa" w:w="11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6"/>
                <w:szCs w:val="16"/>
              </w:rPr>
              <w:t xml:space="preserve">Commit</w:t>
            </w:r>
          </w:p>
        </w:tc>
        <w:tc>
          <w:tcPr>
            <w:tcW w:type="dxa" w:w="7700"/>
            <w:shd w:fill="E7E6E6" w:color="auto" w:val="clear"/>
            <w:tcMar>
              <w:top w:type="dxa" w:w="40"/>
              <w:left w:type="dxa" w:w="80"/>
              <w:bottom w:type="dxa" w:w="40"/>
              <w:right w:type="dxa" w:w="80"/>
            </w:tcMar>
          </w:tcPr>
          <w:p>
            <w:pPr>
              <w:spacing w:after="0" w:line="240" w:lineRule="auto"/>
              <w:jc w:val="left"/>
            </w:pPr>
            <w:r>
              <w:rPr>
                <w:rFonts w:ascii="Times New Roman" w:cs="Times New Roman" w:eastAsia="Times New Roman" w:hAnsi="Times New Roman"/>
                <w:b/>
                <w:bCs/>
                <w:color w:val="000000"/>
                <w:sz w:val="16"/>
                <w:szCs w:val="16"/>
              </w:rPr>
              <w:t xml:space="preserve">Messaggio</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6d2aa84</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test: the DPIA reference names artt. 35 and 36 GDPR after the phase 3 correction</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f88c0de</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docs: benchmark report, audit document RV2 with the 228-tool matrix and testing guide</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79d2cab</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3F, interessi_legali 1990, tasso_alcolemico bands, interessi_corso_causa before 2014</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8b51ddd</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3E, costi_costituzione, competenza_giudice, verifica_mediazione_obbligatoria</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bd78542</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3D, labour cost, crisis law, company law, privacy templates, court documents</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ea561c3</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3C, taxes, real estate, damages, interest, revaluation, criminal law, utilities</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7817b94</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3B, procedural deadlines, court costs, fees and compensi checked against the sources</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dd2e1d0</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test: benchmark phase 1, comparison tests for 115 tools against avvocatoandreani.it</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b502cbf</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3A (part 2), privacy, crisi d'impresa, lavoro, Italgiure</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2aedb58</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docs(changelog): complete the phase 3A entries from the reviewed agent reports</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0b71c60</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 benchmark phase 3A, 35 tools brought back in line with official sources</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6d67e14</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merge: origin/main (2.14.1, 2.14.2) into audit-normativa-cartabia</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50fad1a</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Benchmark fase 4: gate live su norme, fonti ufficiali, ricerche online e generatori</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326bfd0</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chore(release): bump version to 2.14.2</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7783bf2</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docs(changelog): file the Unreleased section as 2.14.2</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ca5173b</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merge: hotfix/cerdef-search-form into main - CeRDEF reads the current portal and reports its failures as errors (#46)</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ec90c88</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fix(cerdef): read the current CeRDEF portal and report its failures as errors (#46)</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4c6c8c8</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Merge pull request #44 from capazme/feat/stato-server-diagnostics</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f56ec25</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Benchmark fase 0: ricognizione del sito con Playwright e riconciliazione del piano</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1e27b31</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feat(registry): server.json declares the identity of the server for the MCP Registry</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9868cf2</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feat(tools): stato_server() - self-report diagnostics (228th tool)</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ace31e6</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Benchmark: piano tool per tool su avvocatoandreani.it (227 tool, 846 casi, catalogo di 190 pagine)</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7d1b1d8</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chore(release): bump version to 2.14.1</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c1ef738</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merge: feat/astra-skill-refresh (PR #42) into main, grounding rules normalized and provenance in OUTPUT</w:t>
            </w:r>
          </w:p>
        </w:tc>
      </w:tr>
      <w:tr>
        <w:trPr>
          <w:cantSplit/>
        </w:trPr>
        <w:tc>
          <w:tcPr>
            <w:tcW w:type="dxa" w:w="11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ff6829e</w:t>
            </w:r>
          </w:p>
        </w:tc>
        <w:tc>
          <w:tcPr>
            <w:tcW w:type="dxa" w:w="7700"/>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color w:val="000000"/>
                <w:sz w:val="16"/>
                <w:szCs w:val="16"/>
              </w:rPr>
              <w:t xml:space="preserve">Normalizza le regole di grounding nelle skill agente e porta la provenienza nelle convenzioni di output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rFonts w:ascii="Times New Roman" w:cs="Times New Roman" w:eastAsia="Times New Roman" w:hAnsi="Times New Roman"/>
        <w:b/>
        <w:bCs/>
        <w:color w:val="000000"/>
        <w:sz w:val="28"/>
        <w:szCs w:val="28"/>
      </w:rPr>
    </w:lvl>
    <w:lvl w:ilvl="1" w15:tentative="1">
      <w:start w:val="1"/>
      <w:numFmt w:val="decimal"/>
      <w:lvlText w:val="%1.%2"/>
      <w:lvlJc w:val="left"/>
      <w:pPr>
        <w:ind w:left="0" w:hanging="0"/>
      </w:pPr>
      <w:rPr>
        <w:rFonts w:ascii="Times New Roman" w:cs="Times New Roman" w:eastAsia="Times New Roman" w:hAnsi="Times New Roman"/>
        <w:b/>
        <w:bCs/>
        <w:color w:val="000000"/>
        <w:sz w:val="26"/>
        <w:szCs w:val="26"/>
      </w:rPr>
    </w:lvl>
    <w:lvl w:ilvl="2" w15:tentative="1">
      <w:start w:val="1"/>
      <w:numFmt w:val="decimal"/>
      <w:lvlText w:val="%1.%2.%3"/>
      <w:lvlJc w:val="left"/>
      <w:pPr>
        <w:ind w:left="0" w:hanging="0"/>
      </w:pPr>
      <w:rPr>
        <w:rFonts w:ascii="Times New Roman" w:cs="Times New Roman" w:eastAsia="Times New Roman" w:hAnsi="Times New Roman"/>
        <w:b/>
        <w:bCs/>
        <w:color w:val="000000"/>
        <w:sz w:val="24"/>
        <w:szCs w:val="24"/>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APGHeading1">
    <w:name w:val="SAPG Heading 1"/>
    <w:basedOn w:val="Normal"/>
    <w:next w:val="SAPGBody"/>
    <w:qFormat/>
    <w:pPr>
      <w:pStyle w:val="ListParagraph"/>
      <w:numPr>
        <w:ilvl w:val="0"/>
        <w:numId w:val="2"/>
      </w:numPr>
      <w:spacing w:after="120" w:before="240" w:line="360" w:lineRule="auto"/>
      <w:jc w:val="left"/>
      <w:outlineLvl w:val="0"/>
    </w:pPr>
    <w:rPr>
      <w:rFonts w:ascii="Times New Roman" w:cs="Times New Roman" w:eastAsia="Times New Roman" w:hAnsi="Times New Roman"/>
      <w:b/>
      <w:bCs/>
      <w:color w:val="000000"/>
      <w:sz w:val="28"/>
      <w:szCs w:val="28"/>
    </w:rPr>
  </w:style>
  <w:style w:type="paragraph" w:styleId="SAPGHeading2">
    <w:name w:val="SAPG Heading 2"/>
    <w:basedOn w:val="Normal"/>
    <w:next w:val="SAPGBody"/>
    <w:qFormat/>
    <w:pPr>
      <w:pStyle w:val="ListParagraph"/>
      <w:numPr>
        <w:ilvl w:val="1"/>
        <w:numId w:val="2"/>
      </w:numPr>
      <w:spacing w:after="120" w:before="200" w:line="360" w:lineRule="auto"/>
      <w:jc w:val="left"/>
      <w:outlineLvl w:val="1"/>
    </w:pPr>
    <w:rPr>
      <w:rFonts w:ascii="Times New Roman" w:cs="Times New Roman" w:eastAsia="Times New Roman" w:hAnsi="Times New Roman"/>
      <w:b/>
      <w:bCs/>
      <w:color w:val="000000"/>
      <w:sz w:val="26"/>
      <w:szCs w:val="26"/>
    </w:rPr>
  </w:style>
  <w:style w:type="paragraph" w:styleId="SAPGHeading3">
    <w:name w:val="SAPG Heading 3"/>
    <w:basedOn w:val="Normal"/>
    <w:next w:val="SAPGBody"/>
    <w:qFormat/>
    <w:pPr>
      <w:pStyle w:val="ListParagraph"/>
      <w:numPr>
        <w:ilvl w:val="2"/>
        <w:numId w:val="2"/>
      </w:numPr>
      <w:spacing w:after="120" w:before="160" w:line="360" w:lineRule="auto"/>
      <w:jc w:val="left"/>
      <w:outlineLvl w:val="2"/>
    </w:pPr>
    <w:rPr>
      <w:rFonts w:ascii="Times New Roman" w:cs="Times New Roman" w:eastAsia="Times New Roman" w:hAnsi="Times New Roman"/>
      <w:b/>
      <w:bCs/>
      <w:color w:val="000000"/>
      <w:sz w:val="24"/>
      <w:szCs w:val="24"/>
    </w:rPr>
  </w:style>
  <w:style w:type="paragraph" w:styleId="SAPGBody">
    <w:name w:val="SAPG Body"/>
    <w:basedOn w:val="Normal"/>
    <w:next w:val="SAPGBody"/>
    <w:qFormat w:val="false"/>
    <w:pPr>
      <w:spacing w:line="360" w:lineRule="auto"/>
      <w:ind w:firstLine="283"/>
      <w:jc w:val="both"/>
    </w:pPr>
    <w:rPr>
      <w:rFonts w:ascii="Times New Roman" w:cs="Times New Roman" w:eastAsia="Times New Roman" w:hAnsi="Times New Roman"/>
      <w:color w:val="000000"/>
      <w:sz w:val="24"/>
      <w:szCs w:val="24"/>
    </w:rPr>
  </w:style>
  <w:style w:type="paragraph" w:styleId="SAPGSignature">
    <w:name w:val="SAPG Signature"/>
    <w:basedOn w:val="Normal"/>
    <w:next w:val="Normal"/>
    <w:qFormat w:val="false"/>
    <w:pPr>
      <w:spacing w:before="120" w:line="360" w:lineRule="auto"/>
      <w:jc w:val="right"/>
    </w:pPr>
    <w:rPr>
      <w:rFonts w:ascii="Times New Roman" w:cs="Times New Roman" w:eastAsia="Times New Roman" w:hAnsi="Times New Roman"/>
      <w:color w:val="000000"/>
      <w:sz w:val="24"/>
      <w:szCs w:val="24"/>
    </w:rPr>
  </w:style>
  <w:style w:type="paragraph" w:styleId="SAPGHeader">
    <w:name w:val="SAPG Header"/>
    <w:basedOn w:val="Normal"/>
    <w:next w:val="SAPGBody"/>
    <w:qFormat w:val="false"/>
    <w:pPr>
      <w:spacing w:after="120" w:line="360" w:lineRule="auto"/>
      <w:jc w:val="right"/>
    </w:pPr>
    <w:rPr>
      <w:rFonts w:ascii="Times New Roman" w:cs="Times New Roman" w:eastAsia="Times New Roman" w:hAnsi="Times New Roman"/>
      <w:color w:val="000000"/>
      <w:sz w:val="24"/>
      <w:szCs w:val="24"/>
    </w:rPr>
  </w:style>
  <w:style w:type="paragraph" w:styleId="SAPGQuote">
    <w:name w:val="SAPG Quote"/>
    <w:basedOn w:val="Normal"/>
    <w:next w:val="SAPGBody"/>
    <w:qFormat w:val="false"/>
    <w:pPr>
      <w:spacing w:after="120" w:before="120" w:line="360" w:lineRule="auto"/>
      <w:ind w:left="567" w:right="567"/>
      <w:jc w:val="left"/>
    </w:pPr>
    <w:rPr>
      <w:rFonts w:ascii="Times New Roman" w:cs="Times New Roman" w:eastAsia="Times New Roman" w:hAnsi="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dei tool di mcp-legal-it</dc:title>
  <dc:creator>SAPG</dc:creator>
  <dc:description>Report dettagliato del benchmark, 29 settembre 2026</dc:description>
  <cp:lastModifiedBy>SAPG</cp:lastModifiedBy>
  <cp:revision>1</cp:revision>
  <dcterms:created xsi:type="dcterms:W3CDTF">2026-09-29T21:13:26.854Z</dcterms:created>
  <dcterms:modified xsi:type="dcterms:W3CDTF">2026-09-29T21:13:26.855Z</dcterms:modified>
</cp:coreProperties>
</file>

<file path=docProps/custom.xml><?xml version="1.0" encoding="utf-8"?>
<Properties xmlns="http://schemas.openxmlformats.org/officeDocument/2006/custom-properties" xmlns:vt="http://schemas.openxmlformats.org/officeDocument/2006/docPropsVTypes"/>
</file>