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color w:val="13602C"/>
          <w:sz w:val="40"/>
          <w:szCs w:val="40"/>
        </w:rPr>
        <w:t xml:space="preserve">INFORME TÉCNICO-FUNCIONAL DEL ERP CETOX</w:t>
      </w:r>
    </w:p>
    <w:p>
      <w:pPr>
        <w:pStyle w:val="Heading3"/>
        <w:spacing w:after="80" w:before="200"/>
      </w:pPr>
      <w:r>
        <w:rPr>
          <w:b/>
          <w:bCs/>
          <w:color w:val="13602C"/>
          <w:sz w:val="24"/>
          <w:szCs w:val="24"/>
        </w:rPr>
        <w:t xml:space="preserve">Sistema de Gestión Integral para Laboratorio de Ensayos · LE-044</w:t>
      </w:r>
    </w:p>
    <w:p>
      <w:pPr>
        <w:spacing w:after="100"/>
      </w:pPr>
      <w:r>
        <w:rPr>
          <w:b/>
          <w:bCs/>
        </w:rPr>
        <w:t xml:space="preserve">Documento de sustento de alcance, complejidad y valor</w:t>
      </w:r>
    </w:p>
    <w:p>
      <w:pPr>
        <w:spacing w:after="100"/>
      </w:pPr>
      <w:r>
        <w:t xml:space="preserve">Fecha de emisión: 16 de junio de 2026</w:t>
      </w:r>
    </w:p>
    <w:p>
      <w:pPr>
        <w:spacing w:after="100"/>
      </w:pPr>
      <w:r>
        <w:t xml:space="preserve">Versión del sistema: producción (rama `main`)</w:t>
      </w:r>
    </w:p>
    <w:p>
      <w:pPr>
        <w:pBdr>
          <w:bottom w:val="single" w:color="4AC3B2" w:sz="6" w:space="1"/>
        </w:pBdr>
        <w:spacing w:after="120" w:before="120"/>
      </w:pPr>
    </w:p>
    <w:p>
      <w:pPr>
        <w:pStyle w:val="Heading2"/>
        <w:pBdr>
          <w:bottom w:val="single" w:color="4AC3B2" w:sz="4" w:space="2"/>
        </w:pBdr>
        <w:spacing w:after="120" w:before="280"/>
      </w:pPr>
      <w:r>
        <w:rPr>
          <w:b/>
          <w:bCs/>
          <w:color w:val="13602C"/>
          <w:sz w:val="30"/>
          <w:szCs w:val="30"/>
        </w:rPr>
        <w:t xml:space="preserve">1. RESUMEN EJECUTIVO</w:t>
      </w:r>
    </w:p>
    <w:p>
      <w:pPr>
        <w:spacing w:after="100"/>
      </w:pPr>
      <w:r>
        <w:t xml:space="preserve">El </w:t>
      </w:r>
      <w:r>
        <w:rPr>
          <w:b/>
          <w:bCs/>
        </w:rPr>
        <w:t xml:space="preserve">ERP Cetox</w:t>
      </w:r>
      <w:r>
        <w:t xml:space="preserve"> es un sistema de gestión empresarial </w:t>
      </w:r>
      <w:r>
        <w:rPr>
          <w:b/>
          <w:bCs/>
        </w:rPr>
        <w:t xml:space="preserve">a medida</w:t>
      </w:r>
      <w:r>
        <w:t xml:space="preserve">, desarrollado específicamente para las operaciones de un laboratorio de ensayos acreditado. No es un software genérico configurado: es una plataforma construida desde cero que integra, en una sola aplicación web, los procesos completos de </w:t>
      </w:r>
      <w:r>
        <w:rPr>
          <w:b/>
          <w:bCs/>
        </w:rPr>
        <w:t xml:space="preserve">seis áreas de negocio</w:t>
      </w:r>
      <w:r>
        <w:t xml:space="preserve"> que en la mayoría de las empresas requerirían </w:t>
      </w:r>
      <w:r>
        <w:rPr>
          <w:b/>
          <w:bCs/>
        </w:rPr>
        <w:t xml:space="preserve">entre 4 y 6 sistemas comerciales independientes</w:t>
      </w:r>
      <w:r>
        <w:t xml:space="preserve"> (un LIMS de laboratorio, un CRM/facturación, un sistema de compras/abastecimiento, un módulo de RRHH, un gestor documental y un tablero gerencial).</w:t>
      </w:r>
    </w:p>
    <w:p>
      <w:pPr>
        <w:spacing w:after="100"/>
      </w:pPr>
      <w:r>
        <w:t xml:space="preserve">El sistema gestiona el </w:t>
      </w:r>
      <w:r>
        <w:rPr>
          <w:b/>
          <w:bCs/>
        </w:rPr>
        <w:t xml:space="preserve">ciclo de vida completo del negocio</w:t>
      </w:r>
      <w:r>
        <w:t xml:space="preserve">: desde que un cliente solicita una cotización, pasando por el ingreso de muestras, la ejecución de ensayos en los laboratorios, la emisión de informes firmados digitalmente con certificado QR verificable, hasta la facturación y cobranza; y en paralelo, todo el abastecimiento (requerimientos, proveedores, órdenes de compra, recepciones, pagos), la gestión del personal (contratos, asistencia biométrica, vacaciones) y el control gerencial (KPIs, finanzas, accesos).</w:t>
      </w:r>
    </w:p>
    <w:p>
      <w:pPr>
        <w:pStyle w:val="Heading3"/>
        <w:spacing w:after="80" w:before="200"/>
      </w:pPr>
      <w:r>
        <w:rPr>
          <w:b/>
          <w:bCs/>
          <w:color w:val="13602C"/>
          <w:sz w:val="24"/>
          <w:szCs w:val="24"/>
        </w:rPr>
        <w:t xml:space="preserve">Cifras de alcance del sistema</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Indicador</w:t>
            </w:r>
          </w:p>
        </w:tc>
        <w:tc>
          <w:tcPr>
            <w:shd w:fill="13602C" w:color="auto" w:val="clear"/>
            <w:tcMar>
              <w:top w:type="dxa" w:w="60"/>
              <w:left w:type="dxa" w:w="100"/>
              <w:bottom w:type="dxa" w:w="60"/>
              <w:right w:type="dxa" w:w="100"/>
            </w:tcMar>
          </w:tcPr>
          <w:p>
            <w:r>
              <w:rPr>
                <w:b/>
                <w:bCs/>
                <w:color w:val="FFFFFF"/>
                <w:sz w:val="19"/>
                <w:szCs w:val="19"/>
              </w:rPr>
              <w:t xml:space="preserve">Cantidad</w:t>
            </w:r>
          </w:p>
        </w:tc>
      </w:tr>
      <w:tr>
        <w:trPr>
          <w:tblHeader w:val="false"/>
        </w:trPr>
        <w:tc>
          <w:tcPr>
            <w:shd w:fill="FFFFFF" w:color="auto" w:val="clear"/>
            <w:tcMar>
              <w:top w:type="dxa" w:w="60"/>
              <w:left w:type="dxa" w:w="100"/>
              <w:bottom w:type="dxa" w:w="60"/>
              <w:right w:type="dxa" w:w="100"/>
            </w:tcMar>
          </w:tcPr>
          <w:p>
            <w:r>
              <w:rPr>
                <w:b/>
                <w:bCs/>
                <w:sz w:val="19"/>
                <w:szCs w:val="19"/>
              </w:rPr>
              <w:t xml:space="preserve">Módulos funcionales</w:t>
            </w:r>
          </w:p>
        </w:tc>
        <w:tc>
          <w:tcPr>
            <w:shd w:fill="FFFFFF" w:color="auto" w:val="clear"/>
            <w:tcMar>
              <w:top w:type="dxa" w:w="60"/>
              <w:left w:type="dxa" w:w="100"/>
              <w:bottom w:type="dxa" w:w="60"/>
              <w:right w:type="dxa" w:w="100"/>
            </w:tcMar>
          </w:tcPr>
          <w:p>
            <w:r>
              <w:rPr>
                <w:sz w:val="19"/>
                <w:szCs w:val="19"/>
              </w:rPr>
              <w:t xml:space="preserve">6 áreas + capacidades transversales</w:t>
            </w:r>
          </w:p>
        </w:tc>
      </w:tr>
      <w:tr>
        <w:trPr>
          <w:tblHeader w:val="false"/>
        </w:trPr>
        <w:tc>
          <w:tcPr>
            <w:shd w:fill="FFFFFF" w:color="auto" w:val="clear"/>
            <w:tcMar>
              <w:top w:type="dxa" w:w="60"/>
              <w:left w:type="dxa" w:w="100"/>
              <w:bottom w:type="dxa" w:w="60"/>
              <w:right w:type="dxa" w:w="100"/>
            </w:tcMar>
          </w:tcPr>
          <w:p>
            <w:r>
              <w:rPr>
                <w:b/>
                <w:bCs/>
                <w:sz w:val="19"/>
                <w:szCs w:val="19"/>
              </w:rPr>
              <w:t xml:space="preserve">Pantallas / vistas de la aplicación</w:t>
            </w:r>
          </w:p>
        </w:tc>
        <w:tc>
          <w:tcPr>
            <w:shd w:fill="FFFFFF" w:color="auto" w:val="clear"/>
            <w:tcMar>
              <w:top w:type="dxa" w:w="60"/>
              <w:left w:type="dxa" w:w="100"/>
              <w:bottom w:type="dxa" w:w="60"/>
              <w:right w:type="dxa" w:w="100"/>
            </w:tcMar>
          </w:tcPr>
          <w:p>
            <w:r>
              <w:rPr>
                <w:sz w:val="19"/>
                <w:szCs w:val="19"/>
              </w:rPr>
              <w:t xml:space="preserve">88 páginas</w:t>
            </w:r>
          </w:p>
        </w:tc>
      </w:tr>
      <w:tr>
        <w:trPr>
          <w:tblHeader w:val="false"/>
        </w:trPr>
        <w:tc>
          <w:tcPr>
            <w:shd w:fill="FFFFFF" w:color="auto" w:val="clear"/>
            <w:tcMar>
              <w:top w:type="dxa" w:w="60"/>
              <w:left w:type="dxa" w:w="100"/>
              <w:bottom w:type="dxa" w:w="60"/>
              <w:right w:type="dxa" w:w="100"/>
            </w:tcMar>
          </w:tcPr>
          <w:p>
            <w:r>
              <w:rPr>
                <w:b/>
                <w:bCs/>
                <w:sz w:val="19"/>
                <w:szCs w:val="19"/>
              </w:rPr>
              <w:t xml:space="preserve">Entidades de datos (tablas modeladas)</w:t>
            </w:r>
          </w:p>
        </w:tc>
        <w:tc>
          <w:tcPr>
            <w:shd w:fill="FFFFFF" w:color="auto" w:val="clear"/>
            <w:tcMar>
              <w:top w:type="dxa" w:w="60"/>
              <w:left w:type="dxa" w:w="100"/>
              <w:bottom w:type="dxa" w:w="60"/>
              <w:right w:type="dxa" w:w="100"/>
            </w:tcMar>
          </w:tcPr>
          <w:p>
            <w:r>
              <w:rPr>
                <w:sz w:val="19"/>
                <w:szCs w:val="19"/>
              </w:rPr>
              <w:t xml:space="preserve">46 modelos relacionales</w:t>
            </w:r>
          </w:p>
        </w:tc>
      </w:tr>
      <w:tr>
        <w:trPr>
          <w:tblHeader w:val="false"/>
        </w:trPr>
        <w:tc>
          <w:tcPr>
            <w:shd w:fill="FFFFFF" w:color="auto" w:val="clear"/>
            <w:tcMar>
              <w:top w:type="dxa" w:w="60"/>
              <w:left w:type="dxa" w:w="100"/>
              <w:bottom w:type="dxa" w:w="60"/>
              <w:right w:type="dxa" w:w="100"/>
            </w:tcMar>
          </w:tcPr>
          <w:p>
            <w:r>
              <w:rPr>
                <w:b/>
                <w:bCs/>
                <w:sz w:val="19"/>
                <w:szCs w:val="19"/>
              </w:rPr>
              <w:t xml:space="preserve">Operaciones de negocio (acciones de servidor)</w:t>
            </w:r>
          </w:p>
        </w:tc>
        <w:tc>
          <w:tcPr>
            <w:shd w:fill="FFFFFF" w:color="auto" w:val="clear"/>
            <w:tcMar>
              <w:top w:type="dxa" w:w="60"/>
              <w:left w:type="dxa" w:w="100"/>
              <w:bottom w:type="dxa" w:w="60"/>
              <w:right w:type="dxa" w:w="100"/>
            </w:tcMar>
          </w:tcPr>
          <w:p>
            <w:r>
              <w:rPr>
                <w:sz w:val="19"/>
                <w:szCs w:val="19"/>
              </w:rPr>
              <w:t xml:space="preserve">~120 funciones</w:t>
            </w:r>
          </w:p>
        </w:tc>
      </w:tr>
      <w:tr>
        <w:trPr>
          <w:tblHeader w:val="false"/>
        </w:trPr>
        <w:tc>
          <w:tcPr>
            <w:shd w:fill="FFFFFF" w:color="auto" w:val="clear"/>
            <w:tcMar>
              <w:top w:type="dxa" w:w="60"/>
              <w:left w:type="dxa" w:w="100"/>
              <w:bottom w:type="dxa" w:w="60"/>
              <w:right w:type="dxa" w:w="100"/>
            </w:tcMar>
          </w:tcPr>
          <w:p>
            <w:r>
              <w:rPr>
                <w:b/>
                <w:bCs/>
                <w:sz w:val="19"/>
                <w:szCs w:val="19"/>
              </w:rPr>
              <w:t xml:space="preserve">Servicios / endpoints API</w:t>
            </w:r>
          </w:p>
        </w:tc>
        <w:tc>
          <w:tcPr>
            <w:shd w:fill="FFFFFF" w:color="auto" w:val="clear"/>
            <w:tcMar>
              <w:top w:type="dxa" w:w="60"/>
              <w:left w:type="dxa" w:w="100"/>
              <w:bottom w:type="dxa" w:w="60"/>
              <w:right w:type="dxa" w:w="100"/>
            </w:tcMar>
          </w:tcPr>
          <w:p>
            <w:r>
              <w:rPr>
                <w:sz w:val="19"/>
                <w:szCs w:val="19"/>
              </w:rPr>
              <w:t xml:space="preserve">~28 rutas</w:t>
            </w:r>
          </w:p>
        </w:tc>
      </w:tr>
      <w:tr>
        <w:trPr>
          <w:tblHeader w:val="false"/>
        </w:trPr>
        <w:tc>
          <w:tcPr>
            <w:shd w:fill="FFFFFF" w:color="auto" w:val="clear"/>
            <w:tcMar>
              <w:top w:type="dxa" w:w="60"/>
              <w:left w:type="dxa" w:w="100"/>
              <w:bottom w:type="dxa" w:w="60"/>
              <w:right w:type="dxa" w:w="100"/>
            </w:tcMar>
          </w:tcPr>
          <w:p>
            <w:r>
              <w:rPr>
                <w:b/>
                <w:bCs/>
                <w:sz w:val="19"/>
                <w:szCs w:val="19"/>
              </w:rPr>
              <w:t xml:space="preserve">Roles de usuario con permisos diferenciados</w:t>
            </w:r>
          </w:p>
        </w:tc>
        <w:tc>
          <w:tcPr>
            <w:shd w:fill="FFFFFF" w:color="auto" w:val="clear"/>
            <w:tcMar>
              <w:top w:type="dxa" w:w="60"/>
              <w:left w:type="dxa" w:w="100"/>
              <w:bottom w:type="dxa" w:w="60"/>
              <w:right w:type="dxa" w:w="100"/>
            </w:tcMar>
          </w:tcPr>
          <w:p>
            <w:r>
              <w:rPr>
                <w:sz w:val="19"/>
                <w:szCs w:val="19"/>
              </w:rPr>
              <w:t xml:space="preserve">10 roles</w:t>
            </w:r>
          </w:p>
        </w:tc>
      </w:tr>
      <w:tr>
        <w:trPr>
          <w:tblHeader w:val="false"/>
        </w:trPr>
        <w:tc>
          <w:tcPr>
            <w:shd w:fill="FFFFFF" w:color="auto" w:val="clear"/>
            <w:tcMar>
              <w:top w:type="dxa" w:w="60"/>
              <w:left w:type="dxa" w:w="100"/>
              <w:bottom w:type="dxa" w:w="60"/>
              <w:right w:type="dxa" w:w="100"/>
            </w:tcMar>
          </w:tcPr>
          <w:p>
            <w:r>
              <w:rPr>
                <w:b/>
                <w:bCs/>
                <w:sz w:val="19"/>
                <w:szCs w:val="19"/>
              </w:rPr>
              <w:t xml:space="preserve">Generadores de documentos</w:t>
            </w:r>
          </w:p>
        </w:tc>
        <w:tc>
          <w:tcPr>
            <w:shd w:fill="FFFFFF" w:color="auto" w:val="clear"/>
            <w:tcMar>
              <w:top w:type="dxa" w:w="60"/>
              <w:left w:type="dxa" w:w="100"/>
              <w:bottom w:type="dxa" w:w="60"/>
              <w:right w:type="dxa" w:w="100"/>
            </w:tcMar>
          </w:tcPr>
          <w:p>
            <w:r>
              <w:rPr>
                <w:sz w:val="19"/>
                <w:szCs w:val="19"/>
              </w:rPr>
              <w:t xml:space="preserve">PDF y Word (DOCX) — informes, certificados, cotizaciones, facturas, OC, contratos, actas</w:t>
            </w:r>
          </w:p>
        </w:tc>
      </w:tr>
      <w:tr>
        <w:trPr>
          <w:tblHeader w:val="false"/>
        </w:trPr>
        <w:tc>
          <w:tcPr>
            <w:shd w:fill="FFFFFF" w:color="auto" w:val="clear"/>
            <w:tcMar>
              <w:top w:type="dxa" w:w="60"/>
              <w:left w:type="dxa" w:w="100"/>
              <w:bottom w:type="dxa" w:w="60"/>
              <w:right w:type="dxa" w:w="100"/>
            </w:tcMar>
          </w:tcPr>
          <w:p>
            <w:r>
              <w:rPr>
                <w:b/>
                <w:bCs/>
                <w:sz w:val="19"/>
                <w:szCs w:val="19"/>
              </w:rPr>
              <w:t xml:space="preserve">Integraciones externas</w:t>
            </w:r>
          </w:p>
        </w:tc>
        <w:tc>
          <w:tcPr>
            <w:shd w:fill="FFFFFF" w:color="auto" w:val="clear"/>
            <w:tcMar>
              <w:top w:type="dxa" w:w="60"/>
              <w:left w:type="dxa" w:w="100"/>
              <w:bottom w:type="dxa" w:w="60"/>
              <w:right w:type="dxa" w:w="100"/>
            </w:tcMar>
          </w:tcPr>
          <w:p>
            <w:r>
              <w:rPr>
                <w:sz w:val="19"/>
                <w:szCs w:val="19"/>
              </w:rPr>
              <w:t xml:space="preserve">Reloj biométrico (ZKTeco), almacenamiento en la nube, verificación pública de certificados</w:t>
            </w:r>
          </w:p>
        </w:tc>
      </w:tr>
    </w:tbl>
    <w:p>
      <w:pPr>
        <w:spacing w:after="120"/>
      </w:pPr>
    </w:p>
    <w:p>
      <w:pPr>
        <w:pBdr>
          <w:bottom w:val="single" w:color="4AC3B2" w:sz="6" w:space="1"/>
        </w:pBdr>
        <w:spacing w:after="120" w:before="120"/>
      </w:pPr>
    </w:p>
    <w:p>
      <w:pPr>
        <w:pStyle w:val="Heading2"/>
        <w:pBdr>
          <w:bottom w:val="single" w:color="4AC3B2" w:sz="4" w:space="2"/>
        </w:pBdr>
        <w:spacing w:after="120" w:before="280"/>
      </w:pPr>
      <w:r>
        <w:rPr>
          <w:b/>
          <w:bCs/>
          <w:color w:val="13602C"/>
          <w:sz w:val="30"/>
          <w:szCs w:val="30"/>
        </w:rPr>
        <w:t xml:space="preserve">2. ARQUITECTURA Y STACK TECNOLÓGICO</w:t>
      </w:r>
    </w:p>
    <w:p>
      <w:pPr>
        <w:spacing w:after="100"/>
      </w:pPr>
      <w:r>
        <w:t xml:space="preserve">El sistema está construido sobre un stack moderno, profesional y de nivel empresarial, lo que garantiza </w:t>
      </w:r>
      <w:r>
        <w:rPr>
          <w:b/>
          <w:bCs/>
        </w:rPr>
        <w:t xml:space="preserve">rendimiento, seguridad y mantenibilidad a largo plazo</w:t>
      </w:r>
      <w:r>
        <w:t xml:space="preserve">.</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Capa</w:t>
            </w:r>
          </w:p>
        </w:tc>
        <w:tc>
          <w:tcPr>
            <w:shd w:fill="13602C" w:color="auto" w:val="clear"/>
            <w:tcMar>
              <w:top w:type="dxa" w:w="60"/>
              <w:left w:type="dxa" w:w="100"/>
              <w:bottom w:type="dxa" w:w="60"/>
              <w:right w:type="dxa" w:w="100"/>
            </w:tcMar>
          </w:tcPr>
          <w:p>
            <w:r>
              <w:rPr>
                <w:b/>
                <w:bCs/>
                <w:color w:val="FFFFFF"/>
                <w:sz w:val="19"/>
                <w:szCs w:val="19"/>
              </w:rPr>
              <w:t xml:space="preserve">Tecnología</w:t>
            </w:r>
          </w:p>
        </w:tc>
        <w:tc>
          <w:tcPr>
            <w:shd w:fill="13602C" w:color="auto" w:val="clear"/>
            <w:tcMar>
              <w:top w:type="dxa" w:w="60"/>
              <w:left w:type="dxa" w:w="100"/>
              <w:bottom w:type="dxa" w:w="60"/>
              <w:right w:type="dxa" w:w="100"/>
            </w:tcMar>
          </w:tcPr>
          <w:p>
            <w:r>
              <w:rPr>
                <w:b/>
                <w:bCs/>
                <w:color w:val="FFFFFF"/>
                <w:sz w:val="19"/>
                <w:szCs w:val="19"/>
              </w:rPr>
              <w:t xml:space="preserve">Función</w:t>
            </w:r>
          </w:p>
        </w:tc>
      </w:tr>
      <w:tr>
        <w:trPr>
          <w:tblHeader w:val="false"/>
        </w:trPr>
        <w:tc>
          <w:tcPr>
            <w:shd w:fill="FFFFFF" w:color="auto" w:val="clear"/>
            <w:tcMar>
              <w:top w:type="dxa" w:w="60"/>
              <w:left w:type="dxa" w:w="100"/>
              <w:bottom w:type="dxa" w:w="60"/>
              <w:right w:type="dxa" w:w="100"/>
            </w:tcMar>
          </w:tcPr>
          <w:p>
            <w:r>
              <w:rPr>
                <w:b/>
                <w:bCs/>
                <w:sz w:val="19"/>
                <w:szCs w:val="19"/>
              </w:rPr>
              <w:t xml:space="preserve">Framework</w:t>
            </w:r>
          </w:p>
        </w:tc>
        <w:tc>
          <w:tcPr>
            <w:shd w:fill="FFFFFF" w:color="auto" w:val="clear"/>
            <w:tcMar>
              <w:top w:type="dxa" w:w="60"/>
              <w:left w:type="dxa" w:w="100"/>
              <w:bottom w:type="dxa" w:w="60"/>
              <w:right w:type="dxa" w:w="100"/>
            </w:tcMar>
          </w:tcPr>
          <w:p>
            <w:r>
              <w:rPr>
                <w:sz w:val="19"/>
                <w:szCs w:val="19"/>
              </w:rPr>
              <w:t xml:space="preserve">Next.js 16 (App Router) + React 19</w:t>
            </w:r>
          </w:p>
        </w:tc>
        <w:tc>
          <w:tcPr>
            <w:shd w:fill="FFFFFF" w:color="auto" w:val="clear"/>
            <w:tcMar>
              <w:top w:type="dxa" w:w="60"/>
              <w:left w:type="dxa" w:w="100"/>
              <w:bottom w:type="dxa" w:w="60"/>
              <w:right w:type="dxa" w:w="100"/>
            </w:tcMar>
          </w:tcPr>
          <w:p>
            <w:r>
              <w:rPr>
                <w:sz w:val="19"/>
                <w:szCs w:val="19"/>
              </w:rPr>
              <w:t xml:space="preserve">Renderizado en servidor, máxima velocidad y SEO</w:t>
            </w:r>
          </w:p>
        </w:tc>
      </w:tr>
      <w:tr>
        <w:trPr>
          <w:tblHeader w:val="false"/>
        </w:trPr>
        <w:tc>
          <w:tcPr>
            <w:shd w:fill="FFFFFF" w:color="auto" w:val="clear"/>
            <w:tcMar>
              <w:top w:type="dxa" w:w="60"/>
              <w:left w:type="dxa" w:w="100"/>
              <w:bottom w:type="dxa" w:w="60"/>
              <w:right w:type="dxa" w:w="100"/>
            </w:tcMar>
          </w:tcPr>
          <w:p>
            <w:r>
              <w:rPr>
                <w:b/>
                <w:bCs/>
                <w:sz w:val="19"/>
                <w:szCs w:val="19"/>
              </w:rPr>
              <w:t xml:space="preserve">Lenguaje</w:t>
            </w:r>
          </w:p>
        </w:tc>
        <w:tc>
          <w:tcPr>
            <w:shd w:fill="FFFFFF" w:color="auto" w:val="clear"/>
            <w:tcMar>
              <w:top w:type="dxa" w:w="60"/>
              <w:left w:type="dxa" w:w="100"/>
              <w:bottom w:type="dxa" w:w="60"/>
              <w:right w:type="dxa" w:w="100"/>
            </w:tcMar>
          </w:tcPr>
          <w:p>
            <w:r>
              <w:rPr>
                <w:sz w:val="19"/>
                <w:szCs w:val="19"/>
              </w:rPr>
              <w:t xml:space="preserve">TypeScript</w:t>
            </w:r>
          </w:p>
        </w:tc>
        <w:tc>
          <w:tcPr>
            <w:shd w:fill="FFFFFF" w:color="auto" w:val="clear"/>
            <w:tcMar>
              <w:top w:type="dxa" w:w="60"/>
              <w:left w:type="dxa" w:w="100"/>
              <w:bottom w:type="dxa" w:w="60"/>
              <w:right w:type="dxa" w:w="100"/>
            </w:tcMar>
          </w:tcPr>
          <w:p>
            <w:r>
              <w:rPr>
                <w:sz w:val="19"/>
                <w:szCs w:val="19"/>
              </w:rPr>
              <w:t xml:space="preserve">Tipado estático: menos errores en producción</w:t>
            </w:r>
          </w:p>
        </w:tc>
      </w:tr>
      <w:tr>
        <w:trPr>
          <w:tblHeader w:val="false"/>
        </w:trPr>
        <w:tc>
          <w:tcPr>
            <w:shd w:fill="FFFFFF" w:color="auto" w:val="clear"/>
            <w:tcMar>
              <w:top w:type="dxa" w:w="60"/>
              <w:left w:type="dxa" w:w="100"/>
              <w:bottom w:type="dxa" w:w="60"/>
              <w:right w:type="dxa" w:w="100"/>
            </w:tcMar>
          </w:tcPr>
          <w:p>
            <w:r>
              <w:rPr>
                <w:b/>
                <w:bCs/>
                <w:sz w:val="19"/>
                <w:szCs w:val="19"/>
              </w:rPr>
              <w:t xml:space="preserve">Base de datos</w:t>
            </w:r>
          </w:p>
        </w:tc>
        <w:tc>
          <w:tcPr>
            <w:shd w:fill="FFFFFF" w:color="auto" w:val="clear"/>
            <w:tcMar>
              <w:top w:type="dxa" w:w="60"/>
              <w:left w:type="dxa" w:w="100"/>
              <w:bottom w:type="dxa" w:w="60"/>
              <w:right w:type="dxa" w:w="100"/>
            </w:tcMar>
          </w:tcPr>
          <w:p>
            <w:r>
              <w:rPr>
                <w:sz w:val="19"/>
                <w:szCs w:val="19"/>
              </w:rPr>
              <w:t xml:space="preserve">PostgreSQL</w:t>
            </w:r>
          </w:p>
        </w:tc>
        <w:tc>
          <w:tcPr>
            <w:shd w:fill="FFFFFF" w:color="auto" w:val="clear"/>
            <w:tcMar>
              <w:top w:type="dxa" w:w="60"/>
              <w:left w:type="dxa" w:w="100"/>
              <w:bottom w:type="dxa" w:w="60"/>
              <w:right w:type="dxa" w:w="100"/>
            </w:tcMar>
          </w:tcPr>
          <w:p>
            <w:r>
              <w:rPr>
                <w:sz w:val="19"/>
                <w:szCs w:val="19"/>
              </w:rPr>
              <w:t xml:space="preserve">Motor relacional robusto de grado empresarial</w:t>
            </w:r>
          </w:p>
        </w:tc>
      </w:tr>
      <w:tr>
        <w:trPr>
          <w:tblHeader w:val="false"/>
        </w:trPr>
        <w:tc>
          <w:tcPr>
            <w:shd w:fill="FFFFFF" w:color="auto" w:val="clear"/>
            <w:tcMar>
              <w:top w:type="dxa" w:w="60"/>
              <w:left w:type="dxa" w:w="100"/>
              <w:bottom w:type="dxa" w:w="60"/>
              <w:right w:type="dxa" w:w="100"/>
            </w:tcMar>
          </w:tcPr>
          <w:p>
            <w:r>
              <w:rPr>
                <w:b/>
                <w:bCs/>
                <w:sz w:val="19"/>
                <w:szCs w:val="19"/>
              </w:rPr>
              <w:t xml:space="preserve">ORM</w:t>
            </w:r>
          </w:p>
        </w:tc>
        <w:tc>
          <w:tcPr>
            <w:shd w:fill="FFFFFF" w:color="auto" w:val="clear"/>
            <w:tcMar>
              <w:top w:type="dxa" w:w="60"/>
              <w:left w:type="dxa" w:w="100"/>
              <w:bottom w:type="dxa" w:w="60"/>
              <w:right w:type="dxa" w:w="100"/>
            </w:tcMar>
          </w:tcPr>
          <w:p>
            <w:r>
              <w:rPr>
                <w:sz w:val="19"/>
                <w:szCs w:val="19"/>
              </w:rPr>
              <w:t xml:space="preserve">Prisma 7.8</w:t>
            </w:r>
          </w:p>
        </w:tc>
        <w:tc>
          <w:tcPr>
            <w:shd w:fill="FFFFFF" w:color="auto" w:val="clear"/>
            <w:tcMar>
              <w:top w:type="dxa" w:w="60"/>
              <w:left w:type="dxa" w:w="100"/>
              <w:bottom w:type="dxa" w:w="60"/>
              <w:right w:type="dxa" w:w="100"/>
            </w:tcMar>
          </w:tcPr>
          <w:p>
            <w:r>
              <w:rPr>
                <w:sz w:val="19"/>
                <w:szCs w:val="19"/>
              </w:rPr>
              <w:t xml:space="preserve">Acceso a datos seguro y migraciones controladas</w:t>
            </w:r>
          </w:p>
        </w:tc>
      </w:tr>
      <w:tr>
        <w:trPr>
          <w:tblHeader w:val="false"/>
        </w:trPr>
        <w:tc>
          <w:tcPr>
            <w:shd w:fill="FFFFFF" w:color="auto" w:val="clear"/>
            <w:tcMar>
              <w:top w:type="dxa" w:w="60"/>
              <w:left w:type="dxa" w:w="100"/>
              <w:bottom w:type="dxa" w:w="60"/>
              <w:right w:type="dxa" w:w="100"/>
            </w:tcMar>
          </w:tcPr>
          <w:p>
            <w:r>
              <w:rPr>
                <w:b/>
                <w:bCs/>
                <w:sz w:val="19"/>
                <w:szCs w:val="19"/>
              </w:rPr>
              <w:t xml:space="preserve">Autenticación</w:t>
            </w:r>
          </w:p>
        </w:tc>
        <w:tc>
          <w:tcPr>
            <w:shd w:fill="FFFFFF" w:color="auto" w:val="clear"/>
            <w:tcMar>
              <w:top w:type="dxa" w:w="60"/>
              <w:left w:type="dxa" w:w="100"/>
              <w:bottom w:type="dxa" w:w="60"/>
              <w:right w:type="dxa" w:w="100"/>
            </w:tcMar>
          </w:tcPr>
          <w:p>
            <w:r>
              <w:rPr>
                <w:sz w:val="19"/>
                <w:szCs w:val="19"/>
              </w:rPr>
              <w:t xml:space="preserve">NextAuth 5</w:t>
            </w:r>
          </w:p>
        </w:tc>
        <w:tc>
          <w:tcPr>
            <w:shd w:fill="FFFFFF" w:color="auto" w:val="clear"/>
            <w:tcMar>
              <w:top w:type="dxa" w:w="60"/>
              <w:left w:type="dxa" w:w="100"/>
              <w:bottom w:type="dxa" w:w="60"/>
              <w:right w:type="dxa" w:w="100"/>
            </w:tcMar>
          </w:tcPr>
          <w:p>
            <w:r>
              <w:rPr>
                <w:sz w:val="19"/>
                <w:szCs w:val="19"/>
              </w:rPr>
              <w:t xml:space="preserve">Sesiones seguras, hash de contraseñas con bcrypt</w:t>
            </w:r>
          </w:p>
        </w:tc>
      </w:tr>
      <w:tr>
        <w:trPr>
          <w:tblHeader w:val="false"/>
        </w:trPr>
        <w:tc>
          <w:tcPr>
            <w:shd w:fill="FFFFFF" w:color="auto" w:val="clear"/>
            <w:tcMar>
              <w:top w:type="dxa" w:w="60"/>
              <w:left w:type="dxa" w:w="100"/>
              <w:bottom w:type="dxa" w:w="60"/>
              <w:right w:type="dxa" w:w="100"/>
            </w:tcMar>
          </w:tcPr>
          <w:p>
            <w:r>
              <w:rPr>
                <w:b/>
                <w:bCs/>
                <w:sz w:val="19"/>
                <w:szCs w:val="19"/>
              </w:rPr>
              <w:t xml:space="preserve">Almacenamiento</w:t>
            </w:r>
          </w:p>
        </w:tc>
        <w:tc>
          <w:tcPr>
            <w:shd w:fill="FFFFFF" w:color="auto" w:val="clear"/>
            <w:tcMar>
              <w:top w:type="dxa" w:w="60"/>
              <w:left w:type="dxa" w:w="100"/>
              <w:bottom w:type="dxa" w:w="60"/>
              <w:right w:type="dxa" w:w="100"/>
            </w:tcMar>
          </w:tcPr>
          <w:p>
            <w:r>
              <w:rPr>
                <w:sz w:val="19"/>
                <w:szCs w:val="19"/>
              </w:rPr>
              <w:t xml:space="preserve">Vercel Blob</w:t>
            </w:r>
          </w:p>
        </w:tc>
        <w:tc>
          <w:tcPr>
            <w:shd w:fill="FFFFFF" w:color="auto" w:val="clear"/>
            <w:tcMar>
              <w:top w:type="dxa" w:w="60"/>
              <w:left w:type="dxa" w:w="100"/>
              <w:bottom w:type="dxa" w:w="60"/>
              <w:right w:type="dxa" w:w="100"/>
            </w:tcMar>
          </w:tcPr>
          <w:p>
            <w:r>
              <w:rPr>
                <w:sz w:val="19"/>
                <w:szCs w:val="19"/>
              </w:rPr>
              <w:t xml:space="preserve">Archivos (PDF, fotos, documentos) en la nube</w:t>
            </w:r>
          </w:p>
        </w:tc>
      </w:tr>
      <w:tr>
        <w:trPr>
          <w:tblHeader w:val="false"/>
        </w:trPr>
        <w:tc>
          <w:tcPr>
            <w:shd w:fill="FFFFFF" w:color="auto" w:val="clear"/>
            <w:tcMar>
              <w:top w:type="dxa" w:w="60"/>
              <w:left w:type="dxa" w:w="100"/>
              <w:bottom w:type="dxa" w:w="60"/>
              <w:right w:type="dxa" w:w="100"/>
            </w:tcMar>
          </w:tcPr>
          <w:p>
            <w:r>
              <w:rPr>
                <w:b/>
                <w:bCs/>
                <w:sz w:val="19"/>
                <w:szCs w:val="19"/>
              </w:rPr>
              <w:t xml:space="preserve">Generación documental</w:t>
            </w:r>
          </w:p>
        </w:tc>
        <w:tc>
          <w:tcPr>
            <w:shd w:fill="FFFFFF" w:color="auto" w:val="clear"/>
            <w:tcMar>
              <w:top w:type="dxa" w:w="60"/>
              <w:left w:type="dxa" w:w="100"/>
              <w:bottom w:type="dxa" w:w="60"/>
              <w:right w:type="dxa" w:w="100"/>
            </w:tcMar>
          </w:tcPr>
          <w:p>
            <w:r>
              <w:rPr>
                <w:sz w:val="19"/>
                <w:szCs w:val="19"/>
              </w:rPr>
              <w:t xml:space="preserve">pdf-lib, docx, docxtemplater</w:t>
            </w:r>
          </w:p>
        </w:tc>
        <w:tc>
          <w:tcPr>
            <w:shd w:fill="FFFFFF" w:color="auto" w:val="clear"/>
            <w:tcMar>
              <w:top w:type="dxa" w:w="60"/>
              <w:left w:type="dxa" w:w="100"/>
              <w:bottom w:type="dxa" w:w="60"/>
              <w:right w:type="dxa" w:w="100"/>
            </w:tcMar>
          </w:tcPr>
          <w:p>
            <w:r>
              <w:rPr>
                <w:sz w:val="19"/>
                <w:szCs w:val="19"/>
              </w:rPr>
              <w:t xml:space="preserve">Documentos oficiales en PDF y Word</w:t>
            </w:r>
          </w:p>
        </w:tc>
      </w:tr>
      <w:tr>
        <w:trPr>
          <w:tblHeader w:val="false"/>
        </w:trPr>
        <w:tc>
          <w:tcPr>
            <w:shd w:fill="FFFFFF" w:color="auto" w:val="clear"/>
            <w:tcMar>
              <w:top w:type="dxa" w:w="60"/>
              <w:left w:type="dxa" w:w="100"/>
              <w:bottom w:type="dxa" w:w="60"/>
              <w:right w:type="dxa" w:w="100"/>
            </w:tcMar>
          </w:tcPr>
          <w:p>
            <w:r>
              <w:rPr>
                <w:b/>
                <w:bCs/>
                <w:sz w:val="19"/>
                <w:szCs w:val="19"/>
              </w:rPr>
              <w:t xml:space="preserve">Códigos QR</w:t>
            </w:r>
          </w:p>
        </w:tc>
        <w:tc>
          <w:tcPr>
            <w:shd w:fill="FFFFFF" w:color="auto" w:val="clear"/>
            <w:tcMar>
              <w:top w:type="dxa" w:w="60"/>
              <w:left w:type="dxa" w:w="100"/>
              <w:bottom w:type="dxa" w:w="60"/>
              <w:right w:type="dxa" w:w="100"/>
            </w:tcMar>
          </w:tcPr>
          <w:p>
            <w:r>
              <w:rPr>
                <w:sz w:val="19"/>
                <w:szCs w:val="19"/>
              </w:rPr>
              <w:t xml:space="preserve">qrcode + sellado en PDF</w:t>
            </w:r>
          </w:p>
        </w:tc>
        <w:tc>
          <w:tcPr>
            <w:shd w:fill="FFFFFF" w:color="auto" w:val="clear"/>
            <w:tcMar>
              <w:top w:type="dxa" w:w="60"/>
              <w:left w:type="dxa" w:w="100"/>
              <w:bottom w:type="dxa" w:w="60"/>
              <w:right w:type="dxa" w:w="100"/>
            </w:tcMar>
          </w:tcPr>
          <w:p>
            <w:r>
              <w:rPr>
                <w:sz w:val="19"/>
                <w:szCs w:val="19"/>
              </w:rPr>
              <w:t xml:space="preserve">Certificados verificables</w:t>
            </w:r>
          </w:p>
        </w:tc>
      </w:tr>
      <w:tr>
        <w:trPr>
          <w:tblHeader w:val="false"/>
        </w:trPr>
        <w:tc>
          <w:tcPr>
            <w:shd w:fill="FFFFFF" w:color="auto" w:val="clear"/>
            <w:tcMar>
              <w:top w:type="dxa" w:w="60"/>
              <w:left w:type="dxa" w:w="100"/>
              <w:bottom w:type="dxa" w:w="60"/>
              <w:right w:type="dxa" w:w="100"/>
            </w:tcMar>
          </w:tcPr>
          <w:p>
            <w:r>
              <w:rPr>
                <w:b/>
                <w:bCs/>
                <w:sz w:val="19"/>
                <w:szCs w:val="19"/>
              </w:rPr>
              <w:t xml:space="preserve">Reportería / gráficos</w:t>
            </w:r>
          </w:p>
        </w:tc>
        <w:tc>
          <w:tcPr>
            <w:shd w:fill="FFFFFF" w:color="auto" w:val="clear"/>
            <w:tcMar>
              <w:top w:type="dxa" w:w="60"/>
              <w:left w:type="dxa" w:w="100"/>
              <w:bottom w:type="dxa" w:w="60"/>
              <w:right w:type="dxa" w:w="100"/>
            </w:tcMar>
          </w:tcPr>
          <w:p>
            <w:r>
              <w:rPr>
                <w:sz w:val="19"/>
                <w:szCs w:val="19"/>
              </w:rPr>
              <w:t xml:space="preserve">Recharts, TanStack Table</w:t>
            </w:r>
          </w:p>
        </w:tc>
        <w:tc>
          <w:tcPr>
            <w:shd w:fill="FFFFFF" w:color="auto" w:val="clear"/>
            <w:tcMar>
              <w:top w:type="dxa" w:w="60"/>
              <w:left w:type="dxa" w:w="100"/>
              <w:bottom w:type="dxa" w:w="60"/>
              <w:right w:type="dxa" w:w="100"/>
            </w:tcMar>
          </w:tcPr>
          <w:p>
            <w:r>
              <w:rPr>
                <w:sz w:val="19"/>
                <w:szCs w:val="19"/>
              </w:rPr>
              <w:t xml:space="preserve">Tableros y visualizaciones</w:t>
            </w:r>
          </w:p>
        </w:tc>
      </w:tr>
      <w:tr>
        <w:trPr>
          <w:tblHeader w:val="false"/>
        </w:trPr>
        <w:tc>
          <w:tcPr>
            <w:shd w:fill="FFFFFF" w:color="auto" w:val="clear"/>
            <w:tcMar>
              <w:top w:type="dxa" w:w="60"/>
              <w:left w:type="dxa" w:w="100"/>
              <w:bottom w:type="dxa" w:w="60"/>
              <w:right w:type="dxa" w:w="100"/>
            </w:tcMar>
          </w:tcPr>
          <w:p>
            <w:r>
              <w:rPr>
                <w:b/>
                <w:bCs/>
                <w:sz w:val="19"/>
                <w:szCs w:val="19"/>
              </w:rPr>
              <w:t xml:space="preserve">Interfaz</w:t>
            </w:r>
          </w:p>
        </w:tc>
        <w:tc>
          <w:tcPr>
            <w:shd w:fill="FFFFFF" w:color="auto" w:val="clear"/>
            <w:tcMar>
              <w:top w:type="dxa" w:w="60"/>
              <w:left w:type="dxa" w:w="100"/>
              <w:bottom w:type="dxa" w:w="60"/>
              <w:right w:type="dxa" w:w="100"/>
            </w:tcMar>
          </w:tcPr>
          <w:p>
            <w:r>
              <w:rPr>
                <w:sz w:val="19"/>
                <w:szCs w:val="19"/>
              </w:rPr>
              <w:t xml:space="preserve">Tailwind CSS 4, Radix UI</w:t>
            </w:r>
          </w:p>
        </w:tc>
        <w:tc>
          <w:tcPr>
            <w:shd w:fill="FFFFFF" w:color="auto" w:val="clear"/>
            <w:tcMar>
              <w:top w:type="dxa" w:w="60"/>
              <w:left w:type="dxa" w:w="100"/>
              <w:bottom w:type="dxa" w:w="60"/>
              <w:right w:type="dxa" w:w="100"/>
            </w:tcMar>
          </w:tcPr>
          <w:p>
            <w:r>
              <w:rPr>
                <w:sz w:val="19"/>
                <w:szCs w:val="19"/>
              </w:rPr>
              <w:t xml:space="preserve">Diseño consistente, accesible y responsivo</w:t>
            </w:r>
          </w:p>
        </w:tc>
      </w:tr>
      <w:tr>
        <w:trPr>
          <w:tblHeader w:val="false"/>
        </w:trPr>
        <w:tc>
          <w:tcPr>
            <w:shd w:fill="FFFFFF" w:color="auto" w:val="clear"/>
            <w:tcMar>
              <w:top w:type="dxa" w:w="60"/>
              <w:left w:type="dxa" w:w="100"/>
              <w:bottom w:type="dxa" w:w="60"/>
              <w:right w:type="dxa" w:w="100"/>
            </w:tcMar>
          </w:tcPr>
          <w:p>
            <w:r>
              <w:rPr>
                <w:b/>
                <w:bCs/>
                <w:sz w:val="19"/>
                <w:szCs w:val="19"/>
              </w:rPr>
              <w:t xml:space="preserve">Validación</w:t>
            </w:r>
          </w:p>
        </w:tc>
        <w:tc>
          <w:tcPr>
            <w:shd w:fill="FFFFFF" w:color="auto" w:val="clear"/>
            <w:tcMar>
              <w:top w:type="dxa" w:w="60"/>
              <w:left w:type="dxa" w:w="100"/>
              <w:bottom w:type="dxa" w:w="60"/>
              <w:right w:type="dxa" w:w="100"/>
            </w:tcMar>
          </w:tcPr>
          <w:p>
            <w:r>
              <w:rPr>
                <w:sz w:val="19"/>
                <w:szCs w:val="19"/>
              </w:rPr>
              <w:t xml:space="preserve">Zod + React Hook Form</w:t>
            </w:r>
          </w:p>
        </w:tc>
        <w:tc>
          <w:tcPr>
            <w:shd w:fill="FFFFFF" w:color="auto" w:val="clear"/>
            <w:tcMar>
              <w:top w:type="dxa" w:w="60"/>
              <w:left w:type="dxa" w:w="100"/>
              <w:bottom w:type="dxa" w:w="60"/>
              <w:right w:type="dxa" w:w="100"/>
            </w:tcMar>
          </w:tcPr>
          <w:p>
            <w:r>
              <w:rPr>
                <w:sz w:val="19"/>
                <w:szCs w:val="19"/>
              </w:rPr>
              <w:t xml:space="preserve">Datos correctos antes de guardar</w:t>
            </w:r>
          </w:p>
        </w:tc>
      </w:tr>
      <w:tr>
        <w:trPr>
          <w:tblHeader w:val="false"/>
        </w:trPr>
        <w:tc>
          <w:tcPr>
            <w:shd w:fill="FFFFFF" w:color="auto" w:val="clear"/>
            <w:tcMar>
              <w:top w:type="dxa" w:w="60"/>
              <w:left w:type="dxa" w:w="100"/>
              <w:bottom w:type="dxa" w:w="60"/>
              <w:right w:type="dxa" w:w="100"/>
            </w:tcMar>
          </w:tcPr>
          <w:p>
            <w:r>
              <w:rPr>
                <w:b/>
                <w:bCs/>
                <w:sz w:val="19"/>
                <w:szCs w:val="19"/>
              </w:rPr>
              <w:t xml:space="preserve">Infraestructura</w:t>
            </w:r>
          </w:p>
        </w:tc>
        <w:tc>
          <w:tcPr>
            <w:shd w:fill="FFFFFF" w:color="auto" w:val="clear"/>
            <w:tcMar>
              <w:top w:type="dxa" w:w="60"/>
              <w:left w:type="dxa" w:w="100"/>
              <w:bottom w:type="dxa" w:w="60"/>
              <w:right w:type="dxa" w:w="100"/>
            </w:tcMar>
          </w:tcPr>
          <w:p>
            <w:r>
              <w:rPr>
                <w:sz w:val="19"/>
                <w:szCs w:val="19"/>
              </w:rPr>
              <w:t xml:space="preserve">Docker Swarm + Nixpacks (VPS)</w:t>
            </w:r>
          </w:p>
        </w:tc>
        <w:tc>
          <w:tcPr>
            <w:shd w:fill="FFFFFF" w:color="auto" w:val="clear"/>
            <w:tcMar>
              <w:top w:type="dxa" w:w="60"/>
              <w:left w:type="dxa" w:w="100"/>
              <w:bottom w:type="dxa" w:w="60"/>
              <w:right w:type="dxa" w:w="100"/>
            </w:tcMar>
          </w:tcPr>
          <w:p>
            <w:r>
              <w:rPr>
                <w:sz w:val="19"/>
                <w:szCs w:val="19"/>
              </w:rPr>
              <w:t xml:space="preserve">Despliegue reproducible y aislado</w:t>
            </w:r>
          </w:p>
        </w:tc>
      </w:tr>
    </w:tbl>
    <w:p>
      <w:pPr>
        <w:spacing w:after="120"/>
      </w:pPr>
    </w:p>
    <w:p>
      <w:pPr>
        <w:spacing w:after="100"/>
      </w:pPr>
      <w:r>
        <w:rPr>
          <w:b/>
          <w:bCs/>
        </w:rPr>
        <w:t xml:space="preserve">Características arquitectónicas de valor:</w:t>
      </w:r>
    </w:p>
    <w:p>
      <w:pPr>
        <w:pStyle w:val="ListParagraph"/>
        <w:numPr>
          <w:ilvl w:val="0"/>
          <w:numId w:val="1"/>
        </w:numPr>
        <w:spacing w:after="40"/>
      </w:pPr>
      <w:r>
        <w:rPr>
          <w:b/>
          <w:bCs/>
        </w:rPr>
        <w:t xml:space="preserve">Aplicación web centralizada</w:t>
      </w:r>
      <w:r>
        <w:t xml:space="preserve">: accesible desde cualquier navegador, sin instalación en cada equipo.</w:t>
      </w:r>
    </w:p>
    <w:p>
      <w:pPr>
        <w:pStyle w:val="ListParagraph"/>
        <w:numPr>
          <w:ilvl w:val="0"/>
          <w:numId w:val="1"/>
        </w:numPr>
        <w:spacing w:after="40"/>
      </w:pPr>
      <w:r>
        <w:rPr>
          <w:b/>
          <w:bCs/>
        </w:rPr>
        <w:t xml:space="preserve">Tiempo real</w:t>
      </w:r>
      <w:r>
        <w:t xml:space="preserve">: notificaciones y mensajería interna mediante SSE (Server-Sent Events).</w:t>
      </w:r>
    </w:p>
    <w:p>
      <w:pPr>
        <w:pStyle w:val="ListParagraph"/>
        <w:numPr>
          <w:ilvl w:val="0"/>
          <w:numId w:val="1"/>
        </w:numPr>
        <w:spacing w:after="40"/>
      </w:pPr>
      <w:r>
        <w:rPr>
          <w:b/>
          <w:bCs/>
        </w:rPr>
        <w:t xml:space="preserve">Correlativos automáticos</w:t>
      </w:r>
      <w:r>
        <w:t xml:space="preserve">: numeración secuencial por año para cotizaciones, SET, ODA, informes, OC, recepciones, devoluciones, pagos y facturas.</w:t>
      </w:r>
    </w:p>
    <w:p>
      <w:pPr>
        <w:pStyle w:val="ListParagraph"/>
        <w:numPr>
          <w:ilvl w:val="0"/>
          <w:numId w:val="1"/>
        </w:numPr>
        <w:spacing w:after="40"/>
      </w:pPr>
      <w:r>
        <w:rPr>
          <w:b/>
          <w:bCs/>
        </w:rPr>
        <w:t xml:space="preserve">Auditoría</w:t>
      </w:r>
      <w:r>
        <w:t xml:space="preserve">: registro de cambios (audit log) con usuario, acción, entidad y detalle.</w:t>
      </w:r>
    </w:p>
    <w:p>
      <w:pPr>
        <w:pStyle w:val="ListParagraph"/>
        <w:numPr>
          <w:ilvl w:val="0"/>
          <w:numId w:val="1"/>
        </w:numPr>
        <w:spacing w:after="40"/>
      </w:pPr>
      <w:r>
        <w:rPr>
          <w:b/>
          <w:bCs/>
        </w:rPr>
        <w:t xml:space="preserve">Seguridad de cabeceras</w:t>
      </w:r>
      <w:r>
        <w:t xml:space="preserve">: políticas CSP, HSTS y control de incrustación (frame-ancestors).</w:t>
      </w:r>
    </w:p>
    <w:p>
      <w:pPr>
        <w:pBdr>
          <w:bottom w:val="single" w:color="4AC3B2" w:sz="6" w:space="1"/>
        </w:pBdr>
        <w:spacing w:after="120" w:before="120"/>
      </w:pPr>
    </w:p>
    <w:p>
      <w:pPr>
        <w:pStyle w:val="Heading2"/>
        <w:pBdr>
          <w:bottom w:val="single" w:color="4AC3B2" w:sz="4" w:space="2"/>
        </w:pBdr>
        <w:spacing w:after="120" w:before="280"/>
      </w:pPr>
      <w:r>
        <w:rPr>
          <w:b/>
          <w:bCs/>
          <w:color w:val="13602C"/>
          <w:sz w:val="30"/>
          <w:szCs w:val="30"/>
        </w:rPr>
        <w:t xml:space="preserve">3. SEGURIDAD, ROLES Y PERMISOS</w:t>
      </w:r>
    </w:p>
    <w:p>
      <w:pPr>
        <w:spacing w:after="100"/>
      </w:pPr>
      <w:r>
        <w:t xml:space="preserve">El sistema implementa un </w:t>
      </w:r>
      <w:r>
        <w:rPr>
          <w:b/>
          <w:bCs/>
        </w:rPr>
        <w:t xml:space="preserve">control de acceso basado en roles (RBAC)</w:t>
      </w:r>
      <w:r>
        <w:t xml:space="preserve"> con </w:t>
      </w:r>
      <w:r>
        <w:rPr>
          <w:b/>
          <w:bCs/>
        </w:rPr>
        <w:t xml:space="preserve">10 perfiles diferenciados</w:t>
      </w:r>
      <w:r>
        <w:t xml:space="preserve">, cada uno con visibilidad y permisos específicos. Esto garantiza que cada colaborador solo acceda a lo que le corresponde — un requisito clave de los sistemas de gestión de calidad.</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Rol</w:t>
            </w:r>
          </w:p>
        </w:tc>
        <w:tc>
          <w:tcPr>
            <w:shd w:fill="13602C" w:color="auto" w:val="clear"/>
            <w:tcMar>
              <w:top w:type="dxa" w:w="60"/>
              <w:left w:type="dxa" w:w="100"/>
              <w:bottom w:type="dxa" w:w="60"/>
              <w:right w:type="dxa" w:w="100"/>
            </w:tcMar>
          </w:tcPr>
          <w:p>
            <w:r>
              <w:rPr>
                <w:b/>
                <w:bCs/>
                <w:color w:val="FFFFFF"/>
                <w:sz w:val="19"/>
                <w:szCs w:val="19"/>
              </w:rPr>
              <w:t xml:space="preserve">Acceso principal</w:t>
            </w:r>
          </w:p>
        </w:tc>
      </w:tr>
      <w:tr>
        <w:trPr>
          <w:tblHeader w:val="false"/>
        </w:trPr>
        <w:tc>
          <w:tcPr>
            <w:shd w:fill="FFFFFF" w:color="auto" w:val="clear"/>
            <w:tcMar>
              <w:top w:type="dxa" w:w="60"/>
              <w:left w:type="dxa" w:w="100"/>
              <w:bottom w:type="dxa" w:w="60"/>
              <w:right w:type="dxa" w:w="100"/>
            </w:tcMar>
          </w:tcPr>
          <w:p>
            <w:r>
              <w:rPr>
                <w:b/>
                <w:bCs/>
                <w:sz w:val="19"/>
                <w:szCs w:val="19"/>
              </w:rPr>
              <w:t xml:space="preserve">Gerente General</w:t>
            </w:r>
          </w:p>
        </w:tc>
        <w:tc>
          <w:tcPr>
            <w:shd w:fill="FFFFFF" w:color="auto" w:val="clear"/>
            <w:tcMar>
              <w:top w:type="dxa" w:w="60"/>
              <w:left w:type="dxa" w:w="100"/>
              <w:bottom w:type="dxa" w:w="60"/>
              <w:right w:type="dxa" w:w="100"/>
            </w:tcMar>
          </w:tcPr>
          <w:p>
            <w:r>
              <w:rPr>
                <w:sz w:val="19"/>
                <w:szCs w:val="19"/>
              </w:rPr>
              <w:t xml:space="preserve">Visión completa (hereda permisos de Gerencia Técnica)</w:t>
            </w:r>
          </w:p>
        </w:tc>
      </w:tr>
      <w:tr>
        <w:trPr>
          <w:tblHeader w:val="false"/>
        </w:trPr>
        <w:tc>
          <w:tcPr>
            <w:shd w:fill="FFFFFF" w:color="auto" w:val="clear"/>
            <w:tcMar>
              <w:top w:type="dxa" w:w="60"/>
              <w:left w:type="dxa" w:w="100"/>
              <w:bottom w:type="dxa" w:w="60"/>
              <w:right w:type="dxa" w:w="100"/>
            </w:tcMar>
          </w:tcPr>
          <w:p>
            <w:r>
              <w:rPr>
                <w:b/>
                <w:bCs/>
                <w:sz w:val="19"/>
                <w:szCs w:val="19"/>
              </w:rPr>
              <w:t xml:space="preserve">Gerente Técnico</w:t>
            </w:r>
          </w:p>
        </w:tc>
        <w:tc>
          <w:tcPr>
            <w:shd w:fill="FFFFFF" w:color="auto" w:val="clear"/>
            <w:tcMar>
              <w:top w:type="dxa" w:w="60"/>
              <w:left w:type="dxa" w:w="100"/>
              <w:bottom w:type="dxa" w:w="60"/>
              <w:right w:type="dxa" w:w="100"/>
            </w:tcMar>
          </w:tcPr>
          <w:p>
            <w:r>
              <w:rPr>
                <w:sz w:val="19"/>
                <w:szCs w:val="19"/>
              </w:rPr>
              <w:t xml:space="preserve">Dashboard, calidad, comercial, reportería</w:t>
            </w:r>
          </w:p>
        </w:tc>
      </w:tr>
      <w:tr>
        <w:trPr>
          <w:tblHeader w:val="false"/>
        </w:trPr>
        <w:tc>
          <w:tcPr>
            <w:shd w:fill="FFFFFF" w:color="auto" w:val="clear"/>
            <w:tcMar>
              <w:top w:type="dxa" w:w="60"/>
              <w:left w:type="dxa" w:w="100"/>
              <w:bottom w:type="dxa" w:w="60"/>
              <w:right w:type="dxa" w:w="100"/>
            </w:tcMar>
          </w:tcPr>
          <w:p>
            <w:r>
              <w:rPr>
                <w:b/>
                <w:bCs/>
                <w:sz w:val="19"/>
                <w:szCs w:val="19"/>
              </w:rPr>
              <w:t xml:space="preserve">Dirección de Lab. y Calidad</w:t>
            </w:r>
          </w:p>
        </w:tc>
        <w:tc>
          <w:tcPr>
            <w:shd w:fill="FFFFFF" w:color="auto" w:val="clear"/>
            <w:tcMar>
              <w:top w:type="dxa" w:w="60"/>
              <w:left w:type="dxa" w:w="100"/>
              <w:bottom w:type="dxa" w:w="60"/>
              <w:right w:type="dxa" w:w="100"/>
            </w:tcMar>
          </w:tcPr>
          <w:p>
            <w:r>
              <w:rPr>
                <w:sz w:val="19"/>
                <w:szCs w:val="19"/>
              </w:rPr>
              <w:t xml:space="preserve">Calidad + Administración + Operaciones + Caja chica + KPIs + Control de accesos</w:t>
            </w:r>
          </w:p>
        </w:tc>
      </w:tr>
      <w:tr>
        <w:trPr>
          <w:tblHeader w:val="false"/>
        </w:trPr>
        <w:tc>
          <w:tcPr>
            <w:shd w:fill="FFFFFF" w:color="auto" w:val="clear"/>
            <w:tcMar>
              <w:top w:type="dxa" w:w="60"/>
              <w:left w:type="dxa" w:w="100"/>
              <w:bottom w:type="dxa" w:w="60"/>
              <w:right w:type="dxa" w:w="100"/>
            </w:tcMar>
          </w:tcPr>
          <w:p>
            <w:r>
              <w:rPr>
                <w:b/>
                <w:bCs/>
                <w:sz w:val="19"/>
                <w:szCs w:val="19"/>
              </w:rPr>
              <w:t xml:space="preserve">Dirección de Adm. y Finanzas</w:t>
            </w:r>
          </w:p>
        </w:tc>
        <w:tc>
          <w:tcPr>
            <w:shd w:fill="FFFFFF" w:color="auto" w:val="clear"/>
            <w:tcMar>
              <w:top w:type="dxa" w:w="60"/>
              <w:left w:type="dxa" w:w="100"/>
              <w:bottom w:type="dxa" w:w="60"/>
              <w:right w:type="dxa" w:w="100"/>
            </w:tcMar>
          </w:tcPr>
          <w:p>
            <w:r>
              <w:rPr>
                <w:sz w:val="19"/>
                <w:szCs w:val="19"/>
              </w:rPr>
              <w:t xml:space="preserve">Administración + RRHH + Gerencia + Caja chica</w:t>
            </w:r>
          </w:p>
        </w:tc>
      </w:tr>
      <w:tr>
        <w:trPr>
          <w:tblHeader w:val="false"/>
        </w:trPr>
        <w:tc>
          <w:tcPr>
            <w:shd w:fill="FFFFFF" w:color="auto" w:val="clear"/>
            <w:tcMar>
              <w:top w:type="dxa" w:w="60"/>
              <w:left w:type="dxa" w:w="100"/>
              <w:bottom w:type="dxa" w:w="60"/>
              <w:right w:type="dxa" w:w="100"/>
            </w:tcMar>
          </w:tcPr>
          <w:p>
            <w:r>
              <w:rPr>
                <w:b/>
                <w:bCs/>
                <w:sz w:val="19"/>
                <w:szCs w:val="19"/>
              </w:rPr>
              <w:t xml:space="preserve">Administración</w:t>
            </w:r>
          </w:p>
        </w:tc>
        <w:tc>
          <w:tcPr>
            <w:shd w:fill="FFFFFF" w:color="auto" w:val="clear"/>
            <w:tcMar>
              <w:top w:type="dxa" w:w="60"/>
              <w:left w:type="dxa" w:w="100"/>
              <w:bottom w:type="dxa" w:w="60"/>
              <w:right w:type="dxa" w:w="100"/>
            </w:tcMar>
          </w:tcPr>
          <w:p>
            <w:r>
              <w:rPr>
                <w:sz w:val="19"/>
                <w:szCs w:val="19"/>
              </w:rPr>
              <w:t xml:space="preserve">Comercial, facturación, RRHH, finanzas</w:t>
            </w:r>
          </w:p>
        </w:tc>
      </w:tr>
      <w:tr>
        <w:trPr>
          <w:tblHeader w:val="false"/>
        </w:trPr>
        <w:tc>
          <w:tcPr>
            <w:shd w:fill="FFFFFF" w:color="auto" w:val="clear"/>
            <w:tcMar>
              <w:top w:type="dxa" w:w="60"/>
              <w:left w:type="dxa" w:w="100"/>
              <w:bottom w:type="dxa" w:w="60"/>
              <w:right w:type="dxa" w:w="100"/>
            </w:tcMar>
          </w:tcPr>
          <w:p>
            <w:r>
              <w:rPr>
                <w:b/>
                <w:bCs/>
                <w:sz w:val="19"/>
                <w:szCs w:val="19"/>
              </w:rPr>
              <w:t xml:space="preserve">Coordinación de Calidad</w:t>
            </w:r>
          </w:p>
        </w:tc>
        <w:tc>
          <w:tcPr>
            <w:shd w:fill="FFFFFF" w:color="auto" w:val="clear"/>
            <w:tcMar>
              <w:top w:type="dxa" w:w="60"/>
              <w:left w:type="dxa" w:w="100"/>
              <w:bottom w:type="dxa" w:w="60"/>
              <w:right w:type="dxa" w:w="100"/>
            </w:tcMar>
          </w:tcPr>
          <w:p>
            <w:r>
              <w:rPr>
                <w:sz w:val="19"/>
                <w:szCs w:val="19"/>
              </w:rPr>
              <w:t xml:space="preserve">Laboratorio + administración básica</w:t>
            </w:r>
          </w:p>
        </w:tc>
      </w:tr>
      <w:tr>
        <w:trPr>
          <w:tblHeader w:val="false"/>
        </w:trPr>
        <w:tc>
          <w:tcPr>
            <w:shd w:fill="FFFFFF" w:color="auto" w:val="clear"/>
            <w:tcMar>
              <w:top w:type="dxa" w:w="60"/>
              <w:left w:type="dxa" w:w="100"/>
              <w:bottom w:type="dxa" w:w="60"/>
              <w:right w:type="dxa" w:w="100"/>
            </w:tcMar>
          </w:tcPr>
          <w:p>
            <w:r>
              <w:rPr>
                <w:b/>
                <w:bCs/>
                <w:sz w:val="19"/>
                <w:szCs w:val="19"/>
              </w:rPr>
              <w:t xml:space="preserve">Analista</w:t>
            </w:r>
          </w:p>
        </w:tc>
        <w:tc>
          <w:tcPr>
            <w:shd w:fill="FFFFFF" w:color="auto" w:val="clear"/>
            <w:tcMar>
              <w:top w:type="dxa" w:w="60"/>
              <w:left w:type="dxa" w:w="100"/>
              <w:bottom w:type="dxa" w:w="60"/>
              <w:right w:type="dxa" w:w="100"/>
            </w:tcMar>
          </w:tcPr>
          <w:p>
            <w:r>
              <w:rPr>
                <w:sz w:val="19"/>
                <w:szCs w:val="19"/>
              </w:rPr>
              <w:t xml:space="preserve">ODA e informes asignados (acceso restringido)</w:t>
            </w:r>
          </w:p>
        </w:tc>
      </w:tr>
      <w:tr>
        <w:trPr>
          <w:tblHeader w:val="false"/>
        </w:trPr>
        <w:tc>
          <w:tcPr>
            <w:shd w:fill="FFFFFF" w:color="auto" w:val="clear"/>
            <w:tcMar>
              <w:top w:type="dxa" w:w="60"/>
              <w:left w:type="dxa" w:w="100"/>
              <w:bottom w:type="dxa" w:w="60"/>
              <w:right w:type="dxa" w:w="100"/>
            </w:tcMar>
          </w:tcPr>
          <w:p>
            <w:r>
              <w:rPr>
                <w:b/>
                <w:bCs/>
                <w:sz w:val="19"/>
                <w:szCs w:val="19"/>
              </w:rPr>
              <w:t xml:space="preserve">Jefe de Operaciones</w:t>
            </w:r>
          </w:p>
        </w:tc>
        <w:tc>
          <w:tcPr>
            <w:shd w:fill="FFFFFF" w:color="auto" w:val="clear"/>
            <w:tcMar>
              <w:top w:type="dxa" w:w="60"/>
              <w:left w:type="dxa" w:w="100"/>
              <w:bottom w:type="dxa" w:w="60"/>
              <w:right w:type="dxa" w:w="100"/>
            </w:tcMar>
          </w:tcPr>
          <w:p>
            <w:r>
              <w:rPr>
                <w:sz w:val="19"/>
                <w:szCs w:val="19"/>
              </w:rPr>
              <w:t xml:space="preserve">Módulo completo de Logística</w:t>
            </w:r>
          </w:p>
        </w:tc>
      </w:tr>
      <w:tr>
        <w:trPr>
          <w:tblHeader w:val="false"/>
        </w:trPr>
        <w:tc>
          <w:tcPr>
            <w:shd w:fill="FFFFFF" w:color="auto" w:val="clear"/>
            <w:tcMar>
              <w:top w:type="dxa" w:w="60"/>
              <w:left w:type="dxa" w:w="100"/>
              <w:bottom w:type="dxa" w:w="60"/>
              <w:right w:type="dxa" w:w="100"/>
            </w:tcMar>
          </w:tcPr>
          <w:p>
            <w:r>
              <w:rPr>
                <w:b/>
                <w:bCs/>
                <w:sz w:val="19"/>
                <w:szCs w:val="19"/>
              </w:rPr>
              <w:t xml:space="preserve">Asistente de Logística</w:t>
            </w:r>
          </w:p>
        </w:tc>
        <w:tc>
          <w:tcPr>
            <w:shd w:fill="FFFFFF" w:color="auto" w:val="clear"/>
            <w:tcMar>
              <w:top w:type="dxa" w:w="60"/>
              <w:left w:type="dxa" w:w="100"/>
              <w:bottom w:type="dxa" w:w="60"/>
              <w:right w:type="dxa" w:w="100"/>
            </w:tcMar>
          </w:tcPr>
          <w:p>
            <w:r>
              <w:rPr>
                <w:sz w:val="19"/>
                <w:szCs w:val="19"/>
              </w:rPr>
              <w:t xml:space="preserve">Módulo de Logística (operativo)</w:t>
            </w:r>
          </w:p>
        </w:tc>
      </w:tr>
      <w:tr>
        <w:trPr>
          <w:tblHeader w:val="false"/>
        </w:trPr>
        <w:tc>
          <w:tcPr>
            <w:shd w:fill="FFFFFF" w:color="auto" w:val="clear"/>
            <w:tcMar>
              <w:top w:type="dxa" w:w="60"/>
              <w:left w:type="dxa" w:w="100"/>
              <w:bottom w:type="dxa" w:w="60"/>
              <w:right w:type="dxa" w:w="100"/>
            </w:tcMar>
          </w:tcPr>
          <w:p>
            <w:r>
              <w:rPr>
                <w:b/>
                <w:bCs/>
                <w:sz w:val="19"/>
                <w:szCs w:val="19"/>
              </w:rPr>
              <w:t xml:space="preserve">Super Admin</w:t>
            </w:r>
          </w:p>
        </w:tc>
        <w:tc>
          <w:tcPr>
            <w:shd w:fill="FFFFFF" w:color="auto" w:val="clear"/>
            <w:tcMar>
              <w:top w:type="dxa" w:w="60"/>
              <w:left w:type="dxa" w:w="100"/>
              <w:bottom w:type="dxa" w:w="60"/>
              <w:right w:type="dxa" w:w="100"/>
            </w:tcMar>
          </w:tcPr>
          <w:p>
            <w:r>
              <w:rPr>
                <w:sz w:val="19"/>
                <w:szCs w:val="19"/>
              </w:rPr>
              <w:t xml:space="preserve">Acceso técnico total</w:t>
            </w:r>
          </w:p>
        </w:tc>
      </w:tr>
    </w:tbl>
    <w:p>
      <w:pPr>
        <w:spacing w:after="120"/>
      </w:pPr>
    </w:p>
    <w:p>
      <w:pPr>
        <w:spacing w:after="100"/>
      </w:pPr>
      <w:r>
        <w:t xml:space="preserve">Cada acceso a página y cada operación de escritura valida el rol del usuario en el servidor (`requireRol`), de modo que </w:t>
      </w:r>
      <w:r>
        <w:rPr>
          <w:b/>
          <w:bCs/>
        </w:rPr>
        <w:t xml:space="preserve">la seguridad no depende de ocultar botones</w:t>
      </w:r>
      <w:r>
        <w:t xml:space="preserve">, sino de verificación real en el backend. Adicionalmente, la </w:t>
      </w:r>
      <w:r>
        <w:rPr>
          <w:b/>
          <w:bCs/>
        </w:rPr>
        <w:t xml:space="preserve">Gerencia puede activar o desactivar el acceso de cualquier usuario</w:t>
      </w:r>
      <w:r>
        <w:t xml:space="preserve"> desde el módulo de Control de Accesos.</w:t>
      </w:r>
    </w:p>
    <w:p>
      <w:pPr>
        <w:pBdr>
          <w:bottom w:val="single" w:color="4AC3B2" w:sz="6" w:space="1"/>
        </w:pBdr>
        <w:spacing w:after="120" w:before="120"/>
      </w:pPr>
    </w:p>
    <w:p>
      <w:pPr>
        <w:pStyle w:val="Heading2"/>
        <w:pBdr>
          <w:bottom w:val="single" w:color="4AC3B2" w:sz="4" w:space="2"/>
        </w:pBdr>
        <w:spacing w:after="120" w:before="280"/>
      </w:pPr>
      <w:r>
        <w:rPr>
          <w:b/>
          <w:bCs/>
          <w:color w:val="13602C"/>
          <w:sz w:val="30"/>
          <w:szCs w:val="30"/>
        </w:rPr>
        <w:t xml:space="preserve">4. MÓDULOS FUNCIONALES</w:t>
      </w:r>
    </w:p>
    <w:p>
      <w:pPr>
        <w:pBdr>
          <w:bottom w:val="single" w:color="4AC3B2" w:sz="6" w:space="1"/>
        </w:pBdr>
        <w:spacing w:after="120" w:before="120"/>
      </w:pPr>
    </w:p>
    <w:p>
      <w:pPr>
        <w:pStyle w:val="Heading3"/>
        <w:spacing w:after="80" w:before="200"/>
      </w:pPr>
      <w:r>
        <w:rPr>
          <w:b/>
          <w:bCs/>
          <w:color w:val="13602C"/>
          <w:sz w:val="24"/>
          <w:szCs w:val="24"/>
        </w:rPr>
        <w:t xml:space="preserve">4.1 MÓDULO DE CALIDAD Y LABORATORIOS</w:t>
      </w:r>
    </w:p>
    <w:p>
      <w:pPr>
        <w:pBdr>
          <w:left w:val="single" w:color="4AC3B2" w:sz="18" w:space="8"/>
        </w:pBdr>
        <w:spacing w:after="120" w:before="80"/>
        <w:ind w:left="360"/>
      </w:pPr>
      <w:r>
        <w:rPr>
          <w:i/>
          <w:iCs/>
          <w:color w:val="475569"/>
          <w:sz w:val="21"/>
          <w:szCs w:val="21"/>
        </w:rPr>
        <w:t xml:space="preserve">El corazón del negocio: gestión del proceso analítico desde el ingreso de la muestra hasta el informe firmado y el certificado verificable.</w:t>
      </w:r>
    </w:p>
    <w:p>
      <w:pPr>
        <w:spacing w:after="100"/>
      </w:pPr>
      <w:r>
        <w:t xml:space="preserve">Este módulo digitaliza el flujo de trabajo técnico-analítico completo, alineado con los requisitos de un laboratorio acreditado (trazabilidad, control de versiones, firmas y verificación).</w:t>
      </w:r>
    </w:p>
    <w:p>
      <w:pPr>
        <w:spacing w:after="60" w:before="160"/>
      </w:pPr>
      <w:r>
        <w:rPr>
          <w:b/>
          <w:bCs/>
          <w:color w:val="13602C"/>
          <w:sz w:val="22"/>
          <w:szCs w:val="22"/>
        </w:rPr>
        <w:t xml:space="preserve">Catálogo de Ensayos</w:t>
      </w:r>
    </w:p>
    <w:p>
      <w:pPr>
        <w:spacing w:after="100"/>
      </w:pPr>
      <w:r>
        <w:t xml:space="preserve">Maestro de ensayos del laboratorio con:</w:t>
      </w:r>
    </w:p>
    <w:p>
      <w:pPr>
        <w:pStyle w:val="ListParagraph"/>
        <w:numPr>
          <w:ilvl w:val="0"/>
          <w:numId w:val="1"/>
        </w:numPr>
        <w:spacing w:after="40"/>
      </w:pPr>
      <w:r>
        <w:t xml:space="preserve">Código único, nombre, </w:t>
      </w:r>
      <w:r>
        <w:rPr>
          <w:b/>
          <w:bCs/>
        </w:rPr>
        <w:t xml:space="preserve">prefijo de informe</w:t>
      </w:r>
      <w:r>
        <w:t xml:space="preserve"> y </w:t>
      </w:r>
      <w:r>
        <w:rPr>
          <w:b/>
          <w:bCs/>
        </w:rPr>
        <w:t xml:space="preserve">área</w:t>
      </w:r>
      <w:r>
        <w:t xml:space="preserve"> (Química / Biología / Microbiología).</w:t>
      </w:r>
    </w:p>
    <w:p>
      <w:pPr>
        <w:pStyle w:val="ListParagraph"/>
        <w:numPr>
          <w:ilvl w:val="0"/>
          <w:numId w:val="1"/>
        </w:numPr>
        <w:spacing w:after="40"/>
      </w:pPr>
      <w:r>
        <w:rPr>
          <w:b/>
          <w:bCs/>
        </w:rPr>
        <w:t xml:space="preserve">Método o norma</w:t>
      </w:r>
      <w:r>
        <w:t xml:space="preserve"> de referencia.</w:t>
      </w:r>
    </w:p>
    <w:p>
      <w:pPr>
        <w:pStyle w:val="ListParagraph"/>
        <w:numPr>
          <w:ilvl w:val="0"/>
          <w:numId w:val="1"/>
        </w:numPr>
        <w:spacing w:after="40"/>
      </w:pPr>
      <w:r>
        <w:rPr>
          <w:b/>
          <w:bCs/>
        </w:rPr>
        <w:t xml:space="preserve">Costos diferenciados en USD y PEN</w:t>
      </w:r>
      <w:r>
        <w:t xml:space="preserve">.</w:t>
      </w:r>
    </w:p>
    <w:p>
      <w:pPr>
        <w:pStyle w:val="ListParagraph"/>
        <w:numPr>
          <w:ilvl w:val="0"/>
          <w:numId w:val="1"/>
        </w:numPr>
        <w:spacing w:after="40"/>
      </w:pPr>
      <w:r>
        <w:rPr>
          <w:b/>
          <w:bCs/>
        </w:rPr>
        <w:t xml:space="preserve">Tiempo de entrega comprometido</w:t>
      </w:r>
      <w:r>
        <w:t xml:space="preserve"> (días).</w:t>
      </w:r>
    </w:p>
    <w:p>
      <w:pPr>
        <w:pStyle w:val="ListParagraph"/>
        <w:numPr>
          <w:ilvl w:val="0"/>
          <w:numId w:val="1"/>
        </w:numPr>
        <w:spacing w:after="40"/>
      </w:pPr>
      <w:r>
        <w:t xml:space="preserve">Indicador de </w:t>
      </w:r>
      <w:r>
        <w:rPr>
          <w:b/>
          <w:bCs/>
        </w:rPr>
        <w:t xml:space="preserve">acreditación INACAL</w:t>
      </w:r>
      <w:r>
        <w:t xml:space="preserve"> y de </w:t>
      </w:r>
      <w:r>
        <w:rPr>
          <w:b/>
          <w:bCs/>
        </w:rPr>
        <w:t xml:space="preserve">ensayo tercerizado</w:t>
      </w:r>
      <w:r>
        <w:t xml:space="preserve">.</w:t>
      </w:r>
    </w:p>
    <w:p>
      <w:pPr>
        <w:pStyle w:val="ListParagraph"/>
        <w:numPr>
          <w:ilvl w:val="0"/>
          <w:numId w:val="1"/>
        </w:numPr>
        <w:spacing w:after="40"/>
      </w:pPr>
      <w:r>
        <w:t xml:space="preserve">Tipo de muestra, plantilla Word asociada y alias.</w:t>
      </w:r>
    </w:p>
    <w:p>
      <w:pPr>
        <w:spacing w:after="60" w:before="160"/>
      </w:pPr>
      <w:r>
        <w:rPr>
          <w:b/>
          <w:bCs/>
          <w:color w:val="13602C"/>
          <w:sz w:val="22"/>
          <w:szCs w:val="22"/>
        </w:rPr>
        <w:t xml:space="preserve">SET — Solicitud de Ensayo / Ingreso de Muestra</w:t>
      </w:r>
    </w:p>
    <w:p>
      <w:pPr>
        <w:spacing w:after="100"/>
      </w:pPr>
      <w:r>
        <w:t xml:space="preserve">Registro formal y trazable de la muestra que ingresa al laboratorio, con un nivel de detalle exhaustivo:</w:t>
      </w:r>
    </w:p>
    <w:p>
      <w:pPr>
        <w:pStyle w:val="ListParagraph"/>
        <w:numPr>
          <w:ilvl w:val="0"/>
          <w:numId w:val="1"/>
        </w:numPr>
        <w:spacing w:after="40"/>
      </w:pPr>
      <w:r>
        <w:t xml:space="preserve">Datos de identificación: nombre comercial, ingrediente activo, formulación, número de lote, fechas de fabricación y vencimiento, peso/volumen, tipo de muestra, </w:t>
      </w:r>
      <w:r>
        <w:rPr>
          <w:b/>
          <w:bCs/>
        </w:rPr>
        <w:t xml:space="preserve">código único de muestra</w:t>
      </w:r>
      <w:r>
        <w:t xml:space="preserve">, fotografía.</w:t>
      </w:r>
    </w:p>
    <w:p>
      <w:pPr>
        <w:pStyle w:val="ListParagraph"/>
        <w:numPr>
          <w:ilvl w:val="0"/>
          <w:numId w:val="1"/>
        </w:numPr>
        <w:spacing w:after="40"/>
      </w:pPr>
      <w:r>
        <w:t xml:space="preserve">Datos de envase: tipo, material, etiqueta, seguridad.</w:t>
      </w:r>
    </w:p>
    <w:p>
      <w:pPr>
        <w:pStyle w:val="ListParagraph"/>
        <w:numPr>
          <w:ilvl w:val="0"/>
          <w:numId w:val="1"/>
        </w:numPr>
        <w:spacing w:after="40"/>
      </w:pPr>
      <w:r>
        <w:t xml:space="preserve">Datos clínicos cuando aplica (nombre y edad de paciente).</w:t>
      </w:r>
    </w:p>
    <w:p>
      <w:pPr>
        <w:pStyle w:val="ListParagraph"/>
        <w:numPr>
          <w:ilvl w:val="0"/>
          <w:numId w:val="1"/>
        </w:numPr>
        <w:spacing w:after="40"/>
      </w:pPr>
      <w:r>
        <w:rPr>
          <w:b/>
          <w:bCs/>
        </w:rPr>
        <w:t xml:space="preserve">Indicaciones específicas por laboratorio</w:t>
      </w:r>
      <w:r>
        <w:t xml:space="preserve"> (Q, B, M) de forma independiente.</w:t>
      </w:r>
    </w:p>
    <w:p>
      <w:pPr>
        <w:pStyle w:val="ListParagraph"/>
        <w:numPr>
          <w:ilvl w:val="0"/>
          <w:numId w:val="1"/>
        </w:numPr>
        <w:spacing w:after="40"/>
      </w:pPr>
      <w:r>
        <w:t xml:space="preserve">Condiciones ambientales, procedencia, manejo de devolución de muestra.</w:t>
      </w:r>
    </w:p>
    <w:p>
      <w:pPr>
        <w:pStyle w:val="ListParagraph"/>
        <w:numPr>
          <w:ilvl w:val="0"/>
          <w:numId w:val="1"/>
        </w:numPr>
        <w:spacing w:after="40"/>
      </w:pPr>
      <w:r>
        <w:rPr>
          <w:b/>
          <w:bCs/>
        </w:rPr>
        <w:t xml:space="preserve">Tres formas de creación</w:t>
      </w:r>
      <w:r>
        <w:t xml:space="preserve">: SET con costo (desde cotización), SET por muestra individual y </w:t>
      </w:r>
      <w:r>
        <w:rPr>
          <w:b/>
          <w:bCs/>
        </w:rPr>
        <w:t xml:space="preserve">SET cero</w:t>
      </w:r>
      <w:r>
        <w:t xml:space="preserve"> (sin costo, con motivo justificado).</w:t>
      </w:r>
    </w:p>
    <w:p>
      <w:pPr>
        <w:pStyle w:val="ListParagraph"/>
        <w:numPr>
          <w:ilvl w:val="0"/>
          <w:numId w:val="1"/>
        </w:numPr>
        <w:spacing w:after="40"/>
      </w:pPr>
      <w:r>
        <w:t xml:space="preserve">Estados controlados (Emitida, En ejecución, Anulado) con posibilidad de anular y reestablecer.</w:t>
      </w:r>
    </w:p>
    <w:p>
      <w:pPr>
        <w:spacing w:after="60" w:before="160"/>
      </w:pPr>
      <w:r>
        <w:rPr>
          <w:b/>
          <w:bCs/>
          <w:color w:val="13602C"/>
          <w:sz w:val="22"/>
          <w:szCs w:val="22"/>
        </w:rPr>
        <w:t xml:space="preserve">ODA — Orden de Ejecución de Ensayo</w:t>
      </w:r>
    </w:p>
    <w:p>
      <w:pPr>
        <w:spacing w:after="100"/>
      </w:pPr>
      <w:r>
        <w:t xml:space="preserve">Orden de trabajo que deriva del SET hacia cada laboratorio:</w:t>
      </w:r>
    </w:p>
    <w:p>
      <w:pPr>
        <w:pStyle w:val="ListParagraph"/>
        <w:numPr>
          <w:ilvl w:val="0"/>
          <w:numId w:val="1"/>
        </w:numPr>
        <w:spacing w:after="40"/>
      </w:pPr>
      <w:r>
        <w:t xml:space="preserve">Generación </w:t>
      </w:r>
      <w:r>
        <w:rPr>
          <w:b/>
          <w:bCs/>
        </w:rPr>
        <w:t xml:space="preserve">selectiva</w:t>
      </w:r>
      <w:r>
        <w:t xml:space="preserve">: el usuario elige qué ensayos del SET convertir en ODA (no obliga a procesar todos).</w:t>
      </w:r>
    </w:p>
    <w:p>
      <w:pPr>
        <w:pStyle w:val="ListParagraph"/>
        <w:numPr>
          <w:ilvl w:val="0"/>
          <w:numId w:val="1"/>
        </w:numPr>
        <w:spacing w:after="40"/>
      </w:pPr>
      <w:r>
        <w:t xml:space="preserve">Asignación por </w:t>
      </w:r>
      <w:r>
        <w:rPr>
          <w:b/>
          <w:bCs/>
        </w:rPr>
        <w:t xml:space="preserve">área</w:t>
      </w:r>
      <w:r>
        <w:t xml:space="preserve"> y por analista.</w:t>
      </w:r>
    </w:p>
    <w:p>
      <w:pPr>
        <w:pStyle w:val="ListParagraph"/>
        <w:numPr>
          <w:ilvl w:val="0"/>
          <w:numId w:val="1"/>
        </w:numPr>
        <w:spacing w:after="40"/>
      </w:pPr>
      <w:r>
        <w:t xml:space="preserve">Control de fechas: recepción, inicio de ejecución y </w:t>
      </w:r>
      <w:r>
        <w:rPr>
          <w:b/>
          <w:bCs/>
        </w:rPr>
        <w:t xml:space="preserve">compromiso de entrega</w:t>
      </w:r>
      <w:r>
        <w:t xml:space="preserve"> por ítem.</w:t>
      </w:r>
    </w:p>
    <w:p>
      <w:pPr>
        <w:pStyle w:val="ListParagraph"/>
        <w:numPr>
          <w:ilvl w:val="0"/>
          <w:numId w:val="1"/>
        </w:numPr>
        <w:spacing w:after="40"/>
      </w:pPr>
      <w:r>
        <w:t xml:space="preserve">Carga de resultados por el analista, control de revisión y estados de ejecución.</w:t>
      </w:r>
    </w:p>
    <w:p>
      <w:pPr>
        <w:spacing w:after="60" w:before="160"/>
      </w:pPr>
      <w:r>
        <w:rPr>
          <w:b/>
          <w:bCs/>
          <w:color w:val="13602C"/>
          <w:sz w:val="22"/>
          <w:szCs w:val="22"/>
        </w:rPr>
        <w:t xml:space="preserve">Informes</w:t>
      </w:r>
    </w:p>
    <w:p>
      <w:pPr>
        <w:spacing w:after="100"/>
      </w:pPr>
      <w:r>
        <w:t xml:space="preserve">Flujo de emisión de informes con </w:t>
      </w:r>
      <w:r>
        <w:rPr>
          <w:b/>
          <w:bCs/>
        </w:rPr>
        <w:t xml:space="preserve">control de versiones y firmas en cadena</w:t>
      </w:r>
      <w:r>
        <w:t xml:space="preserve">:</w:t>
      </w:r>
    </w:p>
    <w:p>
      <w:pPr>
        <w:pStyle w:val="ListParagraph"/>
        <w:numPr>
          <w:ilvl w:val="0"/>
          <w:numId w:val="1"/>
        </w:numPr>
        <w:spacing w:after="40"/>
      </w:pPr>
      <w:r>
        <w:t xml:space="preserve">Estados: Borrador → En revisión de Calidad → En firma de Gerencia → Emitido.</w:t>
      </w:r>
    </w:p>
    <w:p>
      <w:pPr>
        <w:pStyle w:val="ListParagraph"/>
        <w:numPr>
          <w:ilvl w:val="0"/>
          <w:numId w:val="1"/>
        </w:numPr>
        <w:spacing w:after="40"/>
      </w:pPr>
      <w:r>
        <w:rPr>
          <w:b/>
          <w:bCs/>
        </w:rPr>
        <w:t xml:space="preserve">Firma de conformidad de Calidad</w:t>
      </w:r>
      <w:r>
        <w:t xml:space="preserve"> y </w:t>
      </w:r>
      <w:r>
        <w:rPr>
          <w:b/>
          <w:bCs/>
        </w:rPr>
        <w:t xml:space="preserve">firma de Gerencia Técnica</w:t>
      </w:r>
      <w:r>
        <w:t xml:space="preserve">.</w:t>
      </w:r>
    </w:p>
    <w:p>
      <w:pPr>
        <w:pStyle w:val="ListParagraph"/>
        <w:numPr>
          <w:ilvl w:val="0"/>
          <w:numId w:val="1"/>
        </w:numPr>
        <w:spacing w:after="40"/>
      </w:pPr>
      <w:r>
        <w:t xml:space="preserve">Devolución a Administración con observaciones, y carga de informe corregido.</w:t>
      </w:r>
    </w:p>
    <w:p>
      <w:pPr>
        <w:pStyle w:val="ListParagraph"/>
        <w:numPr>
          <w:ilvl w:val="0"/>
          <w:numId w:val="1"/>
        </w:numPr>
        <w:spacing w:after="40"/>
      </w:pPr>
      <w:r>
        <w:t xml:space="preserve">Generación del informe en </w:t>
      </w:r>
      <w:r>
        <w:rPr>
          <w:b/>
          <w:bCs/>
        </w:rPr>
        <w:t xml:space="preserve">Word (DOCX) y PDF</w:t>
      </w:r>
      <w:r>
        <w:t xml:space="preserve">.</w:t>
      </w:r>
    </w:p>
    <w:p>
      <w:pPr>
        <w:pStyle w:val="ListParagraph"/>
        <w:numPr>
          <w:ilvl w:val="0"/>
          <w:numId w:val="1"/>
        </w:numPr>
        <w:spacing w:after="40"/>
      </w:pPr>
      <w:r>
        <w:t xml:space="preserve">Resultados con texto, </w:t>
      </w:r>
      <w:r>
        <w:rPr>
          <w:b/>
          <w:bCs/>
        </w:rPr>
        <w:t xml:space="preserve">imágenes y archivos adjuntos</w:t>
      </w:r>
      <w:r>
        <w:t xml:space="preserve">.</w:t>
      </w:r>
    </w:p>
    <w:p>
      <w:pPr>
        <w:pStyle w:val="ListParagraph"/>
        <w:numPr>
          <w:ilvl w:val="0"/>
          <w:numId w:val="1"/>
        </w:numPr>
        <w:spacing w:after="40"/>
      </w:pPr>
      <w:r>
        <w:rPr>
          <w:b/>
          <w:bCs/>
        </w:rPr>
        <w:t xml:space="preserve">Visor de PDF integrado</w:t>
      </w:r>
      <w:r>
        <w:t xml:space="preserve"> con permisos diferenciados (el analista no ve el certificado QR ni puede descargar el firmado).</w:t>
      </w:r>
    </w:p>
    <w:p>
      <w:pPr>
        <w:spacing w:after="60" w:before="160"/>
      </w:pPr>
      <w:r>
        <w:rPr>
          <w:b/>
          <w:bCs/>
          <w:color w:val="13602C"/>
          <w:sz w:val="22"/>
          <w:szCs w:val="22"/>
        </w:rPr>
        <w:t xml:space="preserve">Certificados con QR verificable</w:t>
      </w:r>
    </w:p>
    <w:p>
      <w:pPr>
        <w:pStyle w:val="ListParagraph"/>
        <w:numPr>
          <w:ilvl w:val="0"/>
          <w:numId w:val="1"/>
        </w:numPr>
        <w:spacing w:after="40"/>
      </w:pPr>
      <w:r>
        <w:t xml:space="preserve">Generación de </w:t>
      </w:r>
      <w:r>
        <w:rPr>
          <w:b/>
          <w:bCs/>
        </w:rPr>
        <w:t xml:space="preserve">certificado digital con código QR único + clave de verificación</w:t>
      </w:r>
      <w:r>
        <w:t xml:space="preserve">.</w:t>
      </w:r>
    </w:p>
    <w:p>
      <w:pPr>
        <w:pStyle w:val="ListParagraph"/>
        <w:numPr>
          <w:ilvl w:val="0"/>
          <w:numId w:val="1"/>
        </w:numPr>
        <w:spacing w:after="40"/>
      </w:pPr>
      <w:r>
        <w:rPr>
          <w:b/>
          <w:bCs/>
        </w:rPr>
        <w:t xml:space="preserve">Página pública de validación</w:t>
      </w:r>
      <w:r>
        <w:t xml:space="preserve">: cualquier tercero (cliente, autoridad) puede verificar la autenticidad de un informe escaneando el QR e ingresando la clave, sin acceso al sistema.</w:t>
      </w:r>
    </w:p>
    <w:p>
      <w:pPr>
        <w:pStyle w:val="ListParagraph"/>
        <w:numPr>
          <w:ilvl w:val="0"/>
          <w:numId w:val="1"/>
        </w:numPr>
        <w:spacing w:after="40"/>
      </w:pPr>
      <w:r>
        <w:t xml:space="preserve">Sellado del QR directamente sobre el PDF del informe.</w:t>
      </w:r>
    </w:p>
    <w:p>
      <w:pPr>
        <w:spacing w:after="60" w:before="160"/>
      </w:pPr>
      <w:r>
        <w:rPr>
          <w:b/>
          <w:bCs/>
          <w:color w:val="13602C"/>
          <w:sz w:val="22"/>
          <w:szCs w:val="22"/>
        </w:rPr>
        <w:t xml:space="preserve">Cargos de Entrega</w:t>
      </w:r>
    </w:p>
    <w:p>
      <w:pPr>
        <w:pStyle w:val="ListParagraph"/>
        <w:numPr>
          <w:ilvl w:val="0"/>
          <w:numId w:val="1"/>
        </w:numPr>
        <w:spacing w:after="40"/>
      </w:pPr>
      <w:r>
        <w:t xml:space="preserve">Acta de entrega del informe/resultado al cliente, con datos de quien recibe, DNI y </w:t>
      </w:r>
      <w:r>
        <w:rPr>
          <w:b/>
          <w:bCs/>
        </w:rPr>
        <w:t xml:space="preserve">firma digital capturada</w:t>
      </w:r>
      <w:r>
        <w:t xml:space="preserve">.</w:t>
      </w:r>
    </w:p>
    <w:p>
      <w:pPr>
        <w:spacing w:after="60" w:before="160"/>
      </w:pPr>
      <w:r>
        <w:rPr>
          <w:b/>
          <w:bCs/>
          <w:color w:val="13602C"/>
          <w:sz w:val="22"/>
          <w:szCs w:val="22"/>
        </w:rPr>
        <w:t xml:space="preserve">Gestión de Equipos (Calidad metrológica)</w:t>
      </w:r>
    </w:p>
    <w:p>
      <w:pPr>
        <w:pStyle w:val="ListParagraph"/>
        <w:numPr>
          <w:ilvl w:val="0"/>
          <w:numId w:val="1"/>
        </w:numPr>
        <w:spacing w:after="40"/>
      </w:pPr>
      <w:r>
        <w:t xml:space="preserve">Inventario de equipos por área y categoría (general, termohigrómetro, vidrio).</w:t>
      </w:r>
    </w:p>
    <w:p>
      <w:pPr>
        <w:pStyle w:val="ListParagraph"/>
        <w:numPr>
          <w:ilvl w:val="0"/>
          <w:numId w:val="1"/>
        </w:numPr>
        <w:spacing w:after="40"/>
      </w:pPr>
      <w:r>
        <w:rPr>
          <w:b/>
          <w:bCs/>
        </w:rPr>
        <w:t xml:space="preserve">Calendario anual de mantenimiento</w:t>
      </w:r>
      <w:r>
        <w:t xml:space="preserve">: tareas preventivas, de calibración y de verificación, por mes, con marcado de cumplimiento y fecha real.</w:t>
      </w:r>
    </w:p>
    <w:p>
      <w:pPr>
        <w:spacing w:after="100"/>
      </w:pPr>
      <w:r>
        <w:rPr>
          <w:b/>
          <w:bCs/>
        </w:rPr>
        <w:t xml:space="preserve">Valor del módulo:</w:t>
      </w:r>
      <w:r>
        <w:t xml:space="preserve"> reemplaza un sistema LIMS comercial (cuyo costo de licencia anual suele ser muy elevado) y aporta trazabilidad completa exigida por la acreditación, con verificación pública de certificados — una capacidad diferenciadora frente a la competencia.</w:t>
      </w:r>
    </w:p>
    <w:p>
      <w:pPr>
        <w:pBdr>
          <w:bottom w:val="single" w:color="4AC3B2" w:sz="6" w:space="1"/>
        </w:pBdr>
        <w:spacing w:after="120" w:before="120"/>
      </w:pPr>
    </w:p>
    <w:p>
      <w:pPr>
        <w:pStyle w:val="Heading3"/>
        <w:spacing w:after="80" w:before="200"/>
      </w:pPr>
      <w:r>
        <w:rPr>
          <w:b/>
          <w:bCs/>
          <w:color w:val="13602C"/>
          <w:sz w:val="24"/>
          <w:szCs w:val="24"/>
        </w:rPr>
        <w:t xml:space="preserve">4.2 MÓDULO DE ADMINISTRACIÓN (COMERCIAL Y FINANCIERO)</w:t>
      </w:r>
    </w:p>
    <w:p>
      <w:pPr>
        <w:pBdr>
          <w:left w:val="single" w:color="4AC3B2" w:sz="18" w:space="8"/>
        </w:pBdr>
        <w:spacing w:after="120" w:before="80"/>
        <w:ind w:left="360"/>
      </w:pPr>
      <w:r>
        <w:rPr>
          <w:i/>
          <w:iCs/>
          <w:color w:val="475569"/>
          <w:sz w:val="21"/>
          <w:szCs w:val="21"/>
        </w:rPr>
        <w:t xml:space="preserve">Gestión comercial del cliente, cotizaciones, facturación, cobranza y caja chica.</w:t>
      </w:r>
    </w:p>
    <w:p>
      <w:pPr>
        <w:spacing w:after="60" w:before="160"/>
      </w:pPr>
      <w:r>
        <w:rPr>
          <w:b/>
          <w:bCs/>
          <w:color w:val="13602C"/>
          <w:sz w:val="22"/>
          <w:szCs w:val="22"/>
        </w:rPr>
        <w:t xml:space="preserve">Gestión de Clientes</w:t>
      </w:r>
    </w:p>
    <w:p>
      <w:pPr>
        <w:pStyle w:val="ListParagraph"/>
        <w:numPr>
          <w:ilvl w:val="0"/>
          <w:numId w:val="1"/>
        </w:numPr>
        <w:spacing w:after="40"/>
      </w:pPr>
      <w:r>
        <w:t xml:space="preserve">Maestro de clientes con razón social, RUC, dirección, país, contacto, email, teléfono.</w:t>
      </w:r>
    </w:p>
    <w:p>
      <w:pPr>
        <w:pStyle w:val="ListParagraph"/>
        <w:numPr>
          <w:ilvl w:val="0"/>
          <w:numId w:val="1"/>
        </w:numPr>
        <w:spacing w:after="40"/>
      </w:pPr>
      <w:r>
        <w:t xml:space="preserve">Activación/desactivación y eliminación controlada.</w:t>
      </w:r>
    </w:p>
    <w:p>
      <w:pPr>
        <w:spacing w:after="60" w:before="160"/>
      </w:pPr>
      <w:r>
        <w:rPr>
          <w:b/>
          <w:bCs/>
          <w:color w:val="13602C"/>
          <w:sz w:val="22"/>
          <w:szCs w:val="22"/>
        </w:rPr>
        <w:t xml:space="preserve">Cotizaciones</w:t>
      </w:r>
    </w:p>
    <w:p>
      <w:pPr>
        <w:spacing w:after="100"/>
      </w:pPr>
      <w:r>
        <w:t xml:space="preserve">Motor comercial completo:</w:t>
      </w:r>
    </w:p>
    <w:p>
      <w:pPr>
        <w:pStyle w:val="ListParagraph"/>
        <w:numPr>
          <w:ilvl w:val="0"/>
          <w:numId w:val="1"/>
        </w:numPr>
        <w:spacing w:after="40"/>
      </w:pPr>
      <w:r>
        <w:t xml:space="preserve">Dos modalidades: </w:t>
      </w:r>
      <w:r>
        <w:rPr>
          <w:b/>
          <w:bCs/>
        </w:rPr>
        <w:t xml:space="preserve">cotización normal</w:t>
      </w:r>
      <w:r>
        <w:t xml:space="preserve"> y </w:t>
      </w:r>
      <w:r>
        <w:rPr>
          <w:b/>
          <w:bCs/>
        </w:rPr>
        <w:t xml:space="preserve">cotización abierta</w:t>
      </w:r>
      <w:r>
        <w:t xml:space="preserve"> (para clientes recurrentes con múltiples muestras).</w:t>
      </w:r>
    </w:p>
    <w:p>
      <w:pPr>
        <w:pStyle w:val="ListParagraph"/>
        <w:numPr>
          <w:ilvl w:val="0"/>
          <w:numId w:val="1"/>
        </w:numPr>
        <w:spacing w:after="40"/>
      </w:pPr>
      <w:r>
        <w:rPr>
          <w:b/>
          <w:bCs/>
        </w:rPr>
        <w:t xml:space="preserve">Multi-muestra</w:t>
      </w:r>
      <w:r>
        <w:t xml:space="preserve">: cada cotización puede contener varias muestras, y cada muestra sus propios ensayos.</w:t>
      </w:r>
    </w:p>
    <w:p>
      <w:pPr>
        <w:pStyle w:val="ListParagraph"/>
        <w:numPr>
          <w:ilvl w:val="0"/>
          <w:numId w:val="1"/>
        </w:numPr>
        <w:spacing w:after="40"/>
      </w:pPr>
      <w:r>
        <w:t xml:space="preserve">Cálculo automático de </w:t>
      </w:r>
      <w:r>
        <w:rPr>
          <w:b/>
          <w:bCs/>
        </w:rPr>
        <w:t xml:space="preserve">subtotal, IGV y total</w:t>
      </w:r>
      <w:r>
        <w:t xml:space="preserve">, en USD o PEN.</w:t>
      </w:r>
    </w:p>
    <w:p>
      <w:pPr>
        <w:pStyle w:val="ListParagraph"/>
        <w:numPr>
          <w:ilvl w:val="0"/>
          <w:numId w:val="1"/>
        </w:numPr>
        <w:spacing w:after="40"/>
      </w:pPr>
      <w:r>
        <w:rPr>
          <w:b/>
          <w:bCs/>
        </w:rPr>
        <w:t xml:space="preserve">7 modalidades de pago</w:t>
      </w:r>
      <w:r>
        <w:t xml:space="preserve"> (anticipo 50/50, anticipo 100%, crédito 100%, crédito 50/50, crédito mensual/quincenal, al culminar).</w:t>
      </w:r>
    </w:p>
    <w:p>
      <w:pPr>
        <w:pStyle w:val="ListParagraph"/>
        <w:numPr>
          <w:ilvl w:val="0"/>
          <w:numId w:val="1"/>
        </w:numPr>
        <w:spacing w:after="40"/>
      </w:pPr>
      <w:r>
        <w:t xml:space="preserve">Vigencia, datos de contacto comercial, país de origen.</w:t>
      </w:r>
    </w:p>
    <w:p>
      <w:pPr>
        <w:pStyle w:val="ListParagraph"/>
        <w:numPr>
          <w:ilvl w:val="0"/>
          <w:numId w:val="1"/>
        </w:numPr>
        <w:spacing w:after="40"/>
      </w:pPr>
      <w:r>
        <w:t xml:space="preserve">Operaciones avanzadas: </w:t>
      </w:r>
      <w:r>
        <w:rPr>
          <w:b/>
          <w:bCs/>
        </w:rPr>
        <w:t xml:space="preserve">duplicar</w:t>
      </w:r>
      <w:r>
        <w:t xml:space="preserve">, </w:t>
      </w:r>
      <w:r>
        <w:rPr>
          <w:b/>
          <w:bCs/>
        </w:rPr>
        <w:t xml:space="preserve">crear nueva versión desde otra</w:t>
      </w:r>
      <w:r>
        <w:t xml:space="preserve">, </w:t>
      </w:r>
      <w:r>
        <w:rPr>
          <w:b/>
          <w:bCs/>
        </w:rPr>
        <w:t xml:space="preserve">modificar cotización aceptada</w:t>
      </w:r>
      <w:r>
        <w:t xml:space="preserve"> (con control de versión vía sufijo y cotización padre), cambio de estado.</w:t>
      </w:r>
    </w:p>
    <w:p>
      <w:pPr>
        <w:pStyle w:val="ListParagraph"/>
        <w:numPr>
          <w:ilvl w:val="0"/>
          <w:numId w:val="1"/>
        </w:numPr>
        <w:spacing w:after="40"/>
      </w:pPr>
      <w:r>
        <w:rPr>
          <w:b/>
          <w:bCs/>
        </w:rPr>
        <w:t xml:space="preserve">Papelera con borrado lógico</w:t>
      </w:r>
      <w:r>
        <w:t xml:space="preserve">: eliminación recuperable y eliminación definitiva, con registro de quién y cuándo.</w:t>
      </w:r>
    </w:p>
    <w:p>
      <w:pPr>
        <w:pStyle w:val="ListParagraph"/>
        <w:numPr>
          <w:ilvl w:val="0"/>
          <w:numId w:val="1"/>
        </w:numPr>
        <w:spacing w:after="40"/>
      </w:pPr>
      <w:r>
        <w:t xml:space="preserve">Generación de </w:t>
      </w:r>
      <w:r>
        <w:rPr>
          <w:b/>
          <w:bCs/>
        </w:rPr>
        <w:t xml:space="preserve">PDF de la cotización</w:t>
      </w:r>
      <w:r>
        <w:t xml:space="preserve">.</w:t>
      </w:r>
    </w:p>
    <w:p>
      <w:pPr>
        <w:spacing w:after="60" w:before="160"/>
      </w:pPr>
      <w:r>
        <w:rPr>
          <w:b/>
          <w:bCs/>
          <w:color w:val="13602C"/>
          <w:sz w:val="22"/>
          <w:szCs w:val="22"/>
        </w:rPr>
        <w:t xml:space="preserve">Facturación a Clientes</w:t>
      </w:r>
    </w:p>
    <w:p>
      <w:pPr>
        <w:pStyle w:val="ListParagraph"/>
        <w:numPr>
          <w:ilvl w:val="0"/>
          <w:numId w:val="1"/>
        </w:numPr>
        <w:spacing w:after="40"/>
      </w:pPr>
      <w:r>
        <w:t xml:space="preserve">Generación de </w:t>
      </w:r>
      <w:r>
        <w:rPr>
          <w:b/>
          <w:bCs/>
        </w:rPr>
        <w:t xml:space="preserve">factura al cliente desde la cotización</w:t>
      </w:r>
      <w:r>
        <w:t xml:space="preserve"> (con o sin selección de ítems).</w:t>
      </w:r>
    </w:p>
    <w:p>
      <w:pPr>
        <w:pStyle w:val="ListParagraph"/>
        <w:numPr>
          <w:ilvl w:val="0"/>
          <w:numId w:val="1"/>
        </w:numPr>
        <w:spacing w:after="40"/>
      </w:pPr>
      <w:r>
        <w:t xml:space="preserve">Series y correlativos por año.</w:t>
      </w:r>
    </w:p>
    <w:p>
      <w:pPr>
        <w:pStyle w:val="ListParagraph"/>
        <w:numPr>
          <w:ilvl w:val="0"/>
          <w:numId w:val="1"/>
        </w:numPr>
        <w:spacing w:after="40"/>
      </w:pPr>
      <w:r>
        <w:rPr>
          <w:b/>
          <w:bCs/>
        </w:rPr>
        <w:t xml:space="preserve">Registro de cobranza avanzado</w:t>
      </w:r>
      <w:r>
        <w:t xml:space="preserve">: número de operación bancaria, </w:t>
      </w:r>
      <w:r>
        <w:rPr>
          <w:b/>
          <w:bCs/>
        </w:rPr>
        <w:t xml:space="preserve">detracción</w:t>
      </w:r>
      <w:r>
        <w:t xml:space="preserve"> (% y sujeción), monto efectivamente ingresado, adelanto y saldo del SET.</w:t>
      </w:r>
    </w:p>
    <w:p>
      <w:pPr>
        <w:pStyle w:val="ListParagraph"/>
        <w:numPr>
          <w:ilvl w:val="0"/>
          <w:numId w:val="1"/>
        </w:numPr>
        <w:spacing w:after="40"/>
      </w:pPr>
      <w:r>
        <w:t xml:space="preserve">Estados: Pendiente → Pagada → Anulada.</w:t>
      </w:r>
    </w:p>
    <w:p>
      <w:pPr>
        <w:pStyle w:val="ListParagraph"/>
        <w:numPr>
          <w:ilvl w:val="0"/>
          <w:numId w:val="1"/>
        </w:numPr>
        <w:spacing w:after="40"/>
      </w:pPr>
      <w:r>
        <w:t xml:space="preserve">Generación de </w:t>
      </w:r>
      <w:r>
        <w:rPr>
          <w:b/>
          <w:bCs/>
        </w:rPr>
        <w:t xml:space="preserve">PDF de factura</w:t>
      </w:r>
      <w:r>
        <w:t xml:space="preserve">.</w:t>
      </w:r>
    </w:p>
    <w:p>
      <w:pPr>
        <w:spacing w:after="60" w:before="160"/>
      </w:pPr>
      <w:r>
        <w:rPr>
          <w:b/>
          <w:bCs/>
          <w:color w:val="13602C"/>
          <w:sz w:val="22"/>
          <w:szCs w:val="22"/>
        </w:rPr>
        <w:t xml:space="preserve">Ingresos y Resumen</w:t>
      </w:r>
    </w:p>
    <w:p>
      <w:pPr>
        <w:pStyle w:val="ListParagraph"/>
        <w:numPr>
          <w:ilvl w:val="0"/>
          <w:numId w:val="1"/>
        </w:numPr>
        <w:spacing w:after="40"/>
      </w:pPr>
      <w:r>
        <w:t xml:space="preserve">Vistas consolidadas de ingresos y resumen ejecutivo de la operación comercial.</w:t>
      </w:r>
    </w:p>
    <w:p>
      <w:pPr>
        <w:spacing w:after="60" w:before="160"/>
      </w:pPr>
      <w:r>
        <w:rPr>
          <w:b/>
          <w:bCs/>
          <w:color w:val="13602C"/>
          <w:sz w:val="22"/>
          <w:szCs w:val="22"/>
        </w:rPr>
        <w:t xml:space="preserve">Caja Chica</w:t>
      </w:r>
    </w:p>
    <w:p>
      <w:pPr>
        <w:pStyle w:val="ListParagraph"/>
        <w:numPr>
          <w:ilvl w:val="0"/>
          <w:numId w:val="1"/>
        </w:numPr>
        <w:spacing w:after="40"/>
      </w:pPr>
      <w:r>
        <w:t xml:space="preserve">Registro de </w:t>
      </w:r>
      <w:r>
        <w:rPr>
          <w:b/>
          <w:bCs/>
        </w:rPr>
        <w:t xml:space="preserve">gastos e ingresos</w:t>
      </w:r>
      <w:r>
        <w:t xml:space="preserve"> de caja chica con campos contables completos (tipo de documento, serie, número, fecha de emisión/vencimiento, condición, tipo de cambio, glosa, </w:t>
      </w:r>
      <w:r>
        <w:rPr>
          <w:b/>
          <w:bCs/>
        </w:rPr>
        <w:t xml:space="preserve">centro de costo, cuenta de gasto</w:t>
      </w:r>
      <w:r>
        <w:t xml:space="preserve">, afecto a IGV).</w:t>
      </w:r>
    </w:p>
    <w:p>
      <w:pPr>
        <w:pStyle w:val="ListParagraph"/>
        <w:numPr>
          <w:ilvl w:val="0"/>
          <w:numId w:val="1"/>
        </w:numPr>
        <w:spacing w:after="40"/>
      </w:pPr>
      <w:r>
        <w:t xml:space="preserve">Asociación a proveedor, comprobante adjunto.</w:t>
      </w:r>
    </w:p>
    <w:p>
      <w:pPr>
        <w:pStyle w:val="ListParagraph"/>
        <w:numPr>
          <w:ilvl w:val="0"/>
          <w:numId w:val="1"/>
        </w:numPr>
        <w:spacing w:after="40"/>
      </w:pPr>
      <w:r>
        <w:rPr>
          <w:b/>
          <w:bCs/>
        </w:rPr>
        <w:t xml:space="preserve">Peticiones de efectivo</w:t>
      </w:r>
      <w:r>
        <w:t xml:space="preserve">: flujo de solicitud → aprobación/rechazo con monto aprobado, que al aprobarse genera el ingreso correspondiente.</w:t>
      </w:r>
    </w:p>
    <w:p>
      <w:pPr>
        <w:spacing w:after="100"/>
      </w:pPr>
      <w:r>
        <w:rPr>
          <w:b/>
          <w:bCs/>
        </w:rPr>
        <w:t xml:space="preserve">Valor del módulo:</w:t>
      </w:r>
      <w:r>
        <w:t xml:space="preserve"> sustituye un sistema de facturación/CRM comercial e incorpora particularidades tributarias peruanas (IGV, detracciones, centros de costo) difíciles de encontrar en software genérico.</w:t>
      </w:r>
    </w:p>
    <w:p>
      <w:pPr>
        <w:pBdr>
          <w:bottom w:val="single" w:color="4AC3B2" w:sz="6" w:space="1"/>
        </w:pBdr>
        <w:spacing w:after="120" w:before="120"/>
      </w:pPr>
    </w:p>
    <w:p>
      <w:pPr>
        <w:pStyle w:val="Heading3"/>
        <w:spacing w:after="80" w:before="200"/>
      </w:pPr>
      <w:r>
        <w:rPr>
          <w:b/>
          <w:bCs/>
          <w:color w:val="13602C"/>
          <w:sz w:val="24"/>
          <w:szCs w:val="24"/>
        </w:rPr>
        <w:t xml:space="preserve">4.3 MÓDULO DE GERENCIA</w:t>
      </w:r>
    </w:p>
    <w:p>
      <w:pPr>
        <w:pBdr>
          <w:left w:val="single" w:color="4AC3B2" w:sz="18" w:space="8"/>
        </w:pBdr>
        <w:spacing w:after="120" w:before="80"/>
        <w:ind w:left="360"/>
      </w:pPr>
      <w:r>
        <w:rPr>
          <w:i/>
          <w:iCs/>
          <w:color w:val="475569"/>
          <w:sz w:val="21"/>
          <w:szCs w:val="21"/>
        </w:rPr>
        <w:t xml:space="preserve">Inteligencia de negocio y control directivo en tiempo real.</w:t>
      </w:r>
    </w:p>
    <w:p>
      <w:pPr>
        <w:spacing w:after="60" w:before="160"/>
      </w:pPr>
      <w:r>
        <w:rPr>
          <w:b/>
          <w:bCs/>
          <w:color w:val="13602C"/>
          <w:sz w:val="22"/>
          <w:szCs w:val="22"/>
        </w:rPr>
        <w:t xml:space="preserve">Dashboard Gerencial</w:t>
      </w:r>
    </w:p>
    <w:p>
      <w:pPr>
        <w:pStyle w:val="ListParagraph"/>
        <w:numPr>
          <w:ilvl w:val="0"/>
          <w:numId w:val="1"/>
        </w:numPr>
        <w:spacing w:after="40"/>
      </w:pPr>
      <w:r>
        <w:rPr>
          <w:b/>
          <w:bCs/>
        </w:rPr>
        <w:t xml:space="preserve">Embudo del pipeline</w:t>
      </w:r>
      <w:r>
        <w:t xml:space="preserve"> por etapas (cotizaciones, SET, ODA, informes) con conteos por estado.</w:t>
      </w:r>
    </w:p>
    <w:p>
      <w:pPr>
        <w:pStyle w:val="ListParagraph"/>
        <w:numPr>
          <w:ilvl w:val="0"/>
          <w:numId w:val="1"/>
        </w:numPr>
        <w:spacing w:after="40"/>
      </w:pPr>
      <w:r>
        <w:rPr>
          <w:b/>
          <w:bCs/>
        </w:rPr>
        <w:t xml:space="preserve">Tendencias mensuales</w:t>
      </w:r>
      <w:r>
        <w:t xml:space="preserve"> de cotizaciones y ensayos.</w:t>
      </w:r>
    </w:p>
    <w:p>
      <w:pPr>
        <w:pStyle w:val="ListParagraph"/>
        <w:numPr>
          <w:ilvl w:val="0"/>
          <w:numId w:val="1"/>
        </w:numPr>
        <w:spacing w:after="40"/>
      </w:pPr>
      <w:r>
        <w:t xml:space="preserve">Indicadores de trabajo en curso y totales históricos.</w:t>
      </w:r>
    </w:p>
    <w:p>
      <w:pPr>
        <w:spacing w:after="60" w:before="160"/>
      </w:pPr>
      <w:r>
        <w:rPr>
          <w:b/>
          <w:bCs/>
          <w:color w:val="13602C"/>
          <w:sz w:val="22"/>
          <w:szCs w:val="22"/>
        </w:rPr>
        <w:t xml:space="preserve">Dashboard Financiero</w:t>
      </w:r>
    </w:p>
    <w:p>
      <w:pPr>
        <w:pStyle w:val="ListParagraph"/>
        <w:numPr>
          <w:ilvl w:val="0"/>
          <w:numId w:val="1"/>
        </w:numPr>
        <w:spacing w:after="40"/>
      </w:pPr>
      <w:r>
        <w:t xml:space="preserve">Métricas clave: </w:t>
      </w:r>
      <w:r>
        <w:rPr>
          <w:b/>
          <w:bCs/>
        </w:rPr>
        <w:t xml:space="preserve">facturado total, pagado total, cuentas por pagar, facturas vencidas</w:t>
      </w:r>
      <w:r>
        <w:t xml:space="preserve">.</w:t>
      </w:r>
    </w:p>
    <w:p>
      <w:pPr>
        <w:pStyle w:val="ListParagraph"/>
        <w:numPr>
          <w:ilvl w:val="0"/>
          <w:numId w:val="1"/>
        </w:numPr>
        <w:spacing w:after="40"/>
      </w:pPr>
      <w:r>
        <w:t xml:space="preserve">Gráficos de evolución financiera mensual.</w:t>
      </w:r>
    </w:p>
    <w:p>
      <w:pPr>
        <w:spacing w:after="60" w:before="160"/>
      </w:pPr>
      <w:r>
        <w:rPr>
          <w:b/>
          <w:bCs/>
          <w:color w:val="13602C"/>
          <w:sz w:val="22"/>
          <w:szCs w:val="22"/>
        </w:rPr>
        <w:t xml:space="preserve">KPIs de Equipo</w:t>
      </w:r>
    </w:p>
    <w:p>
      <w:pPr>
        <w:pStyle w:val="ListParagraph"/>
        <w:numPr>
          <w:ilvl w:val="0"/>
          <w:numId w:val="1"/>
        </w:numPr>
        <w:spacing w:after="40"/>
      </w:pPr>
      <w:r>
        <w:t xml:space="preserve">Indicadores de productividad por usuario y por etapa del proceso (cotizaciones, SET, informes).</w:t>
      </w:r>
    </w:p>
    <w:p>
      <w:pPr>
        <w:spacing w:after="60" w:before="160"/>
      </w:pPr>
      <w:r>
        <w:rPr>
          <w:b/>
          <w:bCs/>
          <w:color w:val="13602C"/>
          <w:sz w:val="22"/>
          <w:szCs w:val="22"/>
        </w:rPr>
        <w:t xml:space="preserve">Control de Accesos</w:t>
      </w:r>
    </w:p>
    <w:p>
      <w:pPr>
        <w:pStyle w:val="ListParagraph"/>
        <w:numPr>
          <w:ilvl w:val="0"/>
          <w:numId w:val="1"/>
        </w:numPr>
        <w:spacing w:after="40"/>
      </w:pPr>
      <w:r>
        <w:t xml:space="preserve">La Gerencia puede </w:t>
      </w:r>
      <w:r>
        <w:rPr>
          <w:b/>
          <w:bCs/>
        </w:rPr>
        <w:t xml:space="preserve">activar o desactivar el acceso de cualquier usuario</w:t>
      </w:r>
      <w:r>
        <w:t xml:space="preserve"> al sistema, de forma centralizada.</w:t>
      </w:r>
    </w:p>
    <w:p>
      <w:pPr>
        <w:spacing w:after="60" w:before="160"/>
      </w:pPr>
      <w:r>
        <w:rPr>
          <w:b/>
          <w:bCs/>
          <w:color w:val="13602C"/>
          <w:sz w:val="22"/>
          <w:szCs w:val="22"/>
        </w:rPr>
        <w:t xml:space="preserve">Historial / Auditoría</w:t>
      </w:r>
    </w:p>
    <w:p>
      <w:pPr>
        <w:pStyle w:val="ListParagraph"/>
        <w:numPr>
          <w:ilvl w:val="0"/>
          <w:numId w:val="1"/>
        </w:numPr>
        <w:spacing w:after="40"/>
      </w:pPr>
      <w:r>
        <w:t xml:space="preserve">Registro de cambios del sistema (audit log) con usuario, acción, entidad afectada y detalle del cambio.</w:t>
      </w:r>
    </w:p>
    <w:p>
      <w:pPr>
        <w:spacing w:after="100"/>
      </w:pPr>
      <w:r>
        <w:rPr>
          <w:b/>
          <w:bCs/>
        </w:rPr>
        <w:t xml:space="preserve">Valor del módulo:</w:t>
      </w:r>
      <w:r>
        <w:t xml:space="preserve"> ofrece a la dirección visibilidad inmediata del negocio (comercial, operativo y financiero) sin esperar reportes manuales, y control de gobernanza sobre los accesos.</w:t>
      </w:r>
    </w:p>
    <w:p>
      <w:pPr>
        <w:pBdr>
          <w:bottom w:val="single" w:color="4AC3B2" w:sz="6" w:space="1"/>
        </w:pBdr>
        <w:spacing w:after="120" w:before="120"/>
      </w:pPr>
    </w:p>
    <w:p>
      <w:pPr>
        <w:pStyle w:val="Heading3"/>
        <w:spacing w:after="80" w:before="200"/>
      </w:pPr>
      <w:r>
        <w:rPr>
          <w:b/>
          <w:bCs/>
          <w:color w:val="13602C"/>
          <w:sz w:val="24"/>
          <w:szCs w:val="24"/>
        </w:rPr>
        <w:t xml:space="preserve">4.4 MÓDULO DE RRHH (RECURSOS HUMANOS)</w:t>
      </w:r>
    </w:p>
    <w:p>
      <w:pPr>
        <w:pBdr>
          <w:left w:val="single" w:color="4AC3B2" w:sz="18" w:space="8"/>
        </w:pBdr>
        <w:spacing w:after="120" w:before="80"/>
        <w:ind w:left="360"/>
      </w:pPr>
      <w:r>
        <w:rPr>
          <w:i/>
          <w:iCs/>
          <w:color w:val="475569"/>
          <w:sz w:val="21"/>
          <w:szCs w:val="21"/>
        </w:rPr>
        <w:t xml:space="preserve">Gestión del personal, contratos, asistencia biométrica y vacaciones.</w:t>
      </w:r>
    </w:p>
    <w:p>
      <w:pPr>
        <w:spacing w:after="60" w:before="160"/>
      </w:pPr>
      <w:r>
        <w:rPr>
          <w:b/>
          <w:bCs/>
          <w:color w:val="13602C"/>
          <w:sz w:val="22"/>
          <w:szCs w:val="22"/>
        </w:rPr>
        <w:t xml:space="preserve">Gestión de Personal</w:t>
      </w:r>
    </w:p>
    <w:p>
      <w:pPr>
        <w:pStyle w:val="ListParagraph"/>
        <w:numPr>
          <w:ilvl w:val="0"/>
          <w:numId w:val="1"/>
        </w:numPr>
        <w:spacing w:after="40"/>
      </w:pPr>
      <w:r>
        <w:t xml:space="preserve">Ficha completa del empleado: DNI, nombre, </w:t>
      </w:r>
      <w:r>
        <w:rPr>
          <w:b/>
          <w:bCs/>
        </w:rPr>
        <w:t xml:space="preserve">tipo de contrato</w:t>
      </w:r>
      <w:r>
        <w:t xml:space="preserve">, fechas de ingreso y fin de contrato, cargo, área, funciones y notas.</w:t>
      </w:r>
    </w:p>
    <w:p>
      <w:pPr>
        <w:pStyle w:val="ListParagraph"/>
        <w:numPr>
          <w:ilvl w:val="0"/>
          <w:numId w:val="1"/>
        </w:numPr>
        <w:spacing w:after="40"/>
      </w:pPr>
      <w:r>
        <w:rPr>
          <w:b/>
          <w:bCs/>
        </w:rPr>
        <w:t xml:space="preserve">Gestión documental por empleado</w:t>
      </w:r>
      <w:r>
        <w:t xml:space="preserve">: carga y descarga de documentos (contratos, certificados, etc.) con tipo y tamaño.</w:t>
      </w:r>
    </w:p>
    <w:p>
      <w:pPr>
        <w:pStyle w:val="ListParagraph"/>
        <w:numPr>
          <w:ilvl w:val="0"/>
          <w:numId w:val="1"/>
        </w:numPr>
        <w:spacing w:after="40"/>
      </w:pPr>
      <w:r>
        <w:t xml:space="preserve">Activación/desactivación de empleados.</w:t>
      </w:r>
    </w:p>
    <w:p>
      <w:pPr>
        <w:pStyle w:val="ListParagraph"/>
        <w:numPr>
          <w:ilvl w:val="0"/>
          <w:numId w:val="1"/>
        </w:numPr>
        <w:spacing w:after="40"/>
      </w:pPr>
      <w:r>
        <w:t xml:space="preserve">Vínculo opcional empleado↔usuario del sistema.</w:t>
      </w:r>
    </w:p>
    <w:p>
      <w:pPr>
        <w:spacing w:after="60" w:before="160"/>
      </w:pPr>
      <w:r>
        <w:rPr>
          <w:b/>
          <w:bCs/>
          <w:color w:val="13602C"/>
          <w:sz w:val="22"/>
          <w:szCs w:val="22"/>
        </w:rPr>
        <w:t xml:space="preserve">Contratos</w:t>
      </w:r>
    </w:p>
    <w:p>
      <w:pPr>
        <w:pStyle w:val="ListParagraph"/>
        <w:numPr>
          <w:ilvl w:val="0"/>
          <w:numId w:val="1"/>
        </w:numPr>
        <w:spacing w:after="40"/>
      </w:pPr>
      <w:r>
        <w:t xml:space="preserve">Gestión de contratos del personal y </w:t>
      </w:r>
      <w:r>
        <w:rPr>
          <w:b/>
          <w:bCs/>
        </w:rPr>
        <w:t xml:space="preserve">generación de certificados/constancias</w:t>
      </w:r>
      <w:r>
        <w:t xml:space="preserve"> a partir de plantillas.</w:t>
      </w:r>
    </w:p>
    <w:p>
      <w:pPr>
        <w:spacing w:after="60" w:before="160"/>
      </w:pPr>
      <w:r>
        <w:rPr>
          <w:b/>
          <w:bCs/>
          <w:color w:val="13602C"/>
          <w:sz w:val="22"/>
          <w:szCs w:val="22"/>
        </w:rPr>
        <w:t xml:space="preserve">Asistencia (Integración Biométrica)</w:t>
      </w:r>
    </w:p>
    <w:p>
      <w:pPr>
        <w:pStyle w:val="ListParagraph"/>
        <w:numPr>
          <w:ilvl w:val="0"/>
          <w:numId w:val="1"/>
        </w:numPr>
        <w:spacing w:after="40"/>
      </w:pPr>
      <w:r>
        <w:rPr>
          <w:b/>
          <w:bCs/>
        </w:rPr>
        <w:t xml:space="preserve">Integración con reloj biométrico ZKTeco</w:t>
      </w:r>
      <w:r>
        <w:t xml:space="preserve">: un endpoint seguro recibe las marcaciones (entrada, salida, extra-entrada, extra-salida) y las </w:t>
      </w:r>
      <w:r>
        <w:rPr>
          <w:b/>
          <w:bCs/>
        </w:rPr>
        <w:t xml:space="preserve">vincula automáticamente</w:t>
      </w:r>
      <w:r>
        <w:t xml:space="preserve"> a cada empleado por coincidencia de nombre (exacta y parcial).</w:t>
      </w:r>
    </w:p>
    <w:p>
      <w:pPr>
        <w:pStyle w:val="ListParagraph"/>
        <w:numPr>
          <w:ilvl w:val="0"/>
          <w:numId w:val="1"/>
        </w:numPr>
        <w:spacing w:after="40"/>
      </w:pPr>
      <w:r>
        <w:t xml:space="preserve">Protegido por API key dedicada.</w:t>
      </w:r>
    </w:p>
    <w:p>
      <w:pPr>
        <w:pStyle w:val="ListParagraph"/>
        <w:numPr>
          <w:ilvl w:val="0"/>
          <w:numId w:val="1"/>
        </w:numPr>
        <w:spacing w:after="40"/>
      </w:pPr>
      <w:r>
        <w:t xml:space="preserve">Registro de timestamp y tipo de marcación, con deduplicación.</w:t>
      </w:r>
    </w:p>
    <w:p>
      <w:pPr>
        <w:spacing w:after="60" w:before="160"/>
      </w:pPr>
      <w:r>
        <w:rPr>
          <w:b/>
          <w:bCs/>
          <w:color w:val="13602C"/>
          <w:sz w:val="22"/>
          <w:szCs w:val="22"/>
        </w:rPr>
        <w:t xml:space="preserve">Vacaciones</w:t>
      </w:r>
    </w:p>
    <w:p>
      <w:pPr>
        <w:pStyle w:val="ListParagraph"/>
        <w:numPr>
          <w:ilvl w:val="0"/>
          <w:numId w:val="1"/>
        </w:numPr>
        <w:spacing w:after="40"/>
      </w:pPr>
      <w:r>
        <w:rPr>
          <w:b/>
          <w:bCs/>
        </w:rPr>
        <w:t xml:space="preserve">Balance de vacaciones</w:t>
      </w:r>
      <w:r>
        <w:t xml:space="preserve"> por empleado: días atrasados, reglamentarios, adelantadas tomadas y pendientes.</w:t>
      </w:r>
    </w:p>
    <w:p>
      <w:pPr>
        <w:pStyle w:val="ListParagraph"/>
        <w:numPr>
          <w:ilvl w:val="0"/>
          <w:numId w:val="1"/>
        </w:numPr>
        <w:spacing w:after="40"/>
      </w:pPr>
      <w:r>
        <w:rPr>
          <w:b/>
          <w:bCs/>
        </w:rPr>
        <w:t xml:space="preserve">Solicitud de vacaciones</w:t>
      </w:r>
      <w:r>
        <w:t xml:space="preserve"> con días específicos (calendario), tipo (reglamentaria/atrasada/adelantada), tipo de licencia (con goce / sin goce / motivos personales), persona delegada.</w:t>
      </w:r>
    </w:p>
    <w:p>
      <w:pPr>
        <w:pStyle w:val="ListParagraph"/>
        <w:numPr>
          <w:ilvl w:val="0"/>
          <w:numId w:val="1"/>
        </w:numPr>
        <w:spacing w:after="40"/>
      </w:pPr>
      <w:r>
        <w:rPr>
          <w:b/>
          <w:bCs/>
        </w:rPr>
        <w:t xml:space="preserve">Flujo de aprobación multinivel</w:t>
      </w:r>
      <w:r>
        <w:t xml:space="preserve">: Pendiente → Aprobada (jefe inmediato) → Comunicada (RRHH), o Rechazada en cualquier paso.</w:t>
      </w:r>
    </w:p>
    <w:p>
      <w:pPr>
        <w:pStyle w:val="ListParagraph"/>
        <w:numPr>
          <w:ilvl w:val="0"/>
          <w:numId w:val="1"/>
        </w:numPr>
        <w:spacing w:after="40"/>
      </w:pPr>
      <w:r>
        <w:rPr>
          <w:b/>
          <w:bCs/>
        </w:rPr>
        <w:t xml:space="preserve">Matriz de aprobadores N:M</w:t>
      </w:r>
      <w:r>
        <w:t xml:space="preserve">: un solicitante puede tener varios aprobadores y un aprobador varios solicitantes a cargo.</w:t>
      </w:r>
    </w:p>
    <w:p>
      <w:pPr>
        <w:pStyle w:val="ListParagraph"/>
        <w:numPr>
          <w:ilvl w:val="0"/>
          <w:numId w:val="1"/>
        </w:numPr>
        <w:spacing w:after="40"/>
      </w:pPr>
      <w:r>
        <w:t xml:space="preserve">Generación de </w:t>
      </w:r>
      <w:r>
        <w:rPr>
          <w:b/>
          <w:bCs/>
        </w:rPr>
        <w:t xml:space="preserve">PDF de la solicitud/autorización</w:t>
      </w:r>
      <w:r>
        <w:t xml:space="preserve">.</w:t>
      </w:r>
    </w:p>
    <w:p>
      <w:pPr>
        <w:spacing w:after="60" w:before="160"/>
      </w:pPr>
      <w:r>
        <w:rPr>
          <w:b/>
          <w:bCs/>
          <w:color w:val="13602C"/>
          <w:sz w:val="22"/>
          <w:szCs w:val="22"/>
        </w:rPr>
        <w:t xml:space="preserve">Estructura Organizacional</w:t>
      </w:r>
    </w:p>
    <w:p>
      <w:pPr>
        <w:pStyle w:val="ListParagraph"/>
        <w:numPr>
          <w:ilvl w:val="0"/>
          <w:numId w:val="1"/>
        </w:numPr>
        <w:spacing w:after="40"/>
      </w:pPr>
      <w:r>
        <w:t xml:space="preserve">Visualización de la estructura del personal por áreas.</w:t>
      </w:r>
    </w:p>
    <w:p>
      <w:pPr>
        <w:spacing w:after="100"/>
      </w:pPr>
      <w:r>
        <w:rPr>
          <w:b/>
          <w:bCs/>
        </w:rPr>
        <w:t xml:space="preserve">Valor del módulo:</w:t>
      </w:r>
      <w:r>
        <w:t xml:space="preserve"> integra control de asistencia con hardware físico (biométrico) y un flujo de vacaciones con aprobaciones jerárquicas — funcionalidades que normalmente exigen un software de RRHH dedicado.</w:t>
      </w:r>
    </w:p>
    <w:p>
      <w:pPr>
        <w:pBdr>
          <w:bottom w:val="single" w:color="4AC3B2" w:sz="6" w:space="1"/>
        </w:pBdr>
        <w:spacing w:after="120" w:before="120"/>
      </w:pPr>
    </w:p>
    <w:p>
      <w:pPr>
        <w:pStyle w:val="Heading3"/>
        <w:spacing w:after="80" w:before="200"/>
      </w:pPr>
      <w:r>
        <w:rPr>
          <w:b/>
          <w:bCs/>
          <w:color w:val="13602C"/>
          <w:sz w:val="24"/>
          <w:szCs w:val="24"/>
        </w:rPr>
        <w:t xml:space="preserve">4.5 MÓDULO DE LOGÍSTICA Y OPERACIONES</w:t>
      </w:r>
    </w:p>
    <w:p>
      <w:pPr>
        <w:pBdr>
          <w:left w:val="single" w:color="4AC3B2" w:sz="18" w:space="8"/>
        </w:pBdr>
        <w:spacing w:after="120" w:before="80"/>
        <w:ind w:left="360"/>
      </w:pPr>
      <w:r>
        <w:rPr>
          <w:i/>
          <w:iCs/>
          <w:color w:val="475569"/>
          <w:sz w:val="21"/>
          <w:szCs w:val="21"/>
        </w:rPr>
        <w:t xml:space="preserve">Ciclo completo de abastecimiento: del requerimiento al pago, con trazabilidad total.</w:t>
      </w:r>
    </w:p>
    <w:p>
      <w:pPr>
        <w:spacing w:after="60" w:before="160"/>
      </w:pPr>
      <w:r>
        <w:rPr>
          <w:b/>
          <w:bCs/>
          <w:color w:val="13602C"/>
          <w:sz w:val="22"/>
          <w:szCs w:val="22"/>
        </w:rPr>
        <w:t xml:space="preserve">Requerimientos</w:t>
      </w:r>
    </w:p>
    <w:p>
      <w:pPr>
        <w:pStyle w:val="ListParagraph"/>
        <w:numPr>
          <w:ilvl w:val="0"/>
          <w:numId w:val="1"/>
        </w:numPr>
        <w:spacing w:after="40"/>
      </w:pPr>
      <w:r>
        <w:t xml:space="preserve">Solicitudes de compra por área con descripción, justificación, </w:t>
      </w:r>
      <w:r>
        <w:rPr>
          <w:b/>
          <w:bCs/>
        </w:rPr>
        <w:t xml:space="preserve">nivel de urgencia</w:t>
      </w:r>
      <w:r>
        <w:t xml:space="preserve"> y fecha requerida.</w:t>
      </w:r>
    </w:p>
    <w:p>
      <w:pPr>
        <w:pStyle w:val="ListParagraph"/>
        <w:numPr>
          <w:ilvl w:val="0"/>
          <w:numId w:val="1"/>
        </w:numPr>
        <w:spacing w:after="40"/>
      </w:pPr>
      <w:r>
        <w:t xml:space="preserve">Ítems con cantidad, unidad y especificaciones.</w:t>
      </w:r>
    </w:p>
    <w:p>
      <w:pPr>
        <w:pStyle w:val="ListParagraph"/>
        <w:numPr>
          <w:ilvl w:val="0"/>
          <w:numId w:val="1"/>
        </w:numPr>
        <w:spacing w:after="40"/>
      </w:pPr>
      <w:r>
        <w:t xml:space="preserve">Flujo de estados: Borrador → Enviado → En cotización → Aprobada → OC emitida → En tránsito → Recepcionado → Cerrado.</w:t>
      </w:r>
    </w:p>
    <w:p>
      <w:pPr>
        <w:spacing w:after="60" w:before="160"/>
      </w:pPr>
      <w:r>
        <w:rPr>
          <w:b/>
          <w:bCs/>
          <w:color w:val="13602C"/>
          <w:sz w:val="22"/>
          <w:szCs w:val="22"/>
        </w:rPr>
        <w:t xml:space="preserve">Proveedores</w:t>
      </w:r>
    </w:p>
    <w:p>
      <w:pPr>
        <w:pStyle w:val="ListParagraph"/>
        <w:numPr>
          <w:ilvl w:val="0"/>
          <w:numId w:val="1"/>
        </w:numPr>
        <w:spacing w:after="40"/>
      </w:pPr>
      <w:r>
        <w:t xml:space="preserve">Maestro de proveedores con razón social, RUC, especialidad, </w:t>
      </w:r>
      <w:r>
        <w:rPr>
          <w:b/>
          <w:bCs/>
        </w:rPr>
        <w:t xml:space="preserve">hasta 3 teléfonos y 3 emails</w:t>
      </w:r>
      <w:r>
        <w:t xml:space="preserve">, cuenta bancaria.</w:t>
      </w:r>
    </w:p>
    <w:p>
      <w:pPr>
        <w:pStyle w:val="ListParagraph"/>
        <w:numPr>
          <w:ilvl w:val="0"/>
          <w:numId w:val="1"/>
        </w:numPr>
        <w:spacing w:after="40"/>
      </w:pPr>
      <w:r>
        <w:rPr>
          <w:b/>
          <w:bCs/>
        </w:rPr>
        <w:t xml:space="preserve">Catálogo de productos por proveedor</w:t>
      </w:r>
      <w:r>
        <w:t xml:space="preserve"> (búsqueda por producto).</w:t>
      </w:r>
    </w:p>
    <w:p>
      <w:pPr>
        <w:spacing w:after="60" w:before="160"/>
      </w:pPr>
      <w:r>
        <w:rPr>
          <w:b/>
          <w:bCs/>
          <w:color w:val="13602C"/>
          <w:sz w:val="22"/>
          <w:szCs w:val="22"/>
        </w:rPr>
        <w:t xml:space="preserve">Cotizaciones de Proveedor</w:t>
      </w:r>
    </w:p>
    <w:p>
      <w:pPr>
        <w:pStyle w:val="ListParagraph"/>
        <w:numPr>
          <w:ilvl w:val="0"/>
          <w:numId w:val="1"/>
        </w:numPr>
        <w:spacing w:after="40"/>
      </w:pPr>
      <w:r>
        <w:t xml:space="preserve">Registro de cotizaciones recibidas de proveedores, con ítems, plazo de entrega, condiciones de pago y validez.</w:t>
      </w:r>
    </w:p>
    <w:p>
      <w:pPr>
        <w:pStyle w:val="ListParagraph"/>
        <w:numPr>
          <w:ilvl w:val="0"/>
          <w:numId w:val="1"/>
        </w:numPr>
        <w:spacing w:after="40"/>
      </w:pPr>
      <w:r>
        <w:rPr>
          <w:b/>
          <w:bCs/>
        </w:rPr>
        <w:t xml:space="preserve">Flujo de aprobación por Calidad</w:t>
      </w:r>
      <w:r>
        <w:t xml:space="preserve">: Borrador → Enviada a Calidad → Aprobada / Rechazada (con motivo).</w:t>
      </w:r>
    </w:p>
    <w:p>
      <w:pPr>
        <w:pStyle w:val="ListParagraph"/>
        <w:numPr>
          <w:ilvl w:val="0"/>
          <w:numId w:val="1"/>
        </w:numPr>
        <w:spacing w:after="40"/>
      </w:pPr>
      <w:r>
        <w:t xml:space="preserve">Adjunto del archivo de cotización.</w:t>
      </w:r>
    </w:p>
    <w:p>
      <w:pPr>
        <w:spacing w:after="60" w:before="160"/>
      </w:pPr>
      <w:r>
        <w:rPr>
          <w:b/>
          <w:bCs/>
          <w:color w:val="13602C"/>
          <w:sz w:val="22"/>
          <w:szCs w:val="22"/>
        </w:rPr>
        <w:t xml:space="preserve">Órdenes de Compra</w:t>
      </w:r>
    </w:p>
    <w:p>
      <w:pPr>
        <w:pStyle w:val="ListParagraph"/>
        <w:numPr>
          <w:ilvl w:val="0"/>
          <w:numId w:val="1"/>
        </w:numPr>
        <w:spacing w:after="40"/>
      </w:pPr>
      <w:r>
        <w:t xml:space="preserve">Emisión de OC desde requerimiento y cotización(es).</w:t>
      </w:r>
    </w:p>
    <w:p>
      <w:pPr>
        <w:pStyle w:val="ListParagraph"/>
        <w:numPr>
          <w:ilvl w:val="0"/>
          <w:numId w:val="1"/>
        </w:numPr>
        <w:spacing w:after="40"/>
      </w:pPr>
      <w:r>
        <w:rPr>
          <w:b/>
          <w:bCs/>
        </w:rPr>
        <w:t xml:space="preserve">Vinculación de múltiples cotizaciones de un proveedor a una sola OC</w:t>
      </w:r>
      <w:r>
        <w:t xml:space="preserve">.</w:t>
      </w:r>
    </w:p>
    <w:p>
      <w:pPr>
        <w:pStyle w:val="ListParagraph"/>
        <w:numPr>
          <w:ilvl w:val="0"/>
          <w:numId w:val="1"/>
        </w:numPr>
        <w:spacing w:after="40"/>
      </w:pPr>
      <w:r>
        <w:rPr>
          <w:b/>
          <w:bCs/>
        </w:rPr>
        <w:t xml:space="preserve">Edición de OC</w:t>
      </w:r>
      <w:r>
        <w:t xml:space="preserve"> con ítems, condiciones, lugar de entrega y fechas.</w:t>
      </w:r>
    </w:p>
    <w:p>
      <w:pPr>
        <w:pStyle w:val="ListParagraph"/>
        <w:numPr>
          <w:ilvl w:val="0"/>
          <w:numId w:val="1"/>
        </w:numPr>
        <w:spacing w:after="40"/>
      </w:pPr>
      <w:r>
        <w:rPr>
          <w:b/>
          <w:bCs/>
        </w:rPr>
        <w:t xml:space="preserve">Historial de modificaciones</w:t>
      </w:r>
      <w:r>
        <w:t xml:space="preserve">: cada cambio queda registrado con usuario, fecha y descripción.</w:t>
      </w:r>
    </w:p>
    <w:p>
      <w:pPr>
        <w:pStyle w:val="ListParagraph"/>
        <w:numPr>
          <w:ilvl w:val="0"/>
          <w:numId w:val="1"/>
        </w:numPr>
        <w:spacing w:after="40"/>
      </w:pPr>
      <w:r>
        <w:rPr>
          <w:b/>
          <w:bCs/>
        </w:rPr>
        <w:t xml:space="preserve">Búsqueda y filtrado</w:t>
      </w:r>
      <w:r>
        <w:t xml:space="preserve"> por producto o proveedor.</w:t>
      </w:r>
    </w:p>
    <w:p>
      <w:pPr>
        <w:pStyle w:val="ListParagraph"/>
        <w:numPr>
          <w:ilvl w:val="0"/>
          <w:numId w:val="1"/>
        </w:numPr>
        <w:spacing w:after="40"/>
      </w:pPr>
      <w:r>
        <w:t xml:space="preserve">Estados: Emitida → Confirmada por proveedor → En tránsito → Recibida → Cerrada / Cancelada.</w:t>
      </w:r>
    </w:p>
    <w:p>
      <w:pPr>
        <w:pStyle w:val="ListParagraph"/>
        <w:numPr>
          <w:ilvl w:val="0"/>
          <w:numId w:val="1"/>
        </w:numPr>
        <w:spacing w:after="40"/>
      </w:pPr>
      <w:r>
        <w:t xml:space="preserve">Cálculo automático de subtotal, IGV y total.</w:t>
      </w:r>
    </w:p>
    <w:p>
      <w:pPr>
        <w:spacing w:after="60" w:before="160"/>
      </w:pPr>
      <w:r>
        <w:rPr>
          <w:b/>
          <w:bCs/>
          <w:color w:val="13602C"/>
          <w:sz w:val="22"/>
          <w:szCs w:val="22"/>
        </w:rPr>
        <w:t xml:space="preserve">Recepciones</w:t>
      </w:r>
    </w:p>
    <w:p>
      <w:pPr>
        <w:pStyle w:val="ListParagraph"/>
        <w:numPr>
          <w:ilvl w:val="0"/>
          <w:numId w:val="1"/>
        </w:numPr>
        <w:spacing w:after="40"/>
      </w:pPr>
      <w:r>
        <w:t xml:space="preserve">Registro de recepción de mercadería contra la OC.</w:t>
      </w:r>
    </w:p>
    <w:p>
      <w:pPr>
        <w:pStyle w:val="ListParagraph"/>
        <w:numPr>
          <w:ilvl w:val="0"/>
          <w:numId w:val="1"/>
        </w:numPr>
        <w:spacing w:after="40"/>
      </w:pPr>
      <w:r>
        <w:rPr>
          <w:b/>
          <w:bCs/>
        </w:rPr>
        <w:t xml:space="preserve">Verificación ítem por ítem</w:t>
      </w:r>
      <w:r>
        <w:t xml:space="preserve">: cantidad esperada vs. recibida, conformidad y observaciones.</w:t>
      </w:r>
    </w:p>
    <w:p>
      <w:pPr>
        <w:pStyle w:val="ListParagraph"/>
        <w:numPr>
          <w:ilvl w:val="0"/>
          <w:numId w:val="1"/>
        </w:numPr>
        <w:spacing w:after="40"/>
      </w:pPr>
      <w:r>
        <w:rPr>
          <w:b/>
          <w:bCs/>
        </w:rPr>
        <w:t xml:space="preserve">Área de destino</w:t>
      </w:r>
      <w:r>
        <w:t xml:space="preserve"> de la mercadería.</w:t>
      </w:r>
    </w:p>
    <w:p>
      <w:pPr>
        <w:pStyle w:val="ListParagraph"/>
        <w:numPr>
          <w:ilvl w:val="0"/>
          <w:numId w:val="1"/>
        </w:numPr>
        <w:spacing w:after="40"/>
      </w:pPr>
      <w:r>
        <w:t xml:space="preserve">Registro de entrega al área (con conformidad del área).</w:t>
      </w:r>
    </w:p>
    <w:p>
      <w:pPr>
        <w:pStyle w:val="ListParagraph"/>
        <w:numPr>
          <w:ilvl w:val="0"/>
          <w:numId w:val="1"/>
        </w:numPr>
        <w:spacing w:after="40"/>
      </w:pPr>
      <w:r>
        <w:t xml:space="preserve">Generación de </w:t>
      </w:r>
      <w:r>
        <w:rPr>
          <w:b/>
          <w:bCs/>
        </w:rPr>
        <w:t xml:space="preserve">acta de recepción</w:t>
      </w:r>
      <w:r>
        <w:t xml:space="preserve">.</w:t>
      </w:r>
    </w:p>
    <w:p>
      <w:pPr>
        <w:spacing w:after="60" w:before="160"/>
      </w:pPr>
      <w:r>
        <w:rPr>
          <w:b/>
          <w:bCs/>
          <w:color w:val="13602C"/>
          <w:sz w:val="22"/>
          <w:szCs w:val="22"/>
        </w:rPr>
        <w:t xml:space="preserve">Devoluciones</w:t>
      </w:r>
    </w:p>
    <w:p>
      <w:pPr>
        <w:pStyle w:val="ListParagraph"/>
        <w:numPr>
          <w:ilvl w:val="0"/>
          <w:numId w:val="1"/>
        </w:numPr>
        <w:spacing w:after="40"/>
      </w:pPr>
      <w:r>
        <w:t xml:space="preserve">Gestión de devoluciones totales o parciales contra una recepción, con motivo e ítems.</w:t>
      </w:r>
    </w:p>
    <w:p>
      <w:pPr>
        <w:spacing w:after="60" w:before="160"/>
      </w:pPr>
      <w:r>
        <w:rPr>
          <w:b/>
          <w:bCs/>
          <w:color w:val="13602C"/>
          <w:sz w:val="22"/>
          <w:szCs w:val="22"/>
        </w:rPr>
        <w:t xml:space="preserve">Inventario</w:t>
      </w:r>
    </w:p>
    <w:p>
      <w:pPr>
        <w:pStyle w:val="ListParagraph"/>
        <w:numPr>
          <w:ilvl w:val="0"/>
          <w:numId w:val="1"/>
        </w:numPr>
        <w:spacing w:after="40"/>
      </w:pPr>
      <w:r>
        <w:t xml:space="preserve">Maestro de ítems de inventario con código, categoría, unidad, </w:t>
      </w:r>
      <w:r>
        <w:rPr>
          <w:b/>
          <w:bCs/>
        </w:rPr>
        <w:t xml:space="preserve">stock y stock mínimo (alerta)</w:t>
      </w:r>
      <w:r>
        <w:t xml:space="preserve">.</w:t>
      </w:r>
    </w:p>
    <w:p>
      <w:pPr>
        <w:pStyle w:val="ListParagraph"/>
        <w:numPr>
          <w:ilvl w:val="0"/>
          <w:numId w:val="1"/>
        </w:numPr>
        <w:spacing w:after="40"/>
      </w:pPr>
      <w:r>
        <w:rPr>
          <w:b/>
          <w:bCs/>
        </w:rPr>
        <w:t xml:space="preserve">Historial de movimientos</w:t>
      </w:r>
      <w:r>
        <w:t xml:space="preserve">: cada entrada, salida o ajuste queda registrado con cantidad, stock anterior/nuevo, </w:t>
      </w:r>
      <w:r>
        <w:rPr>
          <w:b/>
          <w:bCs/>
        </w:rPr>
        <w:t xml:space="preserve">área de destino</w:t>
      </w:r>
      <w:r>
        <w:t xml:space="preserve">, descripción y usuario responsable.</w:t>
      </w:r>
    </w:p>
    <w:p>
      <w:pPr>
        <w:spacing w:after="60" w:before="160"/>
      </w:pPr>
      <w:r>
        <w:rPr>
          <w:b/>
          <w:bCs/>
          <w:color w:val="13602C"/>
          <w:sz w:val="22"/>
          <w:szCs w:val="22"/>
        </w:rPr>
        <w:t xml:space="preserve">Gestión de Pagos a Proveedor</w:t>
      </w:r>
    </w:p>
    <w:p>
      <w:pPr>
        <w:pStyle w:val="ListParagraph"/>
        <w:numPr>
          <w:ilvl w:val="0"/>
          <w:numId w:val="1"/>
        </w:numPr>
        <w:spacing w:after="40"/>
      </w:pPr>
      <w:r>
        <w:t xml:space="preserve">Registro de </w:t>
      </w:r>
      <w:r>
        <w:rPr>
          <w:b/>
          <w:bCs/>
        </w:rPr>
        <w:t xml:space="preserve">facturas de proveedor</w:t>
      </w:r>
      <w:r>
        <w:t xml:space="preserve"> contra la OC.</w:t>
      </w:r>
    </w:p>
    <w:p>
      <w:pPr>
        <w:pStyle w:val="ListParagraph"/>
        <w:numPr>
          <w:ilvl w:val="0"/>
          <w:numId w:val="1"/>
        </w:numPr>
        <w:spacing w:after="40"/>
      </w:pPr>
      <w:r>
        <w:rPr>
          <w:b/>
          <w:bCs/>
        </w:rPr>
        <w:t xml:space="preserve">Provisión de pago</w:t>
      </w:r>
      <w:r>
        <w:t xml:space="preserve"> (aprobación) con condición de pago.</w:t>
      </w:r>
    </w:p>
    <w:p>
      <w:pPr>
        <w:pStyle w:val="ListParagraph"/>
        <w:numPr>
          <w:ilvl w:val="0"/>
          <w:numId w:val="1"/>
        </w:numPr>
        <w:spacing w:after="40"/>
      </w:pPr>
      <w:r>
        <w:rPr>
          <w:b/>
          <w:bCs/>
        </w:rPr>
        <w:t xml:space="preserve">Pago</w:t>
      </w:r>
      <w:r>
        <w:t xml:space="preserve"> con medio (transferencia, Yape, cheque, efectivo), referencia, voucher.</w:t>
      </w:r>
    </w:p>
    <w:p>
      <w:pPr>
        <w:pStyle w:val="ListParagraph"/>
        <w:numPr>
          <w:ilvl w:val="0"/>
          <w:numId w:val="1"/>
        </w:numPr>
        <w:spacing w:after="40"/>
      </w:pPr>
      <w:r>
        <w:rPr>
          <w:b/>
          <w:bCs/>
        </w:rPr>
        <w:t xml:space="preserve">Confirmación del pago al proveedor</w:t>
      </w:r>
      <w:r>
        <w:t xml:space="preserve">.</w:t>
      </w:r>
    </w:p>
    <w:p>
      <w:pPr>
        <w:pStyle w:val="ListParagraph"/>
        <w:numPr>
          <w:ilvl w:val="0"/>
          <w:numId w:val="1"/>
        </w:numPr>
        <w:spacing w:after="40"/>
      </w:pPr>
      <w:r>
        <w:t xml:space="preserve">Estados controlados en cada paso.</w:t>
      </w:r>
    </w:p>
    <w:p>
      <w:pPr>
        <w:spacing w:after="60" w:before="160"/>
      </w:pPr>
      <w:r>
        <w:rPr>
          <w:b/>
          <w:bCs/>
          <w:color w:val="13602C"/>
          <w:sz w:val="22"/>
          <w:szCs w:val="22"/>
        </w:rPr>
        <w:t xml:space="preserve">Historial de Logística (consolidado)</w:t>
      </w:r>
    </w:p>
    <w:p>
      <w:pPr>
        <w:pStyle w:val="ListParagraph"/>
        <w:numPr>
          <w:ilvl w:val="0"/>
          <w:numId w:val="1"/>
        </w:numPr>
        <w:spacing w:after="40"/>
      </w:pPr>
      <w:r>
        <w:rPr>
          <w:b/>
          <w:bCs/>
        </w:rPr>
        <w:t xml:space="preserve">Bitácora unificada del departamento</w:t>
      </w:r>
      <w:r>
        <w:t xml:space="preserve">: en una sola línea de tiempo se consolidan OC creadas, OC editadas, recepciones y movimientos de inventario — cada evento con </w:t>
      </w:r>
      <w:r>
        <w:rPr>
          <w:b/>
          <w:bCs/>
        </w:rPr>
        <w:t xml:space="preserve">fecha, tipo, referencia y responsable</w:t>
      </w:r>
      <w:r>
        <w:t xml:space="preserve">. Permite saber en todo momento qué movimientos hubo en el área y quién es el responsable.</w:t>
      </w:r>
    </w:p>
    <w:p>
      <w:pPr>
        <w:spacing w:after="100"/>
      </w:pPr>
      <w:r>
        <w:rPr>
          <w:b/>
          <w:bCs/>
        </w:rPr>
        <w:t xml:space="preserve">Valor del módulo:</w:t>
      </w:r>
      <w:r>
        <w:t xml:space="preserve"> equivale a un módulo de compras/abastecimiento de un ERP comercial, con trazabilidad de extremo a extremo (requerimiento → cotización → OC → recepción → factura → pago) y bitácora de responsabilidad.</w:t>
      </w:r>
    </w:p>
    <w:p>
      <w:pPr>
        <w:pBdr>
          <w:bottom w:val="single" w:color="4AC3B2" w:sz="6" w:space="1"/>
        </w:pBdr>
        <w:spacing w:after="120" w:before="120"/>
      </w:pPr>
    </w:p>
    <w:p>
      <w:pPr>
        <w:pStyle w:val="Heading3"/>
        <w:spacing w:after="80" w:before="200"/>
      </w:pPr>
      <w:r>
        <w:rPr>
          <w:b/>
          <w:bCs/>
          <w:color w:val="13602C"/>
          <w:sz w:val="24"/>
          <w:szCs w:val="24"/>
        </w:rPr>
        <w:t xml:space="preserve">4.6 CAPACIDADES TRANSVERSALES (toda la organización)</w:t>
      </w:r>
    </w:p>
    <w:p>
      <w:pPr>
        <w:spacing w:after="100"/>
      </w:pPr>
      <w:r>
        <w:t xml:space="preserve">Funcionalidades que atraviesan todos los módulos y multiplican el valor del sistema:</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Capacidad</w:t>
            </w:r>
          </w:p>
        </w:tc>
        <w:tc>
          <w:tcPr>
            <w:shd w:fill="13602C" w:color="auto" w:val="clear"/>
            <w:tcMar>
              <w:top w:type="dxa" w:w="60"/>
              <w:left w:type="dxa" w:w="100"/>
              <w:bottom w:type="dxa" w:w="60"/>
              <w:right w:type="dxa" w:w="100"/>
            </w:tcMar>
          </w:tcPr>
          <w:p>
            <w:r>
              <w:rPr>
                <w:b/>
                <w:bCs/>
                <w:color w:val="FFFFFF"/>
                <w:sz w:val="19"/>
                <w:szCs w:val="19"/>
              </w:rPr>
              <w:t xml:space="preserve">Descripción</w:t>
            </w:r>
          </w:p>
        </w:tc>
      </w:tr>
      <w:tr>
        <w:trPr>
          <w:tblHeader w:val="false"/>
        </w:trPr>
        <w:tc>
          <w:tcPr>
            <w:shd w:fill="FFFFFF" w:color="auto" w:val="clear"/>
            <w:tcMar>
              <w:top w:type="dxa" w:w="60"/>
              <w:left w:type="dxa" w:w="100"/>
              <w:bottom w:type="dxa" w:w="60"/>
              <w:right w:type="dxa" w:w="100"/>
            </w:tcMar>
          </w:tcPr>
          <w:p>
            <w:r>
              <w:rPr>
                <w:b/>
                <w:bCs/>
                <w:sz w:val="19"/>
                <w:szCs w:val="19"/>
              </w:rPr>
              <w:t xml:space="preserve">Notificaciones</w:t>
            </w:r>
          </w:p>
        </w:tc>
        <w:tc>
          <w:tcPr>
            <w:shd w:fill="FFFFFF" w:color="auto" w:val="clear"/>
            <w:tcMar>
              <w:top w:type="dxa" w:w="60"/>
              <w:left w:type="dxa" w:w="100"/>
              <w:bottom w:type="dxa" w:w="60"/>
              <w:right w:type="dxa" w:w="100"/>
            </w:tcMar>
          </w:tcPr>
          <w:p>
            <w:r>
              <w:rPr>
                <w:sz w:val="19"/>
                <w:szCs w:val="19"/>
              </w:rPr>
              <w:t xml:space="preserve">Centro de notificaciones por usuario con marcado de leídas, enlaces directos al origen.</w:t>
            </w:r>
          </w:p>
        </w:tc>
      </w:tr>
      <w:tr>
        <w:trPr>
          <w:tblHeader w:val="false"/>
        </w:trPr>
        <w:tc>
          <w:tcPr>
            <w:shd w:fill="FFFFFF" w:color="auto" w:val="clear"/>
            <w:tcMar>
              <w:top w:type="dxa" w:w="60"/>
              <w:left w:type="dxa" w:w="100"/>
              <w:bottom w:type="dxa" w:w="60"/>
              <w:right w:type="dxa" w:w="100"/>
            </w:tcMar>
          </w:tcPr>
          <w:p>
            <w:r>
              <w:rPr>
                <w:b/>
                <w:bCs/>
                <w:sz w:val="19"/>
                <w:szCs w:val="19"/>
              </w:rPr>
              <w:t xml:space="preserve">Mensajería interna (Chat/DM)</w:t>
            </w:r>
          </w:p>
        </w:tc>
        <w:tc>
          <w:tcPr>
            <w:shd w:fill="FFFFFF" w:color="auto" w:val="clear"/>
            <w:tcMar>
              <w:top w:type="dxa" w:w="60"/>
              <w:left w:type="dxa" w:w="100"/>
              <w:bottom w:type="dxa" w:w="60"/>
              <w:right w:type="dxa" w:w="100"/>
            </w:tcMar>
          </w:tcPr>
          <w:p>
            <w:r>
              <w:rPr>
                <w:sz w:val="19"/>
                <w:szCs w:val="19"/>
              </w:rPr>
              <w:t xml:space="preserve">Conversaciones directas entre usuarios con </w:t>
            </w:r>
            <w:r>
              <w:rPr>
                <w:b/>
                <w:bCs/>
                <w:sz w:val="19"/>
                <w:szCs w:val="19"/>
              </w:rPr>
              <w:t xml:space="preserve">adjuntos</w:t>
            </w:r>
            <w:r>
              <w:rPr>
                <w:sz w:val="19"/>
                <w:szCs w:val="19"/>
              </w:rPr>
              <w:t xml:space="preserve"> y actualización </w:t>
            </w:r>
            <w:r>
              <w:rPr>
                <w:b/>
                <w:bCs/>
                <w:sz w:val="19"/>
                <w:szCs w:val="19"/>
              </w:rPr>
              <w:t xml:space="preserve">en tiempo real (SSE)</w:t>
            </w:r>
            <w:r>
              <w:rPr>
                <w:sz w:val="19"/>
                <w:szCs w:val="19"/>
              </w:rPr>
              <w:t xml:space="preserve">.</w:t>
            </w:r>
          </w:p>
        </w:tc>
      </w:tr>
      <w:tr>
        <w:trPr>
          <w:tblHeader w:val="false"/>
        </w:trPr>
        <w:tc>
          <w:tcPr>
            <w:shd w:fill="FFFFFF" w:color="auto" w:val="clear"/>
            <w:tcMar>
              <w:top w:type="dxa" w:w="60"/>
              <w:left w:type="dxa" w:w="100"/>
              <w:bottom w:type="dxa" w:w="60"/>
              <w:right w:type="dxa" w:w="100"/>
            </w:tcMar>
          </w:tcPr>
          <w:p>
            <w:r>
              <w:rPr>
                <w:b/>
                <w:bCs/>
                <w:sz w:val="19"/>
                <w:szCs w:val="19"/>
              </w:rPr>
              <w:t xml:space="preserve">Alertas de vencimiento</w:t>
            </w:r>
          </w:p>
        </w:tc>
        <w:tc>
          <w:tcPr>
            <w:shd w:fill="FFFFFF" w:color="auto" w:val="clear"/>
            <w:tcMar>
              <w:top w:type="dxa" w:w="60"/>
              <w:left w:type="dxa" w:w="100"/>
              <w:bottom w:type="dxa" w:w="60"/>
              <w:right w:type="dxa" w:w="100"/>
            </w:tcMar>
          </w:tcPr>
          <w:p>
            <w:r>
              <w:rPr>
                <w:sz w:val="19"/>
                <w:szCs w:val="19"/>
              </w:rPr>
              <w:t xml:space="preserve">Detección automática de facturas de cliente, facturas de proveedor y ODA próximas a vencer, vencidas o que vencen hoy, con sincronización a notificaciones.</w:t>
            </w:r>
          </w:p>
        </w:tc>
      </w:tr>
      <w:tr>
        <w:trPr>
          <w:tblHeader w:val="false"/>
        </w:trPr>
        <w:tc>
          <w:tcPr>
            <w:shd w:fill="FFFFFF" w:color="auto" w:val="clear"/>
            <w:tcMar>
              <w:top w:type="dxa" w:w="60"/>
              <w:left w:type="dxa" w:w="100"/>
              <w:bottom w:type="dxa" w:w="60"/>
              <w:right w:type="dxa" w:w="100"/>
            </w:tcMar>
          </w:tcPr>
          <w:p>
            <w:r>
              <w:rPr>
                <w:b/>
                <w:bCs/>
                <w:sz w:val="19"/>
                <w:szCs w:val="19"/>
              </w:rPr>
              <w:t xml:space="preserve">Solicitudes internas</w:t>
            </w:r>
          </w:p>
        </w:tc>
        <w:tc>
          <w:tcPr>
            <w:shd w:fill="FFFFFF" w:color="auto" w:val="clear"/>
            <w:tcMar>
              <w:top w:type="dxa" w:w="60"/>
              <w:left w:type="dxa" w:w="100"/>
              <w:bottom w:type="dxa" w:w="60"/>
              <w:right w:type="dxa" w:w="100"/>
            </w:tcMar>
          </w:tcPr>
          <w:p>
            <w:r>
              <w:rPr>
                <w:sz w:val="19"/>
                <w:szCs w:val="19"/>
              </w:rPr>
              <w:t xml:space="preserve">Bandeja de solicitudes del personal con flujo propio.</w:t>
            </w:r>
          </w:p>
        </w:tc>
      </w:tr>
      <w:tr>
        <w:trPr>
          <w:tblHeader w:val="false"/>
        </w:trPr>
        <w:tc>
          <w:tcPr>
            <w:shd w:fill="FFFFFF" w:color="auto" w:val="clear"/>
            <w:tcMar>
              <w:top w:type="dxa" w:w="60"/>
              <w:left w:type="dxa" w:w="100"/>
              <w:bottom w:type="dxa" w:w="60"/>
              <w:right w:type="dxa" w:w="100"/>
            </w:tcMar>
          </w:tcPr>
          <w:p>
            <w:r>
              <w:rPr>
                <w:b/>
                <w:bCs/>
                <w:sz w:val="19"/>
                <w:szCs w:val="19"/>
              </w:rPr>
              <w:t xml:space="preserve">Auditoría</w:t>
            </w:r>
          </w:p>
        </w:tc>
        <w:tc>
          <w:tcPr>
            <w:shd w:fill="FFFFFF" w:color="auto" w:val="clear"/>
            <w:tcMar>
              <w:top w:type="dxa" w:w="60"/>
              <w:left w:type="dxa" w:w="100"/>
              <w:bottom w:type="dxa" w:w="60"/>
              <w:right w:type="dxa" w:w="100"/>
            </w:tcMar>
          </w:tcPr>
          <w:p>
            <w:r>
              <w:rPr>
                <w:sz w:val="19"/>
                <w:szCs w:val="19"/>
              </w:rPr>
              <w:t xml:space="preserve">Registro inmutable de cambios (quién, qué, cuándo, detalle).</w:t>
            </w:r>
          </w:p>
        </w:tc>
      </w:tr>
      <w:tr>
        <w:trPr>
          <w:tblHeader w:val="false"/>
        </w:trPr>
        <w:tc>
          <w:tcPr>
            <w:shd w:fill="FFFFFF" w:color="auto" w:val="clear"/>
            <w:tcMar>
              <w:top w:type="dxa" w:w="60"/>
              <w:left w:type="dxa" w:w="100"/>
              <w:bottom w:type="dxa" w:w="60"/>
              <w:right w:type="dxa" w:w="100"/>
            </w:tcMar>
          </w:tcPr>
          <w:p>
            <w:r>
              <w:rPr>
                <w:b/>
                <w:bCs/>
                <w:sz w:val="19"/>
                <w:szCs w:val="19"/>
              </w:rPr>
              <w:t xml:space="preserve">Generación documental</w:t>
            </w:r>
          </w:p>
        </w:tc>
        <w:tc>
          <w:tcPr>
            <w:shd w:fill="FFFFFF" w:color="auto" w:val="clear"/>
            <w:tcMar>
              <w:top w:type="dxa" w:w="60"/>
              <w:left w:type="dxa" w:w="100"/>
              <w:bottom w:type="dxa" w:w="60"/>
              <w:right w:type="dxa" w:w="100"/>
            </w:tcMar>
          </w:tcPr>
          <w:p>
            <w:r>
              <w:rPr>
                <w:sz w:val="19"/>
                <w:szCs w:val="19"/>
              </w:rPr>
              <w:t xml:space="preserve">Motor de PDF y Word para informes, certificados, cotizaciones, facturas, órdenes de compra, contratos, actas y autorizaciones de vacaciones.</w:t>
            </w:r>
          </w:p>
        </w:tc>
      </w:tr>
      <w:tr>
        <w:trPr>
          <w:tblHeader w:val="false"/>
        </w:trPr>
        <w:tc>
          <w:tcPr>
            <w:shd w:fill="FFFFFF" w:color="auto" w:val="clear"/>
            <w:tcMar>
              <w:top w:type="dxa" w:w="60"/>
              <w:left w:type="dxa" w:w="100"/>
              <w:bottom w:type="dxa" w:w="60"/>
              <w:right w:type="dxa" w:w="100"/>
            </w:tcMar>
          </w:tcPr>
          <w:p>
            <w:r>
              <w:rPr>
                <w:b/>
                <w:bCs/>
                <w:sz w:val="19"/>
                <w:szCs w:val="19"/>
              </w:rPr>
              <w:t xml:space="preserve">Correlativos automáticos</w:t>
            </w:r>
          </w:p>
        </w:tc>
        <w:tc>
          <w:tcPr>
            <w:shd w:fill="FFFFFF" w:color="auto" w:val="clear"/>
            <w:tcMar>
              <w:top w:type="dxa" w:w="60"/>
              <w:left w:type="dxa" w:w="100"/>
              <w:bottom w:type="dxa" w:w="60"/>
              <w:right w:type="dxa" w:w="100"/>
            </w:tcMar>
          </w:tcPr>
          <w:p>
            <w:r>
              <w:rPr>
                <w:sz w:val="19"/>
                <w:szCs w:val="19"/>
              </w:rPr>
              <w:t xml:space="preserve">Numeración secuencial controlada por año para todos los documentos oficiales.</w:t>
            </w:r>
          </w:p>
        </w:tc>
      </w:tr>
      <w:tr>
        <w:trPr>
          <w:tblHeader w:val="false"/>
        </w:trPr>
        <w:tc>
          <w:tcPr>
            <w:shd w:fill="FFFFFF" w:color="auto" w:val="clear"/>
            <w:tcMar>
              <w:top w:type="dxa" w:w="60"/>
              <w:left w:type="dxa" w:w="100"/>
              <w:bottom w:type="dxa" w:w="60"/>
              <w:right w:type="dxa" w:w="100"/>
            </w:tcMar>
          </w:tcPr>
          <w:p>
            <w:r>
              <w:rPr>
                <w:b/>
                <w:bCs/>
                <w:sz w:val="19"/>
                <w:szCs w:val="19"/>
              </w:rPr>
              <w:t xml:space="preserve">Búsqueda global</w:t>
            </w:r>
          </w:p>
        </w:tc>
        <w:tc>
          <w:tcPr>
            <w:shd w:fill="FFFFFF" w:color="auto" w:val="clear"/>
            <w:tcMar>
              <w:top w:type="dxa" w:w="60"/>
              <w:left w:type="dxa" w:w="100"/>
              <w:bottom w:type="dxa" w:w="60"/>
              <w:right w:type="dxa" w:w="100"/>
            </w:tcMar>
          </w:tcPr>
          <w:p>
            <w:r>
              <w:rPr>
                <w:sz w:val="19"/>
                <w:szCs w:val="19"/>
              </w:rPr>
              <w:t xml:space="preserve">Buscador transversal en la aplicación.</w:t>
            </w:r>
          </w:p>
        </w:tc>
      </w:tr>
    </w:tbl>
    <w:p>
      <w:pPr>
        <w:spacing w:after="120"/>
      </w:pPr>
    </w:p>
    <w:p>
      <w:pPr>
        <w:pBdr>
          <w:bottom w:val="single" w:color="4AC3B2" w:sz="6" w:space="1"/>
        </w:pBdr>
        <w:spacing w:after="120" w:before="120"/>
      </w:pPr>
    </w:p>
    <w:p>
      <w:pPr>
        <w:pStyle w:val="Heading2"/>
        <w:pBdr>
          <w:bottom w:val="single" w:color="4AC3B2" w:sz="4" w:space="2"/>
        </w:pBdr>
        <w:spacing w:after="120" w:before="280"/>
      </w:pPr>
      <w:r>
        <w:rPr>
          <w:b/>
          <w:bCs/>
          <w:color w:val="13602C"/>
          <w:sz w:val="30"/>
          <w:szCs w:val="30"/>
        </w:rPr>
        <w:t xml:space="preserve">5. JUSTIFICACIÓN DEL VALOR Y DEL COSTO</w:t>
      </w:r>
    </w:p>
    <w:p>
      <w:pPr>
        <w:pStyle w:val="Heading3"/>
        <w:spacing w:after="80" w:before="200"/>
      </w:pPr>
      <w:r>
        <w:rPr>
          <w:b/>
          <w:bCs/>
          <w:color w:val="13602C"/>
          <w:sz w:val="24"/>
          <w:szCs w:val="24"/>
        </w:rPr>
        <w:t xml:space="preserve">5.1 El ERP reemplaza múltiples sistemas comerciales</w:t>
      </w:r>
    </w:p>
    <w:p>
      <w:pPr>
        <w:spacing w:after="100"/>
      </w:pPr>
      <w:r>
        <w:t xml:space="preserve">Para cubrir el mismo alcance con software de mercado, la organización necesitaría adquirir y </w:t>
      </w:r>
      <w:r>
        <w:rPr>
          <w:b/>
          <w:bCs/>
        </w:rPr>
        <w:t xml:space="preserve">mantener integrados</w:t>
      </w:r>
      <w:r>
        <w:t xml:space="preserve"> al menos los siguientes sistemas, cada uno con su licenciamiento, su curva de aprendizaje y sus costos de integración:</w:t>
      </w:r>
    </w:p>
    <w:tbl>
      <w:tblPr>
        <w:tblW w:type="pct" w:w="100%"/>
        <w:tblBorders>
          <w:top w:val="single" w:color="D9D9D9" w:sz="2"/>
          <w:left w:val="single" w:color="D9D9D9" w:sz="2"/>
          <w:bottom w:val="single" w:color="D9D9D9" w:sz="2"/>
          <w:right w:val="single" w:color="D9D9D9" w:sz="2"/>
          <w:insideH w:val="single" w:color="E5E7EB" w:sz="1"/>
          <w:insideV w:val="single" w:color="E5E7EB" w:sz="1"/>
        </w:tblBorders>
      </w:tblPr>
      <w:tblGrid>
        <w:gridCol w:w="100"/>
        <w:gridCol w:w="100"/>
        <w:gridCol w:w="100"/>
      </w:tblGrid>
      <w:tr>
        <w:trPr>
          <w:tblHeader/>
        </w:trPr>
        <w:tc>
          <w:tcPr>
            <w:shd w:fill="13602C" w:color="auto" w:val="clear"/>
            <w:tcMar>
              <w:top w:type="dxa" w:w="60"/>
              <w:left w:type="dxa" w:w="100"/>
              <w:bottom w:type="dxa" w:w="60"/>
              <w:right w:type="dxa" w:w="100"/>
            </w:tcMar>
          </w:tcPr>
          <w:p>
            <w:r>
              <w:rPr>
                <w:b/>
                <w:bCs/>
                <w:color w:val="FFFFFF"/>
                <w:sz w:val="19"/>
                <w:szCs w:val="19"/>
              </w:rPr>
              <w:t xml:space="preserve">Necesidad</w:t>
            </w:r>
          </w:p>
        </w:tc>
        <w:tc>
          <w:tcPr>
            <w:shd w:fill="13602C" w:color="auto" w:val="clear"/>
            <w:tcMar>
              <w:top w:type="dxa" w:w="60"/>
              <w:left w:type="dxa" w:w="100"/>
              <w:bottom w:type="dxa" w:w="60"/>
              <w:right w:type="dxa" w:w="100"/>
            </w:tcMar>
          </w:tcPr>
          <w:p>
            <w:r>
              <w:rPr>
                <w:b/>
                <w:bCs/>
                <w:color w:val="FFFFFF"/>
                <w:sz w:val="19"/>
                <w:szCs w:val="19"/>
              </w:rPr>
              <w:t xml:space="preserve">Software comercial equivalente</w:t>
            </w:r>
          </w:p>
        </w:tc>
        <w:tc>
          <w:tcPr>
            <w:shd w:fill="13602C" w:color="auto" w:val="clear"/>
            <w:tcMar>
              <w:top w:type="dxa" w:w="60"/>
              <w:left w:type="dxa" w:w="100"/>
              <w:bottom w:type="dxa" w:w="60"/>
              <w:right w:type="dxa" w:w="100"/>
            </w:tcMar>
          </w:tcPr>
          <w:p>
            <w:r>
              <w:rPr>
                <w:b/>
                <w:bCs/>
                <w:color w:val="FFFFFF"/>
                <w:sz w:val="19"/>
                <w:szCs w:val="19"/>
              </w:rPr>
              <w:t xml:space="preserve">Modelo de costo típico</w:t>
            </w:r>
          </w:p>
        </w:tc>
      </w:tr>
      <w:tr>
        <w:trPr>
          <w:tblHeader w:val="false"/>
        </w:trPr>
        <w:tc>
          <w:tcPr>
            <w:shd w:fill="FFFFFF" w:color="auto" w:val="clear"/>
            <w:tcMar>
              <w:top w:type="dxa" w:w="60"/>
              <w:left w:type="dxa" w:w="100"/>
              <w:bottom w:type="dxa" w:w="60"/>
              <w:right w:type="dxa" w:w="100"/>
            </w:tcMar>
          </w:tcPr>
          <w:p>
            <w:r>
              <w:rPr>
                <w:sz w:val="19"/>
                <w:szCs w:val="19"/>
              </w:rPr>
              <w:t xml:space="preserve">Gestión de laboratorio</w:t>
            </w:r>
          </w:p>
        </w:tc>
        <w:tc>
          <w:tcPr>
            <w:shd w:fill="FFFFFF" w:color="auto" w:val="clear"/>
            <w:tcMar>
              <w:top w:type="dxa" w:w="60"/>
              <w:left w:type="dxa" w:w="100"/>
              <w:bottom w:type="dxa" w:w="60"/>
              <w:right w:type="dxa" w:w="100"/>
            </w:tcMar>
          </w:tcPr>
          <w:p>
            <w:r>
              <w:rPr>
                <w:b/>
                <w:bCs/>
                <w:sz w:val="19"/>
                <w:szCs w:val="19"/>
              </w:rPr>
              <w:t xml:space="preserve">LIMS</w:t>
            </w:r>
            <w:r>
              <w:rPr>
                <w:sz w:val="19"/>
                <w:szCs w:val="19"/>
              </w:rPr>
              <w:t xml:space="preserve"> (Sample Manager, LabWare, etc.)</w:t>
            </w:r>
          </w:p>
        </w:tc>
        <w:tc>
          <w:tcPr>
            <w:shd w:fill="FFFFFF" w:color="auto" w:val="clear"/>
            <w:tcMar>
              <w:top w:type="dxa" w:w="60"/>
              <w:left w:type="dxa" w:w="100"/>
              <w:bottom w:type="dxa" w:w="60"/>
              <w:right w:type="dxa" w:w="100"/>
            </w:tcMar>
          </w:tcPr>
          <w:p>
            <w:r>
              <w:rPr>
                <w:sz w:val="19"/>
                <w:szCs w:val="19"/>
              </w:rPr>
              <w:t xml:space="preserve">Licencia + mantenimiento anual elevado</w:t>
            </w:r>
          </w:p>
        </w:tc>
      </w:tr>
      <w:tr>
        <w:trPr>
          <w:tblHeader w:val="false"/>
        </w:trPr>
        <w:tc>
          <w:tcPr>
            <w:shd w:fill="FFFFFF" w:color="auto" w:val="clear"/>
            <w:tcMar>
              <w:top w:type="dxa" w:w="60"/>
              <w:left w:type="dxa" w:w="100"/>
              <w:bottom w:type="dxa" w:w="60"/>
              <w:right w:type="dxa" w:w="100"/>
            </w:tcMar>
          </w:tcPr>
          <w:p>
            <w:r>
              <w:rPr>
                <w:sz w:val="19"/>
                <w:szCs w:val="19"/>
              </w:rPr>
              <w:t xml:space="preserve">Comercial y facturación</w:t>
            </w:r>
          </w:p>
        </w:tc>
        <w:tc>
          <w:tcPr>
            <w:shd w:fill="FFFFFF" w:color="auto" w:val="clear"/>
            <w:tcMar>
              <w:top w:type="dxa" w:w="60"/>
              <w:left w:type="dxa" w:w="100"/>
              <w:bottom w:type="dxa" w:w="60"/>
              <w:right w:type="dxa" w:w="100"/>
            </w:tcMar>
          </w:tcPr>
          <w:p>
            <w:r>
              <w:rPr>
                <w:b/>
                <w:bCs/>
                <w:sz w:val="19"/>
                <w:szCs w:val="19"/>
              </w:rPr>
              <w:t xml:space="preserve">CRM + facturación electrónica</w:t>
            </w:r>
          </w:p>
        </w:tc>
        <w:tc>
          <w:tcPr>
            <w:shd w:fill="FFFFFF" w:color="auto" w:val="clear"/>
            <w:tcMar>
              <w:top w:type="dxa" w:w="60"/>
              <w:left w:type="dxa" w:w="100"/>
              <w:bottom w:type="dxa" w:w="60"/>
              <w:right w:type="dxa" w:w="100"/>
            </w:tcMar>
          </w:tcPr>
          <w:p>
            <w:r>
              <w:rPr>
                <w:sz w:val="19"/>
                <w:szCs w:val="19"/>
              </w:rPr>
              <w:t xml:space="preserve">Suscripción mensual por usuario</w:t>
            </w:r>
          </w:p>
        </w:tc>
      </w:tr>
      <w:tr>
        <w:trPr>
          <w:tblHeader w:val="false"/>
        </w:trPr>
        <w:tc>
          <w:tcPr>
            <w:shd w:fill="FFFFFF" w:color="auto" w:val="clear"/>
            <w:tcMar>
              <w:top w:type="dxa" w:w="60"/>
              <w:left w:type="dxa" w:w="100"/>
              <w:bottom w:type="dxa" w:w="60"/>
              <w:right w:type="dxa" w:w="100"/>
            </w:tcMar>
          </w:tcPr>
          <w:p>
            <w:r>
              <w:rPr>
                <w:sz w:val="19"/>
                <w:szCs w:val="19"/>
              </w:rPr>
              <w:t xml:space="preserve">Compras y abastecimiento</w:t>
            </w:r>
          </w:p>
        </w:tc>
        <w:tc>
          <w:tcPr>
            <w:shd w:fill="FFFFFF" w:color="auto" w:val="clear"/>
            <w:tcMar>
              <w:top w:type="dxa" w:w="60"/>
              <w:left w:type="dxa" w:w="100"/>
              <w:bottom w:type="dxa" w:w="60"/>
              <w:right w:type="dxa" w:w="100"/>
            </w:tcMar>
          </w:tcPr>
          <w:p>
            <w:r>
              <w:rPr>
                <w:b/>
                <w:bCs/>
                <w:sz w:val="19"/>
                <w:szCs w:val="19"/>
              </w:rPr>
              <w:t xml:space="preserve">Módulo ERP de compras</w:t>
            </w:r>
            <w:r>
              <w:rPr>
                <w:sz w:val="19"/>
                <w:szCs w:val="19"/>
              </w:rPr>
              <w:t xml:space="preserve"> (SAP B1, etc.)</w:t>
            </w:r>
          </w:p>
        </w:tc>
        <w:tc>
          <w:tcPr>
            <w:shd w:fill="FFFFFF" w:color="auto" w:val="clear"/>
            <w:tcMar>
              <w:top w:type="dxa" w:w="60"/>
              <w:left w:type="dxa" w:w="100"/>
              <w:bottom w:type="dxa" w:w="60"/>
              <w:right w:type="dxa" w:w="100"/>
            </w:tcMar>
          </w:tcPr>
          <w:p>
            <w:r>
              <w:rPr>
                <w:sz w:val="19"/>
                <w:szCs w:val="19"/>
              </w:rPr>
              <w:t xml:space="preserve">Licencia por usuario + implementación</w:t>
            </w:r>
          </w:p>
        </w:tc>
      </w:tr>
      <w:tr>
        <w:trPr>
          <w:tblHeader w:val="false"/>
        </w:trPr>
        <w:tc>
          <w:tcPr>
            <w:shd w:fill="FFFFFF" w:color="auto" w:val="clear"/>
            <w:tcMar>
              <w:top w:type="dxa" w:w="60"/>
              <w:left w:type="dxa" w:w="100"/>
              <w:bottom w:type="dxa" w:w="60"/>
              <w:right w:type="dxa" w:w="100"/>
            </w:tcMar>
          </w:tcPr>
          <w:p>
            <w:r>
              <w:rPr>
                <w:sz w:val="19"/>
                <w:szCs w:val="19"/>
              </w:rPr>
              <w:t xml:space="preserve">Recursos Humanos</w:t>
            </w:r>
          </w:p>
        </w:tc>
        <w:tc>
          <w:tcPr>
            <w:shd w:fill="FFFFFF" w:color="auto" w:val="clear"/>
            <w:tcMar>
              <w:top w:type="dxa" w:w="60"/>
              <w:left w:type="dxa" w:w="100"/>
              <w:bottom w:type="dxa" w:w="60"/>
              <w:right w:type="dxa" w:w="100"/>
            </w:tcMar>
          </w:tcPr>
          <w:p>
            <w:r>
              <w:rPr>
                <w:b/>
                <w:bCs/>
                <w:sz w:val="19"/>
                <w:szCs w:val="19"/>
              </w:rPr>
              <w:t xml:space="preserve">Software de RRHH + control de asistencia</w:t>
            </w:r>
          </w:p>
        </w:tc>
        <w:tc>
          <w:tcPr>
            <w:shd w:fill="FFFFFF" w:color="auto" w:val="clear"/>
            <w:tcMar>
              <w:top w:type="dxa" w:w="60"/>
              <w:left w:type="dxa" w:w="100"/>
              <w:bottom w:type="dxa" w:w="60"/>
              <w:right w:type="dxa" w:w="100"/>
            </w:tcMar>
          </w:tcPr>
          <w:p>
            <w:r>
              <w:rPr>
                <w:sz w:val="19"/>
                <w:szCs w:val="19"/>
              </w:rPr>
              <w:t xml:space="preserve">Suscripción + hardware</w:t>
            </w:r>
          </w:p>
        </w:tc>
      </w:tr>
      <w:tr>
        <w:trPr>
          <w:tblHeader w:val="false"/>
        </w:trPr>
        <w:tc>
          <w:tcPr>
            <w:shd w:fill="FFFFFF" w:color="auto" w:val="clear"/>
            <w:tcMar>
              <w:top w:type="dxa" w:w="60"/>
              <w:left w:type="dxa" w:w="100"/>
              <w:bottom w:type="dxa" w:w="60"/>
              <w:right w:type="dxa" w:w="100"/>
            </w:tcMar>
          </w:tcPr>
          <w:p>
            <w:r>
              <w:rPr>
                <w:sz w:val="19"/>
                <w:szCs w:val="19"/>
              </w:rPr>
              <w:t xml:space="preserve">Gestión documental</w:t>
            </w:r>
          </w:p>
        </w:tc>
        <w:tc>
          <w:tcPr>
            <w:shd w:fill="FFFFFF" w:color="auto" w:val="clear"/>
            <w:tcMar>
              <w:top w:type="dxa" w:w="60"/>
              <w:left w:type="dxa" w:w="100"/>
              <w:bottom w:type="dxa" w:w="60"/>
              <w:right w:type="dxa" w:w="100"/>
            </w:tcMar>
          </w:tcPr>
          <w:p>
            <w:r>
              <w:rPr>
                <w:b/>
                <w:bCs/>
                <w:sz w:val="19"/>
                <w:szCs w:val="19"/>
              </w:rPr>
              <w:t xml:space="preserve">DMS</w:t>
            </w:r>
          </w:p>
        </w:tc>
        <w:tc>
          <w:tcPr>
            <w:shd w:fill="FFFFFF" w:color="auto" w:val="clear"/>
            <w:tcMar>
              <w:top w:type="dxa" w:w="60"/>
              <w:left w:type="dxa" w:w="100"/>
              <w:bottom w:type="dxa" w:w="60"/>
              <w:right w:type="dxa" w:w="100"/>
            </w:tcMar>
          </w:tcPr>
          <w:p>
            <w:r>
              <w:rPr>
                <w:sz w:val="19"/>
                <w:szCs w:val="19"/>
              </w:rPr>
              <w:t xml:space="preserve">Suscripción por almacenamiento/usuario</w:t>
            </w:r>
          </w:p>
        </w:tc>
      </w:tr>
      <w:tr>
        <w:trPr>
          <w:tblHeader w:val="false"/>
        </w:trPr>
        <w:tc>
          <w:tcPr>
            <w:shd w:fill="FFFFFF" w:color="auto" w:val="clear"/>
            <w:tcMar>
              <w:top w:type="dxa" w:w="60"/>
              <w:left w:type="dxa" w:w="100"/>
              <w:bottom w:type="dxa" w:w="60"/>
              <w:right w:type="dxa" w:w="100"/>
            </w:tcMar>
          </w:tcPr>
          <w:p>
            <w:r>
              <w:rPr>
                <w:sz w:val="19"/>
                <w:szCs w:val="19"/>
              </w:rPr>
              <w:t xml:space="preserve">Tablero gerencial</w:t>
            </w:r>
          </w:p>
        </w:tc>
        <w:tc>
          <w:tcPr>
            <w:shd w:fill="FFFFFF" w:color="auto" w:val="clear"/>
            <w:tcMar>
              <w:top w:type="dxa" w:w="60"/>
              <w:left w:type="dxa" w:w="100"/>
              <w:bottom w:type="dxa" w:w="60"/>
              <w:right w:type="dxa" w:w="100"/>
            </w:tcMar>
          </w:tcPr>
          <w:p>
            <w:r>
              <w:rPr>
                <w:b/>
                <w:bCs/>
                <w:sz w:val="19"/>
                <w:szCs w:val="19"/>
              </w:rPr>
              <w:t xml:space="preserve">BI</w:t>
            </w:r>
            <w:r>
              <w:rPr>
                <w:sz w:val="19"/>
                <w:szCs w:val="19"/>
              </w:rPr>
              <w:t xml:space="preserve"> (Power BI, Tableau)</w:t>
            </w:r>
          </w:p>
        </w:tc>
        <w:tc>
          <w:tcPr>
            <w:shd w:fill="FFFFFF" w:color="auto" w:val="clear"/>
            <w:tcMar>
              <w:top w:type="dxa" w:w="60"/>
              <w:left w:type="dxa" w:w="100"/>
              <w:bottom w:type="dxa" w:w="60"/>
              <w:right w:type="dxa" w:w="100"/>
            </w:tcMar>
          </w:tcPr>
          <w:p>
            <w:r>
              <w:rPr>
                <w:sz w:val="19"/>
                <w:szCs w:val="19"/>
              </w:rPr>
              <w:t xml:space="preserve">Suscripción por usuario</w:t>
            </w:r>
          </w:p>
        </w:tc>
      </w:tr>
    </w:tbl>
    <w:p>
      <w:pPr>
        <w:spacing w:after="120"/>
      </w:pPr>
    </w:p>
    <w:p>
      <w:pPr>
        <w:spacing w:after="100"/>
      </w:pPr>
      <w:r>
        <w:t xml:space="preserve">Un sistema a medida </w:t>
      </w:r>
      <w:r>
        <w:rPr>
          <w:b/>
          <w:bCs/>
        </w:rPr>
        <w:t xml:space="preserve">elimina las suscripciones recurrentes por usuario</w:t>
      </w:r>
      <w:r>
        <w:t xml:space="preserve">, evita los costos de integración entre sistemas dispares, y entrega </w:t>
      </w:r>
      <w:r>
        <w:rPr>
          <w:b/>
          <w:bCs/>
        </w:rPr>
        <w:t xml:space="preserve">exactamente</w:t>
      </w:r>
      <w:r>
        <w:t xml:space="preserve"> los flujos del negocio (cotización abierta, SET cero, indicaciones por laboratorio, detracciones, SET con adelanto/saldo, aprobación de cotizaciones de proveedor por Calidad, etc.) que ningún software genérico contempla.</w:t>
      </w:r>
    </w:p>
    <w:p>
      <w:pPr>
        <w:pStyle w:val="Heading3"/>
        <w:spacing w:after="80" w:before="200"/>
      </w:pPr>
      <w:r>
        <w:rPr>
          <w:b/>
          <w:bCs/>
          <w:color w:val="13602C"/>
          <w:sz w:val="24"/>
          <w:szCs w:val="24"/>
        </w:rPr>
        <w:t xml:space="preserve">5.2 Funcionalidades a medida que no existen "de fábrica"</w:t>
      </w:r>
    </w:p>
    <w:p>
      <w:pPr>
        <w:pStyle w:val="ListParagraph"/>
        <w:numPr>
          <w:ilvl w:val="0"/>
          <w:numId w:val="1"/>
        </w:numPr>
        <w:spacing w:after="40"/>
      </w:pPr>
      <w:r>
        <w:t xml:space="preserve">Verificación </w:t>
      </w:r>
      <w:r>
        <w:rPr>
          <w:b/>
          <w:bCs/>
        </w:rPr>
        <w:t xml:space="preserve">pública</w:t>
      </w:r>
      <w:r>
        <w:t xml:space="preserve"> de certificados por QR + clave.</w:t>
      </w:r>
    </w:p>
    <w:p>
      <w:pPr>
        <w:pStyle w:val="ListParagraph"/>
        <w:numPr>
          <w:ilvl w:val="0"/>
          <w:numId w:val="1"/>
        </w:numPr>
        <w:spacing w:after="40"/>
      </w:pPr>
      <w:r>
        <w:t xml:space="preserve">Flujo de informes con </w:t>
      </w:r>
      <w:r>
        <w:rPr>
          <w:b/>
          <w:bCs/>
        </w:rPr>
        <w:t xml:space="preserve">doble firma</w:t>
      </w:r>
      <w:r>
        <w:t xml:space="preserve"> (Calidad y Gerencia Técnica) y control de versiones.</w:t>
      </w:r>
    </w:p>
    <w:p>
      <w:pPr>
        <w:pStyle w:val="ListParagraph"/>
        <w:numPr>
          <w:ilvl w:val="0"/>
          <w:numId w:val="1"/>
        </w:numPr>
        <w:spacing w:after="40"/>
      </w:pPr>
      <w:r>
        <w:rPr>
          <w:b/>
          <w:bCs/>
        </w:rPr>
        <w:t xml:space="preserve">Indicaciones por laboratorio</w:t>
      </w:r>
      <w:r>
        <w:t xml:space="preserve"> (Q/B/M) independientes dentro de una misma muestra.</w:t>
      </w:r>
    </w:p>
    <w:p>
      <w:pPr>
        <w:pStyle w:val="ListParagraph"/>
        <w:numPr>
          <w:ilvl w:val="0"/>
          <w:numId w:val="1"/>
        </w:numPr>
        <w:spacing w:after="40"/>
      </w:pPr>
      <w:r>
        <w:rPr>
          <w:b/>
          <w:bCs/>
        </w:rPr>
        <w:t xml:space="preserve">Cotización abierta</w:t>
      </w:r>
      <w:r>
        <w:t xml:space="preserve"> y generación selectiva de SET y ODA.</w:t>
      </w:r>
    </w:p>
    <w:p>
      <w:pPr>
        <w:pStyle w:val="ListParagraph"/>
        <w:numPr>
          <w:ilvl w:val="0"/>
          <w:numId w:val="1"/>
        </w:numPr>
        <w:spacing w:after="40"/>
      </w:pPr>
      <w:r>
        <w:rPr>
          <w:b/>
          <w:bCs/>
        </w:rPr>
        <w:t xml:space="preserve">Detracciones, centros de costo y cuentas contables</w:t>
      </w:r>
      <w:r>
        <w:t xml:space="preserve"> peruanas en facturación y caja chica.</w:t>
      </w:r>
    </w:p>
    <w:p>
      <w:pPr>
        <w:pStyle w:val="ListParagraph"/>
        <w:numPr>
          <w:ilvl w:val="0"/>
          <w:numId w:val="1"/>
        </w:numPr>
        <w:spacing w:after="40"/>
      </w:pPr>
      <w:r>
        <w:rPr>
          <w:b/>
          <w:bCs/>
        </w:rPr>
        <w:t xml:space="preserve">Vinculación de varias cotizaciones de proveedor a una OC</w:t>
      </w:r>
      <w:r>
        <w:t xml:space="preserve"> y bitácora de responsabilidad logística.</w:t>
      </w:r>
    </w:p>
    <w:p>
      <w:pPr>
        <w:pStyle w:val="ListParagraph"/>
        <w:numPr>
          <w:ilvl w:val="0"/>
          <w:numId w:val="1"/>
        </w:numPr>
        <w:spacing w:after="40"/>
      </w:pPr>
      <w:r>
        <w:rPr>
          <w:b/>
          <w:bCs/>
        </w:rPr>
        <w:t xml:space="preserve">Integración con reloj biométrico</w:t>
      </w:r>
      <w:r>
        <w:t xml:space="preserve"> y vinculación automática a empleados.</w:t>
      </w:r>
    </w:p>
    <w:p>
      <w:pPr>
        <w:pStyle w:val="ListParagraph"/>
        <w:numPr>
          <w:ilvl w:val="0"/>
          <w:numId w:val="1"/>
        </w:numPr>
        <w:spacing w:after="40"/>
      </w:pPr>
      <w:r>
        <w:t xml:space="preserve">Flujo de vacaciones con </w:t>
      </w:r>
      <w:r>
        <w:rPr>
          <w:b/>
          <w:bCs/>
        </w:rPr>
        <w:t xml:space="preserve">matriz de aprobadores multinivel</w:t>
      </w:r>
      <w:r>
        <w:t xml:space="preserve">.</w:t>
      </w:r>
    </w:p>
    <w:p>
      <w:pPr>
        <w:pStyle w:val="Heading3"/>
        <w:spacing w:after="80" w:before="200"/>
      </w:pPr>
      <w:r>
        <w:rPr>
          <w:b/>
          <w:bCs/>
          <w:color w:val="13602C"/>
          <w:sz w:val="24"/>
          <w:szCs w:val="24"/>
        </w:rPr>
        <w:t xml:space="preserve">5.3 Magnitud de la ingeniería</w:t>
      </w:r>
    </w:p>
    <w:p>
      <w:pPr>
        <w:pStyle w:val="ListParagraph"/>
        <w:numPr>
          <w:ilvl w:val="0"/>
          <w:numId w:val="1"/>
        </w:numPr>
        <w:spacing w:after="40"/>
      </w:pPr>
      <w:r>
        <w:rPr>
          <w:b/>
          <w:bCs/>
        </w:rPr>
        <w:t xml:space="preserve">46 entidades de datos</w:t>
      </w:r>
      <w:r>
        <w:t xml:space="preserve"> modeladas y relacionadas (integridad referencial, cascadas, índices).</w:t>
      </w:r>
    </w:p>
    <w:p>
      <w:pPr>
        <w:pStyle w:val="ListParagraph"/>
        <w:numPr>
          <w:ilvl w:val="0"/>
          <w:numId w:val="1"/>
        </w:numPr>
        <w:spacing w:after="40"/>
      </w:pPr>
      <w:r>
        <w:rPr>
          <w:b/>
          <w:bCs/>
        </w:rPr>
        <w:t xml:space="preserve">88 pantallas</w:t>
      </w:r>
      <w:r>
        <w:t xml:space="preserve"> funcionales con lógica de negocio.</w:t>
      </w:r>
    </w:p>
    <w:p>
      <w:pPr>
        <w:pStyle w:val="ListParagraph"/>
        <w:numPr>
          <w:ilvl w:val="0"/>
          <w:numId w:val="1"/>
        </w:numPr>
        <w:spacing w:after="40"/>
      </w:pPr>
      <w:r>
        <w:rPr>
          <w:b/>
          <w:bCs/>
        </w:rPr>
        <w:t xml:space="preserve">~120 operaciones de negocio</w:t>
      </w:r>
      <w:r>
        <w:t xml:space="preserve"> en servidor, cada una con validación de permisos.</w:t>
      </w:r>
    </w:p>
    <w:p>
      <w:pPr>
        <w:pStyle w:val="ListParagraph"/>
        <w:numPr>
          <w:ilvl w:val="0"/>
          <w:numId w:val="1"/>
        </w:numPr>
        <w:spacing w:after="40"/>
      </w:pPr>
      <w:r>
        <w:rPr>
          <w:b/>
          <w:bCs/>
        </w:rPr>
        <w:t xml:space="preserve">~28 servicios/APIs</w:t>
      </w:r>
      <w:r>
        <w:t xml:space="preserve">, incluyendo generación de documentos y la integración biométrica.</w:t>
      </w:r>
    </w:p>
    <w:p>
      <w:pPr>
        <w:pStyle w:val="ListParagraph"/>
        <w:numPr>
          <w:ilvl w:val="0"/>
          <w:numId w:val="1"/>
        </w:numPr>
        <w:spacing w:after="40"/>
      </w:pPr>
      <w:r>
        <w:rPr>
          <w:b/>
          <w:bCs/>
        </w:rPr>
        <w:t xml:space="preserve">10 roles</w:t>
      </w:r>
      <w:r>
        <w:t xml:space="preserve"> con permisos verificados en el backend.</w:t>
      </w:r>
    </w:p>
    <w:p>
      <w:pPr>
        <w:pStyle w:val="ListParagraph"/>
        <w:numPr>
          <w:ilvl w:val="0"/>
          <w:numId w:val="1"/>
        </w:numPr>
        <w:spacing w:after="40"/>
      </w:pPr>
      <w:r>
        <w:t xml:space="preserve">Despliegue profesional en infraestructura propia (VPS con Docker), con migraciones de base de datos versionadas.</w:t>
      </w:r>
    </w:p>
    <w:p>
      <w:pPr>
        <w:pStyle w:val="Heading3"/>
        <w:spacing w:after="80" w:before="200"/>
      </w:pPr>
      <w:r>
        <w:rPr>
          <w:b/>
          <w:bCs/>
          <w:color w:val="13602C"/>
          <w:sz w:val="24"/>
          <w:szCs w:val="24"/>
        </w:rPr>
        <w:t xml:space="preserve">5.4 Beneficios económicos directos</w:t>
      </w:r>
    </w:p>
    <w:p>
      <w:pPr>
        <w:pStyle w:val="ListParagraph"/>
        <w:numPr>
          <w:ilvl w:val="0"/>
          <w:numId w:val="2"/>
        </w:numPr>
        <w:spacing w:after="40"/>
      </w:pPr>
      <w:r>
        <w:rPr>
          <w:b/>
          <w:bCs/>
        </w:rPr>
        <w:t xml:space="preserve">Cero licencias recurrentes por usuario</w:t>
      </w:r>
      <w:r>
        <w:t xml:space="preserve"> — el sistema escala sin costo marginal por colaborador.</w:t>
      </w:r>
    </w:p>
    <w:p>
      <w:pPr>
        <w:pStyle w:val="ListParagraph"/>
        <w:numPr>
          <w:ilvl w:val="0"/>
          <w:numId w:val="2"/>
        </w:numPr>
        <w:spacing w:after="40"/>
      </w:pPr>
      <w:r>
        <w:rPr>
          <w:b/>
          <w:bCs/>
        </w:rPr>
        <w:t xml:space="preserve">Ahorro de horas-hombre</w:t>
      </w:r>
      <w:r>
        <w:t xml:space="preserve">: automatización de correlativos, cálculos (IGV, totales), generación de documentos y alertas que antes eran manuales.</w:t>
      </w:r>
    </w:p>
    <w:p>
      <w:pPr>
        <w:pStyle w:val="ListParagraph"/>
        <w:numPr>
          <w:ilvl w:val="0"/>
          <w:numId w:val="2"/>
        </w:numPr>
        <w:spacing w:after="40"/>
      </w:pPr>
      <w:r>
        <w:rPr>
          <w:b/>
          <w:bCs/>
        </w:rPr>
        <w:t xml:space="preserve">Reducción de errores</w:t>
      </w:r>
      <w:r>
        <w:t xml:space="preserve">: validación de datos y trazabilidad eliminan reprocesos.</w:t>
      </w:r>
    </w:p>
    <w:p>
      <w:pPr>
        <w:pStyle w:val="ListParagraph"/>
        <w:numPr>
          <w:ilvl w:val="0"/>
          <w:numId w:val="2"/>
        </w:numPr>
        <w:spacing w:after="40"/>
      </w:pPr>
      <w:r>
        <w:rPr>
          <w:b/>
          <w:bCs/>
        </w:rPr>
        <w:t xml:space="preserve">Cumplimiento y reputación</w:t>
      </w:r>
      <w:r>
        <w:t xml:space="preserve">: trazabilidad y verificación de certificados refuerzan la acreditación y la confianza del cliente.</w:t>
      </w:r>
    </w:p>
    <w:p>
      <w:pPr>
        <w:pStyle w:val="ListParagraph"/>
        <w:numPr>
          <w:ilvl w:val="0"/>
          <w:numId w:val="2"/>
        </w:numPr>
        <w:spacing w:after="40"/>
      </w:pPr>
      <w:r>
        <w:rPr>
          <w:b/>
          <w:bCs/>
        </w:rPr>
        <w:t xml:space="preserve">Propiedad total</w:t>
      </w:r>
      <w:r>
        <w:t xml:space="preserve">: la organización es dueña del código y los datos; no hay dependencia de un proveedor externo ni riesgo de aumentos de tarifa.</w:t>
      </w:r>
    </w:p>
    <w:p>
      <w:pPr>
        <w:pStyle w:val="ListParagraph"/>
        <w:numPr>
          <w:ilvl w:val="0"/>
          <w:numId w:val="2"/>
        </w:numPr>
        <w:spacing w:after="40"/>
      </w:pPr>
      <w:r>
        <w:rPr>
          <w:b/>
          <w:bCs/>
        </w:rPr>
        <w:t xml:space="preserve">Adaptabilidad</w:t>
      </w:r>
      <w:r>
        <w:t xml:space="preserve">: el sistema evoluciona con el negocio (como demuestran las mejoras continuas de Logística, Calidad y RRHH).</w:t>
      </w:r>
    </w:p>
    <w:p>
      <w:pPr>
        <w:pBdr>
          <w:bottom w:val="single" w:color="4AC3B2" w:sz="6" w:space="1"/>
        </w:pBdr>
        <w:spacing w:after="120" w:before="120"/>
      </w:pPr>
    </w:p>
    <w:p>
      <w:pPr>
        <w:pStyle w:val="Heading2"/>
        <w:pBdr>
          <w:bottom w:val="single" w:color="4AC3B2" w:sz="4" w:space="2"/>
        </w:pBdr>
        <w:spacing w:after="120" w:before="280"/>
      </w:pPr>
      <w:r>
        <w:rPr>
          <w:b/>
          <w:bCs/>
          <w:color w:val="13602C"/>
          <w:sz w:val="30"/>
          <w:szCs w:val="30"/>
        </w:rPr>
        <w:t xml:space="preserve">6. CONCLUSIÓN</w:t>
      </w:r>
    </w:p>
    <w:p>
      <w:pPr>
        <w:spacing w:after="100"/>
      </w:pPr>
      <w:r>
        <w:t xml:space="preserve">El ERP Cetox es una </w:t>
      </w:r>
      <w:r>
        <w:rPr>
          <w:b/>
          <w:bCs/>
        </w:rPr>
        <w:t xml:space="preserve">plataforma empresarial integral, a medida y en producción</w:t>
      </w:r>
      <w:r>
        <w:t xml:space="preserve">, que centraliza la operación completa de un laboratorio de ensayos acreditado y de sus áreas de soporte. Su alcance —6 módulos, 88 pantallas, 46 entidades de datos, ~120 operaciones de negocio y 10 perfiles de seguridad— representa un activo tecnológico cuyo valor de reemplazo, vía software comercial, implicaría </w:t>
      </w:r>
      <w:r>
        <w:rPr>
          <w:b/>
          <w:bCs/>
        </w:rPr>
        <w:t xml:space="preserve">múltiples licencias, integraciones costosas y suscripciones recurrentes permanentes</w:t>
      </w:r>
      <w:r>
        <w:t xml:space="preserve">, sin alcanzar el grado de ajuste a los procesos reales del negocio que este sistema ya entrega.</w:t>
      </w:r>
    </w:p>
    <w:p>
      <w:pPr>
        <w:spacing w:after="100"/>
      </w:pPr>
      <w:r>
        <w:t xml:space="preserve">El costo del desarrollo y mantenimiento del ERP se sustenta no solo en la </w:t>
      </w:r>
      <w:r>
        <w:rPr>
          <w:b/>
          <w:bCs/>
        </w:rPr>
        <w:t xml:space="preserve">amplitud funcional</w:t>
      </w:r>
      <w:r>
        <w:t xml:space="preserve">, sino en la </w:t>
      </w:r>
      <w:r>
        <w:rPr>
          <w:b/>
          <w:bCs/>
        </w:rPr>
        <w:t xml:space="preserve">profundidad de la ingeniería</w:t>
      </w:r>
      <w:r>
        <w:t xml:space="preserve">, la </w:t>
      </w:r>
      <w:r>
        <w:rPr>
          <w:b/>
          <w:bCs/>
        </w:rPr>
        <w:t xml:space="preserve">especificidad regulatoria y tributaria</w:t>
      </w:r>
      <w:r>
        <w:t xml:space="preserve"> del dominio, y el </w:t>
      </w:r>
      <w:r>
        <w:rPr>
          <w:b/>
          <w:bCs/>
        </w:rPr>
        <w:t xml:space="preserve">ahorro estructural</w:t>
      </w:r>
      <w:r>
        <w:t xml:space="preserve"> que genera al eliminar licencias por usuario y trabajo manual.</w:t>
      </w:r>
    </w:p>
    <w:p>
      <w:pPr>
        <w:pBdr>
          <w:bottom w:val="single" w:color="4AC3B2" w:sz="6" w:space="1"/>
        </w:pBdr>
        <w:spacing w:after="120" w:before="120"/>
      </w:pPr>
    </w:p>
    <w:p>
      <w:pPr>
        <w:spacing w:after="100"/>
      </w:pPr>
      <w:r>
        <w:t xml:space="preserve">*Documento generado a partir del análisis directo del código fuente del sistema en producción.*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2026-06-16T15:30:30.345Z</dcterms:created>
  <dcterms:modified xsi:type="dcterms:W3CDTF">2026-06-16T15:30:30.350Z</dcterms:modified>
</cp:coreProperties>
</file>

<file path=docProps/custom.xml><?xml version="1.0" encoding="utf-8"?>
<Properties xmlns="http://schemas.openxmlformats.org/officeDocument/2006/custom-properties" xmlns:vt="http://schemas.openxmlformats.org/officeDocument/2006/docPropsVTypes"/>
</file>