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6. Constructing a Frequency Table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Write a procedure named Get_frequenciesthat constructs a character frequency table. Input to</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the procedure should be a pointer to a string and a pointer to an array of 256 doublewords initialized to all zeros. Each array position is indexed by its corresponding ASCII code. When the procedure returns, each entry in the array contains a count of how many times the corresponding</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character occurred in the string. For example,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.data</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target BYTE "AAEBDCFBBC",0</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freqTable DWORD 256 DUP(0)</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.code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INVOKE Get_frequencies, ADDR target, ADDR freqTable</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Figure 9–6 shows a picture of the string and entries 41 (hexadecimal) through 4B in the frequency table. Position 41 contains the value 2 because the letter A (ASCII code 41h) occurred</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twice in the string. Similar counts are shown for other characters. Frequency tables are useful in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data compression and other applications involving character processing. The Huffman encoding</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algorithm, for example, stores the most frequently occurring characters in fewer bits than other</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characters that occur less often.</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7. 1The Sieve of Eratosthenes,invented by the Greek mathematician of the same name, provides a</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quick way to find all prime numbers within a given range. The algorithm involves creating an array</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of bytes in which positions are “marked” by inserting 1’s in the following manner: Beginning with</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position 2 (which is a prime number), insert a 1 in each array position that is a multiple of 2. Then</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do the same thing for multiples of 3, the next prime number. Find the next prime number after 3,</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which is 5, and mark all positions that are multiples of 5. Proceed in this manner until all multiples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of primes have been found. The remaining positions of the array that are unmarked indicate which</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numbers are prime. For this program, create a 65,000-element array and display all primes</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between 2 and 65,000. Declare the array in an uninitialized data segment (see Section 3.4.11) and</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use STOSB to fill it with zeros. In 32-bit mode, your array can be much larger. (A VideoNote for</w:t>
      </w:r>
    </w:p>
    <w:p w:rsidR="00000000" w:rsidDel="00000000" w:rsidP="00000000" w:rsidRDefault="00000000" w:rsidRPr="00000000">
      <w:pPr>
        <w:keepNext w:val="0"/>
        <w:keepLines w:val="0"/>
        <w:widowControl w:val="0"/>
        <w:pBdr/>
        <w:contextualSpacing w:val="0"/>
        <w:rPr/>
      </w:pPr>
      <w:r w:rsidDel="00000000" w:rsidR="00000000" w:rsidRPr="00000000">
        <w:rPr>
          <w:rtl w:val="0"/>
        </w:rPr>
        <w:t xml:space="preserve">this exercise is posted on the Web site.)</w:t>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