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264000" cy="8613000"/>
            <wp:docPr id="1" name="Ghozt Figure 1" title="Ghozt Figure 1" descr="Restricted Ghozt UI and design-system blueprint cover with a dark forensic State Lattice motif and Capital-Iz document control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u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861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GhoztEyebrow"/>
      </w:pPr>
      <w:r>
        <w:t>DOCUMENT CONTROL</w:t>
      </w:r>
    </w:p>
    <w:p>
      <w:pPr>
        <w:pStyle w:val="Title"/>
        <w:spacing w:after="80"/>
      </w:pPr>
      <w:r>
        <w:t>Ghozt UI, UX &amp; 12-Theme Design System Blueprint</w:t>
      </w:r>
    </w:p>
    <w:p>
      <w:pPr>
        <w:pStyle w:val="GhoztLead"/>
      </w:pPr>
      <w:r>
        <w:t>Defines every major visible and interactive layer of Ghozt: shell architecture, workspaces, components, state language, motion, accessibility, responsiveness and the complete multi-palette theme engine.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381"/>
            <w:shd w:fill="E7EFF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3E7"/>
            </w:tcBorders>
          </w:tcPr>
          <w:p>
            <w:r>
              <w:rPr>
                <w:rFonts w:ascii="Inter" w:hAnsi="Inter" w:eastAsia="Inter"/>
                <w:b/>
                <w:color w:val="31444E"/>
                <w:sz w:val="17"/>
              </w:rPr>
              <w:t>Document code</w:t>
            </w:r>
          </w:p>
        </w:tc>
        <w:tc>
          <w:tcPr>
            <w:tcW w:type="dxa" w:w="7483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3E7"/>
            </w:tcBorders>
          </w:tcPr>
          <w:p>
            <w:r>
              <w:rPr>
                <w:rFonts w:ascii="Inter" w:hAnsi="Inter" w:eastAsia="Inter"/>
                <w:color w:val="27363E"/>
                <w:sz w:val="17"/>
              </w:rPr>
              <w:t>GZT-UX-001</w:t>
            </w:r>
          </w:p>
        </w:tc>
      </w:tr>
      <w:tr>
        <w:tc>
          <w:tcPr>
            <w:tcW w:type="dxa" w:w="2381"/>
            <w:shd w:fill="E7EFF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3E7"/>
            </w:tcBorders>
          </w:tcPr>
          <w:p>
            <w:r>
              <w:rPr>
                <w:rFonts w:ascii="Inter" w:hAnsi="Inter" w:eastAsia="Inter"/>
                <w:b/>
                <w:color w:val="31444E"/>
                <w:sz w:val="17"/>
              </w:rPr>
              <w:t>Product</w:t>
            </w:r>
          </w:p>
        </w:tc>
        <w:tc>
          <w:tcPr>
            <w:tcW w:type="dxa" w:w="748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3E7"/>
            </w:tcBorders>
          </w:tcPr>
          <w:p>
            <w:r>
              <w:rPr>
                <w:rFonts w:ascii="Inter" w:hAnsi="Inter" w:eastAsia="Inter"/>
                <w:color w:val="27363E"/>
                <w:sz w:val="17"/>
              </w:rPr>
              <w:t>Ghozt - Dev Tester</w:t>
            </w:r>
          </w:p>
        </w:tc>
      </w:tr>
      <w:tr>
        <w:tc>
          <w:tcPr>
            <w:tcW w:type="dxa" w:w="2381"/>
            <w:shd w:fill="E7EFF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3E7"/>
            </w:tcBorders>
          </w:tcPr>
          <w:p>
            <w:r>
              <w:rPr>
                <w:rFonts w:ascii="Inter" w:hAnsi="Inter" w:eastAsia="Inter"/>
                <w:b/>
                <w:color w:val="31444E"/>
                <w:sz w:val="17"/>
              </w:rPr>
              <w:t>Visible brand</w:t>
            </w:r>
          </w:p>
        </w:tc>
        <w:tc>
          <w:tcPr>
            <w:tcW w:type="dxa" w:w="7483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3E7"/>
            </w:tcBorders>
          </w:tcPr>
          <w:p>
            <w:r>
              <w:rPr>
                <w:rFonts w:ascii="Inter" w:hAnsi="Inter" w:eastAsia="Inter"/>
                <w:color w:val="27363E"/>
                <w:sz w:val="17"/>
              </w:rPr>
              <w:t>Ghozt</w:t>
            </w:r>
          </w:p>
        </w:tc>
      </w:tr>
      <w:tr>
        <w:tc>
          <w:tcPr>
            <w:tcW w:type="dxa" w:w="2381"/>
            <w:shd w:fill="E7EFF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3E7"/>
            </w:tcBorders>
          </w:tcPr>
          <w:p>
            <w:r>
              <w:rPr>
                <w:rFonts w:ascii="Inter" w:hAnsi="Inter" w:eastAsia="Inter"/>
                <w:b/>
                <w:color w:val="31444E"/>
                <w:sz w:val="17"/>
              </w:rPr>
              <w:t>Portfolio identity</w:t>
            </w:r>
          </w:p>
        </w:tc>
        <w:tc>
          <w:tcPr>
            <w:tcW w:type="dxa" w:w="748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3E7"/>
            </w:tcBorders>
          </w:tcPr>
          <w:p>
            <w:r>
              <w:rPr>
                <w:rFonts w:ascii="Inter" w:hAnsi="Inter" w:eastAsia="Inter"/>
                <w:color w:val="27363E"/>
                <w:sz w:val="17"/>
              </w:rPr>
              <w:t>Capital-Iz Ghozt</w:t>
            </w:r>
          </w:p>
        </w:tc>
      </w:tr>
      <w:tr>
        <w:tc>
          <w:tcPr>
            <w:tcW w:type="dxa" w:w="2381"/>
            <w:shd w:fill="E7EFF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3E7"/>
            </w:tcBorders>
          </w:tcPr>
          <w:p>
            <w:r>
              <w:rPr>
                <w:rFonts w:ascii="Inter" w:hAnsi="Inter" w:eastAsia="Inter"/>
                <w:b/>
                <w:color w:val="31444E"/>
                <w:sz w:val="17"/>
              </w:rPr>
              <w:t>Version</w:t>
            </w:r>
          </w:p>
        </w:tc>
        <w:tc>
          <w:tcPr>
            <w:tcW w:type="dxa" w:w="7483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3E7"/>
            </w:tcBorders>
          </w:tcPr>
          <w:p>
            <w:r>
              <w:rPr>
                <w:rFonts w:ascii="Inter" w:hAnsi="Inter" w:eastAsia="Inter"/>
                <w:color w:val="27363E"/>
                <w:sz w:val="17"/>
              </w:rPr>
              <w:t>1.0</w:t>
            </w:r>
          </w:p>
        </w:tc>
      </w:tr>
      <w:tr>
        <w:tc>
          <w:tcPr>
            <w:tcW w:type="dxa" w:w="2381"/>
            <w:shd w:fill="E7EFF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3E7"/>
            </w:tcBorders>
          </w:tcPr>
          <w:p>
            <w:r>
              <w:rPr>
                <w:rFonts w:ascii="Inter" w:hAnsi="Inter" w:eastAsia="Inter"/>
                <w:b/>
                <w:color w:val="31444E"/>
                <w:sz w:val="17"/>
              </w:rPr>
              <w:t>Issue date</w:t>
            </w:r>
          </w:p>
        </w:tc>
        <w:tc>
          <w:tcPr>
            <w:tcW w:type="dxa" w:w="748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3E7"/>
            </w:tcBorders>
          </w:tcPr>
          <w:p>
            <w:r>
              <w:rPr>
                <w:rFonts w:ascii="Inter" w:hAnsi="Inter" w:eastAsia="Inter"/>
                <w:color w:val="27363E"/>
                <w:sz w:val="17"/>
              </w:rPr>
              <w:t>30 August 2026</w:t>
            </w:r>
          </w:p>
        </w:tc>
      </w:tr>
      <w:tr>
        <w:tc>
          <w:tcPr>
            <w:tcW w:type="dxa" w:w="2381"/>
            <w:shd w:fill="E7EFF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3E7"/>
            </w:tcBorders>
          </w:tcPr>
          <w:p>
            <w:r>
              <w:rPr>
                <w:rFonts w:ascii="Inter" w:hAnsi="Inter" w:eastAsia="Inter"/>
                <w:b/>
                <w:color w:val="31444E"/>
                <w:sz w:val="17"/>
              </w:rPr>
              <w:t>Status</w:t>
            </w:r>
          </w:p>
        </w:tc>
        <w:tc>
          <w:tcPr>
            <w:tcW w:type="dxa" w:w="7483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3E7"/>
            </w:tcBorders>
          </w:tcPr>
          <w:p>
            <w:r>
              <w:rPr>
                <w:rFonts w:ascii="Inter" w:hAnsi="Inter" w:eastAsia="Inter"/>
                <w:color w:val="27363E"/>
                <w:sz w:val="17"/>
              </w:rPr>
              <w:t>Canonical design and technical blueprint</w:t>
            </w:r>
          </w:p>
        </w:tc>
      </w:tr>
      <w:tr>
        <w:tc>
          <w:tcPr>
            <w:tcW w:type="dxa" w:w="2381"/>
            <w:shd w:fill="E7EFF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3E7"/>
            </w:tcBorders>
          </w:tcPr>
          <w:p>
            <w:r>
              <w:rPr>
                <w:rFonts w:ascii="Inter" w:hAnsi="Inter" w:eastAsia="Inter"/>
                <w:b/>
                <w:color w:val="31444E"/>
                <w:sz w:val="17"/>
              </w:rPr>
              <w:t>Scope</w:t>
            </w:r>
          </w:p>
        </w:tc>
        <w:tc>
          <w:tcPr>
            <w:tcW w:type="dxa" w:w="748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3E7"/>
            </w:tcBorders>
          </w:tcPr>
          <w:p>
            <w:r>
              <w:rPr>
                <w:rFonts w:ascii="Inter" w:hAnsi="Inter" w:eastAsia="Inter"/>
                <w:color w:val="27363E"/>
                <w:sz w:val="17"/>
              </w:rPr>
              <w:t>Desktop-first application shell for Windows 11 Pro, with extension-ready patterns for web, mobile monitoring and future platforms.</w:t>
            </w:r>
          </w:p>
        </w:tc>
      </w:tr>
      <w:tr>
        <w:tc>
          <w:tcPr>
            <w:tcW w:type="dxa" w:w="2381"/>
            <w:shd w:fill="E7EFF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3E7"/>
            </w:tcBorders>
          </w:tcPr>
          <w:p>
            <w:r>
              <w:rPr>
                <w:rFonts w:ascii="Inter" w:hAnsi="Inter" w:eastAsia="Inter"/>
                <w:b/>
                <w:color w:val="31444E"/>
                <w:sz w:val="17"/>
              </w:rPr>
              <w:t>Authority</w:t>
            </w:r>
          </w:p>
        </w:tc>
        <w:tc>
          <w:tcPr>
            <w:tcW w:type="dxa" w:w="7483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3E7"/>
            </w:tcBorders>
          </w:tcPr>
          <w:p>
            <w:r>
              <w:rPr>
                <w:rFonts w:ascii="Inter" w:hAnsi="Inter" w:eastAsia="Inter"/>
                <w:color w:val="27363E"/>
                <w:sz w:val="17"/>
              </w:rPr>
              <w:t>Capital-Iz product and engineering governance</w:t>
            </w:r>
          </w:p>
        </w:tc>
      </w:tr>
      <w:tr>
        <w:tc>
          <w:tcPr>
            <w:tcW w:type="dxa" w:w="2381"/>
            <w:shd w:fill="E7EFF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3E7"/>
            </w:tcBorders>
          </w:tcPr>
          <w:p>
            <w:r>
              <w:rPr>
                <w:rFonts w:ascii="Inter" w:hAnsi="Inter" w:eastAsia="Inter"/>
                <w:b/>
                <w:color w:val="31444E"/>
                <w:sz w:val="17"/>
              </w:rPr>
              <w:t>Source inheritance</w:t>
            </w:r>
          </w:p>
        </w:tc>
        <w:tc>
          <w:tcPr>
            <w:tcW w:type="dxa" w:w="748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8E3E7"/>
            </w:tcBorders>
          </w:tcPr>
          <w:p>
            <w:r>
              <w:rPr>
                <w:rFonts w:ascii="Inter" w:hAnsi="Inter" w:eastAsia="Inter"/>
                <w:color w:val="27363E"/>
                <w:sz w:val="17"/>
              </w:rPr>
              <w:t>Capital-Iz Dev Tester Platform Blueprint; Universal Blueprint Development Doctrine; AI Architecture Blueprint; Universal Design System; CommandDeck implementation reference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7"/>
        <w:gridCol w:w="9638"/>
      </w:tblGrid>
      <w:tr>
        <w:tc>
          <w:tcPr>
            <w:tcW w:type="dxa" w:w="4933"/>
            <w:shd w:fill="CDA661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33"/>
            <w:shd w:fill="F7F1E5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69" w:lineRule="auto"/>
            </w:pPr>
            <w:r>
              <w:rPr>
                <w:rFonts w:ascii="Inter Display" w:hAnsi="Inter Display" w:eastAsia="Inter Display"/>
                <w:b/>
                <w:color w:val="5A4829"/>
                <w:sz w:val="16"/>
              </w:rPr>
              <w:t>CONTROLLED INTERPRETATION</w:t>
              <w:br/>
            </w:r>
            <w:r>
              <w:rPr>
                <w:rFonts w:ascii="Inter" w:hAnsi="Inter" w:eastAsia="Inter"/>
                <w:color w:val="5A4829"/>
                <w:sz w:val="18"/>
              </w:rPr>
              <w:t>This blueprint defines intended product behaviour and design authority. It does not authorise unbounded access to third-party systems. Ghozt must operate only against targets, environments and actions for which the operator has explicit permission.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GhoztEyebrow"/>
      </w:pPr>
      <w:r>
        <w:t>01 • EXPERIENCE AUTHORITY</w:t>
      </w:r>
    </w:p>
    <w:p>
      <w:pPr>
        <w:pStyle w:val="Heading1"/>
        <w:pBdr>
          <w:bottom w:val="single" w:sz="8" w:space="1" w:color="BFD0D6"/>
        </w:pBdr>
      </w:pPr>
      <w:r>
        <w:t>Design mandate</w:t>
      </w:r>
    </w:p>
    <w:p>
      <w:pPr>
        <w:pStyle w:val="GhoztLead"/>
      </w:pPr>
      <w:r>
        <w:rPr>
          <w:rFonts w:ascii="Inter" w:hAnsi="Inter" w:eastAsia="Inter"/>
          <w:i w:val="0"/>
          <w:color w:val="2A3942"/>
          <w:sz w:val="24"/>
        </w:rPr>
        <w:t>Ghozt’s interface must feel like a restricted software-examination facility: futuristic, professional, forensic and slightly illicit, while remaining clearer and more dependable than the systems it examines.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7"/>
        <w:gridCol w:w="9638"/>
      </w:tblGrid>
      <w:tr>
        <w:tc>
          <w:tcPr>
            <w:tcW w:type="dxa" w:w="4933"/>
            <w:shd w:fill="6EF2D6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33"/>
            <w:shd w:fill="E5F8F4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69" w:lineRule="auto"/>
            </w:pPr>
            <w:r>
              <w:rPr>
                <w:rFonts w:ascii="Inter Display" w:hAnsi="Inter Display" w:eastAsia="Inter Display"/>
                <w:b/>
                <w:color w:val="174840"/>
                <w:sz w:val="16"/>
              </w:rPr>
              <w:t>EXPERIENCE THESIS</w:t>
              <w:br/>
            </w:r>
            <w:r>
              <w:rPr>
                <w:rFonts w:ascii="Inter" w:hAnsi="Inter" w:eastAsia="Inter"/>
                <w:color w:val="174840"/>
                <w:sz w:val="18"/>
              </w:rPr>
              <w:t>The operator should feel that Ghozt is inside the target, seeing state and sequence that ordinary testing surfaces cannot—without ever losing the target, authority, evidence or next action.</w:t>
            </w:r>
          </w:p>
        </w:tc>
      </w:tr>
    </w:tbl>
    <w:p>
      <w:pPr>
        <w:spacing w:after="0"/>
      </w:pPr>
    </w:p>
    <w:p>
      <w:pPr>
        <w:pStyle w:val="Heading2"/>
      </w:pPr>
      <w:r>
        <w:t>Capital-Iz family rules inherited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Clarity over decoration.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High-contrast structure with restrained premium accents.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Every visual element carries orientation, priority, evidence or action.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Operational layouts may be dense, but must remain readable.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Risk, state, ownership and current action are visible.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Controls are action-first and reusable.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Decorative clutter may never hide workflow meaning.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Structure → Validation → Execution → State → Event → Audit remains visible in the interface.</w:t>
      </w:r>
    </w:p>
    <w:p>
      <w:pPr>
        <w:pStyle w:val="Heading2"/>
      </w:pPr>
      <w:r>
        <w:t>Ghozt-specific interpretation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3572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5"/>
              </w:rPr>
              <w:t>Family characteristic</w:t>
            </w:r>
          </w:p>
        </w:tc>
        <w:tc>
          <w:tcPr>
            <w:tcW w:type="dxa" w:w="6293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5"/>
              </w:rPr>
              <w:t>Ghozt expression</w:t>
            </w:r>
          </w:p>
        </w:tc>
      </w:tr>
      <w:tr>
        <w:tc>
          <w:tcPr>
            <w:tcW w:type="dxa" w:w="3572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Premium dark operational shell</w:t>
            </w:r>
          </w:p>
        </w:tc>
        <w:tc>
          <w:tcPr>
            <w:tcW w:type="dxa" w:w="6293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Colder void surfaces, spectral telemetry, precision borders and restricted-status plates.</w:t>
            </w:r>
          </w:p>
        </w:tc>
      </w:tr>
      <w:tr>
        <w:tc>
          <w:tcPr>
            <w:tcW w:type="dxa" w:w="3572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CommandDeck’s layered glass and glow</w:t>
            </w:r>
          </w:p>
        </w:tc>
        <w:tc>
          <w:tcPr>
            <w:tcW w:type="dxa" w:w="6293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Retained as an optional finish system, but colder and more localised; never copied as the same screen.</w:t>
            </w:r>
          </w:p>
        </w:tc>
      </w:tr>
      <w:tr>
        <w:tc>
          <w:tcPr>
            <w:tcW w:type="dxa" w:w="3572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CommandDeck’s persistent work areas</w:t>
            </w:r>
          </w:p>
        </w:tc>
        <w:tc>
          <w:tcPr>
            <w:tcW w:type="dxa" w:w="6293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Reinterpreted as status strip, operations rail, state lattice, forensic inspector and black-box stream.</w:t>
            </w:r>
          </w:p>
        </w:tc>
      </w:tr>
      <w:tr>
        <w:tc>
          <w:tcPr>
            <w:tcW w:type="dxa" w:w="3572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Rounded modular controls</w:t>
            </w:r>
          </w:p>
        </w:tc>
        <w:tc>
          <w:tcPr>
            <w:tcW w:type="dxa" w:w="6293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Tighter radii, occasional chamfers, interrupted borders and measurement-like separators.</w:t>
            </w:r>
          </w:p>
        </w:tc>
      </w:tr>
      <w:tr>
        <w:tc>
          <w:tcPr>
            <w:tcW w:type="dxa" w:w="3572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Gold-led authority</w:t>
            </w:r>
          </w:p>
        </w:tc>
        <w:tc>
          <w:tcPr>
            <w:tcW w:type="dxa" w:w="6293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Gold is reserved for evidence seals, approvals, release clearance and Capital-Iz authority.</w:t>
            </w:r>
          </w:p>
        </w:tc>
      </w:tr>
      <w:tr>
        <w:tc>
          <w:tcPr>
            <w:tcW w:type="dxa" w:w="3572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Responsive operational layout</w:t>
            </w:r>
          </w:p>
        </w:tc>
        <w:tc>
          <w:tcPr>
            <w:tcW w:type="dxa" w:w="6293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Panels collapse, dock, detach and reflow according to available width and operator context.</w:t>
            </w:r>
          </w:p>
        </w:tc>
      </w:tr>
    </w:tbl>
    <w:p>
      <w:pPr>
        <w:spacing w:after="0"/>
      </w:pPr>
    </w:p>
    <w:p>
      <w:pPr>
        <w:pStyle w:val="GhoztEyebrow"/>
      </w:pPr>
      <w:r>
        <w:t>02 • UNIQUE DESIGN DIRECTION</w:t>
      </w:r>
    </w:p>
    <w:p>
      <w:pPr>
        <w:pStyle w:val="Heading1"/>
        <w:pBdr>
          <w:bottom w:val="single" w:sz="8" w:space="1" w:color="BFD0D6"/>
        </w:pBdr>
      </w:pPr>
      <w:r>
        <w:t>Visual personality: Spectral Forensics</w:t>
      </w:r>
    </w:p>
    <w:p>
      <w:pPr>
        <w:pStyle w:val="GhoztLead"/>
      </w:pPr>
      <w:r>
        <w:rPr>
          <w:rFonts w:ascii="Inter" w:hAnsi="Inter" w:eastAsia="Inter"/>
          <w:i w:val="0"/>
          <w:color w:val="2A3942"/>
          <w:sz w:val="24"/>
        </w:rPr>
        <w:t>The word “ghost” is not illustrated literally. Ghozt’s presence is expressed through behaviour: explored states materialise, recent paths leave a spectral afterimage, intermittent faults phase in and out, evidence resolves hidden structure, and verified states become visually solid.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268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5"/>
              </w:rPr>
              <w:t>Use</w:t>
            </w:r>
          </w:p>
        </w:tc>
        <w:tc>
          <w:tcPr>
            <w:tcW w:type="dxa" w:w="4139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5"/>
              </w:rPr>
              <w:t>Visual expression</w:t>
            </w:r>
          </w:p>
        </w:tc>
        <w:tc>
          <w:tcPr>
            <w:tcW w:type="dxa" w:w="3458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5"/>
              </w:rPr>
              <w:t>Reason</w:t>
            </w:r>
          </w:p>
        </w:tc>
      </w:tr>
      <w:tr>
        <w:tc>
          <w:tcPr>
            <w:tcW w:type="dxa" w:w="2268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Autonomous traversal</w:t>
            </w:r>
          </w:p>
        </w:tc>
        <w:tc>
          <w:tcPr>
            <w:tcW w:type="dxa" w:w="4139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A narrow moving trail with short-lived afterimage across the State Lattice.</w:t>
            </w:r>
          </w:p>
        </w:tc>
        <w:tc>
          <w:tcPr>
            <w:tcW w:type="dxa" w:w="3458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Shows where the system has been without permanently cluttering the map.</w:t>
            </w:r>
          </w:p>
        </w:tc>
      </w:tr>
      <w:tr>
        <w:tc>
          <w:tcPr>
            <w:tcW w:type="dxa" w:w="2268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Untested state</w:t>
            </w:r>
          </w:p>
        </w:tc>
        <w:tc>
          <w:tcPr>
            <w:tcW w:type="dxa" w:w="4139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Low-opacity node, interrupted border and muted label.</w:t>
            </w:r>
          </w:p>
        </w:tc>
        <w:tc>
          <w:tcPr>
            <w:tcW w:type="dxa" w:w="3458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Makes missing coverage visible without equating it to failure.</w:t>
            </w:r>
          </w:p>
        </w:tc>
      </w:tr>
      <w:tr>
        <w:tc>
          <w:tcPr>
            <w:tcW w:type="dxa" w:w="2268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Verified state</w:t>
            </w:r>
          </w:p>
        </w:tc>
        <w:tc>
          <w:tcPr>
            <w:tcW w:type="dxa" w:w="4139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Solid structure, stable border and evidence-linked seal.</w:t>
            </w:r>
          </w:p>
        </w:tc>
        <w:tc>
          <w:tcPr>
            <w:tcW w:type="dxa" w:w="3458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Signals that expected behaviour is proven, not merely visited.</w:t>
            </w:r>
          </w:p>
        </w:tc>
      </w:tr>
      <w:tr>
        <w:tc>
          <w:tcPr>
            <w:tcW w:type="dxa" w:w="2268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Phantom fault</w:t>
            </w:r>
          </w:p>
        </w:tc>
        <w:tc>
          <w:tcPr>
            <w:tcW w:type="dxa" w:w="4139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Ultraviolet phase shimmer used briefly when evidence appears or disappears.</w:t>
            </w:r>
          </w:p>
        </w:tc>
        <w:tc>
          <w:tcPr>
            <w:tcW w:type="dxa" w:w="3458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Communicates intermittence without constant flicker.</w:t>
            </w:r>
          </w:p>
        </w:tc>
      </w:tr>
      <w:tr>
        <w:tc>
          <w:tcPr>
            <w:tcW w:type="dxa" w:w="2268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Causal chain</w:t>
            </w:r>
          </w:p>
        </w:tc>
        <w:tc>
          <w:tcPr>
            <w:tcW w:type="dxa" w:w="4139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Sequential illumination from trigger to deviation to evidence.</w:t>
            </w:r>
          </w:p>
        </w:tc>
        <w:tc>
          <w:tcPr>
            <w:tcW w:type="dxa" w:w="3458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Makes time and dependency legible.</w:t>
            </w:r>
          </w:p>
        </w:tc>
      </w:tr>
      <w:tr>
        <w:tc>
          <w:tcPr>
            <w:tcW w:type="dxa" w:w="2268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Counterfactual branch</w:t>
            </w:r>
          </w:p>
        </w:tc>
        <w:tc>
          <w:tcPr>
            <w:tcW w:type="dxa" w:w="4139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Dotted violet branch from the observed timeline.</w:t>
            </w:r>
          </w:p>
        </w:tc>
        <w:tc>
          <w:tcPr>
            <w:tcW w:type="dxa" w:w="3458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Separates hypothetical variation from observed fact.</w:t>
            </w:r>
          </w:p>
        </w:tc>
      </w:tr>
      <w:tr>
        <w:tc>
          <w:tcPr>
            <w:tcW w:type="dxa" w:w="2268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Restricted action</w:t>
            </w:r>
          </w:p>
        </w:tc>
        <w:tc>
          <w:tcPr>
            <w:tcW w:type="dxa" w:w="4139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Gold authority rail plus explicit permission copy.</w:t>
            </w:r>
          </w:p>
        </w:tc>
        <w:tc>
          <w:tcPr>
            <w:tcW w:type="dxa" w:w="3458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Signals privilege and review, not generic emphasis.</w:t>
            </w:r>
          </w:p>
        </w:tc>
      </w:tr>
    </w:tbl>
    <w:p>
      <w:pPr>
        <w:spacing w:after="0"/>
      </w:pPr>
    </w:p>
    <w:p>
      <w:pPr>
        <w:pStyle w:val="Heading2"/>
      </w:pPr>
      <w:r>
        <w:t>Prohibited aesthetic shortcuts</w:t>
      </w:r>
    </w:p>
    <w:p>
      <w:pPr>
        <w:pStyle w:val="ListBullet"/>
        <w:spacing w:after="40"/>
        <w:ind w:left="283" w:hanging="142"/>
      </w:pPr>
      <w:r>
        <w:rPr>
          <w:rFonts w:ascii="Inter" w:hAnsi="Inter" w:eastAsia="Inter"/>
          <w:color w:val="10171D"/>
          <w:sz w:val="18"/>
        </w:rPr>
        <w:t>Matrix rain, random hexadecimal text, skulls, hooded figures, fake intrusion maps or permanent CRT distortion.</w:t>
      </w:r>
    </w:p>
    <w:p>
      <w:pPr>
        <w:pStyle w:val="ListBullet"/>
        <w:spacing w:after="40"/>
        <w:ind w:left="283" w:hanging="142"/>
      </w:pPr>
      <w:r>
        <w:rPr>
          <w:rFonts w:ascii="Inter" w:hAnsi="Inter" w:eastAsia="Inter"/>
          <w:color w:val="10171D"/>
          <w:sz w:val="18"/>
        </w:rPr>
        <w:t>Continuous flicker, bloom around every element, decorative noise behind evidence or aggressive red for ordinary activity.</w:t>
      </w:r>
    </w:p>
    <w:p>
      <w:pPr>
        <w:pStyle w:val="ListBullet"/>
        <w:spacing w:after="40"/>
        <w:ind w:left="283" w:hanging="142"/>
      </w:pPr>
      <w:r>
        <w:rPr>
          <w:rFonts w:ascii="Inter" w:hAnsi="Inter" w:eastAsia="Inter"/>
          <w:color w:val="10171D"/>
          <w:sz w:val="18"/>
        </w:rPr>
        <w:t>A full-screen terminal metaphor for functions that require spatial, visual or comparative understanding.</w:t>
      </w:r>
    </w:p>
    <w:p>
      <w:pPr>
        <w:pStyle w:val="ListBullet"/>
        <w:spacing w:after="40"/>
        <w:ind w:left="283" w:hanging="142"/>
      </w:pPr>
      <w:r>
        <w:rPr>
          <w:rFonts w:ascii="Inter" w:hAnsi="Inter" w:eastAsia="Inter"/>
          <w:color w:val="10171D"/>
          <w:sz w:val="18"/>
        </w:rPr>
        <w:t>Ghost puns used as primary action labels when a direct technical verb is clearer.</w:t>
      </w:r>
    </w:p>
    <w:p>
      <w:pPr>
        <w:pStyle w:val="ListBullet"/>
        <w:spacing w:after="40"/>
        <w:ind w:left="283" w:hanging="142"/>
      </w:pPr>
      <w:r>
        <w:rPr>
          <w:rFonts w:ascii="Inter" w:hAnsi="Inter" w:eastAsia="Inter"/>
          <w:color w:val="10171D"/>
          <w:sz w:val="18"/>
        </w:rPr>
        <w:t>Copying CommandDeck’s radial launcher, exact gold treatment, corner radii or panel composition.</w:t>
      </w:r>
    </w:p>
    <w:p>
      <w:pPr>
        <w:pStyle w:val="ListBullet"/>
        <w:spacing w:after="40"/>
        <w:ind w:left="283" w:hanging="142"/>
      </w:pPr>
      <w:r>
        <w:rPr>
          <w:rFonts w:ascii="Inter" w:hAnsi="Inter" w:eastAsia="Inter"/>
          <w:color w:val="10171D"/>
          <w:sz w:val="18"/>
        </w:rPr>
        <w:t>Theme changes that alter the meaning of verified, warning, fault, critical, AI or authority states.</w:t>
      </w:r>
    </w:p>
    <w:p>
      <w:pPr>
        <w:pStyle w:val="GhoztEyebrow"/>
      </w:pPr>
      <w:r>
        <w:t>03 • TWELVE PALETTES, THREE MODES</w:t>
      </w:r>
    </w:p>
    <w:p>
      <w:pPr>
        <w:pStyle w:val="Heading1"/>
        <w:pBdr>
          <w:bottom w:val="single" w:sz="8" w:space="1" w:color="BFD0D6"/>
        </w:pBdr>
      </w:pPr>
      <w:r>
        <w:t>Theme system architecture</w:t>
      </w:r>
    </w:p>
    <w:p>
      <w:pPr>
        <w:pStyle w:val="GhoztLead"/>
      </w:pPr>
      <w:r>
        <w:rPr>
          <w:rFonts w:ascii="Inter" w:hAnsi="Inter" w:eastAsia="Inter"/>
          <w:i w:val="0"/>
          <w:color w:val="2A3942"/>
          <w:sz w:val="24"/>
        </w:rPr>
        <w:t>Ghozt must ship with at least ten complete palettes. This blueprint defines twelve. Each palette is a coherent design identity with Dark, Light and System modes, semantic-token derivation and optional surface finishes. Themes are not superficial colour swaps; they preserve contrast, hierarchy, state meaning and component behaviour.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264000" cy="3132000"/>
            <wp:docPr id="2" name="Ghozt Figure 2" title="Ghozt Figure 2" descr="Semantic Theme Engine showing the separation of palette identity, display mode, surface opacity, finish controls, semantic tokens and runtime theme outpu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me_eng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Inter" w:hAnsi="Inter" w:eastAsia="Inter"/>
          <w:i/>
          <w:color w:val="64737E"/>
          <w:sz w:val="15"/>
        </w:rPr>
        <w:t>The theme engine separates palette identity, display mode, opacity and finish controls from semantic UI meaning.</w:t>
      </w:r>
    </w:p>
    <w:p>
      <w:pPr>
        <w:pStyle w:val="Heading2"/>
      </w:pPr>
      <w:r>
        <w:t>Theme model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984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4"/>
              </w:rPr>
              <w:t>Layer</w:t>
            </w:r>
          </w:p>
        </w:tc>
        <w:tc>
          <w:tcPr>
            <w:tcW w:type="dxa" w:w="3742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4"/>
              </w:rPr>
              <w:t>Definition</w:t>
            </w:r>
          </w:p>
        </w:tc>
        <w:tc>
          <w:tcPr>
            <w:tcW w:type="dxa" w:w="4139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4"/>
              </w:rPr>
              <w:t>Non-negotiable behaviour</w:t>
            </w:r>
          </w:p>
        </w:tc>
      </w:tr>
      <w:tr>
        <w:tc>
          <w:tcPr>
            <w:tcW w:type="dxa" w:w="1984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Palette identity</w:t>
            </w:r>
          </w:p>
        </w:tc>
        <w:tc>
          <w:tcPr>
            <w:tcW w:type="dxa" w:w="3742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Named primary, secondary, accent and surface anchors.</w:t>
            </w:r>
          </w:p>
        </w:tc>
        <w:tc>
          <w:tcPr>
            <w:tcW w:type="dxa" w:w="4139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One palette declaration generates all surface, text, border, action and wash tokens.</w:t>
            </w:r>
          </w:p>
        </w:tc>
      </w:tr>
      <w:tr>
        <w:tc>
          <w:tcPr>
            <w:tcW w:type="dxa" w:w="1984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Mode</w:t>
            </w:r>
          </w:p>
        </w:tc>
        <w:tc>
          <w:tcPr>
            <w:tcW w:type="dxa" w:w="3742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Dark, Light or System.</w:t>
            </w:r>
          </w:p>
        </w:tc>
        <w:tc>
          <w:tcPr>
            <w:tcW w:type="dxa" w:w="4139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System follows the operating-system setting while retaining the selected palette identity.</w:t>
            </w:r>
          </w:p>
        </w:tc>
      </w:tr>
      <w:tr>
        <w:tc>
          <w:tcPr>
            <w:tcW w:type="dxa" w:w="1984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Surface opacity</w:t>
            </w:r>
          </w:p>
        </w:tc>
        <w:tc>
          <w:tcPr>
            <w:tcW w:type="dxa" w:w="3742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How strongly desktop/background context can show through large surfaces.</w:t>
            </w:r>
          </w:p>
        </w:tc>
        <w:tc>
          <w:tcPr>
            <w:tcW w:type="dxa" w:w="4139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Range 35–100%; default 82%; text, borders and status colours remain stable and readable.</w:t>
            </w:r>
          </w:p>
        </w:tc>
      </w:tr>
      <w:tr>
        <w:tc>
          <w:tcPr>
            <w:tcW w:type="dxa" w:w="1984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Finish: gradient</w:t>
            </w:r>
          </w:p>
        </w:tc>
        <w:tc>
          <w:tcPr>
            <w:tcW w:type="dxa" w:w="3742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Optional controlled wash across surfaces.</w:t>
            </w:r>
          </w:p>
        </w:tc>
        <w:tc>
          <w:tcPr>
            <w:tcW w:type="dxa" w:w="4139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Must be included in contrast calculation; disabling it restores a clean flat version.</w:t>
            </w:r>
          </w:p>
        </w:tc>
      </w:tr>
      <w:tr>
        <w:tc>
          <w:tcPr>
            <w:tcW w:type="dxa" w:w="1984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Finish: glass</w:t>
            </w:r>
          </w:p>
        </w:tc>
        <w:tc>
          <w:tcPr>
            <w:tcW w:type="dxa" w:w="3742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Optional translucency, frost and blur impression.</w:t>
            </w:r>
          </w:p>
        </w:tc>
        <w:tc>
          <w:tcPr>
            <w:tcW w:type="dxa" w:w="4139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Never presented as real privacy or hardware blur when it is only visual treatment.</w:t>
            </w:r>
          </w:p>
        </w:tc>
      </w:tr>
      <w:tr>
        <w:tc>
          <w:tcPr>
            <w:tcW w:type="dxa" w:w="1984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Finish: glow</w:t>
            </w:r>
          </w:p>
        </w:tc>
        <w:tc>
          <w:tcPr>
            <w:tcW w:type="dxa" w:w="3742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Optional edge/shadow emphasis.</w:t>
            </w:r>
          </w:p>
        </w:tc>
        <w:tc>
          <w:tcPr>
            <w:tcW w:type="dxa" w:w="4139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Localised to active traversal, selection, evidence or risk—never a permanent halo around the whole UI.</w:t>
            </w:r>
          </w:p>
        </w:tc>
      </w:tr>
      <w:tr>
        <w:tc>
          <w:tcPr>
            <w:tcW w:type="dxa" w:w="1984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Contrast engine</w:t>
            </w:r>
          </w:p>
        </w:tc>
        <w:tc>
          <w:tcPr>
            <w:tcW w:type="dxa" w:w="3742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Automatic adjustment of text and accent fills.</w:t>
            </w:r>
          </w:p>
        </w:tc>
        <w:tc>
          <w:tcPr>
            <w:tcW w:type="dxa" w:w="4139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Normal body text target is at least 4.5:1 against the composited reading surface.</w:t>
            </w:r>
          </w:p>
        </w:tc>
      </w:tr>
      <w:tr>
        <w:tc>
          <w:tcPr>
            <w:tcW w:type="dxa" w:w="1984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Semantic status layer</w:t>
            </w:r>
          </w:p>
        </w:tc>
        <w:tc>
          <w:tcPr>
            <w:tcW w:type="dxa" w:w="3742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Verified, warning, fault, critical, AI/counterfactual and authority colours.</w:t>
            </w:r>
          </w:p>
        </w:tc>
        <w:tc>
          <w:tcPr>
            <w:tcW w:type="dxa" w:w="4139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Meaning remains stable across all twelve palettes and all modes.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7"/>
        <w:gridCol w:w="9638"/>
      </w:tblGrid>
      <w:tr>
        <w:tc>
          <w:tcPr>
            <w:tcW w:type="dxa" w:w="4933"/>
            <w:shd w:fill="CDA661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33"/>
            <w:shd w:fill="F7F1E5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69" w:lineRule="auto"/>
            </w:pPr>
            <w:r>
              <w:rPr>
                <w:rFonts w:ascii="Inter Display" w:hAnsi="Inter Display" w:eastAsia="Inter Display"/>
                <w:b/>
                <w:color w:val="5A4829"/>
                <w:sz w:val="16"/>
              </w:rPr>
              <w:t>COMMANDDECK IMPLEMENTATION LESSON</w:t>
              <w:br/>
            </w:r>
            <w:r>
              <w:rPr>
                <w:rFonts w:ascii="Inter" w:hAnsi="Inter" w:eastAsia="Inter"/>
                <w:color w:val="5A4829"/>
                <w:sz w:val="18"/>
              </w:rPr>
              <w:t>CommandDeck demonstrates the correct family architecture: a small palette declaration can generate dark and light tokens, enforce a 4.5:1 text contrast floor, expose 35–100% surface opacity with an 82% default, and independently control gradient, glass, blur and glow. Ghozt adopts that architectural discipline with its own palettes and semantic namespace.</w:t>
            </w:r>
          </w:p>
        </w:tc>
      </w:tr>
    </w:tbl>
    <w:p>
      <w:pPr>
        <w:spacing w:after="0"/>
      </w:pP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264000" cy="4524000"/>
            <wp:docPr id="3" name="Ghozt Figure 3" title="Ghozt Figure 3" descr="Twelve Ghozt Signature Palettes: Spectral Black, Blacksite, Ghostwire, Phantom Violet, Operator Green, Institutional Gold, Cold Archive, Redacted Mono, Deep Ocean, Containment Amber, Frost Glass and Daylight Eviden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me_gri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Inter" w:hAnsi="Inter" w:eastAsia="Inter"/>
          <w:i/>
          <w:color w:val="64737E"/>
          <w:sz w:val="15"/>
        </w:rPr>
        <w:t>The twelve Ghozt palette identities. Dark, Light and System modes are available under every named palette.</w:t>
      </w:r>
    </w:p>
    <w:p>
      <w:pPr>
        <w:pStyle w:val="Heading2"/>
      </w:pPr>
      <w:r>
        <w:t>Twelve signature palettes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tblHeader w:val="true"/>
        </w:trPr>
        <w:tc>
          <w:tcPr>
            <w:tcW w:type="dxa" w:w="2098"/>
            <w:shd w:fill="0B1720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rPr>
                <w:rFonts w:ascii="Inter Display" w:hAnsi="Inter Display" w:eastAsia="Inter Display"/>
                <w:b/>
                <w:color w:val="FFFFFF"/>
                <w:sz w:val="15"/>
              </w:rPr>
              <w:t>Theme</w:t>
            </w:r>
          </w:p>
        </w:tc>
        <w:tc>
          <w:tcPr>
            <w:tcW w:type="dxa" w:w="3458"/>
            <w:shd w:fill="0B1720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rPr>
                <w:rFonts w:ascii="Inter Display" w:hAnsi="Inter Display" w:eastAsia="Inter Display"/>
                <w:b/>
                <w:color w:val="FFFFFF"/>
                <w:sz w:val="15"/>
              </w:rPr>
              <w:t>Intent</w:t>
            </w:r>
          </w:p>
        </w:tc>
        <w:tc>
          <w:tcPr>
            <w:tcW w:type="dxa" w:w="850"/>
            <w:shd w:fill="0B1720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rPr>
                <w:rFonts w:ascii="Inter Display" w:hAnsi="Inter Display" w:eastAsia="Inter Display"/>
                <w:b/>
                <w:color w:val="FFFFFF"/>
                <w:sz w:val="15"/>
              </w:rPr>
              <w:t>Primary</w:t>
            </w:r>
          </w:p>
        </w:tc>
        <w:tc>
          <w:tcPr>
            <w:tcW w:type="dxa" w:w="850"/>
            <w:shd w:fill="0B1720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rPr>
                <w:rFonts w:ascii="Inter Display" w:hAnsi="Inter Display" w:eastAsia="Inter Display"/>
                <w:b/>
                <w:color w:val="FFFFFF"/>
                <w:sz w:val="15"/>
              </w:rPr>
              <w:t>Secondary</w:t>
            </w:r>
          </w:p>
        </w:tc>
        <w:tc>
          <w:tcPr>
            <w:tcW w:type="dxa" w:w="850"/>
            <w:shd w:fill="0B1720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rPr>
                <w:rFonts w:ascii="Inter Display" w:hAnsi="Inter Display" w:eastAsia="Inter Display"/>
                <w:b/>
                <w:color w:val="FFFFFF"/>
                <w:sz w:val="15"/>
              </w:rPr>
              <w:t>Accent</w:t>
            </w:r>
          </w:p>
        </w:tc>
        <w:tc>
          <w:tcPr>
            <w:tcW w:type="dxa" w:w="850"/>
            <w:shd w:fill="0B1720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rPr>
                <w:rFonts w:ascii="Inter Display" w:hAnsi="Inter Display" w:eastAsia="Inter Display"/>
                <w:b/>
                <w:color w:val="FFFFFF"/>
                <w:sz w:val="15"/>
              </w:rPr>
              <w:t>Dark Base</w:t>
            </w:r>
          </w:p>
        </w:tc>
        <w:tc>
          <w:tcPr>
            <w:tcW w:type="dxa" w:w="907"/>
            <w:shd w:fill="0B1720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rPr>
                <w:rFonts w:ascii="Inter Display" w:hAnsi="Inter Display" w:eastAsia="Inter Display"/>
                <w:b/>
                <w:color w:val="FFFFFF"/>
                <w:sz w:val="15"/>
              </w:rPr>
              <w:t>Light Base</w:t>
            </w:r>
          </w:p>
        </w:tc>
      </w:tr>
      <w:tr>
        <w:tc>
          <w:tcPr>
            <w:tcW w:type="dxa" w:w="2098"/>
            <w:tcMar>
              <w:top w:w="80" w:type="dxa"/>
              <w:start w:w="70" w:type="dxa"/>
              <w:bottom w:w="80" w:type="dxa"/>
              <w:end w:w="70" w:type="dxa"/>
            </w:tcMar>
            <w:shd w:fill="F6F8F9"/>
            <w:tcBorders>
              <w:bottom w:val="single" w:sz="4" w:color="D6E0E4"/>
            </w:tcBorders>
          </w:tcPr>
          <w:p>
            <w:r>
              <w:rPr>
                <w:rFonts w:ascii="Inter" w:hAnsi="Inter" w:eastAsia="Inter"/>
                <w:b/>
                <w:color w:val="091017"/>
                <w:sz w:val="14"/>
              </w:rPr>
              <w:t>Spectral Black</w:t>
            </w:r>
          </w:p>
        </w:tc>
        <w:tc>
          <w:tcPr>
            <w:tcW w:type="dxa" w:w="3458"/>
            <w:tcMar>
              <w:top w:w="80" w:type="dxa"/>
              <w:start w:w="70" w:type="dxa"/>
              <w:bottom w:w="80" w:type="dxa"/>
              <w:end w:w="70" w:type="dxa"/>
            </w:tcMar>
            <w:shd w:fill="F6F8F9"/>
            <w:tcBorders>
              <w:bottom w:val="single" w:sz="4" w:color="D6E0E4"/>
            </w:tcBorders>
          </w:tcPr>
          <w:p>
            <w:r>
              <w:rPr>
                <w:rFonts w:ascii="Inter" w:hAnsi="Inter" w:eastAsia="Inter"/>
                <w:b w:val="0"/>
                <w:color w:val="10171D"/>
                <w:sz w:val="14"/>
              </w:rPr>
              <w:t>Default restricted-forensics identity; balanced and unmistakably Ghozt.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6EF2D6"/>
            <w:tcBorders>
              <w:bottom w:val="single" w:sz="4" w:color="D6E0E4"/>
            </w:tcBorders>
          </w:tcPr>
          <w:p>
            <w:pPr>
              <w:jc w:val="center"/>
            </w:pPr>
            <w:r>
              <w:rPr>
                <w:rFonts w:ascii="DejaVu Sans Mono" w:hAnsi="DejaVu Sans Mono" w:eastAsia="DejaVu Sans Mono"/>
                <w:b/>
                <w:color w:val="10171D"/>
                <w:sz w:val="12"/>
              </w:rPr>
              <w:t>#6EF2D6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55CFF5"/>
            <w:tcBorders>
              <w:bottom w:val="single" w:sz="4" w:color="D6E0E4"/>
            </w:tcBorders>
          </w:tcPr>
          <w:p>
            <w:pPr>
              <w:jc w:val="center"/>
            </w:pPr>
            <w:r>
              <w:rPr>
                <w:rFonts w:ascii="DejaVu Sans Mono" w:hAnsi="DejaVu Sans Mono" w:eastAsia="DejaVu Sans Mono"/>
                <w:b/>
                <w:color w:val="10171D"/>
                <w:sz w:val="12"/>
              </w:rPr>
              <w:t>#55CFF5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8B79FF"/>
            <w:tcBorders>
              <w:bottom w:val="single" w:sz="4" w:color="D6E0E4"/>
            </w:tcBorders>
          </w:tcPr>
          <w:p>
            <w:pPr>
              <w:jc w:val="center"/>
            </w:pPr>
            <w:r>
              <w:rPr>
                <w:rFonts w:ascii="DejaVu Sans Mono" w:hAnsi="DejaVu Sans Mono" w:eastAsia="DejaVu Sans Mono"/>
                <w:b/>
                <w:color w:val="FFFFFF"/>
                <w:sz w:val="12"/>
              </w:rPr>
              <w:t>#8B79FF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05070A"/>
            <w:tcBorders>
              <w:bottom w:val="single" w:sz="4" w:color="D6E0E4"/>
            </w:tcBorders>
          </w:tcPr>
          <w:p>
            <w:pPr>
              <w:jc w:val="center"/>
            </w:pPr>
            <w:r>
              <w:rPr>
                <w:rFonts w:ascii="DejaVu Sans Mono" w:hAnsi="DejaVu Sans Mono" w:eastAsia="DejaVu Sans Mono"/>
                <w:b/>
                <w:color w:val="FFFFFF"/>
                <w:sz w:val="12"/>
              </w:rPr>
              <w:t>#05070A</w:t>
            </w:r>
          </w:p>
        </w:tc>
        <w:tc>
          <w:tcPr>
            <w:tcW w:type="dxa" w:w="907"/>
            <w:tcMar>
              <w:top w:w="80" w:type="dxa"/>
              <w:start w:w="70" w:type="dxa"/>
              <w:bottom w:w="80" w:type="dxa"/>
              <w:end w:w="70" w:type="dxa"/>
            </w:tcMar>
            <w:shd w:fill="EEF6F5"/>
            <w:tcBorders>
              <w:bottom w:val="single" w:sz="4" w:color="D6E0E4"/>
            </w:tcBorders>
          </w:tcPr>
          <w:p>
            <w:pPr>
              <w:jc w:val="center"/>
            </w:pPr>
            <w:r>
              <w:rPr>
                <w:rFonts w:ascii="DejaVu Sans Mono" w:hAnsi="DejaVu Sans Mono" w:eastAsia="DejaVu Sans Mono"/>
                <w:b/>
                <w:color w:val="10171D"/>
                <w:sz w:val="12"/>
              </w:rPr>
              <w:t>#EEF6F5</w:t>
            </w:r>
          </w:p>
        </w:tc>
      </w:tr>
      <w:tr>
        <w:tc>
          <w:tcPr>
            <w:tcW w:type="dxa" w:w="2098"/>
            <w:tcMar>
              <w:top w:w="80" w:type="dxa"/>
              <w:start w:w="70" w:type="dxa"/>
              <w:bottom w:w="80" w:type="dxa"/>
              <w:end w:w="70" w:type="dxa"/>
            </w:tcMar>
            <w:shd w:fill="FFFFFF"/>
            <w:tcBorders>
              <w:bottom w:val="single" w:sz="4" w:color="D6E0E4"/>
            </w:tcBorders>
          </w:tcPr>
          <w:p>
            <w:r>
              <w:rPr>
                <w:rFonts w:ascii="Inter" w:hAnsi="Inter" w:eastAsia="Inter"/>
                <w:b/>
                <w:color w:val="091017"/>
                <w:sz w:val="14"/>
              </w:rPr>
              <w:t>Blacksite</w:t>
            </w:r>
          </w:p>
        </w:tc>
        <w:tc>
          <w:tcPr>
            <w:tcW w:type="dxa" w:w="3458"/>
            <w:tcMar>
              <w:top w:w="80" w:type="dxa"/>
              <w:start w:w="70" w:type="dxa"/>
              <w:bottom w:w="80" w:type="dxa"/>
              <w:end w:w="70" w:type="dxa"/>
            </w:tcMar>
            <w:shd w:fill="FFFFFF"/>
            <w:tcBorders>
              <w:bottom w:val="single" w:sz="4" w:color="D6E0E4"/>
            </w:tcBorders>
          </w:tcPr>
          <w:p>
            <w:r>
              <w:rPr>
                <w:rFonts w:ascii="Inter" w:hAnsi="Inter" w:eastAsia="Inter"/>
                <w:b w:val="0"/>
                <w:color w:val="10171D"/>
                <w:sz w:val="14"/>
              </w:rPr>
              <w:t>Severe, covert and executive; gold carries authority.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B6C4CF"/>
            <w:tcBorders>
              <w:bottom w:val="single" w:sz="4" w:color="D6E0E4"/>
            </w:tcBorders>
          </w:tcPr>
          <w:p>
            <w:pPr>
              <w:jc w:val="center"/>
            </w:pPr>
            <w:r>
              <w:rPr>
                <w:rFonts w:ascii="DejaVu Sans Mono" w:hAnsi="DejaVu Sans Mono" w:eastAsia="DejaVu Sans Mono"/>
                <w:b/>
                <w:color w:val="10171D"/>
                <w:sz w:val="12"/>
              </w:rPr>
              <w:t>#B6C4CF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CDA661"/>
            <w:tcBorders>
              <w:bottom w:val="single" w:sz="4" w:color="D6E0E4"/>
            </w:tcBorders>
          </w:tcPr>
          <w:p>
            <w:pPr>
              <w:jc w:val="center"/>
            </w:pPr>
            <w:r>
              <w:rPr>
                <w:rFonts w:ascii="DejaVu Sans Mono" w:hAnsi="DejaVu Sans Mono" w:eastAsia="DejaVu Sans Mono"/>
                <w:b/>
                <w:color w:val="10171D"/>
                <w:sz w:val="12"/>
              </w:rPr>
              <w:t>#CDA661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7CD4C4"/>
            <w:tcBorders>
              <w:bottom w:val="single" w:sz="4" w:color="D6E0E4"/>
            </w:tcBorders>
          </w:tcPr>
          <w:p>
            <w:pPr>
              <w:jc w:val="center"/>
            </w:pPr>
            <w:r>
              <w:rPr>
                <w:rFonts w:ascii="DejaVu Sans Mono" w:hAnsi="DejaVu Sans Mono" w:eastAsia="DejaVu Sans Mono"/>
                <w:b/>
                <w:color w:val="10171D"/>
                <w:sz w:val="12"/>
              </w:rPr>
              <w:t>#7CD4C4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040506"/>
            <w:tcBorders>
              <w:bottom w:val="single" w:sz="4" w:color="D6E0E4"/>
            </w:tcBorders>
          </w:tcPr>
          <w:p>
            <w:pPr>
              <w:jc w:val="center"/>
            </w:pPr>
            <w:r>
              <w:rPr>
                <w:rFonts w:ascii="DejaVu Sans Mono" w:hAnsi="DejaVu Sans Mono" w:eastAsia="DejaVu Sans Mono"/>
                <w:b/>
                <w:color w:val="FFFFFF"/>
                <w:sz w:val="12"/>
              </w:rPr>
              <w:t>#040506</w:t>
            </w:r>
          </w:p>
        </w:tc>
        <w:tc>
          <w:tcPr>
            <w:tcW w:type="dxa" w:w="907"/>
            <w:tcMar>
              <w:top w:w="80" w:type="dxa"/>
              <w:start w:w="70" w:type="dxa"/>
              <w:bottom w:w="80" w:type="dxa"/>
              <w:end w:w="70" w:type="dxa"/>
            </w:tcMar>
            <w:shd w:fill="F1F3F4"/>
            <w:tcBorders>
              <w:bottom w:val="single" w:sz="4" w:color="D6E0E4"/>
            </w:tcBorders>
          </w:tcPr>
          <w:p>
            <w:pPr>
              <w:jc w:val="center"/>
            </w:pPr>
            <w:r>
              <w:rPr>
                <w:rFonts w:ascii="DejaVu Sans Mono" w:hAnsi="DejaVu Sans Mono" w:eastAsia="DejaVu Sans Mono"/>
                <w:b/>
                <w:color w:val="10171D"/>
                <w:sz w:val="12"/>
              </w:rPr>
              <w:t>#F1F3F4</w:t>
            </w:r>
          </w:p>
        </w:tc>
      </w:tr>
      <w:tr>
        <w:tc>
          <w:tcPr>
            <w:tcW w:type="dxa" w:w="2098"/>
            <w:tcMar>
              <w:top w:w="80" w:type="dxa"/>
              <w:start w:w="70" w:type="dxa"/>
              <w:bottom w:w="80" w:type="dxa"/>
              <w:end w:w="70" w:type="dxa"/>
            </w:tcMar>
            <w:shd w:fill="F6F8F9"/>
            <w:tcBorders>
              <w:bottom w:val="single" w:sz="4" w:color="D6E0E4"/>
            </w:tcBorders>
          </w:tcPr>
          <w:p>
            <w:r>
              <w:rPr>
                <w:rFonts w:ascii="Inter" w:hAnsi="Inter" w:eastAsia="Inter"/>
                <w:b/>
                <w:color w:val="091017"/>
                <w:sz w:val="14"/>
              </w:rPr>
              <w:t>Ghostwire</w:t>
            </w:r>
          </w:p>
        </w:tc>
        <w:tc>
          <w:tcPr>
            <w:tcW w:type="dxa" w:w="3458"/>
            <w:tcMar>
              <w:top w:w="80" w:type="dxa"/>
              <w:start w:w="70" w:type="dxa"/>
              <w:bottom w:w="80" w:type="dxa"/>
              <w:end w:w="70" w:type="dxa"/>
            </w:tcMar>
            <w:shd w:fill="F6F8F9"/>
            <w:tcBorders>
              <w:bottom w:val="single" w:sz="4" w:color="D6E0E4"/>
            </w:tcBorders>
          </w:tcPr>
          <w:p>
            <w:r>
              <w:rPr>
                <w:rFonts w:ascii="Inter" w:hAnsi="Inter" w:eastAsia="Inter"/>
                <w:b w:val="0"/>
                <w:color w:val="10171D"/>
                <w:sz w:val="14"/>
              </w:rPr>
              <w:t>High-energy telemetry and live traversal.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45D9FF"/>
            <w:tcBorders>
              <w:bottom w:val="single" w:sz="4" w:color="D6E0E4"/>
            </w:tcBorders>
          </w:tcPr>
          <w:p>
            <w:pPr>
              <w:jc w:val="center"/>
            </w:pPr>
            <w:r>
              <w:rPr>
                <w:rFonts w:ascii="DejaVu Sans Mono" w:hAnsi="DejaVu Sans Mono" w:eastAsia="DejaVu Sans Mono"/>
                <w:b/>
                <w:color w:val="10171D"/>
                <w:sz w:val="12"/>
              </w:rPr>
              <w:t>#45D9FF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2F7CF6"/>
            <w:tcBorders>
              <w:bottom w:val="single" w:sz="4" w:color="D6E0E4"/>
            </w:tcBorders>
          </w:tcPr>
          <w:p>
            <w:pPr>
              <w:jc w:val="center"/>
            </w:pPr>
            <w:r>
              <w:rPr>
                <w:rFonts w:ascii="DejaVu Sans Mono" w:hAnsi="DejaVu Sans Mono" w:eastAsia="DejaVu Sans Mono"/>
                <w:b/>
                <w:color w:val="FFFFFF"/>
                <w:sz w:val="12"/>
              </w:rPr>
              <w:t>#2F7CF6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63F5C8"/>
            <w:tcBorders>
              <w:bottom w:val="single" w:sz="4" w:color="D6E0E4"/>
            </w:tcBorders>
          </w:tcPr>
          <w:p>
            <w:pPr>
              <w:jc w:val="center"/>
            </w:pPr>
            <w:r>
              <w:rPr>
                <w:rFonts w:ascii="DejaVu Sans Mono" w:hAnsi="DejaVu Sans Mono" w:eastAsia="DejaVu Sans Mono"/>
                <w:b/>
                <w:color w:val="10171D"/>
                <w:sz w:val="12"/>
              </w:rPr>
              <w:t>#63F5C8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030811"/>
            <w:tcBorders>
              <w:bottom w:val="single" w:sz="4" w:color="D6E0E4"/>
            </w:tcBorders>
          </w:tcPr>
          <w:p>
            <w:pPr>
              <w:jc w:val="center"/>
            </w:pPr>
            <w:r>
              <w:rPr>
                <w:rFonts w:ascii="DejaVu Sans Mono" w:hAnsi="DejaVu Sans Mono" w:eastAsia="DejaVu Sans Mono"/>
                <w:b/>
                <w:color w:val="FFFFFF"/>
                <w:sz w:val="12"/>
              </w:rPr>
              <w:t>#030811</w:t>
            </w:r>
          </w:p>
        </w:tc>
        <w:tc>
          <w:tcPr>
            <w:tcW w:type="dxa" w:w="907"/>
            <w:tcMar>
              <w:top w:w="80" w:type="dxa"/>
              <w:start w:w="70" w:type="dxa"/>
              <w:bottom w:w="80" w:type="dxa"/>
              <w:end w:w="70" w:type="dxa"/>
            </w:tcMar>
            <w:shd w:fill="EDF8FC"/>
            <w:tcBorders>
              <w:bottom w:val="single" w:sz="4" w:color="D6E0E4"/>
            </w:tcBorders>
          </w:tcPr>
          <w:p>
            <w:pPr>
              <w:jc w:val="center"/>
            </w:pPr>
            <w:r>
              <w:rPr>
                <w:rFonts w:ascii="DejaVu Sans Mono" w:hAnsi="DejaVu Sans Mono" w:eastAsia="DejaVu Sans Mono"/>
                <w:b/>
                <w:color w:val="10171D"/>
                <w:sz w:val="12"/>
              </w:rPr>
              <w:t>#EDF8FC</w:t>
            </w:r>
          </w:p>
        </w:tc>
      </w:tr>
      <w:tr>
        <w:tc>
          <w:tcPr>
            <w:tcW w:type="dxa" w:w="2098"/>
            <w:tcMar>
              <w:top w:w="80" w:type="dxa"/>
              <w:start w:w="70" w:type="dxa"/>
              <w:bottom w:w="80" w:type="dxa"/>
              <w:end w:w="70" w:type="dxa"/>
            </w:tcMar>
            <w:shd w:fill="FFFFFF"/>
            <w:tcBorders>
              <w:bottom w:val="single" w:sz="4" w:color="D6E0E4"/>
            </w:tcBorders>
          </w:tcPr>
          <w:p>
            <w:r>
              <w:rPr>
                <w:rFonts w:ascii="Inter" w:hAnsi="Inter" w:eastAsia="Inter"/>
                <w:b/>
                <w:color w:val="091017"/>
                <w:sz w:val="14"/>
              </w:rPr>
              <w:t>Phantom Violet</w:t>
            </w:r>
          </w:p>
        </w:tc>
        <w:tc>
          <w:tcPr>
            <w:tcW w:type="dxa" w:w="3458"/>
            <w:tcMar>
              <w:top w:w="80" w:type="dxa"/>
              <w:start w:w="70" w:type="dxa"/>
              <w:bottom w:w="80" w:type="dxa"/>
              <w:end w:w="70" w:type="dxa"/>
            </w:tcMar>
            <w:shd w:fill="FFFFFF"/>
            <w:tcBorders>
              <w:bottom w:val="single" w:sz="4" w:color="D6E0E4"/>
            </w:tcBorders>
          </w:tcPr>
          <w:p>
            <w:r>
              <w:rPr>
                <w:rFonts w:ascii="Inter" w:hAnsi="Inter" w:eastAsia="Inter"/>
                <w:b w:val="0"/>
                <w:color w:val="10171D"/>
                <w:sz w:val="14"/>
              </w:rPr>
              <w:t>Counterfactual reasoning, AI hypotheses and intermittent faults.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A78BFA"/>
            <w:tcBorders>
              <w:bottom w:val="single" w:sz="4" w:color="D6E0E4"/>
            </w:tcBorders>
          </w:tcPr>
          <w:p>
            <w:pPr>
              <w:jc w:val="center"/>
            </w:pPr>
            <w:r>
              <w:rPr>
                <w:rFonts w:ascii="DejaVu Sans Mono" w:hAnsi="DejaVu Sans Mono" w:eastAsia="DejaVu Sans Mono"/>
                <w:b/>
                <w:color w:val="10171D"/>
                <w:sz w:val="12"/>
              </w:rPr>
              <w:t>#A78BFA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7C4DFF"/>
            <w:tcBorders>
              <w:bottom w:val="single" w:sz="4" w:color="D6E0E4"/>
            </w:tcBorders>
          </w:tcPr>
          <w:p>
            <w:pPr>
              <w:jc w:val="center"/>
            </w:pPr>
            <w:r>
              <w:rPr>
                <w:rFonts w:ascii="DejaVu Sans Mono" w:hAnsi="DejaVu Sans Mono" w:eastAsia="DejaVu Sans Mono"/>
                <w:b/>
                <w:color w:val="FFFFFF"/>
                <w:sz w:val="12"/>
              </w:rPr>
              <w:t>#7C4DFF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5EEAD4"/>
            <w:tcBorders>
              <w:bottom w:val="single" w:sz="4" w:color="D6E0E4"/>
            </w:tcBorders>
          </w:tcPr>
          <w:p>
            <w:pPr>
              <w:jc w:val="center"/>
            </w:pPr>
            <w:r>
              <w:rPr>
                <w:rFonts w:ascii="DejaVu Sans Mono" w:hAnsi="DejaVu Sans Mono" w:eastAsia="DejaVu Sans Mono"/>
                <w:b/>
                <w:color w:val="10171D"/>
                <w:sz w:val="12"/>
              </w:rPr>
              <w:t>#5EEAD4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080612"/>
            <w:tcBorders>
              <w:bottom w:val="single" w:sz="4" w:color="D6E0E4"/>
            </w:tcBorders>
          </w:tcPr>
          <w:p>
            <w:pPr>
              <w:jc w:val="center"/>
            </w:pPr>
            <w:r>
              <w:rPr>
                <w:rFonts w:ascii="DejaVu Sans Mono" w:hAnsi="DejaVu Sans Mono" w:eastAsia="DejaVu Sans Mono"/>
                <w:b/>
                <w:color w:val="FFFFFF"/>
                <w:sz w:val="12"/>
              </w:rPr>
              <w:t>#080612</w:t>
            </w:r>
          </w:p>
        </w:tc>
        <w:tc>
          <w:tcPr>
            <w:tcW w:type="dxa" w:w="907"/>
            <w:tcMar>
              <w:top w:w="80" w:type="dxa"/>
              <w:start w:w="70" w:type="dxa"/>
              <w:bottom w:w="80" w:type="dxa"/>
              <w:end w:w="70" w:type="dxa"/>
            </w:tcMar>
            <w:shd w:fill="F5F1FF"/>
            <w:tcBorders>
              <w:bottom w:val="single" w:sz="4" w:color="D6E0E4"/>
            </w:tcBorders>
          </w:tcPr>
          <w:p>
            <w:pPr>
              <w:jc w:val="center"/>
            </w:pPr>
            <w:r>
              <w:rPr>
                <w:rFonts w:ascii="DejaVu Sans Mono" w:hAnsi="DejaVu Sans Mono" w:eastAsia="DejaVu Sans Mono"/>
                <w:b/>
                <w:color w:val="10171D"/>
                <w:sz w:val="12"/>
              </w:rPr>
              <w:t>#F5F1FF</w:t>
            </w:r>
          </w:p>
        </w:tc>
      </w:tr>
      <w:tr>
        <w:tc>
          <w:tcPr>
            <w:tcW w:type="dxa" w:w="2098"/>
            <w:tcMar>
              <w:top w:w="80" w:type="dxa"/>
              <w:start w:w="70" w:type="dxa"/>
              <w:bottom w:w="80" w:type="dxa"/>
              <w:end w:w="70" w:type="dxa"/>
            </w:tcMar>
            <w:shd w:fill="F6F8F9"/>
            <w:tcBorders>
              <w:bottom w:val="single" w:sz="4" w:color="D6E0E4"/>
            </w:tcBorders>
          </w:tcPr>
          <w:p>
            <w:r>
              <w:rPr>
                <w:rFonts w:ascii="Inter" w:hAnsi="Inter" w:eastAsia="Inter"/>
                <w:b/>
                <w:color w:val="091017"/>
                <w:sz w:val="14"/>
              </w:rPr>
              <w:t>Operator Green</w:t>
            </w:r>
          </w:p>
        </w:tc>
        <w:tc>
          <w:tcPr>
            <w:tcW w:type="dxa" w:w="3458"/>
            <w:tcMar>
              <w:top w:w="80" w:type="dxa"/>
              <w:start w:w="70" w:type="dxa"/>
              <w:bottom w:w="80" w:type="dxa"/>
              <w:end w:w="70" w:type="dxa"/>
            </w:tcMar>
            <w:shd w:fill="F6F8F9"/>
            <w:tcBorders>
              <w:bottom w:val="single" w:sz="4" w:color="D6E0E4"/>
            </w:tcBorders>
          </w:tcPr>
          <w:p>
            <w:r>
              <w:rPr>
                <w:rFonts w:ascii="Inter" w:hAnsi="Inter" w:eastAsia="Inter"/>
                <w:b w:val="0"/>
                <w:color w:val="10171D"/>
                <w:sz w:val="14"/>
              </w:rPr>
              <w:t>Focused long-session terminal and operations posture.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4FD18B"/>
            <w:tcBorders>
              <w:bottom w:val="single" w:sz="4" w:color="D6E0E4"/>
            </w:tcBorders>
          </w:tcPr>
          <w:p>
            <w:pPr>
              <w:jc w:val="center"/>
            </w:pPr>
            <w:r>
              <w:rPr>
                <w:rFonts w:ascii="DejaVu Sans Mono" w:hAnsi="DejaVu Sans Mono" w:eastAsia="DejaVu Sans Mono"/>
                <w:b/>
                <w:color w:val="10171D"/>
                <w:sz w:val="12"/>
              </w:rPr>
              <w:t>#4FD18B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2E9E6B"/>
            <w:tcBorders>
              <w:bottom w:val="single" w:sz="4" w:color="D6E0E4"/>
            </w:tcBorders>
          </w:tcPr>
          <w:p>
            <w:pPr>
              <w:jc w:val="center"/>
            </w:pPr>
            <w:r>
              <w:rPr>
                <w:rFonts w:ascii="DejaVu Sans Mono" w:hAnsi="DejaVu Sans Mono" w:eastAsia="DejaVu Sans Mono"/>
                <w:b/>
                <w:color w:val="FFFFFF"/>
                <w:sz w:val="12"/>
              </w:rPr>
              <w:t>#2E9E6B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B5F26E"/>
            <w:tcBorders>
              <w:bottom w:val="single" w:sz="4" w:color="D6E0E4"/>
            </w:tcBorders>
          </w:tcPr>
          <w:p>
            <w:pPr>
              <w:jc w:val="center"/>
            </w:pPr>
            <w:r>
              <w:rPr>
                <w:rFonts w:ascii="DejaVu Sans Mono" w:hAnsi="DejaVu Sans Mono" w:eastAsia="DejaVu Sans Mono"/>
                <w:b/>
                <w:color w:val="10171D"/>
                <w:sz w:val="12"/>
              </w:rPr>
              <w:t>#B5F26E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060A08"/>
            <w:tcBorders>
              <w:bottom w:val="single" w:sz="4" w:color="D6E0E4"/>
            </w:tcBorders>
          </w:tcPr>
          <w:p>
            <w:pPr>
              <w:jc w:val="center"/>
            </w:pPr>
            <w:r>
              <w:rPr>
                <w:rFonts w:ascii="DejaVu Sans Mono" w:hAnsi="DejaVu Sans Mono" w:eastAsia="DejaVu Sans Mono"/>
                <w:b/>
                <w:color w:val="FFFFFF"/>
                <w:sz w:val="12"/>
              </w:rPr>
              <w:t>#060A08</w:t>
            </w:r>
          </w:p>
        </w:tc>
        <w:tc>
          <w:tcPr>
            <w:tcW w:type="dxa" w:w="907"/>
            <w:tcMar>
              <w:top w:w="80" w:type="dxa"/>
              <w:start w:w="70" w:type="dxa"/>
              <w:bottom w:w="80" w:type="dxa"/>
              <w:end w:w="70" w:type="dxa"/>
            </w:tcMar>
            <w:shd w:fill="F0F8F3"/>
            <w:tcBorders>
              <w:bottom w:val="single" w:sz="4" w:color="D6E0E4"/>
            </w:tcBorders>
          </w:tcPr>
          <w:p>
            <w:pPr>
              <w:jc w:val="center"/>
            </w:pPr>
            <w:r>
              <w:rPr>
                <w:rFonts w:ascii="DejaVu Sans Mono" w:hAnsi="DejaVu Sans Mono" w:eastAsia="DejaVu Sans Mono"/>
                <w:b/>
                <w:color w:val="10171D"/>
                <w:sz w:val="12"/>
              </w:rPr>
              <w:t>#F0F8F3</w:t>
            </w:r>
          </w:p>
        </w:tc>
      </w:tr>
      <w:tr>
        <w:tc>
          <w:tcPr>
            <w:tcW w:type="dxa" w:w="2098"/>
            <w:tcMar>
              <w:top w:w="80" w:type="dxa"/>
              <w:start w:w="70" w:type="dxa"/>
              <w:bottom w:w="80" w:type="dxa"/>
              <w:end w:w="70" w:type="dxa"/>
            </w:tcMar>
            <w:shd w:fill="FFFFFF"/>
            <w:tcBorders>
              <w:bottom w:val="single" w:sz="4" w:color="D6E0E4"/>
            </w:tcBorders>
          </w:tcPr>
          <w:p>
            <w:r>
              <w:rPr>
                <w:rFonts w:ascii="Inter" w:hAnsi="Inter" w:eastAsia="Inter"/>
                <w:b/>
                <w:color w:val="091017"/>
                <w:sz w:val="14"/>
              </w:rPr>
              <w:t>Institutional Gold</w:t>
            </w:r>
          </w:p>
        </w:tc>
        <w:tc>
          <w:tcPr>
            <w:tcW w:type="dxa" w:w="3458"/>
            <w:tcMar>
              <w:top w:w="80" w:type="dxa"/>
              <w:start w:w="70" w:type="dxa"/>
              <w:bottom w:w="80" w:type="dxa"/>
              <w:end w:w="70" w:type="dxa"/>
            </w:tcMar>
            <w:shd w:fill="FFFFFF"/>
            <w:tcBorders>
              <w:bottom w:val="single" w:sz="4" w:color="D6E0E4"/>
            </w:tcBorders>
          </w:tcPr>
          <w:p>
            <w:r>
              <w:rPr>
                <w:rFonts w:ascii="Inter" w:hAnsi="Inter" w:eastAsia="Inter"/>
                <w:b w:val="0"/>
                <w:color w:val="10171D"/>
                <w:sz w:val="14"/>
              </w:rPr>
              <w:t>Premium Capital-Iz authority and formal review.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CDA661"/>
            <w:tcBorders>
              <w:bottom w:val="single" w:sz="4" w:color="D6E0E4"/>
            </w:tcBorders>
          </w:tcPr>
          <w:p>
            <w:pPr>
              <w:jc w:val="center"/>
            </w:pPr>
            <w:r>
              <w:rPr>
                <w:rFonts w:ascii="DejaVu Sans Mono" w:hAnsi="DejaVu Sans Mono" w:eastAsia="DejaVu Sans Mono"/>
                <w:b/>
                <w:color w:val="10171D"/>
                <w:sz w:val="12"/>
              </w:rPr>
              <w:t>#CDA661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B08D55"/>
            <w:tcBorders>
              <w:bottom w:val="single" w:sz="4" w:color="D6E0E4"/>
            </w:tcBorders>
          </w:tcPr>
          <w:p>
            <w:pPr>
              <w:jc w:val="center"/>
            </w:pPr>
            <w:r>
              <w:rPr>
                <w:rFonts w:ascii="DejaVu Sans Mono" w:hAnsi="DejaVu Sans Mono" w:eastAsia="DejaVu Sans Mono"/>
                <w:b/>
                <w:color w:val="10171D"/>
                <w:sz w:val="12"/>
              </w:rPr>
              <w:t>#B08D55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6EF2D6"/>
            <w:tcBorders>
              <w:bottom w:val="single" w:sz="4" w:color="D6E0E4"/>
            </w:tcBorders>
          </w:tcPr>
          <w:p>
            <w:pPr>
              <w:jc w:val="center"/>
            </w:pPr>
            <w:r>
              <w:rPr>
                <w:rFonts w:ascii="DejaVu Sans Mono" w:hAnsi="DejaVu Sans Mono" w:eastAsia="DejaVu Sans Mono"/>
                <w:b/>
                <w:color w:val="10171D"/>
                <w:sz w:val="12"/>
              </w:rPr>
              <w:t>#6EF2D6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0B0C0F"/>
            <w:tcBorders>
              <w:bottom w:val="single" w:sz="4" w:color="D6E0E4"/>
            </w:tcBorders>
          </w:tcPr>
          <w:p>
            <w:pPr>
              <w:jc w:val="center"/>
            </w:pPr>
            <w:r>
              <w:rPr>
                <w:rFonts w:ascii="DejaVu Sans Mono" w:hAnsi="DejaVu Sans Mono" w:eastAsia="DejaVu Sans Mono"/>
                <w:b/>
                <w:color w:val="FFFFFF"/>
                <w:sz w:val="12"/>
              </w:rPr>
              <w:t>#0B0C0F</w:t>
            </w:r>
          </w:p>
        </w:tc>
        <w:tc>
          <w:tcPr>
            <w:tcW w:type="dxa" w:w="907"/>
            <w:tcMar>
              <w:top w:w="80" w:type="dxa"/>
              <w:start w:w="70" w:type="dxa"/>
              <w:bottom w:w="80" w:type="dxa"/>
              <w:end w:w="70" w:type="dxa"/>
            </w:tcMar>
            <w:shd w:fill="F7F4EE"/>
            <w:tcBorders>
              <w:bottom w:val="single" w:sz="4" w:color="D6E0E4"/>
            </w:tcBorders>
          </w:tcPr>
          <w:p>
            <w:pPr>
              <w:jc w:val="center"/>
            </w:pPr>
            <w:r>
              <w:rPr>
                <w:rFonts w:ascii="DejaVu Sans Mono" w:hAnsi="DejaVu Sans Mono" w:eastAsia="DejaVu Sans Mono"/>
                <w:b/>
                <w:color w:val="10171D"/>
                <w:sz w:val="12"/>
              </w:rPr>
              <w:t>#F7F4EE</w:t>
            </w:r>
          </w:p>
        </w:tc>
      </w:tr>
      <w:tr>
        <w:tc>
          <w:tcPr>
            <w:tcW w:type="dxa" w:w="2098"/>
            <w:tcMar>
              <w:top w:w="80" w:type="dxa"/>
              <w:start w:w="70" w:type="dxa"/>
              <w:bottom w:w="80" w:type="dxa"/>
              <w:end w:w="70" w:type="dxa"/>
            </w:tcMar>
            <w:shd w:fill="F6F8F9"/>
            <w:tcBorders>
              <w:bottom w:val="single" w:sz="4" w:color="D6E0E4"/>
            </w:tcBorders>
          </w:tcPr>
          <w:p>
            <w:r>
              <w:rPr>
                <w:rFonts w:ascii="Inter" w:hAnsi="Inter" w:eastAsia="Inter"/>
                <w:b/>
                <w:color w:val="091017"/>
                <w:sz w:val="14"/>
              </w:rPr>
              <w:t>Cold Archive</w:t>
            </w:r>
          </w:p>
        </w:tc>
        <w:tc>
          <w:tcPr>
            <w:tcW w:type="dxa" w:w="3458"/>
            <w:tcMar>
              <w:top w:w="80" w:type="dxa"/>
              <w:start w:w="70" w:type="dxa"/>
              <w:bottom w:w="80" w:type="dxa"/>
              <w:end w:w="70" w:type="dxa"/>
            </w:tcMar>
            <w:shd w:fill="F6F8F9"/>
            <w:tcBorders>
              <w:bottom w:val="single" w:sz="4" w:color="D6E0E4"/>
            </w:tcBorders>
          </w:tcPr>
          <w:p>
            <w:r>
              <w:rPr>
                <w:rFonts w:ascii="Inter" w:hAnsi="Inter" w:eastAsia="Inter"/>
                <w:b w:val="0"/>
                <w:color w:val="10171D"/>
                <w:sz w:val="14"/>
              </w:rPr>
              <w:t>Calm evidence review and long-form forensic reading.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86B7D8"/>
            <w:tcBorders>
              <w:bottom w:val="single" w:sz="4" w:color="D6E0E4"/>
            </w:tcBorders>
          </w:tcPr>
          <w:p>
            <w:pPr>
              <w:jc w:val="center"/>
            </w:pPr>
            <w:r>
              <w:rPr>
                <w:rFonts w:ascii="DejaVu Sans Mono" w:hAnsi="DejaVu Sans Mono" w:eastAsia="DejaVu Sans Mono"/>
                <w:b/>
                <w:color w:val="10171D"/>
                <w:sz w:val="12"/>
              </w:rPr>
              <w:t>#86B7D8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5A7FA3"/>
            <w:tcBorders>
              <w:bottom w:val="single" w:sz="4" w:color="D6E0E4"/>
            </w:tcBorders>
          </w:tcPr>
          <w:p>
            <w:pPr>
              <w:jc w:val="center"/>
            </w:pPr>
            <w:r>
              <w:rPr>
                <w:rFonts w:ascii="DejaVu Sans Mono" w:hAnsi="DejaVu Sans Mono" w:eastAsia="DejaVu Sans Mono"/>
                <w:b/>
                <w:color w:val="FFFFFF"/>
                <w:sz w:val="12"/>
              </w:rPr>
              <w:t>#5A7FA3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A3D5E8"/>
            <w:tcBorders>
              <w:bottom w:val="single" w:sz="4" w:color="D6E0E4"/>
            </w:tcBorders>
          </w:tcPr>
          <w:p>
            <w:pPr>
              <w:jc w:val="center"/>
            </w:pPr>
            <w:r>
              <w:rPr>
                <w:rFonts w:ascii="DejaVu Sans Mono" w:hAnsi="DejaVu Sans Mono" w:eastAsia="DejaVu Sans Mono"/>
                <w:b/>
                <w:color w:val="10171D"/>
                <w:sz w:val="12"/>
              </w:rPr>
              <w:t>#A3D5E8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071018"/>
            <w:tcBorders>
              <w:bottom w:val="single" w:sz="4" w:color="D6E0E4"/>
            </w:tcBorders>
          </w:tcPr>
          <w:p>
            <w:pPr>
              <w:jc w:val="center"/>
            </w:pPr>
            <w:r>
              <w:rPr>
                <w:rFonts w:ascii="DejaVu Sans Mono" w:hAnsi="DejaVu Sans Mono" w:eastAsia="DejaVu Sans Mono"/>
                <w:b/>
                <w:color w:val="FFFFFF"/>
                <w:sz w:val="12"/>
              </w:rPr>
              <w:t>#071018</w:t>
            </w:r>
          </w:p>
        </w:tc>
        <w:tc>
          <w:tcPr>
            <w:tcW w:type="dxa" w:w="907"/>
            <w:tcMar>
              <w:top w:w="80" w:type="dxa"/>
              <w:start w:w="70" w:type="dxa"/>
              <w:bottom w:w="80" w:type="dxa"/>
              <w:end w:w="70" w:type="dxa"/>
            </w:tcMar>
            <w:shd w:fill="F2F7FA"/>
            <w:tcBorders>
              <w:bottom w:val="single" w:sz="4" w:color="D6E0E4"/>
            </w:tcBorders>
          </w:tcPr>
          <w:p>
            <w:pPr>
              <w:jc w:val="center"/>
            </w:pPr>
            <w:r>
              <w:rPr>
                <w:rFonts w:ascii="DejaVu Sans Mono" w:hAnsi="DejaVu Sans Mono" w:eastAsia="DejaVu Sans Mono"/>
                <w:b/>
                <w:color w:val="10171D"/>
                <w:sz w:val="12"/>
              </w:rPr>
              <w:t>#F2F7FA</w:t>
            </w:r>
          </w:p>
        </w:tc>
      </w:tr>
      <w:tr>
        <w:tc>
          <w:tcPr>
            <w:tcW w:type="dxa" w:w="2098"/>
            <w:tcMar>
              <w:top w:w="80" w:type="dxa"/>
              <w:start w:w="70" w:type="dxa"/>
              <w:bottom w:w="80" w:type="dxa"/>
              <w:end w:w="70" w:type="dxa"/>
            </w:tcMar>
            <w:shd w:fill="FFFFFF"/>
            <w:tcBorders>
              <w:bottom w:val="single" w:sz="4" w:color="D6E0E4"/>
            </w:tcBorders>
          </w:tcPr>
          <w:p>
            <w:r>
              <w:rPr>
                <w:rFonts w:ascii="Inter" w:hAnsi="Inter" w:eastAsia="Inter"/>
                <w:b/>
                <w:color w:val="091017"/>
                <w:sz w:val="14"/>
              </w:rPr>
              <w:t>Redacted Mono</w:t>
            </w:r>
          </w:p>
        </w:tc>
        <w:tc>
          <w:tcPr>
            <w:tcW w:type="dxa" w:w="3458"/>
            <w:tcMar>
              <w:top w:w="80" w:type="dxa"/>
              <w:start w:w="70" w:type="dxa"/>
              <w:bottom w:w="80" w:type="dxa"/>
              <w:end w:w="70" w:type="dxa"/>
            </w:tcMar>
            <w:shd w:fill="FFFFFF"/>
            <w:tcBorders>
              <w:bottom w:val="single" w:sz="4" w:color="D6E0E4"/>
            </w:tcBorders>
          </w:tcPr>
          <w:p>
            <w:r>
              <w:rPr>
                <w:rFonts w:ascii="Inter" w:hAnsi="Inter" w:eastAsia="Inter"/>
                <w:b w:val="0"/>
                <w:color w:val="10171D"/>
                <w:sz w:val="14"/>
              </w:rPr>
              <w:t>Near-monochrome restricted-document and compliance character.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D9DEE2"/>
            <w:tcBorders>
              <w:bottom w:val="single" w:sz="4" w:color="D6E0E4"/>
            </w:tcBorders>
          </w:tcPr>
          <w:p>
            <w:pPr>
              <w:jc w:val="center"/>
            </w:pPr>
            <w:r>
              <w:rPr>
                <w:rFonts w:ascii="DejaVu Sans Mono" w:hAnsi="DejaVu Sans Mono" w:eastAsia="DejaVu Sans Mono"/>
                <w:b/>
                <w:color w:val="10171D"/>
                <w:sz w:val="12"/>
              </w:rPr>
              <w:t>#D9DEE2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8B959E"/>
            <w:tcBorders>
              <w:bottom w:val="single" w:sz="4" w:color="D6E0E4"/>
            </w:tcBorders>
          </w:tcPr>
          <w:p>
            <w:pPr>
              <w:jc w:val="center"/>
            </w:pPr>
            <w:r>
              <w:rPr>
                <w:rFonts w:ascii="DejaVu Sans Mono" w:hAnsi="DejaVu Sans Mono" w:eastAsia="DejaVu Sans Mono"/>
                <w:b/>
                <w:color w:val="10171D"/>
                <w:sz w:val="12"/>
              </w:rPr>
              <w:t>#8B959E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CDA661"/>
            <w:tcBorders>
              <w:bottom w:val="single" w:sz="4" w:color="D6E0E4"/>
            </w:tcBorders>
          </w:tcPr>
          <w:p>
            <w:pPr>
              <w:jc w:val="center"/>
            </w:pPr>
            <w:r>
              <w:rPr>
                <w:rFonts w:ascii="DejaVu Sans Mono" w:hAnsi="DejaVu Sans Mono" w:eastAsia="DejaVu Sans Mono"/>
                <w:b/>
                <w:color w:val="10171D"/>
                <w:sz w:val="12"/>
              </w:rPr>
              <w:t>#CDA661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050505"/>
            <w:tcBorders>
              <w:bottom w:val="single" w:sz="4" w:color="D6E0E4"/>
            </w:tcBorders>
          </w:tcPr>
          <w:p>
            <w:pPr>
              <w:jc w:val="center"/>
            </w:pPr>
            <w:r>
              <w:rPr>
                <w:rFonts w:ascii="DejaVu Sans Mono" w:hAnsi="DejaVu Sans Mono" w:eastAsia="DejaVu Sans Mono"/>
                <w:b/>
                <w:color w:val="FFFFFF"/>
                <w:sz w:val="12"/>
              </w:rPr>
              <w:t>#050505</w:t>
            </w:r>
          </w:p>
        </w:tc>
        <w:tc>
          <w:tcPr>
            <w:tcW w:type="dxa" w:w="907"/>
            <w:tcMar>
              <w:top w:w="80" w:type="dxa"/>
              <w:start w:w="70" w:type="dxa"/>
              <w:bottom w:w="80" w:type="dxa"/>
              <w:end w:w="70" w:type="dxa"/>
            </w:tcMar>
            <w:shd w:fill="F4F4F3"/>
            <w:tcBorders>
              <w:bottom w:val="single" w:sz="4" w:color="D6E0E4"/>
            </w:tcBorders>
          </w:tcPr>
          <w:p>
            <w:pPr>
              <w:jc w:val="center"/>
            </w:pPr>
            <w:r>
              <w:rPr>
                <w:rFonts w:ascii="DejaVu Sans Mono" w:hAnsi="DejaVu Sans Mono" w:eastAsia="DejaVu Sans Mono"/>
                <w:b/>
                <w:color w:val="10171D"/>
                <w:sz w:val="12"/>
              </w:rPr>
              <w:t>#F4F4F3</w:t>
            </w:r>
          </w:p>
        </w:tc>
      </w:tr>
      <w:tr>
        <w:tc>
          <w:tcPr>
            <w:tcW w:type="dxa" w:w="2098"/>
            <w:tcMar>
              <w:top w:w="80" w:type="dxa"/>
              <w:start w:w="70" w:type="dxa"/>
              <w:bottom w:w="80" w:type="dxa"/>
              <w:end w:w="70" w:type="dxa"/>
            </w:tcMar>
            <w:shd w:fill="F6F8F9"/>
            <w:tcBorders>
              <w:bottom w:val="single" w:sz="4" w:color="D6E0E4"/>
            </w:tcBorders>
          </w:tcPr>
          <w:p>
            <w:r>
              <w:rPr>
                <w:rFonts w:ascii="Inter" w:hAnsi="Inter" w:eastAsia="Inter"/>
                <w:b/>
                <w:color w:val="091017"/>
                <w:sz w:val="14"/>
              </w:rPr>
              <w:t>Deep Ocean</w:t>
            </w:r>
          </w:p>
        </w:tc>
        <w:tc>
          <w:tcPr>
            <w:tcW w:type="dxa" w:w="3458"/>
            <w:tcMar>
              <w:top w:w="80" w:type="dxa"/>
              <w:start w:w="70" w:type="dxa"/>
              <w:bottom w:w="80" w:type="dxa"/>
              <w:end w:w="70" w:type="dxa"/>
            </w:tcMar>
            <w:shd w:fill="F6F8F9"/>
            <w:tcBorders>
              <w:bottom w:val="single" w:sz="4" w:color="D6E0E4"/>
            </w:tcBorders>
          </w:tcPr>
          <w:p>
            <w:r>
              <w:rPr>
                <w:rFonts w:ascii="Inter" w:hAnsi="Inter" w:eastAsia="Inter"/>
                <w:b w:val="0"/>
                <w:color w:val="10171D"/>
                <w:sz w:val="14"/>
              </w:rPr>
              <w:t>Technical calm with subtle teal intelligence.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39C6C1"/>
            <w:tcBorders>
              <w:bottom w:val="single" w:sz="4" w:color="D6E0E4"/>
            </w:tcBorders>
          </w:tcPr>
          <w:p>
            <w:pPr>
              <w:jc w:val="center"/>
            </w:pPr>
            <w:r>
              <w:rPr>
                <w:rFonts w:ascii="DejaVu Sans Mono" w:hAnsi="DejaVu Sans Mono" w:eastAsia="DejaVu Sans Mono"/>
                <w:b/>
                <w:color w:val="10171D"/>
                <w:sz w:val="12"/>
              </w:rPr>
              <w:t>#39C6C1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2A7FA3"/>
            <w:tcBorders>
              <w:bottom w:val="single" w:sz="4" w:color="D6E0E4"/>
            </w:tcBorders>
          </w:tcPr>
          <w:p>
            <w:pPr>
              <w:jc w:val="center"/>
            </w:pPr>
            <w:r>
              <w:rPr>
                <w:rFonts w:ascii="DejaVu Sans Mono" w:hAnsi="DejaVu Sans Mono" w:eastAsia="DejaVu Sans Mono"/>
                <w:b/>
                <w:color w:val="FFFFFF"/>
                <w:sz w:val="12"/>
              </w:rPr>
              <w:t>#2A7FA3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8DD8D1"/>
            <w:tcBorders>
              <w:bottom w:val="single" w:sz="4" w:color="D6E0E4"/>
            </w:tcBorders>
          </w:tcPr>
          <w:p>
            <w:pPr>
              <w:jc w:val="center"/>
            </w:pPr>
            <w:r>
              <w:rPr>
                <w:rFonts w:ascii="DejaVu Sans Mono" w:hAnsi="DejaVu Sans Mono" w:eastAsia="DejaVu Sans Mono"/>
                <w:b/>
                <w:color w:val="10171D"/>
                <w:sz w:val="12"/>
              </w:rPr>
              <w:t>#8DD8D1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041014"/>
            <w:tcBorders>
              <w:bottom w:val="single" w:sz="4" w:color="D6E0E4"/>
            </w:tcBorders>
          </w:tcPr>
          <w:p>
            <w:pPr>
              <w:jc w:val="center"/>
            </w:pPr>
            <w:r>
              <w:rPr>
                <w:rFonts w:ascii="DejaVu Sans Mono" w:hAnsi="DejaVu Sans Mono" w:eastAsia="DejaVu Sans Mono"/>
                <w:b/>
                <w:color w:val="FFFFFF"/>
                <w:sz w:val="12"/>
              </w:rPr>
              <w:t>#041014</w:t>
            </w:r>
          </w:p>
        </w:tc>
        <w:tc>
          <w:tcPr>
            <w:tcW w:type="dxa" w:w="907"/>
            <w:tcMar>
              <w:top w:w="80" w:type="dxa"/>
              <w:start w:w="70" w:type="dxa"/>
              <w:bottom w:w="80" w:type="dxa"/>
              <w:end w:w="70" w:type="dxa"/>
            </w:tcMar>
            <w:shd w:fill="EDF8F7"/>
            <w:tcBorders>
              <w:bottom w:val="single" w:sz="4" w:color="D6E0E4"/>
            </w:tcBorders>
          </w:tcPr>
          <w:p>
            <w:pPr>
              <w:jc w:val="center"/>
            </w:pPr>
            <w:r>
              <w:rPr>
                <w:rFonts w:ascii="DejaVu Sans Mono" w:hAnsi="DejaVu Sans Mono" w:eastAsia="DejaVu Sans Mono"/>
                <w:b/>
                <w:color w:val="10171D"/>
                <w:sz w:val="12"/>
              </w:rPr>
              <w:t>#EDF8F7</w:t>
            </w:r>
          </w:p>
        </w:tc>
      </w:tr>
      <w:tr>
        <w:tc>
          <w:tcPr>
            <w:tcW w:type="dxa" w:w="2098"/>
            <w:tcMar>
              <w:top w:w="80" w:type="dxa"/>
              <w:start w:w="70" w:type="dxa"/>
              <w:bottom w:w="80" w:type="dxa"/>
              <w:end w:w="70" w:type="dxa"/>
            </w:tcMar>
            <w:shd w:fill="FFFFFF"/>
            <w:tcBorders>
              <w:bottom w:val="single" w:sz="4" w:color="D6E0E4"/>
            </w:tcBorders>
          </w:tcPr>
          <w:p>
            <w:r>
              <w:rPr>
                <w:rFonts w:ascii="Inter" w:hAnsi="Inter" w:eastAsia="Inter"/>
                <w:b/>
                <w:color w:val="091017"/>
                <w:sz w:val="14"/>
              </w:rPr>
              <w:t>Containment Amber</w:t>
            </w:r>
          </w:p>
        </w:tc>
        <w:tc>
          <w:tcPr>
            <w:tcW w:type="dxa" w:w="3458"/>
            <w:tcMar>
              <w:top w:w="80" w:type="dxa"/>
              <w:start w:w="70" w:type="dxa"/>
              <w:bottom w:w="80" w:type="dxa"/>
              <w:end w:w="70" w:type="dxa"/>
            </w:tcMar>
            <w:shd w:fill="FFFFFF"/>
            <w:tcBorders>
              <w:bottom w:val="single" w:sz="4" w:color="D6E0E4"/>
            </w:tcBorders>
          </w:tcPr>
          <w:p>
            <w:r>
              <w:rPr>
                <w:rFonts w:ascii="Inter" w:hAnsi="Inter" w:eastAsia="Inter"/>
                <w:b w:val="0"/>
                <w:color w:val="10171D"/>
                <w:sz w:val="14"/>
              </w:rPr>
              <w:t>Risk analysis, unstable environments and active containment.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E8A33D"/>
            <w:tcBorders>
              <w:bottom w:val="single" w:sz="4" w:color="D6E0E4"/>
            </w:tcBorders>
          </w:tcPr>
          <w:p>
            <w:pPr>
              <w:jc w:val="center"/>
            </w:pPr>
            <w:r>
              <w:rPr>
                <w:rFonts w:ascii="DejaVu Sans Mono" w:hAnsi="DejaVu Sans Mono" w:eastAsia="DejaVu Sans Mono"/>
                <w:b/>
                <w:color w:val="10171D"/>
                <w:sz w:val="12"/>
              </w:rPr>
              <w:t>#E8A33D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B4661E"/>
            <w:tcBorders>
              <w:bottom w:val="single" w:sz="4" w:color="D6E0E4"/>
            </w:tcBorders>
          </w:tcPr>
          <w:p>
            <w:pPr>
              <w:jc w:val="center"/>
            </w:pPr>
            <w:r>
              <w:rPr>
                <w:rFonts w:ascii="DejaVu Sans Mono" w:hAnsi="DejaVu Sans Mono" w:eastAsia="DejaVu Sans Mono"/>
                <w:b/>
                <w:color w:val="FFFFFF"/>
                <w:sz w:val="12"/>
              </w:rPr>
              <w:t>#B4661E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55CFF5"/>
            <w:tcBorders>
              <w:bottom w:val="single" w:sz="4" w:color="D6E0E4"/>
            </w:tcBorders>
          </w:tcPr>
          <w:p>
            <w:pPr>
              <w:jc w:val="center"/>
            </w:pPr>
            <w:r>
              <w:rPr>
                <w:rFonts w:ascii="DejaVu Sans Mono" w:hAnsi="DejaVu Sans Mono" w:eastAsia="DejaVu Sans Mono"/>
                <w:b/>
                <w:color w:val="10171D"/>
                <w:sz w:val="12"/>
              </w:rPr>
              <w:t>#55CFF5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0D0A07"/>
            <w:tcBorders>
              <w:bottom w:val="single" w:sz="4" w:color="D6E0E4"/>
            </w:tcBorders>
          </w:tcPr>
          <w:p>
            <w:pPr>
              <w:jc w:val="center"/>
            </w:pPr>
            <w:r>
              <w:rPr>
                <w:rFonts w:ascii="DejaVu Sans Mono" w:hAnsi="DejaVu Sans Mono" w:eastAsia="DejaVu Sans Mono"/>
                <w:b/>
                <w:color w:val="FFFFFF"/>
                <w:sz w:val="12"/>
              </w:rPr>
              <w:t>#0D0A07</w:t>
            </w:r>
          </w:p>
        </w:tc>
        <w:tc>
          <w:tcPr>
            <w:tcW w:type="dxa" w:w="907"/>
            <w:tcMar>
              <w:top w:w="80" w:type="dxa"/>
              <w:start w:w="70" w:type="dxa"/>
              <w:bottom w:w="80" w:type="dxa"/>
              <w:end w:w="70" w:type="dxa"/>
            </w:tcMar>
            <w:shd w:fill="FBF5EA"/>
            <w:tcBorders>
              <w:bottom w:val="single" w:sz="4" w:color="D6E0E4"/>
            </w:tcBorders>
          </w:tcPr>
          <w:p>
            <w:pPr>
              <w:jc w:val="center"/>
            </w:pPr>
            <w:r>
              <w:rPr>
                <w:rFonts w:ascii="DejaVu Sans Mono" w:hAnsi="DejaVu Sans Mono" w:eastAsia="DejaVu Sans Mono"/>
                <w:b/>
                <w:color w:val="10171D"/>
                <w:sz w:val="12"/>
              </w:rPr>
              <w:t>#FBF5EA</w:t>
            </w:r>
          </w:p>
        </w:tc>
      </w:tr>
      <w:tr>
        <w:tc>
          <w:tcPr>
            <w:tcW w:type="dxa" w:w="2098"/>
            <w:tcMar>
              <w:top w:w="80" w:type="dxa"/>
              <w:start w:w="70" w:type="dxa"/>
              <w:bottom w:w="80" w:type="dxa"/>
              <w:end w:w="70" w:type="dxa"/>
            </w:tcMar>
            <w:shd w:fill="F6F8F9"/>
            <w:tcBorders>
              <w:bottom w:val="single" w:sz="4" w:color="D6E0E4"/>
            </w:tcBorders>
          </w:tcPr>
          <w:p>
            <w:r>
              <w:rPr>
                <w:rFonts w:ascii="Inter" w:hAnsi="Inter" w:eastAsia="Inter"/>
                <w:b/>
                <w:color w:val="091017"/>
                <w:sz w:val="14"/>
              </w:rPr>
              <w:t>Frost Glass</w:t>
            </w:r>
          </w:p>
        </w:tc>
        <w:tc>
          <w:tcPr>
            <w:tcW w:type="dxa" w:w="3458"/>
            <w:tcMar>
              <w:top w:w="80" w:type="dxa"/>
              <w:start w:w="70" w:type="dxa"/>
              <w:bottom w:w="80" w:type="dxa"/>
              <w:end w:w="70" w:type="dxa"/>
            </w:tcMar>
            <w:shd w:fill="F6F8F9"/>
            <w:tcBorders>
              <w:bottom w:val="single" w:sz="4" w:color="D6E0E4"/>
            </w:tcBorders>
          </w:tcPr>
          <w:p>
            <w:r>
              <w:rPr>
                <w:rFonts w:ascii="Inter" w:hAnsi="Inter" w:eastAsia="Inter"/>
                <w:b w:val="0"/>
                <w:color w:val="10171D"/>
                <w:sz w:val="14"/>
              </w:rPr>
              <w:t>Premium luminous lab interface with maximum depth.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7BB7FF"/>
            <w:tcBorders>
              <w:bottom w:val="single" w:sz="4" w:color="D6E0E4"/>
            </w:tcBorders>
          </w:tcPr>
          <w:p>
            <w:pPr>
              <w:jc w:val="center"/>
            </w:pPr>
            <w:r>
              <w:rPr>
                <w:rFonts w:ascii="DejaVu Sans Mono" w:hAnsi="DejaVu Sans Mono" w:eastAsia="DejaVu Sans Mono"/>
                <w:b/>
                <w:color w:val="10171D"/>
                <w:sz w:val="12"/>
              </w:rPr>
              <w:t>#7BB7FF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9F7AEA"/>
            <w:tcBorders>
              <w:bottom w:val="single" w:sz="4" w:color="D6E0E4"/>
            </w:tcBorders>
          </w:tcPr>
          <w:p>
            <w:pPr>
              <w:jc w:val="center"/>
            </w:pPr>
            <w:r>
              <w:rPr>
                <w:rFonts w:ascii="DejaVu Sans Mono" w:hAnsi="DejaVu Sans Mono" w:eastAsia="DejaVu Sans Mono"/>
                <w:b/>
                <w:color w:val="FFFFFF"/>
                <w:sz w:val="12"/>
              </w:rPr>
              <w:t>#9F7AEA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6EF2D6"/>
            <w:tcBorders>
              <w:bottom w:val="single" w:sz="4" w:color="D6E0E4"/>
            </w:tcBorders>
          </w:tcPr>
          <w:p>
            <w:pPr>
              <w:jc w:val="center"/>
            </w:pPr>
            <w:r>
              <w:rPr>
                <w:rFonts w:ascii="DejaVu Sans Mono" w:hAnsi="DejaVu Sans Mono" w:eastAsia="DejaVu Sans Mono"/>
                <w:b/>
                <w:color w:val="10171D"/>
                <w:sz w:val="12"/>
              </w:rPr>
              <w:t>#6EF2D6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0A1020"/>
            <w:tcBorders>
              <w:bottom w:val="single" w:sz="4" w:color="D6E0E4"/>
            </w:tcBorders>
          </w:tcPr>
          <w:p>
            <w:pPr>
              <w:jc w:val="center"/>
            </w:pPr>
            <w:r>
              <w:rPr>
                <w:rFonts w:ascii="DejaVu Sans Mono" w:hAnsi="DejaVu Sans Mono" w:eastAsia="DejaVu Sans Mono"/>
                <w:b/>
                <w:color w:val="FFFFFF"/>
                <w:sz w:val="12"/>
              </w:rPr>
              <w:t>#0A1020</w:t>
            </w:r>
          </w:p>
        </w:tc>
        <w:tc>
          <w:tcPr>
            <w:tcW w:type="dxa" w:w="907"/>
            <w:tcMar>
              <w:top w:w="80" w:type="dxa"/>
              <w:start w:w="70" w:type="dxa"/>
              <w:bottom w:w="80" w:type="dxa"/>
              <w:end w:w="70" w:type="dxa"/>
            </w:tcMar>
            <w:shd w:fill="F4F7FC"/>
            <w:tcBorders>
              <w:bottom w:val="single" w:sz="4" w:color="D6E0E4"/>
            </w:tcBorders>
          </w:tcPr>
          <w:p>
            <w:pPr>
              <w:jc w:val="center"/>
            </w:pPr>
            <w:r>
              <w:rPr>
                <w:rFonts w:ascii="DejaVu Sans Mono" w:hAnsi="DejaVu Sans Mono" w:eastAsia="DejaVu Sans Mono"/>
                <w:b/>
                <w:color w:val="10171D"/>
                <w:sz w:val="12"/>
              </w:rPr>
              <w:t>#F4F7FC</w:t>
            </w:r>
          </w:p>
        </w:tc>
      </w:tr>
      <w:tr>
        <w:tc>
          <w:tcPr>
            <w:tcW w:type="dxa" w:w="2098"/>
            <w:tcMar>
              <w:top w:w="80" w:type="dxa"/>
              <w:start w:w="70" w:type="dxa"/>
              <w:bottom w:w="80" w:type="dxa"/>
              <w:end w:w="70" w:type="dxa"/>
            </w:tcMar>
            <w:shd w:fill="FFFFFF"/>
            <w:tcBorders>
              <w:bottom w:val="single" w:sz="4" w:color="D6E0E4"/>
            </w:tcBorders>
          </w:tcPr>
          <w:p>
            <w:r>
              <w:rPr>
                <w:rFonts w:ascii="Inter" w:hAnsi="Inter" w:eastAsia="Inter"/>
                <w:b/>
                <w:color w:val="091017"/>
                <w:sz w:val="14"/>
              </w:rPr>
              <w:t>Daylight Evidence</w:t>
            </w:r>
          </w:p>
        </w:tc>
        <w:tc>
          <w:tcPr>
            <w:tcW w:type="dxa" w:w="3458"/>
            <w:tcMar>
              <w:top w:w="80" w:type="dxa"/>
              <w:start w:w="70" w:type="dxa"/>
              <w:bottom w:w="80" w:type="dxa"/>
              <w:end w:w="70" w:type="dxa"/>
            </w:tcMar>
            <w:shd w:fill="FFFFFF"/>
            <w:tcBorders>
              <w:bottom w:val="single" w:sz="4" w:color="D6E0E4"/>
            </w:tcBorders>
          </w:tcPr>
          <w:p>
            <w:r>
              <w:rPr>
                <w:rFonts w:ascii="Inter" w:hAnsi="Inter" w:eastAsia="Inter"/>
                <w:b w:val="0"/>
                <w:color w:val="10171D"/>
                <w:sz w:val="14"/>
              </w:rPr>
              <w:t>High-readability light-first forensic and reporting environment.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1F7A8C"/>
            <w:tcBorders>
              <w:bottom w:val="single" w:sz="4" w:color="D6E0E4"/>
            </w:tcBorders>
          </w:tcPr>
          <w:p>
            <w:pPr>
              <w:jc w:val="center"/>
            </w:pPr>
            <w:r>
              <w:rPr>
                <w:rFonts w:ascii="DejaVu Sans Mono" w:hAnsi="DejaVu Sans Mono" w:eastAsia="DejaVu Sans Mono"/>
                <w:b/>
                <w:color w:val="FFFFFF"/>
                <w:sz w:val="12"/>
              </w:rPr>
              <w:t>#1F7A8C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3F6F8F"/>
            <w:tcBorders>
              <w:bottom w:val="single" w:sz="4" w:color="D6E0E4"/>
            </w:tcBorders>
          </w:tcPr>
          <w:p>
            <w:pPr>
              <w:jc w:val="center"/>
            </w:pPr>
            <w:r>
              <w:rPr>
                <w:rFonts w:ascii="DejaVu Sans Mono" w:hAnsi="DejaVu Sans Mono" w:eastAsia="DejaVu Sans Mono"/>
                <w:b/>
                <w:color w:val="FFFFFF"/>
                <w:sz w:val="12"/>
              </w:rPr>
              <w:t>#3F6F8F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7559C7"/>
            <w:tcBorders>
              <w:bottom w:val="single" w:sz="4" w:color="D6E0E4"/>
            </w:tcBorders>
          </w:tcPr>
          <w:p>
            <w:pPr>
              <w:jc w:val="center"/>
            </w:pPr>
            <w:r>
              <w:rPr>
                <w:rFonts w:ascii="DejaVu Sans Mono" w:hAnsi="DejaVu Sans Mono" w:eastAsia="DejaVu Sans Mono"/>
                <w:b/>
                <w:color w:val="FFFFFF"/>
                <w:sz w:val="12"/>
              </w:rPr>
              <w:t>#7559C7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081015"/>
            <w:tcBorders>
              <w:bottom w:val="single" w:sz="4" w:color="D6E0E4"/>
            </w:tcBorders>
          </w:tcPr>
          <w:p>
            <w:pPr>
              <w:jc w:val="center"/>
            </w:pPr>
            <w:r>
              <w:rPr>
                <w:rFonts w:ascii="DejaVu Sans Mono" w:hAnsi="DejaVu Sans Mono" w:eastAsia="DejaVu Sans Mono"/>
                <w:b/>
                <w:color w:val="FFFFFF"/>
                <w:sz w:val="12"/>
              </w:rPr>
              <w:t>#081015</w:t>
            </w:r>
          </w:p>
        </w:tc>
        <w:tc>
          <w:tcPr>
            <w:tcW w:type="dxa" w:w="907"/>
            <w:tcMar>
              <w:top w:w="80" w:type="dxa"/>
              <w:start w:w="70" w:type="dxa"/>
              <w:bottom w:w="80" w:type="dxa"/>
              <w:end w:w="70" w:type="dxa"/>
            </w:tcMar>
            <w:shd w:fill="F7FAFB"/>
            <w:tcBorders>
              <w:bottom w:val="single" w:sz="4" w:color="D6E0E4"/>
            </w:tcBorders>
          </w:tcPr>
          <w:p>
            <w:pPr>
              <w:jc w:val="center"/>
            </w:pPr>
            <w:r>
              <w:rPr>
                <w:rFonts w:ascii="DejaVu Sans Mono" w:hAnsi="DejaVu Sans Mono" w:eastAsia="DejaVu Sans Mono"/>
                <w:b/>
                <w:color w:val="10171D"/>
                <w:sz w:val="12"/>
              </w:rPr>
              <w:t>#F7FAFB</w:t>
            </w:r>
          </w:p>
        </w:tc>
      </w:tr>
    </w:tbl>
    <w:p>
      <w:pPr>
        <w:spacing w:after="0"/>
      </w:pPr>
    </w:p>
    <w:p>
      <w:pPr>
        <w:pStyle w:val="Heading2"/>
      </w:pPr>
      <w:r>
        <w:t>Theme profiles: operational intent and default finish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154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4"/>
              </w:rPr>
              <w:t>Theme</w:t>
            </w:r>
          </w:p>
        </w:tc>
        <w:tc>
          <w:tcPr>
            <w:tcW w:type="dxa" w:w="2835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4"/>
              </w:rPr>
              <w:t>Best suited to</w:t>
            </w:r>
          </w:p>
        </w:tc>
        <w:tc>
          <w:tcPr>
            <w:tcW w:type="dxa" w:w="2778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4"/>
              </w:rPr>
              <w:t>Default finish</w:t>
            </w:r>
          </w:p>
        </w:tc>
        <w:tc>
          <w:tcPr>
            <w:tcW w:type="dxa" w:w="2098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4"/>
              </w:rPr>
              <w:t>Surface anchors</w:t>
            </w:r>
          </w:p>
        </w:tc>
      </w:tr>
      <w:tr>
        <w:tc>
          <w:tcPr>
            <w:tcW w:type="dxa" w:w="2154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Spectral Black</w:t>
            </w:r>
          </w:p>
        </w:tc>
        <w:tc>
          <w:tcPr>
            <w:tcW w:type="dxa" w:w="2835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Daily operation, State Map, forensic runs</w:t>
            </w:r>
          </w:p>
        </w:tc>
        <w:tc>
          <w:tcPr>
            <w:tcW w:type="dxa" w:w="2778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Glass on • gradient subtle • glow restrained</w:t>
            </w:r>
          </w:p>
        </w:tc>
        <w:tc>
          <w:tcPr>
            <w:tcW w:type="dxa" w:w="2098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Dark: #05070A / #091017 / #101A22</w:t>
              <w:br/>
              <w:t>Light: #EEF6F5 / #F8FCFB / #DCEBE8</w:t>
              <w:br/>
              <w:t>Opacity: 82%</w:t>
            </w:r>
          </w:p>
        </w:tc>
      </w:tr>
      <w:tr>
        <w:tc>
          <w:tcPr>
            <w:tcW w:type="dxa" w:w="2154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Blacksite</w:t>
            </w:r>
          </w:p>
        </w:tc>
        <w:tc>
          <w:tcPr>
            <w:tcW w:type="dxa" w:w="2835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Clearance, controlled environments, client demos</w:t>
            </w:r>
          </w:p>
        </w:tc>
        <w:tc>
          <w:tcPr>
            <w:tcW w:type="dxa" w:w="2778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Glass low • flat surfaces • edge glow only</w:t>
            </w:r>
          </w:p>
        </w:tc>
        <w:tc>
          <w:tcPr>
            <w:tcW w:type="dxa" w:w="2098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Dark: #040506 / #0B0E11 / #14191D</w:t>
              <w:br/>
              <w:t>Light: #F1F3F4 / #FFFFFF / #E2E6E8</w:t>
              <w:br/>
              <w:t>Opacity: 88%</w:t>
            </w:r>
          </w:p>
        </w:tc>
      </w:tr>
      <w:tr>
        <w:tc>
          <w:tcPr>
            <w:tcW w:type="dxa" w:w="2154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Ghostwire</w:t>
            </w:r>
          </w:p>
        </w:tc>
        <w:tc>
          <w:tcPr>
            <w:tcW w:type="dxa" w:w="2835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Live sweeps, network/API inspection</w:t>
            </w:r>
          </w:p>
        </w:tc>
        <w:tc>
          <w:tcPr>
            <w:tcW w:type="dxa" w:w="2778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Gradient on • glass medium • scan glow</w:t>
            </w:r>
          </w:p>
        </w:tc>
        <w:tc>
          <w:tcPr>
            <w:tcW w:type="dxa" w:w="2098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Dark: #030811 / #071523 / #0E2638</w:t>
              <w:br/>
              <w:t>Light: #EDF8FC / #FFFFFF / #D6EEF7</w:t>
              <w:br/>
              <w:t>Opacity: 78%</w:t>
            </w:r>
          </w:p>
        </w:tc>
      </w:tr>
      <w:tr>
        <w:tc>
          <w:tcPr>
            <w:tcW w:type="dxa" w:w="2154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Phantom Violet</w:t>
            </w:r>
          </w:p>
        </w:tc>
        <w:tc>
          <w:tcPr>
            <w:tcW w:type="dxa" w:w="2835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Counterfactual Lab, AI analysis, Phantom faults</w:t>
            </w:r>
          </w:p>
        </w:tc>
        <w:tc>
          <w:tcPr>
            <w:tcW w:type="dxa" w:w="2778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Glass on • violet wash • low bloom</w:t>
            </w:r>
          </w:p>
        </w:tc>
        <w:tc>
          <w:tcPr>
            <w:tcW w:type="dxa" w:w="2098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Dark: #080612 / #141027 / #211A3A</w:t>
              <w:br/>
              <w:t>Light: #F5F1FF / #FFFFFF / #E8DFFF</w:t>
              <w:br/>
              <w:t>Opacity: 80%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154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4"/>
              </w:rPr>
              <w:t>Theme</w:t>
            </w:r>
          </w:p>
        </w:tc>
        <w:tc>
          <w:tcPr>
            <w:tcW w:type="dxa" w:w="2835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4"/>
              </w:rPr>
              <w:t>Best suited to</w:t>
            </w:r>
          </w:p>
        </w:tc>
        <w:tc>
          <w:tcPr>
            <w:tcW w:type="dxa" w:w="2778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4"/>
              </w:rPr>
              <w:t>Default finish</w:t>
            </w:r>
          </w:p>
        </w:tc>
        <w:tc>
          <w:tcPr>
            <w:tcW w:type="dxa" w:w="2098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4"/>
              </w:rPr>
              <w:t>Surface anchors</w:t>
            </w:r>
          </w:p>
        </w:tc>
      </w:tr>
      <w:tr>
        <w:tc>
          <w:tcPr>
            <w:tcW w:type="dxa" w:w="2154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Operator Green</w:t>
            </w:r>
          </w:p>
        </w:tc>
        <w:tc>
          <w:tcPr>
            <w:tcW w:type="dxa" w:w="2835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Black-box logs, queues, local test operation</w:t>
            </w:r>
          </w:p>
        </w:tc>
        <w:tc>
          <w:tcPr>
            <w:tcW w:type="dxa" w:w="2778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Flat/low gradient • glow minimal</w:t>
            </w:r>
          </w:p>
        </w:tc>
        <w:tc>
          <w:tcPr>
            <w:tcW w:type="dxa" w:w="2098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Dark: #060A08 / #0D1511 / #16251D</w:t>
              <w:br/>
              <w:t>Light: #F0F8F3 / #FFFFFF / #DDEEE4</w:t>
              <w:br/>
              <w:t>Opacity: 84%</w:t>
            </w:r>
          </w:p>
        </w:tc>
      </w:tr>
      <w:tr>
        <w:tc>
          <w:tcPr>
            <w:tcW w:type="dxa" w:w="2154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Institutional Gold</w:t>
            </w:r>
          </w:p>
        </w:tc>
        <w:tc>
          <w:tcPr>
            <w:tcW w:type="dxa" w:w="2835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Reports, approvals, certificates, executive review</w:t>
            </w:r>
          </w:p>
        </w:tc>
        <w:tc>
          <w:tcPr>
            <w:tcW w:type="dxa" w:w="2778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Glass low • gold edge • no loud bloom</w:t>
            </w:r>
          </w:p>
        </w:tc>
        <w:tc>
          <w:tcPr>
            <w:tcW w:type="dxa" w:w="2098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Dark: #0B0C0F / #16171A / #202227</w:t>
              <w:br/>
              <w:t>Light: #F7F4EE / #FFFDF8 / #E9E1D4</w:t>
              <w:br/>
              <w:t>Opacity: 90%</w:t>
            </w:r>
          </w:p>
        </w:tc>
      </w:tr>
      <w:tr>
        <w:tc>
          <w:tcPr>
            <w:tcW w:type="dxa" w:w="2154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Cold Archive</w:t>
            </w:r>
          </w:p>
        </w:tc>
        <w:tc>
          <w:tcPr>
            <w:tcW w:type="dxa" w:w="2835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Evidence Vault, report inspection, audit</w:t>
            </w:r>
          </w:p>
        </w:tc>
        <w:tc>
          <w:tcPr>
            <w:tcW w:type="dxa" w:w="2778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Flat • no gradient default • shadow only</w:t>
            </w:r>
          </w:p>
        </w:tc>
        <w:tc>
          <w:tcPr>
            <w:tcW w:type="dxa" w:w="2098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Dark: #071018 / #0E1C27 / #172B39</w:t>
              <w:br/>
              <w:t>Light: #F2F7FA / #FFFFFF / #DFEAF1</w:t>
              <w:br/>
              <w:t>Opacity: 92%</w:t>
            </w:r>
          </w:p>
        </w:tc>
      </w:tr>
      <w:tr>
        <w:tc>
          <w:tcPr>
            <w:tcW w:type="dxa" w:w="2154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Redacted Mono</w:t>
            </w:r>
          </w:p>
        </w:tc>
        <w:tc>
          <w:tcPr>
            <w:tcW w:type="dxa" w:w="2835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Sensitive reviews, redaction, accessibility</w:t>
            </w:r>
          </w:p>
        </w:tc>
        <w:tc>
          <w:tcPr>
            <w:tcW w:type="dxa" w:w="2778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Flat • glass off • accent used sparingly</w:t>
            </w:r>
          </w:p>
        </w:tc>
        <w:tc>
          <w:tcPr>
            <w:tcW w:type="dxa" w:w="2098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Dark: #050505 / #101112 / #1B1D1F</w:t>
              <w:br/>
              <w:t>Light: #F4F4F3 / #FFFFFF / #E1E2E0</w:t>
              <w:br/>
              <w:t>Opacity: 94%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154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4"/>
              </w:rPr>
              <w:t>Theme</w:t>
            </w:r>
          </w:p>
        </w:tc>
        <w:tc>
          <w:tcPr>
            <w:tcW w:type="dxa" w:w="2835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4"/>
              </w:rPr>
              <w:t>Best suited to</w:t>
            </w:r>
          </w:p>
        </w:tc>
        <w:tc>
          <w:tcPr>
            <w:tcW w:type="dxa" w:w="2778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4"/>
              </w:rPr>
              <w:t>Default finish</w:t>
            </w:r>
          </w:p>
        </w:tc>
        <w:tc>
          <w:tcPr>
            <w:tcW w:type="dxa" w:w="2098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4"/>
              </w:rPr>
              <w:t>Surface anchors</w:t>
            </w:r>
          </w:p>
        </w:tc>
      </w:tr>
      <w:tr>
        <w:tc>
          <w:tcPr>
            <w:tcW w:type="dxa" w:w="2154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Deep Ocean</w:t>
            </w:r>
          </w:p>
        </w:tc>
        <w:tc>
          <w:tcPr>
            <w:tcW w:type="dxa" w:w="2835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Multi-service architecture and data flows</w:t>
            </w:r>
          </w:p>
        </w:tc>
        <w:tc>
          <w:tcPr>
            <w:tcW w:type="dxa" w:w="2778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Glass medium • depth gradient • soft glow</w:t>
            </w:r>
          </w:p>
        </w:tc>
        <w:tc>
          <w:tcPr>
            <w:tcW w:type="dxa" w:w="2098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Dark: #041014 / #09232A / #103A43</w:t>
              <w:br/>
              <w:t>Light: #EDF8F7 / #FFFFFF / #D6EDEB</w:t>
              <w:br/>
              <w:t>Opacity: 83%</w:t>
            </w:r>
          </w:p>
        </w:tc>
      </w:tr>
      <w:tr>
        <w:tc>
          <w:tcPr>
            <w:tcW w:type="dxa" w:w="2154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Containment Amber</w:t>
            </w:r>
          </w:p>
        </w:tc>
        <w:tc>
          <w:tcPr>
            <w:tcW w:type="dxa" w:w="2835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Risk Control, destructive tests, incident modes</w:t>
            </w:r>
          </w:p>
        </w:tc>
        <w:tc>
          <w:tcPr>
            <w:tcW w:type="dxa" w:w="2778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Flat • warning edge • pulse only on events</w:t>
            </w:r>
          </w:p>
        </w:tc>
        <w:tc>
          <w:tcPr>
            <w:tcW w:type="dxa" w:w="2098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Dark: #0D0A07 / #181310 / #231A15</w:t>
              <w:br/>
              <w:t>Light: #FBF5EA / #FFFFFF / #F1DFC1</w:t>
              <w:br/>
              <w:t>Opacity: 88%</w:t>
            </w:r>
          </w:p>
        </w:tc>
      </w:tr>
      <w:tr>
        <w:tc>
          <w:tcPr>
            <w:tcW w:type="dxa" w:w="2154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Frost Glass</w:t>
            </w:r>
          </w:p>
        </w:tc>
        <w:tc>
          <w:tcPr>
            <w:tcW w:type="dxa" w:w="2835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Presentation, exploration, multi-monitor labs</w:t>
            </w:r>
          </w:p>
        </w:tc>
        <w:tc>
          <w:tcPr>
            <w:tcW w:type="dxa" w:w="2778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Glass high • gradient on • blur 18–24 • glow low</w:t>
            </w:r>
          </w:p>
        </w:tc>
        <w:tc>
          <w:tcPr>
            <w:tcW w:type="dxa" w:w="2098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Dark: #0A1020 / #121C31 / #1E2D49</w:t>
              <w:br/>
              <w:t>Light: #F4F7FC / #FFFFFF / #E2EAF7</w:t>
              <w:br/>
              <w:t>Opacity: 72%</w:t>
            </w:r>
          </w:p>
        </w:tc>
      </w:tr>
      <w:tr>
        <w:tc>
          <w:tcPr>
            <w:tcW w:type="dxa" w:w="2154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Daylight Evidence</w:t>
            </w:r>
          </w:p>
        </w:tc>
        <w:tc>
          <w:tcPr>
            <w:tcW w:type="dxa" w:w="2835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Day work, print review, client-facing analysis</w:t>
            </w:r>
          </w:p>
        </w:tc>
        <w:tc>
          <w:tcPr>
            <w:tcW w:type="dxa" w:w="2778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Light flat default • glass off • crisp borders</w:t>
            </w:r>
          </w:p>
        </w:tc>
        <w:tc>
          <w:tcPr>
            <w:tcW w:type="dxa" w:w="2098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Dark: #081015 / #111B20 / #18262C</w:t>
              <w:br/>
              <w:t>Light: #F7FAFB / #FFFFFF / #E8EFF2</w:t>
              <w:br/>
              <w:t>Opacity: 100%</w:t>
            </w:r>
          </w:p>
        </w:tc>
      </w:tr>
    </w:tbl>
    <w:p>
      <w:pPr>
        <w:spacing w:after="0"/>
      </w:pPr>
    </w:p>
    <w:p>
      <w:pPr>
        <w:pStyle w:val="Heading2"/>
      </w:pPr>
      <w:r>
        <w:t>Global semantic colours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608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5"/>
              </w:rPr>
              <w:t>Semantic role</w:t>
            </w:r>
          </w:p>
        </w:tc>
        <w:tc>
          <w:tcPr>
            <w:tcW w:type="dxa" w:w="1587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5"/>
              </w:rPr>
              <w:t>Anchor</w:t>
            </w:r>
          </w:p>
        </w:tc>
        <w:tc>
          <w:tcPr>
            <w:tcW w:type="dxa" w:w="5669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5"/>
              </w:rPr>
              <w:t>Meaning and usage</w:t>
            </w:r>
          </w:p>
        </w:tc>
      </w:tr>
      <w:tr>
        <w:tc>
          <w:tcPr>
            <w:tcW w:type="dxa" w:w="2608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Ghozt active / traversal</w:t>
            </w:r>
          </w:p>
        </w:tc>
        <w:tc>
          <w:tcPr>
            <w:tcW w:type="dxa" w:w="1587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#6EF2D6</w:t>
            </w:r>
          </w:p>
        </w:tc>
        <w:tc>
          <w:tcPr>
            <w:tcW w:type="dxa" w:w="5669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Current agent path, observation, connected state and primary live activity.</w:t>
            </w:r>
          </w:p>
        </w:tc>
      </w:tr>
      <w:tr>
        <w:tc>
          <w:tcPr>
            <w:tcW w:type="dxa" w:w="2608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Live telemetry / information</w:t>
            </w:r>
          </w:p>
        </w:tc>
        <w:tc>
          <w:tcPr>
            <w:tcW w:type="dxa" w:w="1587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#55CFF5</w:t>
            </w:r>
          </w:p>
        </w:tc>
        <w:tc>
          <w:tcPr>
            <w:tcW w:type="dxa" w:w="5669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Network, API, service and streaming information.</w:t>
            </w:r>
          </w:p>
        </w:tc>
      </w:tr>
      <w:tr>
        <w:tc>
          <w:tcPr>
            <w:tcW w:type="dxa" w:w="2608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AI / counterfactual</w:t>
            </w:r>
          </w:p>
        </w:tc>
        <w:tc>
          <w:tcPr>
            <w:tcW w:type="dxa" w:w="1587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#8B79FF</w:t>
            </w:r>
          </w:p>
        </w:tc>
        <w:tc>
          <w:tcPr>
            <w:tcW w:type="dxa" w:w="5669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Hypotheses, simulated branches, model reasoning and Phantom states.</w:t>
            </w:r>
          </w:p>
        </w:tc>
      </w:tr>
      <w:tr>
        <w:tc>
          <w:tcPr>
            <w:tcW w:type="dxa" w:w="2608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Capital-Iz authority</w:t>
            </w:r>
          </w:p>
        </w:tc>
        <w:tc>
          <w:tcPr>
            <w:tcW w:type="dxa" w:w="1587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#CDA661</w:t>
            </w:r>
          </w:p>
        </w:tc>
        <w:tc>
          <w:tcPr>
            <w:tcW w:type="dxa" w:w="5669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Approval, evidence seal, trusted verdict, release clearance and formal certification.</w:t>
            </w:r>
          </w:p>
        </w:tc>
      </w:tr>
      <w:tr>
        <w:tc>
          <w:tcPr>
            <w:tcW w:type="dxa" w:w="2608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Verified</w:t>
            </w:r>
          </w:p>
        </w:tc>
        <w:tc>
          <w:tcPr>
            <w:tcW w:type="dxa" w:w="1587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#42C98A</w:t>
            </w:r>
          </w:p>
        </w:tc>
        <w:tc>
          <w:tcPr>
            <w:tcW w:type="dxa" w:w="5669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Expected behaviour proven with evidence.</w:t>
            </w:r>
          </w:p>
        </w:tc>
      </w:tr>
      <w:tr>
        <w:tc>
          <w:tcPr>
            <w:tcW w:type="dxa" w:w="2608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Warning / review</w:t>
            </w:r>
          </w:p>
        </w:tc>
        <w:tc>
          <w:tcPr>
            <w:tcW w:type="dxa" w:w="1587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#FFB44A</w:t>
            </w:r>
          </w:p>
        </w:tc>
        <w:tc>
          <w:tcPr>
            <w:tcW w:type="dxa" w:w="5669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Uncertainty, blocked scope, degraded operation or review required.</w:t>
            </w:r>
          </w:p>
        </w:tc>
      </w:tr>
      <w:tr>
        <w:tc>
          <w:tcPr>
            <w:tcW w:type="dxa" w:w="2608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Fault</w:t>
            </w:r>
          </w:p>
        </w:tc>
        <w:tc>
          <w:tcPr>
            <w:tcW w:type="dxa" w:w="1587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#FF5968</w:t>
            </w:r>
          </w:p>
        </w:tc>
        <w:tc>
          <w:tcPr>
            <w:tcW w:type="dxa" w:w="5669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Confirmed failure under a declared condition.</w:t>
            </w:r>
          </w:p>
        </w:tc>
      </w:tr>
      <w:tr>
        <w:tc>
          <w:tcPr>
            <w:tcW w:type="dxa" w:w="2608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Critical / containment</w:t>
            </w:r>
          </w:p>
        </w:tc>
        <w:tc>
          <w:tcPr>
            <w:tcW w:type="dxa" w:w="1587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#D92F4C</w:t>
            </w:r>
          </w:p>
        </w:tc>
        <w:tc>
          <w:tcPr>
            <w:tcW w:type="dxa" w:w="5669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Immediate risk, destructive failure or containment action.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7"/>
        <w:gridCol w:w="9638"/>
      </w:tblGrid>
      <w:tr>
        <w:tc>
          <w:tcPr>
            <w:tcW w:type="dxa" w:w="4933"/>
            <w:shd w:fill="FF5968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33"/>
            <w:shd w:fill="FDE9EC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69" w:lineRule="auto"/>
            </w:pPr>
            <w:r>
              <w:rPr>
                <w:rFonts w:ascii="Inter Display" w:hAnsi="Inter Display" w:eastAsia="Inter Display"/>
                <w:b/>
                <w:color w:val="6A1F2A"/>
                <w:sz w:val="16"/>
              </w:rPr>
              <w:t>SEMANTIC STABILITY</w:t>
              <w:br/>
            </w:r>
            <w:r>
              <w:rPr>
                <w:rFonts w:ascii="Inter" w:hAnsi="Inter" w:eastAsia="Inter"/>
                <w:color w:val="6A1F2A"/>
                <w:sz w:val="18"/>
              </w:rPr>
              <w:t>A palette may tint ordinary surfaces and actions, but it must never make a fault look verified, a simulation look observed, or an authority decision look like ordinary selection.</w:t>
            </w:r>
          </w:p>
        </w:tc>
      </w:tr>
    </w:tbl>
    <w:p>
      <w:pPr>
        <w:spacing w:after="0"/>
      </w:pPr>
    </w:p>
    <w:p>
      <w:pPr>
        <w:pStyle w:val="GhoztEyebrow"/>
      </w:pPr>
      <w:r>
        <w:t>04 • SYSTEM PRIMITIVES</w:t>
      </w:r>
    </w:p>
    <w:p>
      <w:pPr>
        <w:pStyle w:val="Heading1"/>
        <w:pBdr>
          <w:bottom w:val="single" w:sz="8" w:space="1" w:color="BFD0D6"/>
        </w:pBdr>
      </w:pPr>
      <w:r>
        <w:t>Design foundations and tokens</w:t>
      </w:r>
    </w:p>
    <w:p>
      <w:pPr>
        <w:pStyle w:val="Heading2"/>
      </w:pPr>
      <w:r>
        <w:t>Geometry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891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5"/>
              </w:rPr>
              <w:t>Token family</w:t>
            </w:r>
          </w:p>
        </w:tc>
        <w:tc>
          <w:tcPr>
            <w:tcW w:type="dxa" w:w="2494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5"/>
              </w:rPr>
              <w:t>Recommended values</w:t>
            </w:r>
          </w:p>
        </w:tc>
        <w:tc>
          <w:tcPr>
            <w:tcW w:type="dxa" w:w="4479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5"/>
              </w:rPr>
              <w:t>Use</w:t>
            </w:r>
          </w:p>
        </w:tc>
      </w:tr>
      <w:tr>
        <w:tc>
          <w:tcPr>
            <w:tcW w:type="dxa" w:w="2891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Outer shell radius</w:t>
            </w:r>
          </w:p>
        </w:tc>
        <w:tc>
          <w:tcPr>
            <w:tcW w:type="dxa" w:w="2494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20–24 px</w:t>
            </w:r>
          </w:p>
        </w:tc>
        <w:tc>
          <w:tcPr>
            <w:tcW w:type="dxa" w:w="4479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Main application window, floating workspaces and principal overlays.</w:t>
            </w:r>
          </w:p>
        </w:tc>
      </w:tr>
      <w:tr>
        <w:tc>
          <w:tcPr>
            <w:tcW w:type="dxa" w:w="2891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Primary panel radius</w:t>
            </w:r>
          </w:p>
        </w:tc>
        <w:tc>
          <w:tcPr>
            <w:tcW w:type="dxa" w:w="2494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16–18 px</w:t>
            </w:r>
          </w:p>
        </w:tc>
        <w:tc>
          <w:tcPr>
            <w:tcW w:type="dxa" w:w="4479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Navigation rail, central canvases, inspectors and drawers.</w:t>
            </w:r>
          </w:p>
        </w:tc>
      </w:tr>
      <w:tr>
        <w:tc>
          <w:tcPr>
            <w:tcW w:type="dxa" w:w="2891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Evidence / data card radius</w:t>
            </w:r>
          </w:p>
        </w:tc>
        <w:tc>
          <w:tcPr>
            <w:tcW w:type="dxa" w:w="2494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12–16 px</w:t>
            </w:r>
          </w:p>
        </w:tc>
        <w:tc>
          <w:tcPr>
            <w:tcW w:type="dxa" w:w="4479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Findings, events, hypotheses, test cases and report blocks.</w:t>
            </w:r>
          </w:p>
        </w:tc>
      </w:tr>
      <w:tr>
        <w:tc>
          <w:tcPr>
            <w:tcW w:type="dxa" w:w="2891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Compact control radius</w:t>
            </w:r>
          </w:p>
        </w:tc>
        <w:tc>
          <w:tcPr>
            <w:tcW w:type="dxa" w:w="2494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8–12 px</w:t>
            </w:r>
          </w:p>
        </w:tc>
        <w:tc>
          <w:tcPr>
            <w:tcW w:type="dxa" w:w="4479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Inputs, chips, segmented controls, icon buttons and small tiles.</w:t>
            </w:r>
          </w:p>
        </w:tc>
      </w:tr>
      <w:tr>
        <w:tc>
          <w:tcPr>
            <w:tcW w:type="dxa" w:w="2891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Pill radius</w:t>
            </w:r>
          </w:p>
        </w:tc>
        <w:tc>
          <w:tcPr>
            <w:tcW w:type="dxa" w:w="2494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50% of height</w:t>
            </w:r>
          </w:p>
        </w:tc>
        <w:tc>
          <w:tcPr>
            <w:tcW w:type="dxa" w:w="4479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Status chips, filters and binary state controls only.</w:t>
            </w:r>
          </w:p>
        </w:tc>
      </w:tr>
      <w:tr>
        <w:tc>
          <w:tcPr>
            <w:tcW w:type="dxa" w:w="2891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Chamfer / clipped corner</w:t>
            </w:r>
          </w:p>
        </w:tc>
        <w:tc>
          <w:tcPr>
            <w:tcW w:type="dxa" w:w="2494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4–10 px on one corner</w:t>
            </w:r>
          </w:p>
        </w:tc>
        <w:tc>
          <w:tcPr>
            <w:tcW w:type="dxa" w:w="4479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Restricted actions, evidence seals and key forensic surfaces; use sparingly.</w:t>
            </w:r>
          </w:p>
        </w:tc>
      </w:tr>
      <w:tr>
        <w:tc>
          <w:tcPr>
            <w:tcW w:type="dxa" w:w="2891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Border weight</w:t>
            </w:r>
          </w:p>
        </w:tc>
        <w:tc>
          <w:tcPr>
            <w:tcW w:type="dxa" w:w="2494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1 px standard; 2 px selected/risk; 3 px clearance seal</w:t>
            </w:r>
          </w:p>
        </w:tc>
        <w:tc>
          <w:tcPr>
            <w:tcW w:type="dxa" w:w="4479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Communicates structure and state without heavy chrome.</w:t>
            </w:r>
          </w:p>
        </w:tc>
      </w:tr>
    </w:tbl>
    <w:p>
      <w:pPr>
        <w:spacing w:after="0"/>
      </w:pPr>
    </w:p>
    <w:p>
      <w:pPr>
        <w:pStyle w:val="Heading2"/>
      </w:pPr>
      <w:r>
        <w:t>Spacing and density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417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6"/>
              </w:rPr>
              <w:t>Scale</w:t>
            </w:r>
          </w:p>
        </w:tc>
        <w:tc>
          <w:tcPr>
            <w:tcW w:type="dxa" w:w="1814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6"/>
              </w:rPr>
              <w:t>Value</w:t>
            </w:r>
          </w:p>
        </w:tc>
        <w:tc>
          <w:tcPr>
            <w:tcW w:type="dxa" w:w="6633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6"/>
              </w:rPr>
              <w:t>Primary use</w:t>
            </w:r>
          </w:p>
        </w:tc>
      </w:tr>
      <w:tr>
        <w:tc>
          <w:tcPr>
            <w:tcW w:type="dxa" w:w="1417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6"/>
              </w:rPr>
              <w:t>2</w:t>
            </w:r>
          </w:p>
        </w:tc>
        <w:tc>
          <w:tcPr>
            <w:tcW w:type="dxa" w:w="1814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6"/>
              </w:rPr>
              <w:t>2 px</w:t>
            </w:r>
          </w:p>
        </w:tc>
        <w:tc>
          <w:tcPr>
            <w:tcW w:type="dxa" w:w="6633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6"/>
              </w:rPr>
              <w:t>Micro alignment, icon optical adjustment.</w:t>
            </w:r>
          </w:p>
        </w:tc>
      </w:tr>
      <w:tr>
        <w:tc>
          <w:tcPr>
            <w:tcW w:type="dxa" w:w="1417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6"/>
              </w:rPr>
              <w:t>4</w:t>
            </w:r>
          </w:p>
        </w:tc>
        <w:tc>
          <w:tcPr>
            <w:tcW w:type="dxa" w:w="1814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6"/>
              </w:rPr>
              <w:t>4 px</w:t>
            </w:r>
          </w:p>
        </w:tc>
        <w:tc>
          <w:tcPr>
            <w:tcW w:type="dxa" w:w="6633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6"/>
              </w:rPr>
              <w:t>Compact inline gaps.</w:t>
            </w:r>
          </w:p>
        </w:tc>
      </w:tr>
      <w:tr>
        <w:tc>
          <w:tcPr>
            <w:tcW w:type="dxa" w:w="1417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6"/>
              </w:rPr>
              <w:t>8</w:t>
            </w:r>
          </w:p>
        </w:tc>
        <w:tc>
          <w:tcPr>
            <w:tcW w:type="dxa" w:w="1814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6"/>
              </w:rPr>
              <w:t>8 px</w:t>
            </w:r>
          </w:p>
        </w:tc>
        <w:tc>
          <w:tcPr>
            <w:tcW w:type="dxa" w:w="6633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6"/>
              </w:rPr>
              <w:t>Control internals and dense rows.</w:t>
            </w:r>
          </w:p>
        </w:tc>
      </w:tr>
      <w:tr>
        <w:tc>
          <w:tcPr>
            <w:tcW w:type="dxa" w:w="1417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6"/>
              </w:rPr>
              <w:t>12</w:t>
            </w:r>
          </w:p>
        </w:tc>
        <w:tc>
          <w:tcPr>
            <w:tcW w:type="dxa" w:w="1814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6"/>
              </w:rPr>
              <w:t>12 px</w:t>
            </w:r>
          </w:p>
        </w:tc>
        <w:tc>
          <w:tcPr>
            <w:tcW w:type="dxa" w:w="6633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6"/>
              </w:rPr>
              <w:t>Small card padding and grouped controls.</w:t>
            </w:r>
          </w:p>
        </w:tc>
      </w:tr>
      <w:tr>
        <w:tc>
          <w:tcPr>
            <w:tcW w:type="dxa" w:w="1417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6"/>
              </w:rPr>
              <w:t>16</w:t>
            </w:r>
          </w:p>
        </w:tc>
        <w:tc>
          <w:tcPr>
            <w:tcW w:type="dxa" w:w="1814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6"/>
              </w:rPr>
              <w:t>16 px</w:t>
            </w:r>
          </w:p>
        </w:tc>
        <w:tc>
          <w:tcPr>
            <w:tcW w:type="dxa" w:w="6633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6"/>
              </w:rPr>
              <w:t>Default panel/card spacing.</w:t>
            </w:r>
          </w:p>
        </w:tc>
      </w:tr>
      <w:tr>
        <w:tc>
          <w:tcPr>
            <w:tcW w:type="dxa" w:w="1417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6"/>
              </w:rPr>
              <w:t>24</w:t>
            </w:r>
          </w:p>
        </w:tc>
        <w:tc>
          <w:tcPr>
            <w:tcW w:type="dxa" w:w="1814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6"/>
              </w:rPr>
              <w:t>24 px</w:t>
            </w:r>
          </w:p>
        </w:tc>
        <w:tc>
          <w:tcPr>
            <w:tcW w:type="dxa" w:w="6633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6"/>
              </w:rPr>
              <w:t>Section separation and large card padding.</w:t>
            </w:r>
          </w:p>
        </w:tc>
      </w:tr>
      <w:tr>
        <w:tc>
          <w:tcPr>
            <w:tcW w:type="dxa" w:w="1417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6"/>
              </w:rPr>
              <w:t>32</w:t>
            </w:r>
          </w:p>
        </w:tc>
        <w:tc>
          <w:tcPr>
            <w:tcW w:type="dxa" w:w="1814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6"/>
              </w:rPr>
              <w:t>32 px</w:t>
            </w:r>
          </w:p>
        </w:tc>
        <w:tc>
          <w:tcPr>
            <w:tcW w:type="dxa" w:w="6633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6"/>
              </w:rPr>
              <w:t>Workspace gutters and major grouping.</w:t>
            </w:r>
          </w:p>
        </w:tc>
      </w:tr>
      <w:tr>
        <w:tc>
          <w:tcPr>
            <w:tcW w:type="dxa" w:w="1417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6"/>
              </w:rPr>
              <w:t>48</w:t>
            </w:r>
          </w:p>
        </w:tc>
        <w:tc>
          <w:tcPr>
            <w:tcW w:type="dxa" w:w="1814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6"/>
              </w:rPr>
              <w:t>48 px</w:t>
            </w:r>
          </w:p>
        </w:tc>
        <w:tc>
          <w:tcPr>
            <w:tcW w:type="dxa" w:w="6633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6"/>
              </w:rPr>
              <w:t>Hero / empty-state spacing.</w:t>
            </w:r>
          </w:p>
        </w:tc>
      </w:tr>
    </w:tbl>
    <w:p>
      <w:pPr>
        <w:spacing w:after="0"/>
      </w:pPr>
    </w:p>
    <w:p>
      <w:r>
        <w:rPr>
          <w:rFonts w:ascii="Inter" w:hAnsi="Inter" w:eastAsia="Inter"/>
          <w:i w:val="0"/>
          <w:color w:val="10171D"/>
          <w:sz w:val="19"/>
        </w:rPr>
        <w:t>Default density is compact-professional. A user may select Compact, Standard or Comfortable density, but critical target, risk and evidence information must never be removed—only reflowed.</w:t>
      </w:r>
    </w:p>
    <w:p>
      <w:pPr>
        <w:pStyle w:val="Heading2"/>
      </w:pPr>
      <w:r>
        <w:t>Typography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665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5"/>
              </w:rPr>
              <w:t>Role</w:t>
            </w:r>
          </w:p>
        </w:tc>
        <w:tc>
          <w:tcPr>
            <w:tcW w:type="dxa" w:w="3628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5"/>
              </w:rPr>
              <w:t>Typeface / treatment</w:t>
            </w:r>
          </w:p>
        </w:tc>
        <w:tc>
          <w:tcPr>
            <w:tcW w:type="dxa" w:w="3572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5"/>
              </w:rPr>
              <w:t>Guidance</w:t>
            </w:r>
          </w:p>
        </w:tc>
      </w:tr>
      <w:tr>
        <w:tc>
          <w:tcPr>
            <w:tcW w:type="dxa" w:w="2665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Display / workspace title</w:t>
            </w:r>
          </w:p>
        </w:tc>
        <w:tc>
          <w:tcPr>
            <w:tcW w:type="dxa" w:w="3628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Inter Display Semibold, 24–34 px</w:t>
            </w:r>
          </w:p>
        </w:tc>
        <w:tc>
          <w:tcPr>
            <w:tcW w:type="dxa" w:w="3572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Use sparingly for orientation; never all caps for long titles.</w:t>
            </w:r>
          </w:p>
        </w:tc>
      </w:tr>
      <w:tr>
        <w:tc>
          <w:tcPr>
            <w:tcW w:type="dxa" w:w="2665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Section heading</w:t>
            </w:r>
          </w:p>
        </w:tc>
        <w:tc>
          <w:tcPr>
            <w:tcW w:type="dxa" w:w="3628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Inter Display Semibold, 16–22 px</w:t>
            </w:r>
          </w:p>
        </w:tc>
        <w:tc>
          <w:tcPr>
            <w:tcW w:type="dxa" w:w="3572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Clear hierarchy above grouped content.</w:t>
            </w:r>
          </w:p>
        </w:tc>
      </w:tr>
      <w:tr>
        <w:tc>
          <w:tcPr>
            <w:tcW w:type="dxa" w:w="2665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Body / controls</w:t>
            </w:r>
          </w:p>
        </w:tc>
        <w:tc>
          <w:tcPr>
            <w:tcW w:type="dxa" w:w="3628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Inter Regular or Medium, 13–15 px</w:t>
            </w:r>
          </w:p>
        </w:tc>
        <w:tc>
          <w:tcPr>
            <w:tcW w:type="dxa" w:w="3572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Optimised for dense desktop reading.</w:t>
            </w:r>
          </w:p>
        </w:tc>
      </w:tr>
      <w:tr>
        <w:tc>
          <w:tcPr>
            <w:tcW w:type="dxa" w:w="2665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Metadata / labels</w:t>
            </w:r>
          </w:p>
        </w:tc>
        <w:tc>
          <w:tcPr>
            <w:tcW w:type="dxa" w:w="3628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Inter Medium, 11–12 px, uppercase optional</w:t>
            </w:r>
          </w:p>
        </w:tc>
        <w:tc>
          <w:tcPr>
            <w:tcW w:type="dxa" w:w="3572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Short technical labels only.</w:t>
            </w:r>
          </w:p>
        </w:tc>
      </w:tr>
      <w:tr>
        <w:tc>
          <w:tcPr>
            <w:tcW w:type="dxa" w:w="2665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Code / raw logs / IDs</w:t>
            </w:r>
          </w:p>
        </w:tc>
        <w:tc>
          <w:tcPr>
            <w:tcW w:type="dxa" w:w="3628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Monospaced font with tabular figures, 11–13 px</w:t>
            </w:r>
          </w:p>
        </w:tc>
        <w:tc>
          <w:tcPr>
            <w:tcW w:type="dxa" w:w="3572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Preserve alignment and distinguish raw evidence from narrative.</w:t>
            </w:r>
          </w:p>
        </w:tc>
      </w:tr>
      <w:tr>
        <w:tc>
          <w:tcPr>
            <w:tcW w:type="dxa" w:w="2665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Numeric telemetry</w:t>
            </w:r>
          </w:p>
        </w:tc>
        <w:tc>
          <w:tcPr>
            <w:tcW w:type="dxa" w:w="3628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Tabular numerals, medium weight</w:t>
            </w:r>
          </w:p>
        </w:tc>
        <w:tc>
          <w:tcPr>
            <w:tcW w:type="dxa" w:w="3572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Avoid value jitter during live updates.</w:t>
            </w:r>
          </w:p>
        </w:tc>
      </w:tr>
    </w:tbl>
    <w:p>
      <w:pPr>
        <w:spacing w:after="0"/>
      </w:pPr>
    </w:p>
    <w:p>
      <w:pPr>
        <w:pStyle w:val="Heading2"/>
      </w:pPr>
      <w:r>
        <w:t>Elevation and depth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Depth is created through surface contrast, one controlled shadow tier and local edge illumination.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Glass and blur are optional finish controls, not structural requirements.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Selected objects use an illuminated side rail, border interruption or evidence seal before adding glow.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Critical overlays may darken the surrounding interface, but must keep target and environment visible.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No more than three apparent elevation tiers should exist in a single workspace.</w:t>
      </w:r>
    </w:p>
    <w:p>
      <w:pPr>
        <w:pStyle w:val="GhoztEyebrow"/>
      </w:pPr>
      <w:r>
        <w:t>05 • PERSISTENT OPERATOR FRAME</w:t>
      </w:r>
    </w:p>
    <w:p>
      <w:pPr>
        <w:pStyle w:val="Heading1"/>
        <w:pBdr>
          <w:bottom w:val="single" w:sz="8" w:space="1" w:color="BFD0D6"/>
        </w:pBdr>
      </w:pPr>
      <w:r>
        <w:t>Application shell architecture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264000" cy="3828000"/>
            <wp:docPr id="4" name="Ghozt Figure 4" title="Ghozt Figure 4" descr="Ghozt Main Shell reference showing the restricted status strip, operations rail, State Lattice, Forensics Inspector and Black-box Strea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shel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38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Inter" w:hAnsi="Inter" w:eastAsia="Inter"/>
          <w:i/>
          <w:color w:val="64737E"/>
          <w:sz w:val="15"/>
        </w:rPr>
        <w:t>Reference shell: status strip, operations rail, State Lattice, forensic inspector and black-box stream.</w:t>
      </w:r>
    </w:p>
    <w:p>
      <w:pPr>
        <w:pStyle w:val="Heading2"/>
      </w:pPr>
      <w:r>
        <w:t>Shell regions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324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4"/>
              </w:rPr>
              <w:t>Region</w:t>
            </w:r>
          </w:p>
        </w:tc>
        <w:tc>
          <w:tcPr>
            <w:tcW w:type="dxa" w:w="3912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4"/>
              </w:rPr>
              <w:t>Persistent responsibility</w:t>
            </w:r>
          </w:p>
        </w:tc>
        <w:tc>
          <w:tcPr>
            <w:tcW w:type="dxa" w:w="3628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4"/>
              </w:rPr>
              <w:t>Minimum content</w:t>
            </w:r>
          </w:p>
        </w:tc>
      </w:tr>
      <w:tr>
        <w:tc>
          <w:tcPr>
            <w:tcW w:type="dxa" w:w="2324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Restricted status strip</w:t>
            </w:r>
          </w:p>
        </w:tc>
        <w:tc>
          <w:tcPr>
            <w:tcW w:type="dxa" w:w="3912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Expose the current truth about what Ghozt is examining and what it is permitted to do.</w:t>
            </w:r>
          </w:p>
        </w:tc>
        <w:tc>
          <w:tcPr>
            <w:tcW w:type="dxa" w:w="3628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Ghozt, target, build/commit, environment, connection, access class, run mode, recorder state and active warnings.</w:t>
            </w:r>
          </w:p>
        </w:tc>
      </w:tr>
      <w:tr>
        <w:tc>
          <w:tcPr>
            <w:tcW w:type="dxa" w:w="2324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Operations rail</w:t>
            </w:r>
          </w:p>
        </w:tc>
        <w:tc>
          <w:tcPr>
            <w:tcW w:type="dxa" w:w="3912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Move between lifecycle workspaces without losing run context.</w:t>
            </w:r>
          </w:p>
        </w:tc>
        <w:tc>
          <w:tcPr>
            <w:tcW w:type="dxa" w:w="3628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Targets, Sweep, State Map, Faults, Replay, Evidence, Algorithms, Regressions, Reports, Clearance and Settings.</w:t>
            </w:r>
          </w:p>
        </w:tc>
      </w:tr>
      <w:tr>
        <w:tc>
          <w:tcPr>
            <w:tcW w:type="dxa" w:w="2324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Workspace header</w:t>
            </w:r>
          </w:p>
        </w:tc>
        <w:tc>
          <w:tcPr>
            <w:tcW w:type="dxa" w:w="3912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Orient the user inside the selected module.</w:t>
            </w:r>
          </w:p>
        </w:tc>
        <w:tc>
          <w:tcPr>
            <w:tcW w:type="dxa" w:w="3628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Workspace title, project/target scope, breadcrumb, filters, primary action and contextual status.</w:t>
            </w:r>
          </w:p>
        </w:tc>
      </w:tr>
      <w:tr>
        <w:tc>
          <w:tcPr>
            <w:tcW w:type="dxa" w:w="2324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Primary canvas</w:t>
            </w:r>
          </w:p>
        </w:tc>
        <w:tc>
          <w:tcPr>
            <w:tcW w:type="dxa" w:w="3912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Host the main task: map, table, timeline, editor, report or comparison.</w:t>
            </w:r>
          </w:p>
        </w:tc>
        <w:tc>
          <w:tcPr>
            <w:tcW w:type="dxa" w:w="3628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Content-specific controls with stable selection and loading state.</w:t>
            </w:r>
          </w:p>
        </w:tc>
      </w:tr>
      <w:tr>
        <w:tc>
          <w:tcPr>
            <w:tcW w:type="dxa" w:w="2324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Forensics inspector</w:t>
            </w:r>
          </w:p>
        </w:tc>
        <w:tc>
          <w:tcPr>
            <w:tcW w:type="dxa" w:w="3912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Expose details and actions for the current selection.</w:t>
            </w:r>
          </w:p>
        </w:tc>
        <w:tc>
          <w:tcPr>
            <w:tcW w:type="dxa" w:w="3628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Actual, Expected, Difference, Causality, Reproduction, Counterfactuals, Evidence, Fix and Re-test.</w:t>
            </w:r>
          </w:p>
        </w:tc>
      </w:tr>
      <w:tr>
        <w:tc>
          <w:tcPr>
            <w:tcW w:type="dxa" w:w="2324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Black-box tray</w:t>
            </w:r>
          </w:p>
        </w:tc>
        <w:tc>
          <w:tcPr>
            <w:tcW w:type="dxa" w:w="3912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Present raw time-ordered execution and evidence intake.</w:t>
            </w:r>
          </w:p>
        </w:tc>
        <w:tc>
          <w:tcPr>
            <w:tcW w:type="dxa" w:w="3628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Time, event ID, source, category, action/result, severity, evidence link and filters.</w:t>
            </w:r>
          </w:p>
        </w:tc>
      </w:tr>
      <w:tr>
        <w:tc>
          <w:tcPr>
            <w:tcW w:type="dxa" w:w="2324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Global command surface</w:t>
            </w:r>
          </w:p>
        </w:tc>
        <w:tc>
          <w:tcPr>
            <w:tcW w:type="dxa" w:w="3912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Fast search and action execution.</w:t>
            </w:r>
          </w:p>
        </w:tc>
        <w:tc>
          <w:tcPr>
            <w:tcW w:type="dxa" w:w="3628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Command palette, shortcut help, target switcher, theme control and recent items.</w:t>
            </w:r>
          </w:p>
        </w:tc>
      </w:tr>
    </w:tbl>
    <w:p>
      <w:pPr>
        <w:spacing w:after="0"/>
      </w:pPr>
    </w:p>
    <w:p>
      <w:pPr>
        <w:pStyle w:val="Heading2"/>
      </w:pPr>
      <w:r>
        <w:t>Shell behaviour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The status strip stays visible during navigation, overlays, full-screen graphs and report review.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The selected target and build never reset implicitly when switching workspaces.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The right inspector follows selection; it may pin, compare or detach to another monitor.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The black-box tray supports collapsed, peek, half-height and detached states.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The main canvas saves zoom, pan, filters and selection per workspace and target.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Unsaved plans, annotations or approvals show an explicit dirty state before navigation.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A global emergency stop remains reachable during active execution and clearly distinguishes stop, pause, cancel-after-step and containment.</w:t>
      </w:r>
    </w:p>
    <w:p>
      <w:pPr>
        <w:pStyle w:val="GhoztEyebrow"/>
      </w:pPr>
      <w:r>
        <w:t>06 • PRIMARY NAVIGATION</w:t>
      </w:r>
    </w:p>
    <w:p>
      <w:pPr>
        <w:pStyle w:val="Heading1"/>
        <w:pBdr>
          <w:bottom w:val="single" w:sz="8" w:space="1" w:color="BFD0D6"/>
        </w:pBdr>
      </w:pPr>
      <w:r>
        <w:t>Workspace architecture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264000" cy="3758400"/>
            <wp:docPr id="5" name="Ghozt Figure 5" title="Ghozt Figure 5" descr="Ghozt Workspace Map showing Targets, Sweep, State Map, Faults, Replay, Evidence, Algorithms, Regressions, Reports, Clearance and Settings around the shared Evidence Co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space_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37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Inter" w:hAnsi="Inter" w:eastAsia="Inter"/>
          <w:i/>
          <w:color w:val="64737E"/>
          <w:sz w:val="15"/>
        </w:rPr>
        <w:t>Workspaces follow the examination lifecycle and share one evidence core.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644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4"/>
              </w:rPr>
              <w:t>Workspace</w:t>
            </w:r>
          </w:p>
        </w:tc>
        <w:tc>
          <w:tcPr>
            <w:tcW w:type="dxa" w:w="3798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4422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4"/>
              </w:rPr>
              <w:t>Core interface</w:t>
            </w:r>
          </w:p>
        </w:tc>
      </w:tr>
      <w:tr>
        <w:tc>
          <w:tcPr>
            <w:tcW w:type="dxa" w:w="1644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Targets</w:t>
            </w:r>
          </w:p>
        </w:tc>
        <w:tc>
          <w:tcPr>
            <w:tcW w:type="dxa" w:w="3798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Register local apps, repositories, builds, environments, credentials, devices and explicit authority.</w:t>
            </w:r>
          </w:p>
        </w:tc>
        <w:tc>
          <w:tcPr>
            <w:tcW w:type="dxa" w:w="4422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Target cards, environment badges, health checks, capability matrix, permission scope and last-known evidence.</w:t>
            </w:r>
          </w:p>
        </w:tc>
      </w:tr>
      <w:tr>
        <w:tc>
          <w:tcPr>
            <w:tcW w:type="dxa" w:w="1644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Sweep</w:t>
            </w:r>
          </w:p>
        </w:tc>
        <w:tc>
          <w:tcPr>
            <w:tcW w:type="dxa" w:w="3798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Plan, budget, approve, execute and monitor autonomous examinations.</w:t>
            </w:r>
          </w:p>
        </w:tc>
        <w:tc>
          <w:tcPr>
            <w:tcW w:type="dxa" w:w="4422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Scope builder, discovery manifest, risk budget, agent plan, live queue, stop controls and coverage progress.</w:t>
            </w:r>
          </w:p>
        </w:tc>
      </w:tr>
      <w:tr>
        <w:tc>
          <w:tcPr>
            <w:tcW w:type="dxa" w:w="1644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State Map</w:t>
            </w:r>
          </w:p>
        </w:tc>
        <w:tc>
          <w:tcPr>
            <w:tcW w:type="dxa" w:w="3798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Explore the connected graph of features, states, transitions, endpoints, services, data and evidence.</w:t>
            </w:r>
          </w:p>
        </w:tc>
        <w:tc>
          <w:tcPr>
            <w:tcW w:type="dxa" w:w="4422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Lattice canvas, legends, filters, path search, confidence overlays, diff mode and inspector.</w:t>
            </w:r>
          </w:p>
        </w:tc>
      </w:tr>
      <w:tr>
        <w:tc>
          <w:tcPr>
            <w:tcW w:type="dxa" w:w="1644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Faults</w:t>
            </w:r>
          </w:p>
        </w:tc>
        <w:tc>
          <w:tcPr>
            <w:tcW w:type="dxa" w:w="3798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Triage confirmed deviations and unstable Phantom findings.</w:t>
            </w:r>
          </w:p>
        </w:tc>
        <w:tc>
          <w:tcPr>
            <w:tcW w:type="dxa" w:w="4422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Fault queue, severity, reproducibility, owner, evidence completeness, cause status and fix readiness.</w:t>
            </w:r>
          </w:p>
        </w:tc>
      </w:tr>
      <w:tr>
        <w:tc>
          <w:tcPr>
            <w:tcW w:type="dxa" w:w="1644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Replay</w:t>
            </w:r>
          </w:p>
        </w:tc>
        <w:tc>
          <w:tcPr>
            <w:tcW w:type="dxa" w:w="3798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Reconstruct exact sequences and compare successful, failing and counterfactual runs.</w:t>
            </w:r>
          </w:p>
        </w:tc>
        <w:tc>
          <w:tcPr>
            <w:tcW w:type="dxa" w:w="4422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Timeline, frame/event synchronisation, network trace, state diff, breakpoints, branch controls and minimiser.</w:t>
            </w:r>
          </w:p>
        </w:tc>
      </w:tr>
      <w:tr>
        <w:tc>
          <w:tcPr>
            <w:tcW w:type="dxa" w:w="1644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Evidence</w:t>
            </w:r>
          </w:p>
        </w:tc>
        <w:tc>
          <w:tcPr>
            <w:tcW w:type="dxa" w:w="3798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Search, inspect, seal, redact, retain and export raw artefacts.</w:t>
            </w:r>
          </w:p>
        </w:tc>
        <w:tc>
          <w:tcPr>
            <w:tcW w:type="dxa" w:w="4422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Evidence viewer, chain of custody, hash status, annotations, redaction, provenance and retention policy.</w:t>
            </w:r>
          </w:p>
        </w:tc>
      </w:tr>
      <w:tr>
        <w:tc>
          <w:tcPr>
            <w:tcW w:type="dxa" w:w="1644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Algorithms</w:t>
            </w:r>
          </w:p>
        </w:tc>
        <w:tc>
          <w:tcPr>
            <w:tcW w:type="dxa" w:w="3798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Test deterministic algorithms, probabilistic models, datasets, invariants and expected outputs.</w:t>
            </w:r>
          </w:p>
        </w:tc>
        <w:tc>
          <w:tcPr>
            <w:tcW w:type="dxa" w:w="4422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Harness editor, datasets, parameter sweep, oracle/invariant builder, distribution charts, drift and reproducibility.</w:t>
            </w:r>
          </w:p>
        </w:tc>
      </w:tr>
      <w:tr>
        <w:tc>
          <w:tcPr>
            <w:tcW w:type="dxa" w:w="1644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Regressions</w:t>
            </w:r>
          </w:p>
        </w:tc>
        <w:tc>
          <w:tcPr>
            <w:tcW w:type="dxa" w:w="3798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Manage guards generated from features and confirmed faults.</w:t>
            </w:r>
          </w:p>
        </w:tc>
        <w:tc>
          <w:tcPr>
            <w:tcW w:type="dxa" w:w="4422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Suites, ownership, freshness, mutation resilience, flake rate, affected builds and required gates.</w:t>
            </w:r>
          </w:p>
        </w:tc>
      </w:tr>
      <w:tr>
        <w:tc>
          <w:tcPr>
            <w:tcW w:type="dxa" w:w="1644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Reports</w:t>
            </w:r>
          </w:p>
        </w:tc>
        <w:tc>
          <w:tcPr>
            <w:tcW w:type="dxa" w:w="3798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Create technical, executive, client and machine-readable outputs.</w:t>
            </w:r>
          </w:p>
        </w:tc>
        <w:tc>
          <w:tcPr>
            <w:tcW w:type="dxa" w:w="4422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Dossier builder, templates, evidence links, sign-off, exports and report history.</w:t>
            </w:r>
          </w:p>
        </w:tc>
      </w:tr>
      <w:tr>
        <w:tc>
          <w:tcPr>
            <w:tcW w:type="dxa" w:w="1644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Clearance</w:t>
            </w:r>
          </w:p>
        </w:tc>
        <w:tc>
          <w:tcPr>
            <w:tcW w:type="dxa" w:w="3798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Evaluate release policy and issue pass, conditional clearance, denial or waiver.</w:t>
            </w:r>
          </w:p>
        </w:tc>
        <w:tc>
          <w:tcPr>
            <w:tcW w:type="dxa" w:w="4422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Gate matrix, residual risk, exceptions, approvals, signatures, certificate and release-system integration.</w:t>
            </w:r>
          </w:p>
        </w:tc>
      </w:tr>
      <w:tr>
        <w:tc>
          <w:tcPr>
            <w:tcW w:type="dxa" w:w="1644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Settings</w:t>
            </w:r>
          </w:p>
        </w:tc>
        <w:tc>
          <w:tcPr>
            <w:tcW w:type="dxa" w:w="3798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Configure roles, policies, adapters, agents, secrets, themes, retention and integrations.</w:t>
            </w:r>
          </w:p>
        </w:tc>
        <w:tc>
          <w:tcPr>
            <w:tcW w:type="dxa" w:w="4422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Governed registries with change history and validation.</w:t>
            </w:r>
          </w:p>
        </w:tc>
      </w:tr>
    </w:tbl>
    <w:p>
      <w:pPr>
        <w:spacing w:after="0"/>
      </w:pPr>
    </w:p>
    <w:p>
      <w:pPr>
        <w:pStyle w:val="GhoztEyebrow"/>
      </w:pPr>
      <w:r>
        <w:t>07 • SIGNATURE VISUAL SYSTEM</w:t>
      </w:r>
    </w:p>
    <w:p>
      <w:pPr>
        <w:pStyle w:val="Heading1"/>
        <w:pBdr>
          <w:bottom w:val="single" w:sz="8" w:space="1" w:color="BFD0D6"/>
        </w:pBdr>
      </w:pPr>
      <w:r>
        <w:t>State Lattice</w:t>
      </w:r>
    </w:p>
    <w:p>
      <w:pPr>
        <w:pStyle w:val="GhoztLead"/>
      </w:pPr>
      <w:r>
        <w:rPr>
          <w:rFonts w:ascii="Inter" w:hAnsi="Inter" w:eastAsia="Inter"/>
          <w:i w:val="0"/>
          <w:color w:val="2A3942"/>
          <w:sz w:val="24"/>
        </w:rPr>
        <w:t>The State Lattice is Ghozt’s signature interactive surface. It represents the target as a navigable, evidence-linked graph rather than a list of test scripts. It must remain useful at system, feature, workflow, state, event and evidence levels.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264000" cy="3654000"/>
            <wp:docPr id="6" name="Ghozt Figure 6" title="Ghozt Figure 6" descr="State Lattice Visual Grammar showing system, feature, action, route, data-state, fault, evidence and counterfactual entities connected by evidence-bearing transit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latti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365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Inter" w:hAnsi="Inter" w:eastAsia="Inter"/>
          <w:i/>
          <w:color w:val="64737E"/>
          <w:sz w:val="15"/>
        </w:rPr>
        <w:t>Recommended visual grammar for nodes, edges, observation states and evidence.</w:t>
      </w:r>
    </w:p>
    <w:p>
      <w:pPr>
        <w:pStyle w:val="Heading2"/>
      </w:pPr>
      <w:r>
        <w:t>Lattice entities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438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4"/>
              </w:rPr>
              <w:t>Entity</w:t>
            </w:r>
          </w:p>
        </w:tc>
        <w:tc>
          <w:tcPr>
            <w:tcW w:type="dxa" w:w="3118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4"/>
              </w:rPr>
              <w:t>Representation</w:t>
            </w:r>
          </w:p>
        </w:tc>
        <w:tc>
          <w:tcPr>
            <w:tcW w:type="dxa" w:w="4309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4"/>
              </w:rPr>
              <w:t>Required metadata</w:t>
            </w:r>
          </w:p>
        </w:tc>
      </w:tr>
      <w:tr>
        <w:tc>
          <w:tcPr>
            <w:tcW w:type="dxa" w:w="2438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System / product</w:t>
            </w:r>
          </w:p>
        </w:tc>
        <w:tc>
          <w:tcPr>
            <w:tcW w:type="dxa" w:w="3118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Large bounded region or root node.</w:t>
            </w:r>
          </w:p>
        </w:tc>
        <w:tc>
          <w:tcPr>
            <w:tcW w:type="dxa" w:w="4309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Target ID, owner, build, environment and authority.</w:t>
            </w:r>
          </w:p>
        </w:tc>
      </w:tr>
      <w:tr>
        <w:tc>
          <w:tcPr>
            <w:tcW w:type="dxa" w:w="2438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Feature / screen</w:t>
            </w:r>
          </w:p>
        </w:tc>
        <w:tc>
          <w:tcPr>
            <w:tcW w:type="dxa" w:w="3118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Rounded rectangular node.</w:t>
            </w:r>
          </w:p>
        </w:tc>
        <w:tc>
          <w:tcPr>
            <w:tcW w:type="dxa" w:w="4309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Feature ID, description, owner, expected states and coverage.</w:t>
            </w:r>
          </w:p>
        </w:tc>
      </w:tr>
      <w:tr>
        <w:tc>
          <w:tcPr>
            <w:tcW w:type="dxa" w:w="2438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Action / control</w:t>
            </w:r>
          </w:p>
        </w:tc>
        <w:tc>
          <w:tcPr>
            <w:tcW w:type="dxa" w:w="3118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Circular node.</w:t>
            </w:r>
          </w:p>
        </w:tc>
        <w:tc>
          <w:tcPr>
            <w:tcW w:type="dxa" w:w="4309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Control ID, input, permission, side effects and accessible name.</w:t>
            </w:r>
          </w:p>
        </w:tc>
      </w:tr>
      <w:tr>
        <w:tc>
          <w:tcPr>
            <w:tcW w:type="dxa" w:w="2438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Route / endpoint / service</w:t>
            </w:r>
          </w:p>
        </w:tc>
        <w:tc>
          <w:tcPr>
            <w:tcW w:type="dxa" w:w="3118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Hexagonal node.</w:t>
            </w:r>
          </w:p>
        </w:tc>
        <w:tc>
          <w:tcPr>
            <w:tcW w:type="dxa" w:w="4309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Method, path, contract, dependency, auth and telemetry.</w:t>
            </w:r>
          </w:p>
        </w:tc>
      </w:tr>
      <w:tr>
        <w:tc>
          <w:tcPr>
            <w:tcW w:type="dxa" w:w="2438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Data / application state</w:t>
            </w:r>
          </w:p>
        </w:tc>
        <w:tc>
          <w:tcPr>
            <w:tcW w:type="dxa" w:w="3118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Diamond node or state band.</w:t>
            </w:r>
          </w:p>
        </w:tc>
        <w:tc>
          <w:tcPr>
            <w:tcW w:type="dxa" w:w="4309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Schema/value class, source, before/after, sensitivity and persistence.</w:t>
            </w:r>
          </w:p>
        </w:tc>
      </w:tr>
      <w:tr>
        <w:tc>
          <w:tcPr>
            <w:tcW w:type="dxa" w:w="2438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Algorithm / model</w:t>
            </w:r>
          </w:p>
        </w:tc>
        <w:tc>
          <w:tcPr>
            <w:tcW w:type="dxa" w:w="3118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Specialised processor node.</w:t>
            </w:r>
          </w:p>
        </w:tc>
        <w:tc>
          <w:tcPr>
            <w:tcW w:type="dxa" w:w="4309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Version, parameters, dataset, invariants, oracle and confidence.</w:t>
            </w:r>
          </w:p>
        </w:tc>
      </w:tr>
      <w:tr>
        <w:tc>
          <w:tcPr>
            <w:tcW w:type="dxa" w:w="2438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Fault</w:t>
            </w:r>
          </w:p>
        </w:tc>
        <w:tc>
          <w:tcPr>
            <w:tcW w:type="dxa" w:w="3118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Burst or interrupted red node.</w:t>
            </w:r>
          </w:p>
        </w:tc>
        <w:tc>
          <w:tcPr>
            <w:tcW w:type="dxa" w:w="4309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Fault ID, severity, reproducibility, first/last seen and causal status.</w:t>
            </w:r>
          </w:p>
        </w:tc>
      </w:tr>
      <w:tr>
        <w:tc>
          <w:tcPr>
            <w:tcW w:type="dxa" w:w="2438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Evidence</w:t>
            </w:r>
          </w:p>
        </w:tc>
        <w:tc>
          <w:tcPr>
            <w:tcW w:type="dxa" w:w="3118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Document/seal node.</w:t>
            </w:r>
          </w:p>
        </w:tc>
        <w:tc>
          <w:tcPr>
            <w:tcW w:type="dxa" w:w="4309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Evidence ID, type, hash, time, source, retention and access.</w:t>
            </w:r>
          </w:p>
        </w:tc>
      </w:tr>
      <w:tr>
        <w:tc>
          <w:tcPr>
            <w:tcW w:type="dxa" w:w="2438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Counterfactual branch</w:t>
            </w:r>
          </w:p>
        </w:tc>
        <w:tc>
          <w:tcPr>
            <w:tcW w:type="dxa" w:w="3118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Dotted ultraviolet edge or branch.</w:t>
            </w:r>
          </w:p>
        </w:tc>
        <w:tc>
          <w:tcPr>
            <w:tcW w:type="dxa" w:w="4309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Changed factor, predicted effect, observed result and confidence.</w:t>
            </w:r>
          </w:p>
        </w:tc>
      </w:tr>
    </w:tbl>
    <w:p>
      <w:pPr>
        <w:spacing w:after="0"/>
      </w:pPr>
    </w:p>
    <w:p>
      <w:pPr>
        <w:pStyle w:val="Heading2"/>
      </w:pPr>
      <w:r>
        <w:t>Zoom levels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644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5"/>
              </w:rPr>
              <w:t>Level</w:t>
            </w:r>
          </w:p>
        </w:tc>
        <w:tc>
          <w:tcPr>
            <w:tcW w:type="dxa" w:w="3742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5"/>
              </w:rPr>
              <w:t>Question answered</w:t>
            </w:r>
          </w:p>
        </w:tc>
        <w:tc>
          <w:tcPr>
            <w:tcW w:type="dxa" w:w="4479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5"/>
              </w:rPr>
              <w:t>Default contents</w:t>
            </w:r>
          </w:p>
        </w:tc>
      </w:tr>
      <w:tr>
        <w:tc>
          <w:tcPr>
            <w:tcW w:type="dxa" w:w="1644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System</w:t>
            </w:r>
          </w:p>
        </w:tc>
        <w:tc>
          <w:tcPr>
            <w:tcW w:type="dxa" w:w="3742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Which areas exist and where is risk concentrated?</w:t>
            </w:r>
          </w:p>
        </w:tc>
        <w:tc>
          <w:tcPr>
            <w:tcW w:type="dxa" w:w="4479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Products, subsystems, integrations, coverage heat and major faults.</w:t>
            </w:r>
          </w:p>
        </w:tc>
      </w:tr>
      <w:tr>
        <w:tc>
          <w:tcPr>
            <w:tcW w:type="dxa" w:w="1644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Feature</w:t>
            </w:r>
          </w:p>
        </w:tc>
        <w:tc>
          <w:tcPr>
            <w:tcW w:type="dxa" w:w="3742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Which workflows and expected states define this feature?</w:t>
            </w:r>
          </w:p>
        </w:tc>
        <w:tc>
          <w:tcPr>
            <w:tcW w:type="dxa" w:w="4479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Screens, routes, inputs, outputs, permissions and guards.</w:t>
            </w:r>
          </w:p>
        </w:tc>
      </w:tr>
      <w:tr>
        <w:tc>
          <w:tcPr>
            <w:tcW w:type="dxa" w:w="1644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Workflow</w:t>
            </w:r>
          </w:p>
        </w:tc>
        <w:tc>
          <w:tcPr>
            <w:tcW w:type="dxa" w:w="3742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Which sequence connects intent to result?</w:t>
            </w:r>
          </w:p>
        </w:tc>
        <w:tc>
          <w:tcPr>
            <w:tcW w:type="dxa" w:w="4479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Actions, transitions, calls, waits, state deltas and branches.</w:t>
            </w:r>
          </w:p>
        </w:tc>
      </w:tr>
      <w:tr>
        <w:tc>
          <w:tcPr>
            <w:tcW w:type="dxa" w:w="1644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State</w:t>
            </w:r>
          </w:p>
        </w:tc>
        <w:tc>
          <w:tcPr>
            <w:tcW w:type="dxa" w:w="3742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What was true at this moment?</w:t>
            </w:r>
          </w:p>
        </w:tc>
        <w:tc>
          <w:tcPr>
            <w:tcW w:type="dxa" w:w="4479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UI tree, data snapshot, session, permissions, network and resources.</w:t>
            </w:r>
          </w:p>
        </w:tc>
      </w:tr>
      <w:tr>
        <w:tc>
          <w:tcPr>
            <w:tcW w:type="dxa" w:w="1644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Event</w:t>
            </w:r>
          </w:p>
        </w:tc>
        <w:tc>
          <w:tcPr>
            <w:tcW w:type="dxa" w:w="3742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What exactly changed, by whom and why?</w:t>
            </w:r>
          </w:p>
        </w:tc>
        <w:tc>
          <w:tcPr>
            <w:tcW w:type="dxa" w:w="4479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Actor, source, timestamp, parameters, before/after and result.</w:t>
            </w:r>
          </w:p>
        </w:tc>
      </w:tr>
      <w:tr>
        <w:tc>
          <w:tcPr>
            <w:tcW w:type="dxa" w:w="1644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Evidence</w:t>
            </w:r>
          </w:p>
        </w:tc>
        <w:tc>
          <w:tcPr>
            <w:tcW w:type="dxa" w:w="3742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What proves the conclusion?</w:t>
            </w:r>
          </w:p>
        </w:tc>
        <w:tc>
          <w:tcPr>
            <w:tcW w:type="dxa" w:w="4479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Raw artefact, hash, capture method, annotations and chain of custody.</w:t>
            </w:r>
          </w:p>
        </w:tc>
      </w:tr>
    </w:tbl>
    <w:p>
      <w:pPr>
        <w:spacing w:after="0"/>
      </w:pPr>
    </w:p>
    <w:p>
      <w:pPr>
        <w:pStyle w:val="Heading2"/>
      </w:pPr>
      <w:r>
        <w:t>Lattice interactions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Pan, zoom, semantic zoom and fit-to-scope.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Search by feature, route, event, fault, evidence, build, owner or state value.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Filter by tested status, severity, agent, environment, evidence completeness and time.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Select a node to open the inspector; Shift-select for comparison; pin for persistent monitoring.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Trace upstream cause candidates or downstream affected paths.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Display observed, expected, previous-build or counterfactual overlays.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Play autonomous traversal as a time-controlled path.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Collapse low-value nodes into summarised clusters without losing drill-down.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Export a stable snapshot with legend, target, build and timestamp.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7"/>
        <w:gridCol w:w="9638"/>
      </w:tblGrid>
      <w:tr>
        <w:tc>
          <w:tcPr>
            <w:tcW w:type="dxa" w:w="4933"/>
            <w:shd w:fill="FF5968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33"/>
            <w:shd w:fill="FDE9EC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69" w:lineRule="auto"/>
            </w:pPr>
            <w:r>
              <w:rPr>
                <w:rFonts w:ascii="Inter Display" w:hAnsi="Inter Display" w:eastAsia="Inter Display"/>
                <w:b/>
                <w:color w:val="6A1F2A"/>
                <w:sz w:val="16"/>
              </w:rPr>
              <w:t>NO DECORATIVE GRAPH</w:t>
              <w:br/>
            </w:r>
            <w:r>
              <w:rPr>
                <w:rFonts w:ascii="Inter" w:hAnsi="Inter" w:eastAsia="Inter"/>
                <w:color w:val="6A1F2A"/>
                <w:sz w:val="18"/>
              </w:rPr>
              <w:t>Every visible node and edge must resolve to real target metadata, a planned test, an observed event, an expected contract, an evidence artefact or an explicit inference. The lattice must not invent structure merely to look complex.</w:t>
            </w:r>
          </w:p>
        </w:tc>
      </w:tr>
    </w:tbl>
    <w:p>
      <w:pPr>
        <w:spacing w:after="0"/>
      </w:pPr>
    </w:p>
    <w:p>
      <w:pPr>
        <w:pStyle w:val="GhoztEyebrow"/>
      </w:pPr>
      <w:r>
        <w:t>08 • CONTEXTUAL TRUTH PANEL</w:t>
      </w:r>
    </w:p>
    <w:p>
      <w:pPr>
        <w:pStyle w:val="Heading1"/>
        <w:pBdr>
          <w:bottom w:val="single" w:sz="8" w:space="1" w:color="BFD0D6"/>
        </w:pBdr>
      </w:pPr>
      <w:r>
        <w:t>Forensics Inspector</w:t>
      </w:r>
    </w:p>
    <w:p>
      <w:pPr>
        <w:pStyle w:val="GhoztLead"/>
      </w:pPr>
      <w:r>
        <w:rPr>
          <w:rFonts w:ascii="Inter" w:hAnsi="Inter" w:eastAsia="Inter"/>
          <w:i w:val="0"/>
          <w:color w:val="2A3942"/>
          <w:sz w:val="24"/>
        </w:rPr>
        <w:t>The right-side inspector is the primary bridge between visual overview and defensible detail. It follows selection, keeps context stable and exposes the exact evidence behind summaries.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984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4"/>
              </w:rPr>
              <w:t>Inspector tab</w:t>
            </w:r>
          </w:p>
        </w:tc>
        <w:tc>
          <w:tcPr>
            <w:tcW w:type="dxa" w:w="3798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4082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4"/>
              </w:rPr>
              <w:t>Required controls</w:t>
            </w:r>
          </w:p>
        </w:tc>
      </w:tr>
      <w:tr>
        <w:tc>
          <w:tcPr>
            <w:tcW w:type="dxa" w:w="1984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Overview</w:t>
            </w:r>
          </w:p>
        </w:tc>
        <w:tc>
          <w:tcPr>
            <w:tcW w:type="dxa" w:w="3798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Summarise identity, state, severity and current decision.</w:t>
            </w:r>
          </w:p>
        </w:tc>
        <w:tc>
          <w:tcPr>
            <w:tcW w:type="dxa" w:w="4082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IDs, target/build, owner, status, confidence, timestamps and primary action.</w:t>
            </w:r>
          </w:p>
        </w:tc>
      </w:tr>
      <w:tr>
        <w:tc>
          <w:tcPr>
            <w:tcW w:type="dxa" w:w="1984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Actual</w:t>
            </w:r>
          </w:p>
        </w:tc>
        <w:tc>
          <w:tcPr>
            <w:tcW w:type="dxa" w:w="3798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Show the observed result and state.</w:t>
            </w:r>
          </w:p>
        </w:tc>
        <w:tc>
          <w:tcPr>
            <w:tcW w:type="dxa" w:w="4082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Rendered result, structured values, before/after, raw links and capture time.</w:t>
            </w:r>
          </w:p>
        </w:tc>
      </w:tr>
      <w:tr>
        <w:tc>
          <w:tcPr>
            <w:tcW w:type="dxa" w:w="1984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Expected</w:t>
            </w:r>
          </w:p>
        </w:tc>
        <w:tc>
          <w:tcPr>
            <w:tcW w:type="dxa" w:w="3798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Show the governing contract or oracle.</w:t>
            </w:r>
          </w:p>
        </w:tc>
        <w:tc>
          <w:tcPr>
            <w:tcW w:type="dxa" w:w="4082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Source requirement, assertion, tolerance, version and acceptance criteria.</w:t>
            </w:r>
          </w:p>
        </w:tc>
      </w:tr>
      <w:tr>
        <w:tc>
          <w:tcPr>
            <w:tcW w:type="dxa" w:w="1984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Difference</w:t>
            </w:r>
          </w:p>
        </w:tc>
        <w:tc>
          <w:tcPr>
            <w:tcW w:type="dxa" w:w="3798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Explain exact mismatches.</w:t>
            </w:r>
          </w:p>
        </w:tc>
        <w:tc>
          <w:tcPr>
            <w:tcW w:type="dxa" w:w="4082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Semantic diff, field/path comparison, visual diff, threshold and ignored changes.</w:t>
            </w:r>
          </w:p>
        </w:tc>
      </w:tr>
      <w:tr>
        <w:tc>
          <w:tcPr>
            <w:tcW w:type="dxa" w:w="1984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Causality</w:t>
            </w:r>
          </w:p>
        </w:tc>
        <w:tc>
          <w:tcPr>
            <w:tcW w:type="dxa" w:w="3798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Rank cause hypotheses and supporting/contradicting evidence.</w:t>
            </w:r>
          </w:p>
        </w:tc>
        <w:tc>
          <w:tcPr>
            <w:tcW w:type="dxa" w:w="4082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Hypothesis cards, confidence, evidence links, dependency path and challenge action.</w:t>
            </w:r>
          </w:p>
        </w:tc>
      </w:tr>
      <w:tr>
        <w:tc>
          <w:tcPr>
            <w:tcW w:type="dxa" w:w="1984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Reproduction</w:t>
            </w:r>
          </w:p>
        </w:tc>
        <w:tc>
          <w:tcPr>
            <w:tcW w:type="dxa" w:w="3798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Define and execute the reproducer.</w:t>
            </w:r>
          </w:p>
        </w:tc>
        <w:tc>
          <w:tcPr>
            <w:tcW w:type="dxa" w:w="4082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Preconditions, sequence, inputs, environment, repetitions, success rate and minimised path.</w:t>
            </w:r>
          </w:p>
        </w:tc>
      </w:tr>
      <w:tr>
        <w:tc>
          <w:tcPr>
            <w:tcW w:type="dxa" w:w="1984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Counterfactuals</w:t>
            </w:r>
          </w:p>
        </w:tc>
        <w:tc>
          <w:tcPr>
            <w:tcW w:type="dxa" w:w="3798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Vary one or more causal factors under control.</w:t>
            </w:r>
          </w:p>
        </w:tc>
        <w:tc>
          <w:tcPr>
            <w:tcW w:type="dxa" w:w="4082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Branch editor, changed factor, result, comparison and confidence.</w:t>
            </w:r>
          </w:p>
        </w:tc>
      </w:tr>
      <w:tr>
        <w:tc>
          <w:tcPr>
            <w:tcW w:type="dxa" w:w="1984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Evidence</w:t>
            </w:r>
          </w:p>
        </w:tc>
        <w:tc>
          <w:tcPr>
            <w:tcW w:type="dxa" w:w="3798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Inspect all bound artefacts.</w:t>
            </w:r>
          </w:p>
        </w:tc>
        <w:tc>
          <w:tcPr>
            <w:tcW w:type="dxa" w:w="4082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Viewer, hashes, provenance, annotation, redaction and export.</w:t>
            </w:r>
          </w:p>
        </w:tc>
      </w:tr>
      <w:tr>
        <w:tc>
          <w:tcPr>
            <w:tcW w:type="dxa" w:w="1984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Fix</w:t>
            </w:r>
          </w:p>
        </w:tc>
        <w:tc>
          <w:tcPr>
            <w:tcW w:type="dxa" w:w="3798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Generate or review a bounded repair brief.</w:t>
            </w:r>
          </w:p>
        </w:tc>
        <w:tc>
          <w:tcPr>
            <w:tcW w:type="dxa" w:w="4082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Affected files/components, strategy, risk, forbidden changes, required tests and agent permission.</w:t>
            </w:r>
          </w:p>
        </w:tc>
      </w:tr>
      <w:tr>
        <w:tc>
          <w:tcPr>
            <w:tcW w:type="dxa" w:w="1984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Re-test</w:t>
            </w:r>
          </w:p>
        </w:tc>
        <w:tc>
          <w:tcPr>
            <w:tcW w:type="dxa" w:w="3798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Run minimal and adjacent verification.</w:t>
            </w:r>
          </w:p>
        </w:tc>
        <w:tc>
          <w:tcPr>
            <w:tcW w:type="dxa" w:w="4082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Selected suite, environment, expected result, run controls and verdict.</w:t>
            </w:r>
          </w:p>
        </w:tc>
      </w:tr>
    </w:tbl>
    <w:p>
      <w:pPr>
        <w:spacing w:after="0"/>
      </w:pPr>
    </w:p>
    <w:p>
      <w:pPr>
        <w:pStyle w:val="Heading2"/>
      </w:pPr>
      <w:r>
        <w:t>Inspector presentation rules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Tabs with unavailable content remain visible with an explicit reason, rather than disappearing.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Observed fact, computed metric, AI inference and human judgement use distinct labels.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Confidence is displayed with source and calibration context—not as decorative precision.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Every recommendation has a “Why?” path to supporting evidence and assumptions.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The inspector may be widened, detached or locked to a pinned item for side-by-side work.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Destructive or privileged actions include target, environment, effect and approval in the action surface.</w:t>
      </w:r>
    </w:p>
    <w:p>
      <w:pPr>
        <w:pStyle w:val="GhoztEyebrow"/>
      </w:pPr>
      <w:r>
        <w:t>09 • RAW OPERATIONAL RECORD</w:t>
      </w:r>
    </w:p>
    <w:p>
      <w:pPr>
        <w:pStyle w:val="Heading1"/>
        <w:pBdr>
          <w:bottom w:val="single" w:sz="8" w:space="1" w:color="BFD0D6"/>
        </w:pBdr>
      </w:pPr>
      <w:r>
        <w:t>Black-box stream and event surfaces</w:t>
      </w:r>
    </w:p>
    <w:p>
      <w:pPr>
        <w:pStyle w:val="GhoztLead"/>
      </w:pPr>
      <w:r>
        <w:rPr>
          <w:rFonts w:ascii="Inter" w:hAnsi="Inter" w:eastAsia="Inter"/>
          <w:i w:val="0"/>
          <w:color w:val="2A3942"/>
          <w:sz w:val="24"/>
        </w:rPr>
        <w:t>The black-box stream is not a decorative terminal. It is a structured, time-synchronised evidence surface that can be read quickly while retaining the exact raw record.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071015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line="240" w:lineRule="auto" w:after="0"/>
            </w:pPr>
            <w:r>
              <w:rPr>
                <w:rFonts w:ascii="DejaVu Sans Mono" w:hAnsi="DejaVu Sans Mono" w:eastAsia="DejaVu Sans Mono"/>
                <w:color w:val="A4D9D5"/>
                <w:sz w:val="15"/>
              </w:rPr>
              <w:t>14:26:41.881  EVT-0A92  UI.ACTION       click LoginButton          actor=AGT-04</w:t>
              <w:br/>
            </w:r>
            <w:r>
              <w:rPr>
                <w:rFonts w:ascii="DejaVu Sans Mono" w:hAnsi="DejaVu Sans Mono" w:eastAsia="DejaVu Sans Mono"/>
                <w:color w:val="A4D9D5"/>
                <w:sz w:val="15"/>
              </w:rPr>
              <w:t>14:26:41.906  EVT-0A93  STATE.DELTA     isLoading false -&gt; true   src=UI</w:t>
              <w:br/>
            </w:r>
            <w:r>
              <w:rPr>
                <w:rFonts w:ascii="DejaVu Sans Mono" w:hAnsi="DejaVu Sans Mono" w:eastAsia="DejaVu Sans Mono"/>
                <w:color w:val="A4D9D5"/>
                <w:sz w:val="15"/>
              </w:rPr>
              <w:t>14:26:41.918  EVT-0A94  HTTP.REQUEST    POST /api/session         trace=TRC-19A</w:t>
              <w:br/>
            </w:r>
            <w:r>
              <w:rPr>
                <w:rFonts w:ascii="DejaVu Sans Mono" w:hAnsi="DejaVu Sans Mono" w:eastAsia="DejaVu Sans Mono"/>
                <w:color w:val="A4D9D5"/>
                <w:sz w:val="15"/>
              </w:rPr>
              <w:t>14:26:42.322  EVT-0A95  HTTP.RESPONSE   500                       dur=404ms</w:t>
              <w:br/>
            </w:r>
            <w:r>
              <w:rPr>
                <w:rFonts w:ascii="DejaVu Sans Mono" w:hAnsi="DejaVu Sans Mono" w:eastAsia="DejaVu Sans Mono"/>
                <w:color w:val="A4D9D5"/>
                <w:sz w:val="15"/>
              </w:rPr>
              <w:t>14:26:42.329  FLT-0217  OUTPUT.MISMATCH expected authenticated    sev=HIGH</w:t>
              <w:br/>
            </w:r>
            <w:r>
              <w:rPr>
                <w:rFonts w:ascii="DejaVu Sans Mono" w:hAnsi="DejaVu Sans Mono" w:eastAsia="DejaVu Sans Mono"/>
                <w:color w:val="A4D9D5"/>
                <w:sz w:val="15"/>
              </w:rPr>
              <w:t>14:26:42.337  EVD-0084  SCREENSHOT      captured + hash sealed    sha256=…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438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7427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5"/>
              </w:rPr>
              <w:t>Interface behaviour</w:t>
            </w:r>
          </w:p>
        </w:tc>
      </w:tr>
      <w:tr>
        <w:tc>
          <w:tcPr>
            <w:tcW w:type="dxa" w:w="2438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Timestamp</w:t>
            </w:r>
          </w:p>
        </w:tc>
        <w:tc>
          <w:tcPr>
            <w:tcW w:type="dxa" w:w="7427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Show local time with millisecond precision; allow switch to UTC, relative and monotonic sequence.</w:t>
            </w:r>
          </w:p>
        </w:tc>
      </w:tr>
      <w:tr>
        <w:tc>
          <w:tcPr>
            <w:tcW w:type="dxa" w:w="2438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ID</w:t>
            </w:r>
          </w:p>
        </w:tc>
        <w:tc>
          <w:tcPr>
            <w:tcW w:type="dxa" w:w="7427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Selectable and copyable; opens event or finding inspector.</w:t>
            </w:r>
          </w:p>
        </w:tc>
      </w:tr>
      <w:tr>
        <w:tc>
          <w:tcPr>
            <w:tcW w:type="dxa" w:w="2438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Source/category</w:t>
            </w:r>
          </w:p>
        </w:tc>
        <w:tc>
          <w:tcPr>
            <w:tcW w:type="dxa" w:w="7427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Filterable icon + text; colour supports but never replaces the label.</w:t>
            </w:r>
          </w:p>
        </w:tc>
      </w:tr>
      <w:tr>
        <w:tc>
          <w:tcPr>
            <w:tcW w:type="dxa" w:w="2438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Message</w:t>
            </w:r>
          </w:p>
        </w:tc>
        <w:tc>
          <w:tcPr>
            <w:tcW w:type="dxa" w:w="7427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Human-scannable summary with expandable structured payload.</w:t>
            </w:r>
          </w:p>
        </w:tc>
      </w:tr>
      <w:tr>
        <w:tc>
          <w:tcPr>
            <w:tcW w:type="dxa" w:w="2438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Trace relationship</w:t>
            </w:r>
          </w:p>
        </w:tc>
        <w:tc>
          <w:tcPr>
            <w:tcW w:type="dxa" w:w="7427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Jump to parent/child event, request, span, action or state delta.</w:t>
            </w:r>
          </w:p>
        </w:tc>
      </w:tr>
      <w:tr>
        <w:tc>
          <w:tcPr>
            <w:tcW w:type="dxa" w:w="2438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Evidence</w:t>
            </w:r>
          </w:p>
        </w:tc>
        <w:tc>
          <w:tcPr>
            <w:tcW w:type="dxa" w:w="7427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Indicate capture, hash, redaction and chain-of-custody state.</w:t>
            </w:r>
          </w:p>
        </w:tc>
      </w:tr>
      <w:tr>
        <w:tc>
          <w:tcPr>
            <w:tcW w:type="dxa" w:w="2438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Severity</w:t>
            </w:r>
          </w:p>
        </w:tc>
        <w:tc>
          <w:tcPr>
            <w:tcW w:type="dxa" w:w="7427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Stable semantic badge; do not colour the entire row unless critical.</w:t>
            </w:r>
          </w:p>
        </w:tc>
      </w:tr>
      <w:tr>
        <w:tc>
          <w:tcPr>
            <w:tcW w:type="dxa" w:w="2438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Live control</w:t>
            </w:r>
          </w:p>
        </w:tc>
        <w:tc>
          <w:tcPr>
            <w:tcW w:type="dxa" w:w="7427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Pause visual streaming without stopping execution; resume without losing events.</w:t>
            </w:r>
          </w:p>
        </w:tc>
      </w:tr>
    </w:tbl>
    <w:p>
      <w:pPr>
        <w:spacing w:after="0"/>
      </w:pPr>
    </w:p>
    <w:p>
      <w:pPr>
        <w:pStyle w:val="Heading2"/>
      </w:pPr>
      <w:r>
        <w:t>Stream views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Unified chronological stream.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UI actions and accessibility tree.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Network and service trace.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Application logs and exceptions.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State and data deltas.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Resource, performance and device telemetry.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Agent decisions, tool calls and approvals.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Evidence capture and sealing events.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Security and permission events.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User annotations and review decisions.</w:t>
      </w:r>
    </w:p>
    <w:p>
      <w:pPr>
        <w:pStyle w:val="GhoztEyebrow"/>
      </w:pPr>
      <w:r>
        <w:t>10 • REUSABLE COMPONENT SYSTEM</w:t>
      </w:r>
    </w:p>
    <w:p>
      <w:pPr>
        <w:pStyle w:val="Heading1"/>
        <w:pBdr>
          <w:bottom w:val="single" w:sz="8" w:space="1" w:color="BFD0D6"/>
        </w:pBdr>
      </w:pPr>
      <w:r>
        <w:t>Complete UI element catalogue</w:t>
      </w:r>
    </w:p>
    <w:p>
      <w:pPr>
        <w:pStyle w:val="Heading2"/>
      </w:pPr>
      <w:r>
        <w:t>Application chrome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721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4"/>
              </w:rPr>
              <w:t>Component</w:t>
            </w:r>
          </w:p>
        </w:tc>
        <w:tc>
          <w:tcPr>
            <w:tcW w:type="dxa" w:w="7143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4"/>
              </w:rPr>
              <w:t>Contract</w:t>
            </w:r>
          </w:p>
        </w:tc>
      </w:tr>
      <w:tr>
        <w:tc>
          <w:tcPr>
            <w:tcW w:type="dxa" w:w="2721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GhoztTitleBar</w:t>
            </w:r>
          </w:p>
        </w:tc>
        <w:tc>
          <w:tcPr>
            <w:tcW w:type="dxa" w:w="7143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Window drag region, target summary, connection, global search, theme and window controls.</w:t>
            </w:r>
          </w:p>
        </w:tc>
      </w:tr>
      <w:tr>
        <w:tc>
          <w:tcPr>
            <w:tcW w:type="dxa" w:w="2721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RestrictedStatusStrip</w:t>
            </w:r>
          </w:p>
        </w:tc>
        <w:tc>
          <w:tcPr>
            <w:tcW w:type="dxa" w:w="7143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Persistent target/build/environment/access/run/recorder truth.</w:t>
            </w:r>
          </w:p>
        </w:tc>
      </w:tr>
      <w:tr>
        <w:tc>
          <w:tcPr>
            <w:tcW w:type="dxa" w:w="2721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OperationsRail</w:t>
            </w:r>
          </w:p>
        </w:tc>
        <w:tc>
          <w:tcPr>
            <w:tcW w:type="dxa" w:w="7143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Primary workspace navigation with compact and expanded modes.</w:t>
            </w:r>
          </w:p>
        </w:tc>
      </w:tr>
      <w:tr>
        <w:tc>
          <w:tcPr>
            <w:tcW w:type="dxa" w:w="2721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WorkspaceHeader</w:t>
            </w:r>
          </w:p>
        </w:tc>
        <w:tc>
          <w:tcPr>
            <w:tcW w:type="dxa" w:w="7143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Breadcrumb, title, scope, filters, status and primary actions.</w:t>
            </w:r>
          </w:p>
        </w:tc>
      </w:tr>
      <w:tr>
        <w:tc>
          <w:tcPr>
            <w:tcW w:type="dxa" w:w="2721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PanelDock</w:t>
            </w:r>
          </w:p>
        </w:tc>
        <w:tc>
          <w:tcPr>
            <w:tcW w:type="dxa" w:w="7143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Dock, resize, collapse, pin, detach and restore panels.</w:t>
            </w:r>
          </w:p>
        </w:tc>
      </w:tr>
      <w:tr>
        <w:tc>
          <w:tcPr>
            <w:tcW w:type="dxa" w:w="2721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BlackBoxTray</w:t>
            </w:r>
          </w:p>
        </w:tc>
        <w:tc>
          <w:tcPr>
            <w:tcW w:type="dxa" w:w="7143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Raw event stream in collapsed, peek, expanded and detached modes.</w:t>
            </w:r>
          </w:p>
        </w:tc>
      </w:tr>
      <w:tr>
        <w:tc>
          <w:tcPr>
            <w:tcW w:type="dxa" w:w="2721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CommandPalette</w:t>
            </w:r>
          </w:p>
        </w:tc>
        <w:tc>
          <w:tcPr>
            <w:tcW w:type="dxa" w:w="7143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Search targets, workspaces, entities and governed actions.</w:t>
            </w:r>
          </w:p>
        </w:tc>
      </w:tr>
      <w:tr>
        <w:tc>
          <w:tcPr>
            <w:tcW w:type="dxa" w:w="2721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GlobalEmergencyControl</w:t>
            </w:r>
          </w:p>
        </w:tc>
        <w:tc>
          <w:tcPr>
            <w:tcW w:type="dxa" w:w="7143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Pause, stop, cancel-after-step, contain and explain effects.</w:t>
            </w:r>
          </w:p>
        </w:tc>
      </w:tr>
    </w:tbl>
    <w:p>
      <w:pPr>
        <w:spacing w:after="0"/>
      </w:pPr>
    </w:p>
    <w:p>
      <w:pPr>
        <w:pStyle w:val="Heading2"/>
      </w:pPr>
      <w:r>
        <w:t>Actions and input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721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4"/>
              </w:rPr>
              <w:t>Component</w:t>
            </w:r>
          </w:p>
        </w:tc>
        <w:tc>
          <w:tcPr>
            <w:tcW w:type="dxa" w:w="7143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4"/>
              </w:rPr>
              <w:t>Contract</w:t>
            </w:r>
          </w:p>
        </w:tc>
      </w:tr>
      <w:tr>
        <w:tc>
          <w:tcPr>
            <w:tcW w:type="dxa" w:w="2721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PrimaryActionButton</w:t>
            </w:r>
          </w:p>
        </w:tc>
        <w:tc>
          <w:tcPr>
            <w:tcW w:type="dxa" w:w="7143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One dominant local action; label uses a direct verb.</w:t>
            </w:r>
          </w:p>
        </w:tc>
      </w:tr>
      <w:tr>
        <w:tc>
          <w:tcPr>
            <w:tcW w:type="dxa" w:w="2721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SecondaryButton</w:t>
            </w:r>
          </w:p>
        </w:tc>
        <w:tc>
          <w:tcPr>
            <w:tcW w:type="dxa" w:w="7143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Non-destructive adjacent action.</w:t>
            </w:r>
          </w:p>
        </w:tc>
      </w:tr>
      <w:tr>
        <w:tc>
          <w:tcPr>
            <w:tcW w:type="dxa" w:w="2721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QuietButton</w:t>
            </w:r>
          </w:p>
        </w:tc>
        <w:tc>
          <w:tcPr>
            <w:tcW w:type="dxa" w:w="7143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Low-priority inline action.</w:t>
            </w:r>
          </w:p>
        </w:tc>
      </w:tr>
      <w:tr>
        <w:tc>
          <w:tcPr>
            <w:tcW w:type="dxa" w:w="2721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IconButton</w:t>
            </w:r>
          </w:p>
        </w:tc>
        <w:tc>
          <w:tcPr>
            <w:tcW w:type="dxa" w:w="7143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Icon plus accessible name and tooltip; never icon-only for ambiguous critical action.</w:t>
            </w:r>
          </w:p>
        </w:tc>
      </w:tr>
      <w:tr>
        <w:tc>
          <w:tcPr>
            <w:tcW w:type="dxa" w:w="2721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SplitButton</w:t>
            </w:r>
          </w:p>
        </w:tc>
        <w:tc>
          <w:tcPr>
            <w:tcW w:type="dxa" w:w="7143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Default action plus governed alternatives.</w:t>
            </w:r>
          </w:p>
        </w:tc>
      </w:tr>
      <w:tr>
        <w:tc>
          <w:tcPr>
            <w:tcW w:type="dxa" w:w="2721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DestructiveActionButton</w:t>
            </w:r>
          </w:p>
        </w:tc>
        <w:tc>
          <w:tcPr>
            <w:tcW w:type="dxa" w:w="7143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Red semantic treatment, exact target/effect and confirmation.</w:t>
            </w:r>
          </w:p>
        </w:tc>
      </w:tr>
      <w:tr>
        <w:tc>
          <w:tcPr>
            <w:tcW w:type="dxa" w:w="2721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ApprovalButton</w:t>
            </w:r>
          </w:p>
        </w:tc>
        <w:tc>
          <w:tcPr>
            <w:tcW w:type="dxa" w:w="7143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Gold authority rail, approver identity and policy context.</w:t>
            </w:r>
          </w:p>
        </w:tc>
      </w:tr>
      <w:tr>
        <w:tc>
          <w:tcPr>
            <w:tcW w:type="dxa" w:w="2721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ToggleSwitch</w:t>
            </w:r>
          </w:p>
        </w:tc>
        <w:tc>
          <w:tcPr>
            <w:tcW w:type="dxa" w:w="7143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Persistent binary setting; not for immediate commands.</w:t>
            </w:r>
          </w:p>
        </w:tc>
      </w:tr>
      <w:tr>
        <w:tc>
          <w:tcPr>
            <w:tcW w:type="dxa" w:w="2721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SegmentedControl</w:t>
            </w:r>
          </w:p>
        </w:tc>
        <w:tc>
          <w:tcPr>
            <w:tcW w:type="dxa" w:w="7143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Small mutually exclusive view or mode choices.</w:t>
            </w:r>
          </w:p>
        </w:tc>
      </w:tr>
      <w:tr>
        <w:tc>
          <w:tcPr>
            <w:tcW w:type="dxa" w:w="2721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SearchField</w:t>
            </w:r>
          </w:p>
        </w:tc>
        <w:tc>
          <w:tcPr>
            <w:tcW w:type="dxa" w:w="7143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Search syntax, scope chips, saved query and clear state.</w:t>
            </w:r>
          </w:p>
        </w:tc>
      </w:tr>
      <w:tr>
        <w:tc>
          <w:tcPr>
            <w:tcW w:type="dxa" w:w="2721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CodeOrQueryEditor</w:t>
            </w:r>
          </w:p>
        </w:tc>
        <w:tc>
          <w:tcPr>
            <w:tcW w:type="dxa" w:w="7143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Monospaced editor with validation, line numbers and safe execution controls.</w:t>
            </w:r>
          </w:p>
        </w:tc>
      </w:tr>
      <w:tr>
        <w:tc>
          <w:tcPr>
            <w:tcW w:type="dxa" w:w="2721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SecretField</w:t>
            </w:r>
          </w:p>
        </w:tc>
        <w:tc>
          <w:tcPr>
            <w:tcW w:type="dxa" w:w="7143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Masked input with provider reference; no uncontrolled secret reveal.</w:t>
            </w:r>
          </w:p>
        </w:tc>
      </w:tr>
      <w:tr>
        <w:tc>
          <w:tcPr>
            <w:tcW w:type="dxa" w:w="2721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TargetPicker</w:t>
            </w:r>
          </w:p>
        </w:tc>
        <w:tc>
          <w:tcPr>
            <w:tcW w:type="dxa" w:w="7143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Target, build and environment grouped together to prevent context errors.</w:t>
            </w:r>
          </w:p>
        </w:tc>
      </w:tr>
      <w:tr>
        <w:tc>
          <w:tcPr>
            <w:tcW w:type="dxa" w:w="2721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RangeSlider</w:t>
            </w:r>
          </w:p>
        </w:tc>
        <w:tc>
          <w:tcPr>
            <w:tcW w:type="dxa" w:w="7143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Budget, confidence, time or resource range with visible values.</w:t>
            </w:r>
          </w:p>
        </w:tc>
      </w:tr>
      <w:tr>
        <w:tc>
          <w:tcPr>
            <w:tcW w:type="dxa" w:w="2721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FileDropZone</w:t>
            </w:r>
          </w:p>
        </w:tc>
        <w:tc>
          <w:tcPr>
            <w:tcW w:type="dxa" w:w="7143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Typed acceptance, scanning status and provenance.</w:t>
            </w:r>
          </w:p>
        </w:tc>
      </w:tr>
    </w:tbl>
    <w:p>
      <w:pPr>
        <w:spacing w:after="0"/>
      </w:pPr>
    </w:p>
    <w:p>
      <w:pPr>
        <w:pStyle w:val="Heading2"/>
      </w:pPr>
      <w:r>
        <w:t>State and feedback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721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4"/>
              </w:rPr>
              <w:t>Component</w:t>
            </w:r>
          </w:p>
        </w:tc>
        <w:tc>
          <w:tcPr>
            <w:tcW w:type="dxa" w:w="7143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4"/>
              </w:rPr>
              <w:t>Contract</w:t>
            </w:r>
          </w:p>
        </w:tc>
      </w:tr>
      <w:tr>
        <w:tc>
          <w:tcPr>
            <w:tcW w:type="dxa" w:w="2721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StatusBadge</w:t>
            </w:r>
          </w:p>
        </w:tc>
        <w:tc>
          <w:tcPr>
            <w:tcW w:type="dxa" w:w="7143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Text + icon + stable semantic colour.</w:t>
            </w:r>
          </w:p>
        </w:tc>
      </w:tr>
      <w:tr>
        <w:tc>
          <w:tcPr>
            <w:tcW w:type="dxa" w:w="2721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SeverityBadge</w:t>
            </w:r>
          </w:p>
        </w:tc>
        <w:tc>
          <w:tcPr>
            <w:tcW w:type="dxa" w:w="7143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Info, low, medium, high and critical with accessible label.</w:t>
            </w:r>
          </w:p>
        </w:tc>
      </w:tr>
      <w:tr>
        <w:tc>
          <w:tcPr>
            <w:tcW w:type="dxa" w:w="2721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ConfidenceIndicator</w:t>
            </w:r>
          </w:p>
        </w:tc>
        <w:tc>
          <w:tcPr>
            <w:tcW w:type="dxa" w:w="7143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Value, band and evidence/calibration source.</w:t>
            </w:r>
          </w:p>
        </w:tc>
      </w:tr>
      <w:tr>
        <w:tc>
          <w:tcPr>
            <w:tcW w:type="dxa" w:w="2721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CoverageMeter</w:t>
            </w:r>
          </w:p>
        </w:tc>
        <w:tc>
          <w:tcPr>
            <w:tcW w:type="dxa" w:w="7143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Verified, failed, blocked, waived and untested segments.</w:t>
            </w:r>
          </w:p>
        </w:tc>
      </w:tr>
      <w:tr>
        <w:tc>
          <w:tcPr>
            <w:tcW w:type="dxa" w:w="2721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ProgressRail</w:t>
            </w:r>
          </w:p>
        </w:tc>
        <w:tc>
          <w:tcPr>
            <w:tcW w:type="dxa" w:w="7143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Current phase, completed phases and next gate.</w:t>
            </w:r>
          </w:p>
        </w:tc>
      </w:tr>
      <w:tr>
        <w:tc>
          <w:tcPr>
            <w:tcW w:type="dxa" w:w="2721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LivePulse</w:t>
            </w:r>
          </w:p>
        </w:tc>
        <w:tc>
          <w:tcPr>
            <w:tcW w:type="dxa" w:w="7143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Brief event indication; never permanent animation.</w:t>
            </w:r>
          </w:p>
        </w:tc>
      </w:tr>
      <w:tr>
        <w:tc>
          <w:tcPr>
            <w:tcW w:type="dxa" w:w="2721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Toast</w:t>
            </w:r>
          </w:p>
        </w:tc>
        <w:tc>
          <w:tcPr>
            <w:tcW w:type="dxa" w:w="7143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Non-blocking outcome with action and evidence link.</w:t>
            </w:r>
          </w:p>
        </w:tc>
      </w:tr>
      <w:tr>
        <w:tc>
          <w:tcPr>
            <w:tcW w:type="dxa" w:w="2721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InlineValidation</w:t>
            </w:r>
          </w:p>
        </w:tc>
        <w:tc>
          <w:tcPr>
            <w:tcW w:type="dxa" w:w="7143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Specific input error, correction and affected action.</w:t>
            </w:r>
          </w:p>
        </w:tc>
      </w:tr>
      <w:tr>
        <w:tc>
          <w:tcPr>
            <w:tcW w:type="dxa" w:w="2721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BlockingBanner</w:t>
            </w:r>
          </w:p>
        </w:tc>
        <w:tc>
          <w:tcPr>
            <w:tcW w:type="dxa" w:w="7143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Permission, target, environment or service state that blocks execution.</w:t>
            </w:r>
          </w:p>
        </w:tc>
      </w:tr>
      <w:tr>
        <w:tc>
          <w:tcPr>
            <w:tcW w:type="dxa" w:w="2721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EmptyState</w:t>
            </w:r>
          </w:p>
        </w:tc>
        <w:tc>
          <w:tcPr>
            <w:tcW w:type="dxa" w:w="7143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Explains why no data exists and gives the next valid action.</w:t>
            </w:r>
          </w:p>
        </w:tc>
      </w:tr>
      <w:tr>
        <w:tc>
          <w:tcPr>
            <w:tcW w:type="dxa" w:w="2721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Skeleton</w:t>
            </w:r>
          </w:p>
        </w:tc>
        <w:tc>
          <w:tcPr>
            <w:tcW w:type="dxa" w:w="7143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Structure-preserving loading state.</w:t>
            </w:r>
          </w:p>
        </w:tc>
      </w:tr>
    </w:tbl>
    <w:p>
      <w:pPr>
        <w:spacing w:after="0"/>
      </w:pPr>
    </w:p>
    <w:p>
      <w:pPr>
        <w:pStyle w:val="Heading2"/>
      </w:pPr>
      <w:r>
        <w:t>Data and analysis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721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4"/>
              </w:rPr>
              <w:t>Component</w:t>
            </w:r>
          </w:p>
        </w:tc>
        <w:tc>
          <w:tcPr>
            <w:tcW w:type="dxa" w:w="7143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4"/>
              </w:rPr>
              <w:t>Contract</w:t>
            </w:r>
          </w:p>
        </w:tc>
      </w:tr>
      <w:tr>
        <w:tc>
          <w:tcPr>
            <w:tcW w:type="dxa" w:w="2721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EvidenceTable</w:t>
            </w:r>
          </w:p>
        </w:tc>
        <w:tc>
          <w:tcPr>
            <w:tcW w:type="dxa" w:w="7143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Sortable, filterable, column-managed, virtualised and exportable.</w:t>
            </w:r>
          </w:p>
        </w:tc>
      </w:tr>
      <w:tr>
        <w:tc>
          <w:tcPr>
            <w:tcW w:type="dxa" w:w="2721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FindingCard</w:t>
            </w:r>
          </w:p>
        </w:tc>
        <w:tc>
          <w:tcPr>
            <w:tcW w:type="dxa" w:w="7143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Severity, title, reproduction, confidence, evidence and owner.</w:t>
            </w:r>
          </w:p>
        </w:tc>
      </w:tr>
      <w:tr>
        <w:tc>
          <w:tcPr>
            <w:tcW w:type="dxa" w:w="2721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HypothesisCard</w:t>
            </w:r>
          </w:p>
        </w:tc>
        <w:tc>
          <w:tcPr>
            <w:tcW w:type="dxa" w:w="7143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Claim, supporting/contradicting evidence, confidence and challenge action.</w:t>
            </w:r>
          </w:p>
        </w:tc>
      </w:tr>
      <w:tr>
        <w:tc>
          <w:tcPr>
            <w:tcW w:type="dxa" w:w="2721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TestCaseCard</w:t>
            </w:r>
          </w:p>
        </w:tc>
        <w:tc>
          <w:tcPr>
            <w:tcW w:type="dxa" w:w="7143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Intent, preconditions, steps, expected outcome, owner and regression state.</w:t>
            </w:r>
          </w:p>
        </w:tc>
      </w:tr>
      <w:tr>
        <w:tc>
          <w:tcPr>
            <w:tcW w:type="dxa" w:w="2721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RunCard</w:t>
            </w:r>
          </w:p>
        </w:tc>
        <w:tc>
          <w:tcPr>
            <w:tcW w:type="dxa" w:w="7143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Target, build, environment, scope, status, evidence and duration.</w:t>
            </w:r>
          </w:p>
        </w:tc>
      </w:tr>
      <w:tr>
        <w:tc>
          <w:tcPr>
            <w:tcW w:type="dxa" w:w="2721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DiffViewer</w:t>
            </w:r>
          </w:p>
        </w:tc>
        <w:tc>
          <w:tcPr>
            <w:tcW w:type="dxa" w:w="7143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Text, JSON, DOM, image, table, model and state differences.</w:t>
            </w:r>
          </w:p>
        </w:tc>
      </w:tr>
      <w:tr>
        <w:tc>
          <w:tcPr>
            <w:tcW w:type="dxa" w:w="2721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Timeline</w:t>
            </w:r>
          </w:p>
        </w:tc>
        <w:tc>
          <w:tcPr>
            <w:tcW w:type="dxa" w:w="7143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Synchronised events with zoom, lanes, markers and breakpoints.</w:t>
            </w:r>
          </w:p>
        </w:tc>
      </w:tr>
      <w:tr>
        <w:tc>
          <w:tcPr>
            <w:tcW w:type="dxa" w:w="2721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Waterfall</w:t>
            </w:r>
          </w:p>
        </w:tc>
        <w:tc>
          <w:tcPr>
            <w:tcW w:type="dxa" w:w="7143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Requests, tasks, spans or algorithm stages with duration and dependencies.</w:t>
            </w:r>
          </w:p>
        </w:tc>
      </w:tr>
      <w:tr>
        <w:tc>
          <w:tcPr>
            <w:tcW w:type="dxa" w:w="2721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Heatmap</w:t>
            </w:r>
          </w:p>
        </w:tc>
        <w:tc>
          <w:tcPr>
            <w:tcW w:type="dxa" w:w="7143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Coverage, latency, risk or fault frequency with accessible data table.</w:t>
            </w:r>
          </w:p>
        </w:tc>
      </w:tr>
      <w:tr>
        <w:tc>
          <w:tcPr>
            <w:tcW w:type="dxa" w:w="2721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MetricTile</w:t>
            </w:r>
          </w:p>
        </w:tc>
        <w:tc>
          <w:tcPr>
            <w:tcW w:type="dxa" w:w="7143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Single metric plus definition, scope, trend and quality warning.</w:t>
            </w:r>
          </w:p>
        </w:tc>
      </w:tr>
      <w:tr>
        <w:tc>
          <w:tcPr>
            <w:tcW w:type="dxa" w:w="2721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Chart</w:t>
            </w:r>
          </w:p>
        </w:tc>
        <w:tc>
          <w:tcPr>
            <w:tcW w:type="dxa" w:w="7143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Accessible quantitative visual with data export and no decorative 3D.</w:t>
            </w:r>
          </w:p>
        </w:tc>
      </w:tr>
      <w:tr>
        <w:tc>
          <w:tcPr>
            <w:tcW w:type="dxa" w:w="2721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TreeView</w:t>
            </w:r>
          </w:p>
        </w:tc>
        <w:tc>
          <w:tcPr>
            <w:tcW w:type="dxa" w:w="7143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Hierarchy with lazy loading, search and stable selection.</w:t>
            </w:r>
          </w:p>
        </w:tc>
      </w:tr>
      <w:tr>
        <w:tc>
          <w:tcPr>
            <w:tcW w:type="dxa" w:w="2721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VirtualisedLogGrid</w:t>
            </w:r>
          </w:p>
        </w:tc>
        <w:tc>
          <w:tcPr>
            <w:tcW w:type="dxa" w:w="7143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High-volume logs with structured columns and raw payload.</w:t>
            </w:r>
          </w:p>
        </w:tc>
      </w:tr>
    </w:tbl>
    <w:p>
      <w:pPr>
        <w:spacing w:after="0"/>
      </w:pPr>
    </w:p>
    <w:p>
      <w:pPr>
        <w:pStyle w:val="Heading2"/>
      </w:pPr>
      <w:r>
        <w:t>Forensics and evidence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721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4"/>
              </w:rPr>
              <w:t>Component</w:t>
            </w:r>
          </w:p>
        </w:tc>
        <w:tc>
          <w:tcPr>
            <w:tcW w:type="dxa" w:w="7143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4"/>
              </w:rPr>
              <w:t>Contract</w:t>
            </w:r>
          </w:p>
        </w:tc>
      </w:tr>
      <w:tr>
        <w:tc>
          <w:tcPr>
            <w:tcW w:type="dxa" w:w="2721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StateNode</w:t>
            </w:r>
          </w:p>
        </w:tc>
        <w:tc>
          <w:tcPr>
            <w:tcW w:type="dxa" w:w="7143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Typed node with observed/expected/verified status.</w:t>
            </w:r>
          </w:p>
        </w:tc>
      </w:tr>
      <w:tr>
        <w:tc>
          <w:tcPr>
            <w:tcW w:type="dxa" w:w="2721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TransitionEdge</w:t>
            </w:r>
          </w:p>
        </w:tc>
        <w:tc>
          <w:tcPr>
            <w:tcW w:type="dxa" w:w="7143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Typed relationship with sequence, condition and evidence.</w:t>
            </w:r>
          </w:p>
        </w:tc>
      </w:tr>
      <w:tr>
        <w:tc>
          <w:tcPr>
            <w:tcW w:type="dxa" w:w="2721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FaultFingerprint</w:t>
            </w:r>
          </w:p>
        </w:tc>
        <w:tc>
          <w:tcPr>
            <w:tcW w:type="dxa" w:w="7143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Stable signature from exception, state, path, output and environment.</w:t>
            </w:r>
          </w:p>
        </w:tc>
      </w:tr>
      <w:tr>
        <w:tc>
          <w:tcPr>
            <w:tcW w:type="dxa" w:w="2721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ReproductionMatrix</w:t>
            </w:r>
          </w:p>
        </w:tc>
        <w:tc>
          <w:tcPr>
            <w:tcW w:type="dxa" w:w="7143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Conditions versus attempts, outcomes and evidence.</w:t>
            </w:r>
          </w:p>
        </w:tc>
      </w:tr>
      <w:tr>
        <w:tc>
          <w:tcPr>
            <w:tcW w:type="dxa" w:w="2721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CounterfactualBranch</w:t>
            </w:r>
          </w:p>
        </w:tc>
        <w:tc>
          <w:tcPr>
            <w:tcW w:type="dxa" w:w="7143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Alternative factor and result, visibly separated from observed history.</w:t>
            </w:r>
          </w:p>
        </w:tc>
      </w:tr>
      <w:tr>
        <w:tc>
          <w:tcPr>
            <w:tcW w:type="dxa" w:w="2721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CausalChain</w:t>
            </w:r>
          </w:p>
        </w:tc>
        <w:tc>
          <w:tcPr>
            <w:tcW w:type="dxa" w:w="7143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Trigger, enabling conditions, deviation and downstream effect.</w:t>
            </w:r>
          </w:p>
        </w:tc>
      </w:tr>
      <w:tr>
        <w:tc>
          <w:tcPr>
            <w:tcW w:type="dxa" w:w="2721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EvidenceViewer</w:t>
            </w:r>
          </w:p>
        </w:tc>
        <w:tc>
          <w:tcPr>
            <w:tcW w:type="dxa" w:w="7143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Images, video, audio, logs, traces, documents and structured payloads.</w:t>
            </w:r>
          </w:p>
        </w:tc>
      </w:tr>
      <w:tr>
        <w:tc>
          <w:tcPr>
            <w:tcW w:type="dxa" w:w="2721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ChainOfCustodyPanel</w:t>
            </w:r>
          </w:p>
        </w:tc>
        <w:tc>
          <w:tcPr>
            <w:tcW w:type="dxa" w:w="7143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Actor, source, capture, hash, access, transformation and retention.</w:t>
            </w:r>
          </w:p>
        </w:tc>
      </w:tr>
      <w:tr>
        <w:tc>
          <w:tcPr>
            <w:tcW w:type="dxa" w:w="2721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RedactionTool</w:t>
            </w:r>
          </w:p>
        </w:tc>
        <w:tc>
          <w:tcPr>
            <w:tcW w:type="dxa" w:w="7143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Mask sensitive regions or fields while preserving original under permission.</w:t>
            </w:r>
          </w:p>
        </w:tc>
      </w:tr>
      <w:tr>
        <w:tc>
          <w:tcPr>
            <w:tcW w:type="dxa" w:w="2721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EvidenceSeal</w:t>
            </w:r>
          </w:p>
        </w:tc>
        <w:tc>
          <w:tcPr>
            <w:tcW w:type="dxa" w:w="7143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Verification, hash and reviewer state; gold only when complete.</w:t>
            </w:r>
          </w:p>
        </w:tc>
      </w:tr>
      <w:tr>
        <w:tc>
          <w:tcPr>
            <w:tcW w:type="dxa" w:w="2721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AnnotationLayer</w:t>
            </w:r>
          </w:p>
        </w:tc>
        <w:tc>
          <w:tcPr>
            <w:tcW w:type="dxa" w:w="7143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Timestamped, attributable notes anchored to evidence.</w:t>
            </w:r>
          </w:p>
        </w:tc>
      </w:tr>
    </w:tbl>
    <w:p>
      <w:pPr>
        <w:spacing w:after="0"/>
      </w:pPr>
    </w:p>
    <w:p>
      <w:pPr>
        <w:pStyle w:val="Heading2"/>
      </w:pPr>
      <w:r>
        <w:t>Overlays and governed decisions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721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4"/>
              </w:rPr>
              <w:t>Component</w:t>
            </w:r>
          </w:p>
        </w:tc>
        <w:tc>
          <w:tcPr>
            <w:tcW w:type="dxa" w:w="7143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4"/>
              </w:rPr>
              <w:t>Contract</w:t>
            </w:r>
          </w:p>
        </w:tc>
      </w:tr>
      <w:tr>
        <w:tc>
          <w:tcPr>
            <w:tcW w:type="dxa" w:w="2721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InspectorDrawer</w:t>
            </w:r>
          </w:p>
        </w:tc>
        <w:tc>
          <w:tcPr>
            <w:tcW w:type="dxa" w:w="7143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Contextual, pinnable and detachable detail panel.</w:t>
            </w:r>
          </w:p>
        </w:tc>
      </w:tr>
      <w:tr>
        <w:tc>
          <w:tcPr>
            <w:tcW w:type="dxa" w:w="2721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ModalDialog</w:t>
            </w:r>
          </w:p>
        </w:tc>
        <w:tc>
          <w:tcPr>
            <w:tcW w:type="dxa" w:w="7143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Single bounded decision; no nested modal chains.</w:t>
            </w:r>
          </w:p>
        </w:tc>
      </w:tr>
      <w:tr>
        <w:tc>
          <w:tcPr>
            <w:tcW w:type="dxa" w:w="2721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ApprovalSheet</w:t>
            </w:r>
          </w:p>
        </w:tc>
        <w:tc>
          <w:tcPr>
            <w:tcW w:type="dxa" w:w="7143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Policy, target, effect, evidence and approver.</w:t>
            </w:r>
          </w:p>
        </w:tc>
      </w:tr>
      <w:tr>
        <w:tc>
          <w:tcPr>
            <w:tcW w:type="dxa" w:w="2721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DestructiveGate</w:t>
            </w:r>
          </w:p>
        </w:tc>
        <w:tc>
          <w:tcPr>
            <w:tcW w:type="dxa" w:w="7143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Typed confirmation and optional second approver.</w:t>
            </w:r>
          </w:p>
        </w:tc>
      </w:tr>
      <w:tr>
        <w:tc>
          <w:tcPr>
            <w:tcW w:type="dxa" w:w="2721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PermissionGate</w:t>
            </w:r>
          </w:p>
        </w:tc>
        <w:tc>
          <w:tcPr>
            <w:tcW w:type="dxa" w:w="7143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Required role, missing permission and request path.</w:t>
            </w:r>
          </w:p>
        </w:tc>
      </w:tr>
      <w:tr>
        <w:tc>
          <w:tcPr>
            <w:tcW w:type="dxa" w:w="2721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ConflictDialog</w:t>
            </w:r>
          </w:p>
        </w:tc>
        <w:tc>
          <w:tcPr>
            <w:tcW w:type="dxa" w:w="7143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Competing edits, runs or state with compare and resolution.</w:t>
            </w:r>
          </w:p>
        </w:tc>
      </w:tr>
      <w:tr>
        <w:tc>
          <w:tcPr>
            <w:tcW w:type="dxa" w:w="2721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RunPlanReview</w:t>
            </w:r>
          </w:p>
        </w:tc>
        <w:tc>
          <w:tcPr>
            <w:tcW w:type="dxa" w:w="7143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Scope, agents, actions, budgets, risks, exclusions and evidence plan.</w:t>
            </w:r>
          </w:p>
        </w:tc>
      </w:tr>
      <w:tr>
        <w:tc>
          <w:tcPr>
            <w:tcW w:type="dxa" w:w="2721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ClearanceDecisionSheet</w:t>
            </w:r>
          </w:p>
        </w:tc>
        <w:tc>
          <w:tcPr>
            <w:tcW w:type="dxa" w:w="7143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4"/>
              </w:rPr>
              <w:t>Gate results, residual risk, waivers, signatures and issue action.</w:t>
            </w:r>
          </w:p>
        </w:tc>
      </w:tr>
    </w:tbl>
    <w:p>
      <w:pPr>
        <w:spacing w:after="0"/>
      </w:pPr>
    </w:p>
    <w:p>
      <w:pPr>
        <w:pStyle w:val="GhoztEyebrow"/>
      </w:pPr>
      <w:r>
        <w:t>11 • SCREEN-BY-SCREEN BLUEPRINT</w:t>
      </w:r>
    </w:p>
    <w:p>
      <w:pPr>
        <w:pStyle w:val="Heading1"/>
        <w:pBdr>
          <w:bottom w:val="single" w:sz="8" w:space="1" w:color="BFD0D6"/>
        </w:pBdr>
      </w:pPr>
      <w:r>
        <w:t>Workspace-specific interface specification</w:t>
      </w:r>
    </w:p>
    <w:p>
      <w:pPr>
        <w:pStyle w:val="Heading2"/>
      </w:pPr>
      <w:r>
        <w:t>Targets</w:t>
      </w:r>
    </w:p>
    <w:p>
      <w:pPr>
        <w:pStyle w:val="ListBullet"/>
        <w:spacing w:after="40"/>
        <w:ind w:left="283" w:hanging="142"/>
      </w:pPr>
      <w:r>
        <w:rPr>
          <w:rFonts w:ascii="Inter" w:hAnsi="Inter" w:eastAsia="Inter"/>
          <w:color w:val="10171D"/>
          <w:sz w:val="18"/>
        </w:rPr>
        <w:t>Target registry with card and table views; search by project, product, repository, environment and status.</w:t>
      </w:r>
    </w:p>
    <w:p>
      <w:pPr>
        <w:pStyle w:val="ListBullet"/>
        <w:spacing w:after="40"/>
        <w:ind w:left="283" w:hanging="142"/>
      </w:pPr>
      <w:r>
        <w:rPr>
          <w:rFonts w:ascii="Inter" w:hAnsi="Inter" w:eastAsia="Inter"/>
          <w:color w:val="10171D"/>
          <w:sz w:val="18"/>
        </w:rPr>
        <w:t>Target onboarding wizard: identify target type, ownership, build source, launch method, endpoints, credentials, reset hooks, data sensitivity and permission scope.</w:t>
      </w:r>
    </w:p>
    <w:p>
      <w:pPr>
        <w:pStyle w:val="ListBullet"/>
        <w:spacing w:after="40"/>
        <w:ind w:left="283" w:hanging="142"/>
      </w:pPr>
      <w:r>
        <w:rPr>
          <w:rFonts w:ascii="Inter" w:hAnsi="Inter" w:eastAsia="Inter"/>
          <w:color w:val="10171D"/>
          <w:sz w:val="18"/>
        </w:rPr>
        <w:t>Capability probe showing available UI driver, source access, API access, logs, traces, database, device, container and CI integration.</w:t>
      </w:r>
    </w:p>
    <w:p>
      <w:pPr>
        <w:pStyle w:val="ListBullet"/>
        <w:spacing w:after="40"/>
        <w:ind w:left="283" w:hanging="142"/>
      </w:pPr>
      <w:r>
        <w:rPr>
          <w:rFonts w:ascii="Inter" w:hAnsi="Inter" w:eastAsia="Inter"/>
          <w:color w:val="10171D"/>
          <w:sz w:val="18"/>
        </w:rPr>
        <w:t>Environment colour band and persistent production warning treatment.</w:t>
      </w:r>
    </w:p>
    <w:p>
      <w:pPr>
        <w:pStyle w:val="ListBullet"/>
        <w:spacing w:after="40"/>
        <w:ind w:left="283" w:hanging="142"/>
      </w:pPr>
      <w:r>
        <w:rPr>
          <w:rFonts w:ascii="Inter" w:hAnsi="Inter" w:eastAsia="Inter"/>
          <w:color w:val="10171D"/>
          <w:sz w:val="18"/>
        </w:rPr>
        <w:t>Target health panel with connection, launch, authentication, instrumentation and reset validation.</w:t>
      </w:r>
    </w:p>
    <w:p>
      <w:pPr>
        <w:pStyle w:val="ListBullet"/>
        <w:spacing w:after="40"/>
        <w:ind w:left="283" w:hanging="142"/>
      </w:pPr>
      <w:r>
        <w:rPr>
          <w:rFonts w:ascii="Inter" w:hAnsi="Inter" w:eastAsia="Inter"/>
          <w:color w:val="10171D"/>
          <w:sz w:val="18"/>
        </w:rPr>
        <w:t>History of builds, manifests, runs, findings, evidence and clearance.</w:t>
      </w:r>
    </w:p>
    <w:p>
      <w:pPr>
        <w:pStyle w:val="Heading2"/>
      </w:pPr>
      <w:r>
        <w:t>Sweep</w:t>
      </w:r>
    </w:p>
    <w:p>
      <w:pPr>
        <w:pStyle w:val="ListBullet"/>
        <w:spacing w:after="40"/>
        <w:ind w:left="283" w:hanging="142"/>
      </w:pPr>
      <w:r>
        <w:rPr>
          <w:rFonts w:ascii="Inter" w:hAnsi="Inter" w:eastAsia="Inter"/>
          <w:color w:val="10171D"/>
          <w:sz w:val="18"/>
        </w:rPr>
        <w:t>Scope composer that can select product, subsystem, feature, route, endpoint, algorithm, risk class and changed files.</w:t>
      </w:r>
    </w:p>
    <w:p>
      <w:pPr>
        <w:pStyle w:val="ListBullet"/>
        <w:spacing w:after="40"/>
        <w:ind w:left="283" w:hanging="142"/>
      </w:pPr>
      <w:r>
        <w:rPr>
          <w:rFonts w:ascii="Inter" w:hAnsi="Inter" w:eastAsia="Inter"/>
          <w:color w:val="10171D"/>
          <w:sz w:val="18"/>
        </w:rPr>
        <w:t>Run-mode presets: smoke, changed-area, full sweep, deep forensic, performance, security-authorised, algorithm validation and deployment certification.</w:t>
      </w:r>
    </w:p>
    <w:p>
      <w:pPr>
        <w:pStyle w:val="ListBullet"/>
        <w:spacing w:after="40"/>
        <w:ind w:left="283" w:hanging="142"/>
      </w:pPr>
      <w:r>
        <w:rPr>
          <w:rFonts w:ascii="Inter" w:hAnsi="Inter" w:eastAsia="Inter"/>
          <w:color w:val="10171D"/>
          <w:sz w:val="18"/>
        </w:rPr>
        <w:t>Agent and adapter plan with explicit roles, tools, permissions, budgets and expected evidence.</w:t>
      </w:r>
    </w:p>
    <w:p>
      <w:pPr>
        <w:pStyle w:val="ListBullet"/>
        <w:spacing w:after="40"/>
        <w:ind w:left="283" w:hanging="142"/>
      </w:pPr>
      <w:r>
        <w:rPr>
          <w:rFonts w:ascii="Inter" w:hAnsi="Inter" w:eastAsia="Inter"/>
          <w:color w:val="10171D"/>
          <w:sz w:val="18"/>
        </w:rPr>
        <w:t>Exploration budget controls for time, state count, depth, combinations, resource use and destructive actions.</w:t>
      </w:r>
    </w:p>
    <w:p>
      <w:pPr>
        <w:pStyle w:val="ListBullet"/>
        <w:spacing w:after="40"/>
        <w:ind w:left="283" w:hanging="142"/>
      </w:pPr>
      <w:r>
        <w:rPr>
          <w:rFonts w:ascii="Inter" w:hAnsi="Inter" w:eastAsia="Inter"/>
          <w:color w:val="10171D"/>
          <w:sz w:val="18"/>
        </w:rPr>
        <w:t>Pre-flight validation with blockers, warnings, environment snapshot and approval.</w:t>
      </w:r>
    </w:p>
    <w:p>
      <w:pPr>
        <w:pStyle w:val="ListBullet"/>
        <w:spacing w:after="40"/>
        <w:ind w:left="283" w:hanging="142"/>
      </w:pPr>
      <w:r>
        <w:rPr>
          <w:rFonts w:ascii="Inter" w:hAnsi="Inter" w:eastAsia="Inter"/>
          <w:color w:val="10171D"/>
          <w:sz w:val="18"/>
        </w:rPr>
        <w:t>Live execution board: phases, queues, worker status, discovered scope, progress, anomalies and stop controls.</w:t>
      </w:r>
    </w:p>
    <w:p>
      <w:pPr>
        <w:pStyle w:val="Heading2"/>
      </w:pPr>
      <w:r>
        <w:t>Faults</w:t>
      </w:r>
    </w:p>
    <w:p>
      <w:pPr>
        <w:pStyle w:val="ListBullet"/>
        <w:spacing w:after="40"/>
        <w:ind w:left="283" w:hanging="142"/>
      </w:pPr>
      <w:r>
        <w:rPr>
          <w:rFonts w:ascii="Inter" w:hAnsi="Inter" w:eastAsia="Inter"/>
          <w:color w:val="10171D"/>
          <w:sz w:val="18"/>
        </w:rPr>
        <w:t>Queue views by severity, reproducibility, ownership, age, affected build, evidence completeness and causal status.</w:t>
      </w:r>
    </w:p>
    <w:p>
      <w:pPr>
        <w:pStyle w:val="ListBullet"/>
        <w:spacing w:after="40"/>
        <w:ind w:left="283" w:hanging="142"/>
      </w:pPr>
      <w:r>
        <w:rPr>
          <w:rFonts w:ascii="Inter" w:hAnsi="Inter" w:eastAsia="Inter"/>
          <w:color w:val="10171D"/>
          <w:sz w:val="18"/>
        </w:rPr>
        <w:t>Bulk triage that never permits bulk closure without evidence or policy.</w:t>
      </w:r>
    </w:p>
    <w:p>
      <w:pPr>
        <w:pStyle w:val="ListBullet"/>
        <w:spacing w:after="40"/>
        <w:ind w:left="283" w:hanging="142"/>
      </w:pPr>
      <w:r>
        <w:rPr>
          <w:rFonts w:ascii="Inter" w:hAnsi="Inter" w:eastAsia="Inter"/>
          <w:color w:val="10171D"/>
          <w:sz w:val="18"/>
        </w:rPr>
        <w:t>Fault comparison and fingerprint clustering to avoid duplicate backlog items.</w:t>
      </w:r>
    </w:p>
    <w:p>
      <w:pPr>
        <w:pStyle w:val="ListBullet"/>
        <w:spacing w:after="40"/>
        <w:ind w:left="283" w:hanging="142"/>
      </w:pPr>
      <w:r>
        <w:rPr>
          <w:rFonts w:ascii="Inter" w:hAnsi="Inter" w:eastAsia="Inter"/>
          <w:color w:val="10171D"/>
          <w:sz w:val="18"/>
        </w:rPr>
        <w:t>Workflow states: New → Confirming → Reproduced → Cause Supported → Fix Ready → Re-test → Verified / Waived / Rejected.</w:t>
      </w:r>
    </w:p>
    <w:p>
      <w:pPr>
        <w:pStyle w:val="ListBullet"/>
        <w:spacing w:after="40"/>
        <w:ind w:left="283" w:hanging="142"/>
      </w:pPr>
      <w:r>
        <w:rPr>
          <w:rFonts w:ascii="Inter" w:hAnsi="Inter" w:eastAsia="Inter"/>
          <w:color w:val="10171D"/>
          <w:sz w:val="18"/>
        </w:rPr>
        <w:t>Backlog integration with owner, reproduction steps, evidence links, affected scope and regression guard.</w:t>
      </w:r>
    </w:p>
    <w:p>
      <w:pPr>
        <w:pStyle w:val="Heading2"/>
      </w:pPr>
      <w:r>
        <w:t>Replay</w:t>
      </w:r>
    </w:p>
    <w:p>
      <w:pPr>
        <w:pStyle w:val="ListBullet"/>
        <w:spacing w:after="40"/>
        <w:ind w:left="283" w:hanging="142"/>
      </w:pPr>
      <w:r>
        <w:rPr>
          <w:rFonts w:ascii="Inter" w:hAnsi="Inter" w:eastAsia="Inter"/>
          <w:color w:val="10171D"/>
          <w:sz w:val="18"/>
        </w:rPr>
        <w:t>Synchronized panes for video/screenshot frames, UI tree, actions, network, logs, state, resources and agent decisions.</w:t>
      </w:r>
    </w:p>
    <w:p>
      <w:pPr>
        <w:pStyle w:val="ListBullet"/>
        <w:spacing w:after="40"/>
        <w:ind w:left="283" w:hanging="142"/>
      </w:pPr>
      <w:r>
        <w:rPr>
          <w:rFonts w:ascii="Inter" w:hAnsi="Inter" w:eastAsia="Inter"/>
          <w:color w:val="10171D"/>
          <w:sz w:val="18"/>
        </w:rPr>
        <w:t>Timeline scrubbing with event snapping and causal markers.</w:t>
      </w:r>
    </w:p>
    <w:p>
      <w:pPr>
        <w:pStyle w:val="ListBullet"/>
        <w:spacing w:after="40"/>
        <w:ind w:left="283" w:hanging="142"/>
      </w:pPr>
      <w:r>
        <w:rPr>
          <w:rFonts w:ascii="Inter" w:hAnsi="Inter" w:eastAsia="Inter"/>
          <w:color w:val="10171D"/>
          <w:sz w:val="18"/>
        </w:rPr>
        <w:t>Deterministic checkpoint restore where available.</w:t>
      </w:r>
    </w:p>
    <w:p>
      <w:pPr>
        <w:pStyle w:val="ListBullet"/>
        <w:spacing w:after="40"/>
        <w:ind w:left="283" w:hanging="142"/>
      </w:pPr>
      <w:r>
        <w:rPr>
          <w:rFonts w:ascii="Inter" w:hAnsi="Inter" w:eastAsia="Inter"/>
          <w:color w:val="10171D"/>
          <w:sz w:val="18"/>
        </w:rPr>
        <w:t>Compare successful versus failing runs with aligned events and divergence point.</w:t>
      </w:r>
    </w:p>
    <w:p>
      <w:pPr>
        <w:pStyle w:val="ListBullet"/>
        <w:spacing w:after="40"/>
        <w:ind w:left="283" w:hanging="142"/>
      </w:pPr>
      <w:r>
        <w:rPr>
          <w:rFonts w:ascii="Inter" w:hAnsi="Inter" w:eastAsia="Inter"/>
          <w:color w:val="10171D"/>
          <w:sz w:val="18"/>
        </w:rPr>
        <w:t>Reproduction minimiser that removes steps, inputs or conditions while retaining the failure.</w:t>
      </w:r>
    </w:p>
    <w:p>
      <w:pPr>
        <w:pStyle w:val="ListBullet"/>
        <w:spacing w:after="40"/>
        <w:ind w:left="283" w:hanging="142"/>
      </w:pPr>
      <w:r>
        <w:rPr>
          <w:rFonts w:ascii="Inter" w:hAnsi="Inter" w:eastAsia="Inter"/>
          <w:color w:val="10171D"/>
          <w:sz w:val="18"/>
        </w:rPr>
        <w:t>Counterfactual editor that changes one factor and clearly labels simulated/experimental branches.</w:t>
      </w:r>
    </w:p>
    <w:p>
      <w:pPr>
        <w:pStyle w:val="Heading2"/>
      </w:pPr>
      <w:r>
        <w:t>Evidence</w:t>
      </w:r>
    </w:p>
    <w:p>
      <w:pPr>
        <w:pStyle w:val="ListBullet"/>
        <w:spacing w:after="40"/>
        <w:ind w:left="283" w:hanging="142"/>
      </w:pPr>
      <w:r>
        <w:rPr>
          <w:rFonts w:ascii="Inter" w:hAnsi="Inter" w:eastAsia="Inter"/>
          <w:color w:val="10171D"/>
          <w:sz w:val="18"/>
        </w:rPr>
        <w:t>Facet search by run, finding, type, source, time, target, build, actor, sensitivity and seal state.</w:t>
      </w:r>
    </w:p>
    <w:p>
      <w:pPr>
        <w:pStyle w:val="ListBullet"/>
        <w:spacing w:after="40"/>
        <w:ind w:left="283" w:hanging="142"/>
      </w:pPr>
      <w:r>
        <w:rPr>
          <w:rFonts w:ascii="Inter" w:hAnsi="Inter" w:eastAsia="Inter"/>
          <w:color w:val="10171D"/>
          <w:sz w:val="18"/>
        </w:rPr>
        <w:t>Native viewers with safe rendering and raw-download control.</w:t>
      </w:r>
    </w:p>
    <w:p>
      <w:pPr>
        <w:pStyle w:val="ListBullet"/>
        <w:spacing w:after="40"/>
        <w:ind w:left="283" w:hanging="142"/>
      </w:pPr>
      <w:r>
        <w:rPr>
          <w:rFonts w:ascii="Inter" w:hAnsi="Inter" w:eastAsia="Inter"/>
          <w:color w:val="10171D"/>
          <w:sz w:val="18"/>
        </w:rPr>
        <w:t>Original and derived artefact relationship: e.g., raw video → extracted frame → annotated crop → report figure.</w:t>
      </w:r>
    </w:p>
    <w:p>
      <w:pPr>
        <w:pStyle w:val="ListBullet"/>
        <w:spacing w:after="40"/>
        <w:ind w:left="283" w:hanging="142"/>
      </w:pPr>
      <w:r>
        <w:rPr>
          <w:rFonts w:ascii="Inter" w:hAnsi="Inter" w:eastAsia="Inter"/>
          <w:color w:val="10171D"/>
          <w:sz w:val="18"/>
        </w:rPr>
        <w:t>Hash, timestamp, capture adapter, source clock and transformation history.</w:t>
      </w:r>
    </w:p>
    <w:p>
      <w:pPr>
        <w:pStyle w:val="ListBullet"/>
        <w:spacing w:after="40"/>
        <w:ind w:left="283" w:hanging="142"/>
      </w:pPr>
      <w:r>
        <w:rPr>
          <w:rFonts w:ascii="Inter" w:hAnsi="Inter" w:eastAsia="Inter"/>
          <w:color w:val="10171D"/>
          <w:sz w:val="18"/>
        </w:rPr>
        <w:t>Role-controlled redaction, retention, legal hold and export.</w:t>
      </w:r>
    </w:p>
    <w:p>
      <w:pPr>
        <w:pStyle w:val="ListBullet"/>
        <w:spacing w:after="40"/>
        <w:ind w:left="283" w:hanging="142"/>
      </w:pPr>
      <w:r>
        <w:rPr>
          <w:rFonts w:ascii="Inter" w:hAnsi="Inter" w:eastAsia="Inter"/>
          <w:color w:val="10171D"/>
          <w:sz w:val="18"/>
        </w:rPr>
        <w:t>Evidence completeness checklist per finding and clearance gate.</w:t>
      </w:r>
    </w:p>
    <w:p>
      <w:pPr>
        <w:pStyle w:val="Heading2"/>
      </w:pPr>
      <w:r>
        <w:t>Algorithms</w:t>
      </w:r>
    </w:p>
    <w:p>
      <w:pPr>
        <w:pStyle w:val="ListBullet"/>
        <w:spacing w:after="40"/>
        <w:ind w:left="283" w:hanging="142"/>
      </w:pPr>
      <w:r>
        <w:rPr>
          <w:rFonts w:ascii="Inter" w:hAnsi="Inter" w:eastAsia="Inter"/>
          <w:color w:val="10171D"/>
          <w:sz w:val="18"/>
        </w:rPr>
        <w:t>Harness definition for function, service, model, pipeline or data transformation.</w:t>
      </w:r>
    </w:p>
    <w:p>
      <w:pPr>
        <w:pStyle w:val="ListBullet"/>
        <w:spacing w:after="40"/>
        <w:ind w:left="283" w:hanging="142"/>
      </w:pPr>
      <w:r>
        <w:rPr>
          <w:rFonts w:ascii="Inter" w:hAnsi="Inter" w:eastAsia="Inter"/>
          <w:color w:val="10171D"/>
          <w:sz w:val="18"/>
        </w:rPr>
        <w:t>Input generation, fixtures, real samples, boundary values, fuzz/property inputs and parameter grids.</w:t>
      </w:r>
    </w:p>
    <w:p>
      <w:pPr>
        <w:pStyle w:val="ListBullet"/>
        <w:spacing w:after="40"/>
        <w:ind w:left="283" w:hanging="142"/>
      </w:pPr>
      <w:r>
        <w:rPr>
          <w:rFonts w:ascii="Inter" w:hAnsi="Inter" w:eastAsia="Inter"/>
          <w:color w:val="10171D"/>
          <w:sz w:val="18"/>
        </w:rPr>
        <w:t>Expected-output definition through exact oracle, tolerance, invariant, metamorphic relation, distribution or reference model.</w:t>
      </w:r>
    </w:p>
    <w:p>
      <w:pPr>
        <w:pStyle w:val="ListBullet"/>
        <w:spacing w:after="40"/>
        <w:ind w:left="283" w:hanging="142"/>
      </w:pPr>
      <w:r>
        <w:rPr>
          <w:rFonts w:ascii="Inter" w:hAnsi="Inter" w:eastAsia="Inter"/>
          <w:color w:val="10171D"/>
          <w:sz w:val="18"/>
        </w:rPr>
        <w:t>Determinism and reproducibility controls including seeds, versions, hardware and dependency capture.</w:t>
      </w:r>
    </w:p>
    <w:p>
      <w:pPr>
        <w:pStyle w:val="ListBullet"/>
        <w:spacing w:after="40"/>
        <w:ind w:left="283" w:hanging="142"/>
      </w:pPr>
      <w:r>
        <w:rPr>
          <w:rFonts w:ascii="Inter" w:hAnsi="Inter" w:eastAsia="Inter"/>
          <w:color w:val="10171D"/>
          <w:sz w:val="18"/>
        </w:rPr>
        <w:t>Performance, stability, drift, fairness/safety where relevant, and explainability diagnostics.</w:t>
      </w:r>
    </w:p>
    <w:p>
      <w:pPr>
        <w:pStyle w:val="ListBullet"/>
        <w:spacing w:after="40"/>
        <w:ind w:left="283" w:hanging="142"/>
      </w:pPr>
      <w:r>
        <w:rPr>
          <w:rFonts w:ascii="Inter" w:hAnsi="Inter" w:eastAsia="Inter"/>
          <w:color w:val="10171D"/>
          <w:sz w:val="18"/>
        </w:rPr>
        <w:t>Run comparison with distribution visualisation and evidence-backed recommendations.</w:t>
      </w:r>
    </w:p>
    <w:p>
      <w:pPr>
        <w:pStyle w:val="Heading2"/>
      </w:pPr>
      <w:r>
        <w:t>Reports</w:t>
      </w:r>
    </w:p>
    <w:p>
      <w:pPr>
        <w:pStyle w:val="ListBullet"/>
        <w:spacing w:after="40"/>
        <w:ind w:left="283" w:hanging="142"/>
      </w:pPr>
      <w:r>
        <w:rPr>
          <w:rFonts w:ascii="Inter" w:hAnsi="Inter" w:eastAsia="Inter"/>
          <w:color w:val="10171D"/>
          <w:sz w:val="18"/>
        </w:rPr>
        <w:t>Template choices for technical forensic report, executive assurance brief, client dossier, clearance certificate and machine-readable export.</w:t>
      </w:r>
    </w:p>
    <w:p>
      <w:pPr>
        <w:pStyle w:val="ListBullet"/>
        <w:spacing w:after="40"/>
        <w:ind w:left="283" w:hanging="142"/>
      </w:pPr>
      <w:r>
        <w:rPr>
          <w:rFonts w:ascii="Inter" w:hAnsi="Inter" w:eastAsia="Inter"/>
          <w:color w:val="10171D"/>
          <w:sz w:val="18"/>
        </w:rPr>
        <w:t>Answer-first narrative builder linked to findings and evidence.</w:t>
      </w:r>
    </w:p>
    <w:p>
      <w:pPr>
        <w:pStyle w:val="ListBullet"/>
        <w:spacing w:after="40"/>
        <w:ind w:left="283" w:hanging="142"/>
      </w:pPr>
      <w:r>
        <w:rPr>
          <w:rFonts w:ascii="Inter" w:hAnsi="Inter" w:eastAsia="Inter"/>
          <w:color w:val="10171D"/>
          <w:sz w:val="18"/>
        </w:rPr>
        <w:t>Report sections show provenance and update when source findings change, with review warnings.</w:t>
      </w:r>
    </w:p>
    <w:p>
      <w:pPr>
        <w:pStyle w:val="ListBullet"/>
        <w:spacing w:after="40"/>
        <w:ind w:left="283" w:hanging="142"/>
      </w:pPr>
      <w:r>
        <w:rPr>
          <w:rFonts w:ascii="Inter" w:hAnsi="Inter" w:eastAsia="Inter"/>
          <w:color w:val="10171D"/>
          <w:sz w:val="18"/>
        </w:rPr>
        <w:t>Automatic raw-log appendix references without flooding the human-readable body.</w:t>
      </w:r>
    </w:p>
    <w:p>
      <w:pPr>
        <w:pStyle w:val="ListBullet"/>
        <w:spacing w:after="40"/>
        <w:ind w:left="283" w:hanging="142"/>
      </w:pPr>
      <w:r>
        <w:rPr>
          <w:rFonts w:ascii="Inter" w:hAnsi="Inter" w:eastAsia="Inter"/>
          <w:color w:val="10171D"/>
          <w:sz w:val="18"/>
        </w:rPr>
        <w:t>Reviewer comments, approvals, version history, digital signature and export.</w:t>
      </w:r>
    </w:p>
    <w:p>
      <w:pPr>
        <w:pStyle w:val="ListBullet"/>
        <w:spacing w:after="40"/>
        <w:ind w:left="283" w:hanging="142"/>
      </w:pPr>
      <w:r>
        <w:rPr>
          <w:rFonts w:ascii="Inter" w:hAnsi="Inter" w:eastAsia="Inter"/>
          <w:color w:val="10171D"/>
          <w:sz w:val="18"/>
        </w:rPr>
        <w:t>Word-compatible professional document output plus PDF, HTML and structured JSON/SARIF/JUnit-style formats where configured.</w:t>
      </w:r>
    </w:p>
    <w:p>
      <w:pPr>
        <w:pStyle w:val="Heading2"/>
      </w:pPr>
      <w:r>
        <w:t>Clearance</w:t>
      </w:r>
    </w:p>
    <w:p>
      <w:pPr>
        <w:pStyle w:val="ListBullet"/>
        <w:spacing w:after="40"/>
        <w:ind w:left="283" w:hanging="142"/>
      </w:pPr>
      <w:r>
        <w:rPr>
          <w:rFonts w:ascii="Inter" w:hAnsi="Inter" w:eastAsia="Inter"/>
          <w:color w:val="10171D"/>
          <w:sz w:val="18"/>
        </w:rPr>
        <w:t>Gate matrix by product, feature, risk, platform, environment and release class.</w:t>
      </w:r>
    </w:p>
    <w:p>
      <w:pPr>
        <w:pStyle w:val="ListBullet"/>
        <w:spacing w:after="40"/>
        <w:ind w:left="283" w:hanging="142"/>
      </w:pPr>
      <w:r>
        <w:rPr>
          <w:rFonts w:ascii="Inter" w:hAnsi="Inter" w:eastAsia="Inter"/>
          <w:color w:val="10171D"/>
          <w:sz w:val="18"/>
        </w:rPr>
        <w:t>Each gate shows requirement, result, evidence, owner, policy source and exception state.</w:t>
      </w:r>
    </w:p>
    <w:p>
      <w:pPr>
        <w:pStyle w:val="ListBullet"/>
        <w:spacing w:after="40"/>
        <w:ind w:left="283" w:hanging="142"/>
      </w:pPr>
      <w:r>
        <w:rPr>
          <w:rFonts w:ascii="Inter" w:hAnsi="Inter" w:eastAsia="Inter"/>
          <w:color w:val="10171D"/>
          <w:sz w:val="18"/>
        </w:rPr>
        <w:t>Outcomes: Cleared, Conditionally Cleared, Clearance Denied, Blocked or Expired.</w:t>
      </w:r>
    </w:p>
    <w:p>
      <w:pPr>
        <w:pStyle w:val="ListBullet"/>
        <w:spacing w:after="40"/>
        <w:ind w:left="283" w:hanging="142"/>
      </w:pPr>
      <w:r>
        <w:rPr>
          <w:rFonts w:ascii="Inter" w:hAnsi="Inter" w:eastAsia="Inter"/>
          <w:color w:val="10171D"/>
          <w:sz w:val="18"/>
        </w:rPr>
        <w:t>Waiver workflow with reason, compensating control, approver, expiry and affected scope.</w:t>
      </w:r>
    </w:p>
    <w:p>
      <w:pPr>
        <w:pStyle w:val="ListBullet"/>
        <w:spacing w:after="40"/>
        <w:ind w:left="283" w:hanging="142"/>
      </w:pPr>
      <w:r>
        <w:rPr>
          <w:rFonts w:ascii="Inter" w:hAnsi="Inter" w:eastAsia="Inter"/>
          <w:color w:val="10171D"/>
          <w:sz w:val="18"/>
        </w:rPr>
        <w:t>Release certificate with target/build identity, evidence digest, residual risk and signatures.</w:t>
      </w:r>
    </w:p>
    <w:p>
      <w:pPr>
        <w:pStyle w:val="ListBullet"/>
        <w:spacing w:after="40"/>
        <w:ind w:left="283" w:hanging="142"/>
      </w:pPr>
      <w:r>
        <w:rPr>
          <w:rFonts w:ascii="Inter" w:hAnsi="Inter" w:eastAsia="Inter"/>
          <w:color w:val="10171D"/>
          <w:sz w:val="18"/>
        </w:rPr>
        <w:t>Webhook/API/CI output that can permit or block promotion under policy.</w:t>
      </w:r>
    </w:p>
    <w:p>
      <w:pPr>
        <w:pStyle w:val="GhoztEyebrow"/>
      </w:pPr>
      <w:r>
        <w:t>12 • OPERATOR EFFICIENCY</w:t>
      </w:r>
    </w:p>
    <w:p>
      <w:pPr>
        <w:pStyle w:val="Heading1"/>
        <w:pBdr>
          <w:bottom w:val="single" w:sz="8" w:space="1" w:color="BFD0D6"/>
        </w:pBdr>
      </w:pPr>
      <w:r>
        <w:t>Interaction, keyboard and command model</w:t>
      </w:r>
    </w:p>
    <w:p>
      <w:pPr>
        <w:pStyle w:val="Heading2"/>
      </w:pPr>
      <w:r>
        <w:t>Keyboard principles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Every common action is keyboard reachable and shows its shortcut in menus and tooltips.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Focus remains visible across dark, light and all palette combinations.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Graph, timeline, table and evidence viewers expose documented keyboard navigation.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No destructive action uses a single unmodified key.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Shortcuts are user-configurable, conflict-checked and exportable.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The command palette can find actions by natural language, canonical name or synonym without hiding permissions.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551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6"/>
              </w:rPr>
              <w:t>Suggested shortcut</w:t>
            </w:r>
          </w:p>
        </w:tc>
        <w:tc>
          <w:tcPr>
            <w:tcW w:type="dxa" w:w="7313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6"/>
              </w:rPr>
              <w:t>Action</w:t>
            </w:r>
          </w:p>
        </w:tc>
      </w:tr>
      <w:tr>
        <w:tc>
          <w:tcPr>
            <w:tcW w:type="dxa" w:w="2551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6"/>
              </w:rPr>
              <w:t>Ctrl+K</w:t>
            </w:r>
          </w:p>
        </w:tc>
        <w:tc>
          <w:tcPr>
            <w:tcW w:type="dxa" w:w="7313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6"/>
              </w:rPr>
              <w:t>Open command palette.</w:t>
            </w:r>
          </w:p>
        </w:tc>
      </w:tr>
      <w:tr>
        <w:tc>
          <w:tcPr>
            <w:tcW w:type="dxa" w:w="2551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6"/>
              </w:rPr>
              <w:t>Ctrl+P</w:t>
            </w:r>
          </w:p>
        </w:tc>
        <w:tc>
          <w:tcPr>
            <w:tcW w:type="dxa" w:w="7313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6"/>
              </w:rPr>
              <w:t>Open target/build switcher.</w:t>
            </w:r>
          </w:p>
        </w:tc>
      </w:tr>
      <w:tr>
        <w:tc>
          <w:tcPr>
            <w:tcW w:type="dxa" w:w="2551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6"/>
              </w:rPr>
              <w:t>Ctrl+Shift+S</w:t>
            </w:r>
          </w:p>
        </w:tc>
        <w:tc>
          <w:tcPr>
            <w:tcW w:type="dxa" w:w="7313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6"/>
              </w:rPr>
              <w:t>Create or start a Sweep after review.</w:t>
            </w:r>
          </w:p>
        </w:tc>
      </w:tr>
      <w:tr>
        <w:tc>
          <w:tcPr>
            <w:tcW w:type="dxa" w:w="2551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6"/>
              </w:rPr>
              <w:t>Space</w:t>
            </w:r>
          </w:p>
        </w:tc>
        <w:tc>
          <w:tcPr>
            <w:tcW w:type="dxa" w:w="7313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6"/>
              </w:rPr>
              <w:t>Pause/resume visual replay or active run where focus context permits.</w:t>
            </w:r>
          </w:p>
        </w:tc>
      </w:tr>
      <w:tr>
        <w:tc>
          <w:tcPr>
            <w:tcW w:type="dxa" w:w="2551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6"/>
              </w:rPr>
              <w:t>Ctrl+R</w:t>
            </w:r>
          </w:p>
        </w:tc>
        <w:tc>
          <w:tcPr>
            <w:tcW w:type="dxa" w:w="7313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6"/>
              </w:rPr>
              <w:t>Reproduce selected finding.</w:t>
            </w:r>
          </w:p>
        </w:tc>
      </w:tr>
      <w:tr>
        <w:tc>
          <w:tcPr>
            <w:tcW w:type="dxa" w:w="2551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6"/>
              </w:rPr>
              <w:t>Ctrl+Shift+R</w:t>
            </w:r>
          </w:p>
        </w:tc>
        <w:tc>
          <w:tcPr>
            <w:tcW w:type="dxa" w:w="7313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6"/>
              </w:rPr>
              <w:t>Open Re-test plan.</w:t>
            </w:r>
          </w:p>
        </w:tc>
      </w:tr>
      <w:tr>
        <w:tc>
          <w:tcPr>
            <w:tcW w:type="dxa" w:w="2551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6"/>
              </w:rPr>
              <w:t>Ctrl+E</w:t>
            </w:r>
          </w:p>
        </w:tc>
        <w:tc>
          <w:tcPr>
            <w:tcW w:type="dxa" w:w="7313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6"/>
              </w:rPr>
              <w:t>Open selected evidence.</w:t>
            </w:r>
          </w:p>
        </w:tc>
      </w:tr>
      <w:tr>
        <w:tc>
          <w:tcPr>
            <w:tcW w:type="dxa" w:w="2551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6"/>
              </w:rPr>
              <w:t>Ctrl+L</w:t>
            </w:r>
          </w:p>
        </w:tc>
        <w:tc>
          <w:tcPr>
            <w:tcW w:type="dxa" w:w="7313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6"/>
              </w:rPr>
              <w:t>Focus black-box stream filter.</w:t>
            </w:r>
          </w:p>
        </w:tc>
      </w:tr>
      <w:tr>
        <w:tc>
          <w:tcPr>
            <w:tcW w:type="dxa" w:w="2551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6"/>
              </w:rPr>
              <w:t>F6 / Shift+F6</w:t>
            </w:r>
          </w:p>
        </w:tc>
        <w:tc>
          <w:tcPr>
            <w:tcW w:type="dxa" w:w="7313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6"/>
              </w:rPr>
              <w:t>Cycle shell regions.</w:t>
            </w:r>
          </w:p>
        </w:tc>
      </w:tr>
      <w:tr>
        <w:tc>
          <w:tcPr>
            <w:tcW w:type="dxa" w:w="2551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6"/>
              </w:rPr>
              <w:t>Alt+1…0</w:t>
            </w:r>
          </w:p>
        </w:tc>
        <w:tc>
          <w:tcPr>
            <w:tcW w:type="dxa" w:w="7313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6"/>
              </w:rPr>
              <w:t>Open primary workspaces.</w:t>
            </w:r>
          </w:p>
        </w:tc>
      </w:tr>
      <w:tr>
        <w:tc>
          <w:tcPr>
            <w:tcW w:type="dxa" w:w="2551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6"/>
              </w:rPr>
              <w:t>Ctrl+,</w:t>
            </w:r>
          </w:p>
        </w:tc>
        <w:tc>
          <w:tcPr>
            <w:tcW w:type="dxa" w:w="7313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6"/>
              </w:rPr>
              <w:t>Open Settings.</w:t>
            </w:r>
          </w:p>
        </w:tc>
      </w:tr>
      <w:tr>
        <w:tc>
          <w:tcPr>
            <w:tcW w:type="dxa" w:w="2551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6"/>
              </w:rPr>
              <w:t>Ctrl+Shift+?</w:t>
            </w:r>
          </w:p>
        </w:tc>
        <w:tc>
          <w:tcPr>
            <w:tcW w:type="dxa" w:w="7313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6"/>
              </w:rPr>
              <w:t>Open keyboard map.</w:t>
            </w:r>
          </w:p>
        </w:tc>
      </w:tr>
    </w:tbl>
    <w:p>
      <w:pPr>
        <w:spacing w:after="0"/>
      </w:pPr>
    </w:p>
    <w:p>
      <w:pPr>
        <w:pStyle w:val="Heading2"/>
      </w:pPr>
      <w:r>
        <w:t>Pointer and touch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Hover may reveal secondary detail but never essential meaning.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Targets are at least 32 px desktop and 44 px where touch use is expected.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Right-click context menus duplicate actions available through keyboard-accessible surfaces.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Drag operations show source, destination, effect and cancellation; critical state changes require explicit confirmation.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Multi-select is supported consistently across tables, graphs and evidence lists.</w:t>
      </w:r>
    </w:p>
    <w:p>
      <w:pPr>
        <w:pStyle w:val="GhoztEyebrow"/>
      </w:pPr>
      <w:r>
        <w:t>13 • CONTROLLED PRESENCE</w:t>
      </w:r>
    </w:p>
    <w:p>
      <w:pPr>
        <w:pStyle w:val="Heading1"/>
        <w:pBdr>
          <w:bottom w:val="single" w:sz="8" w:space="1" w:color="BFD0D6"/>
        </w:pBdr>
      </w:pPr>
      <w:r>
        <w:t>Motion, transitions and live behaviour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721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5"/>
              </w:rPr>
              <w:t>Motion</w:t>
            </w:r>
          </w:p>
        </w:tc>
        <w:tc>
          <w:tcPr>
            <w:tcW w:type="dxa" w:w="2948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5"/>
              </w:rPr>
              <w:t>Duration / behaviour</w:t>
            </w:r>
          </w:p>
        </w:tc>
        <w:tc>
          <w:tcPr>
            <w:tcW w:type="dxa" w:w="4195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5"/>
              </w:rPr>
              <w:t>Purpose</w:t>
            </w:r>
          </w:p>
        </w:tc>
      </w:tr>
      <w:tr>
        <w:tc>
          <w:tcPr>
            <w:tcW w:type="dxa" w:w="2721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Panel open/close</w:t>
            </w:r>
          </w:p>
        </w:tc>
        <w:tc>
          <w:tcPr>
            <w:tcW w:type="dxa" w:w="2948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140–220 ms ease-out</w:t>
            </w:r>
          </w:p>
        </w:tc>
        <w:tc>
          <w:tcPr>
            <w:tcW w:type="dxa" w:w="4195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Preserve spatial understanding.</w:t>
            </w:r>
          </w:p>
        </w:tc>
      </w:tr>
      <w:tr>
        <w:tc>
          <w:tcPr>
            <w:tcW w:type="dxa" w:w="2721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Selection change</w:t>
            </w:r>
          </w:p>
        </w:tc>
        <w:tc>
          <w:tcPr>
            <w:tcW w:type="dxa" w:w="2948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80–140 ms local edge/rail transition</w:t>
            </w:r>
          </w:p>
        </w:tc>
        <w:tc>
          <w:tcPr>
            <w:tcW w:type="dxa" w:w="4195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Show focus without distracting from data.</w:t>
            </w:r>
          </w:p>
        </w:tc>
      </w:tr>
      <w:tr>
        <w:tc>
          <w:tcPr>
            <w:tcW w:type="dxa" w:w="2721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State materialisation</w:t>
            </w:r>
          </w:p>
        </w:tc>
        <w:tc>
          <w:tcPr>
            <w:tcW w:type="dxa" w:w="2948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180–320 ms opacity + structural resolve</w:t>
            </w:r>
          </w:p>
        </w:tc>
        <w:tc>
          <w:tcPr>
            <w:tcW w:type="dxa" w:w="4195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Indicate newly discovered or verified state.</w:t>
            </w:r>
          </w:p>
        </w:tc>
      </w:tr>
      <w:tr>
        <w:tc>
          <w:tcPr>
            <w:tcW w:type="dxa" w:w="2721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Traversal trail</w:t>
            </w:r>
          </w:p>
        </w:tc>
        <w:tc>
          <w:tcPr>
            <w:tcW w:type="dxa" w:w="2948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Short moving segment with 600–1200 ms fade</w:t>
            </w:r>
          </w:p>
        </w:tc>
        <w:tc>
          <w:tcPr>
            <w:tcW w:type="dxa" w:w="4195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Show recent autonomous route.</w:t>
            </w:r>
          </w:p>
        </w:tc>
      </w:tr>
      <w:tr>
        <w:tc>
          <w:tcPr>
            <w:tcW w:type="dxa" w:w="2721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Event pulse</w:t>
            </w:r>
          </w:p>
        </w:tc>
        <w:tc>
          <w:tcPr>
            <w:tcW w:type="dxa" w:w="2948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Single 240–500 ms pulse</w:t>
            </w:r>
          </w:p>
        </w:tc>
        <w:tc>
          <w:tcPr>
            <w:tcW w:type="dxa" w:w="4195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Acknowledge arrival of material evidence or status change.</w:t>
            </w:r>
          </w:p>
        </w:tc>
      </w:tr>
      <w:tr>
        <w:tc>
          <w:tcPr>
            <w:tcW w:type="dxa" w:w="2721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Actual ↔ counterfactual switch</w:t>
            </w:r>
          </w:p>
        </w:tc>
        <w:tc>
          <w:tcPr>
            <w:tcW w:type="dxa" w:w="2948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180–260 ms phase/dissolve with persistent label</w:t>
            </w:r>
          </w:p>
        </w:tc>
        <w:tc>
          <w:tcPr>
            <w:tcW w:type="dxa" w:w="4195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Prevent simulated branch from appearing observed.</w:t>
            </w:r>
          </w:p>
        </w:tc>
      </w:tr>
      <w:tr>
        <w:tc>
          <w:tcPr>
            <w:tcW w:type="dxa" w:w="2721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Critical containment</w:t>
            </w:r>
          </w:p>
        </w:tc>
        <w:tc>
          <w:tcPr>
            <w:tcW w:type="dxa" w:w="2948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One restrained red pulse then static banner</w:t>
            </w:r>
          </w:p>
        </w:tc>
        <w:tc>
          <w:tcPr>
            <w:tcW w:type="dxa" w:w="4195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Demand attention without continuous flashing.</w:t>
            </w:r>
          </w:p>
        </w:tc>
      </w:tr>
      <w:tr>
        <w:tc>
          <w:tcPr>
            <w:tcW w:type="dxa" w:w="2721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Large graph/layout change</w:t>
            </w:r>
          </w:p>
        </w:tc>
        <w:tc>
          <w:tcPr>
            <w:tcW w:type="dxa" w:w="2948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Animated only when it preserves node identity; otherwise instant with explanation</w:t>
            </w:r>
          </w:p>
        </w:tc>
        <w:tc>
          <w:tcPr>
            <w:tcW w:type="dxa" w:w="4195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Avoid disorientation and performance cost.</w:t>
            </w:r>
          </w:p>
        </w:tc>
      </w:tr>
    </w:tbl>
    <w:p>
      <w:pPr>
        <w:spacing w:after="0"/>
      </w:pPr>
    </w:p>
    <w:p>
      <w:pPr>
        <w:pStyle w:val="Heading2"/>
      </w:pPr>
      <w:r>
        <w:t>Reduced motion</w:t>
      </w:r>
    </w:p>
    <w:p>
      <w:r>
        <w:rPr>
          <w:rFonts w:ascii="Inter" w:hAnsi="Inter" w:eastAsia="Inter"/>
          <w:i w:val="0"/>
          <w:color w:val="10171D"/>
          <w:sz w:val="19"/>
        </w:rPr>
        <w:t>When the operating-system or user preference requests reduced motion, traversal trails become static path highlights, pulses become colour/shape changes, animated zoom becomes immediate navigation and looping effects are disabled. Function and state must remain fully legible.</w:t>
      </w:r>
    </w:p>
    <w:p>
      <w:pPr>
        <w:pStyle w:val="Heading2"/>
      </w:pPr>
      <w:r>
        <w:t>Sound and notification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Sound is off by default except user-enabled critical alerts.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Notification types include run complete, approval required, critical fault, connection lost and clearance decision.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Every sound has a visual equivalent and user-configurable scope.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Do not use theatrical scanning or “hacker” sound effects.</w:t>
      </w:r>
    </w:p>
    <w:p>
      <w:pPr>
        <w:pStyle w:val="GhoztEyebrow"/>
      </w:pPr>
      <w:r>
        <w:t>14 • WINDOWS 11 PRO FIRST</w:t>
      </w:r>
    </w:p>
    <w:p>
      <w:pPr>
        <w:pStyle w:val="Heading1"/>
        <w:pBdr>
          <w:bottom w:val="single" w:sz="8" w:space="1" w:color="BFD0D6"/>
        </w:pBdr>
      </w:pPr>
      <w:r>
        <w:t>Responsive, multi-window and multi-monitor behaviour</w:t>
      </w:r>
    </w:p>
    <w:p>
      <w:pPr>
        <w:pStyle w:val="GhoztLead"/>
      </w:pPr>
      <w:r>
        <w:rPr>
          <w:rFonts w:ascii="Inter" w:hAnsi="Inter" w:eastAsia="Inter"/>
          <w:i w:val="0"/>
          <w:color w:val="2A3942"/>
          <w:sz w:val="24"/>
        </w:rPr>
        <w:t>Ghozt is desktop-first and should exploit large and multi-monitor workspaces while still operating on a single smaller display. Responsive design is not simply shrinking cards; it is prioritising target truth, task and evidence.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154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5"/>
              </w:rPr>
              <w:t>Width state</w:t>
            </w:r>
          </w:p>
        </w:tc>
        <w:tc>
          <w:tcPr>
            <w:tcW w:type="dxa" w:w="7710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5"/>
              </w:rPr>
              <w:t>Layout behaviour</w:t>
            </w:r>
          </w:p>
        </w:tc>
      </w:tr>
      <w:tr>
        <w:tc>
          <w:tcPr>
            <w:tcW w:type="dxa" w:w="2154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≥ 1800 px</w:t>
            </w:r>
          </w:p>
        </w:tc>
        <w:tc>
          <w:tcPr>
            <w:tcW w:type="dxa" w:w="7710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Expanded operations rail; central canvas; persistent inspector; black-box tray; optional secondary panel.</w:t>
            </w:r>
          </w:p>
        </w:tc>
      </w:tr>
      <w:tr>
        <w:tc>
          <w:tcPr>
            <w:tcW w:type="dxa" w:w="2154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1400–1799 px</w:t>
            </w:r>
          </w:p>
        </w:tc>
        <w:tc>
          <w:tcPr>
            <w:tcW w:type="dxa" w:w="7710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Compact rail; central canvas; inspector remains open; bottom tray reduced.</w:t>
            </w:r>
          </w:p>
        </w:tc>
      </w:tr>
      <w:tr>
        <w:tc>
          <w:tcPr>
            <w:tcW w:type="dxa" w:w="2154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1100–1399 px</w:t>
            </w:r>
          </w:p>
        </w:tc>
        <w:tc>
          <w:tcPr>
            <w:tcW w:type="dxa" w:w="7710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Icon rail; inspector becomes overlay/drawer unless pinned; tray collapses to peek.</w:t>
            </w:r>
          </w:p>
        </w:tc>
      </w:tr>
      <w:tr>
        <w:tc>
          <w:tcPr>
            <w:tcW w:type="dxa" w:w="2154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800–1099 px</w:t>
            </w:r>
          </w:p>
        </w:tc>
        <w:tc>
          <w:tcPr>
            <w:tcW w:type="dxa" w:w="7710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Single primary canvas; rail auto-hides; inspector and stream become mutually exclusive overlays.</w:t>
            </w:r>
          </w:p>
        </w:tc>
      </w:tr>
      <w:tr>
        <w:tc>
          <w:tcPr>
            <w:tcW w:type="dxa" w:w="2154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&lt; 800 px</w:t>
            </w:r>
          </w:p>
        </w:tc>
        <w:tc>
          <w:tcPr>
            <w:tcW w:type="dxa" w:w="7710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Companion/monitoring layout only; no assumption that full authoring or lattice editing remains practical.</w:t>
            </w:r>
          </w:p>
        </w:tc>
      </w:tr>
    </w:tbl>
    <w:p>
      <w:pPr>
        <w:spacing w:after="0"/>
      </w:pPr>
    </w:p>
    <w:p>
      <w:pPr>
        <w:pStyle w:val="Heading2"/>
      </w:pPr>
      <w:r>
        <w:t>Multi-monitor model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Detach Forensics Inspector, Black-box Stream, Evidence Viewer, Replay Timeline or live Sweep board to separate windows.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Remember window placement per workstation but recover safely when monitors change.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Never detach target/build identity from a child window; every window carries context.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Support presentation mode that hides secrets, raw payloads and operator-only controls while preserving findings and evidence references.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Use GPU-conscious rendering and virtualisation appropriate to the user’s current GTX 960 / 24 GB workstation baseline.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7"/>
        <w:gridCol w:w="9638"/>
      </w:tblGrid>
      <w:tr>
        <w:tc>
          <w:tcPr>
            <w:tcW w:type="dxa" w:w="4933"/>
            <w:shd w:fill="55CFF5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33"/>
            <w:shd w:fill="E8F5FA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69" w:lineRule="auto"/>
            </w:pPr>
            <w:r>
              <w:rPr>
                <w:rFonts w:ascii="Inter Display" w:hAnsi="Inter Display" w:eastAsia="Inter Display"/>
                <w:b/>
                <w:color w:val="214A5C"/>
                <w:sz w:val="16"/>
              </w:rPr>
              <w:t>PERFORMANCE BASELINE</w:t>
              <w:br/>
            </w:r>
            <w:r>
              <w:rPr>
                <w:rFonts w:ascii="Inter" w:hAnsi="Inter" w:eastAsia="Inter"/>
                <w:color w:val="214A5C"/>
                <w:sz w:val="18"/>
              </w:rPr>
              <w:t>The UI must remain responsive on the Capital-Iz main development PC (Intel i7-6700K, GTX 960, 24 GB RAM) and the lower-spec backup PC. The State Lattice and logs must therefore use virtualisation, progressive detail, bounded animation and adaptive rendering.</w:t>
            </w:r>
          </w:p>
        </w:tc>
      </w:tr>
    </w:tbl>
    <w:p>
      <w:pPr>
        <w:spacing w:after="0"/>
      </w:pPr>
    </w:p>
    <w:p>
      <w:pPr>
        <w:pStyle w:val="GhoztEyebrow"/>
      </w:pPr>
      <w:r>
        <w:t>15 • EVIDENCE MUST BE READABLE</w:t>
      </w:r>
    </w:p>
    <w:p>
      <w:pPr>
        <w:pStyle w:val="Heading1"/>
        <w:pBdr>
          <w:bottom w:val="single" w:sz="8" w:space="1" w:color="BFD0D6"/>
        </w:pBdr>
      </w:pPr>
      <w:r>
        <w:t>Accessibility and inclusive operation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Normal text contrast target of at least 4.5:1 and large text at least 3:1 against the rendered surface.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Colour never acts as the sole carrier of status; text, icon, shape or pattern is always present.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All custom controls expose accessible role, name, value, state, description and keyboard operation.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State Lattice has a synchronised tree/table representation and logical keyboard traversal.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Charts and heatmaps provide textual summaries, data tables and export.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Evidence media supports captions, transcripts, playback speed and frame/event navigation where applicable.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Focus order follows visual and task hierarchy, including detached panels.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Zoom and Windows text scaling up to at least 200% must preserve core functions.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Reduced motion, high contrast, dyslexia-friendly font substitution and density controls are supported.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Critical alerts are never communicated through animation or sound alone.</w:t>
      </w:r>
    </w:p>
    <w:p>
      <w:pPr>
        <w:pStyle w:val="Heading2"/>
      </w:pPr>
      <w:r>
        <w:t>Accessibility theme guardrails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551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5"/>
              </w:rPr>
              <w:t>Guardrail</w:t>
            </w:r>
          </w:p>
        </w:tc>
        <w:tc>
          <w:tcPr>
            <w:tcW w:type="dxa" w:w="7313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5"/>
              </w:rPr>
              <w:t>Requirement</w:t>
            </w:r>
          </w:p>
        </w:tc>
      </w:tr>
      <w:tr>
        <w:tc>
          <w:tcPr>
            <w:tcW w:type="dxa" w:w="2551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Contrast validation</w:t>
            </w:r>
          </w:p>
        </w:tc>
        <w:tc>
          <w:tcPr>
            <w:tcW w:type="dxa" w:w="7313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Every generated token set is checked against the surfaces on which it is actually composited.</w:t>
            </w:r>
          </w:p>
        </w:tc>
      </w:tr>
      <w:tr>
        <w:tc>
          <w:tcPr>
            <w:tcW w:type="dxa" w:w="2551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Status invariance</w:t>
            </w:r>
          </w:p>
        </w:tc>
        <w:tc>
          <w:tcPr>
            <w:tcW w:type="dxa" w:w="7313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Verified, warning, fault and critical states retain text/icon labels and distinguishable luminance.</w:t>
            </w:r>
          </w:p>
        </w:tc>
      </w:tr>
      <w:tr>
        <w:tc>
          <w:tcPr>
            <w:tcW w:type="dxa" w:w="2551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Transparency floor</w:t>
            </w:r>
          </w:p>
        </w:tc>
        <w:tc>
          <w:tcPr>
            <w:tcW w:type="dxa" w:w="7313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Large reading surfaces do not fall below 35% opacity, and lower-transparency decorative layers cannot carry text.</w:t>
            </w:r>
          </w:p>
        </w:tc>
      </w:tr>
      <w:tr>
        <w:tc>
          <w:tcPr>
            <w:tcW w:type="dxa" w:w="2551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Light-mode integrity</w:t>
            </w:r>
          </w:p>
        </w:tc>
        <w:tc>
          <w:tcPr>
            <w:tcW w:type="dxa" w:w="7313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Light themes use tint to retain identity but avoid low-contrast pastel-on-white controls.</w:t>
            </w:r>
          </w:p>
        </w:tc>
      </w:tr>
      <w:tr>
        <w:tc>
          <w:tcPr>
            <w:tcW w:type="dxa" w:w="2551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Focus visibility</w:t>
            </w:r>
          </w:p>
        </w:tc>
        <w:tc>
          <w:tcPr>
            <w:tcW w:type="dxa" w:w="7313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Focus ring clears a 3:1 contrast relationship against adjacent colours and is not hidden by glow.</w:t>
            </w:r>
          </w:p>
        </w:tc>
      </w:tr>
      <w:tr>
        <w:tc>
          <w:tcPr>
            <w:tcW w:type="dxa" w:w="2551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No-animation operation</w:t>
            </w:r>
          </w:p>
        </w:tc>
        <w:tc>
          <w:tcPr>
            <w:tcW w:type="dxa" w:w="7313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Every live and forensic workflow remains fully operable with animation disabled.</w:t>
            </w:r>
          </w:p>
        </w:tc>
      </w:tr>
    </w:tbl>
    <w:p>
      <w:pPr>
        <w:spacing w:after="0"/>
      </w:pPr>
    </w:p>
    <w:p>
      <w:pPr>
        <w:pStyle w:val="GhoztEyebrow"/>
      </w:pPr>
      <w:r>
        <w:t>16 • NO SILENT FAILURE</w:t>
      </w:r>
    </w:p>
    <w:p>
      <w:pPr>
        <w:pStyle w:val="Heading1"/>
        <w:pBdr>
          <w:bottom w:val="single" w:sz="8" w:space="1" w:color="BFD0D6"/>
        </w:pBdr>
      </w:pPr>
      <w:r>
        <w:t>Loading, empty, error and degraded states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381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5"/>
              </w:rPr>
              <w:t>State</w:t>
            </w:r>
          </w:p>
        </w:tc>
        <w:tc>
          <w:tcPr>
            <w:tcW w:type="dxa" w:w="7483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5"/>
              </w:rPr>
              <w:t>Required presentation</w:t>
            </w:r>
          </w:p>
        </w:tc>
      </w:tr>
      <w:tr>
        <w:tc>
          <w:tcPr>
            <w:tcW w:type="dxa" w:w="2381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Initial load</w:t>
            </w:r>
          </w:p>
        </w:tc>
        <w:tc>
          <w:tcPr>
            <w:tcW w:type="dxa" w:w="7483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Show shell immediately, restore target context, validate services and progressively load workspaces.</w:t>
            </w:r>
          </w:p>
        </w:tc>
      </w:tr>
      <w:tr>
        <w:tc>
          <w:tcPr>
            <w:tcW w:type="dxa" w:w="2381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Long operation</w:t>
            </w:r>
          </w:p>
        </w:tc>
        <w:tc>
          <w:tcPr>
            <w:tcW w:type="dxa" w:w="7483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Show current phase, completed work, remaining budget, evidence received, stop options and whether leaving is safe.</w:t>
            </w:r>
          </w:p>
        </w:tc>
      </w:tr>
      <w:tr>
        <w:tc>
          <w:tcPr>
            <w:tcW w:type="dxa" w:w="2381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No targets</w:t>
            </w:r>
          </w:p>
        </w:tc>
        <w:tc>
          <w:tcPr>
            <w:tcW w:type="dxa" w:w="7483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Explain what a target is and offer Register Target; do not show a generic empty dashboard.</w:t>
            </w:r>
          </w:p>
        </w:tc>
      </w:tr>
      <w:tr>
        <w:tc>
          <w:tcPr>
            <w:tcW w:type="dxa" w:w="2381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No findings</w:t>
            </w:r>
          </w:p>
        </w:tc>
        <w:tc>
          <w:tcPr>
            <w:tcW w:type="dxa" w:w="7483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Distinguish “no faults found in tested scope” from “nothing has been tested”.</w:t>
            </w:r>
          </w:p>
        </w:tc>
      </w:tr>
      <w:tr>
        <w:tc>
          <w:tcPr>
            <w:tcW w:type="dxa" w:w="2381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No evidence</w:t>
            </w:r>
          </w:p>
        </w:tc>
        <w:tc>
          <w:tcPr>
            <w:tcW w:type="dxa" w:w="7483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Show why evidence is absent, which requirement is unmet and whether the finding can be reported.</w:t>
            </w:r>
          </w:p>
        </w:tc>
      </w:tr>
      <w:tr>
        <w:tc>
          <w:tcPr>
            <w:tcW w:type="dxa" w:w="2381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Connection lost</w:t>
            </w:r>
          </w:p>
        </w:tc>
        <w:tc>
          <w:tcPr>
            <w:tcW w:type="dxa" w:w="7483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Freeze current truth, identify affected services, queue safe retries and prevent misleading live status.</w:t>
            </w:r>
          </w:p>
        </w:tc>
      </w:tr>
      <w:tr>
        <w:tc>
          <w:tcPr>
            <w:tcW w:type="dxa" w:w="2381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Permission denied</w:t>
            </w:r>
          </w:p>
        </w:tc>
        <w:tc>
          <w:tcPr>
            <w:tcW w:type="dxa" w:w="7483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Show attempted action, target, required role, recorded denial and request path.</w:t>
            </w:r>
          </w:p>
        </w:tc>
      </w:tr>
      <w:tr>
        <w:tc>
          <w:tcPr>
            <w:tcW w:type="dxa" w:w="2381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Partial run</w:t>
            </w:r>
          </w:p>
        </w:tc>
        <w:tc>
          <w:tcPr>
            <w:tcW w:type="dxa" w:w="7483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Preserve completed evidence, mark incomplete scope and allow resume/restart under policy.</w:t>
            </w:r>
          </w:p>
        </w:tc>
      </w:tr>
      <w:tr>
        <w:tc>
          <w:tcPr>
            <w:tcW w:type="dxa" w:w="2381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Adapter failure</w:t>
            </w:r>
          </w:p>
        </w:tc>
        <w:tc>
          <w:tcPr>
            <w:tcW w:type="dxa" w:w="7483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Identify adapter and target capability, capture diagnostic evidence and offer validated fallback or repair.</w:t>
            </w:r>
          </w:p>
        </w:tc>
      </w:tr>
      <w:tr>
        <w:tc>
          <w:tcPr>
            <w:tcW w:type="dxa" w:w="2381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AI unavailable</w:t>
            </w:r>
          </w:p>
        </w:tc>
        <w:tc>
          <w:tcPr>
            <w:tcW w:type="dxa" w:w="7483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Continue deterministic testing and reporting; mark intelligence features unavailable.</w:t>
            </w:r>
          </w:p>
        </w:tc>
      </w:tr>
      <w:tr>
        <w:tc>
          <w:tcPr>
            <w:tcW w:type="dxa" w:w="2381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Low-confidence inference</w:t>
            </w:r>
          </w:p>
        </w:tc>
        <w:tc>
          <w:tcPr>
            <w:tcW w:type="dxa" w:w="7483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Route to Review Required and show evidence/assumption gaps.</w:t>
            </w:r>
          </w:p>
        </w:tc>
      </w:tr>
      <w:tr>
        <w:tc>
          <w:tcPr>
            <w:tcW w:type="dxa" w:w="2381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Storage pressure</w:t>
            </w:r>
          </w:p>
        </w:tc>
        <w:tc>
          <w:tcPr>
            <w:tcW w:type="dxa" w:w="7483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Warn before evidence loss, apply policy-controlled capture degradation and record what was omitted.</w:t>
            </w:r>
          </w:p>
        </w:tc>
      </w:tr>
    </w:tbl>
    <w:p>
      <w:pPr>
        <w:spacing w:after="0"/>
      </w:pPr>
    </w:p>
    <w:p>
      <w:pPr>
        <w:pStyle w:val="GhoztEyebrow"/>
      </w:pPr>
      <w:r>
        <w:t>17 • RESTRICTED ACCESS MADE REAL</w:t>
      </w:r>
    </w:p>
    <w:p>
      <w:pPr>
        <w:pStyle w:val="Heading1"/>
        <w:pBdr>
          <w:bottom w:val="single" w:sz="8" w:space="1" w:color="BFD0D6"/>
        </w:pBdr>
      </w:pPr>
      <w:r>
        <w:t>Permission, risk and approval surfaces</w:t>
      </w:r>
    </w:p>
    <w:p>
      <w:pPr>
        <w:pStyle w:val="GhoztLead"/>
      </w:pPr>
      <w:r>
        <w:rPr>
          <w:rFonts w:ascii="Inter" w:hAnsi="Inter" w:eastAsia="Inter"/>
          <w:i w:val="0"/>
          <w:color w:val="2A3942"/>
          <w:sz w:val="24"/>
        </w:rPr>
        <w:t>Restricted styling must be backed by a visible permission model. The operator should always know whether Ghozt can observe, interact, alter state, execute destructive tests, access sensitive evidence or change code.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551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5"/>
              </w:rPr>
              <w:t>Action class</w:t>
            </w:r>
          </w:p>
        </w:tc>
        <w:tc>
          <w:tcPr>
            <w:tcW w:type="dxa" w:w="3798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5"/>
              </w:rPr>
              <w:t>UI treatment</w:t>
            </w:r>
          </w:p>
        </w:tc>
        <w:tc>
          <w:tcPr>
            <w:tcW w:type="dxa" w:w="3515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5"/>
              </w:rPr>
              <w:t>Approval pattern</w:t>
            </w:r>
          </w:p>
        </w:tc>
      </w:tr>
      <w:tr>
        <w:tc>
          <w:tcPr>
            <w:tcW w:type="dxa" w:w="2551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Observe only</w:t>
            </w:r>
          </w:p>
        </w:tc>
        <w:tc>
          <w:tcPr>
            <w:tcW w:type="dxa" w:w="3798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Neutral/spectral; “Read-only” chip in status strip.</w:t>
            </w:r>
          </w:p>
        </w:tc>
        <w:tc>
          <w:tcPr>
            <w:tcW w:type="dxa" w:w="3515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No approval beyond target authority.</w:t>
            </w:r>
          </w:p>
        </w:tc>
      </w:tr>
      <w:tr>
        <w:tc>
          <w:tcPr>
            <w:tcW w:type="dxa" w:w="2551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State-changing test</w:t>
            </w:r>
          </w:p>
        </w:tc>
        <w:tc>
          <w:tcPr>
            <w:tcW w:type="dxa" w:w="3798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Amber edge and reset/rollback detail.</w:t>
            </w:r>
          </w:p>
        </w:tc>
        <w:tc>
          <w:tcPr>
            <w:tcW w:type="dxa" w:w="3515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Plan review; optional approval by policy.</w:t>
            </w:r>
          </w:p>
        </w:tc>
      </w:tr>
      <w:tr>
        <w:tc>
          <w:tcPr>
            <w:tcW w:type="dxa" w:w="2551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Destructive test</w:t>
            </w:r>
          </w:p>
        </w:tc>
        <w:tc>
          <w:tcPr>
            <w:tcW w:type="dxa" w:w="3798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Critical treatment; exact records/resources affected.</w:t>
            </w:r>
          </w:p>
        </w:tc>
        <w:tc>
          <w:tcPr>
            <w:tcW w:type="dxa" w:w="3515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Typed confirmation plus approver; production normally denied.</w:t>
            </w:r>
          </w:p>
        </w:tc>
      </w:tr>
      <w:tr>
        <w:tc>
          <w:tcPr>
            <w:tcW w:type="dxa" w:w="2551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Sensitive data access</w:t>
            </w:r>
          </w:p>
        </w:tc>
        <w:tc>
          <w:tcPr>
            <w:tcW w:type="dxa" w:w="3798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Privacy icon, purpose and retention information.</w:t>
            </w:r>
          </w:p>
        </w:tc>
        <w:tc>
          <w:tcPr>
            <w:tcW w:type="dxa" w:w="3515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Role + purpose-bound access; view may be redacted.</w:t>
            </w:r>
          </w:p>
        </w:tc>
      </w:tr>
      <w:tr>
        <w:tc>
          <w:tcPr>
            <w:tcW w:type="dxa" w:w="2551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Code write / branch change</w:t>
            </w:r>
          </w:p>
        </w:tc>
        <w:tc>
          <w:tcPr>
            <w:tcW w:type="dxa" w:w="3798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Violet AI or developer treatment; files and allowed scope shown.</w:t>
            </w:r>
          </w:p>
        </w:tc>
        <w:tc>
          <w:tcPr>
            <w:tcW w:type="dxa" w:w="3515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Explicit change brief; branch/worktree restriction; human review.</w:t>
            </w:r>
          </w:p>
        </w:tc>
      </w:tr>
      <w:tr>
        <w:tc>
          <w:tcPr>
            <w:tcW w:type="dxa" w:w="2551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Production execution</w:t>
            </w:r>
          </w:p>
        </w:tc>
        <w:tc>
          <w:tcPr>
            <w:tcW w:type="dxa" w:w="3798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Persistent environment banner and action summary.</w:t>
            </w:r>
          </w:p>
        </w:tc>
        <w:tc>
          <w:tcPr>
            <w:tcW w:type="dxa" w:w="3515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Strong policy gate, human approval and evidence plan.</w:t>
            </w:r>
          </w:p>
        </w:tc>
      </w:tr>
      <w:tr>
        <w:tc>
          <w:tcPr>
            <w:tcW w:type="dxa" w:w="2551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Release clearance</w:t>
            </w:r>
          </w:p>
        </w:tc>
        <w:tc>
          <w:tcPr>
            <w:tcW w:type="dxa" w:w="3798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Gold authority sheet with gate matrix and residual risk.</w:t>
            </w:r>
          </w:p>
        </w:tc>
        <w:tc>
          <w:tcPr>
            <w:tcW w:type="dxa" w:w="3515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Named approver(s), signature and immutable decision record.</w:t>
            </w:r>
          </w:p>
        </w:tc>
      </w:tr>
    </w:tbl>
    <w:p>
      <w:pPr>
        <w:spacing w:after="0"/>
      </w:pPr>
    </w:p>
    <w:p>
      <w:pPr>
        <w:pStyle w:val="GhoztEyebrow"/>
      </w:pPr>
      <w:r>
        <w:t>18 • HUMAN-READABLE EVIDENCE</w:t>
      </w:r>
    </w:p>
    <w:p>
      <w:pPr>
        <w:pStyle w:val="Heading1"/>
        <w:pBdr>
          <w:bottom w:val="single" w:sz="8" w:space="1" w:color="BFD0D6"/>
        </w:pBdr>
      </w:pPr>
      <w:r>
        <w:t>Report and certificate design</w:t>
      </w:r>
    </w:p>
    <w:p>
      <w:pPr>
        <w:pStyle w:val="Heading2"/>
      </w:pPr>
      <w:r>
        <w:t>Professional report principles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Begin with answer-first findings, scope, target/build identity and release implication.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Keep raw logs accessible through references and appendices without forcing non-technical readers through them.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Every chart, screenshot and claim links to source evidence and capture context.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Use clear severity, reproducibility and confidence definitions.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Separate observed findings, inferred causes, recommendations, accepted risk and decisions.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Support Word-compatible DOCX as a first-class output, alongside PDF and machine-readable exports.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Reports remain reproducible: re-opening a report identifies the exact source run and evidence versions.</w:t>
      </w:r>
    </w:p>
    <w:p>
      <w:pPr>
        <w:pStyle w:val="Heading2"/>
      </w:pPr>
      <w:r>
        <w:t>Report UI components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721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5"/>
              </w:rPr>
              <w:t>Component</w:t>
            </w:r>
          </w:p>
        </w:tc>
        <w:tc>
          <w:tcPr>
            <w:tcW w:type="dxa" w:w="7143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5"/>
              </w:rPr>
              <w:t>Function</w:t>
            </w:r>
          </w:p>
        </w:tc>
      </w:tr>
      <w:tr>
        <w:tc>
          <w:tcPr>
            <w:tcW w:type="dxa" w:w="2721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Dossier outline</w:t>
            </w:r>
          </w:p>
        </w:tc>
        <w:tc>
          <w:tcPr>
            <w:tcW w:type="dxa" w:w="7143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Reorder governed sections without breaking required content.</w:t>
            </w:r>
          </w:p>
        </w:tc>
      </w:tr>
      <w:tr>
        <w:tc>
          <w:tcPr>
            <w:tcW w:type="dxa" w:w="2721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Finding block</w:t>
            </w:r>
          </w:p>
        </w:tc>
        <w:tc>
          <w:tcPr>
            <w:tcW w:type="dxa" w:w="7143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Narrative, impact, reproduction, cause status, evidence and recommendation.</w:t>
            </w:r>
          </w:p>
        </w:tc>
      </w:tr>
      <w:tr>
        <w:tc>
          <w:tcPr>
            <w:tcW w:type="dxa" w:w="2721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Evidence reference</w:t>
            </w:r>
          </w:p>
        </w:tc>
        <w:tc>
          <w:tcPr>
            <w:tcW w:type="dxa" w:w="7143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Preview plus immutable reference to original and derived artefacts.</w:t>
            </w:r>
          </w:p>
        </w:tc>
      </w:tr>
      <w:tr>
        <w:tc>
          <w:tcPr>
            <w:tcW w:type="dxa" w:w="2721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Technical appendix builder</w:t>
            </w:r>
          </w:p>
        </w:tc>
        <w:tc>
          <w:tcPr>
            <w:tcW w:type="dxa" w:w="7143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Include selected logs, traces, schemas, test cases and run manifests.</w:t>
            </w:r>
          </w:p>
        </w:tc>
      </w:tr>
      <w:tr>
        <w:tc>
          <w:tcPr>
            <w:tcW w:type="dxa" w:w="2721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Executive summary composer</w:t>
            </w:r>
          </w:p>
        </w:tc>
        <w:tc>
          <w:tcPr>
            <w:tcW w:type="dxa" w:w="7143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Generate concise decision-ready text from approved findings.</w:t>
            </w:r>
          </w:p>
        </w:tc>
      </w:tr>
      <w:tr>
        <w:tc>
          <w:tcPr>
            <w:tcW w:type="dxa" w:w="2721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Clearance statement</w:t>
            </w:r>
          </w:p>
        </w:tc>
        <w:tc>
          <w:tcPr>
            <w:tcW w:type="dxa" w:w="7143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Display gate result, conditions, waivers and signatures.</w:t>
            </w:r>
          </w:p>
        </w:tc>
      </w:tr>
      <w:tr>
        <w:tc>
          <w:tcPr>
            <w:tcW w:type="dxa" w:w="2721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Review ledger</w:t>
            </w:r>
          </w:p>
        </w:tc>
        <w:tc>
          <w:tcPr>
            <w:tcW w:type="dxa" w:w="7143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Comments, changes, approvals and published versions.</w:t>
            </w:r>
          </w:p>
        </w:tc>
      </w:tr>
      <w:tr>
        <w:tc>
          <w:tcPr>
            <w:tcW w:type="dxa" w:w="2721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Export validator</w:t>
            </w:r>
          </w:p>
        </w:tc>
        <w:tc>
          <w:tcPr>
            <w:tcW w:type="dxa" w:w="7143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Check missing evidence, unsupported claims, broken references and sensitive content.</w:t>
            </w:r>
          </w:p>
        </w:tc>
      </w:tr>
    </w:tbl>
    <w:p>
      <w:pPr>
        <w:spacing w:after="0"/>
      </w:pPr>
    </w:p>
    <w:p>
      <w:pPr>
        <w:pStyle w:val="GhoztEyebrow"/>
      </w:pPr>
      <w:r>
        <w:t>19 • USER CONTROL WITHOUT DESIGN DRIFT</w:t>
      </w:r>
    </w:p>
    <w:p>
      <w:pPr>
        <w:pStyle w:val="Heading1"/>
        <w:pBdr>
          <w:bottom w:val="single" w:sz="8" w:space="1" w:color="BFD0D6"/>
        </w:pBdr>
      </w:pPr>
      <w:r>
        <w:t>Theme selection, customisation and governance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984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5"/>
              </w:rPr>
              <w:t>Setting</w:t>
            </w:r>
          </w:p>
        </w:tc>
        <w:tc>
          <w:tcPr>
            <w:tcW w:type="dxa" w:w="3628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5"/>
              </w:rPr>
              <w:t>Allowed control</w:t>
            </w:r>
          </w:p>
        </w:tc>
        <w:tc>
          <w:tcPr>
            <w:tcW w:type="dxa" w:w="4252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5"/>
              </w:rPr>
              <w:t>Guardrail</w:t>
            </w:r>
          </w:p>
        </w:tc>
      </w:tr>
      <w:tr>
        <w:tc>
          <w:tcPr>
            <w:tcW w:type="dxa" w:w="1984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Palette</w:t>
            </w:r>
          </w:p>
        </w:tc>
        <w:tc>
          <w:tcPr>
            <w:tcW w:type="dxa" w:w="3628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Choose one of twelve named identities.</w:t>
            </w:r>
          </w:p>
        </w:tc>
        <w:tc>
          <w:tcPr>
            <w:tcW w:type="dxa" w:w="4252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Custom literal colours are not allowed in normal user settings.</w:t>
            </w:r>
          </w:p>
        </w:tc>
      </w:tr>
      <w:tr>
        <w:tc>
          <w:tcPr>
            <w:tcW w:type="dxa" w:w="1984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Mode</w:t>
            </w:r>
          </w:p>
        </w:tc>
        <w:tc>
          <w:tcPr>
            <w:tcW w:type="dxa" w:w="3628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Dark, Light or System.</w:t>
            </w:r>
          </w:p>
        </w:tc>
        <w:tc>
          <w:tcPr>
            <w:tcW w:type="dxa" w:w="4252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All three must remain fully supported.</w:t>
            </w:r>
          </w:p>
        </w:tc>
      </w:tr>
      <w:tr>
        <w:tc>
          <w:tcPr>
            <w:tcW w:type="dxa" w:w="1984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Surface opacity</w:t>
            </w:r>
          </w:p>
        </w:tc>
        <w:tc>
          <w:tcPr>
            <w:tcW w:type="dxa" w:w="3628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35–100%, default 82%.</w:t>
            </w:r>
          </w:p>
        </w:tc>
        <w:tc>
          <w:tcPr>
            <w:tcW w:type="dxa" w:w="4252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Reading surfaces and contrast validation remain protected.</w:t>
            </w:r>
          </w:p>
        </w:tc>
      </w:tr>
      <w:tr>
        <w:tc>
          <w:tcPr>
            <w:tcW w:type="dxa" w:w="1984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Gradient</w:t>
            </w:r>
          </w:p>
        </w:tc>
        <w:tc>
          <w:tcPr>
            <w:tcW w:type="dxa" w:w="3628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On/off; direction and restrained intensity.</w:t>
            </w:r>
          </w:p>
        </w:tc>
        <w:tc>
          <w:tcPr>
            <w:tcW w:type="dxa" w:w="4252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Cannot obscure text or status.</w:t>
            </w:r>
          </w:p>
        </w:tc>
      </w:tr>
      <w:tr>
        <w:tc>
          <w:tcPr>
            <w:tcW w:type="dxa" w:w="1984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Glass</w:t>
            </w:r>
          </w:p>
        </w:tc>
        <w:tc>
          <w:tcPr>
            <w:tcW w:type="dxa" w:w="3628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On/off; bounded blur/frost.</w:t>
            </w:r>
          </w:p>
        </w:tc>
        <w:tc>
          <w:tcPr>
            <w:tcW w:type="dxa" w:w="4252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Disabled automatically in high-contrast or performance mode where necessary.</w:t>
            </w:r>
          </w:p>
        </w:tc>
      </w:tr>
      <w:tr>
        <w:tc>
          <w:tcPr>
            <w:tcW w:type="dxa" w:w="1984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Glow</w:t>
            </w:r>
          </w:p>
        </w:tc>
        <w:tc>
          <w:tcPr>
            <w:tcW w:type="dxa" w:w="3628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On/off; low/standard intensity.</w:t>
            </w:r>
          </w:p>
        </w:tc>
        <w:tc>
          <w:tcPr>
            <w:tcW w:type="dxa" w:w="4252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Status and focus remain visible without glow.</w:t>
            </w:r>
          </w:p>
        </w:tc>
      </w:tr>
      <w:tr>
        <w:tc>
          <w:tcPr>
            <w:tcW w:type="dxa" w:w="1984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Density</w:t>
            </w:r>
          </w:p>
        </w:tc>
        <w:tc>
          <w:tcPr>
            <w:tcW w:type="dxa" w:w="3628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Compact, Standard, Comfortable.</w:t>
            </w:r>
          </w:p>
        </w:tc>
        <w:tc>
          <w:tcPr>
            <w:tcW w:type="dxa" w:w="4252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No loss of mandatory context.</w:t>
            </w:r>
          </w:p>
        </w:tc>
      </w:tr>
      <w:tr>
        <w:tc>
          <w:tcPr>
            <w:tcW w:type="dxa" w:w="1984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Motion</w:t>
            </w:r>
          </w:p>
        </w:tc>
        <w:tc>
          <w:tcPr>
            <w:tcW w:type="dxa" w:w="3628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Full, Reduced, Off.</w:t>
            </w:r>
          </w:p>
        </w:tc>
        <w:tc>
          <w:tcPr>
            <w:tcW w:type="dxa" w:w="4252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No functional dependency on animation.</w:t>
            </w:r>
          </w:p>
        </w:tc>
      </w:tr>
      <w:tr>
        <w:tc>
          <w:tcPr>
            <w:tcW w:type="dxa" w:w="1984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Typography scale</w:t>
            </w:r>
          </w:p>
        </w:tc>
        <w:tc>
          <w:tcPr>
            <w:tcW w:type="dxa" w:w="3628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System scale plus app scale within supported range.</w:t>
            </w:r>
          </w:p>
        </w:tc>
        <w:tc>
          <w:tcPr>
            <w:tcW w:type="dxa" w:w="4252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Layout reflows rather than clips.</w:t>
            </w:r>
          </w:p>
        </w:tc>
      </w:tr>
    </w:tbl>
    <w:p>
      <w:pPr>
        <w:spacing w:after="0"/>
      </w:pPr>
    </w:p>
    <w:p>
      <w:pPr>
        <w:pStyle w:val="Heading2"/>
      </w:pPr>
      <w:r>
        <w:t>Theme administration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Theme changes preview in an isolated representative surface before application.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Preferences may be global, per workspace or per presentation mode, but semantic status remains global.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Administrators may lock palettes/effects for controlled environments or client demonstrations.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A theme digest records palette key, mode, opacity, finish controls and token version for reproducible screenshots and reports.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Theme migrations preserve palette identity when token-generation algorithms change.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Automated visual-regression tests render all core components across every palette and mode.</w:t>
      </w:r>
    </w:p>
    <w:p>
      <w:pPr>
        <w:pStyle w:val="GhoztEyebrow"/>
      </w:pPr>
      <w:r>
        <w:t>20 • THE TESTER MUST TEST ITSELF</w:t>
      </w:r>
    </w:p>
    <w:p>
      <w:pPr>
        <w:pStyle w:val="Heading1"/>
        <w:pBdr>
          <w:bottom w:val="single" w:sz="8" w:space="1" w:color="BFD0D6"/>
        </w:pBdr>
      </w:pPr>
      <w:r>
        <w:t>UI quality certification requirements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494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5"/>
              </w:rPr>
              <w:t>Area</w:t>
            </w:r>
          </w:p>
        </w:tc>
        <w:tc>
          <w:tcPr>
            <w:tcW w:type="dxa" w:w="7370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5"/>
              </w:rPr>
              <w:t>Required validation</w:t>
            </w:r>
          </w:p>
        </w:tc>
      </w:tr>
      <w:tr>
        <w:tc>
          <w:tcPr>
            <w:tcW w:type="dxa" w:w="2494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Components</w:t>
            </w:r>
          </w:p>
        </w:tc>
        <w:tc>
          <w:tcPr>
            <w:tcW w:type="dxa" w:w="7370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Visual, keyboard, accessibility and state tests across all variants.</w:t>
            </w:r>
          </w:p>
        </w:tc>
      </w:tr>
      <w:tr>
        <w:tc>
          <w:tcPr>
            <w:tcW w:type="dxa" w:w="2494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Twelve palettes</w:t>
            </w:r>
          </w:p>
        </w:tc>
        <w:tc>
          <w:tcPr>
            <w:tcW w:type="dxa" w:w="7370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Dark, Light and System token generation; contrast and semantic invariance.</w:t>
            </w:r>
          </w:p>
        </w:tc>
      </w:tr>
      <w:tr>
        <w:tc>
          <w:tcPr>
            <w:tcW w:type="dxa" w:w="2494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Responsive shell</w:t>
            </w:r>
          </w:p>
        </w:tc>
        <w:tc>
          <w:tcPr>
            <w:tcW w:type="dxa" w:w="7370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Specified width states and monitor changes.</w:t>
            </w:r>
          </w:p>
        </w:tc>
      </w:tr>
      <w:tr>
        <w:tc>
          <w:tcPr>
            <w:tcW w:type="dxa" w:w="2494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State Lattice</w:t>
            </w:r>
          </w:p>
        </w:tc>
        <w:tc>
          <w:tcPr>
            <w:tcW w:type="dxa" w:w="7370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Large-graph performance, keyboard representation, selection stability and evidence navigation.</w:t>
            </w:r>
          </w:p>
        </w:tc>
      </w:tr>
      <w:tr>
        <w:tc>
          <w:tcPr>
            <w:tcW w:type="dxa" w:w="2494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Live telemetry</w:t>
            </w:r>
          </w:p>
        </w:tc>
        <w:tc>
          <w:tcPr>
            <w:tcW w:type="dxa" w:w="7370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High-volume virtualisation, pause/resume, filtering and no event loss.</w:t>
            </w:r>
          </w:p>
        </w:tc>
      </w:tr>
      <w:tr>
        <w:tc>
          <w:tcPr>
            <w:tcW w:type="dxa" w:w="2494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Reports</w:t>
            </w:r>
          </w:p>
        </w:tc>
        <w:tc>
          <w:tcPr>
            <w:tcW w:type="dxa" w:w="7370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No broken evidence links, clipped export content or unsupported claims.</w:t>
            </w:r>
          </w:p>
        </w:tc>
      </w:tr>
      <w:tr>
        <w:tc>
          <w:tcPr>
            <w:tcW w:type="dxa" w:w="2494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Permissions</w:t>
            </w:r>
          </w:p>
        </w:tc>
        <w:tc>
          <w:tcPr>
            <w:tcW w:type="dxa" w:w="7370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Every governed action tested for allow, deny, approval, expiry and audit.</w:t>
            </w:r>
          </w:p>
        </w:tc>
      </w:tr>
      <w:tr>
        <w:tc>
          <w:tcPr>
            <w:tcW w:type="dxa" w:w="2494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Recovery</w:t>
            </w:r>
          </w:p>
        </w:tc>
        <w:tc>
          <w:tcPr>
            <w:tcW w:type="dxa" w:w="7370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Restart, crash, network loss, adapter failure and partial-run restoration.</w:t>
            </w:r>
          </w:p>
        </w:tc>
      </w:tr>
      <w:tr>
        <w:tc>
          <w:tcPr>
            <w:tcW w:type="dxa" w:w="2494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Performance</w:t>
            </w:r>
          </w:p>
        </w:tc>
        <w:tc>
          <w:tcPr>
            <w:tcW w:type="dxa" w:w="7370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Measured on the current Capital-Iz main and backup PCs.</w:t>
            </w:r>
          </w:p>
        </w:tc>
      </w:tr>
      <w:tr>
        <w:tc>
          <w:tcPr>
            <w:tcW w:type="dxa" w:w="2494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Visual regression</w:t>
            </w:r>
          </w:p>
        </w:tc>
        <w:tc>
          <w:tcPr>
            <w:tcW w:type="dxa" w:w="7370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Reference screenshots across core workspaces, modes, palettes, scaling and density.</w:t>
            </w:r>
          </w:p>
        </w:tc>
      </w:tr>
    </w:tbl>
    <w:p>
      <w:pPr>
        <w:spacing w:after="0"/>
      </w:pPr>
    </w:p>
    <w:p>
      <w:pPr>
        <w:pStyle w:val="Heading2"/>
      </w:pPr>
      <w:r>
        <w:t>Definition of UI completion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The implemented surface can be traced to a component and semantic token specification.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Empty, loading, error, permission and degraded states are implemented.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Keyboard and accessible operation are verified.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All twelve palettes render legibly in Dark and Light mode.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The surface remains functional with gradient, glass, glow and motion disabled.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Responsive behaviour is proven at each supported width state.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Actions record meaningful events and display actual execution state.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No mock, placeholder or simulated success is represented as live product behaviour.</w:t>
      </w:r>
    </w:p>
    <w:p>
      <w:pPr>
        <w:pStyle w:val="Heading2"/>
      </w:pPr>
      <w:r>
        <w:t>Source inheritance and Ghozt-specific expansion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494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5"/>
              </w:rPr>
              <w:t>Source authority</w:t>
            </w:r>
          </w:p>
        </w:tc>
        <w:tc>
          <w:tcPr>
            <w:tcW w:type="dxa" w:w="3515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5"/>
              </w:rPr>
              <w:t>Inherited doctrine</w:t>
            </w:r>
          </w:p>
        </w:tc>
        <w:tc>
          <w:tcPr>
            <w:tcW w:type="dxa" w:w="3855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5"/>
              </w:rPr>
              <w:t>Ghozt-specific expansion</w:t>
            </w:r>
          </w:p>
        </w:tc>
      </w:tr>
      <w:tr>
        <w:tc>
          <w:tcPr>
            <w:tcW w:type="dxa" w:w="2494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Capital-Iz Dev Tester Platform Blueprint</w:t>
            </w:r>
          </w:p>
        </w:tc>
        <w:tc>
          <w:tcPr>
            <w:tcW w:type="dxa" w:w="3515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Control, Execution and Intelligence layers; evidence-backed testing; unit, integration, UI, workflow, security, performance and deployment smoke validation.</w:t>
            </w:r>
          </w:p>
        </w:tc>
        <w:tc>
          <w:tcPr>
            <w:tcW w:type="dxa" w:w="3855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Autonomous state exploration, forensic replay, counterfactual causality, algorithm laboratories, evidence dossiers and release clearance.</w:t>
            </w:r>
          </w:p>
        </w:tc>
      </w:tr>
      <w:tr>
        <w:tc>
          <w:tcPr>
            <w:tcW w:type="dxa" w:w="2494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Universal Blueprint Development Doctrine</w:t>
            </w:r>
          </w:p>
        </w:tc>
        <w:tc>
          <w:tcPr>
            <w:tcW w:type="dxa" w:w="3515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Structure → Validation → Execution → State → Event → Audit; rejection of hidden logic and unverifiable execution.</w:t>
            </w:r>
          </w:p>
        </w:tc>
        <w:tc>
          <w:tcPr>
            <w:tcW w:type="dxa" w:w="3855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Each Ghozt workflow, agent and test adapter receives explicit contracts, permissions, failure states, verification and audit output.</w:t>
            </w:r>
          </w:p>
        </w:tc>
      </w:tr>
      <w:tr>
        <w:tc>
          <w:tcPr>
            <w:tcW w:type="dxa" w:w="2494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Capital-Iz AI Architecture Blueprint</w:t>
            </w:r>
          </w:p>
        </w:tc>
        <w:tc>
          <w:tcPr>
            <w:tcW w:type="dxa" w:w="3515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Supervised intelligence; bounded roles; approval before high-risk execution; evidence recording.</w:t>
            </w:r>
          </w:p>
        </w:tc>
        <w:tc>
          <w:tcPr>
            <w:tcW w:type="dxa" w:w="3855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Specialist test agents, causal-analysis agents, fix-brief agents and report agents governed through policy gates.</w:t>
            </w:r>
          </w:p>
        </w:tc>
      </w:tr>
      <w:tr>
        <w:tc>
          <w:tcPr>
            <w:tcW w:type="dxa" w:w="2494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Capital-Iz Universal Design System</w:t>
            </w:r>
          </w:p>
        </w:tc>
        <w:tc>
          <w:tcPr>
            <w:tcW w:type="dxa" w:w="3515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Clarity over decoration; high contrast; restrained premium accents; action-first, reusable and state-visible UI.</w:t>
            </w:r>
          </w:p>
        </w:tc>
        <w:tc>
          <w:tcPr>
            <w:tcW w:type="dxa" w:w="3855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Restricted forensic-tech visual language, state lattice, black-box stream and twelve Ghozt palettes.</w:t>
            </w:r>
          </w:p>
        </w:tc>
      </w:tr>
      <w:tr>
        <w:tc>
          <w:tcPr>
            <w:tcW w:type="dxa" w:w="2494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CommandDeck implementation reference</w:t>
            </w:r>
          </w:p>
        </w:tc>
        <w:tc>
          <w:tcPr>
            <w:tcW w:type="dxa" w:w="3515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Semantic theme tokens, runtime palette switching, dark/light derivation, controlled glass/gradient/glow and responsive operational layout.</w:t>
            </w:r>
          </w:p>
        </w:tc>
        <w:tc>
          <w:tcPr>
            <w:tcW w:type="dxa" w:w="3855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A new Ghozt token namespace, twelve product-specific palettes, tighter forensic geometry and evidence-first workspaces rather than copied CommandDeck screens.</w:t>
            </w:r>
          </w:p>
        </w:tc>
      </w:tr>
    </w:tbl>
    <w:p>
      <w:pPr>
        <w:spacing w:after="0"/>
      </w:pPr>
    </w:p>
    <w:p>
      <w:pPr>
        <w:pStyle w:val="GhoztEyebrow"/>
      </w:pPr>
      <w:r>
        <w:t>APPENDIX</w:t>
      </w:r>
    </w:p>
    <w:p>
      <w:pPr>
        <w:pStyle w:val="Heading1"/>
        <w:pBdr>
          <w:bottom w:val="single" w:sz="8" w:space="1" w:color="BFD0D6"/>
        </w:pBdr>
      </w:pPr>
      <w:r>
        <w:t>Appendix A — Recommended semantic token namespace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3118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5"/>
              </w:rPr>
              <w:t>Token</w:t>
            </w:r>
          </w:p>
        </w:tc>
        <w:tc>
          <w:tcPr>
            <w:tcW w:type="dxa" w:w="6746"/>
            <w:shd w:fill="0B172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 Display" w:hAnsi="Inter Display" w:eastAsia="Inter Display"/>
                <w:b/>
                <w:color w:val="FFFFFF"/>
                <w:sz w:val="15"/>
              </w:rPr>
              <w:t>Role</w:t>
            </w:r>
          </w:p>
        </w:tc>
      </w:tr>
      <w:tr>
        <w:tc>
          <w:tcPr>
            <w:tcW w:type="dxa" w:w="3118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Surface.Void</w:t>
            </w:r>
          </w:p>
        </w:tc>
        <w:tc>
          <w:tcPr>
            <w:tcW w:type="dxa" w:w="6746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Application background / deepest plane.</w:t>
            </w:r>
          </w:p>
        </w:tc>
      </w:tr>
      <w:tr>
        <w:tc>
          <w:tcPr>
            <w:tcW w:type="dxa" w:w="3118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Surface.Base</w:t>
            </w:r>
          </w:p>
        </w:tc>
        <w:tc>
          <w:tcPr>
            <w:tcW w:type="dxa" w:w="6746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Primary workspace background.</w:t>
            </w:r>
          </w:p>
        </w:tc>
      </w:tr>
      <w:tr>
        <w:tc>
          <w:tcPr>
            <w:tcW w:type="dxa" w:w="3118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Surface.Panel</w:t>
            </w:r>
          </w:p>
        </w:tc>
        <w:tc>
          <w:tcPr>
            <w:tcW w:type="dxa" w:w="6746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Navigation, inspector and major panel.</w:t>
            </w:r>
          </w:p>
        </w:tc>
      </w:tr>
      <w:tr>
        <w:tc>
          <w:tcPr>
            <w:tcW w:type="dxa" w:w="3118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Surface.Card</w:t>
            </w:r>
          </w:p>
        </w:tc>
        <w:tc>
          <w:tcPr>
            <w:tcW w:type="dxa" w:w="6746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Evidence, finding and data cards.</w:t>
            </w:r>
          </w:p>
        </w:tc>
      </w:tr>
      <w:tr>
        <w:tc>
          <w:tcPr>
            <w:tcW w:type="dxa" w:w="3118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Surface.Elevated</w:t>
            </w:r>
          </w:p>
        </w:tc>
        <w:tc>
          <w:tcPr>
            <w:tcW w:type="dxa" w:w="6746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Menus, overlays and selected material.</w:t>
            </w:r>
          </w:p>
        </w:tc>
      </w:tr>
      <w:tr>
        <w:tc>
          <w:tcPr>
            <w:tcW w:type="dxa" w:w="3118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Surface.Input</w:t>
            </w:r>
          </w:p>
        </w:tc>
        <w:tc>
          <w:tcPr>
            <w:tcW w:type="dxa" w:w="6746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Inputs and query editors.</w:t>
            </w:r>
          </w:p>
        </w:tc>
      </w:tr>
      <w:tr>
        <w:tc>
          <w:tcPr>
            <w:tcW w:type="dxa" w:w="3118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Surface.Hover</w:t>
            </w:r>
          </w:p>
        </w:tc>
        <w:tc>
          <w:tcPr>
            <w:tcW w:type="dxa" w:w="6746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Pointer hover without selection.</w:t>
            </w:r>
          </w:p>
        </w:tc>
      </w:tr>
      <w:tr>
        <w:tc>
          <w:tcPr>
            <w:tcW w:type="dxa" w:w="3118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Surface.Selected</w:t>
            </w:r>
          </w:p>
        </w:tc>
        <w:tc>
          <w:tcPr>
            <w:tcW w:type="dxa" w:w="6746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Selected row/node/card wash.</w:t>
            </w:r>
          </w:p>
        </w:tc>
      </w:tr>
      <w:tr>
        <w:tc>
          <w:tcPr>
            <w:tcW w:type="dxa" w:w="3118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Surface.AccentWash</w:t>
            </w:r>
          </w:p>
        </w:tc>
        <w:tc>
          <w:tcPr>
            <w:tcW w:type="dxa" w:w="6746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Subtle palette-tinted support surface.</w:t>
            </w:r>
          </w:p>
        </w:tc>
      </w:tr>
      <w:tr>
        <w:tc>
          <w:tcPr>
            <w:tcW w:type="dxa" w:w="3118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Text.Primary</w:t>
            </w:r>
          </w:p>
        </w:tc>
        <w:tc>
          <w:tcPr>
            <w:tcW w:type="dxa" w:w="6746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Primary reading text.</w:t>
            </w:r>
          </w:p>
        </w:tc>
      </w:tr>
      <w:tr>
        <w:tc>
          <w:tcPr>
            <w:tcW w:type="dxa" w:w="3118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Text.Body</w:t>
            </w:r>
          </w:p>
        </w:tc>
        <w:tc>
          <w:tcPr>
            <w:tcW w:type="dxa" w:w="6746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Normal copy.</w:t>
            </w:r>
          </w:p>
        </w:tc>
      </w:tr>
      <w:tr>
        <w:tc>
          <w:tcPr>
            <w:tcW w:type="dxa" w:w="3118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Text.Muted</w:t>
            </w:r>
          </w:p>
        </w:tc>
        <w:tc>
          <w:tcPr>
            <w:tcW w:type="dxa" w:w="6746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Metadata and secondary copy.</w:t>
            </w:r>
          </w:p>
        </w:tc>
      </w:tr>
      <w:tr>
        <w:tc>
          <w:tcPr>
            <w:tcW w:type="dxa" w:w="3118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Text.OnAccent</w:t>
            </w:r>
          </w:p>
        </w:tc>
        <w:tc>
          <w:tcPr>
            <w:tcW w:type="dxa" w:w="6746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Text on accent fill.</w:t>
            </w:r>
          </w:p>
        </w:tc>
      </w:tr>
      <w:tr>
        <w:tc>
          <w:tcPr>
            <w:tcW w:type="dxa" w:w="3118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Border.Default</w:t>
            </w:r>
          </w:p>
        </w:tc>
        <w:tc>
          <w:tcPr>
            <w:tcW w:type="dxa" w:w="6746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Standard structural border.</w:t>
            </w:r>
          </w:p>
        </w:tc>
      </w:tr>
      <w:tr>
        <w:tc>
          <w:tcPr>
            <w:tcW w:type="dxa" w:w="3118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Border.Subtle</w:t>
            </w:r>
          </w:p>
        </w:tc>
        <w:tc>
          <w:tcPr>
            <w:tcW w:type="dxa" w:w="6746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Low-emphasis separator.</w:t>
            </w:r>
          </w:p>
        </w:tc>
      </w:tr>
      <w:tr>
        <w:tc>
          <w:tcPr>
            <w:tcW w:type="dxa" w:w="3118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Border.Selected</w:t>
            </w:r>
          </w:p>
        </w:tc>
        <w:tc>
          <w:tcPr>
            <w:tcW w:type="dxa" w:w="6746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Selected state border.</w:t>
            </w:r>
          </w:p>
        </w:tc>
      </w:tr>
      <w:tr>
        <w:tc>
          <w:tcPr>
            <w:tcW w:type="dxa" w:w="3118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Action.Primary</w:t>
            </w:r>
          </w:p>
        </w:tc>
        <w:tc>
          <w:tcPr>
            <w:tcW w:type="dxa" w:w="6746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Primary action fill.</w:t>
            </w:r>
          </w:p>
        </w:tc>
      </w:tr>
      <w:tr>
        <w:tc>
          <w:tcPr>
            <w:tcW w:type="dxa" w:w="3118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Action.Secondary</w:t>
            </w:r>
          </w:p>
        </w:tc>
        <w:tc>
          <w:tcPr>
            <w:tcW w:type="dxa" w:w="6746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Secondary action border/text.</w:t>
            </w:r>
          </w:p>
        </w:tc>
      </w:tr>
      <w:tr>
        <w:tc>
          <w:tcPr>
            <w:tcW w:type="dxa" w:w="3118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Ghozt.Live</w:t>
            </w:r>
          </w:p>
        </w:tc>
        <w:tc>
          <w:tcPr>
            <w:tcW w:type="dxa" w:w="6746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Active traversal / observation.</w:t>
            </w:r>
          </w:p>
        </w:tc>
      </w:tr>
      <w:tr>
        <w:tc>
          <w:tcPr>
            <w:tcW w:type="dxa" w:w="3118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Ghozt.Telemetry</w:t>
            </w:r>
          </w:p>
        </w:tc>
        <w:tc>
          <w:tcPr>
            <w:tcW w:type="dxa" w:w="6746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Live service/network information.</w:t>
            </w:r>
          </w:p>
        </w:tc>
      </w:tr>
      <w:tr>
        <w:tc>
          <w:tcPr>
            <w:tcW w:type="dxa" w:w="3118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Ghozt.Counterfactual</w:t>
            </w:r>
          </w:p>
        </w:tc>
        <w:tc>
          <w:tcPr>
            <w:tcW w:type="dxa" w:w="6746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AI / simulated branch.</w:t>
            </w:r>
          </w:p>
        </w:tc>
      </w:tr>
      <w:tr>
        <w:tc>
          <w:tcPr>
            <w:tcW w:type="dxa" w:w="3118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Evidence.Seal</w:t>
            </w:r>
          </w:p>
        </w:tc>
        <w:tc>
          <w:tcPr>
            <w:tcW w:type="dxa" w:w="6746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Complete verified evidence.</w:t>
            </w:r>
          </w:p>
        </w:tc>
      </w:tr>
      <w:tr>
        <w:tc>
          <w:tcPr>
            <w:tcW w:type="dxa" w:w="3118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State.Verified</w:t>
            </w:r>
          </w:p>
        </w:tc>
        <w:tc>
          <w:tcPr>
            <w:tcW w:type="dxa" w:w="6746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Expected state proven.</w:t>
            </w:r>
          </w:p>
        </w:tc>
      </w:tr>
      <w:tr>
        <w:tc>
          <w:tcPr>
            <w:tcW w:type="dxa" w:w="3118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State.Warning</w:t>
            </w:r>
          </w:p>
        </w:tc>
        <w:tc>
          <w:tcPr>
            <w:tcW w:type="dxa" w:w="6746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Review, uncertainty or degraded.</w:t>
            </w:r>
          </w:p>
        </w:tc>
      </w:tr>
      <w:tr>
        <w:tc>
          <w:tcPr>
            <w:tcW w:type="dxa" w:w="3118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State.Fault</w:t>
            </w:r>
          </w:p>
        </w:tc>
        <w:tc>
          <w:tcPr>
            <w:tcW w:type="dxa" w:w="6746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Confirmed failure.</w:t>
            </w:r>
          </w:p>
        </w:tc>
      </w:tr>
      <w:tr>
        <w:tc>
          <w:tcPr>
            <w:tcW w:type="dxa" w:w="3118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State.Critical</w:t>
            </w:r>
          </w:p>
        </w:tc>
        <w:tc>
          <w:tcPr>
            <w:tcW w:type="dxa" w:w="6746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Critical failure / containment.</w:t>
            </w:r>
          </w:p>
        </w:tc>
      </w:tr>
      <w:tr>
        <w:tc>
          <w:tcPr>
            <w:tcW w:type="dxa" w:w="3118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Authority.Clearance</w:t>
            </w:r>
          </w:p>
        </w:tc>
        <w:tc>
          <w:tcPr>
            <w:tcW w:type="dxa" w:w="6746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Approval and release authority.</w:t>
            </w:r>
          </w:p>
        </w:tc>
      </w:tr>
      <w:tr>
        <w:tc>
          <w:tcPr>
            <w:tcW w:type="dxa" w:w="3118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Focus.Ring</w:t>
            </w:r>
          </w:p>
        </w:tc>
        <w:tc>
          <w:tcPr>
            <w:tcW w:type="dxa" w:w="6746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Keyboard focus.</w:t>
            </w:r>
          </w:p>
        </w:tc>
      </w:tr>
      <w:tr>
        <w:tc>
          <w:tcPr>
            <w:tcW w:type="dxa" w:w="3118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Glow.Active</w:t>
            </w:r>
          </w:p>
        </w:tc>
        <w:tc>
          <w:tcPr>
            <w:tcW w:type="dxa" w:w="6746"/>
            <w:shd w:fill="F5F8F9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Optional local live glow.</w:t>
            </w:r>
          </w:p>
        </w:tc>
      </w:tr>
      <w:tr>
        <w:tc>
          <w:tcPr>
            <w:tcW w:type="dxa" w:w="3118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Glow.Danger</w:t>
            </w:r>
          </w:p>
        </w:tc>
        <w:tc>
          <w:tcPr>
            <w:tcW w:type="dxa" w:w="6746"/>
            <w:shd w:fill="FFFFFF"/>
            <w:tcMar>
              <w:top w:w="100" w:type="dxa"/>
              <w:start w:w="90" w:type="dxa"/>
              <w:bottom w:w="100" w:type="dxa"/>
              <w:end w:w="90" w:type="dxa"/>
            </w:tcMar>
            <w:tcBorders>
              <w:bottom w:val="single" w:sz="4" w:color="D6E0E4"/>
            </w:tcBorders>
          </w:tcPr>
          <w:p>
            <w:pPr>
              <w:spacing w:after="0" w:line="254" w:lineRule="auto"/>
            </w:pPr>
            <w:r>
              <w:rPr>
                <w:rFonts w:ascii="Inter" w:hAnsi="Inter" w:eastAsia="Inter"/>
                <w:color w:val="10171D"/>
                <w:sz w:val="15"/>
              </w:rPr>
              <w:t>Optional local critical glow.</w:t>
            </w:r>
          </w:p>
        </w:tc>
      </w:tr>
    </w:tbl>
    <w:p>
      <w:pPr>
        <w:spacing w:after="0"/>
      </w:pPr>
    </w:p>
    <w:p>
      <w:pPr>
        <w:pStyle w:val="GhoztEyebrow"/>
      </w:pPr>
      <w:r>
        <w:t>APPENDIX</w:t>
      </w:r>
    </w:p>
    <w:p>
      <w:pPr>
        <w:pStyle w:val="Heading1"/>
        <w:pBdr>
          <w:bottom w:val="single" w:sz="8" w:space="1" w:color="BFD0D6"/>
        </w:pBdr>
      </w:pPr>
      <w:r>
        <w:t>Appendix B — Interface acceptance checklist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Correct product labelling: Ghozt in the visible shell.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Target, build, environment, authority and recorder are visible.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Primary task is clear without relying on a theme effect.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Expected and actual state are distinguishable.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Observed, inferred, simulated and human-decided information are labelled.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Evidence is reachable from every reportable finding.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Risk and status use semantic labels plus stable colour/icon treatment.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Keyboard, screen-reader, reduced-motion and high-scaling paths work.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No clipped text or hidden action at supported widths.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All twelve palettes pass contrast and visual-regression checks.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Glass, gradient and glow can be disabled without degrading hierarchy.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Loading, empty, error, denied, degraded and partial states are designed.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No critical action executes without target/effect/approval clarity.</w:t>
      </w:r>
    </w:p>
    <w:p>
      <w:pPr>
        <w:pStyle w:val="ListBullet"/>
        <w:spacing w:after="80"/>
        <w:ind w:left="283" w:hanging="142"/>
      </w:pPr>
      <w:r>
        <w:rPr>
          <w:rFonts w:ascii="Inter" w:hAnsi="Inter" w:eastAsia="Inter"/>
          <w:color w:val="10171D"/>
          <w:sz w:val="18"/>
        </w:rPr>
        <w:t>No decorative node, metric or terminal line pretends to be real system data.</w:t>
      </w:r>
    </w:p>
    <w:p>
      <w:r>
        <w:br w:type="page"/>
      </w:r>
    </w:p>
    <w:p>
      <w:pPr>
        <w:spacing w:before="3969"/>
        <w:jc w:val="center"/>
      </w:pPr>
      <w:r>
        <w:rPr>
          <w:rFonts w:ascii="Inter Display" w:hAnsi="Inter Display" w:eastAsia="Inter Display"/>
          <w:b/>
          <w:color w:val="091017"/>
          <w:sz w:val="84"/>
        </w:rPr>
        <w:t>Ghozt</w:t>
      </w:r>
    </w:p>
    <w:p>
      <w:pPr>
        <w:jc w:val="center"/>
      </w:pPr>
      <w:r>
        <w:rPr>
          <w:rFonts w:ascii="Inter Display" w:hAnsi="Inter Display" w:eastAsia="Inter Display"/>
          <w:b/>
          <w:color w:val="CDA661"/>
          <w:sz w:val="24"/>
        </w:rPr>
        <w:t>END OF CONTROLLED BLUEPRINT</w:t>
      </w:r>
    </w:p>
    <w:p>
      <w:pPr>
        <w:ind w:left="1417" w:right="1417"/>
        <w:jc w:val="center"/>
      </w:pPr>
      <w:r>
        <w:rPr>
          <w:rFonts w:ascii="Inter" w:hAnsi="Inter" w:eastAsia="Inter"/>
          <w:color w:val="64737E"/>
          <w:sz w:val="20"/>
        </w:rPr>
        <w:t>This document forms part of the Capital-Iz Ghozt canonical product specification. Superseding revisions must preserve the naming lock, evidence doctrine, authority boundaries and traceability requirements defined herein.</w:t>
      </w:r>
    </w:p>
    <w:p>
      <w:pPr>
        <w:jc w:val="center"/>
      </w:pPr>
      <w:r>
        <w:rPr>
          <w:rFonts w:ascii="Inter" w:hAnsi="Inter" w:eastAsia="Inter"/>
          <w:b/>
          <w:color w:val="7E8E97"/>
          <w:sz w:val="16"/>
        </w:rPr>
        <w:t>CAPITAL-IZ • BUILD TRUTH. PRESERVE EVIDENCE. EARN CLEARANCE.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370"/>
      <w:gridCol w:w="2494"/>
    </w:tblGrid>
    <w:tr>
      <w:tc>
        <w:tcPr>
          <w:tcW w:type="dxa" w:w="4932"/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Inter" w:hAnsi="Inter" w:eastAsia="Inter"/>
              <w:b/>
              <w:color w:val="7B8B94"/>
              <w:sz w:val="15"/>
            </w:rPr>
            <w:t>CAPITAL-IZ • CONTROLLED BLUEPRINT</w:t>
          </w:r>
        </w:p>
      </w:tc>
      <w:tc>
        <w:tcPr>
          <w:tcW w:type="dxa" w:w="4932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Inter" w:hAnsi="Inter" w:eastAsia="Inter"/>
              <w:color w:val="64737E"/>
              <w:sz w:val="16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1" w:color="CAD8DE"/>
      </w:pBdr>
    </w:pPr>
    <w:r>
      <w:rPr>
        <w:rFonts w:ascii="Inter Display" w:hAnsi="Inter Display" w:eastAsia="Inter Display"/>
        <w:b/>
        <w:color w:val="6E7E88"/>
        <w:sz w:val="16"/>
      </w:rPr>
      <w:t>Ghozt  |  UI, UX &amp; 12-Theme Design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Inter" w:hAnsi="Inter"/>
      <w:color w:val="10171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Inter Display" w:hAnsi="Inter Display"/>
      <w:b/>
      <w:bCs/>
      <w:color w:val="091017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Inter Display" w:hAnsi="Inter Display"/>
      <w:b/>
      <w:bCs/>
      <w:color w:val="09101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Inter Display" w:hAnsi="Inter Display"/>
      <w:b/>
      <w:bCs/>
      <w:color w:val="09101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Inter Display" w:hAnsi="Inter Display"/>
      <w:b/>
      <w:bCs/>
      <w:i/>
      <w:iCs/>
      <w:color w:val="64737E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Inter Display" w:hAnsi="Inter Display"/>
      <w:b/>
      <w:color w:val="10171D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Inter Display" w:hAnsi="Inter Display"/>
      <w:b w:val="0"/>
      <w:i/>
      <w:iCs/>
      <w:color w:val="64737E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hoztEyebrow">
    <w:name w:val="Ghozt Eyebrow"/>
    <w:pPr>
      <w:keepNext/>
      <w:spacing w:after="60"/>
    </w:pPr>
    <w:rPr>
      <w:rFonts w:ascii="Inter Display" w:hAnsi="Inter Display"/>
      <w:b/>
      <w:color w:val="CDA661"/>
      <w:sz w:val="16"/>
    </w:rPr>
  </w:style>
  <w:style w:type="paragraph" w:customStyle="1" w:styleId="GhoztLead">
    <w:name w:val="Ghozt Lead"/>
    <w:pPr>
      <w:spacing w:after="200" w:line="293" w:lineRule="auto"/>
    </w:pPr>
    <w:rPr>
      <w:rFonts w:ascii="Inter" w:hAnsi="Inter"/>
      <w:color w:val="2A3942"/>
      <w:sz w:val="24"/>
    </w:rPr>
  </w:style>
  <w:style w:type="paragraph" w:customStyle="1" w:styleId="GhoztMono">
    <w:name w:val="Ghozt Mono"/>
    <w:pPr>
      <w:spacing w:after="40" w:line="240" w:lineRule="auto"/>
    </w:pPr>
    <w:rPr>
      <w:rFonts w:ascii="DejaVu Sans Mono" w:hAnsi="DejaVu Sans Mono"/>
      <w:color w:val="25404B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Ghozt UI, UX &amp; 12-Theme Design System Blueprint</dc:title>
  <dc:subject>Capital-Iz Ghozt canonical interface architecture, component system and twelve-palette theme engine</dc:subject>
  <dc:creator>Capital-Iz</dc:creator>
  <cp:keywords>Capital-Iz; Ghozt; Dev Tester; controlled blueprint; software forensics; quality certification</cp:keywords>
  <dc:description>Controlled blueprint defining every major visible and interactive layer of Ghozt, including twelve signature palettes with Dark, Light and System modes.</dc:description>
  <cp:lastModifiedBy>Capital-Iz</cp:lastModifiedBy>
  <cp:revision>1</cp:revision>
  <dcterms:created xsi:type="dcterms:W3CDTF">2013-12-23T23:15:00Z</dcterms:created>
  <dcterms:modified xsi:type="dcterms:W3CDTF">2013-12-23T23:15:00Z</dcterms:modified>
  <cp:category/>
</cp:coreProperties>
</file>