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mbria" w:cs="Cambria" w:eastAsia="Cambria" w:hAnsi="Cambria"/>
          <w:b/>
          <w:bCs/>
          <w:color w:val="0E3B43"/>
          <w:sz w:val="40"/>
          <w:szCs w:val="40"/>
        </w:rPr>
        <w:t xml:space="preserve">Обсяг роботи: дані, модель, прогноз, перевірка, презентація</w:t>
      </w:r>
    </w:p>
    <w:p>
      <w:pPr>
        <w:spacing w:after="120"/>
      </w:pPr>
      <w:r>
        <w:rPr>
          <w:sz w:val="20"/>
          <w:szCs w:val="20"/>
        </w:rPr>
        <w:t xml:space="preserve">Що саме зроблено з шаблоном НБУ, які дані й звідки внесено, що змінено в моделі та як отримано кожен результат. Стан — 25 жовтня 2026 року (дані до вересня 2026, включно з вересневим ІСЦ; курс і нафта — до 20–25 жовтня) після аудиту й виправлень (</w:t>
      </w:r>
      <w:r>
        <w:rPr>
          <w:rFonts w:ascii="Consolas" w:cs="Consolas" w:eastAsia="Consolas" w:hAnsi="Consolas"/>
          <w:sz w:val="20"/>
          <w:szCs w:val="20"/>
        </w:rPr>
        <w:t xml:space="preserve">docs/audit_2026-10-25.md</w:t>
      </w:r>
      <w:r>
        <w:rPr>
          <w:sz w:val="20"/>
          <w:szCs w:val="20"/>
        </w:rPr>
        <w:t xml:space="preserve">). Цифри з результатів — з </w:t>
      </w:r>
      <w:r>
        <w:rPr>
          <w:rFonts w:ascii="Consolas" w:cs="Consolas" w:eastAsia="Consolas" w:hAnsi="Consolas"/>
          <w:sz w:val="18"/>
          <w:szCs w:val="18"/>
        </w:rPr>
        <w:t xml:space="preserve">results/key_numbers.json</w:t>
      </w:r>
      <w:r>
        <w:rPr>
          <w:sz w:val="20"/>
          <w:szCs w:val="20"/>
        </w:rPr>
        <w:t xml:space="preserve">. Після </w:t>
      </w:r>
      <w:r>
        <w:rPr>
          <w:rFonts w:ascii="Consolas" w:cs="Consolas" w:eastAsia="Consolas" w:hAnsi="Consolas"/>
          <w:sz w:val="18"/>
          <w:szCs w:val="18"/>
        </w:rPr>
        <w:t xml:space="preserve">python build.py --fetch</w:t>
      </w:r>
      <w:r>
        <w:rPr>
          <w:sz w:val="20"/>
          <w:szCs w:val="20"/>
        </w:rPr>
        <w:t xml:space="preserve"> вони оновляться, а цей документ — ні.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0. Коротко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86"/>
        <w:gridCol w:w="8578"/>
      </w:tblGrid>
      <w:tr>
        <w:trPr>
          <w:cantSplit/>
          <w:tblHeader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Етап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Вихідна точка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Шаблон QPM НБУ для конкурсу (</w:t>
            </w:r>
            <w:hyperlink w:history="1" r:id="rIdrtde0zk6jj6ocbcirpmt9">
              <w:r>
                <w:rPr>
                  <w:color w:val="1F63B5"/>
                  <w:sz w:val="17"/>
                  <w:szCs w:val="17"/>
                  <w:u w:val="single"/>
                </w:rPr>
                <w:t xml:space="preserve">nbu_challenge_model_2026.zip</w:t>
              </w:r>
            </w:hyperlink>
            <w:r>
              <w:rPr>
                <w:sz w:val="17"/>
                <w:szCs w:val="17"/>
              </w:rPr>
              <w:t xml:space="preserve">): модель IRIS, параметри, дані, скрипти MATLAB a01–a04, b02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Перенесення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Уся модель перенесена на Python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</w:t>
            </w:r>
            <w:r>
              <w:rPr>
                <w:sz w:val="17"/>
                <w:szCs w:val="17"/>
              </w:rPr>
              <w:t xml:space="preserve">): читання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розв'язок, фільтр Калмана, прогноз із планом,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Дані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Місячні ряди оновлено до вересня 2026 з API НБУ (денний курс — до 25.10); ВВП — до II кв. 2026; єврозона — фактичні дані й прогноз ЄЦБ (вересень 2026); додано базовий ІСЦ (з виправленням трьох хибних знаків у файлі НБУ) і спот Brent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Розширено: базова й небазова інфляція, канал нафти; з вагою нафти 0 функції відгуку збігаються з шаблоном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Наукасти ІСЦ, базового ІСЦ і курсу на IV кв., 4 судження із джерелами, траєкторія курсу, зовнішні припущення. Ставка: рішення 17% + утримання до середини 2027, далі — траєкторія повернення до цілі 5% на горизонті до 3 років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Аналіз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ризикові сценарії + 4 ризики, 4 варіанти рішення + оптимальна ставка, стійкість рішення (11 сценаріїв, дві конвенції шоків наукасту), чутливість до курсового припущення, віяло невизначеності, квазіреальний бектест, балансовий розрахунок резервів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21 автотест; той самий файл моделі прогнано в MATLAB R2026b + IRIS — розбіжність фільтра й усіх сценаріїв ~1e−5 (на даних до 20.10; після оновлення 25.10 звірку треба повторити); аудит 25.10.2026 і три скептичні рецензії змін</w:t>
            </w:r>
          </w:p>
        </w:tc>
      </w:tr>
      <w:tr>
        <w:trPr>
          <w:cantSplit/>
          <w:tblHeader w:val="off"/>
        </w:trPr>
        <w:tc>
          <w:tcPr>
            <w:tcW w:type="dxa" w:w="128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857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Презентація: 18 основних слайдів + додатки, нотатки доповідача (текст на ≈12 хв мовлення) і клікабельними джерелами; методологія, припущення, Q&amp;A для журі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0а. Вимоги конкурсу → де в презентації</w:t>
      </w:r>
    </w:p>
    <w:p>
      <w:pPr>
        <w:spacing w:after="120"/>
      </w:pPr>
      <w:r>
        <w:rPr>
          <w:sz w:val="20"/>
          <w:szCs w:val="20"/>
        </w:rPr>
        <w:t xml:space="preserve">Ключове питання конкурсу: «Якими мають бути рішення Правління НБУ щодо процентних ставок, офіційного курсу та валютних обмежень під час війни і чому?» (</w:t>
      </w:r>
      <w:hyperlink w:history="1" r:id="rIdwiakvmt9f25tbdqkp0v8e">
        <w:r>
          <w:rPr>
            <w:color w:val="1F63B5"/>
            <w:sz w:val="20"/>
            <w:szCs w:val="20"/>
            <w:u w:val="single"/>
          </w:rPr>
          <w:t xml:space="preserve">сторінка конкурсу</w:t>
        </w:r>
      </w:hyperlink>
      <w:r>
        <w:rPr>
          <w:sz w:val="20"/>
          <w:szCs w:val="20"/>
        </w:rPr>
        <w:t xml:space="preserve">).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56"/>
        <w:gridCol w:w="6708"/>
      </w:tblGrid>
      <w:tr>
        <w:trPr>
          <w:cantSplit/>
          <w:tblHeader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Вимога / критерій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Де закрито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Загальний огляд економічної ситуації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4–8: зовнішнє середовище, інфляція, очікування й реальна ставка, активність, валютний ринок і резерви; платіжний баланс і бюджет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інфляції та інших показників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10–14: модель, короткостроковий прогноз, базовий прогноз із віялом (до 2029), попит і ВВП, сценарії; розширення моделі, судження, базова інфляція — у додатках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Ризики прогнозу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 сценарії + 3 додаткові ризики (курс, як чекає ринок; розбалансування очікувань; ПДВ 21%) і матриця ризиків (додаток)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Рекомендації щодо монетарної політики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Слайди 16–21: рамка рішення, варіанти ставки, ставка, курс і резерви, валютні обмеження, підсумок; комунікація — у додатку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Процентні ставки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 17% (+1 в. п.) з орієнтирами; обмежені обсяги тендерів 3-міс. депсертифікатів, щоб підвищення дійшло до депозитів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Офіційний курс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фіксувати курс (після плато ≈44,7 грн/$ у жовтні — 45,1): двосторонні коливання, інтервенції лише згладжують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Серпневий пакет зберегти, III етап Стратегії — після відновлення резервів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1: мета й функції НБУ, поточний стан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Слайд «Рамка рішення»: мета (ст. 6 Закону «Про НБУ»), ціль 5% на горизонті до 3 років, інструменти, позиції КМП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2: концепції макроекономіки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(розриви, нейтральна ставка, паритет ставок), перший і другий раунд шоків, функція втрат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3: змістовність, логіка, доступність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Структура «головне → огляд → прогноз → рекомендації», один меседж на слайд, джерела на кожному слайді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4: якість аналізу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Звірка рушія з MATLAB/IRIS, квазіреальний бектест, сценарії, оптимальна політика і стійкість рішення, порівняння з НБУ й урядом, незалежний аудит</w:t>
            </w:r>
          </w:p>
        </w:tc>
      </w:tr>
      <w:tr>
        <w:trPr>
          <w:cantSplit/>
          <w:tblHeader w:val="off"/>
        </w:trPr>
        <w:tc>
          <w:tcPr>
            <w:tcW w:type="dxa" w:w="315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Критерій 5: командна робота</w:t>
            </w:r>
          </w:p>
        </w:tc>
        <w:tc>
          <w:tcPr>
            <w:tcW w:type="dxa" w:w="67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Текст виступу розподілено на трьох доповідачів; Q&amp;A для всіх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1. Шаблон НБУ → наш проєкт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57"/>
        <w:gridCol w:w="3354"/>
        <w:gridCol w:w="5153"/>
      </w:tblGrid>
      <w:tr>
        <w:trPr>
          <w:cantSplit/>
          <w:tblHeader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 шаблону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в шаблоні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зроблено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model/model.model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QPM: попит (розрив ВВП), крива Філіпса для ІСЦ, курс (керована гнучкість, β), правило Тейлора, тренди, єврозона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Перенесено на Python і розширено (§3). Оригінал без змін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nbu_template/model/model.model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model/param.m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Калібрування (β = 0,7, ціль 5%, тренди, std шоків)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model/params.yaml</w:t>
            </w:r>
            <w:r>
              <w:rPr>
                <w:sz w:val="17"/>
                <w:szCs w:val="17"/>
              </w:rPr>
              <w:t xml:space="preserve">: ті самі значення +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w_oil</w:t>
            </w:r>
            <w:r>
              <w:rPr>
                <w:sz w:val="17"/>
                <w:szCs w:val="17"/>
              </w:rPr>
              <w:t xml:space="preserve"> і std нових шоків (§4)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data/quarterly.csv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до I кв.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II кв. 2026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data/monthly.csv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ставка, курс EUR до березня 2026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 квітень–вересень 2026, базовий ІСЦ (§2). Перекриття з API звірено: розбіжність 0,00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data/foreign.csv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HICP, ВВП, ставка ЄЦБ до 2028 (припущення)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Фактичні дані + прогноз ЄЦБ (вересень 2026); + Brent і USD/EUR (§2)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a01_read_data.m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Читання й сезонне згладжування (X-13)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qpm/data.py::read_data</w:t>
            </w:r>
            <w:r>
              <w:rPr>
                <w:sz w:val="17"/>
                <w:szCs w:val="17"/>
              </w:rPr>
              <w:t xml:space="preserve"> (STL, не робастний — див. розділ 10); квартал — лише з повних 3 місяців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a02_read_model.m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Model.fromFile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solve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qpm/model.py</w:t>
            </w:r>
            <w:r>
              <w:rPr>
                <w:sz w:val="17"/>
                <w:szCs w:val="17"/>
              </w:rPr>
              <w:t xml:space="preserve">: 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 (sympy) + розв'язувач Сімса (QZ)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a03_run_filter.m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Калмана, тюни розриву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qpm/kalman.py</w:t>
            </w:r>
            <w:r>
              <w:rPr>
                <w:sz w:val="17"/>
                <w:szCs w:val="17"/>
              </w:rPr>
              <w:t xml:space="preserve"> (фільтр + згладжувач Дурбіна–Купмана), ті самі тюни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a04_run_forecast.m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exogenize/endogenize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jforecast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qpm/simulate.py::Plan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forecast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qpm/pipeline.py</w:t>
            </w:r>
          </w:p>
        </w:tc>
      </w:tr>
      <w:tr>
        <w:trPr>
          <w:cantSplit/>
          <w:tblHeader w:val="off"/>
        </w:trPr>
        <w:tc>
          <w:tcPr>
            <w:tcW w:type="dxa" w:w="135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b02_irfs.m</w:t>
            </w:r>
          </w:p>
        </w:tc>
        <w:tc>
          <w:tcPr>
            <w:tcW w:type="dxa" w:w="335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Функції відгуку для різних β</w:t>
            </w:r>
          </w:p>
        </w:tc>
        <w:tc>
          <w:tcPr>
            <w:tcW w:type="dxa" w:w="515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run_irfs.py</w:t>
            </w:r>
            <w:r>
              <w:rPr>
                <w:sz w:val="17"/>
                <w:szCs w:val="17"/>
              </w:rPr>
              <w:t xml:space="preserve">; у MATLAB —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matlab/run_check.m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2. Дані: що внесено і звідки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2.1. Ряди, які бачить модель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8"/>
        <w:gridCol w:w="1094"/>
        <w:gridCol w:w="2558"/>
        <w:gridCol w:w="3265"/>
        <w:gridCol w:w="2339"/>
      </w:tblGrid>
      <w:tr>
        <w:trPr>
          <w:cantSplit/>
          <w:tblHeader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Ряд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це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Період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Обробка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ІСЦ, рівень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 через </w:t>
            </w:r>
            <w:hyperlink w:history="1" r:id="rIdp64qfr2b-guovvneddxdv">
              <w:r>
                <w:rPr>
                  <w:color w:val="1F63B5"/>
                  <w:sz w:val="17"/>
                  <w:szCs w:val="17"/>
                  <w:u w:val="single"/>
                </w:rPr>
                <w:t xml:space="preserve">API НБУ</w:t>
              </w:r>
            </w:hyperlink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statdirectory/inflation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09.2026; 10–12.2026 — наукаст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Урахування дати звітності API; STL; квартал — середнє 3 місяців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L_CPI_C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yfeltkp38tb_abybrugza">
              <w:r>
                <w:rPr>
                  <w:color w:val="1F63B5"/>
                  <w:sz w:val="17"/>
                  <w:szCs w:val="17"/>
                  <w:u w:val="single"/>
                </w:rPr>
                <w:t xml:space="preserve">CCPI_m.xlsx</w:t>
              </w:r>
            </w:hyperlink>
            <w:r>
              <w:rPr>
                <w:sz w:val="17"/>
                <w:szCs w:val="17"/>
              </w:rPr>
              <w:t xml:space="preserve"> (НБУ, дані Держстату) + API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 2008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Рівень прив'язано до ІСЦ у 01.2010; STL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IR_POLICY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Облікова ставка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statdirectory/key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 кінець місяця → середнє за квартал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L_ER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 грн/€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(офіційний курс)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09.2026; IV кв. 2026 — наукаст (жовтень — факт, далі останній курс)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Середній за місяць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Реальний ВВП (SA)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</w:t>
            </w:r>
            <w:hyperlink w:history="1" r:id="rIdstm-wsmkllmquwvjbqrlh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ВВП II кв.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 II кв. 2026 (+0,3% кв/кв); III кв. — судження −0,3%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Ціни 2021 р.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L_CPI_EA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HICP єврозони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j_vdldan4knnct3izjcsm">
              <w:r>
                <w:rPr>
                  <w:color w:val="1F63B5"/>
                  <w:sz w:val="17"/>
                  <w:szCs w:val="17"/>
                  <w:u w:val="single"/>
                </w:rPr>
                <w:t xml:space="preserve">Eurostat prc_hicp_minr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fzwnxhbqphw7erdcoxreu">
              <w:r>
                <w:rPr>
                  <w:color w:val="1F63B5"/>
                  <w:sz w:val="17"/>
                  <w:szCs w:val="17"/>
                  <w:u w:val="single"/>
                </w:rPr>
                <w:t xml:space="preserve">прогноз ЄЦБ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3,0 / 2,5 / 2,1%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Новий ряд (EA21, 2025=100) прив'язано до шаблонного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L_GDP_EA_GAP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ВВП єврозони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6z-uqvtroebv7cvdzoaul">
              <w:r>
                <w:rPr>
                  <w:color w:val="1F63B5"/>
                  <w:sz w:val="17"/>
                  <w:szCs w:val="17"/>
                  <w:u w:val="single"/>
                </w:rPr>
                <w:t xml:space="preserve">ECB Data Portal</w:t>
              </w:r>
            </w:hyperlink>
            <w:r>
              <w:rPr>
                <w:sz w:val="17"/>
                <w:szCs w:val="17"/>
              </w:rPr>
              <w:t xml:space="preserve"> (MNA, EA21); прогноз ЄЦБ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 кв. 2026; далі 0,9 / 1,4 / 1,5%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Ланцюгування кв/кв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IR_EA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Депозитна ставка ЄЦБ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ECB Data Portal; технічні припущення прогнозу ЄЦБ (вересень 2026)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факт до III кв. 2026; далі 2,75% (IV кв. 2026) → 3,0% (2027–2028)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кварталу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L_ROIL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ціна Brent у євро (</w:t>
            </w:r>
            <w:r>
              <w:rPr>
                <w:b/>
                <w:bCs/>
                <w:sz w:val="17"/>
                <w:szCs w:val="17"/>
              </w:rPr>
              <w:t xml:space="preserve">новий ряд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9pgck224k6ogmflr3brky">
              <w:r>
                <w:rPr>
                  <w:color w:val="1F63B5"/>
                  <w:sz w:val="17"/>
                  <w:szCs w:val="17"/>
                  <w:u w:val="single"/>
                </w:rPr>
                <w:t xml:space="preserve">EIA через DBnomics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qe7yff25ozsxaqv2ticog">
              <w:r>
                <w:rPr>
                  <w:color w:val="1F63B5"/>
                  <w:sz w:val="17"/>
                  <w:szCs w:val="17"/>
                  <w:u w:val="single"/>
                </w:rPr>
                <w:t xml:space="preserve">ф'ючерси NYMEX BZ</w:t>
              </w:r>
            </w:hyperlink>
            <w:r>
              <w:rPr>
                <w:sz w:val="17"/>
                <w:szCs w:val="17"/>
              </w:rPr>
              <w:t xml:space="preserve">; USD/EUR — ЄЦБ, далі </w:t>
            </w:r>
            <w:hyperlink w:history="1" r:id="rId9fcuhtzzz7vvqjf7sxgcg">
              <w:r>
                <w:rPr>
                  <w:color w:val="1F63B5"/>
                  <w:sz w:val="17"/>
                  <w:szCs w:val="17"/>
                  <w:u w:val="single"/>
                </w:rPr>
                <w:t xml:space="preserve">припущення НБУ</w:t>
              </w:r>
            </w:hyperlink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спот EIA (FRED / DBnomics) до 09.2026, жовтень — до 20.10; IV кв. 2026 — жовтень за спотом, далі ф'ючерс; прогноз — ф'ючерсна крива до 2028; USD/EUR на горизонті — жовтневий рівень 1,12 без змін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100·ln(Brent / USD_EUR) − HICP</w:t>
            </w:r>
          </w:p>
        </w:tc>
      </w:tr>
      <w:tr>
        <w:trPr>
          <w:cantSplit/>
          <w:tblHeader w:val="off"/>
        </w:trPr>
        <w:tc>
          <w:tcPr>
            <w:tcW w:type="dxa" w:w="6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2029 р.</w:t>
            </w:r>
          </w:p>
        </w:tc>
        <w:tc>
          <w:tcPr>
            <w:tcW w:type="dxa" w:w="109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Зовнішні змінні</w:t>
            </w:r>
          </w:p>
        </w:tc>
        <w:tc>
          <w:tcPr>
            <w:tcW w:type="dxa" w:w="255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самої моделі</w:t>
            </w:r>
          </w:p>
        </w:tc>
        <w:tc>
          <w:tcPr>
            <w:tcW w:type="dxa" w:w="3265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2029</w:t>
            </w:r>
          </w:p>
        </w:tc>
        <w:tc>
          <w:tcPr>
            <w:tcW w:type="dxa" w:w="233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Прогнозів ЄЦБ і ф'ючерсів на 2029 у даних немає → повернення до рівноваг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 — </w:t>
      </w:r>
      <w:r>
        <w:rPr>
          <w:rFonts w:ascii="Consolas" w:cs="Consolas" w:eastAsia="Consolas" w:hAnsi="Consolas"/>
          <w:sz w:val="18"/>
          <w:szCs w:val="18"/>
        </w:rPr>
        <w:t xml:space="preserve">update_data.py</w:t>
      </w:r>
      <w:r>
        <w:rPr>
          <w:sz w:val="20"/>
          <w:szCs w:val="20"/>
        </w:rPr>
        <w:t xml:space="preserve">, журнал звірок — </w:t>
      </w:r>
      <w:r>
        <w:rPr>
          <w:rFonts w:ascii="Consolas" w:cs="Consolas" w:eastAsia="Consolas" w:hAnsi="Consolas"/>
          <w:sz w:val="18"/>
          <w:szCs w:val="18"/>
        </w:rPr>
        <w:t xml:space="preserve">data/UPDATE_LOG.md</w:t>
      </w:r>
      <w:r>
        <w:rPr>
          <w:sz w:val="20"/>
          <w:szCs w:val="20"/>
        </w:rPr>
        <w:t xml:space="preserve">.</w:t>
      </w: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2.2. Дані для огляду економіки (слайди 4–9) і порівняння з НБУ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73"/>
        <w:gridCol w:w="4391"/>
      </w:tblGrid>
      <w:tr>
        <w:trPr>
          <w:cantSplit/>
          <w:tblHeader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Дані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Джерело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Складові ІСЦ, очікування, депозитні ставки, ділові очікування, зарплати, нафта й газ у припущеннях НБУ, розрив ВВП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dbq6pitoqxijfi6t1rtx6">
              <w:r>
                <w:rPr>
                  <w:color w:val="1F63B5"/>
                  <w:sz w:val="17"/>
                  <w:szCs w:val="17"/>
                  <w:u w:val="single"/>
                </w:rPr>
                <w:t xml:space="preserve">Інфляційний звіт НБУ, липень 2026</w:t>
              </w:r>
            </w:hyperlink>
            <w:r>
              <w:rPr>
                <w:sz w:val="17"/>
                <w:szCs w:val="17"/>
              </w:rPr>
              <w:t xml:space="preserve"> — </w:t>
            </w:r>
            <w:hyperlink w:history="1" r:id="rIdrny9pd3ngxghbevrsm0k4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Прогноз НБУ (ІСЦ, базова, адмінціни, ВВП, ставка, бюджет, допомога)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xc2gzv3knuy8snkdecxwv">
              <w:r>
                <w:rPr>
                  <w:color w:val="1F63B5"/>
                  <w:sz w:val="17"/>
                  <w:szCs w:val="17"/>
                  <w:u w:val="single"/>
                </w:rPr>
                <w:t xml:space="preserve">Таблиця макропрогнозу, липень 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Інфляція в липні–серпні 2026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0l6sypzohkwsrqowzfa9b">
              <w:r>
                <w:rPr>
                  <w:color w:val="1F63B5"/>
                  <w:sz w:val="17"/>
                  <w:szCs w:val="17"/>
                  <w:u w:val="single"/>
                </w:rPr>
                <w:t xml:space="preserve">Коментар НБУ щодо інфляції в серпні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Інтервенції, резерви, операції населення з валютою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API НБУ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statdirectory/kursf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Рішення 17.09 і дискусія КМП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teybucfidadqcrwpdzxbq">
              <w:r>
                <w:rPr>
                  <w:color w:val="1F63B5"/>
                  <w:sz w:val="17"/>
                  <w:szCs w:val="17"/>
                  <w:u w:val="single"/>
                </w:rPr>
                <w:t xml:space="preserve">Пресреліз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u5j1xq9-zoqj_ueqmzwdl">
              <w:r>
                <w:rPr>
                  <w:color w:val="1F63B5"/>
                  <w:sz w:val="17"/>
                  <w:szCs w:val="17"/>
                  <w:u w:val="single"/>
                </w:rPr>
                <w:t xml:space="preserve">підсумки дискусії КМП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Валютні обмеження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fxwto6nar75fbbrjpiaow">
              <w:r>
                <w:rPr>
                  <w:color w:val="1F63B5"/>
                  <w:sz w:val="17"/>
                  <w:szCs w:val="17"/>
                  <w:u w:val="single"/>
                </w:rPr>
                <w:t xml:space="preserve">Стратегія НБУ (2023)</w:t>
              </w:r>
            </w:hyperlink>
            <w:r>
              <w:rPr>
                <w:sz w:val="17"/>
                <w:szCs w:val="17"/>
              </w:rPr>
              <w:t xml:space="preserve">, </w:t>
            </w:r>
            <w:hyperlink w:history="1" r:id="rIdcl5bqmpdvcuchqcmkbgy9">
              <w:r>
                <w:rPr>
                  <w:color w:val="1F63B5"/>
                  <w:sz w:val="17"/>
                  <w:szCs w:val="17"/>
                  <w:u w:val="single"/>
                </w:rPr>
                <w:t xml:space="preserve">пакет пом'якшення (серпень 2026)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і горизонт політики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xttnp1pl4emqhvzhykolz">
              <w:r>
                <w:rPr>
                  <w:color w:val="1F63B5"/>
                  <w:sz w:val="17"/>
                  <w:szCs w:val="17"/>
                  <w:u w:val="single"/>
                </w:rPr>
                <w:t xml:space="preserve">Основні засади ГКП (2024)</w:t>
              </w:r>
            </w:hyperlink>
            <w:r>
              <w:rPr>
                <w:sz w:val="17"/>
                <w:szCs w:val="17"/>
              </w:rPr>
              <w:t xml:space="preserve">: 5% без діапазону, горизонт до 3 років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Платіжний баланс: експорт, імпорт, перекази, поточний рахунок, фінансування (ERA, Ukraine Facility, MFA, нові позики), резерви й критерій МВФ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fcewtqqhglzwx7njnmfwu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 НБУ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twe0vliomfcx2_ohlm-au">
              <w:r>
                <w:rPr>
                  <w:color w:val="1F63B5"/>
                  <w:sz w:val="17"/>
                  <w:szCs w:val="17"/>
                  <w:u w:val="single"/>
                </w:rPr>
                <w:t xml:space="preserve">дані графіків ІЗ</w:t>
              </w:r>
            </w:hyperlink>
            <w:r>
              <w:rPr>
                <w:sz w:val="17"/>
                <w:szCs w:val="17"/>
              </w:rPr>
              <w:t xml:space="preserve"> (3.13, 3.14)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очікування, реальна ставка НБУ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(3.12, 3.18)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Бюджетна декларація 2027–2029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Дані графіків ІЗ (таблиці B.2.T.1–2)</w:t>
            </w:r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Дохідність ОВДП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_eqjoj4z0mbtbpxodlcza">
              <w:r>
                <w:rPr>
                  <w:color w:val="1F63B5"/>
                  <w:sz w:val="17"/>
                  <w:szCs w:val="17"/>
                  <w:u w:val="single"/>
                </w:rPr>
                <w:t xml:space="preserve">Аукціон 06.10.2026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Операційний дизайн: тендери 3-міс. ДС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yugfifrmpyfqhwvnlngps">
              <w:r>
                <w:rPr>
                  <w:color w:val="1F63B5"/>
                  <w:sz w:val="17"/>
                  <w:szCs w:val="17"/>
                  <w:u w:val="single"/>
                </w:rPr>
                <w:t xml:space="preserve">НБУ, 01.10.2026</w:t>
              </w:r>
            </w:hyperlink>
          </w:p>
        </w:tc>
      </w:tr>
      <w:tr>
        <w:trPr>
          <w:cantSplit/>
          <w:tblHeader w:val="off"/>
        </w:trPr>
        <w:tc>
          <w:tcPr>
            <w:tcW w:type="dxa" w:w="547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Зовнішнє фінансування</w:t>
            </w:r>
          </w:p>
        </w:tc>
        <w:tc>
          <w:tcPr>
            <w:tcW w:type="dxa" w:w="439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hyperlink w:history="1" r:id="rIdakyyqtlmq7btjhejz32mb">
              <w:r>
                <w:rPr>
                  <w:color w:val="1F63B5"/>
                  <w:sz w:val="17"/>
                  <w:szCs w:val="17"/>
                  <w:u w:val="single"/>
                </w:rPr>
                <w:t xml:space="preserve">Рада МВФ: перегляд програми</w:t>
              </w:r>
            </w:hyperlink>
            <w:r>
              <w:rPr>
                <w:sz w:val="17"/>
                <w:szCs w:val="17"/>
              </w:rPr>
              <w:t xml:space="preserve">; </w:t>
            </w:r>
            <w:hyperlink w:history="1" r:id="rIdsojrrsnokuuefuprgmc7d">
              <w:r>
                <w:rPr>
                  <w:color w:val="1F63B5"/>
                  <w:sz w:val="17"/>
                  <w:szCs w:val="17"/>
                  <w:u w:val="single"/>
                </w:rPr>
                <w:t xml:space="preserve">бюджет (НБУ)</w:t>
              </w:r>
            </w:hyperlink>
          </w:p>
        </w:tc>
      </w:tr>
    </w:tbl>
    <w:p>
      <w:pPr>
        <w:spacing w:after="80" w:before="0"/>
      </w:pPr>
    </w:p>
    <w:p>
      <w:pPr>
        <w:spacing w:after="120"/>
      </w:pPr>
      <w:r>
        <w:rPr>
          <w:sz w:val="20"/>
          <w:szCs w:val="20"/>
        </w:rPr>
        <w:t xml:space="preserve">Скрипти — </w:t>
      </w:r>
      <w:r>
        <w:rPr>
          <w:rFonts w:ascii="Consolas" w:cs="Consolas" w:eastAsia="Consolas" w:hAnsi="Consolas"/>
          <w:sz w:val="18"/>
          <w:szCs w:val="18"/>
        </w:rPr>
        <w:t xml:space="preserve">qpm/overview.py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make_overview_charts.py</w:t>
      </w:r>
      <w:r>
        <w:rPr>
          <w:sz w:val="20"/>
          <w:szCs w:val="20"/>
        </w:rPr>
        <w:t xml:space="preserve">. Опис кожного файлу — </w:t>
      </w:r>
      <w:r>
        <w:rPr>
          <w:rFonts w:ascii="Consolas" w:cs="Consolas" w:eastAsia="Consolas" w:hAnsi="Consolas"/>
          <w:sz w:val="18"/>
          <w:szCs w:val="18"/>
        </w:rPr>
        <w:t xml:space="preserve">data/overview/SOURCES.md</w:t>
      </w:r>
      <w:r>
        <w:rPr>
          <w:sz w:val="20"/>
          <w:szCs w:val="20"/>
        </w:rPr>
        <w:t xml:space="preserve">.</w:t>
      </w: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3. Зміни в моделі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model/model.model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2"/>
        <w:gridCol w:w="3918"/>
        <w:gridCol w:w="4114"/>
      </w:tblGrid>
      <w:tr>
        <w:trPr>
          <w:cantSplit/>
          <w:tblHeader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Зміна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Рівняння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Навіщо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Інфляцію розділено на базову і небазову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 = l_cpi_c + 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Загальний ІСЦ = базова + відносна ціна небазових товарів (пальне, продовольство, адмінціни), як у робочій QPM НБУ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Крива Філіпса — для базової інфляції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dl_cpi_c = 0,4·dl_cpi_c{−1} + 0,6·dl_cpi_c{+1} + 0,3·rmc + res_dl_cpi_c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Коефіцієнти шаблону; на базову не діють разові цінові шоки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Реальний курс — за базовими цінами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l_rer = l_er − l_cpi_c + l_cpi_ea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нафтовий шок давав хибне «відскакування» інфляції вниз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небазових цін (</w:t>
            </w:r>
            <w:r>
              <w:rPr>
                <w:b/>
                <w:bCs/>
                <w:sz w:val="17"/>
                <w:szCs w:val="17"/>
              </w:rPr>
              <w:t xml:space="preserve">нове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dl_rnc = 0,3·dl_rnc{−1} + w_oil·(dl_roil + 4·Δl_rer) + res_dl_rnc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Пальне ціноутворюється в іноземній валюті: реагує на нафту і курс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Блок нафти (</w:t>
            </w:r>
            <w:r>
              <w:rPr>
                <w:b/>
                <w:bCs/>
                <w:sz w:val="17"/>
                <w:szCs w:val="17"/>
              </w:rPr>
              <w:t xml:space="preserve">новий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dl_roil = 0,3·dl_roil{−1} + res_dl_roil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l_roil{−1} + dl_roil/4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Зовнішня змінна, на прогнозі — ф'ючерсна крива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Нові спостережувані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L_CPI_C = l_cpi_c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L_ROIL = l_roil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використовує базовий ІСЦ і нафту</w:t>
            </w:r>
          </w:p>
        </w:tc>
      </w:tr>
      <w:tr>
        <w:trPr>
          <w:cantSplit/>
          <w:tblHeader w:val="off"/>
        </w:trPr>
        <w:tc>
          <w:tcPr>
            <w:tcW w:type="dxa" w:w="18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змін</w:t>
            </w:r>
          </w:p>
        </w:tc>
        <w:tc>
          <w:tcPr>
            <w:tcW w:type="dxa" w:w="39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Попит, курс (UIP + цільовий курс, β = 0,7), правило Тейлора (на загальний ІСЦ), тренди, єврозона</w:t>
            </w:r>
          </w:p>
        </w:tc>
        <w:tc>
          <w:tcPr>
            <w:tcW w:type="dxa" w:w="4114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Щоб модель лишалася моделлю НБУ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4. Параметри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model/params.yaml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1040"/>
        <w:gridCol w:w="1040"/>
        <w:gridCol w:w="5607"/>
      </w:tblGrid>
      <w:tr>
        <w:trPr>
          <w:cantSplit/>
          <w:tblHeader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Параметр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Шаблон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 нас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Коментар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β, ціль, тренди,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coef</w:t>
            </w:r>
            <w:r>
              <w:rPr>
                <w:b/>
                <w:bCs/>
                <w:sz w:val="17"/>
                <w:szCs w:val="17"/>
              </w:rPr>
              <w:t xml:space="preserve">, параметри єврозони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0,7; 5; −2 / 2 / 4; 1; 2 / 1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Ті самі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w_oil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0,016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+20% нафти → ІСЦ ≈+0,3% за рік: пальне ≈4% кошика × частка нафти в ціні ≈40% × 20% + непрямі ефекти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 (як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res_dl_cpi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std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res_dl_roil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 / 60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волатильніші за базові; std нафтового шоку — округлене емпіричне (нафта спостережувана, на результат не впливає). Std працюють лише у фільтрі; віяло бере емпіричні std</w:t>
            </w:r>
          </w:p>
        </w:tc>
      </w:tr>
      <w:tr>
        <w:trPr>
          <w:cantSplit/>
          <w:tblHeader w:val="off"/>
        </w:trPr>
        <w:tc>
          <w:tcPr>
            <w:tcW w:type="dxa" w:w="217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Решта std шоків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04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Як у шаблоні</w:t>
            </w:r>
          </w:p>
        </w:tc>
        <w:tc>
          <w:tcPr>
            <w:tcW w:type="dxa" w:w="560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5. Фільтр (як 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a03_run_filter.m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48"/>
        <w:gridCol w:w="7416"/>
      </w:tblGrid>
      <w:tr>
        <w:trPr>
          <w:cantSplit/>
          <w:tblHeader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Налаштування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Діапазон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2016Q1–2026Q3 (історія), прогноз до 2029Q4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Тюни розриву ВВП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2015Q1 = 0, 2022Q2 = −18%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Злам 2022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std шоку рівня потенційного ВВП = 0,75 лише у 2022Q1–Q2 (з шаблону)</w:t>
            </w:r>
          </w:p>
        </w:tc>
      </w:tr>
      <w:tr>
        <w:trPr>
          <w:cantSplit/>
          <w:tblHeader w:val="off"/>
        </w:trPr>
        <w:tc>
          <w:tcPr>
            <w:tcW w:type="dxa" w:w="244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Спостереження після 2026Q3</w:t>
            </w:r>
          </w:p>
        </w:tc>
        <w:tc>
          <w:tcPr>
            <w:tcW w:type="dxa" w:w="741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Внутрішні — ні (окрім наукасту IV кв.), зовнішні — припущення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6. Прогноз: що закладено (</w:t>
      </w:r>
      <w:r>
        <w:rPr>
          <w:rFonts w:ascii="Cambria" w:cs="Cambria" w:eastAsia="Cambria" w:hAnsi="Cambria"/>
          <w:b/>
          <w:bCs/>
          <w:color w:val="0E3B43"/>
          <w:sz w:val="26"/>
          <w:szCs w:val="26"/>
        </w:rPr>
        <w:t xml:space="preserve">config.py</w:t>
      </w: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26"/>
        <w:gridCol w:w="4118"/>
        <w:gridCol w:w="4120"/>
      </w:tblGrid>
      <w:tr>
        <w:trPr>
          <w:cantSplit/>
          <w:tblHeader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Елемент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Значення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Обґрунтування / джерело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ІСЦ і базового ІСЦ (10–12.2026)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Тренд (SA, 3 міс.) + сезонність STL (нероб'юстний, вікно 13, 5 років) − 0,1 в. п. → грудень: ІСЦ 12,1%, базова 9,6% р/р; у IV кв. фіксуються обидва ряди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Держстат; чутливість до поправки й вікна тренду (11,0–13,1%)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docs/audit_2026-10-25.md</w:t>
            </w:r>
            <w:r>
              <w:rPr>
                <w:sz w:val="17"/>
                <w:szCs w:val="17"/>
              </w:rPr>
              <w:t xml:space="preserve"> §5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Наукаст курсу грн/€ (IV кв. 2026)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50,4 грн/€: жовтень — середній офіційний курс, листопад–грудень — останній курс без змін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Офіційний курс НБУ; найчутливіше припущення: без нього оптимум моделі ≈17,8% замість 16,9%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ВВП III кв. 2026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+1,1% кв/кв SA (≈+1% р/р)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ІЕД: липень +4,0%, серпень +1,2% р/р; Мінекономіки: серпень ≈0%; КМП: «суттєво гірше» за прогноз НБУ (+2,1%). Чутливість: оптимальна ставка 16,5–16,9%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 витрат 2027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res_dl_cpi_c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+0,8 / +0,4 (I–II кв. 2027)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Вторинні ефекти атак в опалювальний сезон; НБУ: +0,4–0,6 в. п. (</w:t>
            </w:r>
            <w:hyperlink w:history="1" r:id="rIdfzgckod0mqcorxtzxpcac">
              <w:r>
                <w:rPr>
                  <w:color w:val="1F63B5"/>
                  <w:sz w:val="17"/>
                  <w:szCs w:val="17"/>
                  <w:u w:val="single"/>
                </w:rPr>
                <w:t xml:space="preserve">КМП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Адмінціни та акцизи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res_dl_rnc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+1,2 (2027), +1,1 (2028) → загальна інфляція вища за базову на ≈1,7 в. п./рік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Середнє 2016–2026 = 1,7 в. п.; НБУ: адмінціни +14,0% / +11,3% (</w:t>
            </w:r>
            <w:hyperlink w:history="1" r:id="rIdy0qyf9nbzh5a8xmi6t6b3">
              <w:r>
                <w:rPr>
                  <w:color w:val="1F63B5"/>
                  <w:sz w:val="17"/>
                  <w:szCs w:val="17"/>
                  <w:u w:val="single"/>
                </w:rPr>
                <w:t xml:space="preserve">макропрогноз</w:t>
              </w:r>
            </w:hyperlink>
            <w:r>
              <w:rPr>
                <w:sz w:val="17"/>
                <w:szCs w:val="17"/>
              </w:rPr>
              <w:t xml:space="preserve">). Позначено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first_round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Бюджетний імпульс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закладається (прибрано після рецензії)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Дефіцит без грантів 35 → 26% ВВП, оборонна частина USL $33,2 → $16,7 млрд — знак імпульсу радше від'ємний; з імпульсом оптимум був би ≈17,2%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Премія за ризик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res_prem_uip_gap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+1,0 (IV кв. 2026)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Затримки фінансування, резерви $47,1 млрд (</w:t>
            </w:r>
            <w:hyperlink w:history="1" r:id="rIdfhbmejhsj2ogxvoaof5tc">
              <w:r>
                <w:rPr>
                  <w:color w:val="1F63B5"/>
                  <w:sz w:val="17"/>
                  <w:szCs w:val="17"/>
                  <w:u w:val="single"/>
                </w:rPr>
                <w:t xml:space="preserve">рішення 17.09</w:t>
              </w:r>
            </w:hyperlink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Потенційний ВВП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res_dl_gdp_tnd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+0,15 в. п./кв. (2027 – I пів. 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Інвестиції в ОПК, повернення мігрантів (припущення НБУ)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Цільовий темп курсу (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dl_er_tar</w:t>
            </w:r>
            <w:r>
              <w:rPr>
                <w:b/>
                <w:bCs/>
                <w:sz w:val="17"/>
                <w:szCs w:val="17"/>
              </w:rPr>
              <w:t xml:space="preserve">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4% (2027), 3% (2028)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Допустиме послаблення; фактичний курс — модельний: 50,4 → 52,7 грн/€ до 2029 (≈1,5% на рік) через високий процентний диференціал; до долара (EUR/USD 1,12) — 45,0 → 47,0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IV кв. 2026 $119 (жовтень — спот $125, далі ф'ючерс); ф'ючерси (24.10): $87 (кінець 2027) → $79 (кінець 2028)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EIA, NYMEX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Ставка (базовий сценарій)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17% у IV кв. 2026 – II кв. 2027; далі — траєкторія повернення до цілі: 13,1% (кінець 2027), 10,5% (2028), 10,5% (2029)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 5% на горизонті до 3 років. Мінімум Σ w·(π−5)² + 0,5·розрив² + (Δi)², w = 5 у 2029; адмінціни — з вагою 50%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config.ADMIN_REACTION</w:t>
            </w:r>
            <w:r>
              <w:rPr>
                <w:sz w:val="17"/>
                <w:szCs w:val="17"/>
              </w:rPr>
              <w:t xml:space="preserve">), приземлення у 2029 — за фактичною інфляцією</w:t>
            </w:r>
          </w:p>
        </w:tc>
      </w:tr>
      <w:tr>
        <w:trPr>
          <w:cantSplit/>
          <w:tblHeader w:val="off"/>
        </w:trPr>
        <w:tc>
          <w:tcPr>
            <w:tcW w:type="dxa" w:w="162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Одиниці</w:t>
            </w:r>
          </w:p>
        </w:tc>
        <w:tc>
          <w:tcPr>
            <w:tcW w:type="dxa" w:w="411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рахує темпи як 100·ln-різниці (як QPM НБУ); у звітах — звичайні % р/р; ціль у моделі = 100·ln 1,05 = 4,88</w:t>
            </w:r>
          </w:p>
        </w:tc>
        <w:tc>
          <w:tcPr>
            <w:tcW w:type="dxa" w:w="412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Без цього IV кв. 2026 показувався б як 10,4% замість 11,0% (середнє місячних даних)</w:t>
            </w:r>
          </w:p>
        </w:tc>
      </w:tr>
    </w:tbl>
    <w:p>
      <w:pPr>
        <w:spacing w:after="80" w:before="0"/>
      </w:pPr>
    </w:p>
    <w:p>
      <w:pPr>
        <w:pStyle w:val="Heading2"/>
      </w:pPr>
      <w:r>
        <w:rPr>
          <w:rFonts w:ascii="Cambria" w:cs="Cambria" w:eastAsia="Cambria" w:hAnsi="Cambria"/>
          <w:b/>
          <w:bCs/>
          <w:color w:val="0E3B43"/>
          <w:sz w:val="23"/>
          <w:szCs w:val="23"/>
        </w:rPr>
        <w:t xml:space="preserve">Сценарії (шоки додаються до базового)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60"/>
        <w:gridCol w:w="5496"/>
        <w:gridCol w:w="3208"/>
      </w:tblGrid>
      <w:tr>
        <w:trPr>
          <w:cantSplit/>
          <w:tblHeader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Сценарій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Шоки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Важка зима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Небазові ціни +3,0 / +1,0, базова +1,0 / +0,5, попит −0,6 / −0,8 / −0,4, премія +1,5 / +1,0 (судження)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12,4%, ставка до 17,8%, ВВП-2027 −1,1%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Дефіцит фінансування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Цільовий курс +12 / 10 / 8 / 6% на рік, премія +2 / 1,5 / 1, попит −0,8 / −1,0 / −0,8 / −0,5 (судження: ≈9% послаблення за рік, як у 2024)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до 13,0%, ставка до 19,3%, ≈54 грн/€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Сприятливий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Премія −1,5 / −1,5 / −1,0, базова −1,0 / −0,7 / −0,5, попит +0,4 / +0,4 / +0,3 (судження)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4,2% у IV кв. 2027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$120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Brent лишається ≈$120 весь 2027 р. замість ≈$87 за ф'ючерсами, у 2028 — повернення до ф'ючерсів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+0,6 в. п. до ІСЦ IV кв. 2027, ставка на піку +0,3 в. п.</w:t>
            </w:r>
          </w:p>
        </w:tc>
      </w:tr>
      <w:tr>
        <w:trPr>
          <w:cantSplit/>
          <w:tblHeader w:val="off"/>
        </w:trPr>
        <w:tc>
          <w:tcPr>
            <w:tcW w:type="dxa" w:w="1160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Євро знову 1,16 $</w:t>
            </w:r>
          </w:p>
        </w:tc>
        <w:tc>
          <w:tcPr>
            <w:tcW w:type="dxa" w:w="54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USD/EUR 1,16 з I кв. 2027 (липневе припущення НБУ) за того ж грн/$ → гривня до євро −3,4% (шоками UIP)</w:t>
            </w:r>
          </w:p>
        </w:tc>
        <w:tc>
          <w:tcPr>
            <w:tcW w:type="dxa" w:w="32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ІСЦ IV кв. 2027 ≈8,0%, ставка до 18,7%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7. Аналіз політики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7"/>
        <w:gridCol w:w="4508"/>
        <w:gridCol w:w="4509"/>
      </w:tblGrid>
      <w:tr>
        <w:trPr>
          <w:cantSplit/>
          <w:tblHeader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Інструмент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Як зроблено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Варіанти рішення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 / 16,5 / 17 / 17,5% до середини 2027, далі — повернення до цілі; усі варіанти з одними шоками наукасту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Втрати (λ = 1): 106 / 105 / 106 / 108; мінімум серед утримань — 16–17% залежно від λ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Оптимальна ставка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Лінійні найменші квадрати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qpm/optimal.py</w:t>
            </w:r>
            <w:r>
              <w:rPr>
                <w:sz w:val="17"/>
                <w:szCs w:val="17"/>
              </w:rPr>
              <w:t xml:space="preserve">); наукасти — як фіксовані шоки; штраф за зміну — від чинних 16%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16,9% (λ = 1; 16,4–17,7%), ≈16,9% у I кв. 2027 → рекомендуємо 17% зараз і готовність до +0,5 у грудні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Стійкість рішення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16–18% у базовому і 9 ризикових сценаріях, очікувані втрати за двома наборами ймовірностей, максимальний жаль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Найменші очікувані втрати — 17,0% (P1) / 16,5% (P2), мінімальний жаль — 17,5%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Віяло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2000 симуляцій, σ шоків — згладжені шоки 2023–2026 (внутрішні, нафта, єврозона)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Інтервал 70% для ІСЦ у IV кв. 2027: 2,0–9,1%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Бектест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із даними до II, III, IV кв. 2025, без суджень і наукастів; квазіреальний (сезонність і фільтр — лише на даних до дати); факт — лише опубліковані дані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RMSE ІСЦ за горизонтами 1–4 кв. 0,4–1,8 в. п. (наївний: 1,3–6,1)</w:t>
            </w:r>
          </w:p>
        </w:tc>
      </w:tr>
      <w:tr>
        <w:trPr>
          <w:cantSplit/>
          <w:tblHeader w:val="off"/>
        </w:trPr>
        <w:tc>
          <w:tcPr>
            <w:tcW w:type="dxa" w:w="847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Резерви</w:t>
            </w:r>
          </w:p>
        </w:tc>
        <w:tc>
          <w:tcPr>
            <w:tcW w:type="dxa" w:w="450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Баланс: резерви + надходження − продаж валюти НБУ; місяці — за імпортом наступного року, як у НБУ</w:t>
            </w:r>
          </w:p>
        </w:tc>
        <w:tc>
          <w:tcPr>
            <w:tcW w:type="dxa" w:w="4509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Кінець 2026: $56 / 43 / 38 млрд = 5,0 / 3,8 / 3,4 міс. (НБУ, липень: $69,7 млрд — потрібно ≈$12,6 млрд надходжень щомісяця)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8. Перевірка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68"/>
        <w:gridCol w:w="7196"/>
      </w:tblGrid>
      <w:tr>
        <w:trPr>
          <w:cantSplit/>
          <w:tblHeader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Перевірка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Рівняння на розв'язку моделі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Нев'язка ~1e−13; умови Бланшара–Кана виконано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 із вагою нафти 0: функції відгуку = шаблон НБУ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Збігаються з опублікованими MATLAB-значеннями (тест; β = 0 і 0,8); фільтр і прогноз додатково використовують базовий ІСЦ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Фільтр відтворює дані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Розбіжність &lt; 1e−5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Виправлення аудиту 25.10.2026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Базовий ІСЦ = річні дані Держстату; Brent — лише спот; сезонний фактор вересня не переписується новим місяцем; наукаст курсу виконується; таблиця стійкості = таблиця варіантів; бектест — лише факт (6 тестів)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MATLAB R2026b + IRIS 20230622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Той самий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дані й плани: фільтр і 5 сценаріїв — розбіжність 1,4e−5 на даних до 20.10 (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docs/matlab_check.md</w:t>
            </w:r>
            <w:r>
              <w:rPr>
                <w:sz w:val="17"/>
                <w:szCs w:val="17"/>
              </w:rPr>
              <w:t xml:space="preserve">); після оновлення даних 25.10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треба перезапустити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Інше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Нафтовий шок без хибного відскоку; шоки сценаріїв додаються; прогноз приземляється на 5%; цифри слайда «Головне» = результати моделі</w:t>
            </w:r>
          </w:p>
        </w:tc>
      </w:tr>
      <w:tr>
        <w:trPr>
          <w:cantSplit/>
          <w:tblHeader w:val="off"/>
        </w:trPr>
        <w:tc>
          <w:tcPr>
            <w:tcW w:type="dxa" w:w="2668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Разом</w:t>
            </w:r>
          </w:p>
        </w:tc>
        <w:tc>
          <w:tcPr>
            <w:tcW w:type="dxa" w:w="7196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21 тест (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python -m pytest -q</w:t>
            </w:r>
            <w:r>
              <w:rPr>
                <w:sz w:val="17"/>
                <w:szCs w:val="17"/>
              </w:rPr>
              <w:t xml:space="preserve">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9. Код і збірка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python build.py</w:t>
      </w:r>
      <w:r>
        <w:rPr>
          <w:sz w:val="20"/>
          <w:szCs w:val="20"/>
        </w:rPr>
        <w:t xml:space="preserve"> виконує 12 кроків: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Дані (</w:t>
      </w:r>
      <w:r>
        <w:rPr>
          <w:rFonts w:ascii="Consolas" w:cs="Consolas" w:eastAsia="Consolas" w:hAnsi="Consolas"/>
          <w:sz w:val="18"/>
          <w:szCs w:val="18"/>
        </w:rPr>
        <w:t xml:space="preserve">--fetch</w:t>
      </w:r>
      <w:r>
        <w:rPr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Огляд.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Прогноз.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Функції відгуку.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Експорт для 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MATLAB.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Звірка.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Документи.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Зміст презентації.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pptx.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PDF.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Тести.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81"/>
        <w:gridCol w:w="6283"/>
      </w:tblGrid>
      <w:tr>
        <w:trPr>
          <w:cantSplit/>
          <w:tblHeader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Модуль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Що робить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qpm/model.py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Парсер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.model</w:t>
            </w:r>
            <w:r>
              <w:rPr>
                <w:sz w:val="17"/>
                <w:szCs w:val="17"/>
              </w:rPr>
              <w:t xml:space="preserve">, розв'язок Сімса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qpm/kalman.py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Фільтр і згладжувач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qpm/simulate.py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План (exogenize / endogenize, шоки), прогноз, функції відгуку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qpm/pipeline.py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Підготовка даних, базовий план, траєкторія ставки, сценарії, таблиці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qpm/optimal.py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Оптимальна траєкторія ставки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qpm/nowcast.py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Короткостроковий прогноз ІСЦ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qpm/uncertainty.py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Віяла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qpm/backtest.py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Бектест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qpm/reserves.py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Резерви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qpm/fetch.py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qpm/nbu_files.py</w:t>
            </w:r>
            <w:r>
              <w:rPr>
                <w:b/>
                <w:bCs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qpm/overview.py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Завантаження даних</w:t>
            </w:r>
          </w:p>
        </w:tc>
      </w:tr>
      <w:tr>
        <w:trPr>
          <w:cantSplit/>
          <w:tblHeader w:val="off"/>
        </w:trPr>
        <w:tc>
          <w:tcPr>
            <w:tcW w:type="dxa" w:w="3581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b/>
                <w:bCs/>
                <w:sz w:val="15"/>
                <w:szCs w:val="15"/>
              </w:rPr>
              <w:t xml:space="preserve">matlab/</w:t>
            </w:r>
          </w:p>
        </w:tc>
        <w:tc>
          <w:tcPr>
            <w:tcW w:type="dxa" w:w="6283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export_inputs.py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run_check.m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5"/>
                <w:szCs w:val="15"/>
              </w:rPr>
              <w:t xml:space="preserve">compare_with_matlab.py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10. Що виправляли по ходу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2"/>
        <w:gridCol w:w="4932"/>
      </w:tblGrid>
      <w:tr>
        <w:trPr>
          <w:cantSplit/>
          <w:tblHeader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Проблема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0E3B4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Рішення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API НБУ віддає ІСЦ із датою звітності (наступний місяць)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Зсув дат; серпневу інфляцію перевірено (8,1%)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Неповні квартали спотворювали середні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Квартал — лише з 3 місяців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Eurostat змінив ряд HICP (EA21, 2025=100)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Прив'язка до шаблонного ряду через річні темпи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Нафта в кривій Філіпса давала хибне падіння інфляції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Модель v2: базова / небазова інфляція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Шоки сценаріїв заміняли базові судження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Тепер додаються (тест)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Без адмінцін загальна інфляція 2027–28 була нижча за базову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Судження «адмінціни та акцизи» (+1,7 в. п./рік, як у НБУ)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Ціль НБУ — точкова, горизонт до 3 років; за правилом інфляція 2029 лише 4,4%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Прогноз до 2029, траєкторія ставки повернення до 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«послаблення ≈4%», а модель дає ≈1%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Формулювання: «допускати до 4% на рік; фактичне ≈1% за рекомендованої ставки (17%)»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Розрив у графіку зарплат (немає даних Держстату за 04–12.2024)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Оцінка НБУ пунктиром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У базовому ІСЦ після сезонного згладжування лишався провал у II кварталі (робастний STL), шоки базової й небазової інфляції ±7 в. п.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Не робастний STL: σ шоків ≈3,8 → ≈2,1, віяло реалістичніше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Вересневий ІСЦ 10,0% (+2,1% м/м) значно вище прогнозу; оптимум моделі зріс до ≈16,9%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Рекомендацію змінено з 16,5% на 17% (+1 в. п.); варіанти рішення — 16 / 16,5 / 17 / 17,5%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Модельні темпи (100·ln-різниці) показувалися як % р/р: IV кв. 2026 — 10,4% при середньому місячних 11,0%; порівняння з груднем НБУ було некоректним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Звіти у звичайних % р/р, ціль у моделі = 100·ln 1,05; тест звіряє квартальну інфляцію моделі з даними Держстату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Таблиця варіантів рахувала втрати без вартості змін ставки — виходило, що вища ставка завжди краща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Та сама функція втрат, що й в оптимізації; крок обґрунтовуємо ризиками, бо між 16,5 і 17,5% різниця мала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принцип «не реагувати на перший раунд адмінцін» застосовано непослідовно (рішення — без реакції, траєкторія — з повною), через це інфляція 2028 падала до ≈4%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Один принцип — часткова реакція (50%) для рішення й траєкторії; приземлення у 2029 — за фактичною інфляцією. 2028: ≈4,5–5%, базова ≈3,3%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«гнучкий курс збереже ≈$5 млрд/міс» — некоректно: продаж валюти НБУ здебільшого доносить допомогу (у вересні уряд конвертував $3,81 млрд USL)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Рекомендація: не заморожувати курс (тоді ≈44,7 грн/$ з червня); резерви захищає ритм допомоги й пауза в лібералізації. Додано ризик ринкового послаблення (≈5%/рік → ІСЦ IV кв. 2027 ≈10,5%)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Рецензія: реальна ставка «≈6%» — лише ex post; слабка трансмісія; зарплати «+25%» — лише червень; умова «резерви &lt; $43 млрд»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Реальна ставка трьома методами (6–8%); обмеження обсягів тендерів ДС — у рекомендації; зарплати +21–25% за січень–червень; умова — тиск на курс, що загрожує очікуванням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Рецензія 2: базова інфляція IV кв. занижена; ВВП III кв. — з однієї фрази КМП; знак бюджетного імпульсу; немає сценаріїв очікувань і ПДВ; 25 основних слайдів на 15 хв; курс у євро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Наукаст базового ІСЦ; ВВП III кв. за ІЕД/Мінекономіки з чутливістю; імпульс прибрано; додаткові ризики (курс, очікування, ПДВ — калібрування за НБУ); основна частина — 18 слайдів, решта в додатках; курс у грн/$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Незалежний критик (агент): курсовий ризик із фіксованим курсом не залежав від рішення; наукаст із робастним STL; штраф за зміну ставки від середньої за III кв.; фіксований наукаст в оптимізації зміщував оптимум донизу; базовий курс оптимістичний; пресреліз про резерви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Курсовий ризик — шок UIP (курс реагує на ставку); нероб'юстний STL; штраф від чинної ставки; наукаст як шоки; курс позначено як оптимістичний; таблиця стійкості (10 сценаріїв, очікувані втрати, жаль) — тоді мінімум 17–17,5% (розрахунок був непослідовним, виправлено аудитом 25.10); консенсус ICU (згодом прибрано — без джерела) і прецеденти +1 в. п. (січень, березень 2025)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На слайдах «реальна ставка ≈7% — вище нейтральної», а після вересня модель дає ≈6,2% проти нейтральної ≈6,6%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Формулювання з моделі: зараз нижче нейтральної, за 17% зросте до ≈8,7% у II кв. 2027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Ф'ючерси Brent і реальна ставка на слайдах були вписані вручну й застаріли після оновлення даних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Беруться з даних автоматично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Не було платіжного балансу (окремий модуль настановчої сесії) і явної рамки «мета — інструменти — позиції КМП»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Два нові слайди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Місяці імпорту рахувалися за поточним імпортом, а НБУ — за імпортом наступного року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Перейшли на методику НБУ; на графік резервів додано прогноз НБУ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Курсові очікування ринку (≈47 грн/$) і дохідність ОВДП не згадувалися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Додано на слайди й у Q&amp;A</w:t>
            </w:r>
          </w:p>
        </w:tc>
      </w:tr>
      <w:tr>
        <w:trPr>
          <w:cantSplit/>
          <w:tblHeader w:val="off"/>
        </w:trPr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b/>
                <w:bCs/>
                <w:sz w:val="17"/>
                <w:szCs w:val="17"/>
              </w:rPr>
              <w:t xml:space="preserve">Аудит 25.10.2026 (три незалежні огляди + три скептичні рецензії змін): непослідовна перевірка стійкості, ф'ючерс замість споту в нафті, застарілий курс, хибні знаки базового ІСЦ у файлі НБУ, сезонність, бектест проти власної проєкції, перебільшення на слайдах (MATLAB, базова інфляція, ICU без джерела)</w:t>
            </w:r>
          </w:p>
        </w:tc>
        <w:tc>
          <w:tcPr>
            <w:tcW w:type="dxa" w:w="4932"/>
            <w:tcBorders>
              <w:top w:val="single" w:color="C9D6D3" w:sz="4"/>
              <w:left w:val="single" w:color="C9D6D3" w:sz="4"/>
              <w:bottom w:val="single" w:color="C9D6D3" w:sz="4"/>
              <w:right w:val="single" w:color="C9D6D3" w:sz="4"/>
            </w:tcBorders>
            <w:shd w:fill="EAF1E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 w:line="252"/>
            </w:pPr>
            <w:r>
              <w:rPr>
                <w:sz w:val="17"/>
                <w:szCs w:val="17"/>
              </w:rPr>
              <w:t xml:space="preserve">Усе виправлено й покрито тестами; результати й розкладання змін —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docs/audit_2026-10-25.md</w:t>
            </w:r>
            <w:r>
              <w:rPr>
                <w:sz w:val="17"/>
                <w:szCs w:val="17"/>
              </w:rPr>
              <w:t xml:space="preserve">. Оптимум моделі 17,6% → 16,9%, стійкість 17–17,5% (хибно) → 17% (11 сценаріїв); після рецензій: виправлено подвійний облік шоку UIP у курсовому ризику, додано ризик «Євро знову 1,16 $», перекалібровано «Нафту $120», показано чутливість до конвенції шоків наукасту (16% за старої) і до курсового припущення (оптимум 16,9–18,2%)</w:t>
            </w:r>
          </w:p>
        </w:tc>
      </w:tr>
    </w:tbl>
    <w:p>
      <w:pPr>
        <w:spacing w:after="80" w:before="0"/>
      </w:pPr>
    </w:p>
    <w:p>
      <w:pPr>
        <w:pStyle w:val="Heading1"/>
      </w:pPr>
      <w:r>
        <w:rPr>
          <w:rFonts w:ascii="Cambria" w:cs="Cambria" w:eastAsia="Cambria" w:hAnsi="Cambria"/>
          <w:b/>
          <w:bCs/>
          <w:color w:val="0E3B43"/>
          <w:sz w:val="28"/>
          <w:szCs w:val="28"/>
        </w:rPr>
        <w:t xml:space="preserve">11. Обмеження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Небазові ціни — один агрегат: тарифи, акцизи й продовольство входять через судження.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Немає бюджетного блоку та резервів у моделі: вони враховані через судження і окремий балансовий розрахунок.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Курс грн/$ і EUR/USD модель не пояснює (EUR/USD на горизонті — жовтневий рівень без змін); бектест курсу не кращий за наївний прогноз.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 2029 р. зовнішні змінні — модельні; у стаціонарному стані базова інфляція дорівнює загальній (дрейф небазових цін задано судженням лише до 2028 р.).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Невизначеність воєнного часу дуже велика (широке віяло); калібровані std шоків шаблону в рази менші за фактичні, тому віяло бере емпіричні.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0"/>
          <w:szCs w:val="20"/>
        </w:rPr>
        <w:t xml:space="preserve">Наукаст грудня (12,1%) чутливий до поправки на разовість вересневого стрибка (11,0–13,1% за різних налаштувань) — судження команди.</w:t>
      </w:r>
    </w:p>
    <w:sectPr>
      <w:footerReference w:type="default" r:id="rId6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6B6D"/>
        <w:sz w:val="16"/>
        <w:szCs w:val="16"/>
      </w:rPr>
      <w:t xml:space="preserve">NBU University Challenge 2026 · Обсяг роботи · </w:t>
    </w:r>
    <w:r>
      <w:rPr>
        <w:color w:val="5F6B6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B6D"/>
        <w:sz w:val="16"/>
        <w:szCs w:val="16"/>
      </w:rPr>
      <w:t xml:space="preserve"> / </w:t>
    </w:r>
    <w:r>
      <w:rPr>
        <w:color w:val="5F6B6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26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Cambria" w:cs="Cambria" w:eastAsia="Cambria" w:hAnsi="Cambria"/>
      <w:b/>
      <w:bCs/>
      <w:color w:val="0E3B43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A87300" w:sz="6" w:space="2"/>
      </w:pBdr>
      <w:spacing w:after="100" w:before="280"/>
      <w:outlineLvl w:val="0"/>
    </w:pPr>
    <w:rPr>
      <w:rFonts w:ascii="Cambria" w:cs="Cambria" w:eastAsia="Cambria" w:hAnsi="Cambria"/>
      <w:b/>
      <w:bCs/>
      <w:color w:val="0E3B43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Cambria" w:cs="Cambria" w:eastAsia="Cambria" w:hAnsi="Cambria"/>
      <w:b/>
      <w:bCs/>
      <w:color w:val="0E3B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rtde0zk6jj6ocbcirpmt9" Type="http://schemas.openxmlformats.org/officeDocument/2006/relationships/hyperlink" Target="https://events.bank.gov.ua/uchallenge2026/files/nbu_challenge_model_2026.zip" TargetMode="External"/><Relationship Id="rIdwiakvmt9f25tbdqkp0v8e" Type="http://schemas.openxmlformats.org/officeDocument/2006/relationships/hyperlink" Target="https://events.bank.gov.ua/uchallenge2026/" TargetMode="External"/><Relationship Id="rIdp64qfr2b-guovvneddxdv" Type="http://schemas.openxmlformats.org/officeDocument/2006/relationships/hyperlink" Target="https://bank.gov.ua/ua/open-data/api-dev" TargetMode="External"/><Relationship Id="rIdyfeltkp38tb_abybrugza" Type="http://schemas.openxmlformats.org/officeDocument/2006/relationships/hyperlink" Target="https://bank.gov.ua/files/macro/CCPI_m.xlsx" TargetMode="External"/><Relationship Id="rIdstm-wsmkllmquwvjbqrlh" Type="http://schemas.openxmlformats.org/officeDocument/2006/relationships/hyperlink" Target="https://bank.gov.ua/ua/news/all/komentar-natsionalnogo-banku-schodo-zmini-realnogo-vvp-u-ii-kvartali-2026-roku" TargetMode="External"/><Relationship Id="rIdj_vdldan4knnct3izjcsm" Type="http://schemas.openxmlformats.org/officeDocument/2006/relationships/hyperlink" Target="https://ec.europa.eu/eurostat/databrowser/view/prc_hicp_minr/default/table" TargetMode="External"/><Relationship Id="rIdfzwnxhbqphw7erdcoxreu" Type="http://schemas.openxmlformats.org/officeDocument/2006/relationships/hyperlink" Target="https://www.ecb.europa.eu/press/projections/html/index.en.html" TargetMode="External"/><Relationship Id="rId6z-uqvtroebv7cvdzoaul" Type="http://schemas.openxmlformats.org/officeDocument/2006/relationships/hyperlink" Target="https://data.ecb.europa.eu/" TargetMode="External"/><Relationship Id="rId9pgck224k6ogmflr3brky" Type="http://schemas.openxmlformats.org/officeDocument/2006/relationships/hyperlink" Target="https://db.nomics.world/EIA/PET/RBRTE.M" TargetMode="External"/><Relationship Id="rIdqe7yff25ozsxaqv2ticog" Type="http://schemas.openxmlformats.org/officeDocument/2006/relationships/hyperlink" Target="https://finance.yahoo.com/quote/BZ%3DF/" TargetMode="External"/><Relationship Id="rId9fcuhtzzz7vvqjf7sxgcg" Type="http://schemas.openxmlformats.org/officeDocument/2006/relationships/hyperlink" Target="https://bank.gov.ua/admin_uploads/article/Macroeconomic_Forecast_table_2026_07.xlsx?v=19" TargetMode="External"/><Relationship Id="rIddbq6pitoqxijfi6t1rtx6" Type="http://schemas.openxmlformats.org/officeDocument/2006/relationships/hyperlink" Target="https://bank.gov.ua/ua/news/all/inflyatsiya-prishvidshitsya-u-drugomu-pivrichchi-ale-povernetsya-do-znijennya-nastupnogo-roku--inflyatsiyniy-zvit" TargetMode="External"/><Relationship Id="rIdrny9pd3ngxghbevrsm0k4" Type="http://schemas.openxmlformats.org/officeDocument/2006/relationships/hyperlink" Target="https://bank.gov.ua/admin_uploads/article/Tables_Charts_2026-Q3.xlsx?v=19" TargetMode="External"/><Relationship Id="rIdxc2gzv3knuy8snkdecxwv" Type="http://schemas.openxmlformats.org/officeDocument/2006/relationships/hyperlink" Target="https://bank.gov.ua/admin_uploads/article/Macroeconomic_Forecast_table_2026_07.xlsx?v=19" TargetMode="External"/><Relationship Id="rId0l6sypzohkwsrqowzfa9b" Type="http://schemas.openxmlformats.org/officeDocument/2006/relationships/hyperlink" Target="https://bank.gov.ua/ua/news/all/komentar-natsionalnogo-banku-schodo-rivnya-inflyatsiyi-v-serpni-2026-roku" TargetMode="External"/><Relationship Id="rIdteybucfidadqcrwpdzxbq" Type="http://schemas.openxmlformats.org/officeDocument/2006/relationships/hyperlink" Target="https://bank.gov.ua/ua/news/all/natsionalniy-bank-ukrayini-pidvischiv-oblikovu-stavku-do-16" TargetMode="External"/><Relationship Id="rIdu5j1xq9-zoqj_ueqmzwdl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fxwto6nar75fbbrjpiaow" Type="http://schemas.openxmlformats.org/officeDocument/2006/relationships/hyperlink" Target="https://bank.gov.ua/admin_uploads/article/Strategy_for_easing_FX_restrictions_07-07-2023.pdf?v=19" TargetMode="External"/><Relationship Id="rIdcl5bqmpdvcuchqcmkbgy9" Type="http://schemas.openxmlformats.org/officeDocument/2006/relationships/hyperlink" Target="https://bank.gov.ua/ua/news/all/nbu-vprovadjuye-paket-pomyakshennya-valyutnih-obmejen-z-osnovnim-fokusom-na-pidtrimtsi-naselennya" TargetMode="External"/><Relationship Id="rIdxttnp1pl4emqhvzhykolz" Type="http://schemas.openxmlformats.org/officeDocument/2006/relationships/hyperlink" Target="https://p4.bank.gov.ua/admin_uploads/article/MPG_2024-mt_eng.pdf" TargetMode="External"/><Relationship Id="rIdfcewtqqhglzwx7njnmfwu" Type="http://schemas.openxmlformats.org/officeDocument/2006/relationships/hyperlink" Target="https://bank.gov.ua/admin_uploads/article/Macroeconomic_Forecast_table_2026_07.xlsx?v=19" TargetMode="External"/><Relationship Id="rIdtwe0vliomfcx2_ohlm-au" Type="http://schemas.openxmlformats.org/officeDocument/2006/relationships/hyperlink" Target="https://bank.gov.ua/admin_uploads/article/Tables_Charts_2026-Q3.xlsx?v=19" TargetMode="External"/><Relationship Id="rId_eqjoj4z0mbtbpxodlcza" Type="http://schemas.openxmlformats.org/officeDocument/2006/relationships/hyperlink" Target="https://minfin.com.ua/ua/2026/10/07/183076902/" TargetMode="External"/><Relationship Id="rIdyugfifrmpyfqhwvnlngps" Type="http://schemas.openxmlformats.org/officeDocument/2006/relationships/hyperlink" Target="https://bank.gov.ua/ua/news/all/nbu-informuye-pro-golovniy-printsip-viznachennya-obsyagiv-rozmischennya-trimisyachnih-depozitnih-sertifikativ" TargetMode="External"/><Relationship Id="rIdakyyqtlmq7btjhejz32mb" Type="http://schemas.openxmlformats.org/officeDocument/2006/relationships/hyperlink" Target="https://bank.gov.ua/ua/news/all/rada-mvf-shvalila-pershiy-pereglyad-programi-rozshirenogo-finansuvannya-ta-zatverdila-vidilennya-transhu-obsyagom-690-mln-dol-ssha" TargetMode="External"/><Relationship Id="rIdsojrrsnokuuefuprgmc7d" Type="http://schemas.openxmlformats.org/officeDocument/2006/relationships/hyperlink" Target="https://bank.gov.ua/files/macro/S_budget_m.xlsx" TargetMode="External"/><Relationship Id="rIdfzgckod0mqcorxtzxpcac" Type="http://schemas.openxmlformats.org/officeDocument/2006/relationships/hyperlink" Target="https://bank.gov.ua/ua/news/all/pidsumki-diskusiyi-chleniv-komitetu-z-monetarnoyi-politiki-natsionalnogo-banku-schodo-rivnya-oblikovoyi-stavki-16-veresnya-2026-roku" TargetMode="External"/><Relationship Id="rIdy0qyf9nbzh5a8xmi6t6b3" Type="http://schemas.openxmlformats.org/officeDocument/2006/relationships/hyperlink" Target="https://bank.gov.ua/admin_uploads/article/Macroeconomic_Forecast_table_2026_07.xlsx?v=19" TargetMode="External"/><Relationship Id="rIdfhbmejhsj2ogxvoaof5tc" Type="http://schemas.openxmlformats.org/officeDocument/2006/relationships/hyperlink" Target="https://bank.gov.ua/ua/news/all/natsionalniy-bank-ukrayini-pidvischiv-oblikovu-stavku-do-16" TargetMode="External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Обсяг роботи: дані, модель, прогноз, перевірка, презентація</dc:title>
  <dc:creator>NBU University Challenge 2026</dc:creator>
  <cp:lastModifiedBy>Un-named</cp:lastModifiedBy>
  <cp:revision>1</cp:revision>
  <dcterms:created xsi:type="dcterms:W3CDTF">2026-10-26T00:07:02.516Z</dcterms:created>
  <dcterms:modified xsi:type="dcterms:W3CDTF">2026-10-26T00:07:02.516Z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