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20 жовтня 2026 року (дані до вересня 2026, включно з вересневим ІСЦ).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legua8wid5mgtobmuzlq8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НБУ; ВВП — до II кв. 2026; єврозона — фактичні дані й прогноз ЄЦБ (вересень 2026); додано базовий ІСЦ і нафту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без розширення (вага нафти 0) модель точно збігається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ІСЦ, 5 суджень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сценарії, 4 варіанти рішення + оптимальна ставка, віяло невизначеності,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автотестів; той самий файл моделі прогнано в MATLAB R2026b + IRIS — розбіжність фільтра й усіх сценаріїв ~1e−5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 на 36 слайдів з нотатками доповідача (текст на 15 хв)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oehvyf25b17vgrem0iryu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4–10: зовнішнє середовище, інфляція, очікування й ставки, активність, валютний ринок, </w:t>
            </w:r>
            <w:r>
              <w:rPr>
                <w:b/>
                <w:bCs/>
                <w:sz w:val="17"/>
                <w:szCs w:val="17"/>
              </w:rPr>
              <w:t xml:space="preserve">платіжний баланс</w:t>
            </w:r>
            <w:r>
              <w:rPr>
                <w:sz w:val="17"/>
                <w:szCs w:val="17"/>
              </w:rPr>
              <w:t xml:space="preserve">, бюджет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12–20: модель, розширення, судження, наукаст, віяло (до 2029), базова інфляція, ВВП, сценарії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Сценарії (4) і матриця ризиків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22–28: рамка рішення, варіанти ставки, ставка, курс і резерви, валютні обмеження, комунікація, підсумок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депозитні сертифікати (рамка рішення, Q&amp;A 24)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Керована гнучкість: допускати до ≈4% на рік,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Перевірка в MATLAB/IRIS, бектест, сценарії, оптимальна політика, порівняння з НБУ й урядом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7"/>
        <w:gridCol w:w="1271"/>
        <w:gridCol w:w="2757"/>
        <w:gridCol w:w="2414"/>
        <w:gridCol w:w="2715"/>
      </w:tblGrid>
      <w:tr>
        <w:trPr>
          <w:cantSplit/>
          <w:tblHeader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58do9nwyhxnopdcgp25d3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gdwhtgljxqgjdokgb8w7v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hgn157yonexf50q-xnjq8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vf12uxsssuyadaojvjf3x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xaddg-93rqfvtunbsh3iz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ww4dnse2vn--5wmswpt-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ринкові очікування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 → 3,0 → 2,5%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5ppz7rfcri8g5vg-ftias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ekkggs9v2dnnpzpigi8d-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eowpziolvrjwzv5lcu0y0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 до 05.2026, далі ф'ючерс найближчого місяця; прогноз — ф'ючерсна крива до 2028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7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27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7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24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71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wradw9gslut2tc_bugct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oliioxscs1ebdha4eegmj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v2odozwnq9uabb9lhnc9_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lo1yuxlnct0inzg02tfq0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ppiaazrfj0tkrvfxbtfv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j53hqgnal884pb2fm_q6x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qkeaukuuukm0zh4wg79i_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gsr918fm_lkrexwz99n4z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yd5csx6lrolj_7yehm3q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3y50xugsxqfld-2iwxzxq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mozz7xsjlbn_orpmdnidv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4o0clbxqgyb6fijfwifoh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mbcem3kf2w7jbed2kxoyq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kqq4seqiyvbizxsjve1aa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dmvnops4rxyo-qjhmzdjs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7"/>
        <w:gridCol w:w="1451"/>
        <w:gridCol w:w="1451"/>
        <w:gridCol w:w="3925"/>
      </w:tblGrid>
      <w:tr>
        <w:trPr>
          <w:cantSplit/>
          <w:tblHeader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1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</w:t>
            </w:r>
          </w:p>
        </w:tc>
      </w:tr>
      <w:tr>
        <w:trPr>
          <w:cantSplit/>
          <w:tblHeader w:val="off"/>
        </w:trPr>
        <w:tc>
          <w:tcPr>
            <w:tcW w:type="dxa" w:w="303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45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392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8"/>
        <w:gridCol w:w="3754"/>
        <w:gridCol w:w="4342"/>
      </w:tblGrid>
      <w:tr>
        <w:trPr>
          <w:cantSplit/>
          <w:tblHeader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(10–12.2026)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0,86%/міс (SA, 3 міс., з вереснем +2,1% м/м) + сезонність STL (5 років) − 0,1 в. п. (разові ефекти вересня) → грудень 12,1% р/р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фіксує ІСЦ IV кв. 2026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−0,3% кв/кв SA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КМП: «суттєво гірше прогнозу НБУ»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zxn0669uhzzchll-lyfn7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cugcxlcuizusja_dpzrnd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res_l_gdp_gap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+0,2…0,6% розриву (IV кв. 2026 – IV кв. 2027)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Оборонний USL ($33,2 / 16,7 млрд), </w:t>
            </w:r>
            <w:hyperlink w:history="1" r:id="rIdnuv2_bdri_iraao_4jqwq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xmpim4jysczdbhx0jlbga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51,5 → 53,5 грн/€ до 2029 (≈1% на рік) через високий процентний диференціал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Ф'ючерси (20.10): $109 (IV кв. 2026) → $87 (кінець 2027) → $79 (кінець 2028)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7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37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15,5% (кінець 2027), 10,3% (2028), 9,0% (2029)</w:t>
            </w:r>
          </w:p>
        </w:tc>
        <w:tc>
          <w:tcPr>
            <w:tcW w:type="dxa" w:w="434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2029. Механічне правило дало б лише 4,4% у 2029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9"/>
        <w:gridCol w:w="5690"/>
        <w:gridCol w:w="3055"/>
      </w:tblGrid>
      <w:tr>
        <w:trPr>
          <w:cantSplit/>
          <w:tblHeader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12,0%, ставка ≈17,8%, ВВП-2027 −0,2%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12,5%, ставка до 19,5%, ≈55 грн/€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5,4% наприкінці 2027</w:t>
            </w:r>
          </w:p>
        </w:tc>
      </w:tr>
      <w:tr>
        <w:trPr>
          <w:cantSplit/>
          <w:tblHeader w:val="off"/>
        </w:trPr>
        <w:tc>
          <w:tcPr>
            <w:tcW w:type="dxa" w:w="111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69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$120 до I кв. 2027, далі повернення до ф'ючерсів</w:t>
            </w:r>
          </w:p>
        </w:tc>
        <w:tc>
          <w:tcPr>
            <w:tcW w:type="dxa" w:w="305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+0,4 в. п. до піку ІСЦ, ставка майже без змін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7"/>
        <w:gridCol w:w="4570"/>
        <w:gridCol w:w="4507"/>
      </w:tblGrid>
      <w:tr>
        <w:trPr>
          <w:cantSplit/>
          <w:tblHeader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 (у всіх — 5% у 2029)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2027–2029: 77,7 / 73,6 / 69,9 / 66,5</w:t>
            </w:r>
          </w:p>
        </w:tc>
      </w:tr>
      <w:tr>
        <w:trPr>
          <w:cantSplit/>
          <w:tblHeader w:val="off"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), λ = 0,5 / 1 / 2; варіант без реакції на перший раунд адмінцін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16,7% (λ = 2), 16,9% (без реакції на адмінціни), 17,3% (λ = 1) → рекомендуємо 17%</w:t>
            </w:r>
          </w:p>
        </w:tc>
      </w:tr>
      <w:tr>
        <w:trPr>
          <w:cantSplit/>
          <w:tblHeader w:val="off"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наприкінці 2027: 3,2–9,9%</w:t>
            </w:r>
          </w:p>
        </w:tc>
      </w:tr>
      <w:tr>
        <w:trPr>
          <w:cantSplit/>
          <w:tblHeader w:val="off"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Помилка ІСЦ на 4 кв. 0,7–1,0 в. п. (наївний: 1,2–5,5)</w:t>
            </w:r>
          </w:p>
        </w:tc>
      </w:tr>
      <w:tr>
        <w:trPr>
          <w:cantSplit/>
          <w:tblHeader w:val="off"/>
        </w:trPr>
        <w:tc>
          <w:tcPr>
            <w:tcW w:type="dxa" w:w="78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7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28"/>
        <w:gridCol w:w="7336"/>
      </w:tblGrid>
      <w:tr>
        <w:trPr>
          <w:cantSplit/>
          <w:tblHeader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 = шаблон НБУ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збігаються з опублікованими MATLAB-значеннями (тест)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52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33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14 тестів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53"/>
        <w:gridCol w:w="4111"/>
      </w:tblGrid>
      <w:tr>
        <w:trPr>
          <w:cantSplit/>
          <w:tblHeader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57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11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legua8wid5mgtobmuzlq8" Type="http://schemas.openxmlformats.org/officeDocument/2006/relationships/hyperlink" Target="https://events.bank.gov.ua/uchallenge2026/files/nbu_challenge_model_2026.zip" TargetMode="External"/><Relationship Id="rIdoehvyf25b17vgrem0iryu" Type="http://schemas.openxmlformats.org/officeDocument/2006/relationships/hyperlink" Target="https://events.bank.gov.ua/uchallenge2026/" TargetMode="External"/><Relationship Id="rId58do9nwyhxnopdcgp25d3" Type="http://schemas.openxmlformats.org/officeDocument/2006/relationships/hyperlink" Target="https://bank.gov.ua/ua/open-data/api-dev" TargetMode="External"/><Relationship Id="rIdgdwhtgljxqgjdokgb8w7v" Type="http://schemas.openxmlformats.org/officeDocument/2006/relationships/hyperlink" Target="https://bank.gov.ua/files/macro/CCPI_m.xlsx" TargetMode="External"/><Relationship Id="rIdhgn157yonexf50q-xnjq8" Type="http://schemas.openxmlformats.org/officeDocument/2006/relationships/hyperlink" Target="https://bank.gov.ua/ua/news/all/komentar-natsionalnogo-banku-schodo-zmini-realnogo-vvp-u-ii-kvartali-2026-roku" TargetMode="External"/><Relationship Id="rIdvf12uxsssuyadaojvjf3x" Type="http://schemas.openxmlformats.org/officeDocument/2006/relationships/hyperlink" Target="https://ec.europa.eu/eurostat/databrowser/view/prc_hicp_minr/default/table" TargetMode="External"/><Relationship Id="rIdxaddg-93rqfvtunbsh3iz" Type="http://schemas.openxmlformats.org/officeDocument/2006/relationships/hyperlink" Target="https://www.ecb.europa.eu/press/projections/html/index.en.html" TargetMode="External"/><Relationship Id="rIdmww4dnse2vn--5wmswpt-" Type="http://schemas.openxmlformats.org/officeDocument/2006/relationships/hyperlink" Target="https://data.ecb.europa.eu/" TargetMode="External"/><Relationship Id="rId5ppz7rfcri8g5vg-ftias" Type="http://schemas.openxmlformats.org/officeDocument/2006/relationships/hyperlink" Target="https://db.nomics.world/EIA/PET/RBRTE.M" TargetMode="External"/><Relationship Id="rIdekkggs9v2dnnpzpigi8d-" Type="http://schemas.openxmlformats.org/officeDocument/2006/relationships/hyperlink" Target="https://finance.yahoo.com/quote/BZ%3DF/" TargetMode="External"/><Relationship Id="rIdeowpziolvrjwzv5lcu0y0" Type="http://schemas.openxmlformats.org/officeDocument/2006/relationships/hyperlink" Target="https://bank.gov.ua/admin_uploads/article/Macroeconomic_Forecast_table_2026_07.xlsx?v=19" TargetMode="External"/><Relationship Id="rIddwradw9gslut2tc_bugct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oliioxscs1ebdha4eegmj" Type="http://schemas.openxmlformats.org/officeDocument/2006/relationships/hyperlink" Target="https://bank.gov.ua/admin_uploads/article/Tables_Charts_2026-Q3.xlsx?v=19" TargetMode="External"/><Relationship Id="rIdv2odozwnq9uabb9lhnc9_" Type="http://schemas.openxmlformats.org/officeDocument/2006/relationships/hyperlink" Target="https://bank.gov.ua/admin_uploads/article/Macroeconomic_Forecast_table_2026_07.xlsx?v=19" TargetMode="External"/><Relationship Id="rIdlo1yuxlnct0inzg02tfq0" Type="http://schemas.openxmlformats.org/officeDocument/2006/relationships/hyperlink" Target="https://bank.gov.ua/ua/news/all/komentar-natsionalnogo-banku-schodo-rivnya-inflyatsiyi-v-serpni-2026-roku" TargetMode="External"/><Relationship Id="rIdmppiaazrfj0tkrvfxbtfv" Type="http://schemas.openxmlformats.org/officeDocument/2006/relationships/hyperlink" Target="https://bank.gov.ua/ua/news/all/natsionalniy-bank-ukrayini-pidvischiv-oblikovu-stavku-do-16" TargetMode="External"/><Relationship Id="rIdj53hqgnal884pb2fm_q6x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qkeaukuuukm0zh4wg79i_" Type="http://schemas.openxmlformats.org/officeDocument/2006/relationships/hyperlink" Target="https://bank.gov.ua/admin_uploads/article/Strategy_for_easing_FX_restrictions_07-07-2023.pdf?v=19" TargetMode="External"/><Relationship Id="rIdgsr918fm_lkrexwz99n4z" Type="http://schemas.openxmlformats.org/officeDocument/2006/relationships/hyperlink" Target="https://bank.gov.ua/ua/news/all/nbu-vprovadjuye-paket-pomyakshennya-valyutnih-obmejen-z-osnovnim-fokusom-na-pidtrimtsi-naselennya" TargetMode="External"/><Relationship Id="rIdmyd5csx6lrolj_7yehm3q" Type="http://schemas.openxmlformats.org/officeDocument/2006/relationships/hyperlink" Target="https://p4.bank.gov.ua/admin_uploads/article/MPG_2024-mt_eng.pdf" TargetMode="External"/><Relationship Id="rId3y50xugsxqfld-2iwxzxq" Type="http://schemas.openxmlformats.org/officeDocument/2006/relationships/hyperlink" Target="https://bank.gov.ua/admin_uploads/article/Macroeconomic_Forecast_table_2026_07.xlsx?v=19" TargetMode="External"/><Relationship Id="rIdmozz7xsjlbn_orpmdnidv" Type="http://schemas.openxmlformats.org/officeDocument/2006/relationships/hyperlink" Target="https://bank.gov.ua/admin_uploads/article/Tables_Charts_2026-Q3.xlsx?v=19" TargetMode="External"/><Relationship Id="rId4o0clbxqgyb6fijfwifoh" Type="http://schemas.openxmlformats.org/officeDocument/2006/relationships/hyperlink" Target="https://minfin.com.ua/ua/2026/10/07/183076902/" TargetMode="External"/><Relationship Id="rIdmbcem3kf2w7jbed2kxoyq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kqq4seqiyvbizxsjve1aa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dmvnops4rxyo-qjhmzdjs" Type="http://schemas.openxmlformats.org/officeDocument/2006/relationships/hyperlink" Target="https://bank.gov.ua/files/macro/S_budget_m.xlsx" TargetMode="External"/><Relationship Id="rIdzxn0669uhzzchll-lyfn7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cugcxlcuizusja_dpzrnd" Type="http://schemas.openxmlformats.org/officeDocument/2006/relationships/hyperlink" Target="https://bank.gov.ua/admin_uploads/article/Macroeconomic_Forecast_table_2026_07.xlsx?v=19" TargetMode="External"/><Relationship Id="rIdnuv2_bdri_iraao_4jqwq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xmpim4jysczdbhx0jlbga" Type="http://schemas.openxmlformats.org/officeDocument/2006/relationships/hyperlink" Target="https://bank.gov.ua/ua/news/all/natsionalniy-bank-ukrayini-pidvischiv-oblikovu-stavku-do-16" TargetMode="External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2026-10-20T18:54:07.332Z</dcterms:created>
  <dcterms:modified xsi:type="dcterms:W3CDTF">2026-10-20T18:54:07.334Z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