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20 жовтня 2026 року (дані до вересня 2026, включно з вересневим ІСЦ).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z_33ddc60qxelcje3ytw_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НБУ; ВВП — до II кв. 2026; єврозона — фактичні дані й прогноз ЄЦБ (вересень 2026); додано базовий ІСЦ і нафту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без розширення (вага нафти 0) модель точно збігається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ІСЦ, 5 суджень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сценарії, 4 варіанти рішення + оптимальна ставка, віяло невизначеності,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автотестів; той самий файл моделі прогнано в MATLAB R2026b + IRIS — розбіжність фільтра й усіх сценаріїв ~1e−5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 на 36 слайдів з нотатками доповідача (текст на 15 хв)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dpp2hiao9sbpug00uv93r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4–10: зовнішнє середовище, інфляція, очікування й ставки, активність, валютний ринок, </w:t>
            </w:r>
            <w:r>
              <w:rPr>
                <w:b/>
                <w:bCs/>
                <w:sz w:val="17"/>
                <w:szCs w:val="17"/>
              </w:rPr>
              <w:t xml:space="preserve">платіжний баланс</w:t>
            </w:r>
            <w:r>
              <w:rPr>
                <w:sz w:val="17"/>
                <w:szCs w:val="17"/>
              </w:rPr>
              <w:t xml:space="preserve">, бюджет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12–20: модель, розширення, судження, наукаст, віяло (до 2029), базова інфляція, ВВП, сценарії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Сценарії (4) і матриця ризиків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22–28: рамка рішення, варіанти ставки, ставка, курс і резерви, валютні обмеження, комунікація, підсумок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депозитні сертифікати (рамка рішення, Q&amp;A 24)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Керована гнучкість: допускати до ≈4% на рік,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Перевірка в MATLAB/IRIS, бектест, сценарії, оптимальна політика, порівняння з НБУ й урядом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7"/>
        <w:gridCol w:w="1271"/>
        <w:gridCol w:w="2757"/>
        <w:gridCol w:w="2414"/>
        <w:gridCol w:w="2715"/>
      </w:tblGrid>
      <w:tr>
        <w:trPr>
          <w:cantSplit/>
          <w:tblHeader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ngbi6xg12lyakdne9sqpq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-iic6azqr87nb7gwihhas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jv01dsdp1lh4z8so_syhv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umbwvadasigscbjtojuvc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dnz3eqfluillckmv6-n_k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2kmpqjztyamzpib_tz2zn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ринкові очікування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 → 3,0 → 2,5%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6v7c2th1i3b8ujrh_w-6e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i9uz811shhamhypo35_k_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cs6v7pffgnrloq3edcfvl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 до 05.2026, далі ф'ючерс найближчого місяця; прогноз — ф'ючерсна крива до 2028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oorz-cs97y8v_uow1v9q_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x62fovrkpztsgsffs6ou1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8earhsrfyubdwjbjt-yz2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3lwpa6brn6otzbhjrf9m2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au3znh-07hxgre6oiw7hg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x0podxypp6pk15m_a2zjo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zxdelolk8gtmpwcug5zc4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vuypxviigwxxhoanbrn7l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rwwvldxtx6azpz4nvcgsm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gdvloytzd6qg0vphrbj-c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8uosggziseuzshn5y8-xi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ctlivhblhacwabxlhfkyu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kmgdro_mocth-e-sipip-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slhlt5j18gjml3gkze7xv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m2oagwu7mqy2gbcutx0jb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7"/>
        <w:gridCol w:w="1451"/>
        <w:gridCol w:w="1451"/>
        <w:gridCol w:w="3925"/>
      </w:tblGrid>
      <w:tr>
        <w:trPr>
          <w:cantSplit/>
          <w:tblHeader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1"/>
        <w:gridCol w:w="4012"/>
        <w:gridCol w:w="4231"/>
      </w:tblGrid>
      <w:tr>
        <w:trPr>
          <w:cantSplit/>
          <w:tblHeader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(10–12.2026)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0,86%/міс (SA, 3 міс., з вереснем +2,1% м/м) + сезонність STL (5 років) − 0,1 в. п. (разові ефекти вересня) → грудень 12,1% р/р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фіксує ІСЦ IV кв. 2026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−0,3% кв/кв SA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КМП: «суттєво гірше прогнозу НБУ»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xhljcibverdhixjmtc-ns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bvmh2clo4zsmqezrdrrff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res_l_gdp_gap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+0,2…0,6% розриву (IV кв. 2026 – IV кв. 2027)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Оборонний USL ($33,2 / 16,7 млрд), </w:t>
            </w:r>
            <w:hyperlink w:history="1" r:id="rIdezia71gqmu7fixu67nd4a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pncm2so1xirfnnusvzzhc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51,5 → 53,5 грн/€ до 2029 (≈1% на рік) через високий процентний диференціал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Ф'ючерси (20.10): $109 (IV кв. 2026) → $87 (кінець 2027) → $79 (кінець 2028)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15,6% (кінець 2027), 10,3% (2028), 9,0% (2029)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2029. Механічне правило дало б лише 4,4% у 2029</w:t>
            </w:r>
          </w:p>
        </w:tc>
      </w:tr>
      <w:tr>
        <w:trPr>
          <w:cantSplit/>
          <w:tblHeader w:val="off"/>
        </w:trPr>
        <w:tc>
          <w:tcPr>
            <w:tcW w:type="dxa" w:w="162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Одиниці</w:t>
            </w:r>
          </w:p>
        </w:tc>
        <w:tc>
          <w:tcPr>
            <w:tcW w:type="dxa" w:w="401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рахує темпи як 100·ln-різниці (як QPM НБУ); у звітах — звичайні % р/р; ціль у моделі = 100·ln 1,05 = 4,88</w:t>
            </w:r>
          </w:p>
        </w:tc>
        <w:tc>
          <w:tcPr>
            <w:tcW w:type="dxa" w:w="42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IV кв. 2026 показувався б як 10,4% замість 11,0% (середнє місячних даних)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19"/>
        <w:gridCol w:w="5690"/>
        <w:gridCol w:w="3055"/>
      </w:tblGrid>
      <w:tr>
        <w:trPr>
          <w:cantSplit/>
          <w:tblHeader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12,7%, ставка до 17,8%, ВВП-2027 −0,2%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13,3%, ставка до 19,6%, ≈55 грн/€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5,5% у IV кв. 2027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$120 до I кв. 2027, далі повернення до ф'ючерсів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+0,4 в. п. до піку ІСЦ, ставка майже без змін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2"/>
        <w:gridCol w:w="4540"/>
        <w:gridCol w:w="4542"/>
      </w:tblGrid>
      <w:tr>
        <w:trPr>
          <w:cantSplit/>
          <w:tblHeader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 (у всіх — 5% у 2029)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(та сама функція, що в оптимізації, IV кв. 2026 – 2029, λ = 1): 122,3 / 118,4 / 115,8 / 114,3; найкращий варіант: 17,5% (λ = 0,5 і 1), 17% (λ = 2)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), λ = 0,5 / 1 / 2; варіант без реакції на перший раунд адмінцін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16,8% (λ = 2), 16,9% (без реакції на адмінціни), 17,4% (λ = 1) → рекомендуємо 17%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у IV кв. 2027: 3,2–10,3%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Помилка ІСЦ на 4 кв. 0,8–1,0 в. п. (наївний: 1,3–6,1)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8"/>
        <w:gridCol w:w="7336"/>
      </w:tblGrid>
      <w:tr>
        <w:trPr>
          <w:cantSplit/>
          <w:tblHeader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 = шаблон НБУ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збігаються з опублікованими MATLAB-значеннями (тест)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тестів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47"/>
        <w:gridCol w:w="4517"/>
      </w:tblGrid>
      <w:tr>
        <w:trPr>
          <w:cantSplit/>
          <w:tblHeader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Модельні темпи (100·ln-різниці) показувалися як % р/р: IV кв. 2026 — 10,4% при середньому місячних 11,0%; порівняння з груднем НБУ було некоректним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Звіти у звичайних % р/р, ціль у моделі = 100·ln 1,05; тест звіряє квартальну інфляцію моделі з даними Держстату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Таблиця варіантів рахувала втрати без вартості змін ставки — виходило, що вища ставка завжди краща («кожні +0,5 в. п. знижують втрати»)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Та сама функція втрат, що й в оптимізації (з різкими змінами ставки): мінімум усередині, 17–17,5%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«реальна ставка ≈7% — вище нейтральної», а після вересня модель дає ≈6,2% проти нейтральної ≈6,6%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 з моделі: зараз нижче нейтральної, за 17% зросте до ≈8,7% у II кв. 2027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Ф'ючерси Brent і реальна ставка на слайдах були вписані вручну й застаріли після оновлення даних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Беруться з даних автоматично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53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51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z_33ddc60qxelcje3ytw_" Type="http://schemas.openxmlformats.org/officeDocument/2006/relationships/hyperlink" Target="https://events.bank.gov.ua/uchallenge2026/files/nbu_challenge_model_2026.zip" TargetMode="External"/><Relationship Id="rIddpp2hiao9sbpug00uv93r" Type="http://schemas.openxmlformats.org/officeDocument/2006/relationships/hyperlink" Target="https://events.bank.gov.ua/uchallenge2026/" TargetMode="External"/><Relationship Id="rIdngbi6xg12lyakdne9sqpq" Type="http://schemas.openxmlformats.org/officeDocument/2006/relationships/hyperlink" Target="https://bank.gov.ua/ua/open-data/api-dev" TargetMode="External"/><Relationship Id="rId-iic6azqr87nb7gwihhas" Type="http://schemas.openxmlformats.org/officeDocument/2006/relationships/hyperlink" Target="https://bank.gov.ua/files/macro/CCPI_m.xlsx" TargetMode="External"/><Relationship Id="rIdjv01dsdp1lh4z8so_syhv" Type="http://schemas.openxmlformats.org/officeDocument/2006/relationships/hyperlink" Target="https://bank.gov.ua/ua/news/all/komentar-natsionalnogo-banku-schodo-zmini-realnogo-vvp-u-ii-kvartali-2026-roku" TargetMode="External"/><Relationship Id="rIdumbwvadasigscbjtojuvc" Type="http://schemas.openxmlformats.org/officeDocument/2006/relationships/hyperlink" Target="https://ec.europa.eu/eurostat/databrowser/view/prc_hicp_minr/default/table" TargetMode="External"/><Relationship Id="rIddnz3eqfluillckmv6-n_k" Type="http://schemas.openxmlformats.org/officeDocument/2006/relationships/hyperlink" Target="https://www.ecb.europa.eu/press/projections/html/index.en.html" TargetMode="External"/><Relationship Id="rId2kmpqjztyamzpib_tz2zn" Type="http://schemas.openxmlformats.org/officeDocument/2006/relationships/hyperlink" Target="https://data.ecb.europa.eu/" TargetMode="External"/><Relationship Id="rId6v7c2th1i3b8ujrh_w-6e" Type="http://schemas.openxmlformats.org/officeDocument/2006/relationships/hyperlink" Target="https://db.nomics.world/EIA/PET/RBRTE.M" TargetMode="External"/><Relationship Id="rIdi9uz811shhamhypo35_k_" Type="http://schemas.openxmlformats.org/officeDocument/2006/relationships/hyperlink" Target="https://finance.yahoo.com/quote/BZ%3DF/" TargetMode="External"/><Relationship Id="rIdcs6v7pffgnrloq3edcfvl" Type="http://schemas.openxmlformats.org/officeDocument/2006/relationships/hyperlink" Target="https://bank.gov.ua/admin_uploads/article/Macroeconomic_Forecast_table_2026_07.xlsx?v=19" TargetMode="External"/><Relationship Id="rIdoorz-cs97y8v_uow1v9q_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x62fovrkpztsgsffs6ou1" Type="http://schemas.openxmlformats.org/officeDocument/2006/relationships/hyperlink" Target="https://bank.gov.ua/admin_uploads/article/Tables_Charts_2026-Q3.xlsx?v=19" TargetMode="External"/><Relationship Id="rId8earhsrfyubdwjbjt-yz2" Type="http://schemas.openxmlformats.org/officeDocument/2006/relationships/hyperlink" Target="https://bank.gov.ua/admin_uploads/article/Macroeconomic_Forecast_table_2026_07.xlsx?v=19" TargetMode="External"/><Relationship Id="rId3lwpa6brn6otzbhjrf9m2" Type="http://schemas.openxmlformats.org/officeDocument/2006/relationships/hyperlink" Target="https://bank.gov.ua/ua/news/all/komentar-natsionalnogo-banku-schodo-rivnya-inflyatsiyi-v-serpni-2026-roku" TargetMode="External"/><Relationship Id="rIdau3znh-07hxgre6oiw7hg" Type="http://schemas.openxmlformats.org/officeDocument/2006/relationships/hyperlink" Target="https://bank.gov.ua/ua/news/all/natsionalniy-bank-ukrayini-pidvischiv-oblikovu-stavku-do-16" TargetMode="External"/><Relationship Id="rIdx0podxypp6pk15m_a2zjo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zxdelolk8gtmpwcug5zc4" Type="http://schemas.openxmlformats.org/officeDocument/2006/relationships/hyperlink" Target="https://bank.gov.ua/admin_uploads/article/Strategy_for_easing_FX_restrictions_07-07-2023.pdf?v=19" TargetMode="External"/><Relationship Id="rIdvuypxviigwxxhoanbrn7l" Type="http://schemas.openxmlformats.org/officeDocument/2006/relationships/hyperlink" Target="https://bank.gov.ua/ua/news/all/nbu-vprovadjuye-paket-pomyakshennya-valyutnih-obmejen-z-osnovnim-fokusom-na-pidtrimtsi-naselennya" TargetMode="External"/><Relationship Id="rIdrwwvldxtx6azpz4nvcgsm" Type="http://schemas.openxmlformats.org/officeDocument/2006/relationships/hyperlink" Target="https://p4.bank.gov.ua/admin_uploads/article/MPG_2024-mt_eng.pdf" TargetMode="External"/><Relationship Id="rIdgdvloytzd6qg0vphrbj-c" Type="http://schemas.openxmlformats.org/officeDocument/2006/relationships/hyperlink" Target="https://bank.gov.ua/admin_uploads/article/Macroeconomic_Forecast_table_2026_07.xlsx?v=19" TargetMode="External"/><Relationship Id="rId8uosggziseuzshn5y8-xi" Type="http://schemas.openxmlformats.org/officeDocument/2006/relationships/hyperlink" Target="https://bank.gov.ua/admin_uploads/article/Tables_Charts_2026-Q3.xlsx?v=19" TargetMode="External"/><Relationship Id="rIdctlivhblhacwabxlhfkyu" Type="http://schemas.openxmlformats.org/officeDocument/2006/relationships/hyperlink" Target="https://minfin.com.ua/ua/2026/10/07/183076902/" TargetMode="External"/><Relationship Id="rIdkmgdro_mocth-e-sipip-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slhlt5j18gjml3gkze7xv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m2oagwu7mqy2gbcutx0jb" Type="http://schemas.openxmlformats.org/officeDocument/2006/relationships/hyperlink" Target="https://bank.gov.ua/files/macro/S_budget_m.xlsx" TargetMode="External"/><Relationship Id="rIdxhljcibverdhixjmtc-ns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bvmh2clo4zsmqezrdrrff" Type="http://schemas.openxmlformats.org/officeDocument/2006/relationships/hyperlink" Target="https://bank.gov.ua/admin_uploads/article/Macroeconomic_Forecast_table_2026_07.xlsx?v=19" TargetMode="External"/><Relationship Id="rIdezia71gqmu7fixu67nd4a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pncm2so1xirfnnusvzzhc" Type="http://schemas.openxmlformats.org/officeDocument/2006/relationships/hyperlink" Target="https://bank.gov.ua/ua/news/all/natsionalniy-bank-ukrayini-pidvischiv-oblikovu-stavku-do-16" TargetMode="External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2026-10-20T19:30:37.059Z</dcterms:created>
  <dcterms:modified xsi:type="dcterms:W3CDTF">2026-10-20T19:30:37.060Z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