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mbria" w:cs="Cambria" w:eastAsia="Cambria" w:hAnsi="Cambria"/>
          <w:b/>
          <w:bCs/>
          <w:color w:val="0E3B43"/>
          <w:sz w:val="40"/>
          <w:szCs w:val="40"/>
        </w:rPr>
        <w:t xml:space="preserve">Обсяг роботи: дані, модель, прогноз, перевірка, презентація</w:t>
      </w:r>
    </w:p>
    <w:p>
      <w:pPr>
        <w:spacing w:after="120"/>
      </w:pPr>
      <w:r>
        <w:rPr>
          <w:sz w:val="20"/>
          <w:szCs w:val="20"/>
        </w:rPr>
        <w:t xml:space="preserve">Що саме зроблено з шаблоном НБУ, які дані й звідки внесено, що змінено в моделі та як отримано кожен результат. Стан — 20 жовтня 2026 року (дані до вересня 2026, включно з вересневим ІСЦ). Цифри з результатів — з </w:t>
      </w:r>
      <w:r>
        <w:rPr>
          <w:rFonts w:ascii="Consolas" w:cs="Consolas" w:eastAsia="Consolas" w:hAnsi="Consolas"/>
          <w:sz w:val="18"/>
          <w:szCs w:val="18"/>
        </w:rPr>
        <w:t xml:space="preserve">results/key_numbers.json</w:t>
      </w:r>
      <w:r>
        <w:rPr>
          <w:sz w:val="20"/>
          <w:szCs w:val="20"/>
        </w:rPr>
        <w:t xml:space="preserve">. Після </w:t>
      </w:r>
      <w:r>
        <w:rPr>
          <w:rFonts w:ascii="Consolas" w:cs="Consolas" w:eastAsia="Consolas" w:hAnsi="Consolas"/>
          <w:sz w:val="18"/>
          <w:szCs w:val="18"/>
        </w:rPr>
        <w:t xml:space="preserve">python build.py --fetch</w:t>
      </w:r>
      <w:r>
        <w:rPr>
          <w:sz w:val="20"/>
          <w:szCs w:val="20"/>
        </w:rPr>
        <w:t xml:space="preserve"> вони оновляться, а цей документ — ні.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0. Коротко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6"/>
        <w:gridCol w:w="8578"/>
      </w:tblGrid>
      <w:tr>
        <w:trPr>
          <w:cantSplit/>
          <w:tblHeader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Етап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Що зроблено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Вихідна точка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Шаблон QPM НБУ для конкурсу (</w:t>
            </w:r>
            <w:hyperlink w:history="1" r:id="rIdidai2wpc1ltajo6ruk-ci">
              <w:r>
                <w:rPr>
                  <w:color w:val="1F63B5"/>
                  <w:sz w:val="17"/>
                  <w:szCs w:val="17"/>
                  <w:u w:val="single"/>
                </w:rPr>
                <w:t xml:space="preserve">nbu_challenge_model_2026.zip</w:t>
              </w:r>
            </w:hyperlink>
            <w:r>
              <w:rPr>
                <w:sz w:val="17"/>
                <w:szCs w:val="17"/>
              </w:rPr>
              <w:t xml:space="preserve">): модель IRIS, параметри, дані, скрипти MATLAB a01–a04, b02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Перенесення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Уся модель перенесена на Python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</w:t>
            </w:r>
            <w:r>
              <w:rPr>
                <w:sz w:val="17"/>
                <w:szCs w:val="17"/>
              </w:rPr>
              <w:t xml:space="preserve">): читання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.model</w:t>
            </w:r>
            <w:r>
              <w:rPr>
                <w:sz w:val="17"/>
                <w:szCs w:val="17"/>
              </w:rPr>
              <w:t xml:space="preserve">, розв'язок, фільтр Калмана, прогноз із планом, функції відгуку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Дані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Місячні ряди оновлено до вересня 2026 з API НБУ; ВВП — до II кв. 2026; єврозона — фактичні дані й прогноз ЄЦБ (вересень 2026); додано базовий ІСЦ і нафту Brent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Модель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Розширено: базова й небазова інфляція, канал нафти; без розширення (вага нафти 0) модель точно збігається з шаблоном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Прогноз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Наукаст ІСЦ, 5 суджень із джерелами, траєкторія курсу, зовнішні припущення. Ставка: рішення 17% + утримання до середини 2027, далі — траєкторія повернення до цілі 5% на горизонті до 3 років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Аналіз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 ризикові сценарії, 4 варіанти рішення + оптимальна ставка, віяло невизначеності, бектест, балансовий розрахунок резервів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Перевірка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14 автотестів; той самий файл моделі прогнано в MATLAB R2026b + IRIS — розбіжність фільтра й усіх сценаріїв ~1e−5</w:t>
            </w:r>
          </w:p>
        </w:tc>
      </w:tr>
      <w:tr>
        <w:trPr>
          <w:cantSplit/>
          <w:tblHeader w:val="off"/>
        </w:trPr>
        <w:tc>
          <w:tcPr>
            <w:tcW w:type="dxa" w:w="128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Результат</w:t>
            </w:r>
          </w:p>
        </w:tc>
        <w:tc>
          <w:tcPr>
            <w:tcW w:type="dxa" w:w="857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Презентація: 18 основних слайдів + додатки, нотатки доповідача (текст на ≈12 хв мовлення) і клікабельними джерелами; методологія, припущення, Q&amp;A для журі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0а. Вимоги конкурсу → де в презентації</w:t>
      </w:r>
    </w:p>
    <w:p>
      <w:pPr>
        <w:spacing w:after="120"/>
      </w:pPr>
      <w:r>
        <w:rPr>
          <w:sz w:val="20"/>
          <w:szCs w:val="20"/>
        </w:rPr>
        <w:t xml:space="preserve">Ключове питання конкурсу: «Якими мають бути рішення Правління НБУ щодо процентних ставок, офіційного курсу та валютних обмежень під час війни і чому?» (</w:t>
      </w:r>
      <w:hyperlink w:history="1" r:id="rIdinjelhqajbc9d3hftrwcs">
        <w:r>
          <w:rPr>
            <w:color w:val="1F63B5"/>
            <w:sz w:val="20"/>
            <w:szCs w:val="20"/>
            <w:u w:val="single"/>
          </w:rPr>
          <w:t xml:space="preserve">сторінка конкурсу</w:t>
        </w:r>
      </w:hyperlink>
      <w:r>
        <w:rPr>
          <w:sz w:val="20"/>
          <w:szCs w:val="20"/>
        </w:rPr>
        <w:t xml:space="preserve">).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56"/>
        <w:gridCol w:w="6708"/>
      </w:tblGrid>
      <w:tr>
        <w:trPr>
          <w:cantSplit/>
          <w:tblHeader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Вимога / критерій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Де закрито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Загальний огляд економічної ситуації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Слайди 4–8: зовнішнє середовище, інфляція, очікування й реальна ставка, активність, валютний ринок і резерви; платіжний баланс і бюджет — у додатках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Прогноз інфляції та інших показників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Слайди 10–14: модель, короткостроковий прогноз, базовий прогноз із віялом (до 2029), попит і ВВП, сценарії; розширення моделі, судження, базова інфляція — у додатках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Ризики прогнозу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 сценарії + 3 додаткові ризики (курс, як чекає ринок; розбалансування очікувань; ПДВ 21%) і матриця ризиків (додаток)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Рекомендації щодо монетарної політики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Слайди 16–21: рамка рішення, варіанти ставки, ставка, курс і резерви, валютні обмеження, підсумок; комунікація — у додатку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Процентні ставки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Облікова ставка 17% (+1 в. п.) з орієнтирами; обмежені обсяги тендерів 3-міс. депсертифікатів, щоб підвищення дійшло до депозитів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Офіційний курс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 заморожувати курс (≈44,7 грн/$ з червня): двосторонні коливання, інтервенції лише згладжують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Валютні обмеження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Серпневий пакет зберегти, III етап Стратегії — після відновлення резервів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Критерій 1: мета й функції НБУ, поточний стан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Слайд «Рамка рішення»: мета (ст. 6 Закону «Про НБУ»), ціль 5% на горизонті до 3 років, інструменти, позиції КМП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Критерій 2: концепції макроекономіки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Модель (розриви, нейтральна ставка, паритет ставок), перший і другий раунд шоків, функція втрат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Критерій 3: змістовність, логіка, доступність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Структура «головне → огляд → прогноз → рекомендації», один меседж на слайд, джерела на кожному слайді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Критерій 4: якість аналізу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Перевірка в MATLAB/IRIS, бектест, сценарії, оптимальна політика, порівняння з НБУ й урядом</w:t>
            </w:r>
          </w:p>
        </w:tc>
      </w:tr>
      <w:tr>
        <w:trPr>
          <w:cantSplit/>
          <w:tblHeader w:val="off"/>
        </w:trPr>
        <w:tc>
          <w:tcPr>
            <w:tcW w:type="dxa" w:w="315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Критерій 5: командна робота</w:t>
            </w:r>
          </w:p>
        </w:tc>
        <w:tc>
          <w:tcPr>
            <w:tcW w:type="dxa" w:w="670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Текст виступу розподілено на трьох доповідачів; Q&amp;A для всіх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1. Шаблон НБУ → наш проєкт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7"/>
        <w:gridCol w:w="3354"/>
        <w:gridCol w:w="5153"/>
      </w:tblGrid>
      <w:tr>
        <w:trPr>
          <w:cantSplit/>
          <w:tblHeader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Елемент шаблону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Що в шаблоні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Що зроблено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model/model.model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QPM: попит (розрив ВВП), крива Філіпса для ІСЦ, курс (керована гнучкість, β), правило Тейлора, тренди, єврозона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Перенесено на Python і розширено (§3). Оригінал без змін —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nbu_template/model/model.model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model/param.m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Калібрування (β = 0,7, ціль 5%, тренди, std шоків)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model/params.yaml</w:t>
            </w:r>
            <w:r>
              <w:rPr>
                <w:sz w:val="17"/>
                <w:szCs w:val="17"/>
              </w:rPr>
              <w:t xml:space="preserve">: ті самі значення +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w_oil</w:t>
            </w:r>
            <w:r>
              <w:rPr>
                <w:sz w:val="17"/>
                <w:szCs w:val="17"/>
              </w:rPr>
              <w:t xml:space="preserve"> і std нових шоків (§4)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data/quarterly.csv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ВВП до I кв. 2026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 II кв. 2026 (§2)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data/monthly.csv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ІСЦ, ставка, курс EUR до березня 2026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 квітень–вересень 2026, базовий ІСЦ (§2). Перекриття з API звірено: розбіжність 0,00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data/foreign.csv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HICP, ВВП, ставка ЄЦБ до 2028 (припущення)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Фактичні дані + прогноз ЄЦБ (вересень 2026); + Brent і USD/EUR (§2)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a01_read_data.m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Читання й сезонне згладжування (X-13)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qpm/data.py::read_data</w:t>
            </w:r>
            <w:r>
              <w:rPr>
                <w:sz w:val="17"/>
                <w:szCs w:val="17"/>
              </w:rPr>
              <w:t xml:space="preserve"> (STL, не робастний — див. розділ 10); квартал — лише з повних 3 місяців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a02_read_model.m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Model.fromFile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solve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qpm/model.py</w:t>
            </w:r>
            <w:r>
              <w:rPr>
                <w:sz w:val="17"/>
                <w:szCs w:val="17"/>
              </w:rPr>
              <w:t xml:space="preserve">: парсер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.model</w:t>
            </w:r>
            <w:r>
              <w:rPr>
                <w:sz w:val="17"/>
                <w:szCs w:val="17"/>
              </w:rPr>
              <w:t xml:space="preserve"> (sympy) + розв'язувач Сімса (QZ)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a03_run_filter.m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Фільтр Калмана, тюни розриву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qpm/kalman.py</w:t>
            </w:r>
            <w:r>
              <w:rPr>
                <w:sz w:val="17"/>
                <w:szCs w:val="17"/>
              </w:rPr>
              <w:t xml:space="preserve"> (фільтр + згладжувач Дурбіна–Купмана), ті самі тюни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a04_run_forecast.m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exogenize/endogenize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jforecast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qpm/simulate.py::Plan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forecast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qpm/pipeline.py</w:t>
            </w:r>
          </w:p>
        </w:tc>
      </w:tr>
      <w:tr>
        <w:trPr>
          <w:cantSplit/>
          <w:tblHeader w:val="off"/>
        </w:trPr>
        <w:tc>
          <w:tcPr>
            <w:tcW w:type="dxa" w:w="13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b02_irfs.m</w:t>
            </w:r>
          </w:p>
        </w:tc>
        <w:tc>
          <w:tcPr>
            <w:tcW w:type="dxa" w:w="335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Функції відгуку для різних β</w:t>
            </w:r>
          </w:p>
        </w:tc>
        <w:tc>
          <w:tcPr>
            <w:tcW w:type="dxa" w:w="515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run_irfs.py</w:t>
            </w:r>
            <w:r>
              <w:rPr>
                <w:sz w:val="17"/>
                <w:szCs w:val="17"/>
              </w:rPr>
              <w:t xml:space="preserve">; у MATLAB —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matlab/run_check.m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2. Дані: що внесено і звідки</w:t>
      </w:r>
    </w:p>
    <w:p>
      <w:pPr>
        <w:pStyle w:val="Heading2"/>
      </w:pPr>
      <w:r>
        <w:rPr>
          <w:rFonts w:ascii="Cambria" w:cs="Cambria" w:eastAsia="Cambria" w:hAnsi="Cambria"/>
          <w:b/>
          <w:bCs/>
          <w:color w:val="0E3B43"/>
          <w:sz w:val="23"/>
          <w:szCs w:val="23"/>
        </w:rPr>
        <w:t xml:space="preserve">2.1. Ряди, які бачить модель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7"/>
        <w:gridCol w:w="1271"/>
        <w:gridCol w:w="2757"/>
        <w:gridCol w:w="2414"/>
        <w:gridCol w:w="2715"/>
      </w:tblGrid>
      <w:tr>
        <w:trPr>
          <w:cantSplit/>
          <w:tblHeader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Ряд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Що це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Джерело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Період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Обробка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L_CPI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ІСЦ, рівень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Держстат через </w:t>
            </w:r>
            <w:hyperlink w:history="1" r:id="rIdzvw2jgfsajp0k7wqf12hz">
              <w:r>
                <w:rPr>
                  <w:color w:val="1F63B5"/>
                  <w:sz w:val="17"/>
                  <w:szCs w:val="17"/>
                  <w:u w:val="single"/>
                </w:rPr>
                <w:t xml:space="preserve">API НБУ</w:t>
              </w:r>
            </w:hyperlink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statdirectory/inflation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факт до 09.2026; 10–12.2026 — наукаст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Урахування дати звітності API; STL; квартал — середнє 3 місяців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L_CPI_C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Базовий ІСЦ (</w:t>
            </w:r>
            <w:r>
              <w:rPr>
                <w:b/>
                <w:bCs/>
                <w:sz w:val="17"/>
                <w:szCs w:val="17"/>
              </w:rPr>
              <w:t xml:space="preserve">новий ряд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rq9ma5am1guqbuwj_mnva">
              <w:r>
                <w:rPr>
                  <w:color w:val="1F63B5"/>
                  <w:sz w:val="17"/>
                  <w:szCs w:val="17"/>
                  <w:u w:val="single"/>
                </w:rPr>
                <w:t xml:space="preserve">CCPI_m.xlsx</w:t>
              </w:r>
            </w:hyperlink>
            <w:r>
              <w:rPr>
                <w:sz w:val="17"/>
                <w:szCs w:val="17"/>
              </w:rPr>
              <w:t xml:space="preserve"> (НБУ, дані Держстату) + API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 2008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Рівень прив'язано до ІСЦ у 01.2010; STL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IR_POLICY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Облікова ставка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API НБУ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statdirectory/key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до 09.2026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На кінець місяця → середнє за квартал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L_ER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Курс грн/€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API НБУ (офіційний курс)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до 09.2026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Середній за місяць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L_GDP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Реальний ВВП (SA)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Держстат; </w:t>
            </w:r>
            <w:hyperlink w:history="1" r:id="rId-i4f9azoz9xrijqjnxpvt">
              <w:r>
                <w:rPr>
                  <w:color w:val="1F63B5"/>
                  <w:sz w:val="17"/>
                  <w:szCs w:val="17"/>
                  <w:u w:val="single"/>
                </w:rPr>
                <w:t xml:space="preserve">коментар НБУ щодо ВВП II кв.</w:t>
              </w:r>
            </w:hyperlink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до II кв. 2026 (+0,3% кв/кв); III кв. — судження −0,3%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Ціни 2021 р.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L_CPI_EA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HICP єврозони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6uryye4ps4hs8op5cqofd">
              <w:r>
                <w:rPr>
                  <w:color w:val="1F63B5"/>
                  <w:sz w:val="17"/>
                  <w:szCs w:val="17"/>
                  <w:u w:val="single"/>
                </w:rPr>
                <w:t xml:space="preserve">Eurostat prc_hicp_minr</w:t>
              </w:r>
            </w:hyperlink>
            <w:r>
              <w:rPr>
                <w:sz w:val="17"/>
                <w:szCs w:val="17"/>
              </w:rPr>
              <w:t xml:space="preserve">; </w:t>
            </w:r>
            <w:hyperlink w:history="1" r:id="rIdvse9tqkmaa-sf8iwell9l">
              <w:r>
                <w:rPr>
                  <w:color w:val="1F63B5"/>
                  <w:sz w:val="17"/>
                  <w:szCs w:val="17"/>
                  <w:u w:val="single"/>
                </w:rPr>
                <w:t xml:space="preserve">прогноз ЄЦБ</w:t>
              </w:r>
            </w:hyperlink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факт до III кв. 2026; далі 3,0 / 2,5 / 2,1%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Новий ряд (EA21, 2025=100) прив'язано до шаблонного через річні темпи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L_GDP_EA_GAP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ВВП єврозони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lkaw-rl1dic-ao3a5of1s">
              <w:r>
                <w:rPr>
                  <w:color w:val="1F63B5"/>
                  <w:sz w:val="17"/>
                  <w:szCs w:val="17"/>
                  <w:u w:val="single"/>
                </w:rPr>
                <w:t xml:space="preserve">ECB Data Portal</w:t>
              </w:r>
            </w:hyperlink>
            <w:r>
              <w:rPr>
                <w:sz w:val="17"/>
                <w:szCs w:val="17"/>
              </w:rPr>
              <w:t xml:space="preserve"> (MNA, EA21); прогноз ЄЦБ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факт до II кв. 2026; далі 0,9 / 1,4 / 1,5%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Ланцюгування кв/кв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IR_EA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Депозитна ставка ЄЦБ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ECB Data Portal; ринкові очікування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факт до III кв. 2026; далі 2,75 → 3,0 → 2,5%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Кінець кварталу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L_ROIL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Реальна ціна Brent у євро (</w:t>
            </w:r>
            <w:r>
              <w:rPr>
                <w:b/>
                <w:bCs/>
                <w:sz w:val="17"/>
                <w:szCs w:val="17"/>
              </w:rPr>
              <w:t xml:space="preserve">новий ряд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l2pq8xt4ygkae1nf8g2v0">
              <w:r>
                <w:rPr>
                  <w:color w:val="1F63B5"/>
                  <w:sz w:val="17"/>
                  <w:szCs w:val="17"/>
                  <w:u w:val="single"/>
                </w:rPr>
                <w:t xml:space="preserve">EIA через DBnomics</w:t>
              </w:r>
            </w:hyperlink>
            <w:r>
              <w:rPr>
                <w:sz w:val="17"/>
                <w:szCs w:val="17"/>
              </w:rPr>
              <w:t xml:space="preserve">; </w:t>
            </w:r>
            <w:hyperlink w:history="1" r:id="rIdivng8tmaknjqhdv9a5qml">
              <w:r>
                <w:rPr>
                  <w:color w:val="1F63B5"/>
                  <w:sz w:val="17"/>
                  <w:szCs w:val="17"/>
                  <w:u w:val="single"/>
                </w:rPr>
                <w:t xml:space="preserve">ф'ючерси NYMEX BZ</w:t>
              </w:r>
            </w:hyperlink>
            <w:r>
              <w:rPr>
                <w:sz w:val="17"/>
                <w:szCs w:val="17"/>
              </w:rPr>
              <w:t xml:space="preserve">; USD/EUR — ЄЦБ, далі </w:t>
            </w:r>
            <w:hyperlink w:history="1" r:id="rIdlmpg7v1ifmnvziyiitlzp">
              <w:r>
                <w:rPr>
                  <w:color w:val="1F63B5"/>
                  <w:sz w:val="17"/>
                  <w:szCs w:val="17"/>
                  <w:u w:val="single"/>
                </w:rPr>
                <w:t xml:space="preserve">припущення НБУ</w:t>
              </w:r>
            </w:hyperlink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EIA до 05.2026, далі ф'ючерс найближчого місяця; прогноз — ф'ючерсна крива до 2028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100·ln(Brent / USD_EUR) − HICP</w:t>
            </w:r>
          </w:p>
        </w:tc>
      </w:tr>
      <w:tr>
        <w:trPr>
          <w:cantSplit/>
          <w:tblHeader w:val="off"/>
        </w:trPr>
        <w:tc>
          <w:tcPr>
            <w:tcW w:type="dxa" w:w="70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2029 р.</w:t>
            </w:r>
          </w:p>
        </w:tc>
        <w:tc>
          <w:tcPr>
            <w:tcW w:type="dxa" w:w="127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Зовнішні змінні</w:t>
            </w:r>
          </w:p>
        </w:tc>
        <w:tc>
          <w:tcPr>
            <w:tcW w:type="dxa" w:w="275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Прогноз самої моделі</w:t>
            </w:r>
          </w:p>
        </w:tc>
        <w:tc>
          <w:tcPr>
            <w:tcW w:type="dxa" w:w="24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2029</w:t>
            </w:r>
          </w:p>
        </w:tc>
        <w:tc>
          <w:tcPr>
            <w:tcW w:type="dxa" w:w="271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Прогнозів ЄЦБ і ф'ючерсів на 2029 у даних немає → повернення до рівноваг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sz w:val="20"/>
          <w:szCs w:val="20"/>
        </w:rPr>
        <w:t xml:space="preserve">Скрипт — </w:t>
      </w:r>
      <w:r>
        <w:rPr>
          <w:rFonts w:ascii="Consolas" w:cs="Consolas" w:eastAsia="Consolas" w:hAnsi="Consolas"/>
          <w:sz w:val="18"/>
          <w:szCs w:val="18"/>
        </w:rPr>
        <w:t xml:space="preserve">update_data.py</w:t>
      </w:r>
      <w:r>
        <w:rPr>
          <w:sz w:val="20"/>
          <w:szCs w:val="20"/>
        </w:rPr>
        <w:t xml:space="preserve">, журнал звірок — </w:t>
      </w:r>
      <w:r>
        <w:rPr>
          <w:rFonts w:ascii="Consolas" w:cs="Consolas" w:eastAsia="Consolas" w:hAnsi="Consolas"/>
          <w:sz w:val="18"/>
          <w:szCs w:val="18"/>
        </w:rPr>
        <w:t xml:space="preserve">data/UPDATE_LOG.md</w:t>
      </w:r>
      <w:r>
        <w:rPr>
          <w:sz w:val="20"/>
          <w:szCs w:val="20"/>
        </w:rPr>
        <w:t xml:space="preserve">.</w:t>
      </w:r>
    </w:p>
    <w:p>
      <w:pPr>
        <w:pStyle w:val="Heading2"/>
      </w:pPr>
      <w:r>
        <w:rPr>
          <w:rFonts w:ascii="Cambria" w:cs="Cambria" w:eastAsia="Cambria" w:hAnsi="Cambria"/>
          <w:b/>
          <w:bCs/>
          <w:color w:val="0E3B43"/>
          <w:sz w:val="23"/>
          <w:szCs w:val="23"/>
        </w:rPr>
        <w:t xml:space="preserve">2.2. Дані для огляду економіки (слайди 4–9) і порівняння з НБУ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73"/>
        <w:gridCol w:w="4391"/>
      </w:tblGrid>
      <w:tr>
        <w:trPr>
          <w:cantSplit/>
          <w:tblHeader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Дані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Джерело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Складові ІСЦ, очікування, депозитні ставки, ділові очікування, зарплати, нафта й газ у припущеннях НБУ, розрив ВВП НБУ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ls319egmnnzrcluztpyf7">
              <w:r>
                <w:rPr>
                  <w:color w:val="1F63B5"/>
                  <w:sz w:val="17"/>
                  <w:szCs w:val="17"/>
                  <w:u w:val="single"/>
                </w:rPr>
                <w:t xml:space="preserve">Інфляційний звіт НБУ, липень 2026</w:t>
              </w:r>
            </w:hyperlink>
            <w:r>
              <w:rPr>
                <w:sz w:val="17"/>
                <w:szCs w:val="17"/>
              </w:rPr>
              <w:t xml:space="preserve"> — </w:t>
            </w:r>
            <w:hyperlink w:history="1" r:id="rIdu-lp9lobmrkyead-tjfbz">
              <w:r>
                <w:rPr>
                  <w:color w:val="1F63B5"/>
                  <w:sz w:val="17"/>
                  <w:szCs w:val="17"/>
                  <w:u w:val="single"/>
                </w:rPr>
                <w:t xml:space="preserve">дані графіків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Прогноз НБУ (ІСЦ, базова, адмінціни, ВВП, ставка, бюджет, допомога)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b8gmovsoqvx8dj7lcthtu">
              <w:r>
                <w:rPr>
                  <w:color w:val="1F63B5"/>
                  <w:sz w:val="17"/>
                  <w:szCs w:val="17"/>
                  <w:u w:val="single"/>
                </w:rPr>
                <w:t xml:space="preserve">Таблиця макропрогнозу, липень 2026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Інфляція в липні–серпні 2026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lnolik1x9doccqub5luu7">
              <w:r>
                <w:rPr>
                  <w:color w:val="1F63B5"/>
                  <w:sz w:val="17"/>
                  <w:szCs w:val="17"/>
                  <w:u w:val="single"/>
                </w:rPr>
                <w:t xml:space="preserve">Коментар НБУ щодо інфляції в серпні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Інтервенції, резерви, операції населення з валютою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API НБУ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statdirectory/kursf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Рішення 17.09 і дискусія КМП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zmm8xvmtmir2h-nl4juhp">
              <w:r>
                <w:rPr>
                  <w:color w:val="1F63B5"/>
                  <w:sz w:val="17"/>
                  <w:szCs w:val="17"/>
                  <w:u w:val="single"/>
                </w:rPr>
                <w:t xml:space="preserve">Пресреліз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e1xeakol3eznqprso84h4">
              <w:r>
                <w:rPr>
                  <w:color w:val="1F63B5"/>
                  <w:sz w:val="17"/>
                  <w:szCs w:val="17"/>
                  <w:u w:val="single"/>
                </w:rPr>
                <w:t xml:space="preserve">підсумки дискусії КМП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Валютні обмеження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fvpr83imdk69fmfo2gkax">
              <w:r>
                <w:rPr>
                  <w:color w:val="1F63B5"/>
                  <w:sz w:val="17"/>
                  <w:szCs w:val="17"/>
                  <w:u w:val="single"/>
                </w:rPr>
                <w:t xml:space="preserve">Стратегія НБУ (2023)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0ohf52qsxg-l570ejtx5y">
              <w:r>
                <w:rPr>
                  <w:color w:val="1F63B5"/>
                  <w:sz w:val="17"/>
                  <w:szCs w:val="17"/>
                  <w:u w:val="single"/>
                </w:rPr>
                <w:t xml:space="preserve">пакет пом'якшення (серпень 2026)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Ціль і горизонт політики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c3bdxnkkrz4gaz8e092i3">
              <w:r>
                <w:rPr>
                  <w:color w:val="1F63B5"/>
                  <w:sz w:val="17"/>
                  <w:szCs w:val="17"/>
                  <w:u w:val="single"/>
                </w:rPr>
                <w:t xml:space="preserve">Основні засади ГКП (2024)</w:t>
              </w:r>
            </w:hyperlink>
            <w:r>
              <w:rPr>
                <w:sz w:val="17"/>
                <w:szCs w:val="17"/>
              </w:rPr>
              <w:t xml:space="preserve">: 5% без діапазону, горизонт до 3 років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Платіжний баланс: експорт, імпорт, перекази, поточний рахунок, фінансування (ERA, Ukraine Facility, MFA, нові позики), резерви й критерій МВФ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1ld-8bmy3joakjq4rt4iy">
              <w:r>
                <w:rPr>
                  <w:color w:val="1F63B5"/>
                  <w:sz w:val="17"/>
                  <w:szCs w:val="17"/>
                  <w:u w:val="single"/>
                </w:rPr>
                <w:t xml:space="preserve">Макропрогноз НБУ</w:t>
              </w:r>
            </w:hyperlink>
            <w:r>
              <w:rPr>
                <w:sz w:val="17"/>
                <w:szCs w:val="17"/>
              </w:rPr>
              <w:t xml:space="preserve">; </w:t>
            </w:r>
            <w:hyperlink w:history="1" r:id="rIddxrimldow15wh9ledcqdr">
              <w:r>
                <w:rPr>
                  <w:color w:val="1F63B5"/>
                  <w:sz w:val="17"/>
                  <w:szCs w:val="17"/>
                  <w:u w:val="single"/>
                </w:rPr>
                <w:t xml:space="preserve">дані графіків ІЗ</w:t>
              </w:r>
            </w:hyperlink>
            <w:r>
              <w:rPr>
                <w:sz w:val="17"/>
                <w:szCs w:val="17"/>
              </w:rPr>
              <w:t xml:space="preserve"> (3.13, 3.14)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Курсові очікування, реальна ставка НБУ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Дані графіків ІЗ (3.12, 3.18)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Бюджетна декларація 2027–2029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Дані графіків ІЗ (таблиці B.2.T.1–2)</w:t>
            </w:r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Дохідність ОВДП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wf0_kcm6kpg4ldua7jhzj">
              <w:r>
                <w:rPr>
                  <w:color w:val="1F63B5"/>
                  <w:sz w:val="17"/>
                  <w:szCs w:val="17"/>
                  <w:u w:val="single"/>
                </w:rPr>
                <w:t xml:space="preserve">Аукціон 06.10.2026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Операційний дизайн: тендери 3-міс. ДС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jvlcwalxn97yewncbh7mf">
              <w:r>
                <w:rPr>
                  <w:color w:val="1F63B5"/>
                  <w:sz w:val="17"/>
                  <w:szCs w:val="17"/>
                  <w:u w:val="single"/>
                </w:rPr>
                <w:t xml:space="preserve">НБУ, 01.10.2026</w:t>
              </w:r>
            </w:hyperlink>
          </w:p>
        </w:tc>
      </w:tr>
      <w:tr>
        <w:trPr>
          <w:cantSplit/>
          <w:tblHeader w:val="off"/>
        </w:trPr>
        <w:tc>
          <w:tcPr>
            <w:tcW w:type="dxa" w:w="547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Зовнішнє фінансування</w:t>
            </w:r>
          </w:p>
        </w:tc>
        <w:tc>
          <w:tcPr>
            <w:tcW w:type="dxa" w:w="439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hyperlink w:history="1" r:id="rId8yjlkuezfra9n8qhkqjih">
              <w:r>
                <w:rPr>
                  <w:color w:val="1F63B5"/>
                  <w:sz w:val="17"/>
                  <w:szCs w:val="17"/>
                  <w:u w:val="single"/>
                </w:rPr>
                <w:t xml:space="preserve">Рада МВФ: перегляд програми</w:t>
              </w:r>
            </w:hyperlink>
            <w:r>
              <w:rPr>
                <w:sz w:val="17"/>
                <w:szCs w:val="17"/>
              </w:rPr>
              <w:t xml:space="preserve">; </w:t>
            </w:r>
            <w:hyperlink w:history="1" r:id="rIdni7plcvecutzktetvn7v4">
              <w:r>
                <w:rPr>
                  <w:color w:val="1F63B5"/>
                  <w:sz w:val="17"/>
                  <w:szCs w:val="17"/>
                  <w:u w:val="single"/>
                </w:rPr>
                <w:t xml:space="preserve">бюджет (НБУ)</w:t>
              </w:r>
            </w:hyperlink>
          </w:p>
        </w:tc>
      </w:tr>
    </w:tbl>
    <w:p>
      <w:pPr>
        <w:spacing w:after="80" w:before="0"/>
      </w:pPr>
    </w:p>
    <w:p>
      <w:pPr>
        <w:spacing w:after="120"/>
      </w:pPr>
      <w:r>
        <w:rPr>
          <w:sz w:val="20"/>
          <w:szCs w:val="20"/>
        </w:rPr>
        <w:t xml:space="preserve">Скрипти — </w:t>
      </w:r>
      <w:r>
        <w:rPr>
          <w:rFonts w:ascii="Consolas" w:cs="Consolas" w:eastAsia="Consolas" w:hAnsi="Consolas"/>
          <w:sz w:val="18"/>
          <w:szCs w:val="18"/>
        </w:rPr>
        <w:t xml:space="preserve">qpm/overview.py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make_overview_charts.py</w:t>
      </w:r>
      <w:r>
        <w:rPr>
          <w:sz w:val="20"/>
          <w:szCs w:val="20"/>
        </w:rPr>
        <w:t xml:space="preserve">. Опис кожного файлу — </w:t>
      </w:r>
      <w:r>
        <w:rPr>
          <w:rFonts w:ascii="Consolas" w:cs="Consolas" w:eastAsia="Consolas" w:hAnsi="Consolas"/>
          <w:sz w:val="18"/>
          <w:szCs w:val="18"/>
        </w:rPr>
        <w:t xml:space="preserve">data/overview/SOURCES.md</w:t>
      </w:r>
      <w:r>
        <w:rPr>
          <w:sz w:val="20"/>
          <w:szCs w:val="20"/>
        </w:rPr>
        <w:t xml:space="preserve">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3. Зміни в моделі (</w:t>
      </w:r>
      <w:r>
        <w:rPr>
          <w:rFonts w:ascii="Cambria" w:cs="Cambria" w:eastAsia="Cambria" w:hAnsi="Cambria"/>
          <w:b/>
          <w:bCs/>
          <w:color w:val="0E3B43"/>
          <w:sz w:val="26"/>
          <w:szCs w:val="26"/>
        </w:rPr>
        <w:t xml:space="preserve">model/model.model</w:t>
      </w: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2"/>
        <w:gridCol w:w="3918"/>
        <w:gridCol w:w="4114"/>
      </w:tblGrid>
      <w:tr>
        <w:trPr>
          <w:cantSplit/>
          <w:tblHeader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Зміна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Рівняння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Навіщо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Інфляцію розділено на базову і небазову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l_cpi = l_cpi_c + l_rnc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Загальний ІСЦ = базова + відносна ціна небазових товарів (пальне, продовольство, адмінціни), як у робочій QPM НБУ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Крива Філіпса — для базової інфляції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dl_cpi_c = 0,4·dl_cpi_c{−1} + 0,6·dl_cpi_c{+1} + 0,3·rmc + res_dl_cpi_c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Коефіцієнти шаблону; на базову не діють разові цінові шоки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Реальний курс — за базовими цінами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l_rer = l_er − l_cpi_c + l_cpi_ea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Без цього нафтовий шок давав хибне «відскакування» інфляції вниз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Рівняння небазових цін (</w:t>
            </w:r>
            <w:r>
              <w:rPr>
                <w:b/>
                <w:bCs/>
                <w:sz w:val="17"/>
                <w:szCs w:val="17"/>
              </w:rPr>
              <w:t xml:space="preserve">нове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dl_rnc = 0,3·dl_rnc{−1} + w_oil·(dl_roil + 4·Δl_rer) + res_dl_rnc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Пальне ціноутворюється в іноземній валюті: реагує на нафту і курс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Блок нафти (</w:t>
            </w:r>
            <w:r>
              <w:rPr>
                <w:b/>
                <w:bCs/>
                <w:sz w:val="17"/>
                <w:szCs w:val="17"/>
              </w:rPr>
              <w:t xml:space="preserve">новий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dl_roil = 0,3·dl_roil{−1} + res_dl_roil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l_roil = l_roil{−1} + dl_roil/4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Зовнішня змінна, на прогнозі — ф'ючерсна крива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Нові спостережувані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L_CPI_C = l_cpi_c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L_ROIL = l_roil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Фільтр використовує базовий ІСЦ і нафту</w:t>
            </w:r>
          </w:p>
        </w:tc>
      </w:tr>
      <w:tr>
        <w:trPr>
          <w:cantSplit/>
          <w:tblHeader w:val="off"/>
        </w:trPr>
        <w:tc>
          <w:tcPr>
            <w:tcW w:type="dxa" w:w="18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Без змін</w:t>
            </w:r>
          </w:p>
        </w:tc>
        <w:tc>
          <w:tcPr>
            <w:tcW w:type="dxa" w:w="391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Попит, курс (UIP + цільовий курс, β = 0,7), правило Тейлора (на загальний ІСЦ), тренди, єврозона</w:t>
            </w:r>
          </w:p>
        </w:tc>
        <w:tc>
          <w:tcPr>
            <w:tcW w:type="dxa" w:w="41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Щоб модель лишалася моделлю НБУ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4. Параметри (</w:t>
      </w:r>
      <w:r>
        <w:rPr>
          <w:rFonts w:ascii="Cambria" w:cs="Cambria" w:eastAsia="Cambria" w:hAnsi="Cambria"/>
          <w:b/>
          <w:bCs/>
          <w:color w:val="0E3B43"/>
          <w:sz w:val="26"/>
          <w:szCs w:val="26"/>
        </w:rPr>
        <w:t xml:space="preserve">model/params.yaml</w:t>
      </w: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7"/>
        <w:gridCol w:w="1451"/>
        <w:gridCol w:w="1451"/>
        <w:gridCol w:w="3925"/>
      </w:tblGrid>
      <w:tr>
        <w:trPr>
          <w:cantSplit/>
          <w:tblHeader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Шаблон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У нас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Коментар</w:t>
            </w:r>
          </w:p>
        </w:tc>
      </w:tr>
      <w:tr>
        <w:trPr>
          <w:cantSplit/>
          <w:tblHeader w:val="off"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β, ціль, тренди,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coef</w:t>
            </w:r>
            <w:r>
              <w:rPr>
                <w:b/>
                <w:bCs/>
                <w:sz w:val="17"/>
                <w:szCs w:val="17"/>
              </w:rPr>
              <w:t xml:space="preserve">, параметри єврозони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0,7; 5; −2 / 2 / 4; 1; 2 / 1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Ті самі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w_oil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0,016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+20% нафти → ІСЦ ≈+0,3% за рік: пальне ≈4% кошика × частка нафти в ціні ≈40% × 20% + непрямі ефекти</w:t>
            </w:r>
          </w:p>
        </w:tc>
      </w:tr>
      <w:tr>
        <w:trPr>
          <w:cantSplit/>
          <w:tblHeader w:val="off"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std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res_dl_cpi_c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 (як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res_dl_cpi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std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res_dl_rnc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res_dl_roil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 / 1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Небазові ціни волатильніші за базові</w:t>
            </w:r>
          </w:p>
        </w:tc>
      </w:tr>
      <w:tr>
        <w:trPr>
          <w:cantSplit/>
          <w:tblHeader w:val="off"/>
        </w:trPr>
        <w:tc>
          <w:tcPr>
            <w:tcW w:type="dxa" w:w="3037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Решта std шоків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Як у шаблоні</w:t>
            </w:r>
          </w:p>
        </w:tc>
        <w:tc>
          <w:tcPr>
            <w:tcW w:type="dxa" w:w="392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5. Фільтр (як </w:t>
      </w:r>
      <w:r>
        <w:rPr>
          <w:rFonts w:ascii="Cambria" w:cs="Cambria" w:eastAsia="Cambria" w:hAnsi="Cambria"/>
          <w:b/>
          <w:bCs/>
          <w:color w:val="0E3B43"/>
          <w:sz w:val="26"/>
          <w:szCs w:val="26"/>
        </w:rPr>
        <w:t xml:space="preserve">a03_run_filter.m</w:t>
      </w: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8"/>
        <w:gridCol w:w="7416"/>
      </w:tblGrid>
      <w:tr>
        <w:trPr>
          <w:cantSplit/>
          <w:tblHeader/>
        </w:trPr>
        <w:tc>
          <w:tcPr>
            <w:tcW w:type="dxa" w:w="24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Налаштування</w:t>
            </w:r>
          </w:p>
        </w:tc>
        <w:tc>
          <w:tcPr>
            <w:tcW w:type="dxa" w:w="741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Значення</w:t>
            </w:r>
          </w:p>
        </w:tc>
      </w:tr>
      <w:tr>
        <w:trPr>
          <w:cantSplit/>
          <w:tblHeader w:val="off"/>
        </w:trPr>
        <w:tc>
          <w:tcPr>
            <w:tcW w:type="dxa" w:w="24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Діапазон</w:t>
            </w:r>
          </w:p>
        </w:tc>
        <w:tc>
          <w:tcPr>
            <w:tcW w:type="dxa" w:w="741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2016Q1–2026Q3 (історія), прогноз до 2029Q4</w:t>
            </w:r>
          </w:p>
        </w:tc>
      </w:tr>
      <w:tr>
        <w:trPr>
          <w:cantSplit/>
          <w:tblHeader w:val="off"/>
        </w:trPr>
        <w:tc>
          <w:tcPr>
            <w:tcW w:type="dxa" w:w="24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Тюни розриву ВВП</w:t>
            </w:r>
          </w:p>
        </w:tc>
        <w:tc>
          <w:tcPr>
            <w:tcW w:type="dxa" w:w="741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2015Q1 = 0, 2022Q2 = −18% (з шаблону)</w:t>
            </w:r>
          </w:p>
        </w:tc>
      </w:tr>
      <w:tr>
        <w:trPr>
          <w:cantSplit/>
          <w:tblHeader w:val="off"/>
        </w:trPr>
        <w:tc>
          <w:tcPr>
            <w:tcW w:type="dxa" w:w="24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Злам 2022</w:t>
            </w:r>
          </w:p>
        </w:tc>
        <w:tc>
          <w:tcPr>
            <w:tcW w:type="dxa" w:w="741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std шоку рівня потенційного ВВП = 0,75 лише у 2022Q1–Q2 (з шаблону)</w:t>
            </w:r>
          </w:p>
        </w:tc>
      </w:tr>
      <w:tr>
        <w:trPr>
          <w:cantSplit/>
          <w:tblHeader w:val="off"/>
        </w:trPr>
        <w:tc>
          <w:tcPr>
            <w:tcW w:type="dxa" w:w="24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Спостереження після 2026Q3</w:t>
            </w:r>
          </w:p>
        </w:tc>
        <w:tc>
          <w:tcPr>
            <w:tcW w:type="dxa" w:w="741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Внутрішні — ні (окрім наукасту IV кв.), зовнішні — припущення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6. Прогноз: що закладено (</w:t>
      </w:r>
      <w:r>
        <w:rPr>
          <w:rFonts w:ascii="Cambria" w:cs="Cambria" w:eastAsia="Cambria" w:hAnsi="Cambria"/>
          <w:b/>
          <w:bCs/>
          <w:color w:val="0E3B43"/>
          <w:sz w:val="26"/>
          <w:szCs w:val="26"/>
        </w:rPr>
        <w:t xml:space="preserve">config.py</w:t>
      </w: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4"/>
        <w:gridCol w:w="4021"/>
        <w:gridCol w:w="4229"/>
      </w:tblGrid>
      <w:tr>
        <w:trPr>
          <w:cantSplit/>
          <w:tblHeader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Елемент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Обґрунтування / джерело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Наукаст ІСЦ і базового ІСЦ (10–12.2026)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Тренд (SA, 3 міс.) + сезонність STL (5 років) − 0,1 в. п. → грудень: ІСЦ 12,1%, базова 9,2% р/р; у IV кв. фіксуються обидва ряди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Держстат; базову без наукасту модель занижувала (весь надлишок ішов у небазові ціни)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ВВП III кв. 2026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+1,1% кв/кв SA (≈+1% р/р)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ІЕД: липень +4,0%, серпень +1,2% р/р; Мінекономіки: серпень ≈0%; КМП: «суттєво гірше» за прогноз НБУ (+2,1%). Чутливість: оптимальна ставка 16,5–16,9%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Шок витрат 2027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res_dl_cpi_c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+0,8 / +0,4 (I–II кв. 2027)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Вторинні ефекти атак в опалювальний сезон; НБУ: +0,4–0,6 в. п. (</w:t>
            </w:r>
            <w:hyperlink w:history="1" r:id="rIdmn_6ycxmjcjkvia7ptt-3">
              <w:r>
                <w:rPr>
                  <w:color w:val="1F63B5"/>
                  <w:sz w:val="17"/>
                  <w:szCs w:val="17"/>
                  <w:u w:val="single"/>
                </w:rPr>
                <w:t xml:space="preserve">КМП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Адмінціни та акцизи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res_dl_rnc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+1,2 (2027), +1,1 (2028) → загальна інфляція вища за базову на ≈1,7 в. п./рік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Середнє 2016–2026 = 1,7 в. п.; НБУ: адмінціни +14,0% / +11,3% (</w:t>
            </w:r>
            <w:hyperlink w:history="1" r:id="rId9k41nm5gtwajtxrigdsg1">
              <w:r>
                <w:rPr>
                  <w:color w:val="1F63B5"/>
                  <w:sz w:val="17"/>
                  <w:szCs w:val="17"/>
                  <w:u w:val="single"/>
                </w:rPr>
                <w:t xml:space="preserve">макропрогноз</w:t>
              </w:r>
            </w:hyperlink>
            <w:r>
              <w:rPr>
                <w:sz w:val="17"/>
                <w:szCs w:val="17"/>
              </w:rPr>
              <w:t xml:space="preserve">). Позначено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first_round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Бюджетний імпульс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 закладається (прибрано після рецензії)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Дефіцит без грантів 35 → 26% ВВП, оборонна частина USL $33,2 → $16,7 млрд — знак імпульсу радше від'ємний; з імпульсом оптимум був би ≈17,2%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Премія за ризик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res_prem_uip_gap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+1,0 (IV кв. 2026)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Затримки фінансування, резерви $47,1 млрд (</w:t>
            </w:r>
            <w:hyperlink w:history="1" r:id="rIds23hjgfh9gr4ivlnc-abb">
              <w:r>
                <w:rPr>
                  <w:color w:val="1F63B5"/>
                  <w:sz w:val="17"/>
                  <w:szCs w:val="17"/>
                  <w:u w:val="single"/>
                </w:rPr>
                <w:t xml:space="preserve">рішення 17.09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Потенційний ВВП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res_dl_gdp_tnd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+0,15 в. п./кв. (2027 – I пів. 2028)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Інвестиції в ОПК, повернення мігрантів (припущення НБУ)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Цільовий темп курсу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dl_er_tar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4% (2027), 3% (2028)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Допустиме послаблення; фактичний курс — модельний: 51,5 → 53,5 грн/€ до 2029 (≈1% на рік) через високий процентний диференціал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Нафта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Ф'ючерси (20.10): $109 (IV кв. 2026) → $87 (кінець 2027) → $79 (кінець 2028)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EIA, NYMEX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Ставка (базовий сценарій)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17% у IV кв. 2026 – II кв. 2027; далі — траєкторія повернення до цілі: 14,7% (кінець 2027), 10,1% (2028), 9,0% (2029)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Ціль 5% на горизонті до 3 років. Мінімум Σ w·(π−5)² + 0,5·розрив² + (Δi)², w = 5 у 2029; адмінціни — з вагою 50%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config.ADMIN_REACTION</w:t>
            </w:r>
            <w:r>
              <w:rPr>
                <w:sz w:val="17"/>
                <w:szCs w:val="17"/>
              </w:rPr>
              <w:t xml:space="preserve">), приземлення у 2029 — за фактичною інфляцією</w:t>
            </w:r>
          </w:p>
        </w:tc>
      </w:tr>
      <w:tr>
        <w:trPr>
          <w:cantSplit/>
          <w:tblHeader w:val="off"/>
        </w:trPr>
        <w:tc>
          <w:tcPr>
            <w:tcW w:type="dxa" w:w="1614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Одиниці</w:t>
            </w:r>
          </w:p>
        </w:tc>
        <w:tc>
          <w:tcPr>
            <w:tcW w:type="dxa" w:w="402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Модель рахує темпи як 100·ln-різниці (як QPM НБУ); у звітах — звичайні % р/р; ціль у моделі = 100·ln 1,05 = 4,88</w:t>
            </w:r>
          </w:p>
        </w:tc>
        <w:tc>
          <w:tcPr>
            <w:tcW w:type="dxa" w:w="422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Без цього IV кв. 2026 показувався б як 10,4% замість 11,0% (середнє місячних даних)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Cambria" w:cs="Cambria" w:eastAsia="Cambria" w:hAnsi="Cambria"/>
          <w:b/>
          <w:bCs/>
          <w:color w:val="0E3B43"/>
          <w:sz w:val="23"/>
          <w:szCs w:val="23"/>
        </w:rPr>
        <w:t xml:space="preserve">Сценарії (шоки додаються до базового)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9"/>
        <w:gridCol w:w="5690"/>
        <w:gridCol w:w="3055"/>
      </w:tblGrid>
      <w:tr>
        <w:trPr>
          <w:cantSplit/>
          <w:tblHeader/>
        </w:trPr>
        <w:tc>
          <w:tcPr>
            <w:tcW w:type="dxa" w:w="11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Сценарій</w:t>
            </w:r>
          </w:p>
        </w:tc>
        <w:tc>
          <w:tcPr>
            <w:tcW w:type="dxa" w:w="569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Шоки</w:t>
            </w:r>
          </w:p>
        </w:tc>
        <w:tc>
          <w:tcPr>
            <w:tcW w:type="dxa" w:w="305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11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Важка зима</w:t>
            </w:r>
          </w:p>
        </w:tc>
        <w:tc>
          <w:tcPr>
            <w:tcW w:type="dxa" w:w="569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Небазові ціни +3,0 / +1,0, базова +1,0 / +0,5, попит −0,6 / −0,8 / −0,4, премія +1,5 / +1,0</w:t>
            </w:r>
          </w:p>
        </w:tc>
        <w:tc>
          <w:tcPr>
            <w:tcW w:type="dxa" w:w="305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ІСЦ до 12,8%, ставка до 17,8%, ВВП-2027 −0,1%</w:t>
            </w:r>
          </w:p>
        </w:tc>
      </w:tr>
      <w:tr>
        <w:trPr>
          <w:cantSplit/>
          <w:tblHeader w:val="off"/>
        </w:trPr>
        <w:tc>
          <w:tcPr>
            <w:tcW w:type="dxa" w:w="11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Дефіцит фінансування</w:t>
            </w:r>
          </w:p>
        </w:tc>
        <w:tc>
          <w:tcPr>
            <w:tcW w:type="dxa" w:w="569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Цільовий курс +12 / 10 / 8 / 6% на рік, премія +2 / 1,5 / 1, попит −0,8 / −1,0 / −0,8 / −0,5</w:t>
            </w:r>
          </w:p>
        </w:tc>
        <w:tc>
          <w:tcPr>
            <w:tcW w:type="dxa" w:w="305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ІСЦ до 13,3%, ставка до 19,3%, ≈55 грн/€</w:t>
            </w:r>
          </w:p>
        </w:tc>
      </w:tr>
      <w:tr>
        <w:trPr>
          <w:cantSplit/>
          <w:tblHeader w:val="off"/>
        </w:trPr>
        <w:tc>
          <w:tcPr>
            <w:tcW w:type="dxa" w:w="11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Сприятливий</w:t>
            </w:r>
          </w:p>
        </w:tc>
        <w:tc>
          <w:tcPr>
            <w:tcW w:type="dxa" w:w="569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Премія −1,5 / −1,5 / −1,0, базова −1,0 / −0,7 / −0,5, попит +0,4 / +0,4 / +0,3</w:t>
            </w:r>
          </w:p>
        </w:tc>
        <w:tc>
          <w:tcPr>
            <w:tcW w:type="dxa" w:w="305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ІСЦ 5,9% у IV кв. 2027</w:t>
            </w:r>
          </w:p>
        </w:tc>
      </w:tr>
      <w:tr>
        <w:trPr>
          <w:cantSplit/>
          <w:tblHeader w:val="off"/>
        </w:trPr>
        <w:tc>
          <w:tcPr>
            <w:tcW w:type="dxa" w:w="1119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Нафта $120</w:t>
            </w:r>
          </w:p>
        </w:tc>
        <w:tc>
          <w:tcPr>
            <w:tcW w:type="dxa" w:w="569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Brent $120 до I кв. 2027, далі повернення до ф'ючерсів</w:t>
            </w:r>
          </w:p>
        </w:tc>
        <w:tc>
          <w:tcPr>
            <w:tcW w:type="dxa" w:w="3055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+0,4 в. п. до піку ІСЦ, ставка майже без змін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7. Аналіз політики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2"/>
        <w:gridCol w:w="4540"/>
        <w:gridCol w:w="4542"/>
      </w:tblGrid>
      <w:tr>
        <w:trPr>
          <w:cantSplit/>
          <w:tblHeader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Інструмент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Як зроблено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Варіанти рішення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16 / 16,5 / 17 / 17,5% до середини 2027, далі — повернення до цілі (у всіх — 5% у 2029)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Втрати (функція оптимізації, λ = 1): 113,3 / 110,8 / 109,6 / 109,6 — утримати 16% найгірше; між 16,5 і 17,5% різниця мала; найменші втрати серед утримань 16–19,5%: 16,5–18% залежно від λ → крок +1 в. п. — судження за ризиками курсу й очікувань</w:t>
            </w:r>
          </w:p>
        </w:tc>
      </w:tr>
      <w:tr>
        <w:trPr>
          <w:cantSplit/>
          <w:tblHeader w:val="off"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Оптимальна ставка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Лінійні найменші квадрати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qpm/optimal.py</w:t>
            </w:r>
            <w:r>
              <w:rPr>
                <w:sz w:val="17"/>
                <w:szCs w:val="17"/>
              </w:rPr>
              <w:t xml:space="preserve">), λ = 0,5 / 1 / 2; адмінціни з вагою 50%; чутливість: повна реакція / без реакції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17,1% (λ = 1; 16,5–17,8% залежно від λ); з повною реакцією 17,4%, без реакції 16,9% → рекомендуємо 17%</w:t>
            </w:r>
          </w:p>
        </w:tc>
      </w:tr>
      <w:tr>
        <w:trPr>
          <w:cantSplit/>
          <w:tblHeader w:val="off"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Віяло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2000 симуляцій, σ шоків — згладжені шоки 2023–2026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Інтервал 70% для ІСЦ у IV кв. 2027: 3,6–10,8%</w:t>
            </w:r>
          </w:p>
        </w:tc>
      </w:tr>
      <w:tr>
        <w:trPr>
          <w:cantSplit/>
          <w:tblHeader w:val="off"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Бектест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Прогноз із даними до II, III, IV кв. 2025, без суджень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Помилка ІСЦ на 4 кв. 0,8–1,0 в. п. (наївний: 1,3–6,1)</w:t>
            </w:r>
          </w:p>
        </w:tc>
      </w:tr>
      <w:tr>
        <w:trPr>
          <w:cantSplit/>
          <w:tblHeader w:val="off"/>
        </w:trPr>
        <w:tc>
          <w:tcPr>
            <w:tcW w:type="dxa" w:w="78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Резерви</w:t>
            </w:r>
          </w:p>
        </w:tc>
        <w:tc>
          <w:tcPr>
            <w:tcW w:type="dxa" w:w="454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Баланс: резерви + надходження − продаж валюти НБУ; місяці — за імпортом наступного року, як у НБУ</w:t>
            </w:r>
          </w:p>
        </w:tc>
        <w:tc>
          <w:tcPr>
            <w:tcW w:type="dxa" w:w="454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Кінець 2026: $56 / 43 / 38 млрд = 5,0 / 3,8 / 3,4 міс. (НБУ, липень: $69,7 млрд — потрібно ≈$12,6 млрд надходжень щомісяця)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8. Перевірка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8"/>
        <w:gridCol w:w="7336"/>
      </w:tblGrid>
      <w:tr>
        <w:trPr>
          <w:cantSplit/>
          <w:tblHeader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Перевірка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Рівняння на розв'язку моделі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Нев'язка ~1e−13; умови Бланшара–Кана виконано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Модель із вагою нафти 0 = шаблон НБУ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Функції відгуку збігаються з опублікованими MATLAB-значеннями (тест)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Фільтр відтворює дані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Розбіжність &lt; 1e−5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MATLAB R2026b + IRIS 20230622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Той самий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.model</w:t>
            </w:r>
            <w:r>
              <w:rPr>
                <w:sz w:val="17"/>
                <w:szCs w:val="17"/>
              </w:rPr>
              <w:t xml:space="preserve">, дані й плани: фільтр і 5 сценаріїв — розбіжність 1,4e−5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docs/matlab_check.md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Інше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Нафтовий шок без хибного відскоку; шоки сценаріїв додаються; прогноз приземляється на 5%; цифри слайда «Головне» = результати моделі</w:t>
            </w:r>
          </w:p>
        </w:tc>
      </w:tr>
      <w:tr>
        <w:trPr>
          <w:cantSplit/>
          <w:tblHeader w:val="off"/>
        </w:trPr>
        <w:tc>
          <w:tcPr>
            <w:tcW w:type="dxa" w:w="252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Разом</w:t>
            </w:r>
          </w:p>
        </w:tc>
        <w:tc>
          <w:tcPr>
            <w:tcW w:type="dxa" w:w="7336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14 тестів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-m pytest -q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9. Код і збірка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build.py</w:t>
      </w:r>
      <w:r>
        <w:rPr>
          <w:sz w:val="20"/>
          <w:szCs w:val="20"/>
        </w:rPr>
        <w:t xml:space="preserve"> виконує 12 кроків: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Дані (</w:t>
      </w:r>
      <w:r>
        <w:rPr>
          <w:rFonts w:ascii="Consolas" w:cs="Consolas" w:eastAsia="Consolas" w:hAnsi="Consolas"/>
          <w:sz w:val="18"/>
          <w:szCs w:val="18"/>
        </w:rPr>
        <w:t xml:space="preserve">--fetch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Огляд.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Прогноз.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Функції відгуку.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Експорт для MATLAB.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MATLAB.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Звірка.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Документи.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Зміст презентації.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pptx.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PDF.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Тести.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81"/>
        <w:gridCol w:w="6283"/>
      </w:tblGrid>
      <w:tr>
        <w:trPr>
          <w:cantSplit/>
          <w:tblHeader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Що робить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qpm/model.py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Парсер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.model</w:t>
            </w:r>
            <w:r>
              <w:rPr>
                <w:sz w:val="17"/>
                <w:szCs w:val="17"/>
              </w:rPr>
              <w:t xml:space="preserve">, розв'язок Сімса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qpm/kalman.py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Фільтр і згладжувач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qpm/simulate.py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План (exogenize / endogenize, шоки), прогноз, функції відгуку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qpm/pipeline.py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Підготовка даних, базовий план, траєкторія ставки, сценарії, таблиці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qpm/optimal.py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Оптимальна траєкторія ставки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qpm/nowcast.py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Короткостроковий прогноз ІСЦ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qpm/uncertainty.py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Віяла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qpm/backtest.py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Бектест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qpm/reserves.py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Резерви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qpm/fetch.py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qpm/nbu_files.py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qpm/overview.py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Завантаження даних</w:t>
            </w:r>
          </w:p>
        </w:tc>
      </w:tr>
      <w:tr>
        <w:trPr>
          <w:cantSplit/>
          <w:tblHeader w:val="off"/>
        </w:trPr>
        <w:tc>
          <w:tcPr>
            <w:tcW w:type="dxa" w:w="3581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matlab/</w:t>
            </w:r>
          </w:p>
        </w:tc>
        <w:tc>
          <w:tcPr>
            <w:tcW w:type="dxa" w:w="6283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export_inputs.py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run_check.m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compare_with_matlab.py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10. Що виправляли по ходу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Проблема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0E3B4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Рішення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API НБУ віддає ІСЦ із датою звітності (наступний місяць)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Зсув дат; серпневу інфляцію перевірено (8,1%)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Неповні квартали спотворювали середні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Квартал — лише з 3 місяців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Eurostat змінив ряд HICP (EA21, 2025=100)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Прив'язка до шаблонного ряду через річні темпи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Нафта в кривій Філіпса давала хибне падіння інфляції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Модель v2: базова / небазова інфляція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Шоки сценаріїв заміняли базові судження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Тепер додаються (тест)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Без адмінцін загальна інфляція 2027–28 була нижча за базову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Судження «адмінціни та акцизи» (+1,7 в. п./рік, як у НБУ)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Ціль НБУ — точкова, горизонт до 3 років; за правилом інфляція 2029 лише 4,4%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Прогноз до 2029, траєкторія ставки повернення до 5%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 слайдах «послаблення ≈4%», а модель дає ≈1%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Формулювання: «допускати до 4% на рік; фактичне ≈1% за рекомендованої ставки (17%)»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Розрив у графіку зарплат (немає даних Держстату за 04–12.2024)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Оцінка НБУ пунктиром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У базовому ІСЦ після сезонного згладжування лишався провал у II кварталі (робастний STL), шоки базової й небазової інфляції ±7 в. п.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Не робастний STL: σ шоків ≈3,8 → ≈2,1, віяло реалістичніше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Вересневий ІСЦ 10,0% (+2,1% м/м) значно вище прогнозу; оптимум моделі зріс до ≈16,9%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Рекомендацію змінено з 16,5% на 17% (+1 в. п.); варіанти рішення — 16 / 16,5 / 17 / 17,5%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Модельні темпи (100·ln-різниці) показувалися як % р/р: IV кв. 2026 — 10,4% при середньому місячних 11,0%; порівняння з груднем НБУ було некоректним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Звіти у звичайних % р/р, ціль у моделі = 100·ln 1,05; тест звіряє квартальну інфляцію моделі з даними Держстату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Таблиця варіантів рахувала втрати без вартості змін ставки — виходило, що вища ставка завжди краща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Та сама функція втрат, що й в оптимізації; крок обґрунтовуємо ризиками, бо між 16,5 і 17,5% різниця мала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Рецензія: принцип «не реагувати на перший раунд адмінцін» застосовано непослідовно (рішення — без реакції, траєкторія — з повною), через це інфляція 2028 падала до ≈4%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Один принцип — часткова реакція (50%) для рішення й траєкторії; приземлення у 2029 — за фактичною інфляцією. 2028: ≈4,5–5%, базова ≈3,3%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Рецензія: «гнучкий курс збереже ≈$5 млрд/міс» — некоректно: продаж валюти НБУ здебільшого доносить допомогу (у вересні уряд конвертував $3,81 млрд USL)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Рекомендація: не заморожувати курс (≈44,7 грн/$ з червня); резерви захищає ритм допомоги й пауза в лібералізації. Додано ризик ринкового послаблення (≈5%/рік → ІСЦ IV кв. 2027 ≈10,5%)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Рецензія: реальна ставка «≈6%» — лише ex post; слабка трансмісія; зарплати «+25%» — лише червень; умова «резерви &lt; $43 млрд»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Реальна ставка трьома методами (6–8%); обмеження обсягів тендерів ДС — у рекомендації; зарплати +21–25% за січень–червень; умова — тиск на курс, що загрожує очікуванням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Рецензія 2: базова інфляція IV кв. занижена; ВВП III кв. — з однієї фрази КМП; знак бюджетного імпульсу; немає сценаріїв очікувань і ПДВ; 25 основних слайдів на 15 хв; курс у євро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Наукаст базового ІСЦ; ВВП III кв. за ІЕД/Мінекономіки з чутливістю; імпульс прибрано; додаткові ризики (курс, очікування, ПДВ — калібрування за НБУ); основна частина — 18 слайдів, решта в додатках; курс у грн/$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На слайдах «реальна ставка ≈7% — вище нейтральної», а після вересня модель дає ≈6,2% проти нейтральної ≈6,6%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Формулювання з моделі: зараз нижче нейтральної, за 17% зросте до ≈8,7% у II кв. 2027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Ф'ючерси Brent і реальна ставка на слайдах були вписані вручну й застаріли після оновлення даних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Беруться з даних автоматично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Не було платіжного балансу (окремий модуль настановчої сесії) і явної рамки «мета — інструменти — позиції КМП»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Два нові слайди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Місяці імпорту рахувалися за поточним імпортом, а НБУ — за імпортом наступного року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Перейшли на методику НБУ; на графік резервів додано прогноз НБУ</w:t>
            </w:r>
          </w:p>
        </w:tc>
      </w:tr>
      <w:tr>
        <w:trPr>
          <w:cantSplit/>
          <w:tblHeader w:val="off"/>
        </w:trPr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7"/>
                <w:szCs w:val="17"/>
              </w:rPr>
              <w:t xml:space="preserve">Курсові очікування ринку (≈47 грн/$) і дохідність ОВДП не згадувалися</w:t>
            </w:r>
          </w:p>
        </w:tc>
        <w:tc>
          <w:tcPr>
            <w:tcW w:type="dxa" w:w="4932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1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Додано на слайди й у Q&amp;A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Cambria" w:cs="Cambria" w:eastAsia="Cambria" w:hAnsi="Cambria"/>
          <w:b/>
          <w:bCs/>
          <w:color w:val="0E3B43"/>
          <w:sz w:val="28"/>
          <w:szCs w:val="28"/>
        </w:rPr>
        <w:t xml:space="preserve">11. Обмеження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Небазові ціни — один агрегат: тарифи, акцизи й продовольство входять через судження.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Немає бюджетного блоку та резервів у моделі: вони враховані через судження і окремий балансовий розрахунок.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Курс грн/$ і EUR/USD модель не пояснює; бектест курсу не кращий за наївний прогноз.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На 2029 р. зовнішні змінні — модельні.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Невизначеність воєнного часу дуже велика (широке віяло).</w:t>
      </w:r>
    </w:p>
    <w:sectPr>
      <w:footerReference w:type="default" r:id="rId6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6D"/>
        <w:sz w:val="16"/>
        <w:szCs w:val="16"/>
      </w:rPr>
      <w:t xml:space="preserve">NBU University Challenge 2026 · Обсяг роботи · </w:t>
    </w:r>
    <w:r>
      <w:rPr>
        <w:color w:val="5F6B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6D"/>
        <w:sz w:val="16"/>
        <w:szCs w:val="16"/>
      </w:rPr>
      <w:t xml:space="preserve"> / </w:t>
    </w:r>
    <w:r>
      <w:rPr>
        <w:color w:val="5F6B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26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mbria" w:cs="Cambria" w:eastAsia="Cambria" w:hAnsi="Cambria"/>
      <w:b/>
      <w:bCs/>
      <w:color w:val="0E3B43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87300" w:sz="6" w:space="2"/>
      </w:pBdr>
      <w:spacing w:after="100" w:before="280"/>
      <w:outlineLvl w:val="0"/>
    </w:pPr>
    <w:rPr>
      <w:rFonts w:ascii="Cambria" w:cs="Cambria" w:eastAsia="Cambria" w:hAnsi="Cambria"/>
      <w:b/>
      <w:bCs/>
      <w:color w:val="0E3B43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mbria" w:cs="Cambria" w:eastAsia="Cambria" w:hAnsi="Cambria"/>
      <w:b/>
      <w:bCs/>
      <w:color w:val="0E3B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idai2wpc1ltajo6ruk-ci" Type="http://schemas.openxmlformats.org/officeDocument/2006/relationships/hyperlink" Target="https://events.bank.gov.ua/uchallenge2026/files/nbu_challenge_model_2026.zip" TargetMode="External"/><Relationship Id="rIdinjelhqajbc9d3hftrwcs" Type="http://schemas.openxmlformats.org/officeDocument/2006/relationships/hyperlink" Target="https://events.bank.gov.ua/uchallenge2026/" TargetMode="External"/><Relationship Id="rIdzvw2jgfsajp0k7wqf12hz" Type="http://schemas.openxmlformats.org/officeDocument/2006/relationships/hyperlink" Target="https://bank.gov.ua/ua/open-data/api-dev" TargetMode="External"/><Relationship Id="rIdrq9ma5am1guqbuwj_mnva" Type="http://schemas.openxmlformats.org/officeDocument/2006/relationships/hyperlink" Target="https://bank.gov.ua/files/macro/CCPI_m.xlsx" TargetMode="External"/><Relationship Id="rId-i4f9azoz9xrijqjnxpvt" Type="http://schemas.openxmlformats.org/officeDocument/2006/relationships/hyperlink" Target="https://bank.gov.ua/ua/news/all/komentar-natsionalnogo-banku-schodo-zmini-realnogo-vvp-u-ii-kvartali-2026-roku" TargetMode="External"/><Relationship Id="rId6uryye4ps4hs8op5cqofd" Type="http://schemas.openxmlformats.org/officeDocument/2006/relationships/hyperlink" Target="https://ec.europa.eu/eurostat/databrowser/view/prc_hicp_minr/default/table" TargetMode="External"/><Relationship Id="rIdvse9tqkmaa-sf8iwell9l" Type="http://schemas.openxmlformats.org/officeDocument/2006/relationships/hyperlink" Target="https://www.ecb.europa.eu/press/projections/html/index.en.html" TargetMode="External"/><Relationship Id="rIdlkaw-rl1dic-ao3a5of1s" Type="http://schemas.openxmlformats.org/officeDocument/2006/relationships/hyperlink" Target="https://data.ecb.europa.eu/" TargetMode="External"/><Relationship Id="rIdl2pq8xt4ygkae1nf8g2v0" Type="http://schemas.openxmlformats.org/officeDocument/2006/relationships/hyperlink" Target="https://db.nomics.world/EIA/PET/RBRTE.M" TargetMode="External"/><Relationship Id="rIdivng8tmaknjqhdv9a5qml" Type="http://schemas.openxmlformats.org/officeDocument/2006/relationships/hyperlink" Target="https://finance.yahoo.com/quote/BZ%3DF/" TargetMode="External"/><Relationship Id="rIdlmpg7v1ifmnvziyiitlzp" Type="http://schemas.openxmlformats.org/officeDocument/2006/relationships/hyperlink" Target="https://bank.gov.ua/admin_uploads/article/Macroeconomic_Forecast_table_2026_07.xlsx?v=19" TargetMode="External"/><Relationship Id="rIdls319egmnnzrcluztpyf7" Type="http://schemas.openxmlformats.org/officeDocument/2006/relationships/hyperlink" Target="https://bank.gov.ua/ua/news/all/inflyatsiya-prishvidshitsya-u-drugomu-pivrichchi-ale-povernetsya-do-znijennya-nastupnogo-roku--inflyatsiyniy-zvit" TargetMode="External"/><Relationship Id="rIdu-lp9lobmrkyead-tjfbz" Type="http://schemas.openxmlformats.org/officeDocument/2006/relationships/hyperlink" Target="https://bank.gov.ua/admin_uploads/article/Tables_Charts_2026-Q3.xlsx?v=19" TargetMode="External"/><Relationship Id="rIdb8gmovsoqvx8dj7lcthtu" Type="http://schemas.openxmlformats.org/officeDocument/2006/relationships/hyperlink" Target="https://bank.gov.ua/admin_uploads/article/Macroeconomic_Forecast_table_2026_07.xlsx?v=19" TargetMode="External"/><Relationship Id="rIdlnolik1x9doccqub5luu7" Type="http://schemas.openxmlformats.org/officeDocument/2006/relationships/hyperlink" Target="https://bank.gov.ua/ua/news/all/komentar-natsionalnogo-banku-schodo-rivnya-inflyatsiyi-v-serpni-2026-roku" TargetMode="External"/><Relationship Id="rIdzmm8xvmtmir2h-nl4juhp" Type="http://schemas.openxmlformats.org/officeDocument/2006/relationships/hyperlink" Target="https://bank.gov.ua/ua/news/all/natsionalniy-bank-ukrayini-pidvischiv-oblikovu-stavku-do-16" TargetMode="External"/><Relationship Id="rIde1xeakol3eznqprso84h4" Type="http://schemas.openxmlformats.org/officeDocument/2006/relationships/hyperlink" Target="https://bank.gov.ua/ua/news/all/pidsumki-diskusiyi-chleniv-komitetu-z-monetarnoyi-politiki-natsionalnogo-banku-schodo-rivnya-oblikovoyi-stavki-16-veresnya-2026-roku" TargetMode="External"/><Relationship Id="rIdfvpr83imdk69fmfo2gkax" Type="http://schemas.openxmlformats.org/officeDocument/2006/relationships/hyperlink" Target="https://bank.gov.ua/admin_uploads/article/Strategy_for_easing_FX_restrictions_07-07-2023.pdf?v=19" TargetMode="External"/><Relationship Id="rId0ohf52qsxg-l570ejtx5y" Type="http://schemas.openxmlformats.org/officeDocument/2006/relationships/hyperlink" Target="https://bank.gov.ua/ua/news/all/nbu-vprovadjuye-paket-pomyakshennya-valyutnih-obmejen-z-osnovnim-fokusom-na-pidtrimtsi-naselennya" TargetMode="External"/><Relationship Id="rIdc3bdxnkkrz4gaz8e092i3" Type="http://schemas.openxmlformats.org/officeDocument/2006/relationships/hyperlink" Target="https://p4.bank.gov.ua/admin_uploads/article/MPG_2024-mt_eng.pdf" TargetMode="External"/><Relationship Id="rId1ld-8bmy3joakjq4rt4iy" Type="http://schemas.openxmlformats.org/officeDocument/2006/relationships/hyperlink" Target="https://bank.gov.ua/admin_uploads/article/Macroeconomic_Forecast_table_2026_07.xlsx?v=19" TargetMode="External"/><Relationship Id="rIddxrimldow15wh9ledcqdr" Type="http://schemas.openxmlformats.org/officeDocument/2006/relationships/hyperlink" Target="https://bank.gov.ua/admin_uploads/article/Tables_Charts_2026-Q3.xlsx?v=19" TargetMode="External"/><Relationship Id="rIdwf0_kcm6kpg4ldua7jhzj" Type="http://schemas.openxmlformats.org/officeDocument/2006/relationships/hyperlink" Target="https://minfin.com.ua/ua/2026/10/07/183076902/" TargetMode="External"/><Relationship Id="rIdjvlcwalxn97yewncbh7mf" Type="http://schemas.openxmlformats.org/officeDocument/2006/relationships/hyperlink" Target="https://bank.gov.ua/ua/news/all/nbu-informuye-pro-golovniy-printsip-viznachennya-obsyagiv-rozmischennya-trimisyachnih-depozitnih-sertifikativ" TargetMode="External"/><Relationship Id="rId8yjlkuezfra9n8qhkqjih" Type="http://schemas.openxmlformats.org/officeDocument/2006/relationships/hyperlink" Target="https://bank.gov.ua/ua/news/all/rada-mvf-shvalila-pershiy-pereglyad-programi-rozshirenogo-finansuvannya-ta-zatverdila-vidilennya-transhu-obsyagom-690-mln-dol-ssha" TargetMode="External"/><Relationship Id="rIdni7plcvecutzktetvn7v4" Type="http://schemas.openxmlformats.org/officeDocument/2006/relationships/hyperlink" Target="https://bank.gov.ua/files/macro/S_budget_m.xlsx" TargetMode="External"/><Relationship Id="rIdmn_6ycxmjcjkvia7ptt-3" Type="http://schemas.openxmlformats.org/officeDocument/2006/relationships/hyperlink" Target="https://bank.gov.ua/ua/news/all/pidsumki-diskusiyi-chleniv-komitetu-z-monetarnoyi-politiki-natsionalnogo-banku-schodo-rivnya-oblikovoyi-stavki-16-veresnya-2026-roku" TargetMode="External"/><Relationship Id="rId9k41nm5gtwajtxrigdsg1" Type="http://schemas.openxmlformats.org/officeDocument/2006/relationships/hyperlink" Target="https://bank.gov.ua/admin_uploads/article/Macroeconomic_Forecast_table_2026_07.xlsx?v=19" TargetMode="External"/><Relationship Id="rIds23hjgfh9gr4ivlnc-abb" Type="http://schemas.openxmlformats.org/officeDocument/2006/relationships/hyperlink" Target="https://bank.gov.ua/ua/news/all/natsionalniy-bank-ukrayini-pidvischiv-oblikovu-stavku-do-16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Обсяг роботи: дані, модель, прогноз, перевірка, презентація</dc:title>
  <dc:creator>NBU University Challenge 2026</dc:creator>
  <cp:lastModifiedBy>Un-named</cp:lastModifiedBy>
  <cp:revision>1</cp:revision>
  <dcterms:created xsi:type="dcterms:W3CDTF">2026-10-21T08:37:34.994Z</dcterms:created>
  <dcterms:modified xsi:type="dcterms:W3CDTF">2026-10-21T08:37:34.995Z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