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FDA274E" w:rsidP="1FDA274E" w:rsidRDefault="1FDA274E" w14:paraId="061336AC" w14:textId="61A41638">
      <w:pPr>
        <w:pStyle w:val="Kop1"/>
        <w:rPr>
          <w:sz w:val="40"/>
          <w:szCs w:val="40"/>
        </w:rPr>
      </w:pPr>
      <w:r w:rsidRPr="1FDA274E" w:rsidR="1FDA274E">
        <w:rPr>
          <w:sz w:val="36"/>
          <w:szCs w:val="36"/>
        </w:rPr>
        <w:t>Opdrachtformulering rapporteren jaar 1 voor CH/CT en BFV</w:t>
      </w:r>
    </w:p>
    <w:p w:rsidR="1FDA274E" w:rsidP="1FDA274E" w:rsidRDefault="1FDA274E" w14:paraId="0B89CE6A" w14:textId="74D7C75D">
      <w:pPr>
        <w:pStyle w:val="Standaard"/>
      </w:pPr>
      <w:r w:rsidRPr="1FDA274E" w:rsidR="1FDA274E">
        <w:rPr/>
        <w:t xml:space="preserve">Vakcode: </w:t>
      </w:r>
    </w:p>
    <w:p w:rsidR="007E6390" w:rsidP="1FDA274E" w:rsidRDefault="007E6390" w14:paraId="40D23AC4" w14:textId="04FADA8F">
      <w:pPr>
        <w:pStyle w:val="Kop1"/>
      </w:pPr>
      <w:r w:rsidRPr="1FDA274E" w:rsidR="1FDA274E">
        <w:rPr/>
        <w:t xml:space="preserve">Opdrachtformulering rapporteren eerstejaars </w:t>
      </w:r>
    </w:p>
    <w:p w:rsidRPr="005C446D" w:rsidR="007E6390" w:rsidP="007E6390" w:rsidRDefault="007E6390" w14:paraId="5C254A97" w14:textId="77777777">
      <w:pPr>
        <w:pStyle w:val="Kop2"/>
      </w:pPr>
      <w:r w:rsidRPr="005C446D">
        <w:t>Inhoud</w:t>
      </w:r>
    </w:p>
    <w:p w:rsidR="007E6390" w:rsidP="007E6390" w:rsidRDefault="007E6390" w14:paraId="1DAB7772" w14:textId="77777777">
      <w:r>
        <w:t xml:space="preserve">Voor het </w:t>
      </w:r>
      <w:proofErr w:type="spellStart"/>
      <w:r>
        <w:t>eerstejaarsvak</w:t>
      </w:r>
      <w:proofErr w:type="spellEnd"/>
      <w:r>
        <w:t xml:space="preserve"> rapporteren schrijf je een rapport. </w:t>
      </w:r>
      <w:bookmarkStart w:name="_GoBack" w:id="0"/>
      <w:bookmarkEnd w:id="0"/>
    </w:p>
    <w:p w:rsidR="00575BDE" w:rsidP="1FDA274E" w:rsidRDefault="00575BDE" w14:paraId="3DC1B9EE" w14:textId="4E759E83">
      <w:pPr>
        <w:rPr>
          <w:i w:val="1"/>
          <w:iCs w:val="1"/>
        </w:rPr>
      </w:pPr>
      <w:r w:rsidR="1FDA274E">
        <w:rPr/>
        <w:t xml:space="preserve">Het rapport beschrijft de theorie en uitvoering van een vooraf vastgelegd practicum dat je volgt binnen je opleiding. Het rapport wordt opgesteld volgens de in de opleiding voorgeschreven structuur die in een template is weergegeven. Het rapport voldoet aan de in het beoordelingsformulier geformuleerde criteria op vlak van inhoud, structuur, taal en bronvermelding. De criteria worden in de lessen rapporteren toegelicht. De criteria staan op Blackboard &gt; Communicatie &gt; Rapporteren eerstejaars &gt; </w:t>
      </w:r>
      <w:r w:rsidRPr="1FDA274E" w:rsidR="1FDA274E">
        <w:rPr>
          <w:i w:val="1"/>
          <w:iCs w:val="1"/>
        </w:rPr>
        <w:t>Mapje met naam van je docent.</w:t>
      </w:r>
    </w:p>
    <w:p w:rsidR="00575BDE" w:rsidP="00575BDE" w:rsidRDefault="00575BDE" w14:paraId="38AC3465" w14:textId="621E082F">
      <w:pPr>
        <w:pStyle w:val="Kop2"/>
      </w:pPr>
      <w:r>
        <w:t>Leerdoelen</w:t>
      </w:r>
    </w:p>
    <w:p w:rsidRPr="00575BDE" w:rsidR="00000000" w:rsidP="00575BDE" w:rsidRDefault="0048102D" w14:paraId="51DD7F35" w14:textId="77777777">
      <w:pPr>
        <w:pStyle w:val="Lijstalinea"/>
        <w:numPr>
          <w:ilvl w:val="0"/>
          <w:numId w:val="2"/>
        </w:numPr>
      </w:pPr>
      <w:r w:rsidRPr="00575BDE">
        <w:t>De student formuleert onderzoeksresultaten doeltreffend.   </w:t>
      </w:r>
    </w:p>
    <w:p w:rsidRPr="00575BDE" w:rsidR="00000000" w:rsidP="00575BDE" w:rsidRDefault="0048102D" w14:paraId="396606E5" w14:textId="77777777">
      <w:pPr>
        <w:pStyle w:val="Lijstalinea"/>
        <w:numPr>
          <w:ilvl w:val="0"/>
          <w:numId w:val="2"/>
        </w:numPr>
      </w:pPr>
      <w:r w:rsidRPr="00575BDE">
        <w:t>De student formuleert onderzoeksresultaten aantrekkelijk.   </w:t>
      </w:r>
    </w:p>
    <w:p w:rsidRPr="00575BDE" w:rsidR="00000000" w:rsidP="00575BDE" w:rsidRDefault="0048102D" w14:paraId="1A235596" w14:textId="77777777">
      <w:pPr>
        <w:pStyle w:val="Lijstalinea"/>
        <w:numPr>
          <w:ilvl w:val="0"/>
          <w:numId w:val="2"/>
        </w:numPr>
      </w:pPr>
      <w:r w:rsidRPr="00575BDE">
        <w:t>De student formuleert onderzoeksresultaten in correct Nederl</w:t>
      </w:r>
      <w:r w:rsidRPr="00575BDE">
        <w:t>ands.   </w:t>
      </w:r>
    </w:p>
    <w:p w:rsidRPr="00575BDE" w:rsidR="00000000" w:rsidP="00575BDE" w:rsidRDefault="0048102D" w14:paraId="58971F87" w14:textId="77777777">
      <w:pPr>
        <w:pStyle w:val="Lijstalinea"/>
        <w:numPr>
          <w:ilvl w:val="0"/>
          <w:numId w:val="2"/>
        </w:numPr>
      </w:pPr>
      <w:r w:rsidRPr="00575BDE">
        <w:t xml:space="preserve">De student maakt een onderzoeksverslag via een </w:t>
      </w:r>
      <w:proofErr w:type="spellStart"/>
      <w:r w:rsidRPr="00575BDE">
        <w:t>voorgestructureerde</w:t>
      </w:r>
      <w:proofErr w:type="spellEnd"/>
      <w:r w:rsidRPr="00575BDE">
        <w:t xml:space="preserve"> methode met vaste hoofdstukken en bijhorende criteria. (=template)</w:t>
      </w:r>
    </w:p>
    <w:p w:rsidRPr="00575BDE" w:rsidR="00000000" w:rsidP="00575BDE" w:rsidRDefault="0048102D" w14:paraId="38A1552F" w14:textId="77777777">
      <w:pPr>
        <w:pStyle w:val="Lijstalinea"/>
        <w:numPr>
          <w:ilvl w:val="0"/>
          <w:numId w:val="2"/>
        </w:numPr>
      </w:pPr>
      <w:r w:rsidRPr="00575BDE">
        <w:t>De student toont de bereidheid zijn schrijfvaardigheid te ontwikkelen.</w:t>
      </w:r>
    </w:p>
    <w:p w:rsidRPr="00575BDE" w:rsidR="00000000" w:rsidP="00575BDE" w:rsidRDefault="0048102D" w14:paraId="204DCF6E" w14:textId="77777777">
      <w:pPr>
        <w:pStyle w:val="Lijstalinea"/>
        <w:numPr>
          <w:ilvl w:val="0"/>
          <w:numId w:val="2"/>
        </w:numPr>
      </w:pPr>
      <w:r w:rsidRPr="00575BDE">
        <w:t>De student werkt samen met anderen om zijn onderzoeksverslag te maken.  </w:t>
      </w:r>
    </w:p>
    <w:p w:rsidRPr="00575BDE" w:rsidR="00000000" w:rsidP="00575BDE" w:rsidRDefault="0048102D" w14:paraId="641B8341" w14:textId="77777777">
      <w:pPr>
        <w:pStyle w:val="Lijstalinea"/>
        <w:numPr>
          <w:ilvl w:val="0"/>
          <w:numId w:val="2"/>
        </w:numPr>
      </w:pPr>
      <w:r w:rsidRPr="00575BDE">
        <w:t xml:space="preserve">De student hanteert schriftelijk taalgebruik passend bij de doelgroep van </w:t>
      </w:r>
      <w:proofErr w:type="spellStart"/>
      <w:r w:rsidRPr="00575BDE">
        <w:t>vakexperten</w:t>
      </w:r>
      <w:proofErr w:type="spellEnd"/>
      <w:r w:rsidRPr="00575BDE">
        <w:t xml:space="preserve"> en medestudenten.   </w:t>
      </w:r>
    </w:p>
    <w:p w:rsidR="007E6390" w:rsidP="007E6390" w:rsidRDefault="007E6390" w14:paraId="0FCF699A" w14:noSpellErr="1" w14:textId="30FFB04E">
      <w:pPr>
        <w:pStyle w:val="Kop2"/>
      </w:pPr>
    </w:p>
    <w:p w:rsidRPr="005C446D" w:rsidR="007E6390" w:rsidP="007E6390" w:rsidRDefault="007E6390" w14:paraId="2312F377" w14:textId="77777777">
      <w:pPr>
        <w:pStyle w:val="Kop2"/>
      </w:pPr>
      <w:r w:rsidRPr="005C446D">
        <w:t>Procedure</w:t>
      </w:r>
    </w:p>
    <w:p w:rsidRPr="009A098A" w:rsidR="007E6390" w:rsidP="1FDA274E" w:rsidRDefault="007E6390" w14:paraId="49934387" w14:textId="78997D12">
      <w:pPr>
        <w:rPr>
          <w:i w:val="1"/>
          <w:iCs w:val="1"/>
        </w:rPr>
      </w:pPr>
      <w:r w:rsidR="1FDA274E">
        <w:rPr/>
        <w:t xml:space="preserve">Tijdens de werkcolleges van het vak rapporteren schrijf je aan je verslag en krijg je feedback van je docent. </w:t>
      </w:r>
      <w:r w:rsidR="1FDA274E">
        <w:rPr/>
        <w:t xml:space="preserve">Daarnaast wordt er ook gebruikgemaakt van de MOOC Beter schrijven in het hoger onderwijs. Die is te vinden via moocbeterschrijven.nl; je logt gratis in op de MOOC en maakt de door de docent aangegeven opdrachten. De opdrachten bespreek je, breng je mee, lever je … zoals gevraagd door de docent. </w:t>
      </w:r>
    </w:p>
    <w:p w:rsidRPr="009A098A" w:rsidR="007E6390" w:rsidP="1FDA274E" w:rsidRDefault="007E6390" w14:paraId="2912F0C0" w14:textId="1CED1D4E">
      <w:pPr>
        <w:rPr>
          <w:i w:val="1"/>
          <w:iCs w:val="1"/>
        </w:rPr>
      </w:pPr>
      <w:r w:rsidR="1FDA274E">
        <w:rPr/>
        <w:t xml:space="preserve">Het afgewerkte verslag lever je digitaal én op papier in. </w:t>
      </w:r>
      <w:r w:rsidRPr="1FDA274E" w:rsidR="1FDA274E">
        <w:rPr>
          <w:b w:val="1"/>
          <w:bCs w:val="1"/>
        </w:rPr>
        <w:t>Digitaal</w:t>
      </w:r>
      <w:r w:rsidR="1FDA274E">
        <w:rPr/>
        <w:t xml:space="preserve"> inleveren gaat via de plagiaatscanner op Blackboard. Het </w:t>
      </w:r>
      <w:r w:rsidRPr="1FDA274E" w:rsidR="1FDA274E">
        <w:rPr>
          <w:b w:val="1"/>
          <w:bCs w:val="1"/>
        </w:rPr>
        <w:t>papieren</w:t>
      </w:r>
      <w:r w:rsidR="1FDA274E">
        <w:rPr/>
        <w:t xml:space="preserve"> exemplaar post je in het </w:t>
      </w:r>
      <w:r w:rsidRPr="1FDA274E" w:rsidR="1FDA274E">
        <w:rPr>
          <w:i w:val="1"/>
          <w:iCs w:val="1"/>
        </w:rPr>
        <w:t xml:space="preserve">postvak in </w:t>
      </w:r>
      <w:r w:rsidR="1FDA274E">
        <w:rPr/>
        <w:t>van je docent in de docentenruimte.</w:t>
      </w:r>
      <w:r w:rsidR="1FDA274E">
        <w:rPr/>
        <w:t xml:space="preserve"> </w:t>
      </w:r>
      <w:r w:rsidR="1FDA274E">
        <w:rPr/>
        <w:t xml:space="preserve">De deadline voor het inleveren van het verslag wordt in de eerste les van het vak rapporteren meegedeeld. De PPT staat op Blackboard &gt; Communicatie </w:t>
      </w:r>
      <w:r w:rsidR="1FDA274E">
        <w:rPr/>
        <w:t xml:space="preserve">CH/CT en BFV </w:t>
      </w:r>
      <w:r w:rsidR="1FDA274E">
        <w:rPr/>
        <w:t>&gt; Rapporteren eerstejaars</w:t>
      </w:r>
      <w:r w:rsidR="1FDA274E">
        <w:rPr/>
        <w:t xml:space="preserve">. </w:t>
      </w:r>
    </w:p>
    <w:p w:rsidR="007E6390" w:rsidP="007E6390" w:rsidRDefault="007E6390" w14:paraId="56AACB64" w14:textId="77777777">
      <w:pPr>
        <w:pStyle w:val="Kop2"/>
        <w:rPr>
          <w:b/>
        </w:rPr>
      </w:pPr>
    </w:p>
    <w:p w:rsidR="007E6390" w:rsidP="007E6390" w:rsidRDefault="007E6390" w14:paraId="7149ACC4" w14:textId="77777777">
      <w:pPr>
        <w:pStyle w:val="Kop2"/>
      </w:pPr>
      <w:r w:rsidRPr="005C446D">
        <w:t>Feedback</w:t>
      </w:r>
      <w:r>
        <w:t xml:space="preserve"> en herkansing</w:t>
      </w:r>
    </w:p>
    <w:p w:rsidR="007E6390" w:rsidP="007E6390" w:rsidRDefault="007E6390" w14:paraId="3275DB8E" w14:textId="77777777">
      <w:pPr>
        <w:pStyle w:val="Geenafstand"/>
      </w:pPr>
      <w:r w:rsidR="1FDA274E">
        <w:rPr/>
        <w:t xml:space="preserve">In overleg met je docent wordt voor een van de onderstaande routes gekozen. </w:t>
      </w:r>
    </w:p>
    <w:p w:rsidR="1FDA274E" w:rsidP="1FDA274E" w:rsidRDefault="1FDA274E" w14:paraId="74146EBD" w14:textId="09FF4C15">
      <w:pPr>
        <w:pStyle w:val="Standaard"/>
        <w:rPr>
          <w:u w:val="single"/>
        </w:rPr>
      </w:pPr>
    </w:p>
    <w:p w:rsidR="007E6390" w:rsidP="1FDA274E" w:rsidRDefault="007E6390" w14:paraId="0E814D2F" w14:textId="25285FB0">
      <w:pPr>
        <w:pStyle w:val="Standaard"/>
        <w:rPr>
          <w:u w:val="single"/>
        </w:rPr>
      </w:pPr>
      <w:r w:rsidRPr="1FDA274E" w:rsidR="1FDA274E">
        <w:rPr>
          <w:u w:val="single"/>
        </w:rPr>
        <w:t>Route 1:</w:t>
      </w:r>
      <w:r w:rsidR="1FDA274E">
        <w:rPr/>
        <w:t xml:space="preserve"> Je krijgt digitaal bericht van je docent als die het verslag heeft nagekeken. Vervolgens kan je het verslag ophalen in het</w:t>
      </w:r>
      <w:r w:rsidRPr="1FDA274E" w:rsidR="1FDA274E">
        <w:rPr>
          <w:i w:val="1"/>
          <w:iCs w:val="1"/>
        </w:rPr>
        <w:t xml:space="preserve"> postvak uit</w:t>
      </w:r>
      <w:r w:rsidR="1FDA274E">
        <w:rPr/>
        <w:t xml:space="preserve"> van de docent in de docentenruimte. Indien je een onvoldoende hebt gehaald, kan je via een herkansing een voldoende halen. Daarvoor dien je de feedback van de docent te verwerken in een tweede versie van het verslag. Je herkansing lever je samen met je eerste versie én het beoordelingsformulier van je docent in. Dit doe je op een met de docent afgesproken datum. </w:t>
      </w:r>
    </w:p>
    <w:p w:rsidR="007E6390" w:rsidP="007E6390" w:rsidRDefault="007E6390" w14:paraId="2F61458C" w14:textId="0279D825">
      <w:r w:rsidRPr="1FDA274E" w:rsidR="1FDA274E">
        <w:rPr>
          <w:u w:val="single"/>
        </w:rPr>
        <w:t>Route 2:</w:t>
      </w:r>
      <w:r w:rsidR="1FDA274E">
        <w:rPr/>
        <w:t xml:space="preserve"> Je wordt op de hoogte gebracht van een klassikaal feedbackmoment. Tijdens dat moment krijg je de kans je verslag in te kijken en de feedback van je docent te lezen. De docent is aanwezig om vragen te beantwoorden. Indien je een onvoldoende hebt gehaald kan je via een herkansing een voldoende halen. Daarvoor dien je de feedback van de docent te verwerken in een tweede versie van het verslag. Je herkansing lever je samen met je eerste versie én het beoordelingsformulier van je docent in. Dit doe je op een met de docent afgesproken datum.</w:t>
      </w:r>
    </w:p>
    <w:p w:rsidR="007E6390" w:rsidP="007E6390" w:rsidRDefault="2D383D0D" w14:paraId="41B5D178" w14:textId="2B772CED">
      <w:pPr>
        <w:pStyle w:val="Kop2"/>
      </w:pPr>
      <w:r>
        <w:t>Beoordeling</w:t>
      </w:r>
    </w:p>
    <w:p w:rsidRPr="005C446D" w:rsidR="007E6390" w:rsidP="007E6390" w:rsidRDefault="007E6390" w14:paraId="7731B89D" w14:textId="77777777">
      <w:r>
        <w:t xml:space="preserve">Voor deze opdracht kan je een o of een v behalen. De score die je behaalt op je verslag is de score die je behaalt voor het vak rapporteren. </w:t>
      </w:r>
    </w:p>
    <w:p w:rsidR="00B84152" w:rsidRDefault="0048102D" w14:paraId="49845EF0" w14:textId="77777777"/>
    <w:sectPr w:rsidR="00B8415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12B45"/>
    <w:multiLevelType w:val="hybridMultilevel"/>
    <w:tmpl w:val="683A0B3E"/>
    <w:lvl w:ilvl="0" w:tplc="C0CCF4E8">
      <w:start w:val="1"/>
      <w:numFmt w:val="decimal"/>
      <w:lvlText w:val="%1."/>
      <w:lvlJc w:val="left"/>
      <w:pPr>
        <w:tabs>
          <w:tab w:val="num" w:pos="720"/>
        </w:tabs>
        <w:ind w:left="720" w:hanging="360"/>
      </w:pPr>
    </w:lvl>
    <w:lvl w:ilvl="1" w:tplc="F7BA537A" w:tentative="1">
      <w:start w:val="1"/>
      <w:numFmt w:val="decimal"/>
      <w:lvlText w:val="%2."/>
      <w:lvlJc w:val="left"/>
      <w:pPr>
        <w:tabs>
          <w:tab w:val="num" w:pos="1440"/>
        </w:tabs>
        <w:ind w:left="1440" w:hanging="360"/>
      </w:pPr>
    </w:lvl>
    <w:lvl w:ilvl="2" w:tplc="00924E9C" w:tentative="1">
      <w:start w:val="1"/>
      <w:numFmt w:val="decimal"/>
      <w:lvlText w:val="%3."/>
      <w:lvlJc w:val="left"/>
      <w:pPr>
        <w:tabs>
          <w:tab w:val="num" w:pos="2160"/>
        </w:tabs>
        <w:ind w:left="2160" w:hanging="360"/>
      </w:pPr>
    </w:lvl>
    <w:lvl w:ilvl="3" w:tplc="471EB100" w:tentative="1">
      <w:start w:val="1"/>
      <w:numFmt w:val="decimal"/>
      <w:lvlText w:val="%4."/>
      <w:lvlJc w:val="left"/>
      <w:pPr>
        <w:tabs>
          <w:tab w:val="num" w:pos="2880"/>
        </w:tabs>
        <w:ind w:left="2880" w:hanging="360"/>
      </w:pPr>
    </w:lvl>
    <w:lvl w:ilvl="4" w:tplc="C8ACEFC6" w:tentative="1">
      <w:start w:val="1"/>
      <w:numFmt w:val="decimal"/>
      <w:lvlText w:val="%5."/>
      <w:lvlJc w:val="left"/>
      <w:pPr>
        <w:tabs>
          <w:tab w:val="num" w:pos="3600"/>
        </w:tabs>
        <w:ind w:left="3600" w:hanging="360"/>
      </w:pPr>
    </w:lvl>
    <w:lvl w:ilvl="5" w:tplc="22FA1CD6" w:tentative="1">
      <w:start w:val="1"/>
      <w:numFmt w:val="decimal"/>
      <w:lvlText w:val="%6."/>
      <w:lvlJc w:val="left"/>
      <w:pPr>
        <w:tabs>
          <w:tab w:val="num" w:pos="4320"/>
        </w:tabs>
        <w:ind w:left="4320" w:hanging="360"/>
      </w:pPr>
    </w:lvl>
    <w:lvl w:ilvl="6" w:tplc="9572C7CE" w:tentative="1">
      <w:start w:val="1"/>
      <w:numFmt w:val="decimal"/>
      <w:lvlText w:val="%7."/>
      <w:lvlJc w:val="left"/>
      <w:pPr>
        <w:tabs>
          <w:tab w:val="num" w:pos="5040"/>
        </w:tabs>
        <w:ind w:left="5040" w:hanging="360"/>
      </w:pPr>
    </w:lvl>
    <w:lvl w:ilvl="7" w:tplc="CD82952A" w:tentative="1">
      <w:start w:val="1"/>
      <w:numFmt w:val="decimal"/>
      <w:lvlText w:val="%8."/>
      <w:lvlJc w:val="left"/>
      <w:pPr>
        <w:tabs>
          <w:tab w:val="num" w:pos="5760"/>
        </w:tabs>
        <w:ind w:left="5760" w:hanging="360"/>
      </w:pPr>
    </w:lvl>
    <w:lvl w:ilvl="8" w:tplc="024457FE" w:tentative="1">
      <w:start w:val="1"/>
      <w:numFmt w:val="decimal"/>
      <w:lvlText w:val="%9."/>
      <w:lvlJc w:val="left"/>
      <w:pPr>
        <w:tabs>
          <w:tab w:val="num" w:pos="6480"/>
        </w:tabs>
        <w:ind w:left="6480" w:hanging="360"/>
      </w:pPr>
    </w:lvl>
  </w:abstractNum>
  <w:abstractNum w:abstractNumId="1" w15:restartNumberingAfterBreak="0">
    <w:nsid w:val="5DD16E3D"/>
    <w:multiLevelType w:val="hybridMultilevel"/>
    <w:tmpl w:val="EAA415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90"/>
    <w:rsid w:val="00307F53"/>
    <w:rsid w:val="00336658"/>
    <w:rsid w:val="0048102D"/>
    <w:rsid w:val="00575BDE"/>
    <w:rsid w:val="007E6390"/>
    <w:rsid w:val="00870F6F"/>
    <w:rsid w:val="1FDA274E"/>
    <w:rsid w:val="2D383D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3AC3"/>
  <w15:chartTrackingRefBased/>
  <w15:docId w15:val="{BFFC9F84-7147-4AD7-A34F-942E6FB0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7E6390"/>
  </w:style>
  <w:style w:type="paragraph" w:styleId="Kop1">
    <w:name w:val="heading 1"/>
    <w:basedOn w:val="Standaard"/>
    <w:next w:val="Standaard"/>
    <w:link w:val="Kop1Char"/>
    <w:uiPriority w:val="9"/>
    <w:qFormat/>
    <w:rsid w:val="007E639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639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7E6390"/>
    <w:rPr>
      <w:rFonts w:asciiTheme="majorHAnsi" w:hAnsiTheme="majorHAnsi" w:eastAsiaTheme="majorEastAsia" w:cstheme="majorBidi"/>
      <w:color w:val="2E74B5" w:themeColor="accent1" w:themeShade="BF"/>
      <w:sz w:val="32"/>
      <w:szCs w:val="32"/>
    </w:rPr>
  </w:style>
  <w:style w:type="character" w:styleId="Kop2Char" w:customStyle="1">
    <w:name w:val="Kop 2 Char"/>
    <w:basedOn w:val="Standaardalinea-lettertype"/>
    <w:link w:val="Kop2"/>
    <w:uiPriority w:val="9"/>
    <w:rsid w:val="007E6390"/>
    <w:rPr>
      <w:rFonts w:asciiTheme="majorHAnsi" w:hAnsiTheme="majorHAnsi" w:eastAsiaTheme="majorEastAsia" w:cstheme="majorBidi"/>
      <w:color w:val="2E74B5" w:themeColor="accent1" w:themeShade="BF"/>
      <w:sz w:val="26"/>
      <w:szCs w:val="26"/>
    </w:rPr>
  </w:style>
  <w:style w:type="paragraph" w:styleId="Geenafstand">
    <w:name w:val="No Spacing"/>
    <w:uiPriority w:val="1"/>
    <w:qFormat/>
    <w:rsid w:val="007E6390"/>
    <w:pPr>
      <w:spacing w:after="0" w:line="240" w:lineRule="auto"/>
    </w:pPr>
  </w:style>
  <w:style w:type="paragraph" w:styleId="Lijstalinea">
    <w:name w:val="List Paragraph"/>
    <w:basedOn w:val="Standaard"/>
    <w:uiPriority w:val="34"/>
    <w:qFormat/>
    <w:rsid w:val="0057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859661">
      <w:bodyDiv w:val="1"/>
      <w:marLeft w:val="0"/>
      <w:marRight w:val="0"/>
      <w:marTop w:val="0"/>
      <w:marBottom w:val="0"/>
      <w:divBdr>
        <w:top w:val="none" w:sz="0" w:space="0" w:color="auto"/>
        <w:left w:val="none" w:sz="0" w:space="0" w:color="auto"/>
        <w:bottom w:val="none" w:sz="0" w:space="0" w:color="auto"/>
        <w:right w:val="none" w:sz="0" w:space="0" w:color="auto"/>
      </w:divBdr>
      <w:divsChild>
        <w:div w:id="1330601569">
          <w:marLeft w:val="806"/>
          <w:marRight w:val="0"/>
          <w:marTop w:val="140"/>
          <w:marBottom w:val="0"/>
          <w:divBdr>
            <w:top w:val="none" w:sz="0" w:space="0" w:color="auto"/>
            <w:left w:val="none" w:sz="0" w:space="0" w:color="auto"/>
            <w:bottom w:val="none" w:sz="0" w:space="0" w:color="auto"/>
            <w:right w:val="none" w:sz="0" w:space="0" w:color="auto"/>
          </w:divBdr>
        </w:div>
        <w:div w:id="249000423">
          <w:marLeft w:val="806"/>
          <w:marRight w:val="0"/>
          <w:marTop w:val="140"/>
          <w:marBottom w:val="0"/>
          <w:divBdr>
            <w:top w:val="none" w:sz="0" w:space="0" w:color="auto"/>
            <w:left w:val="none" w:sz="0" w:space="0" w:color="auto"/>
            <w:bottom w:val="none" w:sz="0" w:space="0" w:color="auto"/>
            <w:right w:val="none" w:sz="0" w:space="0" w:color="auto"/>
          </w:divBdr>
        </w:div>
        <w:div w:id="1172529933">
          <w:marLeft w:val="806"/>
          <w:marRight w:val="0"/>
          <w:marTop w:val="140"/>
          <w:marBottom w:val="0"/>
          <w:divBdr>
            <w:top w:val="none" w:sz="0" w:space="0" w:color="auto"/>
            <w:left w:val="none" w:sz="0" w:space="0" w:color="auto"/>
            <w:bottom w:val="none" w:sz="0" w:space="0" w:color="auto"/>
            <w:right w:val="none" w:sz="0" w:space="0" w:color="auto"/>
          </w:divBdr>
        </w:div>
        <w:div w:id="394864370">
          <w:marLeft w:val="806"/>
          <w:marRight w:val="0"/>
          <w:marTop w:val="140"/>
          <w:marBottom w:val="0"/>
          <w:divBdr>
            <w:top w:val="none" w:sz="0" w:space="0" w:color="auto"/>
            <w:left w:val="none" w:sz="0" w:space="0" w:color="auto"/>
            <w:bottom w:val="none" w:sz="0" w:space="0" w:color="auto"/>
            <w:right w:val="none" w:sz="0" w:space="0" w:color="auto"/>
          </w:divBdr>
        </w:div>
        <w:div w:id="429355325">
          <w:marLeft w:val="806"/>
          <w:marRight w:val="0"/>
          <w:marTop w:val="140"/>
          <w:marBottom w:val="0"/>
          <w:divBdr>
            <w:top w:val="none" w:sz="0" w:space="0" w:color="auto"/>
            <w:left w:val="none" w:sz="0" w:space="0" w:color="auto"/>
            <w:bottom w:val="none" w:sz="0" w:space="0" w:color="auto"/>
            <w:right w:val="none" w:sz="0" w:space="0" w:color="auto"/>
          </w:divBdr>
        </w:div>
        <w:div w:id="370806793">
          <w:marLeft w:val="806"/>
          <w:marRight w:val="0"/>
          <w:marTop w:val="140"/>
          <w:marBottom w:val="0"/>
          <w:divBdr>
            <w:top w:val="none" w:sz="0" w:space="0" w:color="auto"/>
            <w:left w:val="none" w:sz="0" w:space="0" w:color="auto"/>
            <w:bottom w:val="none" w:sz="0" w:space="0" w:color="auto"/>
            <w:right w:val="none" w:sz="0" w:space="0" w:color="auto"/>
          </w:divBdr>
        </w:div>
        <w:div w:id="604845929">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5555DDE6.dotm</ap:Template>
  <ap:Application>Microsoft Office Word</ap:Application>
  <ap:DocSecurity>0</ap:DocSecurity>
  <ap:ScaleCrop>false</ap:ScaleCrop>
  <ap:Company>Hanzehogeschool Groningen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Borgonjon EASHL, Evelien</dc:creator>
  <keywords/>
  <dc:description/>
  <lastModifiedBy>Berg-Borgonjon EASHL van den, Evelien</lastModifiedBy>
  <revision>3</revision>
  <dcterms:created xsi:type="dcterms:W3CDTF">2018-10-04T12:00:00.0000000Z</dcterms:created>
  <dcterms:modified xsi:type="dcterms:W3CDTF">2019-11-06T14:48:28.6182898Z</dcterms:modified>
</coreProperties>
</file>