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Life-history-specific thresholds for the Fishing Mortality Index: validation on 209 stocks</w:t>
      </w:r>
    </w:p>
    <w:p>
      <w:pPr>
        <w:spacing w:before="240" w:after="120"/>
        <w:jc w:val="center"/>
      </w:pPr>
      <w:r>
        <w:rPr>
          <w:b/>
          <w:bCs/>
          <w:sz w:val="24"/>
          <w:szCs w:val="24"/>
        </w:rPr>
        <w:t xml:space="preserve">Kafkas M. Caprazli</w:t>
      </w:r>
    </w:p>
    <w:p>
      <w:pPr>
        <w:jc w:val="center"/>
      </w:pPr>
      <w:r>
        <w:rPr>
          <w:sz w:val="22"/>
          <w:szCs w:val="22"/>
        </w:rPr>
        <w:t xml:space="preserve">Independent Researcher</w:t>
      </w:r>
    </w:p>
    <w:p>
      <w:pPr>
        <w:jc w:val="center"/>
      </w:pPr>
      <w:r>
        <w:rPr>
          <w:sz w:val="22"/>
          <w:szCs w:val="22"/>
        </w:rPr>
        <w:t xml:space="preserve">Email: caprazli@gmail.com</w:t>
      </w:r>
    </w:p>
    <w:p>
      <w:pPr>
        <w:spacing w:after="360"/>
        <w:jc w:val="center"/>
      </w:pPr>
      <w:r>
        <w:rPr>
          <w:sz w:val="22"/>
          <w:szCs w:val="22"/>
        </w:rPr>
        <w:t xml:space="preserve">ORCID: 0000-0002-5744-8944</w:t>
      </w:r>
    </w:p>
    <w:p>
      <w:pPr>
        <w:pStyle w:val="Heading1"/>
      </w:pPr>
      <w:r>
        <w:t xml:space="preserve">Abstract</w:t>
      </w:r>
    </w:p>
    <w:p>
      <w:pPr>
        <w:pStyle w:val="Abstract"/>
      </w:pPr>
      <w:r>
        <w:t xml:space="preserve">The exploitation fraction </w:t>
      </w:r>
      <w:r>
        <w:rPr>
          <w:i/>
          <w:iCs/>
        </w:rPr>
        <w:t xml:space="preserve">E</w:t>
      </w:r>
      <w:r>
        <w:t xml:space="preserve"> = </w:t>
      </w:r>
      <w:r>
        <w:rPr>
          <w:i/>
          <w:iCs/>
        </w:rPr>
        <w:t xml:space="preserve">F</w:t>
      </w:r>
      <w:r>
        <w:t xml:space="preserve">/(</w:t>
      </w:r>
      <w:r>
        <w:rPr>
          <w:i/>
          <w:iCs/>
        </w:rPr>
        <w:t xml:space="preserve">F</w:t>
      </w:r>
      <w:r>
        <w:t xml:space="preserve">+</w:t>
      </w:r>
      <w:r>
        <w:rPr>
          <w:i/>
          <w:iCs/>
        </w:rPr>
        <w:t xml:space="preserve">M</w:t>
      </w:r>
      <w:r>
        <w:t xml:space="preserve">) has served as a standard metric for assessing fishing pressure since Gulland (1971), with </w:t>
      </w:r>
      <w:r>
        <w:rPr>
          <w:i/>
          <w:iCs/>
        </w:rPr>
        <w:t xml:space="preserve">E</w:t>
      </w:r>
      <w:r>
        <w:t xml:space="preserve"> = 0.5 widely adopted as a precautionary threshold. However, </w:t>
      </w:r>
      <w:r>
        <w:rPr>
          <w:i/>
          <w:iCs/>
        </w:rPr>
        <w:t xml:space="preserve">E</w:t>
      </w:r>
      <w:r>
        <w:t xml:space="preserve"> compresses the relationship between fishing mortality (</w:t>
      </w:r>
      <w:r>
        <w:rPr>
          <w:i/>
          <w:iCs/>
        </w:rPr>
        <w:t xml:space="preserve">F</w:t>
      </w:r>
      <w:r>
        <w:t xml:space="preserve">) and natural mortality (</w:t>
      </w:r>
      <w:r>
        <w:rPr>
          <w:i/>
          <w:iCs/>
        </w:rPr>
        <w:t xml:space="preserve">M</w:t>
      </w:r>
      <w:r>
        <w:t xml:space="preserve">) into a single dimension, obscuring magnitude differences across life histories. We introduce the Fishing Mortality Index (FMI), which plots </w:t>
      </w:r>
      <w:r>
        <w:rPr>
          <w:i/>
          <w:iCs/>
        </w:rPr>
        <w:t xml:space="preserve">F</w:t>
      </w:r>
      <w:r>
        <w:t xml:space="preserve"> against </w:t>
      </w:r>
      <w:r>
        <w:rPr>
          <w:i/>
          <w:iCs/>
        </w:rPr>
        <w:t xml:space="preserve">M</w:t>
      </w:r>
      <w:r>
        <w:t xml:space="preserve"> on log-log axes, preserving both ratio and magnitude information. We validated FMI using 209 stocks from the RAM Legacy Stock Assessment Database, defining collapse as </w:t>
      </w:r>
      <w:r>
        <w:rPr>
          <w:i/>
          <w:iCs/>
        </w:rPr>
        <w:t xml:space="preserve">B</w:t>
      </w:r>
      <w:r>
        <w:t xml:space="preserve">/</w:t>
      </w:r>
      <w:r>
        <w:rPr>
          <w:i/>
          <w:iCs/>
          <w:vertAlign w:val="subscript"/>
        </w:rPr>
        <w:t xml:space="preserve">B</w:t>
      </w:r>
      <w:r>
        <w:rPr>
          <w:vertAlign w:val="subscript"/>
        </w:rPr>
        <w:t xml:space="preserve">MSY</w:t>
      </w:r>
      <w:r>
        <w:t xml:space="preserve"> &lt; 0.5. A universal threshold (FMI = 1.25) achieved 89% sensitivity but only 39% specificity (AUC = 0.72). Life-history stratification substantially improved discrimination: optimal thresholds ranged from 0.45 for fast-turnover species (</w:t>
      </w:r>
      <w:r>
        <w:rPr>
          <w:i/>
          <w:iCs/>
        </w:rPr>
        <w:t xml:space="preserve">M</w:t>
      </w:r>
      <w:r>
        <w:t xml:space="preserve"> ≥ 0.8) to 4.91 for long-lived species (</w:t>
      </w:r>
      <w:r>
        <w:rPr>
          <w:i/>
          <w:iCs/>
        </w:rPr>
        <w:t xml:space="preserve">M</w:t>
      </w:r>
      <w:r>
        <w:t xml:space="preserve"> &lt; 0.2), with specificity improving to 69% (AUC = 0.71–0.85). We recommend life-history-specific threshold calibration for operational FMI applications.</w:t>
      </w:r>
    </w:p>
    <w:p>
      <w:pPr>
        <w:spacing w:before="240" w:after="360"/>
      </w:pPr>
      <w:r>
        <w:rPr>
          <w:b/>
          <w:bCs/>
        </w:rPr>
        <w:t xml:space="preserve">Keywords: </w:t>
      </w:r>
      <w:r>
        <w:t xml:space="preserve">fishing mortality, natural mortality, stock assessment, life history, exploitation rate, ROC analysis, RAM Legacy</w:t>
      </w:r>
    </w:p>
    <w:p>
      <w:pPr>
        <w:pStyle w:val="Heading1"/>
      </w:pPr>
      <w:r>
        <w:t xml:space="preserve">1. Introduction</w:t>
      </w:r>
    </w:p>
    <w:p>
      <w:pPr>
        <w:spacing w:after="200"/>
      </w:pPr>
      <w:r>
        <w:t xml:space="preserve">Sustainable fisheries management requires reliable indicators of exploitation status (Hilborn and Walters, 1992). Since Gulland's (1971) foundational work, the exploitation fraction </w:t>
      </w:r>
      <w:r>
        <w:rPr>
          <w:i/>
          <w:iCs/>
        </w:rPr>
        <w:t xml:space="preserve">E</w:t>
      </w:r>
      <w:r>
        <w:t xml:space="preserve"> = </w:t>
      </w:r>
      <w:r>
        <w:rPr>
          <w:i/>
          <w:iCs/>
        </w:rPr>
        <w:t xml:space="preserve">F</w:t>
      </w:r>
      <w:r>
        <w:t xml:space="preserve">/(</w:t>
      </w:r>
      <w:r>
        <w:rPr>
          <w:i/>
          <w:iCs/>
        </w:rPr>
        <w:t xml:space="preserve">F</w:t>
      </w:r>
      <w:r>
        <w:t xml:space="preserve">+</w:t>
      </w:r>
      <w:r>
        <w:rPr>
          <w:i/>
          <w:iCs/>
        </w:rPr>
        <w:t xml:space="preserve">M</w:t>
      </w:r>
      <w:r>
        <w:t xml:space="preserve">) has served as a primary metric, with </w:t>
      </w:r>
      <w:r>
        <w:rPr>
          <w:i/>
          <w:iCs/>
        </w:rPr>
        <w:t xml:space="preserve">E</w:t>
      </w:r>
      <w:r>
        <w:t xml:space="preserve"> = 0.5 (equivalent to </w:t>
      </w:r>
      <w:r>
        <w:rPr>
          <w:i/>
          <w:iCs/>
        </w:rPr>
        <w:t xml:space="preserve">F</w:t>
      </w:r>
      <w:r>
        <w:t xml:space="preserve"> = </w:t>
      </w:r>
      <w:r>
        <w:rPr>
          <w:i/>
          <w:iCs/>
        </w:rPr>
        <w:t xml:space="preserve">M</w:t>
      </w:r>
      <w:r>
        <w:t xml:space="preserve">) widely adopted as a threshold separating sustainable from unsustainable fishing pressure (Patterson, 1992; Zhou et al., 2010).</w:t>
      </w:r>
    </w:p>
    <w:p>
      <w:pPr>
        <w:spacing w:after="200"/>
      </w:pPr>
      <w:r>
        <w:t xml:space="preserve">However, the exploitation fraction suffers from a fundamental limitation. By compressing the relationship between </w:t>
      </w:r>
      <w:r>
        <w:rPr>
          <w:i/>
          <w:iCs/>
        </w:rPr>
        <w:t xml:space="preserve">F</w:t>
      </w:r>
      <w:r>
        <w:t xml:space="preserve"> and </w:t>
      </w:r>
      <w:r>
        <w:rPr>
          <w:i/>
          <w:iCs/>
        </w:rPr>
        <w:t xml:space="preserve">M</w:t>
      </w:r>
      <w:r>
        <w:t xml:space="preserve"> into a single ratio, </w:t>
      </w:r>
      <w:r>
        <w:rPr>
          <w:i/>
          <w:iCs/>
        </w:rPr>
        <w:t xml:space="preserve">E</w:t>
      </w:r>
      <w:r>
        <w:t xml:space="preserve"> obscures magnitude differences across life histories. A spiny dogfish (</w:t>
      </w:r>
      <w:r>
        <w:rPr>
          <w:i/>
          <w:iCs/>
        </w:rPr>
        <w:t xml:space="preserve">M</w:t>
      </w:r>
      <w:r>
        <w:t xml:space="preserve"> ≈ 0.05) and a Peruvian anchovy (</w:t>
      </w:r>
      <w:r>
        <w:rPr>
          <w:i/>
          <w:iCs/>
        </w:rPr>
        <w:t xml:space="preserve">M</w:t>
      </w:r>
      <w:r>
        <w:t xml:space="preserve"> ≈ 1.2) may share the same exploitation fraction, yet the absolute mortality rates differ by more than an order of magnitude. Froese (2004) advocated for simple, robust indicators that can be applied across data-limited situations; FMI extends this philosophy by providing visual context that single-value metrics cannot.</w:t>
      </w:r>
    </w:p>
    <w:p>
      <w:pPr>
        <w:spacing w:after="200"/>
      </w:pPr>
      <w:r>
        <w:t xml:space="preserve">We propose the Fishing Mortality Index (FMI), a visualization framework that plots </w:t>
      </w:r>
      <w:r>
        <w:rPr>
          <w:i/>
          <w:iCs/>
        </w:rPr>
        <w:t xml:space="preserve">F</w:t>
      </w:r>
      <w:r>
        <w:t xml:space="preserve"> against </w:t>
      </w:r>
      <w:r>
        <w:rPr>
          <w:i/>
          <w:iCs/>
        </w:rPr>
        <w:t xml:space="preserve">M</w:t>
      </w:r>
      <w:r>
        <w:t xml:space="preserve"> on log-log axes. This transformation preserves the ratio-based safety thresholds of the Gulland framework while retaining magnitude information. The </w:t>
      </w:r>
      <w:r>
        <w:rPr>
          <w:i/>
          <w:iCs/>
        </w:rPr>
        <w:t xml:space="preserve">F</w:t>
      </w:r>
      <w:r>
        <w:t xml:space="preserve"> = </w:t>
      </w:r>
      <w:r>
        <w:rPr>
          <w:i/>
          <w:iCs/>
        </w:rPr>
        <w:t xml:space="preserve">M</w:t>
      </w:r>
      <w:r>
        <w:t xml:space="preserve"> line appears as a 45° diagonal, with parallel iso-ratio lines defining exploitation zones.</w:t>
      </w:r>
    </w:p>
    <w:p>
      <w:pPr>
        <w:spacing w:after="200"/>
      </w:pPr>
      <w:r>
        <w:t xml:space="preserve">The objectives of this study were to: (1) validate FMI as a diagnostic tool for stock collapse using a large, independent dataset; (2) evaluate whether a universal FMI threshold applies across life histories; and (3) develop life-history-specific thresholds that improve predictive performance.</w:t>
      </w:r>
    </w:p>
    <w:p>
      <w:pPr>
        <w:pStyle w:val="Heading1"/>
      </w:pPr>
      <w:r>
        <w:t xml:space="preserve">2. Methods</w:t>
      </w:r>
    </w:p>
    <w:p>
      <w:pPr>
        <w:pStyle w:val="Heading2"/>
      </w:pPr>
      <w:r>
        <w:t xml:space="preserve">2.1 Data source</w:t>
      </w:r>
    </w:p>
    <w:p>
      <w:pPr>
        <w:spacing w:after="200"/>
      </w:pPr>
      <w:r>
        <w:t xml:space="preserve">We obtained stock assessment data from the RAM Legacy Stock Assessment Database version 4.64 (Ricard et al., 2012). After filtering for stocks with natural mortality (</w:t>
      </w:r>
      <w:r>
        <w:rPr>
          <w:i/>
          <w:iCs/>
        </w:rPr>
        <w:t xml:space="preserve">M</w:t>
      </w:r>
      <w:r>
        <w:t xml:space="preserve">), fishing mortality (</w:t>
      </w:r>
      <w:r>
        <w:rPr>
          <w:i/>
          <w:iCs/>
        </w:rPr>
        <w:t xml:space="preserve">F</w:t>
      </w:r>
      <w:r>
        <w:t xml:space="preserve">), and </w:t>
      </w:r>
      <w:r>
        <w:rPr>
          <w:i/>
          <w:iCs/>
        </w:rPr>
        <w:t xml:space="preserve">B</w:t>
      </w:r>
      <w:r>
        <w:t xml:space="preserve">/</w:t>
      </w:r>
      <w:r>
        <w:rPr>
          <w:i/>
          <w:iCs/>
          <w:vertAlign w:val="subscript"/>
        </w:rPr>
        <w:t xml:space="preserve">B</w:t>
      </w:r>
      <w:r>
        <w:rPr>
          <w:vertAlign w:val="subscript"/>
        </w:rPr>
        <w:t xml:space="preserve">MSY</w:t>
      </w:r>
      <w:r>
        <w:t xml:space="preserve"> time series, 209 stocks with 10,565 stock-years remained for analysis.</w:t>
      </w:r>
    </w:p>
    <w:p>
      <w:pPr>
        <w:pStyle w:val="Heading2"/>
      </w:pPr>
      <w:r>
        <w:t xml:space="preserve">2.2 FMI calculation</w:t>
      </w:r>
    </w:p>
    <w:p>
      <w:pPr>
        <w:spacing w:after="200"/>
      </w:pPr>
      <w:r>
        <w:t xml:space="preserve">For each stock-year, we calculated FMI as FMI = </w:t>
      </w:r>
      <w:r>
        <w:rPr>
          <w:i/>
          <w:iCs/>
        </w:rPr>
        <w:t xml:space="preserve">F</w:t>
      </w:r>
      <w:r>
        <w:t xml:space="preserve">/</w:t>
      </w:r>
      <w:r>
        <w:rPr>
          <w:i/>
          <w:iCs/>
        </w:rPr>
        <w:t xml:space="preserve">M</w:t>
      </w:r>
      <w:r>
        <w:t xml:space="preserve">. We defined collapse as any occurrence of </w:t>
      </w:r>
      <w:r>
        <w:rPr>
          <w:i/>
          <w:iCs/>
        </w:rPr>
        <w:t xml:space="preserve">B</w:t>
      </w:r>
      <w:r>
        <w:t xml:space="preserve">/</w:t>
      </w:r>
      <w:r>
        <w:rPr>
          <w:i/>
          <w:iCs/>
          <w:vertAlign w:val="subscript"/>
        </w:rPr>
        <w:t xml:space="preserve">B</w:t>
      </w:r>
      <w:r>
        <w:rPr>
          <w:vertAlign w:val="subscript"/>
        </w:rPr>
        <w:t xml:space="preserve">MSY</w:t>
      </w:r>
      <w:r>
        <w:t xml:space="preserve"> &lt; 0.5 during a stock's time series.</w:t>
      </w:r>
    </w:p>
    <w:p>
      <w:pPr>
        <w:pStyle w:val="Heading2"/>
      </w:pPr>
      <w:r>
        <w:t xml:space="preserve">2.3 Life history classification</w:t>
      </w:r>
    </w:p>
    <w:p>
      <w:pPr>
        <w:spacing w:after="200"/>
      </w:pPr>
      <w:r>
        <w:t xml:space="preserve">We stratified stocks by natural mortality into four life history categories: Long-lived (</w:t>
      </w:r>
      <w:r>
        <w:rPr>
          <w:i/>
          <w:iCs/>
        </w:rPr>
        <w:t xml:space="preserve">M</w:t>
      </w:r>
      <w:r>
        <w:t xml:space="preserve"> &lt; 0.2, n = 104), Medium (0.2–0.4, n = 72), Moderate turnover (0.4–0.8, n = 16), and Fast turnover (≥ 0.8, n = 17).</w:t>
      </w:r>
    </w:p>
    <w:p>
      <w:pPr>
        <w:pStyle w:val="Heading2"/>
      </w:pPr>
      <w:r>
        <w:t xml:space="preserve">2.4 ROC analysis</w:t>
      </w:r>
    </w:p>
    <w:p>
      <w:pPr>
        <w:spacing w:after="200"/>
      </w:pPr>
      <w:r>
        <w:t xml:space="preserve">We evaluated diagnostic performance using receiver operating characteristic (ROC) analysis implemented in the pROC package for R (Robin et al., 2011). Optimal thresholds were identified using Youden's J statistic.</w:t>
      </w:r>
    </w:p>
    <w:p>
      <w:pPr>
        <w:pStyle w:val="Heading1"/>
      </w:pPr>
      <w:r>
        <w:t xml:space="preserve">3. Results</w:t>
      </w:r>
    </w:p>
    <w:p>
      <w:pPr>
        <w:pStyle w:val="Heading2"/>
      </w:pPr>
      <w:r>
        <w:t xml:space="preserve">3.1 Universal threshold performance</w:t>
      </w:r>
    </w:p>
    <w:p>
      <w:pPr>
        <w:spacing w:after="200"/>
      </w:pPr>
      <w:r>
        <w:t xml:space="preserve">Using a universal threshold of FMI = 1.25, we achieved 89.1% sensitivity, 39.3% specificity, 53.6% positive predictive value, and AUC = 0.716. FMI detected prior danger signals in 82 of 92 collapsed stocks.</w:t>
      </w:r>
    </w:p>
    <w:p>
      <w:pPr>
        <w:pStyle w:val="Heading2"/>
      </w:pPr>
      <w:r>
        <w:t xml:space="preserve">3.2 Life history stratification</w:t>
      </w:r>
    </w:p>
    <w:p>
      <w:pPr>
        <w:spacing w:after="200"/>
      </w:pPr>
      <w:r>
        <w:t xml:space="preserve">ROC analysis within life history categories revealed substantial variation in discriminatory performance. Optimal thresholds varied more than 10-fold: 4.91 for long-lived species (AUC = 0.794), 2.15 for medium (AUC = 0.788), 2.45 for moderate turnover (AUC = 0.855), and 0.45 for fast turnover (AUC = 0.708).</w:t>
      </w:r>
    </w:p>
    <w:p>
      <w:pPr>
        <w:pStyle w:val="Heading2"/>
      </w:pPr>
      <w:r>
        <w:t xml:space="preserve">3.3 Comparison of approaches</w:t>
      </w:r>
    </w:p>
    <w:p>
      <w:pPr>
        <w:spacing w:after="200"/>
      </w:pPr>
      <w:r>
        <w:t xml:space="preserve">Applying life-history-specific thresholds improved specificity from 39% to 69% (+30 percentage points) and PPV from 54% to 66% (+12 pp), with modest sensitivity trade-off (89% to 76%).</w:t>
      </w:r>
    </w:p>
    <w:p>
      <w:pPr>
        <w:pStyle w:val="Heading2"/>
      </w:pPr>
      <w:r>
        <w:t xml:space="preserve">3.4 Lead time</w:t>
      </w:r>
    </w:p>
    <w:p>
      <w:pPr>
        <w:spacing w:after="200"/>
      </w:pPr>
      <w:r>
        <w:t xml:space="preserve">Among collapsed stocks with prior danger signals, median lead time was 14 years (range: 1–80 years), providing a substantial window for management intervention.</w:t>
      </w:r>
    </w:p>
    <w:p>
      <w:pPr>
        <w:pStyle w:val="Heading1"/>
      </w:pPr>
      <w:r>
        <w:t xml:space="preserve">4. Discussion</w:t>
      </w:r>
    </w:p>
    <w:p>
      <w:pPr>
        <w:spacing w:after="200"/>
      </w:pPr>
      <w:r>
        <w:t xml:space="preserve">Our results support FMI as a high-sensitivity screening tool for fishing-driven stock decline. With 89% sensitivity, FMI captures most stocks that eventually collapse. However, the 39% specificity indicates that FMI functions more like a smoke detector than a precision diagnostic.</w:t>
      </w:r>
    </w:p>
    <w:p>
      <w:pPr>
        <w:spacing w:after="200"/>
      </w:pPr>
      <w:r>
        <w:t xml:space="preserve">The most unexpected finding was that optimal thresholds </w:t>
      </w:r>
      <w:r>
        <w:rPr>
          <w:i/>
          <w:iCs/>
        </w:rPr>
        <w:t xml:space="preserve">increased</w:t>
      </w:r>
      <w:r>
        <w:t xml:space="preserve"> with longevity, opposite to our initial hypothesis. Within long-lived species, many stocks have experienced FMI &gt; 4 without collapsing. This aligns with Cope and Hamel (2015), who demonstrated empirical relationships between fishing mortality reference points and life history traits.</w:t>
      </w:r>
    </w:p>
    <w:p>
      <w:pPr>
        <w:spacing w:after="200"/>
      </w:pPr>
      <w:r>
        <w:t xml:space="preserve">The low optimal threshold (0.45) for fast-turnover species suggests that fishing pressure is not the primary driver of their population dynamics. This is consistent with literature demonstrating environmental control of small pelagic populations (Chavez et al., 2003).</w:t>
      </w:r>
    </w:p>
    <w:p>
      <w:pPr>
        <w:spacing w:after="200"/>
      </w:pPr>
      <w:r>
        <w:t xml:space="preserve">Several limitations warrant consideration. Natural mortality estimates are uncertain (Maunder et al., 2022). The relationship between </w:t>
      </w:r>
      <w:r>
        <w:rPr>
          <w:i/>
          <w:iCs/>
        </w:rPr>
        <w:t xml:space="preserve">M</w:t>
      </w:r>
      <w:r>
        <w:t xml:space="preserve"> and body size (Lorenzen et al., 2022) and empirical equations (Pauly, 1980) introduce additional uncertainty.</w:t>
      </w:r>
    </w:p>
    <w:p>
      <w:pPr>
        <w:pStyle w:val="Heading1"/>
      </w:pPr>
      <w:r>
        <w:t xml:space="preserve">5. Conclusions</w:t>
      </w:r>
    </w:p>
    <w:p>
      <w:pPr>
        <w:spacing w:after="200"/>
      </w:pPr>
      <w:r>
        <w:t xml:space="preserve">The Fishing Mortality Index provides a valid screening tool for fishing-driven stock decline, detecting prior danger signals in 89% of collapsed stocks with median lead time of 14 years. Life-history stratification improves specificity from 39% to 69%. We recommend FMI be adopted as a rapid visual diagnostic with life-history-specific threshold calibration.</w:t>
      </w:r>
    </w:p>
    <w:p>
      <w:pPr>
        <w:pStyle w:val="Heading1"/>
      </w:pPr>
      <w:r>
        <w:t xml:space="preserve">Data Availability</w:t>
      </w:r>
    </w:p>
    <w:p>
      <w:pPr>
        <w:spacing w:after="200"/>
      </w:pPr>
      <w:r>
        <w:t xml:space="preserve">The RAM Legacy Stock Assessment Database v4.64 is available at https://www.ramlegacy.org (DOI: 10.5281/zenodo.10499086). Analysis code is available at https://github.com/capraCoder/caprazliFMI and archived at Zenodo (DOI: 10.5281/zenodo.17844169).</w:t>
      </w:r>
    </w:p>
    <w:p>
      <w:pPr>
        <w:pStyle w:val="Heading1"/>
      </w:pPr>
      <w:r>
        <w:t xml:space="preserve">Declaration of Competing Interests</w:t>
      </w:r>
    </w:p>
    <w:p>
      <w:pPr>
        <w:spacing w:after="200"/>
      </w:pPr>
      <w:r>
        <w:t xml:space="preserve">The author declares no competing interests.</w:t>
      </w:r>
    </w:p>
    <w:p>
      <w:pPr>
        <w:pStyle w:val="Heading1"/>
      </w:pPr>
      <w:r>
        <w:t xml:space="preserve">References</w:t>
      </w:r>
    </w:p>
    <w:p>
      <w:pPr>
        <w:spacing w:after="120"/>
      </w:pPr>
      <w:r>
        <w:t xml:space="preserve">Chavez, F.P., et al., 2003. From anchovies to sardines and back. Science 299, 217–221.</w:t>
      </w:r>
    </w:p>
    <w:p>
      <w:pPr>
        <w:spacing w:after="120"/>
      </w:pPr>
      <w:r>
        <w:t xml:space="preserve">Cope, J.M., Hamel, O.S., 2015. Linking fishing mortality reference points to life history traits. Can. J. Fish. Aquat. Sci. 72, 175–186.</w:t>
      </w:r>
    </w:p>
    <w:p>
      <w:pPr>
        <w:spacing w:after="120"/>
      </w:pPr>
      <w:r>
        <w:t xml:space="preserve">Froese, R., 2004. Keep it simple: three indicators to deal with overfishing. Fish Fish. 5, 86–91.</w:t>
      </w:r>
    </w:p>
    <w:p>
      <w:pPr>
        <w:spacing w:after="120"/>
      </w:pPr>
      <w:r>
        <w:t xml:space="preserve">Gulland, J.A., 1971. The Fish Resources of the Ocean. Fishing News Books.</w:t>
      </w:r>
    </w:p>
    <w:p>
      <w:pPr>
        <w:spacing w:after="120"/>
      </w:pPr>
      <w:r>
        <w:t xml:space="preserve">Hilborn, R., Walters, C.J., 1992. Quantitative Fisheries Stock Assessment. Chapman and Hall.</w:t>
      </w:r>
    </w:p>
    <w:p>
      <w:pPr>
        <w:spacing w:after="120"/>
      </w:pPr>
      <w:r>
        <w:t xml:space="preserve">Lorenzen, K., et al., 2022. Natural mortality and body size in fish populations. Fish. Res. 252, 106327.</w:t>
      </w:r>
    </w:p>
    <w:p>
      <w:pPr>
        <w:spacing w:after="120"/>
      </w:pPr>
      <w:r>
        <w:t xml:space="preserve">Maunder, M.N., et al., 2022. A review of estimation methods for natural mortality. Fish. Res. 252, 106319.</w:t>
      </w:r>
    </w:p>
    <w:p>
      <w:pPr>
        <w:spacing w:after="120"/>
      </w:pPr>
      <w:r>
        <w:t xml:space="preserve">Patterson, K., 1992. Fisheries for small pelagic species. Rev. Fish Biol. Fish. 2, 321–338.</w:t>
      </w:r>
    </w:p>
    <w:p>
      <w:pPr>
        <w:spacing w:after="120"/>
      </w:pPr>
      <w:r>
        <w:t xml:space="preserve">Pauly, D., 1980. On the interrelationships between natural mortality, growth parameters, and mean environmental temperature. J. Cons. 39, 175–192.</w:t>
      </w:r>
    </w:p>
    <w:p>
      <w:pPr>
        <w:spacing w:after="120"/>
      </w:pPr>
      <w:r>
        <w:t xml:space="preserve">RAM Legacy Stock Assessment Database, 2024. RAM Legacy Stock Assessment Database v4.64. Zenodo. https://doi.org/10.5281/zenodo.10499086</w:t>
      </w:r>
    </w:p>
    <w:p>
      <w:pPr>
        <w:spacing w:after="120"/>
      </w:pPr>
      <w:r>
        <w:t xml:space="preserve">Ricard, D., et al., 2012. Examining the knowledge base with the RAM Legacy Database. Fish Fish. 13, 380–398.</w:t>
      </w:r>
    </w:p>
    <w:p>
      <w:pPr>
        <w:spacing w:after="120"/>
      </w:pPr>
      <w:r>
        <w:t xml:space="preserve">Robin, X., et al., 2011. pROC: an open-source package for R. BMC Bioinformatics 12, 77.</w:t>
      </w:r>
    </w:p>
    <w:p>
      <w:pPr>
        <w:spacing w:after="120"/>
      </w:pPr>
      <w:r>
        <w:t xml:space="preserve">Zhou, S., et al., 2010. Ecosystem-based fisheries management. Proc. Natl. Acad. Sci. 107, 9485–9488.</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Caprazli - FMI Validation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before="360" w:after="12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before="240" w:after="120"/>
      <w:outlineLvl w:val="1"/>
    </w:pPr>
    <w:rPr>
      <w:rFonts w:ascii="Times New Roman" w:cs="Times New Roman" w:eastAsia="Times New Roman" w:hAnsi="Times New Roman"/>
      <w:b/>
      <w:bCs/>
      <w:sz w:val="24"/>
      <w:szCs w:val="24"/>
    </w:rPr>
  </w:style>
  <w:style w:type="paragraph" w:styleId="Abstract">
    <w:name w:val="Abstract"/>
    <w:basedOn w:val="Normal"/>
    <w:pPr>
      <w:spacing w:after="120"/>
      <w:ind w:left="720" w:right="720"/>
    </w:pPr>
    <w:rPr>
      <w:rFonts w:ascii="Times New Roman" w:cs="Times New Roman" w:eastAsia="Times New Roman" w:hAnsi="Times New Roman"/>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2025-12-07T01:14:46.623Z</dcterms:created>
  <dcterms:modified xsi:type="dcterms:W3CDTF">2025-12-07T01:14:46.624Z</dcterms:modified>
</cp:coreProperties>
</file>

<file path=docProps/custom.xml><?xml version="1.0" encoding="utf-8"?>
<Properties xmlns="http://schemas.openxmlformats.org/officeDocument/2006/custom-properties" xmlns:vt="http://schemas.openxmlformats.org/officeDocument/2006/docPropsVTypes"/>
</file>