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i w:val="0"/>
          <w:color w:val="1B365D"/>
          <w:sz w:val="40"/>
        </w:rPr>
        <w:t>E-BoardMate: Generative AI RAG Layer</w:t>
      </w:r>
    </w:p>
    <w:p>
      <w:pPr>
        <w:spacing w:before="0" w:after="360"/>
        <w:jc w:val="center"/>
      </w:pPr>
      <w:r>
        <w:rPr>
          <w:rFonts w:ascii="Arial" w:hAnsi="Arial"/>
          <w:b w:val="0"/>
          <w:i/>
          <w:color w:val="646E78"/>
          <w:sz w:val="22"/>
        </w:rPr>
        <w:t>Checkpoint 1 Deliverables (Prelim - Performance Task 1)</w:t>
        <w:br/>
        <w:t>IS Professional Elective #4: Generative AI Systems | Talibon Polytechnic College (TPC)</w:t>
      </w:r>
    </w:p>
    <w:p>
      <w:pPr>
        <w:keepNext/>
        <w:spacing w:before="320" w:after="120"/>
      </w:pPr>
      <w:r>
        <w:rPr>
          <w:rFonts w:ascii="Arial" w:hAnsi="Arial"/>
          <w:b/>
          <w:i w:val="0"/>
          <w:color w:val="1B365D"/>
          <w:sz w:val="30"/>
        </w:rPr>
        <w:t>1. Project Proposal (1–2 Pages)</w:t>
      </w:r>
    </w:p>
    <w:p>
      <w:pPr>
        <w:keepNext/>
        <w:spacing w:before="240" w:after="80"/>
      </w:pPr>
      <w:r>
        <w:rPr>
          <w:rFonts w:ascii="Arial" w:hAnsi="Arial"/>
          <w:b/>
          <w:i w:val="0"/>
          <w:color w:val="2C5E94"/>
          <w:sz w:val="26"/>
        </w:rPr>
        <w:t>1.1 Problem Statement</w:t>
      </w:r>
    </w:p>
    <w:p>
      <w:pPr>
        <w:spacing w:before="0" w:after="120" w:line="288" w:lineRule="auto"/>
      </w:pPr>
      <w:r>
        <w:rPr>
          <w:rFonts w:ascii="Arial" w:hAnsi="Arial"/>
          <w:b w:val="0"/>
          <w:i w:val="0"/>
          <w:color w:val="333333"/>
          <w:sz w:val="24"/>
        </w:rPr>
        <w:t>Students attending Talibon Polytechnic College (TPC) in Bohol face significant challenges securing safe, affordable, and accredited off-campus boarding house accommodations. Historically, students rely on word-of-mouth recommendations, physical ocular visits under heavy weather conditions, or unverified social media posts. The live production web application E-BoardMate (https://eboardmate.onrender.com) solves this by digitizing accredited landlord listings. However, searching through multi-property web interfaces to evaluate distance from campus, gender restrictions, curfew rules, and utility billing specifics (water/electricity) remains time-consuming. This Capstone Project builds an intelligent Generative AI Retrieval-Augmented Generation (RAG) layer over E-BoardMate to allow TPC students to search, filter, and inquire using natural language queries.</w:t>
      </w:r>
    </w:p>
    <w:p>
      <w:pPr>
        <w:keepNext/>
        <w:spacing w:before="240" w:after="80"/>
      </w:pPr>
      <w:r>
        <w:rPr>
          <w:rFonts w:ascii="Arial" w:hAnsi="Arial"/>
          <w:b/>
          <w:i w:val="0"/>
          <w:color w:val="2C5E94"/>
          <w:sz w:val="26"/>
        </w:rPr>
        <w:t>1.2 Target Users</w:t>
      </w:r>
    </w:p>
    <w:p>
      <w:pPr>
        <w:pStyle w:val="ListBullet"/>
        <w:spacing w:before="0" w:after="60" w:line="276" w:lineRule="auto"/>
      </w:pPr>
      <w:r>
        <w:rPr>
          <w:rFonts w:ascii="Arial" w:hAnsi="Arial"/>
          <w:b/>
          <w:i w:val="0"/>
          <w:color w:val="333333"/>
          <w:sz w:val="23"/>
        </w:rPr>
        <w:t xml:space="preserve">• </w:t>
      </w:r>
      <w:r>
        <w:rPr>
          <w:rFonts w:ascii="Arial" w:hAnsi="Arial"/>
          <w:b w:val="0"/>
          <w:i w:val="0"/>
          <w:color w:val="333333"/>
          <w:sz w:val="23"/>
        </w:rPr>
        <w:t>TPC Students &amp; Transferees: Seeking off-campus housing that matches budget limits (e.g., &lt; ₱1,500/mo), gender policies (Female Only / Male Only), water inclusion, and proximity to campus.</w:t>
      </w:r>
    </w:p>
    <w:p>
      <w:pPr>
        <w:pStyle w:val="ListBullet"/>
        <w:spacing w:before="0" w:after="60" w:line="276" w:lineRule="auto"/>
      </w:pPr>
      <w:r>
        <w:rPr>
          <w:rFonts w:ascii="Arial" w:hAnsi="Arial"/>
          <w:b/>
          <w:i w:val="0"/>
          <w:color w:val="333333"/>
          <w:sz w:val="23"/>
        </w:rPr>
        <w:t xml:space="preserve">• </w:t>
      </w:r>
      <w:r>
        <w:rPr>
          <w:rFonts w:ascii="Arial" w:hAnsi="Arial"/>
          <w:b w:val="0"/>
          <w:i w:val="0"/>
          <w:color w:val="333333"/>
          <w:sz w:val="23"/>
        </w:rPr>
        <w:t>Accredited Landlords &amp; Property Owners: Landlords seeking direct student leads and automated reservation ticket hand-offs.</w:t>
      </w:r>
    </w:p>
    <w:p>
      <w:pPr>
        <w:pStyle w:val="ListBullet"/>
        <w:spacing w:before="0" w:after="60" w:line="276" w:lineRule="auto"/>
      </w:pPr>
      <w:r>
        <w:rPr>
          <w:rFonts w:ascii="Arial" w:hAnsi="Arial"/>
          <w:b/>
          <w:i w:val="0"/>
          <w:color w:val="333333"/>
          <w:sz w:val="23"/>
        </w:rPr>
        <w:t xml:space="preserve">• </w:t>
      </w:r>
      <w:r>
        <w:rPr>
          <w:rFonts w:ascii="Arial" w:hAnsi="Arial"/>
          <w:b w:val="0"/>
          <w:i w:val="0"/>
          <w:color w:val="333333"/>
          <w:sz w:val="23"/>
        </w:rPr>
        <w:t>TPC Housing Administration: Campus officials requiring verified data on accredited boarding houses and student housing distribution.</w:t>
      </w:r>
    </w:p>
    <w:p>
      <w:pPr>
        <w:keepNext/>
        <w:spacing w:before="240" w:after="80"/>
      </w:pPr>
      <w:r>
        <w:rPr>
          <w:rFonts w:ascii="Arial" w:hAnsi="Arial"/>
          <w:b/>
          <w:i w:val="0"/>
          <w:color w:val="2C5E94"/>
          <w:sz w:val="26"/>
        </w:rPr>
        <w:t>1.3 Chosen Theme &amp; Dataset Source</w:t>
      </w:r>
    </w:p>
    <w:p>
      <w:pPr>
        <w:spacing w:before="0" w:after="120" w:line="288" w:lineRule="auto"/>
      </w:pPr>
      <w:r>
        <w:rPr>
          <w:rFonts w:ascii="Arial" w:hAnsi="Arial"/>
          <w:b w:val="0"/>
          <w:i w:val="0"/>
          <w:color w:val="333333"/>
          <w:sz w:val="24"/>
        </w:rPr>
        <w:t>Theme: Domain-Specific RAG for Higher Education Student Housing &amp; Localized Geospatial Assistance.</w:t>
        <w:br/>
        <w:t>Dataset Source: Ground-truth verified listing props extracted directly from the live deployed portal at eboardmate.onrender.com/boarding-houses via Inertia.js API JSON export and production MySQL database tables (`listings`, `owners`).</w:t>
      </w:r>
    </w:p>
    <w:p>
      <w:pPr>
        <w:keepNext/>
        <w:spacing w:before="240" w:after="80"/>
      </w:pPr>
      <w:r>
        <w:rPr>
          <w:rFonts w:ascii="Arial" w:hAnsi="Arial"/>
          <w:b/>
          <w:i w:val="0"/>
          <w:color w:val="2C5E94"/>
          <w:sz w:val="26"/>
        </w:rPr>
        <w:t>1.4 Measurable Success Criteria</w:t>
      </w:r>
    </w:p>
    <w:p>
      <w:pPr>
        <w:pStyle w:val="ListBullet"/>
        <w:spacing w:before="0" w:after="60" w:line="276" w:lineRule="auto"/>
      </w:pPr>
      <w:r>
        <w:rPr>
          <w:rFonts w:ascii="Arial" w:hAnsi="Arial"/>
          <w:b/>
          <w:i w:val="0"/>
          <w:color w:val="333333"/>
          <w:sz w:val="23"/>
        </w:rPr>
        <w:t xml:space="preserve">1. </w:t>
      </w:r>
      <w:r>
        <w:rPr>
          <w:rFonts w:ascii="Arial" w:hAnsi="Arial"/>
          <w:b w:val="0"/>
          <w:i w:val="0"/>
          <w:color w:val="333333"/>
          <w:sz w:val="23"/>
        </w:rPr>
        <w:t>Factual Retrieval Grounding (&gt; 95%): Every answer generated by the LLM must cite ground-truth listing fields (rent price, address, owner contact, direct listing URL).</w:t>
      </w:r>
    </w:p>
    <w:p>
      <w:pPr>
        <w:pStyle w:val="ListBullet"/>
        <w:spacing w:before="0" w:after="60" w:line="276" w:lineRule="auto"/>
      </w:pPr>
      <w:r>
        <w:rPr>
          <w:rFonts w:ascii="Arial" w:hAnsi="Arial"/>
          <w:b/>
          <w:i w:val="0"/>
          <w:color w:val="333333"/>
          <w:sz w:val="23"/>
        </w:rPr>
        <w:t xml:space="preserve">2. </w:t>
      </w:r>
      <w:r>
        <w:rPr>
          <w:rFonts w:ascii="Arial" w:hAnsi="Arial"/>
          <w:b w:val="0"/>
          <w:i w:val="0"/>
          <w:color w:val="333333"/>
          <w:sz w:val="23"/>
        </w:rPr>
        <w:t>Sub-Second Retrieval Latency (&lt; 1.5s): Dense vector embedding generation and ChromaDB similarity search must execute under 1.5 seconds on standard CPU hardware.</w:t>
      </w:r>
    </w:p>
    <w:p>
      <w:pPr>
        <w:pStyle w:val="ListBullet"/>
        <w:spacing w:before="0" w:after="60" w:line="276" w:lineRule="auto"/>
      </w:pPr>
      <w:r>
        <w:rPr>
          <w:rFonts w:ascii="Arial" w:hAnsi="Arial"/>
          <w:b/>
          <w:i w:val="0"/>
          <w:color w:val="333333"/>
          <w:sz w:val="23"/>
        </w:rPr>
        <w:t xml:space="preserve">3. </w:t>
      </w:r>
      <w:r>
        <w:rPr>
          <w:rFonts w:ascii="Arial" w:hAnsi="Arial"/>
          <w:b w:val="0"/>
          <w:i w:val="0"/>
          <w:color w:val="333333"/>
          <w:sz w:val="23"/>
        </w:rPr>
        <w:t>Zero Out-of-Scope Hallucination (100%): Non-housing questions (academic homework, general news) must be rejected with a standardized refusal response.</w:t>
      </w:r>
    </w:p>
    <w:p>
      <w:pPr>
        <w:pStyle w:val="ListBullet"/>
        <w:spacing w:before="0" w:after="60" w:line="276" w:lineRule="auto"/>
      </w:pPr>
      <w:r>
        <w:rPr>
          <w:rFonts w:ascii="Arial" w:hAnsi="Arial"/>
          <w:b/>
          <w:i w:val="0"/>
          <w:color w:val="333333"/>
          <w:sz w:val="23"/>
        </w:rPr>
        <w:t xml:space="preserve">4. </w:t>
      </w:r>
      <w:r>
        <w:rPr>
          <w:rFonts w:ascii="Arial" w:hAnsi="Arial"/>
          <w:b w:val="0"/>
          <w:i w:val="0"/>
          <w:color w:val="333333"/>
          <w:sz w:val="23"/>
        </w:rPr>
        <w:t>Haversine Distance Accuracy (± 0.05 km): Spatial calculations from the TPC Campus Anchor (10.1167, 124.2833) must reflect precise walking estimates at 4.8 km/h.</w:t>
      </w:r>
    </w:p>
    <w:p>
      <w:pPr>
        <w:keepNext/>
        <w:spacing w:before="320" w:after="120"/>
      </w:pPr>
      <w:r>
        <w:rPr>
          <w:rFonts w:ascii="Arial" w:hAnsi="Arial"/>
          <w:b/>
          <w:i w:val="0"/>
          <w:color w:val="1B365D"/>
          <w:sz w:val="30"/>
        </w:rPr>
        <w:t>2. Data Collection (Raw Dataset)</w:t>
      </w:r>
    </w:p>
    <w:p>
      <w:pPr>
        <w:spacing w:before="0" w:after="120" w:line="288" w:lineRule="auto"/>
      </w:pPr>
      <w:r>
        <w:rPr>
          <w:rFonts w:ascii="Arial" w:hAnsi="Arial"/>
          <w:b w:val="0"/>
          <w:i w:val="0"/>
          <w:color w:val="333333"/>
          <w:sz w:val="24"/>
        </w:rPr>
        <w:t>The raw dataset consists of verified listing records extracted from eboardmate.onrender.com. Production query constraints strictly enforce status = 'approved', is_verified = 1, and owner.status = 'active'. Non-live hardcoded mockup entries have been completely purged from the repository.</w:t>
      </w:r>
    </w:p>
    <w:p>
      <w:pPr>
        <w:spacing w:before="0" w:after="120" w:line="288" w:lineRule="auto"/>
      </w:pPr>
      <w:r>
        <w:rPr>
          <w:rFonts w:ascii="Arial" w:hAnsi="Arial"/>
          <w:b w:val="0"/>
          <w:i w:val="0"/>
          <w:color w:val="333333"/>
          <w:sz w:val="24"/>
        </w:rPr>
        <w:t>Stored Repository Location: data/raw_listings_export.json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D0D7DE"/>
              <w:left w:val="single" w:sz="12" w:space="0" w:color="1B365D"/>
              <w:bottom w:val="single" w:sz="4" w:space="0" w:color="D0D7DE"/>
              <w:right w:val="single" w:sz="4" w:space="0" w:color="D0D7DE"/>
            </w:tcBorders>
          </w:tcPr>
          <w:p>
            <w:pPr>
              <w:spacing w:before="0" w:after="0" w:line="276" w:lineRule="auto"/>
            </w:pPr>
            <w:r>
              <w:rPr>
                <w:rFonts w:ascii="Consolas" w:hAnsi="Consolas"/>
                <w:b w:val="0"/>
                <w:i w:val="0"/>
                <w:color w:val="24292F"/>
                <w:sz w:val="19"/>
              </w:rPr>
              <w:t>// Sample Raw Record from data/raw_listings_export.json</w:t>
              <w:br/>
              <w:t>{</w:t>
              <w:br/>
              <w:t xml:space="preserve">  "id": "live-bh-2",</w:t>
              <w:br/>
              <w:t xml:space="preserve">  "name": "Torres Boarding House",</w:t>
              <w:br/>
              <w:t xml:space="preserve">  "slug": "torres-boarding-house",</w:t>
              <w:br/>
              <w:t xml:space="preserve">  "address": "Purok-4 San Isidro, Talibon, Bohol",</w:t>
              <w:br/>
              <w:t xml:space="preserve">  "latitude": 10.13684,</w:t>
              <w:br/>
              <w:t xml:space="preserve">  "longitude": 124.32319,</w:t>
              <w:br/>
              <w:t xml:space="preserve">  "rent_price": 700,</w:t>
              <w:br/>
              <w:t xml:space="preserve">  "available_rooms": 2,</w:t>
              <w:br/>
              <w:t xml:space="preserve">  "allowed_genders": "Female Only",</w:t>
              <w:br/>
              <w:t xml:space="preserve">  "includes_water": true,</w:t>
              <w:br/>
              <w:t xml:space="preserve">  "includes_electricity": true,</w:t>
              <w:br/>
              <w:t xml:space="preserve">  "owner_name": "Landlord Office",</w:t>
              <w:br/>
              <w:t xml:space="preserve">  "owner_phone": "+63 917 000 1122"</w:t>
              <w:br/>
              <w:t>}</w:t>
            </w:r>
          </w:p>
        </w:tc>
      </w:tr>
    </w:tbl>
    <w:p>
      <w:pPr>
        <w:spacing w:before="0" w:after="80"/>
      </w:pPr>
    </w:p>
    <w:p>
      <w:pPr>
        <w:keepNext/>
        <w:spacing w:before="320" w:after="120"/>
      </w:pPr>
      <w:r>
        <w:rPr>
          <w:rFonts w:ascii="Arial" w:hAnsi="Arial"/>
          <w:b/>
          <w:i w:val="0"/>
          <w:color w:val="1B365D"/>
          <w:sz w:val="30"/>
        </w:rPr>
        <w:t>3. Text Preprocessing Pipeline &amp; Before/After Evidence</w:t>
      </w:r>
    </w:p>
    <w:p>
      <w:pPr>
        <w:spacing w:before="0" w:after="120" w:line="288" w:lineRule="auto"/>
      </w:pPr>
      <w:r>
        <w:rPr>
          <w:rFonts w:ascii="Arial" w:hAnsi="Arial"/>
          <w:b w:val="0"/>
          <w:i w:val="0"/>
          <w:color w:val="333333"/>
          <w:sz w:val="24"/>
        </w:rPr>
        <w:t>The preprocessing pipeline (src/preprocessing.py) performs four critical sanitation operations: (1) HTML tag stripping and UTF-8 encoding cleanup; (2) Dialect and gender normalization; (3) Spatial proximity computation using the Haversine formula; and (4) Structured RAG document chunk generation.</w:t>
      </w:r>
    </w:p>
    <w:p>
      <w:pPr>
        <w:keepNext/>
        <w:spacing w:before="240" w:after="80"/>
      </w:pPr>
      <w:r>
        <w:rPr>
          <w:rFonts w:ascii="Arial" w:hAnsi="Arial"/>
          <w:b/>
          <w:i w:val="0"/>
          <w:color w:val="2C5E94"/>
          <w:sz w:val="26"/>
        </w:rPr>
        <w:t>3.1 Haversine Spatial Formula</w:t>
      </w:r>
    </w:p>
    <w:p>
      <w:pPr>
        <w:spacing w:before="0" w:after="120" w:line="288" w:lineRule="auto"/>
      </w:pPr>
      <w:r>
        <w:rPr>
          <w:rFonts w:ascii="Arial" w:hAnsi="Arial"/>
          <w:b w:val="0"/>
          <w:i w:val="0"/>
          <w:color w:val="333333"/>
          <w:sz w:val="24"/>
        </w:rPr>
        <w:t>Distance from TPC Campus Anchor (lat1=10.1167, lon1=124.2833) is computed mathematically:</w:t>
      </w:r>
    </w:p>
    <w:p>
      <w:pPr>
        <w:spacing w:before="0" w:after="120" w:line="288" w:lineRule="auto"/>
      </w:pPr>
      <w:r>
        <w:rPr>
          <w:rFonts w:ascii="Arial" w:hAnsi="Arial"/>
          <w:b w:val="0"/>
          <w:i w:val="0"/>
          <w:color w:val="333333"/>
          <w:sz w:val="24"/>
        </w:rPr>
        <w:t>a = sin²(Δlat/2) + cos(lat1) · cos(lat2) · sin²(Δlon/2)</w:t>
        <w:br/>
        <w:t>c = 2 · atan2(√a, √(1-a))</w:t>
        <w:br/>
        <w:t>distance_km = 6371 · c</w:t>
        <w:br/>
        <w:t>walking_mins = (distance_km / 4.8) · 60</w:t>
      </w:r>
    </w:p>
    <w:p>
      <w:pPr>
        <w:keepNext/>
        <w:spacing w:before="240" w:after="80"/>
      </w:pPr>
      <w:r>
        <w:rPr>
          <w:rFonts w:ascii="Arial" w:hAnsi="Arial"/>
          <w:b/>
          <w:i w:val="0"/>
          <w:color w:val="2C5E94"/>
          <w:sz w:val="26"/>
        </w:rPr>
        <w:t>3.2 Before &amp; After Sanitation Evidence</w:t>
      </w:r>
    </w:p>
    <w:tbl>
      <w:tblPr>
        <w:tblW w:type="auto" w:w="0"/>
        <w:jc w:val="center"/>
        <w:tblLook w:firstColumn="1" w:firstRow="1" w:lastColumn="0" w:lastRow="0" w:noHBand="0" w:noVBand="1" w:val="04A0"/>
      </w:tblPr>
      <w:tblGrid>
        <w:gridCol w:w="3120"/>
        <w:gridCol w:w="3120"/>
        <w:gridCol w:w="3120"/>
      </w:tblGrid>
      <w:tr>
        <w:tc>
          <w:tcPr>
            <w:tcW w:type="dxa" w:w="2592"/>
            <w:shd w:fill="1B365D"/>
            <w:tcMar>
              <w:top w:w="140" w:type="dxa"/>
              <w:bottom w:w="140" w:type="dxa"/>
              <w:left w:w="150" w:type="dxa"/>
              <w:right w:w="150" w:type="dxa"/>
            </w:tcMar>
          </w:tcPr>
          <w:p>
            <w:pPr>
              <w:jc w:val="left"/>
            </w:pPr>
            <w:r>
              <w:rPr>
                <w:rFonts w:ascii="Arial" w:hAnsi="Arial"/>
                <w:b/>
                <w:i w:val="0"/>
                <w:color w:val="FFFFFF"/>
                <w:sz w:val="22"/>
              </w:rPr>
              <w:t>Preprocessing Stage</w:t>
            </w:r>
          </w:p>
        </w:tc>
        <w:tc>
          <w:tcPr>
            <w:tcW w:type="dxa" w:w="3168"/>
            <w:shd w:fill="1B365D"/>
            <w:tcMar>
              <w:top w:w="140" w:type="dxa"/>
              <w:bottom w:w="140" w:type="dxa"/>
              <w:left w:w="150" w:type="dxa"/>
              <w:right w:w="150" w:type="dxa"/>
            </w:tcMar>
          </w:tcPr>
          <w:p>
            <w:pPr>
              <w:jc w:val="left"/>
            </w:pPr>
            <w:r>
              <w:rPr>
                <w:rFonts w:ascii="Arial" w:hAnsi="Arial"/>
                <w:b/>
                <w:i w:val="0"/>
                <w:color w:val="FFFFFF"/>
                <w:sz w:val="22"/>
              </w:rPr>
              <w:t>Raw Input Text</w:t>
            </w:r>
          </w:p>
        </w:tc>
        <w:tc>
          <w:tcPr>
            <w:tcW w:type="dxa" w:w="3600"/>
            <w:shd w:fill="1B365D"/>
            <w:tcMar>
              <w:top w:w="140" w:type="dxa"/>
              <w:bottom w:w="140" w:type="dxa"/>
              <w:left w:w="150" w:type="dxa"/>
              <w:right w:w="150" w:type="dxa"/>
            </w:tcMar>
          </w:tcPr>
          <w:p>
            <w:pPr>
              <w:jc w:val="left"/>
            </w:pPr>
            <w:r>
              <w:rPr>
                <w:rFonts w:ascii="Arial" w:hAnsi="Arial"/>
                <w:b/>
                <w:i w:val="0"/>
                <w:color w:val="FFFFFF"/>
                <w:sz w:val="22"/>
              </w:rPr>
              <w:t>Cleaned / Normalized RAG Output</w:t>
            </w:r>
          </w:p>
        </w:tc>
      </w:tr>
      <w:tr>
        <w:tc>
          <w:tcPr>
            <w:tcW w:type="dxa" w:w="2592"/>
            <w:shd w:fill="FFFFFF"/>
            <w:tcMar>
              <w:top w:w="100" w:type="dxa"/>
              <w:bottom w:w="100" w:type="dxa"/>
              <w:left w:w="150" w:type="dxa"/>
              <w:right w:w="150" w:type="dxa"/>
            </w:tcMar>
          </w:tcPr>
          <w:p>
            <w:r>
              <w:rPr>
                <w:rFonts w:ascii="Arial" w:hAnsi="Arial"/>
                <w:b w:val="0"/>
                <w:i w:val="0"/>
                <w:color w:val="333333"/>
                <w:sz w:val="21"/>
              </w:rPr>
              <w:t>HTML Sanitation</w:t>
            </w:r>
          </w:p>
        </w:tc>
        <w:tc>
          <w:tcPr>
            <w:tcW w:type="dxa" w:w="3168"/>
            <w:shd w:fill="FFFFFF"/>
            <w:tcMar>
              <w:top w:w="100" w:type="dxa"/>
              <w:bottom w:w="100" w:type="dxa"/>
              <w:left w:w="150" w:type="dxa"/>
              <w:right w:w="150" w:type="dxa"/>
            </w:tcMar>
          </w:tcPr>
          <w:p>
            <w:r>
              <w:rPr>
                <w:rFonts w:ascii="Arial" w:hAnsi="Arial"/>
                <w:b w:val="0"/>
                <w:i w:val="0"/>
                <w:color w:val="333333"/>
                <w:sz w:val="21"/>
              </w:rPr>
              <w:t>&lt;p&gt;Quiet dorm near campus.&lt;br&gt;Clean rooms.&lt;/p&gt;</w:t>
            </w:r>
          </w:p>
        </w:tc>
        <w:tc>
          <w:tcPr>
            <w:tcW w:type="dxa" w:w="3600"/>
            <w:shd w:fill="FFFFFF"/>
            <w:tcMar>
              <w:top w:w="100" w:type="dxa"/>
              <w:bottom w:w="100" w:type="dxa"/>
              <w:left w:w="150" w:type="dxa"/>
              <w:right w:w="150" w:type="dxa"/>
            </w:tcMar>
          </w:tcPr>
          <w:p>
            <w:r>
              <w:rPr>
                <w:rFonts w:ascii="Arial" w:hAnsi="Arial"/>
                <w:b w:val="0"/>
                <w:i w:val="0"/>
                <w:color w:val="333333"/>
                <w:sz w:val="21"/>
              </w:rPr>
              <w:t>Quiet dorm near campus. Clean rooms.</w:t>
            </w:r>
          </w:p>
        </w:tc>
      </w:tr>
      <w:tr>
        <w:tc>
          <w:tcPr>
            <w:tcW w:type="dxa" w:w="2592"/>
            <w:shd w:fill="F4F6F9"/>
            <w:tcMar>
              <w:top w:w="100" w:type="dxa"/>
              <w:bottom w:w="100" w:type="dxa"/>
              <w:left w:w="150" w:type="dxa"/>
              <w:right w:w="150" w:type="dxa"/>
            </w:tcMar>
          </w:tcPr>
          <w:p>
            <w:r>
              <w:rPr>
                <w:rFonts w:ascii="Arial" w:hAnsi="Arial"/>
                <w:b w:val="0"/>
                <w:i w:val="0"/>
                <w:color w:val="333333"/>
                <w:sz w:val="21"/>
              </w:rPr>
              <w:t>Gender Terms</w:t>
            </w:r>
          </w:p>
        </w:tc>
        <w:tc>
          <w:tcPr>
            <w:tcW w:type="dxa" w:w="3168"/>
            <w:shd w:fill="F4F6F9"/>
            <w:tcMar>
              <w:top w:w="100" w:type="dxa"/>
              <w:bottom w:w="100" w:type="dxa"/>
              <w:left w:w="150" w:type="dxa"/>
              <w:right w:w="150" w:type="dxa"/>
            </w:tcMar>
          </w:tcPr>
          <w:p>
            <w:r>
              <w:rPr>
                <w:rFonts w:ascii="Arial" w:hAnsi="Arial"/>
                <w:b w:val="0"/>
                <w:i w:val="0"/>
                <w:color w:val="333333"/>
                <w:sz w:val="21"/>
              </w:rPr>
              <w:t>female / female only / Girls</w:t>
            </w:r>
          </w:p>
        </w:tc>
        <w:tc>
          <w:tcPr>
            <w:tcW w:type="dxa" w:w="3600"/>
            <w:shd w:fill="F4F6F9"/>
            <w:tcMar>
              <w:top w:w="100" w:type="dxa"/>
              <w:bottom w:w="100" w:type="dxa"/>
              <w:left w:w="150" w:type="dxa"/>
              <w:right w:w="150" w:type="dxa"/>
            </w:tcMar>
          </w:tcPr>
          <w:p>
            <w:r>
              <w:rPr>
                <w:rFonts w:ascii="Arial" w:hAnsi="Arial"/>
                <w:b w:val="0"/>
                <w:i w:val="0"/>
                <w:color w:val="333333"/>
                <w:sz w:val="21"/>
              </w:rPr>
              <w:t>Female Only</w:t>
            </w:r>
          </w:p>
        </w:tc>
      </w:tr>
      <w:tr>
        <w:tc>
          <w:tcPr>
            <w:tcW w:type="dxa" w:w="2592"/>
            <w:shd w:fill="FFFFFF"/>
            <w:tcMar>
              <w:top w:w="100" w:type="dxa"/>
              <w:bottom w:w="100" w:type="dxa"/>
              <w:left w:w="150" w:type="dxa"/>
              <w:right w:w="150" w:type="dxa"/>
            </w:tcMar>
          </w:tcPr>
          <w:p>
            <w:r>
              <w:rPr>
                <w:rFonts w:ascii="Arial" w:hAnsi="Arial"/>
                <w:b w:val="0"/>
                <w:i w:val="0"/>
                <w:color w:val="333333"/>
                <w:sz w:val="21"/>
              </w:rPr>
              <w:t>Spatial Computing</w:t>
            </w:r>
          </w:p>
        </w:tc>
        <w:tc>
          <w:tcPr>
            <w:tcW w:type="dxa" w:w="3168"/>
            <w:shd w:fill="FFFFFF"/>
            <w:tcMar>
              <w:top w:w="100" w:type="dxa"/>
              <w:bottom w:w="100" w:type="dxa"/>
              <w:left w:w="150" w:type="dxa"/>
              <w:right w:w="150" w:type="dxa"/>
            </w:tcMar>
          </w:tcPr>
          <w:p>
            <w:r>
              <w:rPr>
                <w:rFonts w:ascii="Arial" w:hAnsi="Arial"/>
                <w:b w:val="0"/>
                <w:i w:val="0"/>
                <w:color w:val="333333"/>
                <w:sz w:val="21"/>
              </w:rPr>
              <w:t>Lat: 10.13684, Lon: 124.32319</w:t>
            </w:r>
          </w:p>
        </w:tc>
        <w:tc>
          <w:tcPr>
            <w:tcW w:type="dxa" w:w="3600"/>
            <w:shd w:fill="FFFFFF"/>
            <w:tcMar>
              <w:top w:w="100" w:type="dxa"/>
              <w:bottom w:w="100" w:type="dxa"/>
              <w:left w:w="150" w:type="dxa"/>
              <w:right w:w="150" w:type="dxa"/>
            </w:tcMar>
          </w:tcPr>
          <w:p>
            <w:r>
              <w:rPr>
                <w:rFonts w:ascii="Arial" w:hAnsi="Arial"/>
                <w:b w:val="0"/>
                <w:i w:val="0"/>
                <w:color w:val="333333"/>
                <w:sz w:val="21"/>
              </w:rPr>
              <w:t>4.91 km from TPC Campus (~61.3 mins walk)</w:t>
            </w:r>
          </w:p>
        </w:tc>
      </w:tr>
      <w:tr>
        <w:tc>
          <w:tcPr>
            <w:tcW w:type="dxa" w:w="2592"/>
            <w:shd w:fill="F4F6F9"/>
            <w:tcMar>
              <w:top w:w="100" w:type="dxa"/>
              <w:bottom w:w="100" w:type="dxa"/>
              <w:left w:w="150" w:type="dxa"/>
              <w:right w:w="150" w:type="dxa"/>
            </w:tcMar>
          </w:tcPr>
          <w:p>
            <w:r>
              <w:rPr>
                <w:rFonts w:ascii="Arial" w:hAnsi="Arial"/>
                <w:b w:val="0"/>
                <w:i w:val="0"/>
                <w:color w:val="333333"/>
                <w:sz w:val="21"/>
              </w:rPr>
              <w:t>Document Chunking</w:t>
            </w:r>
          </w:p>
        </w:tc>
        <w:tc>
          <w:tcPr>
            <w:tcW w:type="dxa" w:w="3168"/>
            <w:shd w:fill="F4F6F9"/>
            <w:tcMar>
              <w:top w:w="100" w:type="dxa"/>
              <w:bottom w:w="100" w:type="dxa"/>
              <w:left w:w="150" w:type="dxa"/>
              <w:right w:w="150" w:type="dxa"/>
            </w:tcMar>
          </w:tcPr>
          <w:p>
            <w:r>
              <w:rPr>
                <w:rFonts w:ascii="Arial" w:hAnsi="Arial"/>
                <w:b w:val="0"/>
                <w:i w:val="0"/>
                <w:color w:val="333333"/>
                <w:sz w:val="21"/>
              </w:rPr>
              <w:t>Raw JSON key-values</w:t>
            </w:r>
          </w:p>
        </w:tc>
        <w:tc>
          <w:tcPr>
            <w:tcW w:type="dxa" w:w="3600"/>
            <w:shd w:fill="F4F6F9"/>
            <w:tcMar>
              <w:top w:w="100" w:type="dxa"/>
              <w:bottom w:w="100" w:type="dxa"/>
              <w:left w:w="150" w:type="dxa"/>
              <w:right w:w="150" w:type="dxa"/>
            </w:tcMar>
          </w:tcPr>
          <w:p>
            <w:r>
              <w:rPr>
                <w:rFonts w:ascii="Arial" w:hAnsi="Arial"/>
                <w:b w:val="0"/>
                <w:i w:val="0"/>
                <w:color w:val="333333"/>
                <w:sz w:val="21"/>
              </w:rPr>
              <w:t>BOARDING HOUSE LISTING: Torres Boarding House</w:t>
              <w:br/>
              <w:t>Address: Purok-4 San Isidro, Talibon, Bohol</w:t>
              <w:br/>
              <w:t>Monthly Rent: ₱700</w:t>
              <w:br/>
              <w:t>Direct Link: https://eboardmate.onrender.com/boarding-houses/torres-boarding-house</w:t>
            </w:r>
          </w:p>
        </w:tc>
      </w:tr>
    </w:tbl>
    <w:p>
      <w:pPr>
        <w:keepNext/>
        <w:spacing w:before="320" w:after="120"/>
      </w:pPr>
      <w:r>
        <w:rPr>
          <w:rFonts w:ascii="Arial" w:hAnsi="Arial"/>
          <w:b/>
          <w:i w:val="0"/>
          <w:color w:val="1B365D"/>
          <w:sz w:val="30"/>
        </w:rPr>
        <w:t>4. Embedding Generation Demo &amp; Model Justification</w:t>
      </w:r>
    </w:p>
    <w:p>
      <w:pPr>
        <w:spacing w:before="0" w:after="120" w:line="288" w:lineRule="auto"/>
      </w:pPr>
      <w:r>
        <w:rPr>
          <w:rFonts w:ascii="Arial" w:hAnsi="Arial"/>
          <w:b w:val="0"/>
          <w:i w:val="0"/>
          <w:color w:val="333333"/>
          <w:sz w:val="24"/>
        </w:rPr>
        <w:t>Chosen Dense Embedding Model: sentence-transformers/all-MiniLM-L6-v2</w:t>
      </w:r>
    </w:p>
    <w:p>
      <w:pPr>
        <w:keepNext/>
        <w:spacing w:before="240" w:after="80"/>
      </w:pPr>
      <w:r>
        <w:rPr>
          <w:rFonts w:ascii="Arial" w:hAnsi="Arial"/>
          <w:b/>
          <w:i w:val="0"/>
          <w:color w:val="2C5E94"/>
          <w:sz w:val="26"/>
        </w:rPr>
        <w:t>4.1 Model Justification</w:t>
      </w:r>
    </w:p>
    <w:p>
      <w:pPr>
        <w:pStyle w:val="ListBullet"/>
        <w:spacing w:before="0" w:after="60" w:line="276" w:lineRule="auto"/>
      </w:pPr>
      <w:r>
        <w:rPr>
          <w:rFonts w:ascii="Arial" w:hAnsi="Arial"/>
          <w:b/>
          <w:i w:val="0"/>
          <w:color w:val="333333"/>
          <w:sz w:val="23"/>
        </w:rPr>
        <w:t xml:space="preserve">• </w:t>
      </w:r>
      <w:r>
        <w:rPr>
          <w:rFonts w:ascii="Arial" w:hAnsi="Arial"/>
          <w:b w:val="0"/>
          <w:i w:val="0"/>
          <w:color w:val="333333"/>
          <w:sz w:val="23"/>
        </w:rPr>
        <w:t>Dimensional Efficiency (384-dim): Produces compact 384-dimensional dense vectors, significantly reducing RAM memory overhead and ChromaDB vector store disk footprint.</w:t>
      </w:r>
    </w:p>
    <w:p>
      <w:pPr>
        <w:pStyle w:val="ListBullet"/>
        <w:spacing w:before="0" w:after="60" w:line="276" w:lineRule="auto"/>
      </w:pPr>
      <w:r>
        <w:rPr>
          <w:rFonts w:ascii="Arial" w:hAnsi="Arial"/>
          <w:b/>
          <w:i w:val="0"/>
          <w:color w:val="333333"/>
          <w:sz w:val="23"/>
        </w:rPr>
        <w:t xml:space="preserve">• </w:t>
      </w:r>
      <w:r>
        <w:rPr>
          <w:rFonts w:ascii="Arial" w:hAnsi="Arial"/>
          <w:b w:val="0"/>
          <w:i w:val="0"/>
          <w:color w:val="333333"/>
          <w:sz w:val="23"/>
        </w:rPr>
        <w:t>L2 Normalization (||x||₂ = 1.0): Pre-normalizes all embedding vectors, making Cosine Similarity mathematically identical to Dot Product and accelerating CPU vector lookups.</w:t>
      </w:r>
    </w:p>
    <w:p>
      <w:pPr>
        <w:pStyle w:val="ListBullet"/>
        <w:spacing w:before="0" w:after="60" w:line="276" w:lineRule="auto"/>
      </w:pPr>
      <w:r>
        <w:rPr>
          <w:rFonts w:ascii="Arial" w:hAnsi="Arial"/>
          <w:b/>
          <w:i w:val="0"/>
          <w:color w:val="333333"/>
          <w:sz w:val="23"/>
        </w:rPr>
        <w:t xml:space="preserve">• </w:t>
      </w:r>
      <w:r>
        <w:rPr>
          <w:rFonts w:ascii="Arial" w:hAnsi="Arial"/>
          <w:b w:val="0"/>
          <w:i w:val="0"/>
          <w:color w:val="333333"/>
          <w:sz w:val="23"/>
        </w:rPr>
        <w:t>Ultra-Low CPU Latency (~12ms): Generates embeddings rapidly without requiring expensive GPU infrastructure, perfect for live web deployment on Render.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D0D7DE"/>
              <w:left w:val="single" w:sz="12" w:space="0" w:color="1B365D"/>
              <w:bottom w:val="single" w:sz="4" w:space="0" w:color="D0D7DE"/>
              <w:right w:val="single" w:sz="4" w:space="0" w:color="D0D7DE"/>
            </w:tcBorders>
          </w:tcPr>
          <w:p>
            <w:pPr>
              <w:spacing w:before="0" w:after="0" w:line="276" w:lineRule="auto"/>
            </w:pPr>
            <w:r>
              <w:rPr>
                <w:rFonts w:ascii="Consolas" w:hAnsi="Consolas"/>
                <w:b w:val="0"/>
                <w:i w:val="0"/>
                <w:color w:val="24292F"/>
                <w:sz w:val="19"/>
              </w:rPr>
              <w:t># Embedding Generation Code (src/embeddings_demo.py)</w:t>
              <w:br/>
              <w:t>from sentence_transformers import SentenceTransformer</w:t>
              <w:br/>
              <w:t>import numpy as np</w:t>
              <w:br/>
              <w:br/>
              <w:t>model = SentenceTransformer('sentence-transformers/all-MiniLM-L6-v2')</w:t>
              <w:br/>
              <w:t>text = 'BOARDING HOUSE LISTING: Torres Boarding House...'</w:t>
              <w:br/>
              <w:t>vector = model.encode(text)</w:t>
              <w:br/>
              <w:t>print(f'Vector Shape: {vector.shape}')  # Output: (384,)</w:t>
              <w:br/>
              <w:t>print(f'L2 Norm: {np.linalg.norm(vector):.4f}')  # Output: 1.0000</w:t>
            </w:r>
          </w:p>
        </w:tc>
      </w:tr>
    </w:tbl>
    <w:p>
      <w:pPr>
        <w:spacing w:before="0" w:after="80"/>
      </w:pPr>
    </w:p>
    <w:p>
      <w:pPr>
        <w:keepNext/>
        <w:spacing w:before="320" w:after="120"/>
      </w:pPr>
      <w:r>
        <w:rPr>
          <w:rFonts w:ascii="Arial" w:hAnsi="Arial"/>
          <w:b/>
          <w:i w:val="0"/>
          <w:color w:val="1B365D"/>
          <w:sz w:val="30"/>
        </w:rPr>
        <w:t>5. Reflection Report: Messy Real-World Data &amp; Engineering Solutions (½ Page)</w:t>
      </w:r>
    </w:p>
    <w:p>
      <w:pPr>
        <w:spacing w:before="0" w:after="120" w:line="288" w:lineRule="auto"/>
      </w:pPr>
      <w:r>
        <w:rPr>
          <w:rFonts w:ascii="Arial" w:hAnsi="Arial"/>
          <w:b w:val="0"/>
          <w:i w:val="0"/>
          <w:color w:val="333333"/>
          <w:sz w:val="24"/>
        </w:rPr>
        <w:t>Real-world web data extracted from boarding house platforms presents several data quality anomalies: (1) HTML markup residue inside text descriptions; (2) Inconsistent address syntax (e.g., 'San Isidro Talibon,Bohol' vs 'Purok-4 San Isidro'); (3) Ambiguous utility billing descriptors (e.g., 'free water' vs 'water sub-metered'); and (4) Incomplete coordinate pairs.</w:t>
      </w:r>
    </w:p>
    <w:p>
      <w:pPr>
        <w:spacing w:before="0" w:after="120" w:line="288" w:lineRule="auto"/>
      </w:pPr>
      <w:r>
        <w:rPr>
          <w:rFonts w:ascii="Arial" w:hAnsi="Arial"/>
          <w:b w:val="0"/>
          <w:i w:val="0"/>
          <w:color w:val="333333"/>
          <w:sz w:val="24"/>
        </w:rPr>
        <w:t>To mitigate these anomalies, our data engineering pipeline implemented strict regex HTML stripping, UTF-8 normalization, fallback geocoding to San Isidro Talibon center coordinates, and standardized boolean utility indicators. By transforming messy raw text into structured RAG chunks, the Gemini LLM model receives clean, unambiguous context, eliminating hallucination risks.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