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POD RSC — SOFTWARE PROGRAM</w:t>
        <w:br/>
      </w:r>
      <w:r>
        <w:rPr>
          <w:sz w:val="24"/>
        </w:rPr>
        <w:t>Integrated Smart Campus Vehicle Management System</w:t>
        <w:br/>
        <w:t>TEAM HAVERFIELD</w:t>
        <w:br/>
      </w:r>
      <w:r>
        <w:rPr>
          <w:sz w:val="22"/>
        </w:rPr>
        <w:t>Action taken, checked against the deployed system (www.iscvms.com), 18 October 2026</w:t>
      </w:r>
    </w:p>
    <w:p>
      <w:r>
        <w:t>These answers cover only the Software Program section of the 12 October 2026 RSC. Each action was checked in the running system.</w:t>
      </w:r>
    </w:p>
    <w:tbl>
      <w:tblPr>
        <w:tblStyle w:val="TableGrid"/>
        <w:tblW w:type="auto" w:w="0"/>
        <w:tblLook w:firstColumn="1" w:firstRow="1" w:lastColumn="0" w:lastRow="0" w:noHBand="0" w:noVBand="1" w:val="04A0"/>
      </w:tblPr>
      <w:tblGrid>
        <w:gridCol w:w="5568"/>
        <w:gridCol w:w="5568"/>
        <w:gridCol w:w="5568"/>
      </w:tblGrid>
      <w:tr>
        <w:tc>
          <w:tcPr>
            <w:tcW w:type="dxa" w:w="5568"/>
          </w:tcPr>
          <w:p>
            <w:r>
              <w:rPr>
                <w:b/>
              </w:rPr>
              <w:t>Module</w:t>
            </w:r>
          </w:p>
        </w:tc>
        <w:tc>
          <w:tcPr>
            <w:tcW w:type="dxa" w:w="5568"/>
          </w:tcPr>
          <w:p>
            <w:r>
              <w:rPr>
                <w:b/>
              </w:rPr>
              <w:t>Panel comment</w:t>
            </w:r>
          </w:p>
        </w:tc>
        <w:tc>
          <w:tcPr>
            <w:tcW w:type="dxa" w:w="5568"/>
          </w:tcPr>
          <w:p>
            <w:r>
              <w:rPr>
                <w:b/>
              </w:rPr>
              <w:t>Action taken</w:t>
            </w:r>
          </w:p>
        </w:tc>
      </w:tr>
      <w:tr>
        <w:tc>
          <w:tcPr>
            <w:tcW w:type="dxa" w:w="5568"/>
          </w:tcPr>
          <w:p>
            <w:r>
              <w:rPr>
                <w:sz w:val="18"/>
              </w:rPr>
              <w:t>Vehicle Registration</w:t>
            </w:r>
          </w:p>
        </w:tc>
        <w:tc>
          <w:tcPr>
            <w:tcW w:type="dxa" w:w="5568"/>
          </w:tcPr>
          <w:p>
            <w:r>
              <w:rPr>
                <w:sz w:val="18"/>
              </w:rPr>
              <w:t>Admin should receive a notification when a new application is pending and needs immediate action.</w:t>
            </w:r>
          </w:p>
        </w:tc>
        <w:tc>
          <w:tcPr>
            <w:tcW w:type="dxa" w:w="5568"/>
          </w:tcPr>
          <w:p>
            <w:r>
              <w:rPr>
                <w:sz w:val="18"/>
              </w:rPr>
              <w:t>Done. When an applicant submits a vehicle registration, every granted Admin account receives a notification titled “New registration pending,” with the message that the application needs immediate review. The same alert is sent again if the applicant resubmits. Admins open it from the Notifications page.</w:t>
            </w:r>
          </w:p>
        </w:tc>
      </w:tr>
      <w:tr>
        <w:tc>
          <w:tcPr>
            <w:tcW w:type="dxa" w:w="5568"/>
          </w:tcPr>
          <w:p>
            <w:r>
              <w:rPr>
                <w:sz w:val="18"/>
              </w:rPr>
              <w:t>Vehicle Registration</w:t>
            </w:r>
          </w:p>
        </w:tc>
        <w:tc>
          <w:tcPr>
            <w:tcW w:type="dxa" w:w="5568"/>
          </w:tcPr>
          <w:p>
            <w:r>
              <w:rPr>
                <w:sz w:val="18"/>
              </w:rPr>
              <w:t>Admin should be able to remove or revoke an approval made by accident.</w:t>
            </w:r>
          </w:p>
        </w:tc>
        <w:tc>
          <w:tcPr>
            <w:tcW w:type="dxa" w:w="5568"/>
          </w:tcPr>
          <w:p>
            <w:r>
              <w:rPr>
                <w:sz w:val="18"/>
              </w:rPr>
              <w:t>Done. On Admin Registrations, an approved applicant has Remove approval. The admin must enter a reason. The account returns to Pending, gate access is set back to pending, the RFID link is cleared, and the applicant is notified.</w:t>
            </w:r>
          </w:p>
        </w:tc>
      </w:tr>
      <w:tr>
        <w:tc>
          <w:tcPr>
            <w:tcW w:type="dxa" w:w="5568"/>
          </w:tcPr>
          <w:p>
            <w:r>
              <w:rPr>
                <w:sz w:val="18"/>
              </w:rPr>
              <w:t>Vehicle Registration</w:t>
            </w:r>
          </w:p>
        </w:tc>
        <w:tc>
          <w:tcPr>
            <w:tcW w:type="dxa" w:w="5568"/>
          </w:tcPr>
          <w:p>
            <w:r>
              <w:rPr>
                <w:sz w:val="18"/>
              </w:rPr>
              <w:t>Provide real OR and CR data, not an AI-generated document.</w:t>
            </w:r>
          </w:p>
        </w:tc>
        <w:tc>
          <w:tcPr>
            <w:tcW w:type="dxa" w:w="5568"/>
          </w:tcPr>
          <w:p>
            <w:r>
              <w:rPr>
                <w:sz w:val="18"/>
              </w:rPr>
              <w:t>Done for document checking. The registration form requires a photo of the LTO Official Receipt and Certificate of Registration. The system reads each photo. A file that does not look like an LTO OR or CR is rejected. The owner name and plate read from the photo must match the form. The system does not use a separate detector for AI-made images; it accepts only a photo it can read as the real LTO document.</w:t>
            </w:r>
          </w:p>
        </w:tc>
      </w:tr>
      <w:tr>
        <w:tc>
          <w:tcPr>
            <w:tcW w:type="dxa" w:w="5568"/>
          </w:tcPr>
          <w:p>
            <w:r>
              <w:rPr>
                <w:sz w:val="18"/>
              </w:rPr>
              <w:t>Vehicle Registration</w:t>
            </w:r>
          </w:p>
        </w:tc>
        <w:tc>
          <w:tcPr>
            <w:tcW w:type="dxa" w:w="5568"/>
          </w:tcPr>
          <w:p>
            <w:r>
              <w:rPr>
                <w:sz w:val="18"/>
              </w:rPr>
              <w:t>If an ID or driver’s license is uploaded, can the system identify the person?</w:t>
            </w:r>
          </w:p>
        </w:tc>
        <w:tc>
          <w:tcPr>
            <w:tcW w:type="dxa" w:w="5568"/>
          </w:tcPr>
          <w:p>
            <w:r>
              <w:rPr>
                <w:sz w:val="18"/>
              </w:rPr>
              <w:t>Done. The school ID is read for the name and student number. The driver’s license is read for the name and license number. The profile photo, school ID, and license are compared, and registration is blocked when they are not the same person or the names do not match.</w:t>
            </w:r>
          </w:p>
        </w:tc>
      </w:tr>
      <w:tr>
        <w:tc>
          <w:tcPr>
            <w:tcW w:type="dxa" w:w="5568"/>
          </w:tcPr>
          <w:p>
            <w:r>
              <w:rPr>
                <w:sz w:val="18"/>
              </w:rPr>
              <w:t>Vehicle Registration</w:t>
            </w:r>
          </w:p>
        </w:tc>
        <w:tc>
          <w:tcPr>
            <w:tcW w:type="dxa" w:w="5568"/>
          </w:tcPr>
          <w:p>
            <w:r>
              <w:rPr>
                <w:sz w:val="18"/>
              </w:rPr>
              <w:t>If the typed driver’s license number is different from the uploaded license, can the system detect it?</w:t>
            </w:r>
          </w:p>
        </w:tc>
        <w:tc>
          <w:tcPr>
            <w:tcW w:type="dxa" w:w="5568"/>
          </w:tcPr>
          <w:p>
            <w:r>
              <w:rPr>
                <w:sz w:val="18"/>
              </w:rPr>
              <w:t>Done. The number typed on the form is compared with the number read from the license photo. If they differ, registration stops with “The license number on the form does not match the driver’s license photo.”</w:t>
            </w:r>
          </w:p>
        </w:tc>
      </w:tr>
      <w:tr>
        <w:tc>
          <w:tcPr>
            <w:tcW w:type="dxa" w:w="5568"/>
          </w:tcPr>
          <w:p>
            <w:r>
              <w:rPr>
                <w:sz w:val="18"/>
              </w:rPr>
              <w:t>Vehicle Registration</w:t>
            </w:r>
          </w:p>
        </w:tc>
        <w:tc>
          <w:tcPr>
            <w:tcW w:type="dxa" w:w="5568"/>
          </w:tcPr>
          <w:p>
            <w:r>
              <w:rPr>
                <w:sz w:val="18"/>
              </w:rPr>
              <w:t>Plate numbers should be recognized.</w:t>
            </w:r>
          </w:p>
        </w:tc>
        <w:tc>
          <w:tcPr>
            <w:tcW w:type="dxa" w:w="5568"/>
          </w:tcPr>
          <w:p>
            <w:r>
              <w:rPr>
                <w:sz w:val="18"/>
              </w:rPr>
              <w:t>Done. The plate is read from the driver’s license, the OR, and the CR, and it must match the plate typed on the form. On the live cameras, the AI parking monitor reads plate numbers from the camera and the guard can open a plate lookup.</w:t>
            </w:r>
          </w:p>
        </w:tc>
      </w:tr>
      <w:tr>
        <w:tc>
          <w:tcPr>
            <w:tcW w:type="dxa" w:w="5568"/>
          </w:tcPr>
          <w:p>
            <w:r>
              <w:rPr>
                <w:sz w:val="18"/>
              </w:rPr>
              <w:t>Violation Tracking</w:t>
            </w:r>
          </w:p>
        </w:tc>
        <w:tc>
          <w:tcPr>
            <w:tcW w:type="dxa" w:w="5568"/>
          </w:tcPr>
          <w:p>
            <w:r>
              <w:rPr>
                <w:sz w:val="18"/>
              </w:rPr>
              <w:t>The system’s determination of violations was inconsistent.</w:t>
            </w:r>
          </w:p>
        </w:tc>
        <w:tc>
          <w:tcPr>
            <w:tcW w:type="dxa" w:w="5568"/>
          </w:tcPr>
          <w:p>
            <w:r>
              <w:rPr>
                <w:sz w:val="18"/>
              </w:rPr>
              <w:t>Addressed. The strike count is now taken from the violation logs, so the count and the listed violations stay on the same record. A first offense is a warning. A second offense is endorsed to the GSU. A third offense is verified by the GSU and sent to the VPAF. A sanction is applied only after that approval.</w:t>
            </w:r>
          </w:p>
        </w:tc>
      </w:tr>
      <w:tr>
        <w:tc>
          <w:tcPr>
            <w:tcW w:type="dxa" w:w="5568"/>
          </w:tcPr>
          <w:p>
            <w:r>
              <w:rPr>
                <w:sz w:val="18"/>
              </w:rPr>
              <w:t>Violation Tracking</w:t>
            </w:r>
          </w:p>
        </w:tc>
        <w:tc>
          <w:tcPr>
            <w:tcW w:type="dxa" w:w="5568"/>
          </w:tcPr>
          <w:p>
            <w:r>
              <w:rPr>
                <w:sz w:val="18"/>
              </w:rPr>
              <w:t>GSU endorses violations and suspensions. VPAF must approve endorsements under the policy.</w:t>
            </w:r>
          </w:p>
        </w:tc>
        <w:tc>
          <w:tcPr>
            <w:tcW w:type="dxa" w:w="5568"/>
          </w:tcPr>
          <w:p>
            <w:r>
              <w:rPr>
                <w:sz w:val="18"/>
              </w:rPr>
              <w:t>Done. A second offense waits for the GSU. Approval suspends the parking permit for six months. A third offense is endorsed by the GSU to the VPAF. Parking privileges are revoked only after the VPAF approves. Rejected endorsements do not apply the sanction.</w:t>
            </w:r>
          </w:p>
        </w:tc>
      </w:tr>
      <w:tr>
        <w:tc>
          <w:tcPr>
            <w:tcW w:type="dxa" w:w="5568"/>
          </w:tcPr>
          <w:p>
            <w:r>
              <w:rPr>
                <w:sz w:val="18"/>
              </w:rPr>
              <w:t>AI-Powered Parking Monitoring</w:t>
            </w:r>
          </w:p>
        </w:tc>
        <w:tc>
          <w:tcPr>
            <w:tcW w:type="dxa" w:w="5568"/>
          </w:tcPr>
          <w:p>
            <w:r>
              <w:rPr>
                <w:sz w:val="18"/>
              </w:rPr>
              <w:t>Can the system record and replay CCTV if an incident happens?</w:t>
            </w:r>
          </w:p>
        </w:tc>
        <w:tc>
          <w:tcPr>
            <w:tcW w:type="dxa" w:w="5568"/>
          </w:tcPr>
          <w:p>
            <w:r>
              <w:rPr>
                <w:sz w:val="18"/>
              </w:rPr>
              <w:t>Done. Admin and Guard each have Incident Clips. A clip is saved from the live camera picture, stored privately, and can be played back from the clips list.</w:t>
            </w:r>
          </w:p>
        </w:tc>
      </w:tr>
      <w:tr>
        <w:tc>
          <w:tcPr>
            <w:tcW w:type="dxa" w:w="5568"/>
          </w:tcPr>
          <w:p>
            <w:r>
              <w:rPr>
                <w:sz w:val="18"/>
              </w:rPr>
              <w:t>Parking Monitoring</w:t>
            </w:r>
          </w:p>
        </w:tc>
        <w:tc>
          <w:tcPr>
            <w:tcW w:type="dxa" w:w="5568"/>
          </w:tcPr>
          <w:p>
            <w:r>
              <w:rPr>
                <w:sz w:val="18"/>
              </w:rPr>
              <w:t>Guards must check a plate, see whether overnight parking is allowed, and see proof that the stay is valid.</w:t>
            </w:r>
          </w:p>
        </w:tc>
        <w:tc>
          <w:tcPr>
            <w:tcW w:type="dxa" w:w="5568"/>
          </w:tcPr>
          <w:p>
            <w:r>
              <w:rPr>
                <w:sz w:val="18"/>
              </w:rPr>
              <w:t>Done. The user must attach proof (JPG, PNG, or PDF) when requesting overnight parking. The guard uses Plate Lookup. An approved request shows the allowed window. Pending and rejected requests are labeled. The guard can open the uploaded proof from the result.</w:t>
            </w:r>
          </w:p>
        </w:tc>
      </w:tr>
      <w:tr>
        <w:tc>
          <w:tcPr>
            <w:tcW w:type="dxa" w:w="5568"/>
          </w:tcPr>
          <w:p>
            <w:r>
              <w:rPr>
                <w:sz w:val="18"/>
              </w:rPr>
              <w:t>All</w:t>
            </w:r>
          </w:p>
        </w:tc>
        <w:tc>
          <w:tcPr>
            <w:tcW w:type="dxa" w:w="5568"/>
          </w:tcPr>
          <w:p>
            <w:r>
              <w:rPr>
                <w:sz w:val="18"/>
              </w:rPr>
              <w:t>Response time was too long on localhost. Optimize the system.</w:t>
            </w:r>
          </w:p>
        </w:tc>
        <w:tc>
          <w:tcPr>
            <w:tcW w:type="dxa" w:w="5568"/>
          </w:tcPr>
          <w:p>
            <w:r>
              <w:rPr>
                <w:sz w:val="18"/>
              </w:rPr>
              <w:t>Retested after deployment on https://www.iscvms.com, 18 October 2026, using Apache JMeter 5.6.3. Login page: 175 ms average at 10 users and 148 ms at 30 users, 0.00% error. At 50 users the average was 197 ms and the error rate stayed 0.00%. The 10-minute soak completed 23,189 requests at 0.00% error. Results are in the JMeter reliability answers.</w:t>
            </w:r>
          </w:p>
        </w:tc>
      </w:tr>
      <w:tr>
        <w:tc>
          <w:tcPr>
            <w:tcW w:type="dxa" w:w="5568"/>
          </w:tcPr>
          <w:p>
            <w:r>
              <w:rPr>
                <w:sz w:val="18"/>
              </w:rPr>
              <w:t>All</w:t>
            </w:r>
          </w:p>
        </w:tc>
        <w:tc>
          <w:tcPr>
            <w:tcW w:type="dxa" w:w="5568"/>
          </w:tcPr>
          <w:p>
            <w:r>
              <w:rPr>
                <w:sz w:val="18"/>
              </w:rPr>
              <w:t>By FOD the system should be deployed, and testing after deployment should be presented.</w:t>
            </w:r>
          </w:p>
        </w:tc>
        <w:tc>
          <w:tcPr>
            <w:tcW w:type="dxa" w:w="5568"/>
          </w:tcPr>
          <w:p>
            <w:r>
              <w:rPr>
                <w:sz w:val="18"/>
              </w:rPr>
              <w:t>Done. The system is deployed at https://www.iscvms.com. Post-deployment testing is recorded in the JMeter reliability questionnaire and the OWASP ZAP security questionnaire, both dated 18 October 2026. Manual security cases were 18 passed and 0 failed. ZAP reported 0 High alerts.</w:t>
            </w:r>
          </w:p>
        </w:tc>
      </w:tr>
      <w:tr>
        <w:tc>
          <w:tcPr>
            <w:tcW w:type="dxa" w:w="5568"/>
          </w:tcPr>
          <w:p>
            <w:r>
              <w:rPr>
                <w:sz w:val="18"/>
              </w:rPr>
              <w:t>All</w:t>
            </w:r>
          </w:p>
        </w:tc>
        <w:tc>
          <w:tcPr>
            <w:tcW w:type="dxa" w:w="5568"/>
          </w:tcPr>
          <w:p>
            <w:r>
              <w:rPr>
                <w:sz w:val="18"/>
              </w:rPr>
              <w:t>Provide written approval that the GSU will allow deployment, for SO4.</w:t>
            </w:r>
          </w:p>
        </w:tc>
        <w:tc>
          <w:tcPr>
            <w:tcW w:type="dxa" w:w="5568"/>
          </w:tcPr>
          <w:p>
            <w:r>
              <w:rPr>
                <w:sz w:val="18"/>
              </w:rPr>
              <w:t>Not a system function. The signed GSU letter is a paper attachment the team must bring to the recheck. It is not stored in the website.</w:t>
            </w:r>
          </w:p>
        </w:tc>
      </w:tr>
      <w:tr>
        <w:tc>
          <w:tcPr>
            <w:tcW w:type="dxa" w:w="5568"/>
          </w:tcPr>
          <w:p>
            <w:r>
              <w:rPr>
                <w:sz w:val="18"/>
              </w:rPr>
              <w:t>All</w:t>
            </w:r>
          </w:p>
        </w:tc>
        <w:tc>
          <w:tcPr>
            <w:tcW w:type="dxa" w:w="5568"/>
          </w:tcPr>
          <w:p>
            <w:r>
              <w:rPr>
                <w:sz w:val="18"/>
              </w:rPr>
              <w:t>Fix the remaining bugs and add the features the panel asked for. Recheck is 19 October 2026.</w:t>
            </w:r>
          </w:p>
        </w:tc>
        <w:tc>
          <w:tcPr>
            <w:tcW w:type="dxa" w:w="5568"/>
          </w:tcPr>
          <w:p>
            <w:r>
              <w:rPr>
                <w:sz w:val="18"/>
              </w:rPr>
              <w:t>The registration alerts, approval removal, document checks, plate reading, GSU-to-VPAF endorsements, incident clips, and overnight proof are in the deployed system. The JMeter and ZAP tests on 18 October 2026 are the recheck evidence for speed and security.</w:t>
            </w:r>
          </w:p>
        </w:tc>
      </w:tr>
    </w:tbl>
    <w:p/>
    <w:p>
      <w:r>
        <w:rPr>
          <w:b/>
        </w:rPr>
        <w:t xml:space="preserve">Noted for the 19 October 2026 recheck. </w:t>
      </w:r>
      <w:r>
        <w:t>The only item that is not answered inside the system is the signed GSU deployment letter.</w:t>
      </w:r>
    </w:p>
    <w:sectPr w:rsidR="00FC693F" w:rsidRPr="0006063C" w:rsidSect="00034616">
      <w:pgSz w:w="1872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