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5258C" w14:textId="20110476" w:rsidR="008467D5" w:rsidRPr="00BE35ED" w:rsidRDefault="000E04AD" w:rsidP="00013360">
      <w:pPr>
        <w:tabs>
          <w:tab w:val="left" w:pos="-1440"/>
          <w:tab w:val="left" w:pos="-720"/>
          <w:tab w:val="left" w:pos="1"/>
          <w:tab w:val="right" w:pos="9360"/>
        </w:tabs>
        <w:jc w:val="both"/>
        <w:rPr>
          <w:rFonts w:ascii="Arial" w:hAnsi="Arial"/>
          <w:sz w:val="24"/>
          <w:lang w:val="en-GB"/>
        </w:rPr>
      </w:pPr>
      <w:r w:rsidRPr="000E04AD">
        <w:rPr>
          <w:rFonts w:ascii="Arial" w:hAnsi="Arial"/>
          <w:b/>
          <w:noProof/>
          <w:sz w:val="24"/>
          <w:lang w:val="en-GB" w:eastAsia="en-GB"/>
        </w:rPr>
        <w:drawing>
          <wp:inline distT="0" distB="0" distL="0" distR="0" wp14:anchorId="47E4F690" wp14:editId="35D3C808">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AA177F5" w14:textId="1D33663F" w:rsidR="00856D9F" w:rsidRPr="00BE35ED" w:rsidRDefault="00856D9F" w:rsidP="000E04AD">
      <w:pPr>
        <w:pBdr>
          <w:bottom w:val="single" w:sz="18" w:space="1" w:color="auto"/>
        </w:pBdr>
        <w:tabs>
          <w:tab w:val="left" w:pos="-1440"/>
          <w:tab w:val="left" w:pos="-720"/>
          <w:tab w:val="left" w:pos="1"/>
          <w:tab w:val="left" w:pos="2730"/>
        </w:tabs>
        <w:jc w:val="both"/>
        <w:rPr>
          <w:rFonts w:ascii="Arial" w:hAnsi="Arial"/>
          <w:b/>
          <w:sz w:val="24"/>
          <w:lang w:val="en-GB"/>
        </w:rPr>
      </w:pPr>
    </w:p>
    <w:p w14:paraId="6F83AB2C" w14:textId="410229F8" w:rsidR="00D75295" w:rsidRPr="00BE35ED" w:rsidRDefault="000E04AD" w:rsidP="00F105B7">
      <w:pPr>
        <w:pStyle w:val="ProductNumber"/>
        <w:rPr>
          <w:lang w:val="en-GB"/>
        </w:rPr>
      </w:pPr>
      <w:r>
        <w:rPr>
          <w:lang w:val="en-GB"/>
        </w:rPr>
        <w:t>9B17A</w:t>
      </w:r>
      <w:r w:rsidR="004A5CAC">
        <w:rPr>
          <w:lang w:val="en-GB"/>
        </w:rPr>
        <w:t>010</w:t>
      </w:r>
    </w:p>
    <w:p w14:paraId="294AA787" w14:textId="77777777" w:rsidR="00D75295" w:rsidRPr="00BE35ED" w:rsidRDefault="00D75295" w:rsidP="00D75295">
      <w:pPr>
        <w:jc w:val="right"/>
        <w:rPr>
          <w:rFonts w:ascii="Arial" w:hAnsi="Arial"/>
          <w:b/>
          <w:sz w:val="28"/>
          <w:szCs w:val="28"/>
          <w:lang w:val="en-GB"/>
        </w:rPr>
      </w:pPr>
    </w:p>
    <w:p w14:paraId="3009B94A" w14:textId="77777777" w:rsidR="00866F6D" w:rsidRPr="00BE35ED" w:rsidRDefault="00866F6D" w:rsidP="00D75295">
      <w:pPr>
        <w:jc w:val="right"/>
        <w:rPr>
          <w:rFonts w:ascii="Arial" w:hAnsi="Arial"/>
          <w:b/>
          <w:sz w:val="28"/>
          <w:szCs w:val="28"/>
          <w:lang w:val="en-GB"/>
        </w:rPr>
      </w:pPr>
    </w:p>
    <w:p w14:paraId="00161E29" w14:textId="4D8ADF9B" w:rsidR="00013360" w:rsidRPr="00D20175" w:rsidRDefault="00957DCC" w:rsidP="00013360">
      <w:pPr>
        <w:pStyle w:val="CaseTitle"/>
        <w:spacing w:after="0" w:line="240" w:lineRule="auto"/>
        <w:rPr>
          <w:spacing w:val="-4"/>
          <w:kern w:val="28"/>
          <w:lang w:val="en-GB"/>
        </w:rPr>
      </w:pPr>
      <w:r w:rsidRPr="00D20175">
        <w:rPr>
          <w:spacing w:val="-4"/>
          <w:kern w:val="28"/>
          <w:lang w:val="en-GB"/>
        </w:rPr>
        <w:t xml:space="preserve">Impex Kitchen Appliances: Evaluating </w:t>
      </w:r>
      <w:r w:rsidR="001F5D84" w:rsidRPr="00D20175">
        <w:rPr>
          <w:spacing w:val="-4"/>
          <w:kern w:val="28"/>
          <w:lang w:val="en-GB"/>
        </w:rPr>
        <w:t xml:space="preserve">the </w:t>
      </w:r>
      <w:r w:rsidR="00262C4A" w:rsidRPr="00D20175">
        <w:rPr>
          <w:spacing w:val="-4"/>
          <w:kern w:val="28"/>
          <w:lang w:val="en-GB"/>
        </w:rPr>
        <w:t>“</w:t>
      </w:r>
      <w:r w:rsidRPr="00D20175">
        <w:rPr>
          <w:spacing w:val="-4"/>
          <w:kern w:val="28"/>
          <w:lang w:val="en-GB"/>
        </w:rPr>
        <w:t>Reader’s Offer</w:t>
      </w:r>
      <w:r w:rsidR="00262C4A" w:rsidRPr="00D20175">
        <w:rPr>
          <w:spacing w:val="-4"/>
          <w:kern w:val="28"/>
          <w:lang w:val="en-GB"/>
        </w:rPr>
        <w:t>”</w:t>
      </w:r>
    </w:p>
    <w:p w14:paraId="6B8FA8F0" w14:textId="77777777" w:rsidR="00013360" w:rsidRPr="00BE35ED" w:rsidRDefault="00013360" w:rsidP="00013360">
      <w:pPr>
        <w:pStyle w:val="CaseTitle"/>
        <w:spacing w:after="0" w:line="240" w:lineRule="auto"/>
        <w:rPr>
          <w:sz w:val="20"/>
          <w:szCs w:val="20"/>
          <w:lang w:val="en-GB"/>
        </w:rPr>
      </w:pPr>
    </w:p>
    <w:p w14:paraId="0150F92D" w14:textId="77777777" w:rsidR="00CA3976" w:rsidRPr="00BE35ED" w:rsidRDefault="00CA3976" w:rsidP="00013360">
      <w:pPr>
        <w:pStyle w:val="CaseTitle"/>
        <w:spacing w:after="0" w:line="240" w:lineRule="auto"/>
        <w:rPr>
          <w:sz w:val="20"/>
          <w:szCs w:val="20"/>
          <w:lang w:val="en-GB"/>
        </w:rPr>
      </w:pPr>
    </w:p>
    <w:p w14:paraId="1A73E986" w14:textId="77777777" w:rsidR="00013360" w:rsidRPr="00BE35ED" w:rsidRDefault="00013360" w:rsidP="00013360">
      <w:pPr>
        <w:pStyle w:val="CaseTitle"/>
        <w:spacing w:after="0" w:line="240" w:lineRule="auto"/>
        <w:rPr>
          <w:sz w:val="20"/>
          <w:szCs w:val="20"/>
          <w:lang w:val="en-GB"/>
        </w:rPr>
      </w:pPr>
    </w:p>
    <w:p w14:paraId="6BD279AB" w14:textId="48FF25CE" w:rsidR="00013360" w:rsidRPr="00BE35ED" w:rsidRDefault="00957DCC" w:rsidP="00104567">
      <w:pPr>
        <w:pStyle w:val="StyleCopyrightStatementAfter0ptBottomSinglesolidline1"/>
        <w:rPr>
          <w:lang w:val="en-GB"/>
        </w:rPr>
      </w:pPr>
      <w:proofErr w:type="spellStart"/>
      <w:r w:rsidRPr="00BE35ED">
        <w:rPr>
          <w:lang w:val="en-GB"/>
        </w:rPr>
        <w:t>Keyoor</w:t>
      </w:r>
      <w:proofErr w:type="spellEnd"/>
      <w:r w:rsidRPr="00BE35ED">
        <w:rPr>
          <w:lang w:val="en-GB"/>
        </w:rPr>
        <w:t xml:space="preserve"> </w:t>
      </w:r>
      <w:proofErr w:type="spellStart"/>
      <w:r w:rsidRPr="00BE35ED">
        <w:rPr>
          <w:lang w:val="en-GB"/>
        </w:rPr>
        <w:t>Purani</w:t>
      </w:r>
      <w:proofErr w:type="spellEnd"/>
      <w:r w:rsidR="00E20CE9">
        <w:rPr>
          <w:lang w:val="en-GB"/>
        </w:rPr>
        <w:t xml:space="preserve"> </w:t>
      </w:r>
      <w:r w:rsidRPr="00BE35ED">
        <w:rPr>
          <w:lang w:val="en-GB"/>
        </w:rPr>
        <w:t xml:space="preserve">and Krishnan </w:t>
      </w:r>
      <w:proofErr w:type="spellStart"/>
      <w:r w:rsidRPr="00BE35ED">
        <w:rPr>
          <w:lang w:val="en-GB"/>
        </w:rPr>
        <w:t>Jeesha</w:t>
      </w:r>
      <w:proofErr w:type="spellEnd"/>
      <w:r w:rsidRPr="00BE35ED">
        <w:rPr>
          <w:lang w:val="en-GB"/>
        </w:rPr>
        <w:t xml:space="preserve"> </w:t>
      </w:r>
      <w:r w:rsidR="00E20CE9">
        <w:rPr>
          <w:lang w:val="en-GB"/>
        </w:rPr>
        <w:t xml:space="preserve">wrote </w:t>
      </w:r>
      <w:r w:rsidR="007E5921" w:rsidRPr="00BE35ED">
        <w:rPr>
          <w:lang w:val="en-GB"/>
        </w:rPr>
        <w:t>this case sol</w:t>
      </w:r>
      <w:r w:rsidR="00D75295" w:rsidRPr="00BE35ED">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4927F1C" w14:textId="77777777" w:rsidR="00013360" w:rsidRPr="00BE35ED" w:rsidRDefault="00013360" w:rsidP="00104567">
      <w:pPr>
        <w:pStyle w:val="StyleCopyrightStatementAfter0ptBottomSinglesolidline1"/>
        <w:rPr>
          <w:lang w:val="en-GB"/>
        </w:rPr>
      </w:pPr>
    </w:p>
    <w:p w14:paraId="7318B211" w14:textId="77777777" w:rsidR="000E04AD" w:rsidRDefault="000E04AD" w:rsidP="009B4421">
      <w:pPr>
        <w:jc w:val="both"/>
        <w:rPr>
          <w:rFonts w:ascii="Arial" w:hAnsi="Arial" w:cs="Arial"/>
          <w:i/>
          <w:iCs/>
          <w:sz w:val="16"/>
          <w:szCs w:val="16"/>
          <w:lang w:val="en-CA"/>
        </w:rPr>
      </w:pPr>
      <w:r>
        <w:rPr>
          <w:rFonts w:ascii="Arial" w:hAnsi="Arial" w:cs="Arial"/>
          <w:i/>
          <w:iCs/>
          <w:sz w:val="16"/>
          <w:szCs w:val="16"/>
          <w:lang w:val="en-CA"/>
        </w:rPr>
        <w:t xml:space="preserve">This publication </w:t>
      </w:r>
      <w:proofErr w:type="gramStart"/>
      <w:r>
        <w:rPr>
          <w:rFonts w:ascii="Arial" w:hAnsi="Arial" w:cs="Arial"/>
          <w:i/>
          <w:iCs/>
          <w:sz w:val="16"/>
          <w:szCs w:val="16"/>
          <w:lang w:val="en-CA"/>
        </w:rPr>
        <w:t>may not be transmitted, photocopied, digitized or otherwise reproduced in any form or by any means without the permission of the copyright holder</w:t>
      </w:r>
      <w:proofErr w:type="gramEnd"/>
      <w:r>
        <w:rPr>
          <w:rFonts w:ascii="Arial" w:hAnsi="Arial" w:cs="Arial"/>
          <w:i/>
          <w:iCs/>
          <w:sz w:val="16"/>
          <w:szCs w:val="16"/>
          <w:lang w:val="en-CA"/>
        </w:rPr>
        <w:t xml:space="preserve">. Reproduction of this material </w:t>
      </w:r>
      <w:proofErr w:type="gramStart"/>
      <w:r>
        <w:rPr>
          <w:rFonts w:ascii="Arial" w:hAnsi="Arial" w:cs="Arial"/>
          <w:i/>
          <w:iCs/>
          <w:sz w:val="16"/>
          <w:szCs w:val="16"/>
          <w:lang w:val="en-CA"/>
        </w:rPr>
        <w:t>is not covered</w:t>
      </w:r>
      <w:proofErr w:type="gramEnd"/>
      <w:r>
        <w:rPr>
          <w:rFonts w:ascii="Arial" w:hAnsi="Arial" w:cs="Arial"/>
          <w:i/>
          <w:iCs/>
          <w:sz w:val="16"/>
          <w:szCs w:val="16"/>
          <w:lang w:val="en-CA"/>
        </w:rPr>
        <w:t xml:space="preserve">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5743D93" w14:textId="77777777" w:rsidR="000E04AD" w:rsidRDefault="000E04AD" w:rsidP="009B4421">
      <w:pPr>
        <w:pStyle w:val="StyleCopyrightStatementAfter0ptBottomSinglesolidline1"/>
        <w:pBdr>
          <w:top w:val="none" w:sz="0" w:space="0" w:color="auto"/>
        </w:pBdr>
      </w:pPr>
    </w:p>
    <w:p w14:paraId="0D1AC039" w14:textId="6C4F13D0" w:rsidR="003B7EF2" w:rsidRPr="00BE35ED" w:rsidRDefault="000E04AD" w:rsidP="003B7EF2">
      <w:pPr>
        <w:pStyle w:val="StyleStyleCopyrightStatementAfter0ptBottomSinglesolid"/>
        <w:rPr>
          <w:lang w:val="en-GB"/>
        </w:rPr>
      </w:pPr>
      <w:r>
        <w:t>Copyright © 2017, Richard Ivey School of Business Foundation</w:t>
      </w:r>
      <w:r w:rsidR="003B7EF2" w:rsidRPr="00BE35ED">
        <w:rPr>
          <w:lang w:val="en-GB"/>
        </w:rPr>
        <w:tab/>
        <w:t xml:space="preserve">Version: </w:t>
      </w:r>
      <w:r w:rsidR="00361C8E" w:rsidRPr="00BE35ED">
        <w:rPr>
          <w:lang w:val="en-GB"/>
        </w:rPr>
        <w:t>201</w:t>
      </w:r>
      <w:r w:rsidR="00A44688">
        <w:rPr>
          <w:lang w:val="en-GB"/>
        </w:rPr>
        <w:t>7</w:t>
      </w:r>
      <w:r w:rsidR="00361C8E" w:rsidRPr="00BE35ED">
        <w:rPr>
          <w:lang w:val="en-GB"/>
        </w:rPr>
        <w:t>-</w:t>
      </w:r>
      <w:r w:rsidR="004A5CAC">
        <w:rPr>
          <w:lang w:val="en-GB"/>
        </w:rPr>
        <w:t>03</w:t>
      </w:r>
      <w:r w:rsidR="00A44688">
        <w:rPr>
          <w:lang w:val="en-GB"/>
        </w:rPr>
        <w:t>-</w:t>
      </w:r>
      <w:r w:rsidR="0073281D">
        <w:rPr>
          <w:lang w:val="en-GB"/>
        </w:rPr>
        <w:t>07</w:t>
      </w:r>
    </w:p>
    <w:p w14:paraId="564CFAE3" w14:textId="77777777" w:rsidR="003B7EF2" w:rsidRPr="00BE35ED" w:rsidRDefault="003B7EF2" w:rsidP="00104567">
      <w:pPr>
        <w:pStyle w:val="StyleCopyrightStatementAfter0ptBottomSinglesolidline1"/>
        <w:rPr>
          <w:rFonts w:ascii="Times New Roman" w:hAnsi="Times New Roman"/>
          <w:sz w:val="20"/>
          <w:lang w:val="en-GB"/>
        </w:rPr>
      </w:pPr>
    </w:p>
    <w:p w14:paraId="6241BF6E" w14:textId="77777777" w:rsidR="003B7EF2" w:rsidRPr="00BE35ED" w:rsidRDefault="003B7EF2" w:rsidP="006F1D9E">
      <w:pPr>
        <w:pStyle w:val="Footnote"/>
        <w:rPr>
          <w:lang w:val="en-GB"/>
        </w:rPr>
      </w:pPr>
    </w:p>
    <w:p w14:paraId="0F59BBE0" w14:textId="1C35E1FA" w:rsidR="00066622" w:rsidRPr="00BE35ED" w:rsidRDefault="00066622" w:rsidP="00066622">
      <w:pPr>
        <w:pStyle w:val="BodyTextMain"/>
        <w:rPr>
          <w:lang w:val="en-GB"/>
        </w:rPr>
      </w:pPr>
      <w:r w:rsidRPr="00BE35ED">
        <w:rPr>
          <w:lang w:val="en-GB"/>
        </w:rPr>
        <w:t xml:space="preserve">On Friday, February 4, 2015, </w:t>
      </w:r>
      <w:proofErr w:type="spellStart"/>
      <w:r w:rsidRPr="00BE35ED">
        <w:rPr>
          <w:lang w:val="en-GB"/>
        </w:rPr>
        <w:t>Nuvais</w:t>
      </w:r>
      <w:proofErr w:type="spellEnd"/>
      <w:r w:rsidRPr="00BE35ED">
        <w:rPr>
          <w:lang w:val="en-GB"/>
        </w:rPr>
        <w:t xml:space="preserve"> </w:t>
      </w:r>
      <w:proofErr w:type="spellStart"/>
      <w:r w:rsidRPr="00BE35ED">
        <w:rPr>
          <w:lang w:val="en-GB"/>
        </w:rPr>
        <w:t>Chenengadan</w:t>
      </w:r>
      <w:proofErr w:type="spellEnd"/>
      <w:r w:rsidRPr="00BE35ED">
        <w:rPr>
          <w:lang w:val="en-GB"/>
        </w:rPr>
        <w:t xml:space="preserve"> had just returned to his corporate office after his mid-day prayers. Although the tropical sun outside barely reached his air-conditioned cabin, he still felt the heat as he looked at </w:t>
      </w:r>
      <w:proofErr w:type="spellStart"/>
      <w:r w:rsidRPr="00BE35ED">
        <w:rPr>
          <w:lang w:val="en-GB"/>
        </w:rPr>
        <w:t>Impex’s</w:t>
      </w:r>
      <w:proofErr w:type="spellEnd"/>
      <w:r w:rsidRPr="00BE35ED">
        <w:rPr>
          <w:lang w:val="en-GB"/>
        </w:rPr>
        <w:t xml:space="preserve"> sales numbers </w:t>
      </w:r>
      <w:r w:rsidR="00FA6886">
        <w:rPr>
          <w:lang w:val="en-GB"/>
        </w:rPr>
        <w:t>from</w:t>
      </w:r>
      <w:r w:rsidR="00FA6886" w:rsidRPr="00BE35ED">
        <w:rPr>
          <w:lang w:val="en-GB"/>
        </w:rPr>
        <w:t xml:space="preserve"> </w:t>
      </w:r>
      <w:r w:rsidRPr="00BE35ED">
        <w:rPr>
          <w:lang w:val="en-GB"/>
        </w:rPr>
        <w:t xml:space="preserve">the previous month. He had already sensed that the January performance was poor at his meeting </w:t>
      </w:r>
      <w:r w:rsidR="00FA6886">
        <w:rPr>
          <w:lang w:val="en-GB"/>
        </w:rPr>
        <w:t>the previous</w:t>
      </w:r>
      <w:r w:rsidR="00FA6886" w:rsidRPr="00BE35ED">
        <w:rPr>
          <w:lang w:val="en-GB"/>
        </w:rPr>
        <w:t xml:space="preserve"> </w:t>
      </w:r>
      <w:r w:rsidRPr="00BE35ED">
        <w:rPr>
          <w:lang w:val="en-GB"/>
        </w:rPr>
        <w:t xml:space="preserve">Friday with </w:t>
      </w:r>
      <w:proofErr w:type="spellStart"/>
      <w:r w:rsidRPr="00BE35ED">
        <w:rPr>
          <w:lang w:val="en-GB"/>
        </w:rPr>
        <w:t>Saju</w:t>
      </w:r>
      <w:proofErr w:type="spellEnd"/>
      <w:r w:rsidRPr="00BE35ED">
        <w:rPr>
          <w:lang w:val="en-GB"/>
        </w:rPr>
        <w:t xml:space="preserve"> </w:t>
      </w:r>
      <w:proofErr w:type="spellStart"/>
      <w:r w:rsidRPr="00BE35ED">
        <w:rPr>
          <w:lang w:val="en-GB"/>
        </w:rPr>
        <w:t>Ravindran</w:t>
      </w:r>
      <w:proofErr w:type="spellEnd"/>
      <w:r w:rsidRPr="00BE35ED">
        <w:rPr>
          <w:lang w:val="en-GB"/>
        </w:rPr>
        <w:t xml:space="preserve">, the </w:t>
      </w:r>
      <w:r w:rsidR="0018753E">
        <w:rPr>
          <w:lang w:val="en-GB"/>
        </w:rPr>
        <w:t>d</w:t>
      </w:r>
      <w:r w:rsidRPr="00BE35ED">
        <w:rPr>
          <w:lang w:val="en-GB"/>
        </w:rPr>
        <w:t xml:space="preserve">ivisional </w:t>
      </w:r>
      <w:r w:rsidR="0018753E">
        <w:rPr>
          <w:lang w:val="en-GB"/>
        </w:rPr>
        <w:t>s</w:t>
      </w:r>
      <w:r w:rsidRPr="00BE35ED">
        <w:rPr>
          <w:lang w:val="en-GB"/>
        </w:rPr>
        <w:t xml:space="preserve">ales </w:t>
      </w:r>
      <w:r w:rsidR="0018753E">
        <w:rPr>
          <w:lang w:val="en-GB"/>
        </w:rPr>
        <w:t>m</w:t>
      </w:r>
      <w:r w:rsidRPr="00BE35ED">
        <w:rPr>
          <w:lang w:val="en-GB"/>
        </w:rPr>
        <w:t xml:space="preserve">anager, who was pushing for a year-end promotional event. He now realized that running a consumer promotion for the kitchen appliance category of </w:t>
      </w:r>
      <w:proofErr w:type="spellStart"/>
      <w:r w:rsidRPr="00BE35ED">
        <w:rPr>
          <w:lang w:val="en-GB"/>
        </w:rPr>
        <w:t>Impex</w:t>
      </w:r>
      <w:proofErr w:type="spellEnd"/>
      <w:r w:rsidRPr="00BE35ED">
        <w:rPr>
          <w:lang w:val="en-GB"/>
        </w:rPr>
        <w:t xml:space="preserve"> could be the only </w:t>
      </w:r>
      <w:r w:rsidR="00AE40CC">
        <w:rPr>
          <w:lang w:val="en-GB"/>
        </w:rPr>
        <w:t>way</w:t>
      </w:r>
      <w:r w:rsidR="00AE40CC" w:rsidRPr="00BE35ED">
        <w:rPr>
          <w:lang w:val="en-GB"/>
        </w:rPr>
        <w:t xml:space="preserve"> </w:t>
      </w:r>
      <w:r w:rsidRPr="00BE35ED">
        <w:rPr>
          <w:lang w:val="en-GB"/>
        </w:rPr>
        <w:t>to generate some quick sales in the last month of the fina</w:t>
      </w:r>
      <w:r w:rsidR="001671D6" w:rsidRPr="00BE35ED">
        <w:rPr>
          <w:lang w:val="en-GB"/>
        </w:rPr>
        <w:t>ncial year ending on March 31.</w:t>
      </w:r>
    </w:p>
    <w:p w14:paraId="00893CD9" w14:textId="77777777" w:rsidR="001671D6" w:rsidRPr="00BE35ED" w:rsidRDefault="001671D6" w:rsidP="00066622">
      <w:pPr>
        <w:pStyle w:val="BodyTextMain"/>
        <w:rPr>
          <w:spacing w:val="-2"/>
          <w:kern w:val="22"/>
          <w:lang w:val="en-GB"/>
        </w:rPr>
      </w:pPr>
    </w:p>
    <w:p w14:paraId="2BEFF459" w14:textId="33E85426" w:rsidR="00066622" w:rsidRPr="00BE35ED" w:rsidRDefault="00066622" w:rsidP="00066622">
      <w:pPr>
        <w:pStyle w:val="BodyTextMain"/>
        <w:rPr>
          <w:spacing w:val="-2"/>
          <w:kern w:val="22"/>
          <w:lang w:val="en-GB"/>
        </w:rPr>
      </w:pPr>
      <w:r w:rsidRPr="00BE35ED">
        <w:rPr>
          <w:spacing w:val="-2"/>
          <w:kern w:val="22"/>
          <w:lang w:val="en-GB"/>
        </w:rPr>
        <w:t xml:space="preserve">As </w:t>
      </w:r>
      <w:r w:rsidR="0018753E">
        <w:rPr>
          <w:spacing w:val="-2"/>
          <w:kern w:val="22"/>
          <w:lang w:val="en-GB"/>
        </w:rPr>
        <w:t>m</w:t>
      </w:r>
      <w:r w:rsidRPr="00BE35ED">
        <w:rPr>
          <w:spacing w:val="-2"/>
          <w:kern w:val="22"/>
          <w:lang w:val="en-GB"/>
        </w:rPr>
        <w:t xml:space="preserve">anaging </w:t>
      </w:r>
      <w:r w:rsidR="0018753E">
        <w:rPr>
          <w:spacing w:val="-2"/>
          <w:kern w:val="22"/>
          <w:lang w:val="en-GB"/>
        </w:rPr>
        <w:t>d</w:t>
      </w:r>
      <w:r w:rsidRPr="00BE35ED">
        <w:rPr>
          <w:spacing w:val="-2"/>
          <w:kern w:val="22"/>
          <w:lang w:val="en-GB"/>
        </w:rPr>
        <w:t xml:space="preserve">irector of KCM Appliances, </w:t>
      </w:r>
      <w:proofErr w:type="spellStart"/>
      <w:r w:rsidR="00AE40CC" w:rsidRPr="00BE35ED">
        <w:rPr>
          <w:lang w:val="en-GB"/>
        </w:rPr>
        <w:t>Chenengadan</w:t>
      </w:r>
      <w:proofErr w:type="spellEnd"/>
      <w:r w:rsidR="00AE40CC" w:rsidRPr="00BE35ED">
        <w:rPr>
          <w:lang w:val="en-GB"/>
        </w:rPr>
        <w:t xml:space="preserve"> </w:t>
      </w:r>
      <w:r w:rsidRPr="00BE35ED">
        <w:rPr>
          <w:spacing w:val="-2"/>
          <w:kern w:val="22"/>
          <w:lang w:val="en-GB"/>
        </w:rPr>
        <w:t xml:space="preserve">was the </w:t>
      </w:r>
      <w:r w:rsidR="0018753E">
        <w:rPr>
          <w:spacing w:val="-2"/>
          <w:kern w:val="22"/>
          <w:lang w:val="en-GB"/>
        </w:rPr>
        <w:t>“</w:t>
      </w:r>
      <w:r w:rsidRPr="00BE35ED">
        <w:rPr>
          <w:spacing w:val="-2"/>
          <w:kern w:val="22"/>
          <w:lang w:val="en-GB"/>
        </w:rPr>
        <w:t>big boss of</w:t>
      </w:r>
      <w:r w:rsidR="000E04AD">
        <w:rPr>
          <w:spacing w:val="-2"/>
          <w:kern w:val="22"/>
          <w:lang w:val="en-GB"/>
        </w:rPr>
        <w:t xml:space="preserve"> </w:t>
      </w:r>
      <w:r w:rsidR="00AD4F41">
        <w:rPr>
          <w:spacing w:val="-2"/>
          <w:kern w:val="22"/>
          <w:lang w:val="en-GB"/>
        </w:rPr>
        <w:t>a</w:t>
      </w:r>
      <w:r w:rsidRPr="00BE35ED">
        <w:rPr>
          <w:spacing w:val="-2"/>
          <w:kern w:val="22"/>
          <w:lang w:val="en-GB"/>
        </w:rPr>
        <w:t xml:space="preserve"> small company.</w:t>
      </w:r>
      <w:r w:rsidR="0018753E">
        <w:rPr>
          <w:spacing w:val="-2"/>
          <w:kern w:val="22"/>
          <w:lang w:val="en-GB"/>
        </w:rPr>
        <w:t>”</w:t>
      </w:r>
      <w:r w:rsidRPr="00BE35ED">
        <w:rPr>
          <w:spacing w:val="-2"/>
          <w:kern w:val="22"/>
          <w:lang w:val="en-GB"/>
        </w:rPr>
        <w:t xml:space="preserve"> His </w:t>
      </w:r>
      <w:r w:rsidR="001700DE">
        <w:rPr>
          <w:spacing w:val="-2"/>
          <w:kern w:val="22"/>
          <w:lang w:val="en-GB"/>
        </w:rPr>
        <w:t>rapid</w:t>
      </w:r>
      <w:r w:rsidRPr="00BE35ED">
        <w:rPr>
          <w:spacing w:val="-2"/>
          <w:kern w:val="22"/>
          <w:lang w:val="en-GB"/>
        </w:rPr>
        <w:t xml:space="preserve"> </w:t>
      </w:r>
      <w:proofErr w:type="gramStart"/>
      <w:r w:rsidRPr="00BE35ED">
        <w:rPr>
          <w:spacing w:val="-2"/>
          <w:kern w:val="22"/>
          <w:lang w:val="en-GB"/>
        </w:rPr>
        <w:t>growth</w:t>
      </w:r>
      <w:proofErr w:type="gramEnd"/>
      <w:r w:rsidRPr="00BE35ED">
        <w:rPr>
          <w:spacing w:val="-2"/>
          <w:kern w:val="22"/>
          <w:lang w:val="en-GB"/>
        </w:rPr>
        <w:t xml:space="preserve"> as an entrepreneur in the </w:t>
      </w:r>
      <w:r w:rsidR="0053208A">
        <w:rPr>
          <w:spacing w:val="-2"/>
          <w:kern w:val="22"/>
          <w:lang w:val="en-GB"/>
        </w:rPr>
        <w:t>p</w:t>
      </w:r>
      <w:r w:rsidR="0053208A" w:rsidRPr="00BE35ED">
        <w:rPr>
          <w:spacing w:val="-2"/>
          <w:kern w:val="22"/>
          <w:lang w:val="en-GB"/>
        </w:rPr>
        <w:t xml:space="preserve">ast </w:t>
      </w:r>
      <w:r w:rsidRPr="00BE35ED">
        <w:rPr>
          <w:spacing w:val="-2"/>
          <w:kern w:val="22"/>
          <w:lang w:val="en-GB"/>
        </w:rPr>
        <w:t xml:space="preserve">decade had now left little time for such decisions, but he still closely supervised marketing at </w:t>
      </w:r>
      <w:proofErr w:type="spellStart"/>
      <w:r w:rsidRPr="00BE35ED">
        <w:rPr>
          <w:spacing w:val="-2"/>
          <w:kern w:val="22"/>
          <w:lang w:val="en-GB"/>
        </w:rPr>
        <w:t>Impex</w:t>
      </w:r>
      <w:proofErr w:type="spellEnd"/>
      <w:r w:rsidRPr="00BE35ED">
        <w:rPr>
          <w:spacing w:val="-2"/>
          <w:kern w:val="22"/>
          <w:lang w:val="en-GB"/>
        </w:rPr>
        <w:t xml:space="preserve">. He eagerly awaited the afternoon meeting with </w:t>
      </w:r>
      <w:proofErr w:type="spellStart"/>
      <w:r w:rsidR="00AE40CC" w:rsidRPr="00BE35ED">
        <w:rPr>
          <w:lang w:val="en-GB"/>
        </w:rPr>
        <w:t>Ravindran</w:t>
      </w:r>
      <w:proofErr w:type="spellEnd"/>
      <w:r w:rsidR="00AE40CC">
        <w:rPr>
          <w:lang w:val="en-GB"/>
        </w:rPr>
        <w:t xml:space="preserve"> </w:t>
      </w:r>
      <w:r w:rsidRPr="00BE35ED">
        <w:rPr>
          <w:spacing w:val="-2"/>
          <w:kern w:val="22"/>
          <w:lang w:val="en-GB"/>
        </w:rPr>
        <w:t>and</w:t>
      </w:r>
      <w:r w:rsidR="002C68D2">
        <w:rPr>
          <w:spacing w:val="-2"/>
          <w:kern w:val="22"/>
          <w:lang w:val="en-GB"/>
        </w:rPr>
        <w:t xml:space="preserve"> the</w:t>
      </w:r>
      <w:r w:rsidRPr="00BE35ED">
        <w:rPr>
          <w:spacing w:val="-2"/>
          <w:kern w:val="22"/>
          <w:lang w:val="en-GB"/>
        </w:rPr>
        <w:t xml:space="preserve"> </w:t>
      </w:r>
      <w:proofErr w:type="gramStart"/>
      <w:r w:rsidRPr="00BE35ED">
        <w:rPr>
          <w:spacing w:val="-2"/>
          <w:kern w:val="22"/>
          <w:lang w:val="en-GB"/>
        </w:rPr>
        <w:t xml:space="preserve">kitchen </w:t>
      </w:r>
      <w:r w:rsidR="005609EE">
        <w:rPr>
          <w:spacing w:val="-2"/>
          <w:kern w:val="22"/>
          <w:lang w:val="en-GB"/>
        </w:rPr>
        <w:t>category</w:t>
      </w:r>
      <w:r w:rsidRPr="00BE35ED">
        <w:rPr>
          <w:spacing w:val="-2"/>
          <w:kern w:val="22"/>
          <w:lang w:val="en-GB"/>
        </w:rPr>
        <w:t xml:space="preserve"> </w:t>
      </w:r>
      <w:r w:rsidR="0018753E">
        <w:rPr>
          <w:spacing w:val="-2"/>
          <w:kern w:val="22"/>
          <w:lang w:val="en-GB"/>
        </w:rPr>
        <w:t>m</w:t>
      </w:r>
      <w:r w:rsidRPr="00BE35ED">
        <w:rPr>
          <w:spacing w:val="-2"/>
          <w:kern w:val="22"/>
          <w:lang w:val="en-GB"/>
        </w:rPr>
        <w:t xml:space="preserve">anagement </w:t>
      </w:r>
      <w:r w:rsidR="0018753E">
        <w:rPr>
          <w:spacing w:val="-2"/>
          <w:kern w:val="22"/>
          <w:lang w:val="en-GB"/>
        </w:rPr>
        <w:t>e</w:t>
      </w:r>
      <w:r w:rsidRPr="00BE35ED">
        <w:rPr>
          <w:spacing w:val="-2"/>
          <w:kern w:val="22"/>
          <w:lang w:val="en-GB"/>
        </w:rPr>
        <w:t>xecutive</w:t>
      </w:r>
      <w:proofErr w:type="gramEnd"/>
      <w:r w:rsidR="00BA630F">
        <w:rPr>
          <w:spacing w:val="-2"/>
          <w:kern w:val="22"/>
          <w:lang w:val="en-GB"/>
        </w:rPr>
        <w:t>,</w:t>
      </w:r>
      <w:r w:rsidRPr="00BE35ED">
        <w:rPr>
          <w:spacing w:val="-2"/>
          <w:kern w:val="22"/>
          <w:lang w:val="en-GB"/>
        </w:rPr>
        <w:t xml:space="preserve"> </w:t>
      </w:r>
      <w:proofErr w:type="spellStart"/>
      <w:r w:rsidRPr="00BE35ED">
        <w:rPr>
          <w:spacing w:val="-2"/>
          <w:kern w:val="22"/>
          <w:lang w:val="en-GB"/>
        </w:rPr>
        <w:t>Fairoos</w:t>
      </w:r>
      <w:proofErr w:type="spellEnd"/>
      <w:r w:rsidRPr="00BE35ED">
        <w:rPr>
          <w:spacing w:val="-2"/>
          <w:kern w:val="22"/>
          <w:lang w:val="en-GB"/>
        </w:rPr>
        <w:t xml:space="preserve"> </w:t>
      </w:r>
      <w:proofErr w:type="spellStart"/>
      <w:r w:rsidRPr="00BE35ED">
        <w:rPr>
          <w:spacing w:val="-2"/>
          <w:kern w:val="22"/>
          <w:lang w:val="en-GB"/>
        </w:rPr>
        <w:t>Kodakkadan</w:t>
      </w:r>
      <w:proofErr w:type="spellEnd"/>
      <w:r w:rsidRPr="00BE35ED">
        <w:rPr>
          <w:spacing w:val="-2"/>
          <w:kern w:val="22"/>
          <w:lang w:val="en-GB"/>
        </w:rPr>
        <w:t xml:space="preserve">, where he expected specific ideas and details to emerge. </w:t>
      </w:r>
      <w:proofErr w:type="spellStart"/>
      <w:r w:rsidR="00DF23AA" w:rsidRPr="00BE35ED">
        <w:rPr>
          <w:spacing w:val="-2"/>
          <w:kern w:val="22"/>
          <w:lang w:val="en-GB"/>
        </w:rPr>
        <w:t>Kodakkadan</w:t>
      </w:r>
      <w:proofErr w:type="spellEnd"/>
      <w:r w:rsidR="00DF23AA">
        <w:rPr>
          <w:spacing w:val="-2"/>
          <w:kern w:val="22"/>
          <w:lang w:val="en-GB"/>
        </w:rPr>
        <w:t xml:space="preserve"> </w:t>
      </w:r>
      <w:proofErr w:type="gramStart"/>
      <w:r w:rsidRPr="00BE35ED">
        <w:rPr>
          <w:spacing w:val="-2"/>
          <w:kern w:val="22"/>
          <w:lang w:val="en-GB"/>
        </w:rPr>
        <w:t>had already been asked</w:t>
      </w:r>
      <w:proofErr w:type="gramEnd"/>
      <w:r w:rsidRPr="00BE35ED">
        <w:rPr>
          <w:spacing w:val="-2"/>
          <w:kern w:val="22"/>
          <w:lang w:val="en-GB"/>
        </w:rPr>
        <w:t xml:space="preserve"> to work on a consumer promotion idea and present it at the meeting </w:t>
      </w:r>
      <w:r w:rsidR="00772175">
        <w:rPr>
          <w:spacing w:val="-2"/>
          <w:kern w:val="22"/>
          <w:lang w:val="en-GB"/>
        </w:rPr>
        <w:t>later that day.</w:t>
      </w:r>
    </w:p>
    <w:p w14:paraId="2F7DD7EC" w14:textId="77777777" w:rsidR="001671D6" w:rsidRPr="00BE35ED" w:rsidRDefault="001671D6" w:rsidP="00066622">
      <w:pPr>
        <w:pStyle w:val="BodyTextMain"/>
        <w:rPr>
          <w:lang w:val="en-GB"/>
        </w:rPr>
      </w:pPr>
    </w:p>
    <w:p w14:paraId="09D132B2" w14:textId="77777777" w:rsidR="001671D6" w:rsidRPr="00BE35ED" w:rsidRDefault="001671D6" w:rsidP="00066622">
      <w:pPr>
        <w:pStyle w:val="BodyTextMain"/>
        <w:rPr>
          <w:lang w:val="en-GB"/>
        </w:rPr>
      </w:pPr>
    </w:p>
    <w:p w14:paraId="39928A1A" w14:textId="77777777" w:rsidR="00066622" w:rsidRPr="00BE35ED" w:rsidRDefault="00066622" w:rsidP="001671D6">
      <w:pPr>
        <w:pStyle w:val="Casehead1"/>
        <w:rPr>
          <w:lang w:val="en-GB"/>
        </w:rPr>
      </w:pPr>
      <w:r w:rsidRPr="00BE35ED">
        <w:rPr>
          <w:lang w:val="en-GB"/>
        </w:rPr>
        <w:t>Impex</w:t>
      </w:r>
    </w:p>
    <w:p w14:paraId="45C8E8D1" w14:textId="77777777" w:rsidR="001671D6" w:rsidRPr="00BE35ED" w:rsidRDefault="001671D6" w:rsidP="00066622">
      <w:pPr>
        <w:pStyle w:val="BodyTextMain"/>
        <w:rPr>
          <w:i/>
          <w:u w:val="single"/>
          <w:lang w:val="en-GB"/>
        </w:rPr>
      </w:pPr>
    </w:p>
    <w:p w14:paraId="47986228" w14:textId="56F391B1" w:rsidR="00066622" w:rsidRPr="00BE35ED" w:rsidRDefault="00066622" w:rsidP="001671D6">
      <w:pPr>
        <w:pStyle w:val="Casehead2"/>
        <w:rPr>
          <w:lang w:val="en-GB"/>
        </w:rPr>
      </w:pPr>
      <w:r w:rsidRPr="00BE35ED">
        <w:rPr>
          <w:lang w:val="en-GB"/>
        </w:rPr>
        <w:t>Background</w:t>
      </w:r>
    </w:p>
    <w:p w14:paraId="3BFA7644" w14:textId="77777777" w:rsidR="001671D6" w:rsidRPr="00BE35ED" w:rsidRDefault="001671D6" w:rsidP="00066622">
      <w:pPr>
        <w:pStyle w:val="BodyTextMain"/>
        <w:rPr>
          <w:lang w:val="en-GB"/>
        </w:rPr>
      </w:pPr>
    </w:p>
    <w:p w14:paraId="1A4CE8AA" w14:textId="15C4BCF2" w:rsidR="000B2760" w:rsidRDefault="001700DE" w:rsidP="00066622">
      <w:pPr>
        <w:pStyle w:val="BodyTextMain"/>
        <w:rPr>
          <w:lang w:val="en-GB"/>
        </w:rPr>
      </w:pPr>
      <w:r w:rsidRPr="00BE35ED">
        <w:rPr>
          <w:lang w:val="en-GB"/>
        </w:rPr>
        <w:t xml:space="preserve">In 2015, </w:t>
      </w:r>
      <w:proofErr w:type="spellStart"/>
      <w:r w:rsidR="00066622" w:rsidRPr="00BE35ED">
        <w:rPr>
          <w:lang w:val="en-GB"/>
        </w:rPr>
        <w:t>Impex</w:t>
      </w:r>
      <w:proofErr w:type="spellEnd"/>
      <w:r w:rsidR="00066622" w:rsidRPr="00BE35ED">
        <w:rPr>
          <w:lang w:val="en-GB"/>
        </w:rPr>
        <w:t xml:space="preserve"> </w:t>
      </w:r>
      <w:r w:rsidR="00452083">
        <w:rPr>
          <w:lang w:val="en-GB"/>
        </w:rPr>
        <w:t>was</w:t>
      </w:r>
      <w:r w:rsidR="00452083" w:rsidRPr="00BE35ED">
        <w:rPr>
          <w:lang w:val="en-GB"/>
        </w:rPr>
        <w:t xml:space="preserve"> </w:t>
      </w:r>
      <w:r w:rsidR="00066622" w:rsidRPr="00BE35ED">
        <w:rPr>
          <w:lang w:val="en-GB"/>
        </w:rPr>
        <w:t xml:space="preserve">a brand of the privately owned company KCM Appliances </w:t>
      </w:r>
      <w:proofErr w:type="spellStart"/>
      <w:r w:rsidR="00066622" w:rsidRPr="00BE35ED">
        <w:rPr>
          <w:lang w:val="en-GB"/>
        </w:rPr>
        <w:t>Pvt.</w:t>
      </w:r>
      <w:proofErr w:type="spellEnd"/>
      <w:r w:rsidR="00066622" w:rsidRPr="00BE35ED">
        <w:rPr>
          <w:lang w:val="en-GB"/>
        </w:rPr>
        <w:t xml:space="preserve"> Ltd. (KCM), which </w:t>
      </w:r>
      <w:r w:rsidR="00452083">
        <w:rPr>
          <w:lang w:val="en-GB"/>
        </w:rPr>
        <w:t xml:space="preserve">was </w:t>
      </w:r>
      <w:r w:rsidR="00066622" w:rsidRPr="00BE35ED">
        <w:rPr>
          <w:lang w:val="en-GB"/>
        </w:rPr>
        <w:t>located in Kerala, a South</w:t>
      </w:r>
      <w:r w:rsidR="0018753E">
        <w:rPr>
          <w:lang w:val="en-GB"/>
        </w:rPr>
        <w:t xml:space="preserve"> </w:t>
      </w:r>
      <w:r w:rsidR="00066622" w:rsidRPr="00BE35ED">
        <w:rPr>
          <w:lang w:val="en-GB"/>
        </w:rPr>
        <w:t>Indian state. KCM had three divisions, each revolving around a brand</w:t>
      </w:r>
      <w:r w:rsidR="00AA51F7">
        <w:rPr>
          <w:lang w:val="en-GB"/>
        </w:rPr>
        <w:t>—</w:t>
      </w:r>
      <w:proofErr w:type="spellStart"/>
      <w:r w:rsidR="00066622" w:rsidRPr="00BE35ED">
        <w:rPr>
          <w:lang w:val="en-GB"/>
        </w:rPr>
        <w:t>Impex</w:t>
      </w:r>
      <w:proofErr w:type="spellEnd"/>
      <w:r w:rsidR="00066622" w:rsidRPr="00BE35ED">
        <w:rPr>
          <w:lang w:val="en-GB"/>
        </w:rPr>
        <w:t xml:space="preserve">, </w:t>
      </w:r>
      <w:proofErr w:type="spellStart"/>
      <w:r w:rsidR="00066622" w:rsidRPr="00BE35ED">
        <w:rPr>
          <w:lang w:val="en-GB"/>
        </w:rPr>
        <w:t>Onix</w:t>
      </w:r>
      <w:proofErr w:type="spellEnd"/>
      <w:r w:rsidR="00AA51F7">
        <w:rPr>
          <w:lang w:val="en-GB"/>
        </w:rPr>
        <w:t>,</w:t>
      </w:r>
      <w:r w:rsidR="00066622" w:rsidRPr="00BE35ED">
        <w:rPr>
          <w:lang w:val="en-GB"/>
        </w:rPr>
        <w:t xml:space="preserve"> and </w:t>
      </w:r>
      <w:proofErr w:type="spellStart"/>
      <w:r w:rsidR="00066622" w:rsidRPr="00BE35ED">
        <w:rPr>
          <w:lang w:val="en-GB"/>
        </w:rPr>
        <w:t>Bylogic</w:t>
      </w:r>
      <w:proofErr w:type="spellEnd"/>
      <w:r w:rsidR="00066622" w:rsidRPr="00BE35ED">
        <w:rPr>
          <w:lang w:val="en-GB"/>
        </w:rPr>
        <w:t>. The company was involved in sourcing, importing</w:t>
      </w:r>
      <w:r w:rsidR="00AA51F7">
        <w:rPr>
          <w:lang w:val="en-GB"/>
        </w:rPr>
        <w:t>,</w:t>
      </w:r>
      <w:r w:rsidR="00066622" w:rsidRPr="00BE35ED">
        <w:rPr>
          <w:lang w:val="en-GB"/>
        </w:rPr>
        <w:t xml:space="preserve"> and marketing small appliances. It had a development </w:t>
      </w:r>
      <w:r w:rsidR="0018753E" w:rsidRPr="00BE35ED">
        <w:rPr>
          <w:lang w:val="en-GB"/>
        </w:rPr>
        <w:t>cent</w:t>
      </w:r>
      <w:r w:rsidR="0018753E">
        <w:rPr>
          <w:lang w:val="en-GB"/>
        </w:rPr>
        <w:t>re</w:t>
      </w:r>
      <w:r w:rsidR="0018753E" w:rsidRPr="00BE35ED">
        <w:rPr>
          <w:lang w:val="en-GB"/>
        </w:rPr>
        <w:t xml:space="preserve"> </w:t>
      </w:r>
      <w:r w:rsidR="00066622" w:rsidRPr="00BE35ED">
        <w:rPr>
          <w:lang w:val="en-GB"/>
        </w:rPr>
        <w:t xml:space="preserve">in China, and most of its products </w:t>
      </w:r>
      <w:proofErr w:type="gramStart"/>
      <w:r w:rsidR="00066622" w:rsidRPr="00BE35ED">
        <w:rPr>
          <w:lang w:val="en-GB"/>
        </w:rPr>
        <w:t>were imported</w:t>
      </w:r>
      <w:proofErr w:type="gramEnd"/>
      <w:r w:rsidR="00066622" w:rsidRPr="00BE35ED">
        <w:rPr>
          <w:lang w:val="en-GB"/>
        </w:rPr>
        <w:t xml:space="preserve"> at much </w:t>
      </w:r>
      <w:r w:rsidR="0018753E">
        <w:rPr>
          <w:lang w:val="en-GB"/>
        </w:rPr>
        <w:t>lower</w:t>
      </w:r>
      <w:r w:rsidR="0018753E" w:rsidRPr="00BE35ED">
        <w:rPr>
          <w:lang w:val="en-GB"/>
        </w:rPr>
        <w:t xml:space="preserve"> </w:t>
      </w:r>
      <w:r w:rsidR="00066622" w:rsidRPr="00BE35ED">
        <w:rPr>
          <w:lang w:val="en-GB"/>
        </w:rPr>
        <w:t xml:space="preserve">prices from China. </w:t>
      </w:r>
      <w:proofErr w:type="spellStart"/>
      <w:r w:rsidR="00DF23AA" w:rsidRPr="00BE35ED">
        <w:rPr>
          <w:lang w:val="en-GB"/>
        </w:rPr>
        <w:t>Chenengadan</w:t>
      </w:r>
      <w:proofErr w:type="spellEnd"/>
      <w:r w:rsidR="00066622" w:rsidRPr="00BE35ED">
        <w:rPr>
          <w:lang w:val="en-GB"/>
        </w:rPr>
        <w:t xml:space="preserve"> </w:t>
      </w:r>
      <w:r w:rsidR="00AA51F7">
        <w:rPr>
          <w:lang w:val="en-GB"/>
        </w:rPr>
        <w:t xml:space="preserve">had </w:t>
      </w:r>
      <w:r w:rsidR="00066622" w:rsidRPr="00BE35ED">
        <w:rPr>
          <w:lang w:val="en-GB"/>
        </w:rPr>
        <w:t xml:space="preserve">started KCM </w:t>
      </w:r>
      <w:r w:rsidR="00AA51F7">
        <w:rPr>
          <w:lang w:val="en-GB"/>
        </w:rPr>
        <w:t>A</w:t>
      </w:r>
      <w:r w:rsidR="00066622" w:rsidRPr="00BE35ED">
        <w:rPr>
          <w:lang w:val="en-GB"/>
        </w:rPr>
        <w:t xml:space="preserve">ppliances at a very young age in 2004. The company started importing various small appliances from China and selling them in Kerala, an Indian state </w:t>
      </w:r>
      <w:r w:rsidR="00AA51F7">
        <w:rPr>
          <w:lang w:val="en-GB"/>
        </w:rPr>
        <w:t>that</w:t>
      </w:r>
      <w:r w:rsidR="00AA51F7" w:rsidRPr="00BE35ED">
        <w:rPr>
          <w:lang w:val="en-GB"/>
        </w:rPr>
        <w:t xml:space="preserve"> </w:t>
      </w:r>
      <w:r w:rsidR="0018753E" w:rsidRPr="00BE35ED">
        <w:rPr>
          <w:lang w:val="en-GB"/>
        </w:rPr>
        <w:t>ha</w:t>
      </w:r>
      <w:r w:rsidR="0018753E">
        <w:rPr>
          <w:lang w:val="en-GB"/>
        </w:rPr>
        <w:t>d</w:t>
      </w:r>
      <w:r w:rsidR="0018753E" w:rsidRPr="00BE35ED">
        <w:rPr>
          <w:lang w:val="en-GB"/>
        </w:rPr>
        <w:t xml:space="preserve"> </w:t>
      </w:r>
      <w:r w:rsidR="00066622" w:rsidRPr="00BE35ED">
        <w:rPr>
          <w:lang w:val="en-GB"/>
        </w:rPr>
        <w:t>a high literacy rate, a high level of disposable income</w:t>
      </w:r>
      <w:r w:rsidR="0018753E">
        <w:rPr>
          <w:lang w:val="en-GB"/>
        </w:rPr>
        <w:t>,</w:t>
      </w:r>
      <w:r w:rsidR="00066622" w:rsidRPr="00BE35ED">
        <w:rPr>
          <w:lang w:val="en-GB"/>
        </w:rPr>
        <w:t xml:space="preserve"> and </w:t>
      </w:r>
      <w:r w:rsidR="0018753E">
        <w:rPr>
          <w:lang w:val="en-GB"/>
        </w:rPr>
        <w:t>considerable</w:t>
      </w:r>
      <w:r w:rsidR="0018753E" w:rsidRPr="00BE35ED">
        <w:rPr>
          <w:lang w:val="en-GB"/>
        </w:rPr>
        <w:t xml:space="preserve"> </w:t>
      </w:r>
      <w:r w:rsidR="00066622" w:rsidRPr="00BE35ED">
        <w:rPr>
          <w:lang w:val="en-GB"/>
        </w:rPr>
        <w:t>influence from the Middle East. Consumers in Kerala responded favo</w:t>
      </w:r>
      <w:r w:rsidR="0018753E">
        <w:rPr>
          <w:lang w:val="en-GB"/>
        </w:rPr>
        <w:t>u</w:t>
      </w:r>
      <w:r w:rsidR="00066622" w:rsidRPr="00BE35ED">
        <w:rPr>
          <w:lang w:val="en-GB"/>
        </w:rPr>
        <w:t xml:space="preserve">rably to </w:t>
      </w:r>
      <w:r w:rsidR="00AA51F7" w:rsidRPr="00BE35ED">
        <w:rPr>
          <w:lang w:val="en-GB"/>
        </w:rPr>
        <w:t>KCM</w:t>
      </w:r>
      <w:r w:rsidR="00AA51F7">
        <w:rPr>
          <w:lang w:val="en-GB"/>
        </w:rPr>
        <w:t>’s</w:t>
      </w:r>
      <w:r w:rsidR="00AA51F7" w:rsidRPr="00BE35ED">
        <w:rPr>
          <w:lang w:val="en-GB"/>
        </w:rPr>
        <w:t xml:space="preserve"> </w:t>
      </w:r>
      <w:r w:rsidR="00066622" w:rsidRPr="00BE35ED">
        <w:rPr>
          <w:lang w:val="en-GB"/>
        </w:rPr>
        <w:t xml:space="preserve">products. </w:t>
      </w:r>
      <w:proofErr w:type="spellStart"/>
      <w:r w:rsidR="00DF23AA" w:rsidRPr="00BE35ED">
        <w:rPr>
          <w:lang w:val="en-GB"/>
        </w:rPr>
        <w:t>Chenengadan</w:t>
      </w:r>
      <w:proofErr w:type="spellEnd"/>
      <w:r w:rsidR="00DF23AA" w:rsidRPr="00BE35ED" w:rsidDel="00DF23AA">
        <w:rPr>
          <w:lang w:val="en-GB"/>
        </w:rPr>
        <w:t xml:space="preserve"> </w:t>
      </w:r>
      <w:r w:rsidR="00066622" w:rsidRPr="00BE35ED">
        <w:rPr>
          <w:lang w:val="en-GB"/>
        </w:rPr>
        <w:t>had a good understanding of Kerala consumers, sharp business acumen</w:t>
      </w:r>
      <w:r w:rsidR="0018753E">
        <w:rPr>
          <w:lang w:val="en-GB"/>
        </w:rPr>
        <w:t>,</w:t>
      </w:r>
      <w:r w:rsidR="00066622" w:rsidRPr="00BE35ED">
        <w:rPr>
          <w:lang w:val="en-GB"/>
        </w:rPr>
        <w:t xml:space="preserve"> and big dreams, so his company started growing faster than he had imagined. </w:t>
      </w:r>
    </w:p>
    <w:p w14:paraId="1297F176" w14:textId="016AB484" w:rsidR="00066622" w:rsidRPr="00BE35ED" w:rsidRDefault="00066622" w:rsidP="00066622">
      <w:pPr>
        <w:pStyle w:val="BodyTextMain"/>
        <w:rPr>
          <w:lang w:val="en-GB"/>
        </w:rPr>
      </w:pPr>
      <w:r w:rsidRPr="00BE35ED">
        <w:rPr>
          <w:lang w:val="en-GB"/>
        </w:rPr>
        <w:lastRenderedPageBreak/>
        <w:t xml:space="preserve">The journey to rapid growth </w:t>
      </w:r>
      <w:r w:rsidR="00C304C6">
        <w:rPr>
          <w:lang w:val="en-GB"/>
        </w:rPr>
        <w:t>began</w:t>
      </w:r>
      <w:r w:rsidR="00C304C6" w:rsidRPr="00BE35ED">
        <w:rPr>
          <w:lang w:val="en-GB"/>
        </w:rPr>
        <w:t xml:space="preserve"> </w:t>
      </w:r>
      <w:r w:rsidRPr="00BE35ED">
        <w:rPr>
          <w:lang w:val="en-GB"/>
        </w:rPr>
        <w:t xml:space="preserve">with the introduction of induction cookers in 2006. This product </w:t>
      </w:r>
      <w:r w:rsidR="002C68D2">
        <w:rPr>
          <w:lang w:val="en-GB"/>
        </w:rPr>
        <w:t>was extremely popular with consumers</w:t>
      </w:r>
      <w:r w:rsidRPr="00BE35ED">
        <w:rPr>
          <w:lang w:val="en-GB"/>
        </w:rPr>
        <w:t xml:space="preserve">, and annual sales jumped from a mere </w:t>
      </w:r>
      <w:r w:rsidRPr="00BE35ED">
        <w:rPr>
          <w:rFonts w:ascii="Tahoma" w:hAnsi="Tahoma" w:cs="Tahoma"/>
          <w:lang w:val="en-GB"/>
        </w:rPr>
        <w:t>₹</w:t>
      </w:r>
      <w:r w:rsidRPr="00BE35ED">
        <w:rPr>
          <w:lang w:val="en-GB"/>
        </w:rPr>
        <w:t>30 million</w:t>
      </w:r>
      <w:r w:rsidRPr="00BE35ED">
        <w:rPr>
          <w:rStyle w:val="FootnoteReference"/>
          <w:lang w:val="en-GB"/>
        </w:rPr>
        <w:footnoteReference w:id="1"/>
      </w:r>
      <w:r w:rsidRPr="00BE35ED">
        <w:rPr>
          <w:lang w:val="en-GB"/>
        </w:rPr>
        <w:t xml:space="preserve"> to </w:t>
      </w:r>
      <w:r w:rsidRPr="00BE35ED">
        <w:rPr>
          <w:rFonts w:ascii="Tahoma" w:hAnsi="Tahoma" w:cs="Tahoma"/>
          <w:lang w:val="en-GB"/>
        </w:rPr>
        <w:t>₹</w:t>
      </w:r>
      <w:r w:rsidRPr="00BE35ED">
        <w:rPr>
          <w:lang w:val="en-GB"/>
        </w:rPr>
        <w:t>100 million in 2006. By the end of financial year (FY) 2011</w:t>
      </w:r>
      <w:r w:rsidR="00093CCB">
        <w:rPr>
          <w:lang w:val="en-GB"/>
        </w:rPr>
        <w:t>–</w:t>
      </w:r>
      <w:r w:rsidRPr="00BE35ED">
        <w:rPr>
          <w:lang w:val="en-GB"/>
        </w:rPr>
        <w:t>12</w:t>
      </w:r>
      <w:r w:rsidR="0018753E">
        <w:rPr>
          <w:lang w:val="en-GB"/>
        </w:rPr>
        <w:t>,</w:t>
      </w:r>
      <w:r w:rsidRPr="00BE35ED">
        <w:rPr>
          <w:rStyle w:val="FootnoteReference"/>
          <w:lang w:val="en-GB"/>
        </w:rPr>
        <w:footnoteReference w:id="2"/>
      </w:r>
      <w:r w:rsidRPr="00BE35ED">
        <w:rPr>
          <w:lang w:val="en-GB"/>
        </w:rPr>
        <w:t xml:space="preserve"> the total revenue of KCM had reached a</w:t>
      </w:r>
      <w:r w:rsidR="00B547A7">
        <w:rPr>
          <w:lang w:val="en-GB"/>
        </w:rPr>
        <w:t>n impressive</w:t>
      </w:r>
      <w:r w:rsidRPr="00BE35ED">
        <w:rPr>
          <w:lang w:val="en-GB"/>
        </w:rPr>
        <w:t xml:space="preserve"> </w:t>
      </w:r>
      <w:r w:rsidRPr="00BE35ED">
        <w:rPr>
          <w:rFonts w:ascii="Tahoma" w:hAnsi="Tahoma" w:cs="Tahoma"/>
          <w:lang w:val="en-GB"/>
        </w:rPr>
        <w:t>₹</w:t>
      </w:r>
      <w:r w:rsidRPr="00BE35ED">
        <w:rPr>
          <w:lang w:val="en-GB"/>
        </w:rPr>
        <w:t xml:space="preserve">715 million, with </w:t>
      </w:r>
      <w:proofErr w:type="spellStart"/>
      <w:r w:rsidRPr="00BE35ED">
        <w:rPr>
          <w:lang w:val="en-GB"/>
        </w:rPr>
        <w:t>Impex</w:t>
      </w:r>
      <w:proofErr w:type="spellEnd"/>
      <w:r w:rsidRPr="00BE35ED">
        <w:rPr>
          <w:lang w:val="en-GB"/>
        </w:rPr>
        <w:t xml:space="preserve"> contributing close to </w:t>
      </w:r>
      <w:r w:rsidRPr="00BE35ED">
        <w:rPr>
          <w:rFonts w:ascii="Tahoma" w:hAnsi="Tahoma" w:cs="Tahoma"/>
          <w:lang w:val="en-GB"/>
        </w:rPr>
        <w:t>₹</w:t>
      </w:r>
      <w:r w:rsidRPr="00BE35ED">
        <w:rPr>
          <w:lang w:val="en-GB"/>
        </w:rPr>
        <w:t>350 million. However, growth stalled in the following two years for several reasons, including</w:t>
      </w:r>
      <w:r w:rsidR="00B547A7">
        <w:rPr>
          <w:lang w:val="en-GB"/>
        </w:rPr>
        <w:t xml:space="preserve"> the</w:t>
      </w:r>
      <w:r w:rsidRPr="00BE35ED">
        <w:rPr>
          <w:lang w:val="en-GB"/>
        </w:rPr>
        <w:t xml:space="preserve"> lack of professional management required for the </w:t>
      </w:r>
      <w:r w:rsidR="00093CCB" w:rsidRPr="00BE35ED">
        <w:rPr>
          <w:lang w:val="en-GB"/>
        </w:rPr>
        <w:t>fast</w:t>
      </w:r>
      <w:r w:rsidR="00093CCB">
        <w:rPr>
          <w:lang w:val="en-GB"/>
        </w:rPr>
        <w:t>-</w:t>
      </w:r>
      <w:r w:rsidRPr="00BE35ED">
        <w:rPr>
          <w:lang w:val="en-GB"/>
        </w:rPr>
        <w:t>growing operations. By the end of FY 2013</w:t>
      </w:r>
      <w:r w:rsidR="00093CCB">
        <w:rPr>
          <w:lang w:val="en-GB"/>
        </w:rPr>
        <w:t>–</w:t>
      </w:r>
      <w:r w:rsidRPr="00BE35ED">
        <w:rPr>
          <w:lang w:val="en-GB"/>
        </w:rPr>
        <w:t>14, the company’s top</w:t>
      </w:r>
      <w:r w:rsidR="00AA51F7">
        <w:rPr>
          <w:rFonts w:asciiTheme="minorEastAsia" w:eastAsiaTheme="minorEastAsia" w:hAnsiTheme="minorEastAsia" w:hint="eastAsia"/>
          <w:lang w:val="en-GB" w:eastAsia="zh-CN"/>
        </w:rPr>
        <w:t xml:space="preserve"> </w:t>
      </w:r>
      <w:r w:rsidRPr="00BE35ED">
        <w:rPr>
          <w:lang w:val="en-GB"/>
        </w:rPr>
        <w:t xml:space="preserve">line was stuck at </w:t>
      </w:r>
      <w:r w:rsidRPr="00BE35ED">
        <w:rPr>
          <w:rFonts w:ascii="Tahoma" w:hAnsi="Tahoma" w:cs="Tahoma"/>
          <w:lang w:val="en-GB"/>
        </w:rPr>
        <w:t>₹</w:t>
      </w:r>
      <w:r w:rsidRPr="00BE35ED">
        <w:rPr>
          <w:lang w:val="en-GB"/>
        </w:rPr>
        <w:t>724 million. With the rupee falling sharply that year, the margins</w:t>
      </w:r>
      <w:r w:rsidR="00093CCB">
        <w:rPr>
          <w:lang w:val="en-GB"/>
        </w:rPr>
        <w:t xml:space="preserve"> </w:t>
      </w:r>
      <w:r w:rsidRPr="00BE35ED">
        <w:rPr>
          <w:lang w:val="en-GB"/>
        </w:rPr>
        <w:t>were thin</w:t>
      </w:r>
      <w:r w:rsidR="00C304C6">
        <w:rPr>
          <w:lang w:val="en-GB"/>
        </w:rPr>
        <w:t>,</w:t>
      </w:r>
      <w:r w:rsidR="001825B2">
        <w:rPr>
          <w:lang w:val="en-GB"/>
        </w:rPr>
        <w:t xml:space="preserve"> as </w:t>
      </w:r>
      <w:r w:rsidR="001825B2" w:rsidRPr="00AA51F7">
        <w:rPr>
          <w:lang w:val="en-GB"/>
        </w:rPr>
        <w:t xml:space="preserve">most of </w:t>
      </w:r>
      <w:r w:rsidR="00AA51F7" w:rsidRPr="000F1C26">
        <w:rPr>
          <w:rFonts w:eastAsiaTheme="minorEastAsia"/>
          <w:lang w:val="en-GB" w:eastAsia="zh-CN"/>
        </w:rPr>
        <w:t>KCM’s</w:t>
      </w:r>
      <w:r w:rsidR="00AA51F7">
        <w:rPr>
          <w:rFonts w:eastAsiaTheme="minorEastAsia"/>
          <w:lang w:val="en-GB" w:eastAsia="zh-CN"/>
        </w:rPr>
        <w:t xml:space="preserve"> </w:t>
      </w:r>
      <w:r w:rsidR="001825B2" w:rsidRPr="00AA51F7">
        <w:rPr>
          <w:lang w:val="en-GB"/>
        </w:rPr>
        <w:t xml:space="preserve">products </w:t>
      </w:r>
      <w:proofErr w:type="gramStart"/>
      <w:r w:rsidR="001825B2" w:rsidRPr="00AA51F7">
        <w:rPr>
          <w:lang w:val="en-GB"/>
        </w:rPr>
        <w:t>were sourced</w:t>
      </w:r>
      <w:proofErr w:type="gramEnd"/>
      <w:r w:rsidR="001825B2">
        <w:rPr>
          <w:lang w:val="en-GB"/>
        </w:rPr>
        <w:t xml:space="preserve"> from China</w:t>
      </w:r>
      <w:r w:rsidRPr="00BE35ED">
        <w:rPr>
          <w:lang w:val="en-GB"/>
        </w:rPr>
        <w:t xml:space="preserve">. The </w:t>
      </w:r>
      <w:r w:rsidR="002C68D2">
        <w:rPr>
          <w:lang w:val="en-GB"/>
        </w:rPr>
        <w:t>past</w:t>
      </w:r>
      <w:r w:rsidR="002C68D2" w:rsidRPr="00BE35ED">
        <w:rPr>
          <w:lang w:val="en-GB"/>
        </w:rPr>
        <w:t xml:space="preserve"> </w:t>
      </w:r>
      <w:r w:rsidRPr="00BE35ED">
        <w:rPr>
          <w:lang w:val="en-GB"/>
        </w:rPr>
        <w:t xml:space="preserve">two years had made </w:t>
      </w:r>
      <w:proofErr w:type="spellStart"/>
      <w:r w:rsidR="00DF23AA" w:rsidRPr="00BE35ED">
        <w:rPr>
          <w:lang w:val="en-GB"/>
        </w:rPr>
        <w:t>Chenengadan</w:t>
      </w:r>
      <w:proofErr w:type="spellEnd"/>
      <w:r w:rsidR="00DF23AA" w:rsidRPr="00BE35ED" w:rsidDel="00DF23AA">
        <w:rPr>
          <w:lang w:val="en-GB"/>
        </w:rPr>
        <w:t xml:space="preserve"> </w:t>
      </w:r>
      <w:r w:rsidRPr="00BE35ED">
        <w:rPr>
          <w:lang w:val="en-GB"/>
        </w:rPr>
        <w:t xml:space="preserve">realize that it was important that he build an organization </w:t>
      </w:r>
      <w:r w:rsidR="002C68D2">
        <w:rPr>
          <w:lang w:val="en-GB"/>
        </w:rPr>
        <w:t>on</w:t>
      </w:r>
      <w:r w:rsidR="002C68D2" w:rsidRPr="00BE35ED">
        <w:rPr>
          <w:lang w:val="en-GB"/>
        </w:rPr>
        <w:t xml:space="preserve"> </w:t>
      </w:r>
      <w:r w:rsidRPr="00BE35ED">
        <w:rPr>
          <w:lang w:val="en-GB"/>
        </w:rPr>
        <w:t xml:space="preserve">professional management practices and consolidate its efforts before taking the next big </w:t>
      </w:r>
      <w:r w:rsidR="00AA51F7">
        <w:rPr>
          <w:lang w:val="en-GB"/>
        </w:rPr>
        <w:t>step</w:t>
      </w:r>
      <w:r w:rsidRPr="00BE35ED">
        <w:rPr>
          <w:lang w:val="en-GB"/>
        </w:rPr>
        <w:t xml:space="preserve">. In 2015, KCM’s most promising division revolved around </w:t>
      </w:r>
      <w:proofErr w:type="spellStart"/>
      <w:r w:rsidRPr="00BE35ED">
        <w:rPr>
          <w:lang w:val="en-GB"/>
        </w:rPr>
        <w:t>Impex</w:t>
      </w:r>
      <w:proofErr w:type="spellEnd"/>
      <w:r w:rsidRPr="00BE35ED">
        <w:rPr>
          <w:lang w:val="en-GB"/>
        </w:rPr>
        <w:t xml:space="preserve"> appliances sold largely in the southern states of India, predominantly in Kerala. Therefore, </w:t>
      </w:r>
      <w:proofErr w:type="spellStart"/>
      <w:r w:rsidR="00DF23AA" w:rsidRPr="00BE35ED">
        <w:rPr>
          <w:lang w:val="en-GB"/>
        </w:rPr>
        <w:t>Chenengadan</w:t>
      </w:r>
      <w:proofErr w:type="spellEnd"/>
      <w:r w:rsidR="00DF23AA" w:rsidRPr="00BE35ED" w:rsidDel="00DF23AA">
        <w:rPr>
          <w:lang w:val="en-GB"/>
        </w:rPr>
        <w:t xml:space="preserve"> </w:t>
      </w:r>
      <w:r w:rsidRPr="00BE35ED">
        <w:rPr>
          <w:lang w:val="en-GB"/>
        </w:rPr>
        <w:t xml:space="preserve">decided to spend more time and pay more attention to building business </w:t>
      </w:r>
      <w:r w:rsidR="008B679E">
        <w:rPr>
          <w:lang w:val="en-GB"/>
        </w:rPr>
        <w:t>for</w:t>
      </w:r>
      <w:r w:rsidRPr="00BE35ED">
        <w:rPr>
          <w:lang w:val="en-GB"/>
        </w:rPr>
        <w:t xml:space="preserve"> </w:t>
      </w:r>
      <w:proofErr w:type="spellStart"/>
      <w:r w:rsidRPr="00BE35ED">
        <w:rPr>
          <w:lang w:val="en-GB"/>
        </w:rPr>
        <w:t>Impex</w:t>
      </w:r>
      <w:proofErr w:type="spellEnd"/>
      <w:r w:rsidRPr="00BE35ED">
        <w:rPr>
          <w:lang w:val="en-GB"/>
        </w:rPr>
        <w:t>.</w:t>
      </w:r>
      <w:r w:rsidR="00093CCB">
        <w:rPr>
          <w:lang w:val="en-GB"/>
        </w:rPr>
        <w:t xml:space="preserve"> </w:t>
      </w:r>
    </w:p>
    <w:p w14:paraId="6A16FEC7" w14:textId="77777777" w:rsidR="00606A2A" w:rsidRPr="00BE35ED" w:rsidRDefault="00606A2A" w:rsidP="00066622">
      <w:pPr>
        <w:pStyle w:val="BodyTextMain"/>
        <w:rPr>
          <w:lang w:val="en-GB"/>
        </w:rPr>
      </w:pPr>
    </w:p>
    <w:p w14:paraId="608D3216" w14:textId="75325D69" w:rsidR="00066622" w:rsidRPr="00BE35ED" w:rsidRDefault="00066622" w:rsidP="00066622">
      <w:pPr>
        <w:pStyle w:val="BodyTextMain"/>
        <w:rPr>
          <w:lang w:val="en-GB"/>
        </w:rPr>
      </w:pPr>
      <w:r w:rsidRPr="00BE35ED">
        <w:rPr>
          <w:lang w:val="en-GB"/>
        </w:rPr>
        <w:t xml:space="preserve">In the absence of a functioning marketing head, </w:t>
      </w:r>
      <w:proofErr w:type="spellStart"/>
      <w:r w:rsidR="00DF23AA" w:rsidRPr="00BE35ED">
        <w:rPr>
          <w:lang w:val="en-GB"/>
        </w:rPr>
        <w:t>Chenengadan</w:t>
      </w:r>
      <w:proofErr w:type="spellEnd"/>
      <w:r w:rsidR="00DF23AA" w:rsidRPr="00BE35ED" w:rsidDel="00DF23AA">
        <w:rPr>
          <w:lang w:val="en-GB"/>
        </w:rPr>
        <w:t xml:space="preserve"> </w:t>
      </w:r>
      <w:r w:rsidRPr="00BE35ED">
        <w:rPr>
          <w:lang w:val="en-GB"/>
        </w:rPr>
        <w:t xml:space="preserve">directly dealt with sales and product management integration at </w:t>
      </w:r>
      <w:proofErr w:type="spellStart"/>
      <w:r w:rsidRPr="00BE35ED">
        <w:rPr>
          <w:lang w:val="en-GB"/>
        </w:rPr>
        <w:t>Impex</w:t>
      </w:r>
      <w:proofErr w:type="spellEnd"/>
      <w:r w:rsidRPr="00BE35ED">
        <w:rPr>
          <w:lang w:val="en-GB"/>
        </w:rPr>
        <w:t xml:space="preserve">. </w:t>
      </w:r>
      <w:r w:rsidR="00B547A7">
        <w:rPr>
          <w:lang w:val="en-GB"/>
        </w:rPr>
        <w:t>Until</w:t>
      </w:r>
      <w:r w:rsidR="00B547A7" w:rsidRPr="00BE35ED">
        <w:rPr>
          <w:lang w:val="en-GB"/>
        </w:rPr>
        <w:t xml:space="preserve"> </w:t>
      </w:r>
      <w:r w:rsidRPr="00BE35ED">
        <w:rPr>
          <w:lang w:val="en-GB"/>
        </w:rPr>
        <w:t xml:space="preserve">very recently, </w:t>
      </w:r>
      <w:proofErr w:type="spellStart"/>
      <w:r w:rsidRPr="00BE35ED">
        <w:rPr>
          <w:lang w:val="en-GB"/>
        </w:rPr>
        <w:t>Impex</w:t>
      </w:r>
      <w:r w:rsidR="00C304C6">
        <w:rPr>
          <w:lang w:val="en-GB"/>
        </w:rPr>
        <w:t>’s</w:t>
      </w:r>
      <w:proofErr w:type="spellEnd"/>
      <w:r w:rsidRPr="00BE35ED">
        <w:rPr>
          <w:lang w:val="en-GB"/>
        </w:rPr>
        <w:t xml:space="preserve"> marketing </w:t>
      </w:r>
      <w:r w:rsidR="00AA51F7">
        <w:rPr>
          <w:lang w:val="en-GB"/>
        </w:rPr>
        <w:t>had been</w:t>
      </w:r>
      <w:r w:rsidR="00AA51F7" w:rsidRPr="00BE35ED">
        <w:rPr>
          <w:lang w:val="en-GB"/>
        </w:rPr>
        <w:t xml:space="preserve"> </w:t>
      </w:r>
      <w:r w:rsidRPr="00BE35ED">
        <w:rPr>
          <w:lang w:val="en-GB"/>
        </w:rPr>
        <w:t xml:space="preserve">driven by sales, and there were no dedicated staff members in the product management team. </w:t>
      </w:r>
      <w:proofErr w:type="gramStart"/>
      <w:r w:rsidRPr="00BE35ED">
        <w:rPr>
          <w:lang w:val="en-GB"/>
        </w:rPr>
        <w:t xml:space="preserve">It was the </w:t>
      </w:r>
      <w:r w:rsidR="00093CCB">
        <w:rPr>
          <w:lang w:val="en-GB"/>
        </w:rPr>
        <w:t>d</w:t>
      </w:r>
      <w:r w:rsidR="00093CCB" w:rsidRPr="00BE35ED">
        <w:rPr>
          <w:lang w:val="en-GB"/>
        </w:rPr>
        <w:t xml:space="preserve">ivisional </w:t>
      </w:r>
      <w:r w:rsidR="00093CCB">
        <w:rPr>
          <w:lang w:val="en-GB"/>
        </w:rPr>
        <w:t>s</w:t>
      </w:r>
      <w:r w:rsidR="00093CCB" w:rsidRPr="00BE35ED">
        <w:rPr>
          <w:lang w:val="en-GB"/>
        </w:rPr>
        <w:t xml:space="preserve">ales </w:t>
      </w:r>
      <w:r w:rsidR="00093CCB">
        <w:rPr>
          <w:lang w:val="en-GB"/>
        </w:rPr>
        <w:t>m</w:t>
      </w:r>
      <w:r w:rsidR="00093CCB" w:rsidRPr="00BE35ED">
        <w:rPr>
          <w:lang w:val="en-GB"/>
        </w:rPr>
        <w:t xml:space="preserve">anager </w:t>
      </w:r>
      <w:r w:rsidRPr="00BE35ED">
        <w:rPr>
          <w:lang w:val="en-GB"/>
        </w:rPr>
        <w:t xml:space="preserve">who devised a few promotional schemes during </w:t>
      </w:r>
      <w:r w:rsidR="00297A73" w:rsidRPr="00BE35ED">
        <w:rPr>
          <w:lang w:val="en-GB"/>
        </w:rPr>
        <w:t>festiv</w:t>
      </w:r>
      <w:r w:rsidR="00297A73">
        <w:rPr>
          <w:lang w:val="en-GB"/>
        </w:rPr>
        <w:t>al</w:t>
      </w:r>
      <w:r w:rsidR="00297A73" w:rsidRPr="00BE35ED">
        <w:rPr>
          <w:lang w:val="en-GB"/>
        </w:rPr>
        <w:t xml:space="preserve"> </w:t>
      </w:r>
      <w:r w:rsidR="00297A73">
        <w:rPr>
          <w:lang w:val="en-GB"/>
        </w:rPr>
        <w:t>periods</w:t>
      </w:r>
      <w:proofErr w:type="gramEnd"/>
      <w:r w:rsidR="00297A73" w:rsidRPr="00BE35ED">
        <w:rPr>
          <w:lang w:val="en-GB"/>
        </w:rPr>
        <w:t xml:space="preserve"> </w:t>
      </w:r>
      <w:r w:rsidR="00166CD9">
        <w:rPr>
          <w:lang w:val="en-GB"/>
        </w:rPr>
        <w:t>and there was not</w:t>
      </w:r>
      <w:r w:rsidR="00166CD9" w:rsidRPr="00BE35ED">
        <w:rPr>
          <w:lang w:val="en-GB"/>
        </w:rPr>
        <w:t xml:space="preserve"> </w:t>
      </w:r>
      <w:r w:rsidRPr="00BE35ED">
        <w:rPr>
          <w:lang w:val="en-GB"/>
        </w:rPr>
        <w:t xml:space="preserve">much brand-building effort through </w:t>
      </w:r>
      <w:r w:rsidR="00AA51F7">
        <w:rPr>
          <w:lang w:val="en-GB"/>
        </w:rPr>
        <w:t xml:space="preserve">the </w:t>
      </w:r>
      <w:r w:rsidRPr="00BE35ED">
        <w:rPr>
          <w:lang w:val="en-GB"/>
        </w:rPr>
        <w:t xml:space="preserve">mass media. </w:t>
      </w:r>
      <w:proofErr w:type="spellStart"/>
      <w:r w:rsidR="00DF23AA" w:rsidRPr="00BE35ED">
        <w:rPr>
          <w:spacing w:val="-2"/>
          <w:kern w:val="22"/>
          <w:lang w:val="en-GB"/>
        </w:rPr>
        <w:t>Kodakkadan</w:t>
      </w:r>
      <w:proofErr w:type="spellEnd"/>
      <w:r w:rsidRPr="00BE35ED">
        <w:rPr>
          <w:lang w:val="en-GB"/>
        </w:rPr>
        <w:t xml:space="preserve">, a young MBA graduate, </w:t>
      </w:r>
      <w:proofErr w:type="gramStart"/>
      <w:r w:rsidR="00297A73">
        <w:rPr>
          <w:lang w:val="en-GB"/>
        </w:rPr>
        <w:t>had been</w:t>
      </w:r>
      <w:r w:rsidR="00297A73" w:rsidRPr="00BE35ED">
        <w:rPr>
          <w:lang w:val="en-GB"/>
        </w:rPr>
        <w:t xml:space="preserve"> </w:t>
      </w:r>
      <w:r w:rsidRPr="00BE35ED">
        <w:rPr>
          <w:lang w:val="en-GB"/>
        </w:rPr>
        <w:t>brought in</w:t>
      </w:r>
      <w:proofErr w:type="gramEnd"/>
      <w:r w:rsidRPr="00BE35ED">
        <w:rPr>
          <w:lang w:val="en-GB"/>
        </w:rPr>
        <w:t xml:space="preserve"> as a category management executive in 2013 and was given the responsibility of product management for kitchen appliances.</w:t>
      </w:r>
      <w:r w:rsidR="00A03FF9">
        <w:rPr>
          <w:lang w:val="en-GB"/>
        </w:rPr>
        <w:t xml:space="preserve"> </w:t>
      </w:r>
      <w:proofErr w:type="spellStart"/>
      <w:r w:rsidR="00DF23AA" w:rsidRPr="00BE35ED">
        <w:rPr>
          <w:spacing w:val="-2"/>
          <w:kern w:val="22"/>
          <w:lang w:val="en-GB"/>
        </w:rPr>
        <w:t>Kodakkadan</w:t>
      </w:r>
      <w:proofErr w:type="spellEnd"/>
      <w:r w:rsidR="00DF23AA">
        <w:rPr>
          <w:spacing w:val="-2"/>
          <w:kern w:val="22"/>
          <w:lang w:val="en-GB"/>
        </w:rPr>
        <w:t xml:space="preserve"> </w:t>
      </w:r>
      <w:r w:rsidRPr="00BE35ED">
        <w:rPr>
          <w:lang w:val="en-GB"/>
        </w:rPr>
        <w:t xml:space="preserve">had spent about </w:t>
      </w:r>
      <w:r w:rsidR="00093CCB">
        <w:rPr>
          <w:lang w:val="en-GB"/>
        </w:rPr>
        <w:t>five</w:t>
      </w:r>
      <w:r w:rsidR="00093CCB" w:rsidRPr="00BE35ED">
        <w:rPr>
          <w:lang w:val="en-GB"/>
        </w:rPr>
        <w:t xml:space="preserve"> </w:t>
      </w:r>
      <w:r w:rsidRPr="00BE35ED">
        <w:rPr>
          <w:lang w:val="en-GB"/>
        </w:rPr>
        <w:t xml:space="preserve">years in sales at </w:t>
      </w:r>
      <w:proofErr w:type="spellStart"/>
      <w:r w:rsidRPr="00BE35ED">
        <w:rPr>
          <w:lang w:val="en-GB"/>
        </w:rPr>
        <w:t>Impex</w:t>
      </w:r>
      <w:proofErr w:type="spellEnd"/>
      <w:r w:rsidRPr="00BE35ED">
        <w:rPr>
          <w:lang w:val="en-GB"/>
        </w:rPr>
        <w:t xml:space="preserve"> and had picked up some analytical skills in marketing with the help of training programs.</w:t>
      </w:r>
      <w:r w:rsidR="00BB1E41">
        <w:rPr>
          <w:lang w:val="en-GB"/>
        </w:rPr>
        <w:t xml:space="preserve"> </w:t>
      </w:r>
    </w:p>
    <w:p w14:paraId="23C76B8F" w14:textId="77777777" w:rsidR="00606A2A" w:rsidRPr="00BE35ED" w:rsidRDefault="00606A2A" w:rsidP="00066622">
      <w:pPr>
        <w:pStyle w:val="BodyTextMain"/>
        <w:rPr>
          <w:lang w:val="en-GB"/>
        </w:rPr>
      </w:pPr>
    </w:p>
    <w:p w14:paraId="34760034" w14:textId="77777777" w:rsidR="00606A2A" w:rsidRPr="00BE35ED" w:rsidRDefault="00606A2A" w:rsidP="00066622">
      <w:pPr>
        <w:pStyle w:val="BodyTextMain"/>
        <w:rPr>
          <w:lang w:val="en-GB"/>
        </w:rPr>
      </w:pPr>
    </w:p>
    <w:p w14:paraId="2DF287A9" w14:textId="77777777" w:rsidR="00066622" w:rsidRPr="00BE35ED" w:rsidRDefault="00066622" w:rsidP="00606A2A">
      <w:pPr>
        <w:pStyle w:val="Casehead2"/>
        <w:rPr>
          <w:lang w:val="en-GB"/>
        </w:rPr>
      </w:pPr>
      <w:r w:rsidRPr="00BE35ED">
        <w:rPr>
          <w:lang w:val="en-GB"/>
        </w:rPr>
        <w:t xml:space="preserve">Marketing at </w:t>
      </w:r>
      <w:proofErr w:type="spellStart"/>
      <w:r w:rsidRPr="00BE35ED">
        <w:rPr>
          <w:lang w:val="en-GB"/>
        </w:rPr>
        <w:t>Impex</w:t>
      </w:r>
      <w:proofErr w:type="spellEnd"/>
    </w:p>
    <w:p w14:paraId="4C4B1DC9" w14:textId="77777777" w:rsidR="00606A2A" w:rsidRPr="00BE35ED" w:rsidRDefault="00606A2A" w:rsidP="00066622">
      <w:pPr>
        <w:pStyle w:val="BodyTextMain"/>
        <w:rPr>
          <w:lang w:val="en-GB"/>
        </w:rPr>
      </w:pPr>
    </w:p>
    <w:p w14:paraId="78C2751E" w14:textId="07B7B3E4" w:rsidR="00066622" w:rsidRPr="00BE35ED" w:rsidRDefault="00066622" w:rsidP="00066622">
      <w:pPr>
        <w:pStyle w:val="BodyTextMain"/>
        <w:rPr>
          <w:lang w:val="en-GB"/>
        </w:rPr>
      </w:pPr>
      <w:proofErr w:type="spellStart"/>
      <w:r w:rsidRPr="00BE35ED">
        <w:rPr>
          <w:lang w:val="en-GB"/>
        </w:rPr>
        <w:t>Impex</w:t>
      </w:r>
      <w:proofErr w:type="spellEnd"/>
      <w:r w:rsidRPr="00BE35ED">
        <w:rPr>
          <w:lang w:val="en-GB"/>
        </w:rPr>
        <w:t xml:space="preserve"> deal</w:t>
      </w:r>
      <w:r w:rsidR="00452083">
        <w:rPr>
          <w:lang w:val="en-GB"/>
        </w:rPr>
        <w:t>t</w:t>
      </w:r>
      <w:r w:rsidRPr="00BE35ED">
        <w:rPr>
          <w:lang w:val="en-GB"/>
        </w:rPr>
        <w:t xml:space="preserve"> with as many as 140 items/models under three broad product groups: kitchen appliances for food processing, cooking, serving</w:t>
      </w:r>
      <w:r w:rsidR="00093CCB">
        <w:rPr>
          <w:lang w:val="en-GB"/>
        </w:rPr>
        <w:t>,</w:t>
      </w:r>
      <w:r w:rsidRPr="00BE35ED">
        <w:rPr>
          <w:lang w:val="en-GB"/>
        </w:rPr>
        <w:t xml:space="preserve"> and storing; household appliances for hygiene and comfort; and home entertainment systems for home audio and video solutions. High-ticket items such as </w:t>
      </w:r>
      <w:r w:rsidR="00AA51F7" w:rsidRPr="00AA51F7">
        <w:rPr>
          <w:lang w:val="en-GB"/>
        </w:rPr>
        <w:t xml:space="preserve">light-emitting diode </w:t>
      </w:r>
      <w:r w:rsidR="00AA51F7">
        <w:rPr>
          <w:lang w:val="en-GB"/>
        </w:rPr>
        <w:t>(</w:t>
      </w:r>
      <w:r w:rsidRPr="00BE35ED">
        <w:rPr>
          <w:lang w:val="en-GB"/>
        </w:rPr>
        <w:t>LED</w:t>
      </w:r>
      <w:r w:rsidR="00AA51F7">
        <w:rPr>
          <w:lang w:val="en-GB"/>
        </w:rPr>
        <w:t>)</w:t>
      </w:r>
      <w:r w:rsidRPr="00BE35ED">
        <w:rPr>
          <w:lang w:val="en-GB"/>
        </w:rPr>
        <w:t xml:space="preserve"> </w:t>
      </w:r>
      <w:r w:rsidR="00AA51F7">
        <w:rPr>
          <w:lang w:val="en-GB"/>
        </w:rPr>
        <w:t>televisions</w:t>
      </w:r>
      <w:r w:rsidR="00AA51F7" w:rsidRPr="00BE35ED">
        <w:rPr>
          <w:lang w:val="en-GB"/>
        </w:rPr>
        <w:t xml:space="preserve"> </w:t>
      </w:r>
      <w:r w:rsidRPr="00BE35ED">
        <w:rPr>
          <w:lang w:val="en-GB"/>
        </w:rPr>
        <w:t xml:space="preserve">did not meet with much success due to competition with large, established national and global players, and therefore, these </w:t>
      </w:r>
      <w:r w:rsidR="00A55F65">
        <w:rPr>
          <w:lang w:val="en-GB"/>
        </w:rPr>
        <w:t xml:space="preserve">items </w:t>
      </w:r>
      <w:r w:rsidRPr="00BE35ED">
        <w:rPr>
          <w:lang w:val="en-GB"/>
        </w:rPr>
        <w:t xml:space="preserve">were on their way out </w:t>
      </w:r>
      <w:r w:rsidR="00093CCB">
        <w:rPr>
          <w:lang w:val="en-GB"/>
        </w:rPr>
        <w:t>of</w:t>
      </w:r>
      <w:r w:rsidR="00093CCB" w:rsidRPr="00BE35ED">
        <w:rPr>
          <w:lang w:val="en-GB"/>
        </w:rPr>
        <w:t xml:space="preserve"> </w:t>
      </w:r>
      <w:r w:rsidRPr="00BE35ED">
        <w:rPr>
          <w:lang w:val="en-GB"/>
        </w:rPr>
        <w:t xml:space="preserve">the </w:t>
      </w:r>
      <w:proofErr w:type="spellStart"/>
      <w:r w:rsidRPr="00BE35ED">
        <w:rPr>
          <w:lang w:val="en-GB"/>
        </w:rPr>
        <w:t>Impex</w:t>
      </w:r>
      <w:proofErr w:type="spellEnd"/>
      <w:r w:rsidRPr="00BE35ED">
        <w:rPr>
          <w:lang w:val="en-GB"/>
        </w:rPr>
        <w:t xml:space="preserve"> portfolio. In 2015, </w:t>
      </w:r>
      <w:proofErr w:type="spellStart"/>
      <w:r w:rsidRPr="00BE35ED">
        <w:rPr>
          <w:lang w:val="en-GB"/>
        </w:rPr>
        <w:t>Impex</w:t>
      </w:r>
      <w:proofErr w:type="spellEnd"/>
      <w:r w:rsidRPr="00BE35ED">
        <w:rPr>
          <w:lang w:val="en-GB"/>
        </w:rPr>
        <w:t xml:space="preserve"> started launching appliances for personal grooming and personal entertainment and communication. In FY 2013</w:t>
      </w:r>
      <w:r w:rsidR="00093CCB">
        <w:rPr>
          <w:lang w:val="en-GB"/>
        </w:rPr>
        <w:t>–</w:t>
      </w:r>
      <w:r w:rsidRPr="00BE35ED">
        <w:rPr>
          <w:lang w:val="en-GB"/>
        </w:rPr>
        <w:t xml:space="preserve">14, the three divisions </w:t>
      </w:r>
      <w:r w:rsidR="00093CCB">
        <w:rPr>
          <w:lang w:val="en-GB"/>
        </w:rPr>
        <w:t xml:space="preserve">of </w:t>
      </w:r>
      <w:r w:rsidRPr="00BE35ED">
        <w:rPr>
          <w:lang w:val="en-GB"/>
        </w:rPr>
        <w:t>kitchen appliances, household appliances, and home entertainment contributed 41</w:t>
      </w:r>
      <w:r w:rsidR="0069529B">
        <w:rPr>
          <w:lang w:val="en-GB"/>
        </w:rPr>
        <w:t xml:space="preserve"> </w:t>
      </w:r>
      <w:r w:rsidR="007964AA">
        <w:rPr>
          <w:lang w:val="en-GB"/>
        </w:rPr>
        <w:t>per cent</w:t>
      </w:r>
      <w:r w:rsidRPr="00BE35ED">
        <w:rPr>
          <w:lang w:val="en-GB"/>
        </w:rPr>
        <w:t>, 33</w:t>
      </w:r>
      <w:r w:rsidR="0069529B">
        <w:rPr>
          <w:lang w:val="en-GB"/>
        </w:rPr>
        <w:t xml:space="preserve"> </w:t>
      </w:r>
      <w:r w:rsidR="007964AA">
        <w:rPr>
          <w:lang w:val="en-GB"/>
        </w:rPr>
        <w:t>per cent</w:t>
      </w:r>
      <w:r w:rsidR="00093CCB">
        <w:rPr>
          <w:lang w:val="en-GB"/>
        </w:rPr>
        <w:t>,</w:t>
      </w:r>
      <w:r w:rsidRPr="00BE35ED">
        <w:rPr>
          <w:lang w:val="en-GB"/>
        </w:rPr>
        <w:t xml:space="preserve"> and 26</w:t>
      </w:r>
      <w:r w:rsidR="0069529B">
        <w:rPr>
          <w:lang w:val="en-GB"/>
        </w:rPr>
        <w:t xml:space="preserve"> </w:t>
      </w:r>
      <w:r w:rsidR="007964AA">
        <w:rPr>
          <w:lang w:val="en-GB"/>
        </w:rPr>
        <w:t>per cent</w:t>
      </w:r>
      <w:r w:rsidRPr="00BE35ED">
        <w:rPr>
          <w:lang w:val="en-GB"/>
        </w:rPr>
        <w:t>, respectively, of the total divisional unit sales, but their contribution to the total revenue of the division was 28</w:t>
      </w:r>
      <w:r w:rsidR="0069529B">
        <w:rPr>
          <w:lang w:val="en-GB"/>
        </w:rPr>
        <w:t xml:space="preserve"> </w:t>
      </w:r>
      <w:r w:rsidR="007964AA">
        <w:rPr>
          <w:lang w:val="en-GB"/>
        </w:rPr>
        <w:t>per cent</w:t>
      </w:r>
      <w:r w:rsidRPr="00BE35ED">
        <w:rPr>
          <w:lang w:val="en-GB"/>
        </w:rPr>
        <w:t>, 25</w:t>
      </w:r>
      <w:r w:rsidR="0069529B">
        <w:rPr>
          <w:lang w:val="en-GB"/>
        </w:rPr>
        <w:t xml:space="preserve"> </w:t>
      </w:r>
      <w:r w:rsidR="007964AA">
        <w:rPr>
          <w:lang w:val="en-GB"/>
        </w:rPr>
        <w:t>per cent</w:t>
      </w:r>
      <w:r w:rsidR="00093CCB">
        <w:rPr>
          <w:lang w:val="en-GB"/>
        </w:rPr>
        <w:t>,</w:t>
      </w:r>
      <w:r w:rsidRPr="00BE35ED">
        <w:rPr>
          <w:lang w:val="en-GB"/>
        </w:rPr>
        <w:t xml:space="preserve"> and 47</w:t>
      </w:r>
      <w:r w:rsidR="0069529B">
        <w:rPr>
          <w:lang w:val="en-GB"/>
        </w:rPr>
        <w:t xml:space="preserve"> </w:t>
      </w:r>
      <w:r w:rsidR="007964AA">
        <w:rPr>
          <w:lang w:val="en-GB"/>
        </w:rPr>
        <w:t>per cent</w:t>
      </w:r>
      <w:r w:rsidRPr="00BE35ED">
        <w:rPr>
          <w:lang w:val="en-GB"/>
        </w:rPr>
        <w:t xml:space="preserve">, respectively. </w:t>
      </w:r>
    </w:p>
    <w:p w14:paraId="5713FC94" w14:textId="77777777" w:rsidR="00606A2A" w:rsidRPr="00BE35ED" w:rsidRDefault="00606A2A" w:rsidP="00066622">
      <w:pPr>
        <w:pStyle w:val="BodyTextMain"/>
        <w:rPr>
          <w:lang w:val="en-GB"/>
        </w:rPr>
      </w:pPr>
    </w:p>
    <w:p w14:paraId="34CD9D32" w14:textId="53760086" w:rsidR="00066622" w:rsidRPr="00BE35ED" w:rsidRDefault="00066622" w:rsidP="00066622">
      <w:pPr>
        <w:pStyle w:val="BodyTextMain"/>
        <w:rPr>
          <w:lang w:val="en-GB"/>
        </w:rPr>
      </w:pPr>
      <w:proofErr w:type="spellStart"/>
      <w:r w:rsidRPr="00BE35ED">
        <w:rPr>
          <w:lang w:val="en-GB"/>
        </w:rPr>
        <w:t>Impex</w:t>
      </w:r>
      <w:proofErr w:type="spellEnd"/>
      <w:r w:rsidRPr="00BE35ED">
        <w:rPr>
          <w:lang w:val="en-GB"/>
        </w:rPr>
        <w:t xml:space="preserve"> revolved around the idea </w:t>
      </w:r>
      <w:r w:rsidR="00093CCB">
        <w:rPr>
          <w:lang w:val="en-GB"/>
        </w:rPr>
        <w:t>“</w:t>
      </w:r>
      <w:r w:rsidRPr="00BE35ED">
        <w:rPr>
          <w:lang w:val="en-GB"/>
        </w:rPr>
        <w:t xml:space="preserve">Innovate </w:t>
      </w:r>
      <w:r w:rsidR="00553DE1">
        <w:rPr>
          <w:lang w:val="en-GB"/>
        </w:rPr>
        <w:t>Y</w:t>
      </w:r>
      <w:r w:rsidRPr="00BE35ED">
        <w:rPr>
          <w:lang w:val="en-GB"/>
        </w:rPr>
        <w:t xml:space="preserve">our </w:t>
      </w:r>
      <w:r w:rsidR="00093CCB" w:rsidRPr="00BE35ED">
        <w:rPr>
          <w:lang w:val="en-GB"/>
        </w:rPr>
        <w:t>Life</w:t>
      </w:r>
      <w:r w:rsidR="00093CCB">
        <w:rPr>
          <w:lang w:val="en-GB"/>
        </w:rPr>
        <w:t>”</w:t>
      </w:r>
      <w:r w:rsidR="00093CCB" w:rsidRPr="00BE35ED">
        <w:rPr>
          <w:lang w:val="en-GB"/>
        </w:rPr>
        <w:t xml:space="preserve"> </w:t>
      </w:r>
      <w:r w:rsidRPr="00BE35ED">
        <w:rPr>
          <w:lang w:val="en-GB"/>
        </w:rPr>
        <w:t xml:space="preserve">and marketed </w:t>
      </w:r>
      <w:r w:rsidR="00093CCB">
        <w:rPr>
          <w:lang w:val="en-GB"/>
        </w:rPr>
        <w:t>its</w:t>
      </w:r>
      <w:r w:rsidR="00093CCB" w:rsidRPr="00BE35ED">
        <w:rPr>
          <w:lang w:val="en-GB"/>
        </w:rPr>
        <w:t xml:space="preserve"> </w:t>
      </w:r>
      <w:r w:rsidRPr="00BE35ED">
        <w:rPr>
          <w:lang w:val="en-GB"/>
        </w:rPr>
        <w:t xml:space="preserve">products as innovative products </w:t>
      </w:r>
      <w:r w:rsidR="00093CCB">
        <w:rPr>
          <w:lang w:val="en-GB"/>
        </w:rPr>
        <w:t>that</w:t>
      </w:r>
      <w:r w:rsidR="00093CCB" w:rsidRPr="00BE35ED">
        <w:rPr>
          <w:lang w:val="en-GB"/>
        </w:rPr>
        <w:t xml:space="preserve"> ma</w:t>
      </w:r>
      <w:r w:rsidR="00093CCB">
        <w:rPr>
          <w:lang w:val="en-GB"/>
        </w:rPr>
        <w:t>d</w:t>
      </w:r>
      <w:r w:rsidR="00093CCB" w:rsidRPr="00BE35ED">
        <w:rPr>
          <w:lang w:val="en-GB"/>
        </w:rPr>
        <w:t xml:space="preserve">e </w:t>
      </w:r>
      <w:r w:rsidRPr="00BE35ED">
        <w:rPr>
          <w:lang w:val="en-GB"/>
        </w:rPr>
        <w:t xml:space="preserve">life better by </w:t>
      </w:r>
      <w:r w:rsidR="00553DE1">
        <w:rPr>
          <w:lang w:val="en-GB"/>
        </w:rPr>
        <w:t>adding</w:t>
      </w:r>
      <w:r w:rsidR="00553DE1" w:rsidRPr="00BE35ED">
        <w:rPr>
          <w:lang w:val="en-GB"/>
        </w:rPr>
        <w:t xml:space="preserve"> </w:t>
      </w:r>
      <w:r w:rsidRPr="00BE35ED">
        <w:rPr>
          <w:lang w:val="en-GB"/>
        </w:rPr>
        <w:t xml:space="preserve">convenience or fun. The brand’s success </w:t>
      </w:r>
      <w:r w:rsidR="00093CCB">
        <w:rPr>
          <w:lang w:val="en-GB"/>
        </w:rPr>
        <w:t xml:space="preserve">was </w:t>
      </w:r>
      <w:r w:rsidRPr="00BE35ED">
        <w:rPr>
          <w:lang w:val="en-GB"/>
        </w:rPr>
        <w:t>largely owed to the launch of relatively new products introduced in the mass market for the first time, for example, an induction cooker (kitchen appliances), LED lights (household appliances)</w:t>
      </w:r>
      <w:r w:rsidR="00093CCB">
        <w:rPr>
          <w:lang w:val="en-GB"/>
        </w:rPr>
        <w:t>,</w:t>
      </w:r>
      <w:r w:rsidRPr="00BE35ED">
        <w:rPr>
          <w:lang w:val="en-GB"/>
        </w:rPr>
        <w:t xml:space="preserve"> and a speaker system (home entertainment). </w:t>
      </w:r>
      <w:proofErr w:type="spellStart"/>
      <w:r w:rsidRPr="00BE35ED">
        <w:rPr>
          <w:lang w:val="en-GB"/>
        </w:rPr>
        <w:t>Impex</w:t>
      </w:r>
      <w:proofErr w:type="spellEnd"/>
      <w:r w:rsidRPr="00BE35ED">
        <w:rPr>
          <w:lang w:val="en-GB"/>
        </w:rPr>
        <w:t xml:space="preserve"> marketed some regular products, such as pressure cookers, fans</w:t>
      </w:r>
      <w:r w:rsidR="00093CCB">
        <w:rPr>
          <w:lang w:val="en-GB"/>
        </w:rPr>
        <w:t>,</w:t>
      </w:r>
      <w:r w:rsidRPr="00BE35ED">
        <w:rPr>
          <w:lang w:val="en-GB"/>
        </w:rPr>
        <w:t xml:space="preserve"> and DVD players, in each of these divisions, but </w:t>
      </w:r>
      <w:r w:rsidR="00093CCB">
        <w:rPr>
          <w:lang w:val="en-GB"/>
        </w:rPr>
        <w:t>it</w:t>
      </w:r>
      <w:r w:rsidR="00093CCB" w:rsidRPr="00BE35ED">
        <w:rPr>
          <w:lang w:val="en-GB"/>
        </w:rPr>
        <w:t xml:space="preserve"> </w:t>
      </w:r>
      <w:r w:rsidRPr="00BE35ED">
        <w:rPr>
          <w:lang w:val="en-GB"/>
        </w:rPr>
        <w:t>strived to introduce relatively new products and models, sourced from China, to the educated middle</w:t>
      </w:r>
      <w:r w:rsidR="00093CCB">
        <w:rPr>
          <w:lang w:val="en-GB"/>
        </w:rPr>
        <w:t>-</w:t>
      </w:r>
      <w:r w:rsidRPr="00BE35ED">
        <w:rPr>
          <w:lang w:val="en-GB"/>
        </w:rPr>
        <w:t>class market in Kerala and its neighbo</w:t>
      </w:r>
      <w:r w:rsidR="00B547A7">
        <w:rPr>
          <w:lang w:val="en-GB"/>
        </w:rPr>
        <w:t>u</w:t>
      </w:r>
      <w:r w:rsidRPr="00BE35ED">
        <w:rPr>
          <w:lang w:val="en-GB"/>
        </w:rPr>
        <w:t>ring states with the promise of a better lifestyle</w:t>
      </w:r>
      <w:r w:rsidR="008A50CB">
        <w:rPr>
          <w:lang w:val="en-GB"/>
        </w:rPr>
        <w:t xml:space="preserve"> (see Exhibit 1)</w:t>
      </w:r>
      <w:r w:rsidRPr="00BE35ED">
        <w:rPr>
          <w:lang w:val="en-GB"/>
        </w:rPr>
        <w:t>. The promise of a new lifestyle at highly competitive prices appealed to consumers, and the brand had seen spectacular growth between 2005 and 2012</w:t>
      </w:r>
      <w:r w:rsidR="001D25B1">
        <w:rPr>
          <w:lang w:val="en-GB"/>
        </w:rPr>
        <w:t>.</w:t>
      </w:r>
      <w:r w:rsidR="001D25B1" w:rsidRPr="00BE35ED">
        <w:rPr>
          <w:lang w:val="en-GB"/>
        </w:rPr>
        <w:t xml:space="preserve"> </w:t>
      </w:r>
      <w:r w:rsidR="00093CCB">
        <w:rPr>
          <w:lang w:val="en-GB"/>
        </w:rPr>
        <w:t>“</w:t>
      </w:r>
      <w:r w:rsidRPr="00BE35ED">
        <w:rPr>
          <w:lang w:val="en-GB"/>
        </w:rPr>
        <w:t>Impeccable quality, competitive prices</w:t>
      </w:r>
      <w:r w:rsidR="00553DE1">
        <w:rPr>
          <w:lang w:val="en-GB"/>
        </w:rPr>
        <w:t>,</w:t>
      </w:r>
      <w:r w:rsidRPr="00BE35ED">
        <w:rPr>
          <w:lang w:val="en-GB"/>
        </w:rPr>
        <w:t xml:space="preserve"> and unmatched after-sales services </w:t>
      </w:r>
      <w:r w:rsidR="001D25B1">
        <w:rPr>
          <w:lang w:val="en-GB"/>
        </w:rPr>
        <w:t>were</w:t>
      </w:r>
      <w:r w:rsidR="001D25B1" w:rsidRPr="00BE35ED">
        <w:rPr>
          <w:lang w:val="en-GB"/>
        </w:rPr>
        <w:t xml:space="preserve"> </w:t>
      </w:r>
      <w:r w:rsidRPr="00BE35ED">
        <w:rPr>
          <w:lang w:val="en-GB"/>
        </w:rPr>
        <w:t xml:space="preserve">the hallmarks of </w:t>
      </w:r>
      <w:proofErr w:type="spellStart"/>
      <w:r w:rsidRPr="00BE35ED">
        <w:rPr>
          <w:lang w:val="en-GB"/>
        </w:rPr>
        <w:t>Impex</w:t>
      </w:r>
      <w:proofErr w:type="spellEnd"/>
      <w:r w:rsidR="001D25B1">
        <w:rPr>
          <w:lang w:val="en-GB"/>
        </w:rPr>
        <w:t>,</w:t>
      </w:r>
      <w:r w:rsidR="00093CCB">
        <w:rPr>
          <w:lang w:val="en-GB"/>
        </w:rPr>
        <w:t>”</w:t>
      </w:r>
      <w:r w:rsidR="001D25B1">
        <w:rPr>
          <w:lang w:val="en-GB"/>
        </w:rPr>
        <w:t xml:space="preserve"> the company claimed</w:t>
      </w:r>
      <w:r w:rsidRPr="00BE35ED">
        <w:rPr>
          <w:lang w:val="en-GB"/>
        </w:rPr>
        <w:t xml:space="preserve">. The </w:t>
      </w:r>
      <w:r w:rsidR="00093CCB">
        <w:rPr>
          <w:lang w:val="en-GB"/>
        </w:rPr>
        <w:t xml:space="preserve">unique selling proposition </w:t>
      </w:r>
      <w:r w:rsidRPr="00BE35ED">
        <w:rPr>
          <w:lang w:val="en-GB"/>
        </w:rPr>
        <w:t xml:space="preserve">of the company was the </w:t>
      </w:r>
      <w:r w:rsidR="00093CCB" w:rsidRPr="00BE35ED">
        <w:rPr>
          <w:lang w:val="en-GB"/>
        </w:rPr>
        <w:t>much</w:t>
      </w:r>
      <w:r w:rsidR="00093CCB">
        <w:rPr>
          <w:lang w:val="en-GB"/>
        </w:rPr>
        <w:t>-</w:t>
      </w:r>
      <w:r w:rsidRPr="00BE35ED">
        <w:rPr>
          <w:lang w:val="en-GB"/>
        </w:rPr>
        <w:t xml:space="preserve">appreciated </w:t>
      </w:r>
      <w:r w:rsidR="00093CCB">
        <w:rPr>
          <w:lang w:val="en-GB"/>
        </w:rPr>
        <w:t>“</w:t>
      </w:r>
      <w:r w:rsidRPr="00BE35ED">
        <w:rPr>
          <w:lang w:val="en-GB"/>
        </w:rPr>
        <w:t xml:space="preserve">Onsite Support within 24 </w:t>
      </w:r>
      <w:r w:rsidR="00553DE1">
        <w:rPr>
          <w:lang w:val="en-GB"/>
        </w:rPr>
        <w:t>H</w:t>
      </w:r>
      <w:r w:rsidR="00093CCB" w:rsidRPr="00BE35ED">
        <w:rPr>
          <w:lang w:val="en-GB"/>
        </w:rPr>
        <w:t>ours</w:t>
      </w:r>
      <w:r w:rsidR="00093CCB">
        <w:rPr>
          <w:lang w:val="en-GB"/>
        </w:rPr>
        <w:t>”</w:t>
      </w:r>
      <w:r w:rsidR="00093CCB" w:rsidRPr="00BE35ED">
        <w:rPr>
          <w:lang w:val="en-GB"/>
        </w:rPr>
        <w:t xml:space="preserve"> </w:t>
      </w:r>
      <w:r w:rsidRPr="00BE35ED">
        <w:rPr>
          <w:lang w:val="en-GB"/>
        </w:rPr>
        <w:t xml:space="preserve">service. There were 34 service </w:t>
      </w:r>
      <w:r w:rsidR="00093CCB" w:rsidRPr="00BE35ED">
        <w:rPr>
          <w:lang w:val="en-GB"/>
        </w:rPr>
        <w:t>cent</w:t>
      </w:r>
      <w:r w:rsidR="00093CCB">
        <w:rPr>
          <w:lang w:val="en-GB"/>
        </w:rPr>
        <w:t>re</w:t>
      </w:r>
      <w:r w:rsidR="00093CCB" w:rsidRPr="00BE35ED">
        <w:rPr>
          <w:lang w:val="en-GB"/>
        </w:rPr>
        <w:t xml:space="preserve">s </w:t>
      </w:r>
      <w:r w:rsidRPr="00BE35ED">
        <w:rPr>
          <w:lang w:val="en-GB"/>
        </w:rPr>
        <w:t xml:space="preserve">and 400 dedicated service engineers in Kerala </w:t>
      </w:r>
      <w:r w:rsidR="00553DE1">
        <w:rPr>
          <w:lang w:val="en-GB"/>
        </w:rPr>
        <w:t xml:space="preserve">with which </w:t>
      </w:r>
      <w:r w:rsidRPr="00BE35ED">
        <w:rPr>
          <w:lang w:val="en-GB"/>
        </w:rPr>
        <w:t xml:space="preserve">to deliver </w:t>
      </w:r>
      <w:r w:rsidR="00553DE1">
        <w:rPr>
          <w:lang w:val="en-GB"/>
        </w:rPr>
        <w:t xml:space="preserve">on </w:t>
      </w:r>
      <w:r w:rsidRPr="00BE35ED">
        <w:rPr>
          <w:lang w:val="en-GB"/>
        </w:rPr>
        <w:t xml:space="preserve">this promise, </w:t>
      </w:r>
      <w:r w:rsidRPr="00BE35ED">
        <w:rPr>
          <w:lang w:val="en-GB"/>
        </w:rPr>
        <w:lastRenderedPageBreak/>
        <w:t xml:space="preserve">which </w:t>
      </w:r>
      <w:r w:rsidR="00C22A7D">
        <w:rPr>
          <w:lang w:val="en-GB"/>
        </w:rPr>
        <w:t xml:space="preserve">the </w:t>
      </w:r>
      <w:r w:rsidRPr="00BE35ED">
        <w:rPr>
          <w:lang w:val="en-GB"/>
        </w:rPr>
        <w:t xml:space="preserve">larger national brands could not afford to make. </w:t>
      </w:r>
      <w:r w:rsidR="00C22A7D">
        <w:rPr>
          <w:lang w:val="en-GB"/>
        </w:rPr>
        <w:t>The</w:t>
      </w:r>
      <w:r w:rsidR="00C22A7D" w:rsidRPr="00BE35ED">
        <w:rPr>
          <w:lang w:val="en-GB"/>
        </w:rPr>
        <w:t xml:space="preserve"> </w:t>
      </w:r>
      <w:r w:rsidRPr="00BE35ED">
        <w:rPr>
          <w:lang w:val="en-GB"/>
        </w:rPr>
        <w:t xml:space="preserve">image of cheap Chinese products </w:t>
      </w:r>
      <w:proofErr w:type="gramStart"/>
      <w:r w:rsidRPr="00BE35ED">
        <w:rPr>
          <w:lang w:val="en-GB"/>
        </w:rPr>
        <w:t xml:space="preserve">was </w:t>
      </w:r>
      <w:r w:rsidR="00093CCB">
        <w:rPr>
          <w:lang w:val="en-GB"/>
        </w:rPr>
        <w:t>thus</w:t>
      </w:r>
      <w:r w:rsidR="00093CCB" w:rsidRPr="00BE35ED">
        <w:rPr>
          <w:lang w:val="en-GB"/>
        </w:rPr>
        <w:t xml:space="preserve"> </w:t>
      </w:r>
      <w:r w:rsidRPr="00BE35ED">
        <w:rPr>
          <w:lang w:val="en-GB"/>
        </w:rPr>
        <w:t>balanced</w:t>
      </w:r>
      <w:proofErr w:type="gramEnd"/>
      <w:r w:rsidR="00093CCB">
        <w:rPr>
          <w:lang w:val="en-GB"/>
        </w:rPr>
        <w:t xml:space="preserve"> </w:t>
      </w:r>
      <w:r w:rsidRPr="00BE35ED">
        <w:rPr>
          <w:lang w:val="en-GB"/>
        </w:rPr>
        <w:t xml:space="preserve">by </w:t>
      </w:r>
      <w:r w:rsidR="00C22A7D">
        <w:rPr>
          <w:lang w:val="en-GB"/>
        </w:rPr>
        <w:t>the company</w:t>
      </w:r>
      <w:r w:rsidR="00C22A7D" w:rsidRPr="00BE35ED">
        <w:rPr>
          <w:lang w:val="en-GB"/>
        </w:rPr>
        <w:t xml:space="preserve"> </w:t>
      </w:r>
      <w:r w:rsidRPr="00BE35ED">
        <w:rPr>
          <w:lang w:val="en-GB"/>
        </w:rPr>
        <w:t>after-sales services.</w:t>
      </w:r>
    </w:p>
    <w:p w14:paraId="4F14626D" w14:textId="77777777" w:rsidR="00606A2A" w:rsidRPr="00BE35ED" w:rsidRDefault="00606A2A" w:rsidP="00066622">
      <w:pPr>
        <w:pStyle w:val="BodyTextMain"/>
        <w:rPr>
          <w:lang w:val="en-GB"/>
        </w:rPr>
      </w:pPr>
    </w:p>
    <w:p w14:paraId="5C10D294" w14:textId="008CA4EC" w:rsidR="00066622" w:rsidRPr="00BE35ED" w:rsidRDefault="00066622" w:rsidP="00066622">
      <w:pPr>
        <w:pStyle w:val="BodyTextMain"/>
        <w:rPr>
          <w:lang w:val="en-GB"/>
        </w:rPr>
      </w:pPr>
      <w:r w:rsidRPr="00BE35ED">
        <w:rPr>
          <w:lang w:val="en-GB"/>
        </w:rPr>
        <w:t xml:space="preserve">The kitchen appliance division not only generated more sales volumes but </w:t>
      </w:r>
      <w:r w:rsidR="00C22A7D">
        <w:rPr>
          <w:lang w:val="en-GB"/>
        </w:rPr>
        <w:t xml:space="preserve">also </w:t>
      </w:r>
      <w:r w:rsidRPr="00BE35ED">
        <w:rPr>
          <w:lang w:val="en-GB"/>
        </w:rPr>
        <w:t xml:space="preserve">provided </w:t>
      </w:r>
      <w:proofErr w:type="gramStart"/>
      <w:r w:rsidR="00255759">
        <w:rPr>
          <w:lang w:val="en-GB"/>
        </w:rPr>
        <w:t>fairly</w:t>
      </w:r>
      <w:r w:rsidRPr="00BE35ED">
        <w:rPr>
          <w:lang w:val="en-GB"/>
        </w:rPr>
        <w:t xml:space="preserve"> consistent</w:t>
      </w:r>
      <w:proofErr w:type="gramEnd"/>
      <w:r w:rsidRPr="00BE35ED">
        <w:rPr>
          <w:lang w:val="en-GB"/>
        </w:rPr>
        <w:t xml:space="preserve"> sales throughout the year, unlike other categories, where sales picked up only in certain seasons or during festival time. Homemakers, obviously, </w:t>
      </w:r>
      <w:r w:rsidR="00095B98">
        <w:rPr>
          <w:lang w:val="en-GB"/>
        </w:rPr>
        <w:t>were</w:t>
      </w:r>
      <w:r w:rsidRPr="00BE35ED">
        <w:rPr>
          <w:lang w:val="en-GB"/>
        </w:rPr>
        <w:t xml:space="preserve"> the core target segment of the kitchen appliance category of </w:t>
      </w:r>
      <w:proofErr w:type="spellStart"/>
      <w:r w:rsidRPr="00BE35ED">
        <w:rPr>
          <w:lang w:val="en-GB"/>
        </w:rPr>
        <w:t>Impex</w:t>
      </w:r>
      <w:proofErr w:type="spellEnd"/>
      <w:r w:rsidRPr="00BE35ED">
        <w:rPr>
          <w:lang w:val="en-GB"/>
        </w:rPr>
        <w:t>, which included induction cookers, gas stoves, non-stick cookware, ceramic cookware, enamel cookware, flasks</w:t>
      </w:r>
      <w:r w:rsidR="00337213">
        <w:rPr>
          <w:lang w:val="en-GB"/>
        </w:rPr>
        <w:t>,</w:t>
      </w:r>
      <w:r w:rsidRPr="00BE35ED">
        <w:rPr>
          <w:lang w:val="en-GB"/>
        </w:rPr>
        <w:t xml:space="preserve"> and pressure cookers. </w:t>
      </w:r>
      <w:r w:rsidR="00553DE1">
        <w:rPr>
          <w:lang w:val="en-GB"/>
        </w:rPr>
        <w:t>K</w:t>
      </w:r>
      <w:r w:rsidRPr="00BE35ED">
        <w:rPr>
          <w:lang w:val="en-GB"/>
        </w:rPr>
        <w:t xml:space="preserve">itchen appliances generated more than </w:t>
      </w:r>
      <w:r w:rsidRPr="00BE35ED">
        <w:rPr>
          <w:rFonts w:ascii="Tahoma" w:hAnsi="Tahoma" w:cs="Tahoma"/>
          <w:lang w:val="en-GB"/>
        </w:rPr>
        <w:t>₹</w:t>
      </w:r>
      <w:r w:rsidRPr="00BE35ED">
        <w:rPr>
          <w:lang w:val="en-GB"/>
        </w:rPr>
        <w:t xml:space="preserve">147 million of </w:t>
      </w:r>
      <w:proofErr w:type="spellStart"/>
      <w:r w:rsidRPr="00BE35ED">
        <w:rPr>
          <w:lang w:val="en-GB"/>
        </w:rPr>
        <w:t>Impex’s</w:t>
      </w:r>
      <w:proofErr w:type="spellEnd"/>
      <w:r w:rsidRPr="00BE35ED">
        <w:rPr>
          <w:lang w:val="en-GB"/>
        </w:rPr>
        <w:t xml:space="preserve"> total revenue of </w:t>
      </w:r>
      <w:r w:rsidRPr="00BE35ED">
        <w:rPr>
          <w:rFonts w:ascii="Tahoma" w:hAnsi="Tahoma" w:cs="Tahoma"/>
          <w:lang w:val="en-GB"/>
        </w:rPr>
        <w:t>₹</w:t>
      </w:r>
      <w:r w:rsidRPr="00BE35ED">
        <w:rPr>
          <w:lang w:val="en-GB"/>
        </w:rPr>
        <w:t>360 million in FY 2013</w:t>
      </w:r>
      <w:r w:rsidR="00093CCB">
        <w:rPr>
          <w:lang w:val="en-GB"/>
        </w:rPr>
        <w:t>–</w:t>
      </w:r>
      <w:r w:rsidRPr="00BE35ED">
        <w:rPr>
          <w:lang w:val="en-GB"/>
        </w:rPr>
        <w:t xml:space="preserve">14. </w:t>
      </w:r>
    </w:p>
    <w:p w14:paraId="0C6B4F96" w14:textId="77777777" w:rsidR="00606A2A" w:rsidRPr="00BE35ED" w:rsidRDefault="00606A2A" w:rsidP="00066622">
      <w:pPr>
        <w:pStyle w:val="BodyTextMain"/>
        <w:rPr>
          <w:lang w:val="en-GB"/>
        </w:rPr>
      </w:pPr>
    </w:p>
    <w:p w14:paraId="0BD8DC7A" w14:textId="275AC9CF" w:rsidR="00066622" w:rsidRPr="000F1C26" w:rsidRDefault="00066622" w:rsidP="00066622">
      <w:pPr>
        <w:pStyle w:val="BodyTextMain"/>
      </w:pPr>
      <w:r w:rsidRPr="00BE35ED">
        <w:rPr>
          <w:lang w:val="en-GB"/>
        </w:rPr>
        <w:t xml:space="preserve">About 74 different product variants/models of kitchen appliances </w:t>
      </w:r>
      <w:proofErr w:type="gramStart"/>
      <w:r w:rsidRPr="00BE35ED">
        <w:rPr>
          <w:lang w:val="en-GB"/>
        </w:rPr>
        <w:t>were sold</w:t>
      </w:r>
      <w:proofErr w:type="gramEnd"/>
      <w:r w:rsidRPr="00BE35ED">
        <w:rPr>
          <w:lang w:val="en-GB"/>
        </w:rPr>
        <w:t xml:space="preserve"> through multi-brand retailers who bought from distributors in various districts. </w:t>
      </w:r>
      <w:proofErr w:type="spellStart"/>
      <w:r w:rsidRPr="00BE35ED">
        <w:rPr>
          <w:lang w:val="en-GB"/>
        </w:rPr>
        <w:t>Impex</w:t>
      </w:r>
      <w:proofErr w:type="spellEnd"/>
      <w:r w:rsidRPr="00BE35ED">
        <w:rPr>
          <w:lang w:val="en-GB"/>
        </w:rPr>
        <w:t xml:space="preserve"> products </w:t>
      </w:r>
      <w:proofErr w:type="gramStart"/>
      <w:r w:rsidRPr="00BE35ED">
        <w:rPr>
          <w:lang w:val="en-GB"/>
        </w:rPr>
        <w:t>were sold</w:t>
      </w:r>
      <w:proofErr w:type="gramEnd"/>
      <w:r w:rsidRPr="00BE35ED">
        <w:rPr>
          <w:lang w:val="en-GB"/>
        </w:rPr>
        <w:t xml:space="preserve"> through more than 3</w:t>
      </w:r>
      <w:r w:rsidR="00337213">
        <w:rPr>
          <w:lang w:val="en-GB"/>
        </w:rPr>
        <w:t>,</w:t>
      </w:r>
      <w:r w:rsidRPr="00BE35ED">
        <w:rPr>
          <w:lang w:val="en-GB"/>
        </w:rPr>
        <w:t xml:space="preserve">000 retailers across Kerala and </w:t>
      </w:r>
      <w:r w:rsidR="00553DE1">
        <w:rPr>
          <w:lang w:val="en-GB"/>
        </w:rPr>
        <w:t xml:space="preserve">had </w:t>
      </w:r>
      <w:r w:rsidRPr="00BE35ED">
        <w:rPr>
          <w:lang w:val="en-GB"/>
        </w:rPr>
        <w:t xml:space="preserve">slowly started being distributed in parts of nearby states such as Tamil Nadu and Karnataka. The typical margins given to retailers and distributors </w:t>
      </w:r>
      <w:r w:rsidR="00166CD9">
        <w:rPr>
          <w:lang w:val="en-GB"/>
        </w:rPr>
        <w:t xml:space="preserve">by </w:t>
      </w:r>
      <w:proofErr w:type="spellStart"/>
      <w:r w:rsidR="00166CD9">
        <w:rPr>
          <w:lang w:val="en-GB"/>
        </w:rPr>
        <w:t>Impex</w:t>
      </w:r>
      <w:proofErr w:type="spellEnd"/>
      <w:r w:rsidR="00166CD9">
        <w:rPr>
          <w:lang w:val="en-GB"/>
        </w:rPr>
        <w:t xml:space="preserve"> </w:t>
      </w:r>
      <w:r w:rsidRPr="00BE35ED">
        <w:rPr>
          <w:lang w:val="en-GB"/>
        </w:rPr>
        <w:t>in this segment were 40</w:t>
      </w:r>
      <w:r w:rsidR="0069529B">
        <w:rPr>
          <w:lang w:val="en-GB"/>
        </w:rPr>
        <w:t xml:space="preserve"> </w:t>
      </w:r>
      <w:r w:rsidR="007964AA">
        <w:rPr>
          <w:lang w:val="en-GB"/>
        </w:rPr>
        <w:t>per cent</w:t>
      </w:r>
      <w:r w:rsidRPr="00BE35ED">
        <w:rPr>
          <w:lang w:val="en-GB"/>
        </w:rPr>
        <w:t xml:space="preserve"> and 12</w:t>
      </w:r>
      <w:r w:rsidR="0069529B">
        <w:rPr>
          <w:lang w:val="en-GB"/>
        </w:rPr>
        <w:t xml:space="preserve"> </w:t>
      </w:r>
      <w:r w:rsidR="007964AA">
        <w:rPr>
          <w:lang w:val="en-GB"/>
        </w:rPr>
        <w:t>per cent</w:t>
      </w:r>
      <w:r w:rsidRPr="00BE35ED">
        <w:rPr>
          <w:lang w:val="en-GB"/>
        </w:rPr>
        <w:t xml:space="preserve"> of the retail price, respectively, which were higher than the market average and therefore made these products attractive for </w:t>
      </w:r>
      <w:proofErr w:type="spellStart"/>
      <w:r w:rsidR="00C70A5A">
        <w:rPr>
          <w:lang w:val="en-GB"/>
        </w:rPr>
        <w:t>Impex</w:t>
      </w:r>
      <w:proofErr w:type="spellEnd"/>
      <w:r w:rsidRPr="00BE35ED">
        <w:rPr>
          <w:lang w:val="en-GB"/>
        </w:rPr>
        <w:t>.</w:t>
      </w:r>
    </w:p>
    <w:p w14:paraId="198EE387" w14:textId="77777777" w:rsidR="00606A2A" w:rsidRPr="00BE35ED" w:rsidRDefault="00606A2A" w:rsidP="00066622">
      <w:pPr>
        <w:pStyle w:val="BodyTextMain"/>
        <w:rPr>
          <w:lang w:val="en-GB"/>
        </w:rPr>
      </w:pPr>
    </w:p>
    <w:p w14:paraId="19BB7628" w14:textId="2E9F9E05" w:rsidR="00066622" w:rsidRPr="00BE35ED" w:rsidRDefault="00FE3488" w:rsidP="00066622">
      <w:pPr>
        <w:pStyle w:val="BodyTextMain"/>
        <w:rPr>
          <w:lang w:val="en-GB"/>
        </w:rPr>
      </w:pPr>
      <w:r>
        <w:rPr>
          <w:lang w:val="en-GB"/>
        </w:rPr>
        <w:t>P</w:t>
      </w:r>
      <w:r w:rsidR="00066622" w:rsidRPr="00BE35ED">
        <w:rPr>
          <w:lang w:val="en-GB"/>
        </w:rPr>
        <w:t xml:space="preserve">roducts in the </w:t>
      </w:r>
      <w:proofErr w:type="gramStart"/>
      <w:r w:rsidR="00066622" w:rsidRPr="00BE35ED">
        <w:rPr>
          <w:lang w:val="en-GB"/>
        </w:rPr>
        <w:t>kitchen appliance product group</w:t>
      </w:r>
      <w:proofErr w:type="gramEnd"/>
      <w:r w:rsidR="00066622" w:rsidRPr="00BE35ED">
        <w:rPr>
          <w:lang w:val="en-GB"/>
        </w:rPr>
        <w:t xml:space="preserve"> were small items that were priced below </w:t>
      </w:r>
      <w:r w:rsidR="00066622" w:rsidRPr="00BE35ED">
        <w:rPr>
          <w:rFonts w:ascii="Tahoma" w:hAnsi="Tahoma" w:cs="Tahoma"/>
          <w:lang w:val="en-GB"/>
        </w:rPr>
        <w:t>₹</w:t>
      </w:r>
      <w:r w:rsidR="00066622" w:rsidRPr="00BE35ED">
        <w:rPr>
          <w:lang w:val="en-GB"/>
        </w:rPr>
        <w:t>5</w:t>
      </w:r>
      <w:r w:rsidR="0069529B">
        <w:rPr>
          <w:lang w:val="en-GB"/>
        </w:rPr>
        <w:t>,</w:t>
      </w:r>
      <w:r w:rsidR="00066622" w:rsidRPr="00BE35ED">
        <w:rPr>
          <w:lang w:val="en-GB"/>
        </w:rPr>
        <w:t>000 in most cases. However, the actual retail price varied from dealer to dealer, as they sold most products at a discounted rate and settled for low margins.</w:t>
      </w:r>
    </w:p>
    <w:p w14:paraId="47B09447" w14:textId="77777777" w:rsidR="00606A2A" w:rsidRPr="00BE35ED" w:rsidRDefault="00606A2A" w:rsidP="00066622">
      <w:pPr>
        <w:pStyle w:val="BodyTextMain"/>
        <w:rPr>
          <w:lang w:val="en-GB"/>
        </w:rPr>
      </w:pPr>
    </w:p>
    <w:p w14:paraId="5C354707" w14:textId="70FACE5F" w:rsidR="00066622" w:rsidRPr="00BE35ED" w:rsidRDefault="00066622" w:rsidP="00066622">
      <w:pPr>
        <w:pStyle w:val="BodyTextMain"/>
        <w:rPr>
          <w:lang w:val="en-GB"/>
        </w:rPr>
      </w:pPr>
      <w:proofErr w:type="spellStart"/>
      <w:r w:rsidRPr="00BE35ED">
        <w:rPr>
          <w:lang w:val="en-GB"/>
        </w:rPr>
        <w:t>Impex</w:t>
      </w:r>
      <w:proofErr w:type="spellEnd"/>
      <w:r w:rsidRPr="00BE35ED">
        <w:rPr>
          <w:lang w:val="en-GB"/>
        </w:rPr>
        <w:t xml:space="preserve"> relied on consumer promotions during </w:t>
      </w:r>
      <w:r w:rsidR="00FC6A17" w:rsidRPr="00BE35ED">
        <w:rPr>
          <w:lang w:val="en-GB"/>
        </w:rPr>
        <w:t>festiv</w:t>
      </w:r>
      <w:r w:rsidR="00FC6A17">
        <w:rPr>
          <w:lang w:val="en-GB"/>
        </w:rPr>
        <w:t>al</w:t>
      </w:r>
      <w:r w:rsidR="00FC6A17" w:rsidRPr="00BE35ED">
        <w:rPr>
          <w:lang w:val="en-GB"/>
        </w:rPr>
        <w:t xml:space="preserve"> </w:t>
      </w:r>
      <w:r w:rsidRPr="00BE35ED">
        <w:rPr>
          <w:lang w:val="en-GB"/>
        </w:rPr>
        <w:t xml:space="preserve">seasons, from the Kerala </w:t>
      </w:r>
      <w:r w:rsidR="00C70A5A">
        <w:rPr>
          <w:lang w:val="en-GB"/>
        </w:rPr>
        <w:t xml:space="preserve">state </w:t>
      </w:r>
      <w:r w:rsidRPr="00BE35ED">
        <w:rPr>
          <w:lang w:val="en-GB"/>
        </w:rPr>
        <w:t xml:space="preserve">festival </w:t>
      </w:r>
      <w:r w:rsidR="00C70A5A">
        <w:rPr>
          <w:lang w:val="en-GB"/>
        </w:rPr>
        <w:t xml:space="preserve">of </w:t>
      </w:r>
      <w:r w:rsidRPr="00BE35ED">
        <w:rPr>
          <w:lang w:val="en-GB"/>
        </w:rPr>
        <w:t xml:space="preserve">Onam in September through Christmas in December. After a big burst of advertising campaigns through </w:t>
      </w:r>
      <w:r w:rsidR="00337213">
        <w:rPr>
          <w:lang w:val="en-GB"/>
        </w:rPr>
        <w:t xml:space="preserve">the </w:t>
      </w:r>
      <w:r w:rsidRPr="00BE35ED">
        <w:rPr>
          <w:lang w:val="en-GB"/>
        </w:rPr>
        <w:t xml:space="preserve">mass media in 2011, the brand had stopped advertising in television and print. The promotions relied on </w:t>
      </w:r>
      <w:r w:rsidR="00C22A7D">
        <w:rPr>
          <w:lang w:val="en-GB"/>
        </w:rPr>
        <w:t xml:space="preserve">mainly </w:t>
      </w:r>
      <w:r w:rsidRPr="00BE35ED">
        <w:rPr>
          <w:lang w:val="en-GB"/>
        </w:rPr>
        <w:t xml:space="preserve">in-store promotions </w:t>
      </w:r>
      <w:r w:rsidR="00C70A5A">
        <w:rPr>
          <w:lang w:val="en-GB"/>
        </w:rPr>
        <w:t>but</w:t>
      </w:r>
      <w:r w:rsidR="00C22A7D">
        <w:rPr>
          <w:lang w:val="en-GB"/>
        </w:rPr>
        <w:t>, to an extent,</w:t>
      </w:r>
      <w:r w:rsidR="00C70A5A">
        <w:rPr>
          <w:lang w:val="en-GB"/>
        </w:rPr>
        <w:t xml:space="preserve"> also relied </w:t>
      </w:r>
      <w:r w:rsidRPr="00BE35ED">
        <w:rPr>
          <w:lang w:val="en-GB"/>
        </w:rPr>
        <w:t xml:space="preserve">on billboards. Outdoor billboards continued to feature close-up shots of top-of-the-line models in key product categories such as home theatre systems and induction cookers. However, there was no long-term strategy in place </w:t>
      </w:r>
      <w:r w:rsidR="00C22A7D">
        <w:rPr>
          <w:lang w:val="en-GB"/>
        </w:rPr>
        <w:t>for</w:t>
      </w:r>
      <w:r w:rsidRPr="00BE35ED">
        <w:rPr>
          <w:lang w:val="en-GB"/>
        </w:rPr>
        <w:t xml:space="preserve"> </w:t>
      </w:r>
      <w:r w:rsidR="00C70A5A">
        <w:rPr>
          <w:lang w:val="en-GB"/>
        </w:rPr>
        <w:t xml:space="preserve">the </w:t>
      </w:r>
      <w:r w:rsidRPr="00BE35ED">
        <w:rPr>
          <w:lang w:val="en-GB"/>
        </w:rPr>
        <w:t xml:space="preserve">advertising and positioning of the brand, and the promotions </w:t>
      </w:r>
      <w:proofErr w:type="gramStart"/>
      <w:r w:rsidRPr="00BE35ED">
        <w:rPr>
          <w:lang w:val="en-GB"/>
        </w:rPr>
        <w:t>were mainly done</w:t>
      </w:r>
      <w:proofErr w:type="gramEnd"/>
      <w:r w:rsidRPr="00BE35ED">
        <w:rPr>
          <w:lang w:val="en-GB"/>
        </w:rPr>
        <w:t xml:space="preserve"> to generate sales.</w:t>
      </w:r>
    </w:p>
    <w:p w14:paraId="02F2AC37" w14:textId="77777777" w:rsidR="00606A2A" w:rsidRPr="00BE35ED" w:rsidRDefault="00606A2A" w:rsidP="00066622">
      <w:pPr>
        <w:pStyle w:val="BodyTextMain"/>
        <w:rPr>
          <w:lang w:val="en-GB"/>
        </w:rPr>
      </w:pPr>
    </w:p>
    <w:p w14:paraId="32C57733" w14:textId="77777777" w:rsidR="00606A2A" w:rsidRPr="00BE35ED" w:rsidRDefault="00606A2A" w:rsidP="00066622">
      <w:pPr>
        <w:pStyle w:val="BodyTextMain"/>
        <w:rPr>
          <w:lang w:val="en-GB"/>
        </w:rPr>
      </w:pPr>
    </w:p>
    <w:p w14:paraId="5C7AA25D" w14:textId="77777777" w:rsidR="00066622" w:rsidRPr="00BE35ED" w:rsidRDefault="00066622" w:rsidP="00606A2A">
      <w:pPr>
        <w:pStyle w:val="Casehead1"/>
        <w:rPr>
          <w:lang w:val="en-GB"/>
        </w:rPr>
      </w:pPr>
      <w:r w:rsidRPr="00BE35ED">
        <w:rPr>
          <w:lang w:val="en-GB"/>
        </w:rPr>
        <w:t>Competition</w:t>
      </w:r>
    </w:p>
    <w:p w14:paraId="67B3BB86" w14:textId="77777777" w:rsidR="00606A2A" w:rsidRPr="00BE35ED" w:rsidRDefault="00606A2A" w:rsidP="00066622">
      <w:pPr>
        <w:pStyle w:val="BodyTextMain"/>
        <w:rPr>
          <w:lang w:val="en-GB"/>
        </w:rPr>
      </w:pPr>
    </w:p>
    <w:p w14:paraId="752DF98A" w14:textId="2061FF11" w:rsidR="00066622" w:rsidRPr="00BE35ED" w:rsidRDefault="00066622" w:rsidP="00066622">
      <w:pPr>
        <w:pStyle w:val="BodyTextMain"/>
        <w:rPr>
          <w:lang w:val="en-GB"/>
        </w:rPr>
      </w:pPr>
      <w:proofErr w:type="spellStart"/>
      <w:r w:rsidRPr="00BE35ED">
        <w:rPr>
          <w:lang w:val="en-GB"/>
        </w:rPr>
        <w:t>Impex</w:t>
      </w:r>
      <w:r w:rsidR="00C70A5A">
        <w:rPr>
          <w:lang w:val="en-GB"/>
        </w:rPr>
        <w:t>’s</w:t>
      </w:r>
      <w:proofErr w:type="spellEnd"/>
      <w:r w:rsidR="00C70A5A">
        <w:rPr>
          <w:lang w:val="en-GB"/>
        </w:rPr>
        <w:t xml:space="preserve"> competition</w:t>
      </w:r>
      <w:r w:rsidRPr="00BE35ED">
        <w:rPr>
          <w:lang w:val="en-GB"/>
        </w:rPr>
        <w:t xml:space="preserve"> was in the form of regional, national</w:t>
      </w:r>
      <w:r w:rsidR="00337213">
        <w:rPr>
          <w:lang w:val="en-GB"/>
        </w:rPr>
        <w:t>,</w:t>
      </w:r>
      <w:r w:rsidRPr="00BE35ED">
        <w:rPr>
          <w:lang w:val="en-GB"/>
        </w:rPr>
        <w:t xml:space="preserve"> and international brands across various categories</w:t>
      </w:r>
      <w:r w:rsidR="002B15CE">
        <w:rPr>
          <w:lang w:val="en-GB"/>
        </w:rPr>
        <w:t xml:space="preserve"> (see Exhibit 2)</w:t>
      </w:r>
      <w:r w:rsidRPr="00BE35ED">
        <w:rPr>
          <w:lang w:val="en-GB"/>
        </w:rPr>
        <w:t>.</w:t>
      </w:r>
      <w:r w:rsidR="00BB1E41">
        <w:rPr>
          <w:lang w:val="en-GB"/>
        </w:rPr>
        <w:t xml:space="preserve"> </w:t>
      </w:r>
    </w:p>
    <w:p w14:paraId="7FCB189E" w14:textId="77777777" w:rsidR="00606A2A" w:rsidRPr="00BE35ED" w:rsidRDefault="00606A2A" w:rsidP="00066622">
      <w:pPr>
        <w:pStyle w:val="BodyTextMain"/>
        <w:rPr>
          <w:lang w:val="en-GB"/>
        </w:rPr>
      </w:pPr>
    </w:p>
    <w:p w14:paraId="2D7C5E69" w14:textId="4E60D2BB" w:rsidR="00066622" w:rsidRPr="00BE35ED" w:rsidRDefault="00066622" w:rsidP="00066622">
      <w:pPr>
        <w:pStyle w:val="BodyTextMain"/>
        <w:rPr>
          <w:lang w:val="en-GB"/>
        </w:rPr>
      </w:pPr>
      <w:r w:rsidRPr="00BE35ED">
        <w:rPr>
          <w:lang w:val="en-GB"/>
        </w:rPr>
        <w:t xml:space="preserve">The kitchen appliance market had </w:t>
      </w:r>
      <w:r w:rsidR="00C22A7D">
        <w:rPr>
          <w:lang w:val="en-GB"/>
        </w:rPr>
        <w:t>many</w:t>
      </w:r>
      <w:r w:rsidRPr="00BE35ED">
        <w:rPr>
          <w:lang w:val="en-GB"/>
        </w:rPr>
        <w:t xml:space="preserve"> regional competitors </w:t>
      </w:r>
      <w:r w:rsidR="00FC6A17">
        <w:rPr>
          <w:lang w:val="en-GB"/>
        </w:rPr>
        <w:t>that</w:t>
      </w:r>
      <w:r w:rsidR="00FC6A17" w:rsidRPr="00BE35ED">
        <w:rPr>
          <w:lang w:val="en-GB"/>
        </w:rPr>
        <w:t xml:space="preserve"> </w:t>
      </w:r>
      <w:r w:rsidRPr="00BE35ED">
        <w:rPr>
          <w:lang w:val="en-GB"/>
        </w:rPr>
        <w:t xml:space="preserve">were nationally popular in one or two product categories. For example, Prestige was known for its pressure cookers nationally, but Butterfly </w:t>
      </w:r>
      <w:r w:rsidR="00337213">
        <w:rPr>
          <w:lang w:val="en-GB"/>
        </w:rPr>
        <w:t>and</w:t>
      </w:r>
      <w:r w:rsidR="00337213" w:rsidRPr="00BE35ED">
        <w:rPr>
          <w:lang w:val="en-GB"/>
        </w:rPr>
        <w:t xml:space="preserve"> </w:t>
      </w:r>
      <w:r w:rsidRPr="00BE35ED">
        <w:rPr>
          <w:lang w:val="en-GB"/>
        </w:rPr>
        <w:t xml:space="preserve">Pigeon were more popular in the </w:t>
      </w:r>
      <w:proofErr w:type="gramStart"/>
      <w:r w:rsidRPr="00BE35ED">
        <w:rPr>
          <w:lang w:val="en-GB"/>
        </w:rPr>
        <w:t>gas stove</w:t>
      </w:r>
      <w:proofErr w:type="gramEnd"/>
      <w:r w:rsidRPr="00BE35ED">
        <w:rPr>
          <w:lang w:val="en-GB"/>
        </w:rPr>
        <w:t xml:space="preserve"> category, although both brands </w:t>
      </w:r>
      <w:r w:rsidR="00C22A7D">
        <w:rPr>
          <w:lang w:val="en-GB"/>
        </w:rPr>
        <w:t xml:space="preserve">offered </w:t>
      </w:r>
      <w:r w:rsidRPr="00BE35ED">
        <w:rPr>
          <w:lang w:val="en-GB"/>
        </w:rPr>
        <w:t>a full range of products for cooking and food processing. Unlike household appliances and home entertainment appliances, kitchen products face</w:t>
      </w:r>
      <w:r w:rsidR="00C22A7D">
        <w:rPr>
          <w:lang w:val="en-GB"/>
        </w:rPr>
        <w:t>d</w:t>
      </w:r>
      <w:r w:rsidRPr="00BE35ED">
        <w:rPr>
          <w:lang w:val="en-GB"/>
        </w:rPr>
        <w:t xml:space="preserve"> </w:t>
      </w:r>
      <w:r w:rsidR="00C22A7D">
        <w:rPr>
          <w:lang w:val="en-GB"/>
        </w:rPr>
        <w:t>little</w:t>
      </w:r>
      <w:r w:rsidR="00C22A7D" w:rsidRPr="00BE35ED">
        <w:rPr>
          <w:lang w:val="en-GB"/>
        </w:rPr>
        <w:t xml:space="preserve"> </w:t>
      </w:r>
      <w:r w:rsidRPr="00BE35ED">
        <w:rPr>
          <w:lang w:val="en-GB"/>
        </w:rPr>
        <w:t xml:space="preserve">competition from large international brands. The profiles of the key competitors in the kitchen appliance category </w:t>
      </w:r>
      <w:proofErr w:type="gramStart"/>
      <w:r w:rsidRPr="00BE35ED">
        <w:rPr>
          <w:lang w:val="en-GB"/>
        </w:rPr>
        <w:t>are briefly described</w:t>
      </w:r>
      <w:proofErr w:type="gramEnd"/>
      <w:r w:rsidRPr="00BE35ED">
        <w:rPr>
          <w:lang w:val="en-GB"/>
        </w:rPr>
        <w:t xml:space="preserve"> below</w:t>
      </w:r>
      <w:r w:rsidR="00337213">
        <w:rPr>
          <w:lang w:val="en-GB"/>
        </w:rPr>
        <w:t>.</w:t>
      </w:r>
    </w:p>
    <w:p w14:paraId="60FD44BD" w14:textId="77777777" w:rsidR="00906983" w:rsidRDefault="00906983" w:rsidP="00066622">
      <w:pPr>
        <w:pStyle w:val="BodyTextMain"/>
        <w:rPr>
          <w:lang w:val="en-GB"/>
        </w:rPr>
      </w:pPr>
    </w:p>
    <w:p w14:paraId="0358A4C5" w14:textId="77777777" w:rsidR="00A930C5" w:rsidRPr="00BE35ED" w:rsidRDefault="00A930C5" w:rsidP="00066622">
      <w:pPr>
        <w:pStyle w:val="BodyTextMain"/>
        <w:rPr>
          <w:lang w:val="en-GB"/>
        </w:rPr>
      </w:pPr>
    </w:p>
    <w:p w14:paraId="41E2D6AD" w14:textId="738125B9" w:rsidR="00A930C5" w:rsidRDefault="00066622" w:rsidP="002F75E6">
      <w:pPr>
        <w:pStyle w:val="Casehead2"/>
        <w:rPr>
          <w:lang w:val="en-GB"/>
        </w:rPr>
      </w:pPr>
      <w:proofErr w:type="spellStart"/>
      <w:r w:rsidRPr="00BE35ED">
        <w:rPr>
          <w:lang w:val="en-GB"/>
        </w:rPr>
        <w:t>Stovekraft</w:t>
      </w:r>
      <w:proofErr w:type="spellEnd"/>
      <w:r w:rsidRPr="00BE35ED">
        <w:rPr>
          <w:lang w:val="en-GB"/>
        </w:rPr>
        <w:t xml:space="preserve"> </w:t>
      </w:r>
    </w:p>
    <w:p w14:paraId="17995B86" w14:textId="77777777" w:rsidR="00A930C5" w:rsidRDefault="00A930C5" w:rsidP="00066622">
      <w:pPr>
        <w:pStyle w:val="BodyTextMain"/>
        <w:rPr>
          <w:lang w:val="en-GB"/>
        </w:rPr>
      </w:pPr>
    </w:p>
    <w:p w14:paraId="114DA25E" w14:textId="012779D9" w:rsidR="00A930C5" w:rsidRPr="004A5CAC" w:rsidRDefault="00C22A7D" w:rsidP="00066622">
      <w:pPr>
        <w:pStyle w:val="BodyTextMain"/>
        <w:rPr>
          <w:lang w:val="en-GB"/>
        </w:rPr>
      </w:pPr>
      <w:proofErr w:type="spellStart"/>
      <w:r>
        <w:rPr>
          <w:lang w:val="en-GB"/>
        </w:rPr>
        <w:t>Stovecraft</w:t>
      </w:r>
      <w:proofErr w:type="spellEnd"/>
      <w:r w:rsidR="00066622" w:rsidRPr="00BE35ED">
        <w:rPr>
          <w:lang w:val="en-GB"/>
        </w:rPr>
        <w:t xml:space="preserve"> </w:t>
      </w:r>
      <w:proofErr w:type="gramStart"/>
      <w:r w:rsidR="00066622" w:rsidRPr="00BE35ED">
        <w:rPr>
          <w:lang w:val="en-GB"/>
        </w:rPr>
        <w:t>was established</w:t>
      </w:r>
      <w:proofErr w:type="gramEnd"/>
      <w:r w:rsidR="00066622" w:rsidRPr="00BE35ED">
        <w:rPr>
          <w:lang w:val="en-GB"/>
        </w:rPr>
        <w:t xml:space="preserve"> in 1994, with a major manufacturing facility in Bangalore. It </w:t>
      </w:r>
      <w:r>
        <w:rPr>
          <w:lang w:val="en-GB"/>
        </w:rPr>
        <w:t>offered</w:t>
      </w:r>
      <w:r w:rsidRPr="00BE35ED">
        <w:rPr>
          <w:lang w:val="en-GB"/>
        </w:rPr>
        <w:t xml:space="preserve"> </w:t>
      </w:r>
      <w:r w:rsidR="00066622" w:rsidRPr="00BE35ED">
        <w:rPr>
          <w:lang w:val="en-GB"/>
        </w:rPr>
        <w:t>a wide range of products, such as non-stick cookware, gas and induction cooktops, mixer</w:t>
      </w:r>
      <w:r w:rsidR="00C70A5A">
        <w:rPr>
          <w:lang w:val="en-GB"/>
        </w:rPr>
        <w:t>–</w:t>
      </w:r>
      <w:r w:rsidR="00066622" w:rsidRPr="00BE35ED">
        <w:rPr>
          <w:lang w:val="en-GB"/>
        </w:rPr>
        <w:t>grinders, chimneys, rice cookers, ladders, water bottles</w:t>
      </w:r>
      <w:r w:rsidR="00337213">
        <w:rPr>
          <w:lang w:val="en-GB"/>
        </w:rPr>
        <w:t>,</w:t>
      </w:r>
      <w:r w:rsidR="00066622" w:rsidRPr="00BE35ED">
        <w:rPr>
          <w:lang w:val="en-GB"/>
        </w:rPr>
        <w:t xml:space="preserve"> and flasks, sold under two major brands—Pigeon and </w:t>
      </w:r>
      <w:proofErr w:type="spellStart"/>
      <w:r w:rsidR="00066622" w:rsidRPr="00BE35ED">
        <w:rPr>
          <w:lang w:val="en-GB"/>
        </w:rPr>
        <w:t>Gilma</w:t>
      </w:r>
      <w:proofErr w:type="spellEnd"/>
      <w:r w:rsidR="00066622" w:rsidRPr="00BE35ED">
        <w:rPr>
          <w:lang w:val="en-GB"/>
        </w:rPr>
        <w:t>.</w:t>
      </w:r>
      <w:r w:rsidR="00D20175" w:rsidRPr="00BE35ED">
        <w:rPr>
          <w:rStyle w:val="FootnoteReference"/>
          <w:lang w:val="en-GB"/>
        </w:rPr>
        <w:footnoteReference w:id="3"/>
      </w:r>
    </w:p>
    <w:p w14:paraId="2C90C166" w14:textId="0B9EEC5D" w:rsidR="00A930C5" w:rsidRDefault="00066622" w:rsidP="002F75E6">
      <w:pPr>
        <w:pStyle w:val="Casehead2"/>
        <w:rPr>
          <w:lang w:val="en-GB"/>
        </w:rPr>
      </w:pPr>
      <w:r w:rsidRPr="002F75E6">
        <w:rPr>
          <w:lang w:val="en-GB"/>
        </w:rPr>
        <w:lastRenderedPageBreak/>
        <w:t>Prestige</w:t>
      </w:r>
      <w:r w:rsidRPr="00BE35ED">
        <w:rPr>
          <w:lang w:val="en-GB"/>
        </w:rPr>
        <w:t xml:space="preserve"> </w:t>
      </w:r>
    </w:p>
    <w:p w14:paraId="788494CE" w14:textId="77777777" w:rsidR="00A930C5" w:rsidRDefault="00A930C5" w:rsidP="00066622">
      <w:pPr>
        <w:pStyle w:val="BodyTextMain"/>
        <w:rPr>
          <w:lang w:val="en-GB"/>
        </w:rPr>
      </w:pPr>
    </w:p>
    <w:p w14:paraId="46FFC434" w14:textId="485824B2" w:rsidR="00066622" w:rsidRDefault="00066622" w:rsidP="00066622">
      <w:pPr>
        <w:pStyle w:val="BodyTextMain"/>
        <w:rPr>
          <w:lang w:val="en-GB"/>
        </w:rPr>
      </w:pPr>
      <w:r w:rsidRPr="00BE35ED">
        <w:rPr>
          <w:lang w:val="en-GB"/>
        </w:rPr>
        <w:t xml:space="preserve">A national brand with </w:t>
      </w:r>
      <w:r w:rsidR="00337213">
        <w:rPr>
          <w:lang w:val="en-GB"/>
        </w:rPr>
        <w:t xml:space="preserve">an </w:t>
      </w:r>
      <w:r w:rsidRPr="00BE35ED">
        <w:rPr>
          <w:lang w:val="en-GB"/>
        </w:rPr>
        <w:t xml:space="preserve">international presence, Prestige </w:t>
      </w:r>
      <w:proofErr w:type="gramStart"/>
      <w:r w:rsidRPr="00BE35ED">
        <w:rPr>
          <w:lang w:val="en-GB"/>
        </w:rPr>
        <w:t>was established</w:t>
      </w:r>
      <w:proofErr w:type="gramEnd"/>
      <w:r w:rsidRPr="00BE35ED">
        <w:rPr>
          <w:lang w:val="en-GB"/>
        </w:rPr>
        <w:t xml:space="preserve"> in Chennai in 1955. </w:t>
      </w:r>
      <w:r w:rsidR="00337213">
        <w:rPr>
          <w:lang w:val="en-GB"/>
        </w:rPr>
        <w:t>It sold</w:t>
      </w:r>
      <w:r w:rsidRPr="00BE35ED">
        <w:rPr>
          <w:lang w:val="en-GB"/>
        </w:rPr>
        <w:t xml:space="preserve"> pressure cookers, cookware</w:t>
      </w:r>
      <w:r w:rsidR="00337213">
        <w:rPr>
          <w:lang w:val="en-GB"/>
        </w:rPr>
        <w:t>,</w:t>
      </w:r>
      <w:r w:rsidRPr="00BE35ED">
        <w:rPr>
          <w:lang w:val="en-GB"/>
        </w:rPr>
        <w:t xml:space="preserve"> and cooktops, and </w:t>
      </w:r>
      <w:r w:rsidR="00337213">
        <w:rPr>
          <w:lang w:val="en-GB"/>
        </w:rPr>
        <w:t>was</w:t>
      </w:r>
      <w:r w:rsidRPr="00BE35ED">
        <w:rPr>
          <w:lang w:val="en-GB"/>
        </w:rPr>
        <w:t xml:space="preserve"> India’s largest kitchen appliance brand.</w:t>
      </w:r>
      <w:r w:rsidR="00486859">
        <w:rPr>
          <w:rStyle w:val="FootnoteReference"/>
          <w:lang w:val="en-GB"/>
        </w:rPr>
        <w:footnoteReference w:id="4"/>
      </w:r>
    </w:p>
    <w:p w14:paraId="60D3964D" w14:textId="77777777" w:rsidR="00337213" w:rsidRPr="00BE35ED" w:rsidRDefault="00337213" w:rsidP="00066622">
      <w:pPr>
        <w:pStyle w:val="BodyTextMain"/>
        <w:rPr>
          <w:lang w:val="en-GB"/>
        </w:rPr>
      </w:pPr>
    </w:p>
    <w:p w14:paraId="45907C4D" w14:textId="77777777" w:rsidR="00A930C5" w:rsidRDefault="00A930C5" w:rsidP="00066622">
      <w:pPr>
        <w:pStyle w:val="BodyTextMain"/>
        <w:rPr>
          <w:i/>
          <w:lang w:val="en-GB"/>
        </w:rPr>
      </w:pPr>
    </w:p>
    <w:p w14:paraId="26F37B2E" w14:textId="6ADE743D" w:rsidR="00A930C5" w:rsidRPr="002F75E6" w:rsidRDefault="00066622" w:rsidP="002F75E6">
      <w:pPr>
        <w:pStyle w:val="Casehead2"/>
        <w:rPr>
          <w:lang w:val="en-GB"/>
        </w:rPr>
      </w:pPr>
      <w:r w:rsidRPr="002F75E6">
        <w:rPr>
          <w:lang w:val="en-GB"/>
        </w:rPr>
        <w:t xml:space="preserve">Butterfly </w:t>
      </w:r>
    </w:p>
    <w:p w14:paraId="76E4E0C9" w14:textId="77777777" w:rsidR="00A930C5" w:rsidRDefault="00A930C5" w:rsidP="00066622">
      <w:pPr>
        <w:pStyle w:val="BodyTextMain"/>
        <w:rPr>
          <w:i/>
          <w:lang w:val="en-GB"/>
        </w:rPr>
      </w:pPr>
    </w:p>
    <w:p w14:paraId="5D16DCED" w14:textId="69C2A103" w:rsidR="00066622" w:rsidRPr="00BE35ED" w:rsidRDefault="00066622" w:rsidP="00066622">
      <w:pPr>
        <w:pStyle w:val="BodyTextMain"/>
        <w:rPr>
          <w:lang w:val="en-GB"/>
        </w:rPr>
      </w:pPr>
      <w:r w:rsidRPr="00BE35ED">
        <w:rPr>
          <w:lang w:val="en-GB"/>
        </w:rPr>
        <w:t xml:space="preserve">Started as </w:t>
      </w:r>
      <w:proofErr w:type="spellStart"/>
      <w:r w:rsidRPr="00BE35ED">
        <w:rPr>
          <w:lang w:val="en-GB"/>
        </w:rPr>
        <w:t>Gandhimathi</w:t>
      </w:r>
      <w:proofErr w:type="spellEnd"/>
      <w:r w:rsidRPr="00BE35ED">
        <w:rPr>
          <w:lang w:val="en-GB"/>
        </w:rPr>
        <w:t xml:space="preserve"> Appliances in 1986 by a Chennai-based entrepreneur with a focus on stainless steel utensils, it was renamed Butterfly </w:t>
      </w:r>
      <w:proofErr w:type="spellStart"/>
      <w:r w:rsidRPr="00BE35ED">
        <w:rPr>
          <w:lang w:val="en-GB"/>
        </w:rPr>
        <w:t>Gandhimathi</w:t>
      </w:r>
      <w:proofErr w:type="spellEnd"/>
      <w:r w:rsidRPr="00BE35ED">
        <w:rPr>
          <w:lang w:val="en-GB"/>
        </w:rPr>
        <w:t xml:space="preserve"> Appliances </w:t>
      </w:r>
      <w:r w:rsidR="00337213" w:rsidRPr="00BE35ED">
        <w:rPr>
          <w:lang w:val="en-GB"/>
        </w:rPr>
        <w:t xml:space="preserve">Limited </w:t>
      </w:r>
      <w:r w:rsidRPr="00BE35ED">
        <w:rPr>
          <w:lang w:val="en-GB"/>
        </w:rPr>
        <w:t xml:space="preserve">in 2011, </w:t>
      </w:r>
      <w:r w:rsidR="00766CF1">
        <w:rPr>
          <w:lang w:val="en-GB"/>
        </w:rPr>
        <w:t>long</w:t>
      </w:r>
      <w:r w:rsidR="00766CF1" w:rsidRPr="00BE35ED">
        <w:rPr>
          <w:lang w:val="en-GB"/>
        </w:rPr>
        <w:t xml:space="preserve"> </w:t>
      </w:r>
      <w:r w:rsidRPr="00BE35ED">
        <w:rPr>
          <w:lang w:val="en-GB"/>
        </w:rPr>
        <w:t xml:space="preserve">after it </w:t>
      </w:r>
      <w:r w:rsidR="00817062">
        <w:rPr>
          <w:lang w:val="en-GB"/>
        </w:rPr>
        <w:t>had gone</w:t>
      </w:r>
      <w:r w:rsidR="00817062" w:rsidRPr="00BE35ED">
        <w:rPr>
          <w:lang w:val="en-GB"/>
        </w:rPr>
        <w:t xml:space="preserve"> </w:t>
      </w:r>
      <w:r w:rsidRPr="00BE35ED">
        <w:rPr>
          <w:lang w:val="en-GB"/>
        </w:rPr>
        <w:t xml:space="preserve">public. While it </w:t>
      </w:r>
      <w:r w:rsidR="00337213">
        <w:rPr>
          <w:lang w:val="en-GB"/>
        </w:rPr>
        <w:t>was</w:t>
      </w:r>
      <w:r w:rsidR="00337213" w:rsidRPr="00BE35ED">
        <w:rPr>
          <w:lang w:val="en-GB"/>
        </w:rPr>
        <w:t xml:space="preserve"> </w:t>
      </w:r>
      <w:proofErr w:type="spellStart"/>
      <w:r w:rsidRPr="00BE35ED">
        <w:rPr>
          <w:lang w:val="en-GB"/>
        </w:rPr>
        <w:t>Impex’s</w:t>
      </w:r>
      <w:proofErr w:type="spellEnd"/>
      <w:r w:rsidRPr="00BE35ED">
        <w:rPr>
          <w:lang w:val="en-GB"/>
        </w:rPr>
        <w:t xml:space="preserve"> competition in the market for most kitchen products, it </w:t>
      </w:r>
      <w:r w:rsidR="00337213" w:rsidRPr="00BE35ED">
        <w:rPr>
          <w:lang w:val="en-GB"/>
        </w:rPr>
        <w:t>ha</w:t>
      </w:r>
      <w:r w:rsidR="00337213">
        <w:rPr>
          <w:lang w:val="en-GB"/>
        </w:rPr>
        <w:t>d</w:t>
      </w:r>
      <w:r w:rsidR="00337213" w:rsidRPr="00BE35ED">
        <w:rPr>
          <w:lang w:val="en-GB"/>
        </w:rPr>
        <w:t xml:space="preserve"> </w:t>
      </w:r>
      <w:r w:rsidRPr="00BE35ED">
        <w:rPr>
          <w:lang w:val="en-GB"/>
        </w:rPr>
        <w:t>made a national im</w:t>
      </w:r>
      <w:r w:rsidR="00486859">
        <w:rPr>
          <w:lang w:val="en-GB"/>
        </w:rPr>
        <w:t>pact in the gas stove category.</w:t>
      </w:r>
      <w:r w:rsidR="00486859">
        <w:rPr>
          <w:rStyle w:val="FootnoteReference"/>
          <w:lang w:val="en-GB"/>
        </w:rPr>
        <w:footnoteReference w:id="5"/>
      </w:r>
    </w:p>
    <w:p w14:paraId="5126485D" w14:textId="77777777" w:rsidR="00606A2A" w:rsidRPr="00BE35ED" w:rsidRDefault="00606A2A" w:rsidP="00066622">
      <w:pPr>
        <w:pStyle w:val="BodyTextMain"/>
        <w:rPr>
          <w:i/>
          <w:lang w:val="en-GB"/>
        </w:rPr>
      </w:pPr>
    </w:p>
    <w:p w14:paraId="5A585CC0" w14:textId="77777777" w:rsidR="00A930C5" w:rsidRDefault="00A930C5" w:rsidP="00066622">
      <w:pPr>
        <w:pStyle w:val="BodyTextMain"/>
        <w:rPr>
          <w:i/>
          <w:lang w:val="en-GB"/>
        </w:rPr>
      </w:pPr>
    </w:p>
    <w:p w14:paraId="4A64B6F5" w14:textId="6AA7E87F" w:rsidR="00A930C5" w:rsidRDefault="00066622" w:rsidP="002F75E6">
      <w:pPr>
        <w:pStyle w:val="Casehead2"/>
        <w:rPr>
          <w:lang w:val="en-GB"/>
        </w:rPr>
      </w:pPr>
      <w:r w:rsidRPr="002F75E6">
        <w:rPr>
          <w:lang w:val="en-GB"/>
        </w:rPr>
        <w:t>V</w:t>
      </w:r>
      <w:r w:rsidR="00817062" w:rsidRPr="002F75E6">
        <w:rPr>
          <w:lang w:val="en-GB"/>
        </w:rPr>
        <w:t>-</w:t>
      </w:r>
      <w:r w:rsidRPr="002F75E6">
        <w:rPr>
          <w:lang w:val="en-GB"/>
        </w:rPr>
        <w:t>Guard</w:t>
      </w:r>
      <w:r w:rsidRPr="00BE35ED">
        <w:rPr>
          <w:lang w:val="en-GB"/>
        </w:rPr>
        <w:t xml:space="preserve"> </w:t>
      </w:r>
    </w:p>
    <w:p w14:paraId="656121BE" w14:textId="77777777" w:rsidR="00A930C5" w:rsidRDefault="00A930C5" w:rsidP="00066622">
      <w:pPr>
        <w:pStyle w:val="BodyTextMain"/>
        <w:rPr>
          <w:lang w:val="en-GB"/>
        </w:rPr>
      </w:pPr>
    </w:p>
    <w:p w14:paraId="44B2F093" w14:textId="468F4C5E" w:rsidR="00066622" w:rsidRPr="00BE35ED" w:rsidRDefault="00C22A7D" w:rsidP="00066622">
      <w:pPr>
        <w:pStyle w:val="BodyTextMain"/>
        <w:rPr>
          <w:lang w:val="en-GB"/>
        </w:rPr>
      </w:pPr>
      <w:r>
        <w:rPr>
          <w:lang w:val="en-GB"/>
        </w:rPr>
        <w:t>V-Guard</w:t>
      </w:r>
      <w:r w:rsidRPr="00BE35ED">
        <w:rPr>
          <w:lang w:val="en-GB"/>
        </w:rPr>
        <w:t xml:space="preserve"> </w:t>
      </w:r>
      <w:r w:rsidR="00452083">
        <w:rPr>
          <w:lang w:val="en-GB"/>
        </w:rPr>
        <w:t>wa</w:t>
      </w:r>
      <w:r w:rsidR="00066622" w:rsidRPr="00BE35ED">
        <w:rPr>
          <w:lang w:val="en-GB"/>
        </w:rPr>
        <w:t xml:space="preserve">s another Kerala-based brand </w:t>
      </w:r>
      <w:r w:rsidR="00337213">
        <w:rPr>
          <w:lang w:val="en-GB"/>
        </w:rPr>
        <w:t>and</w:t>
      </w:r>
      <w:r w:rsidR="00337213" w:rsidRPr="00BE35ED">
        <w:rPr>
          <w:lang w:val="en-GB"/>
        </w:rPr>
        <w:t xml:space="preserve"> </w:t>
      </w:r>
      <w:proofErr w:type="gramStart"/>
      <w:r w:rsidR="00066622" w:rsidRPr="00BE35ED">
        <w:rPr>
          <w:lang w:val="en-GB"/>
        </w:rPr>
        <w:t>was established</w:t>
      </w:r>
      <w:proofErr w:type="gramEnd"/>
      <w:r w:rsidR="00066622" w:rsidRPr="00BE35ED">
        <w:rPr>
          <w:lang w:val="en-GB"/>
        </w:rPr>
        <w:t xml:space="preserve"> in 1977. </w:t>
      </w:r>
      <w:r w:rsidR="00337213">
        <w:rPr>
          <w:lang w:val="en-GB"/>
        </w:rPr>
        <w:t>Its</w:t>
      </w:r>
      <w:r w:rsidR="00337213" w:rsidRPr="00BE35ED">
        <w:rPr>
          <w:lang w:val="en-GB"/>
        </w:rPr>
        <w:t xml:space="preserve"> </w:t>
      </w:r>
      <w:r w:rsidR="00066622" w:rsidRPr="00BE35ED">
        <w:rPr>
          <w:lang w:val="en-GB"/>
        </w:rPr>
        <w:t xml:space="preserve">product portfolio </w:t>
      </w:r>
      <w:r w:rsidR="00337213" w:rsidRPr="00BE35ED">
        <w:rPr>
          <w:lang w:val="en-GB"/>
        </w:rPr>
        <w:t>include</w:t>
      </w:r>
      <w:r w:rsidR="00337213">
        <w:rPr>
          <w:lang w:val="en-GB"/>
        </w:rPr>
        <w:t xml:space="preserve">d </w:t>
      </w:r>
      <w:r w:rsidR="00066622" w:rsidRPr="00BE35ED">
        <w:rPr>
          <w:lang w:val="en-GB"/>
        </w:rPr>
        <w:t>stabilizers, inverters, induction cooktops, electric and solar water heaters, fans, and mixer</w:t>
      </w:r>
      <w:r w:rsidR="00817062">
        <w:rPr>
          <w:lang w:val="en-GB"/>
        </w:rPr>
        <w:t>–</w:t>
      </w:r>
      <w:r w:rsidR="00066622" w:rsidRPr="00BE35ED">
        <w:rPr>
          <w:lang w:val="en-GB"/>
        </w:rPr>
        <w:t>grinders.</w:t>
      </w:r>
      <w:r w:rsidR="00486859">
        <w:rPr>
          <w:rStyle w:val="FootnoteReference"/>
          <w:lang w:val="en-GB"/>
        </w:rPr>
        <w:footnoteReference w:id="6"/>
      </w:r>
    </w:p>
    <w:p w14:paraId="1FC41A9C" w14:textId="77777777" w:rsidR="00606A2A" w:rsidRPr="00BE35ED" w:rsidRDefault="00606A2A" w:rsidP="00066622">
      <w:pPr>
        <w:pStyle w:val="BodyTextMain"/>
        <w:rPr>
          <w:lang w:val="en-GB"/>
        </w:rPr>
      </w:pPr>
    </w:p>
    <w:p w14:paraId="3DEAE7F3" w14:textId="77777777" w:rsidR="00A930C5" w:rsidRDefault="00A930C5" w:rsidP="00066622">
      <w:pPr>
        <w:pStyle w:val="BodyTextMain"/>
        <w:rPr>
          <w:i/>
          <w:lang w:val="en-GB"/>
        </w:rPr>
      </w:pPr>
    </w:p>
    <w:p w14:paraId="15F5245C" w14:textId="02719223" w:rsidR="00A930C5" w:rsidRDefault="00066622" w:rsidP="002F75E6">
      <w:pPr>
        <w:pStyle w:val="Casehead2"/>
        <w:rPr>
          <w:lang w:val="en-GB"/>
        </w:rPr>
      </w:pPr>
      <w:r w:rsidRPr="002F75E6">
        <w:rPr>
          <w:lang w:val="en-GB"/>
        </w:rPr>
        <w:t>Bajaj Electricals</w:t>
      </w:r>
    </w:p>
    <w:p w14:paraId="7939EAA0" w14:textId="77777777" w:rsidR="00A930C5" w:rsidRDefault="00A930C5" w:rsidP="00066622">
      <w:pPr>
        <w:pStyle w:val="BodyTextMain"/>
        <w:rPr>
          <w:lang w:val="en-GB"/>
        </w:rPr>
      </w:pPr>
    </w:p>
    <w:p w14:paraId="413D9908" w14:textId="4AA62A8E" w:rsidR="00066622" w:rsidRPr="00BE35ED" w:rsidRDefault="00C43028" w:rsidP="00066622">
      <w:pPr>
        <w:pStyle w:val="BodyTextMain"/>
        <w:rPr>
          <w:lang w:val="en-GB"/>
        </w:rPr>
      </w:pPr>
      <w:r>
        <w:rPr>
          <w:lang w:val="en-GB"/>
        </w:rPr>
        <w:t>E</w:t>
      </w:r>
      <w:r w:rsidR="00066622" w:rsidRPr="00BE35ED">
        <w:rPr>
          <w:lang w:val="en-GB"/>
        </w:rPr>
        <w:t>stablished in 1938 and based out of Mumbai</w:t>
      </w:r>
      <w:r>
        <w:rPr>
          <w:lang w:val="en-GB"/>
        </w:rPr>
        <w:t>,</w:t>
      </w:r>
      <w:r w:rsidRPr="00BE35ED">
        <w:rPr>
          <w:lang w:val="en-GB"/>
        </w:rPr>
        <w:t xml:space="preserve"> </w:t>
      </w:r>
      <w:r w:rsidR="00C22A7D">
        <w:rPr>
          <w:lang w:val="en-GB"/>
        </w:rPr>
        <w:t>Bajaj Electricals</w:t>
      </w:r>
      <w:r w:rsidR="00C22A7D" w:rsidRPr="00BE35ED">
        <w:rPr>
          <w:lang w:val="en-GB"/>
        </w:rPr>
        <w:t xml:space="preserve"> </w:t>
      </w:r>
      <w:r w:rsidR="00337213">
        <w:rPr>
          <w:lang w:val="en-GB"/>
        </w:rPr>
        <w:t>was</w:t>
      </w:r>
      <w:r w:rsidR="00337213" w:rsidRPr="00BE35ED">
        <w:rPr>
          <w:lang w:val="en-GB"/>
        </w:rPr>
        <w:t xml:space="preserve"> </w:t>
      </w:r>
      <w:r w:rsidR="00066622" w:rsidRPr="00BE35ED">
        <w:rPr>
          <w:lang w:val="en-GB"/>
        </w:rPr>
        <w:t xml:space="preserve">a subsidiary of the Bajaj Group. </w:t>
      </w:r>
      <w:r w:rsidR="00337213">
        <w:rPr>
          <w:lang w:val="en-GB"/>
        </w:rPr>
        <w:t>Its</w:t>
      </w:r>
      <w:r w:rsidR="00337213" w:rsidRPr="00BE35ED">
        <w:rPr>
          <w:lang w:val="en-GB"/>
        </w:rPr>
        <w:t xml:space="preserve"> </w:t>
      </w:r>
      <w:r w:rsidR="00066622" w:rsidRPr="00BE35ED">
        <w:rPr>
          <w:lang w:val="en-GB"/>
        </w:rPr>
        <w:t xml:space="preserve">product portfolio </w:t>
      </w:r>
      <w:r w:rsidR="00337213" w:rsidRPr="00BE35ED">
        <w:rPr>
          <w:lang w:val="en-GB"/>
        </w:rPr>
        <w:t>include</w:t>
      </w:r>
      <w:r w:rsidR="00337213">
        <w:rPr>
          <w:lang w:val="en-GB"/>
        </w:rPr>
        <w:t>d</w:t>
      </w:r>
      <w:r w:rsidR="00337213" w:rsidRPr="00BE35ED">
        <w:rPr>
          <w:lang w:val="en-GB"/>
        </w:rPr>
        <w:t xml:space="preserve"> </w:t>
      </w:r>
      <w:r w:rsidR="00066622" w:rsidRPr="00BE35ED">
        <w:rPr>
          <w:lang w:val="en-GB"/>
        </w:rPr>
        <w:t>mixer</w:t>
      </w:r>
      <w:r w:rsidR="00817062">
        <w:rPr>
          <w:lang w:val="en-GB"/>
        </w:rPr>
        <w:t>–</w:t>
      </w:r>
      <w:r w:rsidR="00066622" w:rsidRPr="00BE35ED">
        <w:rPr>
          <w:lang w:val="en-GB"/>
        </w:rPr>
        <w:t xml:space="preserve">grinders, food processors, blenders, ovens, cooktops, toasters, electric kettles, coffee makers, water purifiers, heaters, </w:t>
      </w:r>
      <w:r w:rsidR="00337213">
        <w:rPr>
          <w:lang w:val="en-GB"/>
        </w:rPr>
        <w:t xml:space="preserve">and </w:t>
      </w:r>
      <w:r w:rsidR="00066622" w:rsidRPr="00BE35ED">
        <w:rPr>
          <w:lang w:val="en-GB"/>
        </w:rPr>
        <w:t>iron</w:t>
      </w:r>
      <w:r w:rsidR="00337213">
        <w:rPr>
          <w:lang w:val="en-GB"/>
        </w:rPr>
        <w:t>s</w:t>
      </w:r>
      <w:r w:rsidR="00066622" w:rsidRPr="00BE35ED">
        <w:rPr>
          <w:lang w:val="en-GB"/>
        </w:rPr>
        <w:t>.</w:t>
      </w:r>
      <w:r w:rsidR="00486859">
        <w:rPr>
          <w:rStyle w:val="FootnoteReference"/>
          <w:lang w:val="en-GB"/>
        </w:rPr>
        <w:footnoteReference w:id="7"/>
      </w:r>
    </w:p>
    <w:p w14:paraId="732490E2" w14:textId="77777777" w:rsidR="00606A2A" w:rsidRPr="00BE35ED" w:rsidRDefault="00606A2A" w:rsidP="00066622">
      <w:pPr>
        <w:pStyle w:val="BodyTextMain"/>
        <w:rPr>
          <w:lang w:val="en-GB"/>
        </w:rPr>
      </w:pPr>
    </w:p>
    <w:p w14:paraId="129EFE95" w14:textId="77777777" w:rsidR="00606A2A" w:rsidRPr="00BE35ED" w:rsidRDefault="00606A2A" w:rsidP="00066622">
      <w:pPr>
        <w:pStyle w:val="BodyTextMain"/>
        <w:rPr>
          <w:lang w:val="en-GB"/>
        </w:rPr>
      </w:pPr>
    </w:p>
    <w:p w14:paraId="7899547F" w14:textId="7296D5E2" w:rsidR="00066622" w:rsidRPr="00BE35ED" w:rsidRDefault="00066622" w:rsidP="00606A2A">
      <w:pPr>
        <w:pStyle w:val="Casehead1"/>
        <w:rPr>
          <w:lang w:val="en-GB"/>
        </w:rPr>
      </w:pPr>
      <w:r w:rsidRPr="00BE35ED">
        <w:rPr>
          <w:lang w:val="en-GB"/>
        </w:rPr>
        <w:t>Year-End Promotion Ideas</w:t>
      </w:r>
    </w:p>
    <w:p w14:paraId="2D4B7915" w14:textId="77777777" w:rsidR="00606A2A" w:rsidRPr="00BE35ED" w:rsidRDefault="00606A2A" w:rsidP="00066622">
      <w:pPr>
        <w:pStyle w:val="BodyTextMain"/>
        <w:rPr>
          <w:lang w:val="en-GB"/>
        </w:rPr>
      </w:pPr>
    </w:p>
    <w:p w14:paraId="60006A06" w14:textId="3796D59D" w:rsidR="00606A2A" w:rsidRPr="00BE35ED" w:rsidRDefault="00817062" w:rsidP="00066622">
      <w:pPr>
        <w:pStyle w:val="BodyTextMain"/>
        <w:rPr>
          <w:sz w:val="20"/>
          <w:lang w:val="en-GB"/>
        </w:rPr>
      </w:pPr>
      <w:r>
        <w:rPr>
          <w:lang w:val="en-GB"/>
        </w:rPr>
        <w:t>Under</w:t>
      </w:r>
      <w:r w:rsidRPr="00BE35ED">
        <w:rPr>
          <w:lang w:val="en-GB"/>
        </w:rPr>
        <w:t xml:space="preserve"> </w:t>
      </w:r>
      <w:r w:rsidR="00066622" w:rsidRPr="00BE35ED">
        <w:rPr>
          <w:lang w:val="en-GB"/>
        </w:rPr>
        <w:t xml:space="preserve">the direction of the </w:t>
      </w:r>
      <w:r w:rsidR="00337213">
        <w:rPr>
          <w:lang w:val="en-GB"/>
        </w:rPr>
        <w:t>m</w:t>
      </w:r>
      <w:r w:rsidR="00337213" w:rsidRPr="00BE35ED">
        <w:rPr>
          <w:lang w:val="en-GB"/>
        </w:rPr>
        <w:t xml:space="preserve">anaging </w:t>
      </w:r>
      <w:r w:rsidR="00337213">
        <w:rPr>
          <w:lang w:val="en-GB"/>
        </w:rPr>
        <w:t>d</w:t>
      </w:r>
      <w:r w:rsidR="00337213" w:rsidRPr="00BE35ED">
        <w:rPr>
          <w:lang w:val="en-GB"/>
        </w:rPr>
        <w:t>irector</w:t>
      </w:r>
      <w:r w:rsidR="00066622" w:rsidRPr="00BE35ED">
        <w:rPr>
          <w:lang w:val="en-GB"/>
        </w:rPr>
        <w:t xml:space="preserve">, </w:t>
      </w:r>
      <w:proofErr w:type="spellStart"/>
      <w:r w:rsidR="00DF23AA" w:rsidRPr="00BE35ED">
        <w:rPr>
          <w:spacing w:val="-2"/>
          <w:kern w:val="22"/>
          <w:lang w:val="en-GB"/>
        </w:rPr>
        <w:t>Kodakkadan</w:t>
      </w:r>
      <w:proofErr w:type="spellEnd"/>
      <w:r w:rsidR="00DF23AA">
        <w:rPr>
          <w:spacing w:val="-2"/>
          <w:kern w:val="22"/>
          <w:lang w:val="en-GB"/>
        </w:rPr>
        <w:t xml:space="preserve"> </w:t>
      </w:r>
      <w:r w:rsidR="00066622" w:rsidRPr="00BE35ED">
        <w:rPr>
          <w:lang w:val="en-GB"/>
        </w:rPr>
        <w:t>had already started working on the year-end consumer promotion strategy</w:t>
      </w:r>
      <w:r w:rsidR="002374A9">
        <w:rPr>
          <w:lang w:val="en-GB"/>
        </w:rPr>
        <w:t xml:space="preserve"> for 2015</w:t>
      </w:r>
      <w:r w:rsidR="00C22A7D">
        <w:rPr>
          <w:lang w:val="en-GB"/>
        </w:rPr>
        <w:t>,</w:t>
      </w:r>
      <w:r w:rsidR="00066622" w:rsidRPr="00BE35ED">
        <w:rPr>
          <w:lang w:val="en-GB"/>
        </w:rPr>
        <w:t xml:space="preserve"> </w:t>
      </w:r>
      <w:r w:rsidR="00C22A7D">
        <w:rPr>
          <w:lang w:val="en-GB"/>
        </w:rPr>
        <w:t>and he had</w:t>
      </w:r>
      <w:r w:rsidR="00C22A7D" w:rsidRPr="00BE35ED">
        <w:rPr>
          <w:lang w:val="en-GB"/>
        </w:rPr>
        <w:t xml:space="preserve"> </w:t>
      </w:r>
      <w:r w:rsidR="00066622" w:rsidRPr="00BE35ED">
        <w:rPr>
          <w:lang w:val="en-GB"/>
        </w:rPr>
        <w:t xml:space="preserve">a few products in mind. He was </w:t>
      </w:r>
      <w:r w:rsidR="00C22A7D">
        <w:rPr>
          <w:lang w:val="en-GB"/>
        </w:rPr>
        <w:t>un</w:t>
      </w:r>
      <w:r w:rsidR="00066622" w:rsidRPr="00BE35ED">
        <w:rPr>
          <w:lang w:val="en-GB"/>
        </w:rPr>
        <w:t xml:space="preserve">sure why year-end consumer promotion schemes to boost </w:t>
      </w:r>
      <w:proofErr w:type="spellStart"/>
      <w:r w:rsidR="00066622" w:rsidRPr="00BE35ED">
        <w:rPr>
          <w:lang w:val="en-GB"/>
        </w:rPr>
        <w:t>Impex</w:t>
      </w:r>
      <w:r w:rsidR="00337213">
        <w:rPr>
          <w:lang w:val="en-GB"/>
        </w:rPr>
        <w:t>’s</w:t>
      </w:r>
      <w:proofErr w:type="spellEnd"/>
      <w:r w:rsidR="00066622" w:rsidRPr="00BE35ED">
        <w:rPr>
          <w:lang w:val="en-GB"/>
        </w:rPr>
        <w:t xml:space="preserve"> sales in March had been his responsibility every year since he </w:t>
      </w:r>
      <w:r w:rsidR="00C22A7D">
        <w:rPr>
          <w:lang w:val="en-GB"/>
        </w:rPr>
        <w:t>had taken</w:t>
      </w:r>
      <w:r w:rsidR="00C22A7D" w:rsidRPr="00BE35ED">
        <w:rPr>
          <w:lang w:val="en-GB"/>
        </w:rPr>
        <w:t xml:space="preserve"> </w:t>
      </w:r>
      <w:r w:rsidR="00066622" w:rsidRPr="00BE35ED">
        <w:rPr>
          <w:lang w:val="en-GB"/>
        </w:rPr>
        <w:t>on the marketing role</w:t>
      </w:r>
      <w:r w:rsidR="00C22A7D">
        <w:rPr>
          <w:lang w:val="en-GB"/>
        </w:rPr>
        <w:t>,</w:t>
      </w:r>
      <w:r w:rsidR="00066622" w:rsidRPr="00BE35ED">
        <w:rPr>
          <w:lang w:val="en-GB"/>
        </w:rPr>
        <w:t xml:space="preserve"> </w:t>
      </w:r>
      <w:r w:rsidR="00C22A7D">
        <w:rPr>
          <w:lang w:val="en-GB"/>
        </w:rPr>
        <w:t>whereas</w:t>
      </w:r>
      <w:r w:rsidR="00066622" w:rsidRPr="00BE35ED">
        <w:rPr>
          <w:lang w:val="en-GB"/>
        </w:rPr>
        <w:t xml:space="preserve"> his counterparts in the household </w:t>
      </w:r>
      <w:r w:rsidR="00C22A7D">
        <w:rPr>
          <w:lang w:val="en-GB"/>
        </w:rPr>
        <w:t>and</w:t>
      </w:r>
      <w:r w:rsidR="00C22A7D" w:rsidRPr="00BE35ED">
        <w:rPr>
          <w:lang w:val="en-GB"/>
        </w:rPr>
        <w:t xml:space="preserve"> </w:t>
      </w:r>
      <w:r w:rsidR="00066622" w:rsidRPr="00BE35ED">
        <w:rPr>
          <w:lang w:val="en-GB"/>
        </w:rPr>
        <w:t xml:space="preserve">home entertainment divisions were not </w:t>
      </w:r>
      <w:r w:rsidR="00C22A7D">
        <w:rPr>
          <w:lang w:val="en-GB"/>
        </w:rPr>
        <w:t xml:space="preserve">also </w:t>
      </w:r>
      <w:r w:rsidR="00066622" w:rsidRPr="00BE35ED">
        <w:rPr>
          <w:lang w:val="en-GB"/>
        </w:rPr>
        <w:t xml:space="preserve">assigned this task. It probably had to do with his analytical and profit-planning skills, which </w:t>
      </w:r>
      <w:proofErr w:type="spellStart"/>
      <w:r w:rsidR="00DF23AA" w:rsidRPr="00BE35ED">
        <w:rPr>
          <w:lang w:val="en-GB"/>
        </w:rPr>
        <w:t>Chenengadan</w:t>
      </w:r>
      <w:proofErr w:type="spellEnd"/>
      <w:r w:rsidR="00DF23AA" w:rsidRPr="00BE35ED" w:rsidDel="00DF23AA">
        <w:rPr>
          <w:lang w:val="en-GB"/>
        </w:rPr>
        <w:t xml:space="preserve"> </w:t>
      </w:r>
      <w:r w:rsidR="00C22A7D">
        <w:rPr>
          <w:lang w:val="en-GB"/>
        </w:rPr>
        <w:t xml:space="preserve">had often </w:t>
      </w:r>
      <w:r w:rsidR="00066622" w:rsidRPr="00BE35ED">
        <w:rPr>
          <w:lang w:val="en-GB"/>
        </w:rPr>
        <w:t xml:space="preserve">acknowledged, or </w:t>
      </w:r>
      <w:r w:rsidR="00337213">
        <w:rPr>
          <w:lang w:val="en-GB"/>
        </w:rPr>
        <w:t>perhaps it</w:t>
      </w:r>
      <w:r w:rsidR="00337213" w:rsidRPr="00BE35ED">
        <w:rPr>
          <w:lang w:val="en-GB"/>
        </w:rPr>
        <w:t xml:space="preserve"> </w:t>
      </w:r>
      <w:r w:rsidR="00066622" w:rsidRPr="00BE35ED">
        <w:rPr>
          <w:lang w:val="en-GB"/>
        </w:rPr>
        <w:t xml:space="preserve">had to do with the category of products he dealt with. Last year, too, he had worked out a consumer promotion scheme </w:t>
      </w:r>
      <w:r w:rsidR="00337213">
        <w:rPr>
          <w:lang w:val="en-GB"/>
        </w:rPr>
        <w:t>that</w:t>
      </w:r>
      <w:r w:rsidR="00337213" w:rsidRPr="00BE35ED">
        <w:rPr>
          <w:lang w:val="en-GB"/>
        </w:rPr>
        <w:t xml:space="preserve"> </w:t>
      </w:r>
      <w:r w:rsidR="00066622" w:rsidRPr="00BE35ED">
        <w:rPr>
          <w:lang w:val="en-GB"/>
        </w:rPr>
        <w:t>had succeeded in boosting sales.</w:t>
      </w:r>
    </w:p>
    <w:p w14:paraId="0AF040F9" w14:textId="77777777" w:rsidR="00606A2A" w:rsidRPr="00BE35ED" w:rsidRDefault="00606A2A" w:rsidP="00066622">
      <w:pPr>
        <w:pStyle w:val="BodyTextMain"/>
        <w:rPr>
          <w:sz w:val="20"/>
          <w:lang w:val="en-GB"/>
        </w:rPr>
      </w:pPr>
    </w:p>
    <w:p w14:paraId="7792FE66" w14:textId="77777777" w:rsidR="00255759" w:rsidRDefault="00255759" w:rsidP="00606A2A">
      <w:pPr>
        <w:pStyle w:val="Casehead2"/>
        <w:rPr>
          <w:lang w:val="en-GB"/>
        </w:rPr>
      </w:pPr>
    </w:p>
    <w:p w14:paraId="3DF94D4D" w14:textId="4530EBA5" w:rsidR="00066622" w:rsidRPr="00BE35ED" w:rsidRDefault="00066622" w:rsidP="00606A2A">
      <w:pPr>
        <w:pStyle w:val="Casehead2"/>
        <w:rPr>
          <w:lang w:val="en-GB"/>
        </w:rPr>
      </w:pPr>
      <w:r w:rsidRPr="00BE35ED">
        <w:rPr>
          <w:lang w:val="en-GB"/>
        </w:rPr>
        <w:t>March 2014</w:t>
      </w:r>
      <w:r w:rsidR="00337213">
        <w:rPr>
          <w:lang w:val="en-GB"/>
        </w:rPr>
        <w:t>:</w:t>
      </w:r>
      <w:r w:rsidRPr="00BE35ED">
        <w:rPr>
          <w:lang w:val="en-GB"/>
        </w:rPr>
        <w:t xml:space="preserve"> Year-End Promotion Scheme</w:t>
      </w:r>
    </w:p>
    <w:p w14:paraId="20174955" w14:textId="77777777" w:rsidR="00606A2A" w:rsidRPr="00BE35ED" w:rsidRDefault="00606A2A" w:rsidP="00066622">
      <w:pPr>
        <w:pStyle w:val="BodyTextMain"/>
        <w:rPr>
          <w:i/>
          <w:u w:val="single"/>
          <w:lang w:val="en-GB"/>
        </w:rPr>
      </w:pPr>
    </w:p>
    <w:p w14:paraId="38650ADC" w14:textId="2DEB302C" w:rsidR="00066622" w:rsidRPr="00BE35ED" w:rsidRDefault="00066622" w:rsidP="00066622">
      <w:pPr>
        <w:pStyle w:val="BodyTextMain"/>
        <w:rPr>
          <w:lang w:val="en-GB"/>
        </w:rPr>
      </w:pPr>
      <w:r w:rsidRPr="00BE35ED">
        <w:rPr>
          <w:lang w:val="en-GB"/>
        </w:rPr>
        <w:t>A deep</w:t>
      </w:r>
      <w:r w:rsidR="00817062">
        <w:rPr>
          <w:lang w:val="en-GB"/>
        </w:rPr>
        <w:t>-</w:t>
      </w:r>
      <w:r w:rsidRPr="00BE35ED">
        <w:rPr>
          <w:lang w:val="en-GB"/>
        </w:rPr>
        <w:t>discount</w:t>
      </w:r>
      <w:r w:rsidR="000F5A92">
        <w:rPr>
          <w:lang w:val="en-GB"/>
        </w:rPr>
        <w:t>,</w:t>
      </w:r>
      <w:r w:rsidRPr="00BE35ED">
        <w:rPr>
          <w:lang w:val="en-GB"/>
        </w:rPr>
        <w:t xml:space="preserve"> sales-targeted drive </w:t>
      </w:r>
      <w:r w:rsidR="000F5A92">
        <w:rPr>
          <w:lang w:val="en-GB"/>
        </w:rPr>
        <w:t>had been</w:t>
      </w:r>
      <w:r w:rsidR="000F5A92" w:rsidRPr="00BE35ED">
        <w:rPr>
          <w:lang w:val="en-GB"/>
        </w:rPr>
        <w:t xml:space="preserve"> </w:t>
      </w:r>
      <w:r w:rsidRPr="00BE35ED">
        <w:rPr>
          <w:lang w:val="en-GB"/>
        </w:rPr>
        <w:t>conducted in March 2014. The campaign</w:t>
      </w:r>
      <w:r w:rsidR="000F5A92">
        <w:rPr>
          <w:lang w:val="en-GB"/>
        </w:rPr>
        <w:t>,</w:t>
      </w:r>
      <w:r w:rsidRPr="00BE35ED">
        <w:rPr>
          <w:lang w:val="en-GB"/>
        </w:rPr>
        <w:t xml:space="preserve"> </w:t>
      </w:r>
      <w:r w:rsidR="000F5A92">
        <w:rPr>
          <w:lang w:val="en-GB"/>
        </w:rPr>
        <w:t>which included</w:t>
      </w:r>
      <w:r w:rsidRPr="00BE35ED">
        <w:rPr>
          <w:lang w:val="en-GB"/>
        </w:rPr>
        <w:t xml:space="preserve"> gas stoves, pressure cookers, and non-stick ceramic cookware</w:t>
      </w:r>
      <w:r w:rsidR="000F5A92">
        <w:rPr>
          <w:lang w:val="en-GB"/>
        </w:rPr>
        <w:t>,</w:t>
      </w:r>
      <w:r w:rsidRPr="00BE35ED">
        <w:rPr>
          <w:lang w:val="en-GB"/>
        </w:rPr>
        <w:t xml:space="preserve"> had resulted in a significant increase in sales numbers toward the end of FY 2013</w:t>
      </w:r>
      <w:r w:rsidR="00337213">
        <w:rPr>
          <w:lang w:val="en-GB"/>
        </w:rPr>
        <w:t>–</w:t>
      </w:r>
      <w:r w:rsidRPr="00BE35ED">
        <w:rPr>
          <w:lang w:val="en-GB"/>
        </w:rPr>
        <w:t>14</w:t>
      </w:r>
      <w:r w:rsidR="000F5A92">
        <w:rPr>
          <w:lang w:val="en-GB"/>
        </w:rPr>
        <w:t xml:space="preserve"> and had been ultimately</w:t>
      </w:r>
      <w:r w:rsidRPr="00BE35ED">
        <w:rPr>
          <w:lang w:val="en-GB"/>
        </w:rPr>
        <w:t xml:space="preserve"> profitable. The overall marketing expenses for the campaign were just </w:t>
      </w:r>
      <w:r w:rsidRPr="00BE35ED">
        <w:rPr>
          <w:rFonts w:ascii="Tahoma" w:hAnsi="Tahoma" w:cs="Tahoma"/>
          <w:lang w:val="en-GB"/>
        </w:rPr>
        <w:t>₹</w:t>
      </w:r>
      <w:r w:rsidRPr="00BE35ED">
        <w:rPr>
          <w:lang w:val="en-GB"/>
        </w:rPr>
        <w:t xml:space="preserve">80,000, as it relied </w:t>
      </w:r>
      <w:r w:rsidR="000F5A92">
        <w:rPr>
          <w:lang w:val="en-GB"/>
        </w:rPr>
        <w:t xml:space="preserve">mainly </w:t>
      </w:r>
      <w:r w:rsidRPr="00BE35ED">
        <w:rPr>
          <w:lang w:val="en-GB"/>
        </w:rPr>
        <w:t xml:space="preserve">on in-store posters and flyers. The campaign </w:t>
      </w:r>
      <w:r w:rsidRPr="00BE35ED">
        <w:rPr>
          <w:lang w:val="en-GB"/>
        </w:rPr>
        <w:lastRenderedPageBreak/>
        <w:t>managed to achieve additional revenue of 53</w:t>
      </w:r>
      <w:r w:rsidR="0069529B">
        <w:rPr>
          <w:lang w:val="en-GB"/>
        </w:rPr>
        <w:t xml:space="preserve"> </w:t>
      </w:r>
      <w:r w:rsidR="007964AA">
        <w:rPr>
          <w:lang w:val="en-GB"/>
        </w:rPr>
        <w:t>per cent</w:t>
      </w:r>
      <w:r w:rsidRPr="00BE35ED">
        <w:rPr>
          <w:lang w:val="en-GB"/>
        </w:rPr>
        <w:t xml:space="preserve"> over the forecasted normal sales</w:t>
      </w:r>
      <w:r w:rsidR="00D1334B">
        <w:rPr>
          <w:lang w:val="en-GB"/>
        </w:rPr>
        <w:t xml:space="preserve"> for the specific products on deep</w:t>
      </w:r>
      <w:r w:rsidR="002E0456">
        <w:rPr>
          <w:lang w:val="en-GB"/>
        </w:rPr>
        <w:t xml:space="preserve"> </w:t>
      </w:r>
      <w:r w:rsidR="00D1334B">
        <w:rPr>
          <w:lang w:val="en-GB"/>
        </w:rPr>
        <w:t>discounts during the campaign</w:t>
      </w:r>
      <w:r w:rsidRPr="00BE35ED">
        <w:rPr>
          <w:lang w:val="en-GB"/>
        </w:rPr>
        <w:t xml:space="preserve">. For this campaign to succeed, </w:t>
      </w:r>
      <w:proofErr w:type="spellStart"/>
      <w:r w:rsidR="00DF23AA" w:rsidRPr="00BE35ED">
        <w:rPr>
          <w:spacing w:val="-2"/>
          <w:kern w:val="22"/>
          <w:lang w:val="en-GB"/>
        </w:rPr>
        <w:t>Kodakkadan</w:t>
      </w:r>
      <w:proofErr w:type="spellEnd"/>
      <w:r w:rsidR="00DF23AA">
        <w:rPr>
          <w:spacing w:val="-2"/>
          <w:kern w:val="22"/>
          <w:lang w:val="en-GB"/>
        </w:rPr>
        <w:t xml:space="preserve"> </w:t>
      </w:r>
      <w:r w:rsidRPr="00BE35ED">
        <w:rPr>
          <w:lang w:val="en-GB"/>
        </w:rPr>
        <w:t xml:space="preserve">had enlisted </w:t>
      </w:r>
      <w:proofErr w:type="spellStart"/>
      <w:r w:rsidR="00AE40CC" w:rsidRPr="00BE35ED">
        <w:rPr>
          <w:lang w:val="en-GB"/>
        </w:rPr>
        <w:t>Ravindran</w:t>
      </w:r>
      <w:r w:rsidRPr="00BE35ED">
        <w:rPr>
          <w:lang w:val="en-GB"/>
        </w:rPr>
        <w:t>’s</w:t>
      </w:r>
      <w:proofErr w:type="spellEnd"/>
      <w:r w:rsidRPr="00BE35ED">
        <w:rPr>
          <w:lang w:val="en-GB"/>
        </w:rPr>
        <w:t xml:space="preserve"> help and had managed to get the retailers and distributors </w:t>
      </w:r>
      <w:r w:rsidR="00A97496">
        <w:rPr>
          <w:lang w:val="en-GB"/>
        </w:rPr>
        <w:t xml:space="preserve">to </w:t>
      </w:r>
      <w:r w:rsidRPr="00BE35ED">
        <w:rPr>
          <w:lang w:val="en-GB"/>
        </w:rPr>
        <w:t>agree to take a cut on their margins: the retailers and distributors had agreed to operate at 23.5</w:t>
      </w:r>
      <w:r w:rsidR="0069529B">
        <w:rPr>
          <w:lang w:val="en-GB"/>
        </w:rPr>
        <w:t xml:space="preserve"> </w:t>
      </w:r>
      <w:r w:rsidR="007964AA">
        <w:rPr>
          <w:lang w:val="en-GB"/>
        </w:rPr>
        <w:t>per cent</w:t>
      </w:r>
      <w:r w:rsidRPr="00BE35ED">
        <w:rPr>
          <w:lang w:val="en-GB"/>
        </w:rPr>
        <w:t xml:space="preserve"> and 8</w:t>
      </w:r>
      <w:r w:rsidR="0069529B">
        <w:rPr>
          <w:lang w:val="en-GB"/>
        </w:rPr>
        <w:t xml:space="preserve"> </w:t>
      </w:r>
      <w:r w:rsidR="007964AA">
        <w:rPr>
          <w:lang w:val="en-GB"/>
        </w:rPr>
        <w:t>per cent</w:t>
      </w:r>
      <w:r w:rsidRPr="00BE35ED">
        <w:rPr>
          <w:lang w:val="en-GB"/>
        </w:rPr>
        <w:t xml:space="preserve"> margins, respectively, in anticipation of the increase in sales numbers </w:t>
      </w:r>
      <w:r w:rsidR="00772175">
        <w:rPr>
          <w:lang w:val="en-GB"/>
        </w:rPr>
        <w:t xml:space="preserve">(see </w:t>
      </w:r>
      <w:r w:rsidRPr="0069529B">
        <w:rPr>
          <w:lang w:val="en-GB"/>
        </w:rPr>
        <w:t>Exhibit 3</w:t>
      </w:r>
      <w:r w:rsidR="00772175" w:rsidRPr="000F1C26">
        <w:rPr>
          <w:lang w:val="en-GB"/>
        </w:rPr>
        <w:t>)</w:t>
      </w:r>
      <w:r w:rsidRPr="00BE35ED">
        <w:rPr>
          <w:lang w:val="en-GB"/>
        </w:rPr>
        <w:t>.</w:t>
      </w:r>
    </w:p>
    <w:p w14:paraId="175E709E" w14:textId="77777777" w:rsidR="00606A2A" w:rsidRPr="00BE35ED" w:rsidRDefault="00606A2A" w:rsidP="00066622">
      <w:pPr>
        <w:pStyle w:val="BodyTextMain"/>
        <w:rPr>
          <w:sz w:val="20"/>
          <w:lang w:val="en-GB"/>
        </w:rPr>
      </w:pPr>
    </w:p>
    <w:p w14:paraId="1D1316F2" w14:textId="77777777" w:rsidR="00606A2A" w:rsidRPr="00BE35ED" w:rsidRDefault="00606A2A" w:rsidP="00066622">
      <w:pPr>
        <w:pStyle w:val="BodyTextMain"/>
        <w:rPr>
          <w:sz w:val="20"/>
          <w:lang w:val="en-GB"/>
        </w:rPr>
      </w:pPr>
    </w:p>
    <w:p w14:paraId="00640893" w14:textId="77777777" w:rsidR="00066622" w:rsidRPr="00BE35ED" w:rsidRDefault="00066622" w:rsidP="00606A2A">
      <w:pPr>
        <w:pStyle w:val="Casehead2"/>
        <w:rPr>
          <w:lang w:val="en-GB"/>
        </w:rPr>
      </w:pPr>
      <w:r w:rsidRPr="002F75E6">
        <w:rPr>
          <w:lang w:val="en-GB"/>
        </w:rPr>
        <w:t>The</w:t>
      </w:r>
      <w:r w:rsidRPr="000F1C26">
        <w:rPr>
          <w:i/>
          <w:lang w:val="en-GB"/>
        </w:rPr>
        <w:t xml:space="preserve"> Times of India</w:t>
      </w:r>
      <w:r w:rsidRPr="00BE35ED">
        <w:rPr>
          <w:lang w:val="en-GB"/>
        </w:rPr>
        <w:t xml:space="preserve"> Reader’s Offer</w:t>
      </w:r>
    </w:p>
    <w:p w14:paraId="18A9ADE5" w14:textId="77777777" w:rsidR="00606A2A" w:rsidRPr="00BE35ED" w:rsidRDefault="00606A2A" w:rsidP="00066622">
      <w:pPr>
        <w:pStyle w:val="BodyTextMain"/>
        <w:rPr>
          <w:i/>
          <w:u w:val="single"/>
          <w:lang w:val="en-GB"/>
        </w:rPr>
      </w:pPr>
    </w:p>
    <w:p w14:paraId="2D9368D5" w14:textId="7FD45F8B" w:rsidR="00606A2A" w:rsidRDefault="00DF23AA" w:rsidP="00066622">
      <w:pPr>
        <w:pStyle w:val="BodyTextMain"/>
        <w:rPr>
          <w:lang w:val="en-GB"/>
        </w:rPr>
      </w:pPr>
      <w:proofErr w:type="spellStart"/>
      <w:r w:rsidRPr="00BE35ED">
        <w:rPr>
          <w:spacing w:val="-2"/>
          <w:kern w:val="22"/>
          <w:lang w:val="en-GB"/>
        </w:rPr>
        <w:t>Kodakkadan</w:t>
      </w:r>
      <w:proofErr w:type="spellEnd"/>
      <w:r>
        <w:rPr>
          <w:spacing w:val="-2"/>
          <w:kern w:val="22"/>
          <w:lang w:val="en-GB"/>
        </w:rPr>
        <w:t xml:space="preserve"> </w:t>
      </w:r>
      <w:r w:rsidR="00066622" w:rsidRPr="00BE35ED">
        <w:rPr>
          <w:lang w:val="en-GB"/>
        </w:rPr>
        <w:t>had come up with a completely new idea for driving year-end sales</w:t>
      </w:r>
      <w:r w:rsidR="002374A9">
        <w:rPr>
          <w:lang w:val="en-GB"/>
        </w:rPr>
        <w:t xml:space="preserve"> in 2015</w:t>
      </w:r>
      <w:r w:rsidR="00066622" w:rsidRPr="00BE35ED">
        <w:rPr>
          <w:lang w:val="en-GB"/>
        </w:rPr>
        <w:t xml:space="preserve">. </w:t>
      </w:r>
      <w:r w:rsidR="007D786F">
        <w:rPr>
          <w:lang w:val="en-GB"/>
        </w:rPr>
        <w:t xml:space="preserve">For quite some time, </w:t>
      </w:r>
      <w:r w:rsidR="00A55F65">
        <w:rPr>
          <w:lang w:val="en-GB"/>
        </w:rPr>
        <w:t>t</w:t>
      </w:r>
      <w:r w:rsidR="00066622" w:rsidRPr="00BE35ED">
        <w:rPr>
          <w:lang w:val="en-GB"/>
        </w:rPr>
        <w:t xml:space="preserve">he advertising sales executives from </w:t>
      </w:r>
      <w:r w:rsidR="002E0456">
        <w:rPr>
          <w:lang w:val="en-GB"/>
        </w:rPr>
        <w:t>a</w:t>
      </w:r>
      <w:r w:rsidR="002E0456" w:rsidRPr="00BE35ED">
        <w:rPr>
          <w:lang w:val="en-GB"/>
        </w:rPr>
        <w:t xml:space="preserve"> </w:t>
      </w:r>
      <w:r w:rsidR="00066622" w:rsidRPr="00BE35ED">
        <w:rPr>
          <w:lang w:val="en-GB"/>
        </w:rPr>
        <w:t>leading national English</w:t>
      </w:r>
      <w:r w:rsidR="002E0456">
        <w:rPr>
          <w:lang w:val="en-GB"/>
        </w:rPr>
        <w:t>-language</w:t>
      </w:r>
      <w:r w:rsidR="00066622" w:rsidRPr="00BE35ED">
        <w:rPr>
          <w:lang w:val="en-GB"/>
        </w:rPr>
        <w:t xml:space="preserve"> daily, </w:t>
      </w:r>
      <w:r w:rsidR="00255759">
        <w:rPr>
          <w:lang w:val="en-GB"/>
        </w:rPr>
        <w:t>t</w:t>
      </w:r>
      <w:r w:rsidR="00066622" w:rsidRPr="002F75E6">
        <w:rPr>
          <w:lang w:val="en-GB"/>
        </w:rPr>
        <w:t>he</w:t>
      </w:r>
      <w:r w:rsidR="00066622" w:rsidRPr="000F1C26">
        <w:rPr>
          <w:i/>
          <w:lang w:val="en-GB"/>
        </w:rPr>
        <w:t xml:space="preserve"> Times of India</w:t>
      </w:r>
      <w:r w:rsidR="00066622" w:rsidRPr="00BE35ED">
        <w:rPr>
          <w:lang w:val="en-GB"/>
        </w:rPr>
        <w:t xml:space="preserve"> (</w:t>
      </w:r>
      <w:proofErr w:type="spellStart"/>
      <w:r w:rsidR="00066622" w:rsidRPr="00BE35ED">
        <w:rPr>
          <w:lang w:val="en-GB"/>
        </w:rPr>
        <w:t>ToI</w:t>
      </w:r>
      <w:proofErr w:type="spellEnd"/>
      <w:r w:rsidR="00066622" w:rsidRPr="00BE35ED">
        <w:rPr>
          <w:lang w:val="en-GB"/>
        </w:rPr>
        <w:t>), had been pursuing him with the aim of procuring advertisements in their publications.</w:t>
      </w:r>
      <w:r w:rsidR="00D1334B">
        <w:rPr>
          <w:lang w:val="en-GB"/>
        </w:rPr>
        <w:t xml:space="preserve"> </w:t>
      </w:r>
      <w:r w:rsidR="00066622" w:rsidRPr="00BE35ED">
        <w:rPr>
          <w:lang w:val="en-GB"/>
        </w:rPr>
        <w:t xml:space="preserve">Only last month, they had proposed an interesting idea called </w:t>
      </w:r>
      <w:r w:rsidR="00527E78">
        <w:rPr>
          <w:lang w:val="en-GB"/>
        </w:rPr>
        <w:t xml:space="preserve">the </w:t>
      </w:r>
      <w:r w:rsidR="00A97496">
        <w:rPr>
          <w:lang w:val="en-GB"/>
        </w:rPr>
        <w:t>“</w:t>
      </w:r>
      <w:r w:rsidR="00066622" w:rsidRPr="00BE35ED">
        <w:rPr>
          <w:lang w:val="en-GB"/>
        </w:rPr>
        <w:t>Reader’s Offer,</w:t>
      </w:r>
      <w:r w:rsidR="00A97496">
        <w:rPr>
          <w:lang w:val="en-GB"/>
        </w:rPr>
        <w:t>”</w:t>
      </w:r>
      <w:r w:rsidR="00066622" w:rsidRPr="00BE35ED">
        <w:rPr>
          <w:lang w:val="en-GB"/>
        </w:rPr>
        <w:t xml:space="preserve"> which promised the benefits of sales </w:t>
      </w:r>
      <w:r w:rsidR="00766CF1">
        <w:rPr>
          <w:lang w:val="en-GB"/>
        </w:rPr>
        <w:t>boosts</w:t>
      </w:r>
      <w:r w:rsidR="00766CF1" w:rsidRPr="00BE35ED">
        <w:rPr>
          <w:lang w:val="en-GB"/>
        </w:rPr>
        <w:t xml:space="preserve"> </w:t>
      </w:r>
      <w:r w:rsidR="00066622" w:rsidRPr="00BE35ED">
        <w:rPr>
          <w:lang w:val="en-GB"/>
        </w:rPr>
        <w:t xml:space="preserve">and brand building for growing brands such as </w:t>
      </w:r>
      <w:proofErr w:type="spellStart"/>
      <w:r w:rsidR="00066622" w:rsidRPr="00BE35ED">
        <w:rPr>
          <w:lang w:val="en-GB"/>
        </w:rPr>
        <w:t>Impex</w:t>
      </w:r>
      <w:proofErr w:type="spellEnd"/>
      <w:r w:rsidR="00066622" w:rsidRPr="00BE35ED">
        <w:rPr>
          <w:lang w:val="en-GB"/>
        </w:rPr>
        <w:t xml:space="preserve">. The offer revolved around </w:t>
      </w:r>
      <w:r w:rsidR="007D786F">
        <w:rPr>
          <w:lang w:val="en-GB"/>
        </w:rPr>
        <w:t xml:space="preserve">using </w:t>
      </w:r>
      <w:r w:rsidR="003C6106" w:rsidRPr="00BE35ED">
        <w:rPr>
          <w:lang w:val="en-GB"/>
        </w:rPr>
        <w:t>direct</w:t>
      </w:r>
      <w:r w:rsidR="003C6106">
        <w:rPr>
          <w:lang w:val="en-GB"/>
        </w:rPr>
        <w:t>-</w:t>
      </w:r>
      <w:r w:rsidR="00066622" w:rsidRPr="00BE35ED">
        <w:rPr>
          <w:lang w:val="en-GB"/>
        </w:rPr>
        <w:t xml:space="preserve">response advertising through </w:t>
      </w:r>
      <w:r w:rsidR="002374A9" w:rsidRPr="00BE35ED">
        <w:rPr>
          <w:lang w:val="en-GB"/>
        </w:rPr>
        <w:t>T</w:t>
      </w:r>
      <w:r w:rsidR="002374A9">
        <w:rPr>
          <w:lang w:val="en-GB"/>
        </w:rPr>
        <w:t xml:space="preserve">imes </w:t>
      </w:r>
      <w:r w:rsidR="00066622" w:rsidRPr="00BE35ED">
        <w:rPr>
          <w:lang w:val="en-GB"/>
        </w:rPr>
        <w:t>group publications</w:t>
      </w:r>
      <w:r w:rsidR="002E0456">
        <w:rPr>
          <w:lang w:val="en-GB"/>
        </w:rPr>
        <w:t>.</w:t>
      </w:r>
      <w:r w:rsidR="00066622" w:rsidRPr="00BE35ED">
        <w:rPr>
          <w:lang w:val="en-GB"/>
        </w:rPr>
        <w:t xml:space="preserve"> </w:t>
      </w:r>
      <w:r w:rsidR="002E0456">
        <w:rPr>
          <w:lang w:val="en-GB"/>
        </w:rPr>
        <w:t>A</w:t>
      </w:r>
      <w:r w:rsidR="00066622" w:rsidRPr="00BE35ED">
        <w:rPr>
          <w:lang w:val="en-GB"/>
        </w:rPr>
        <w:t xml:space="preserve">ccording to </w:t>
      </w:r>
      <w:r w:rsidR="002E0456" w:rsidRPr="00BE35ED">
        <w:rPr>
          <w:lang w:val="en-GB"/>
        </w:rPr>
        <w:t>th</w:t>
      </w:r>
      <w:r w:rsidR="002E0456">
        <w:rPr>
          <w:lang w:val="en-GB"/>
        </w:rPr>
        <w:t>is</w:t>
      </w:r>
      <w:r w:rsidR="002E0456" w:rsidRPr="00BE35ED">
        <w:rPr>
          <w:lang w:val="en-GB"/>
        </w:rPr>
        <w:t xml:space="preserve"> </w:t>
      </w:r>
      <w:r w:rsidR="00066622" w:rsidRPr="00BE35ED">
        <w:rPr>
          <w:lang w:val="en-GB"/>
        </w:rPr>
        <w:t xml:space="preserve">proposition, a reader could call </w:t>
      </w:r>
      <w:r w:rsidR="007D786F">
        <w:rPr>
          <w:lang w:val="en-GB"/>
        </w:rPr>
        <w:t>a</w:t>
      </w:r>
      <w:r w:rsidR="007D786F" w:rsidRPr="00BE35ED">
        <w:rPr>
          <w:lang w:val="en-GB"/>
        </w:rPr>
        <w:t xml:space="preserve"> </w:t>
      </w:r>
      <w:r w:rsidR="00066622" w:rsidRPr="00BE35ED">
        <w:rPr>
          <w:lang w:val="en-GB"/>
        </w:rPr>
        <w:t xml:space="preserve">published number and place an order to take advantage of the </w:t>
      </w:r>
      <w:r w:rsidR="007D786F">
        <w:rPr>
          <w:lang w:val="en-GB"/>
        </w:rPr>
        <w:t xml:space="preserve">advertised, </w:t>
      </w:r>
      <w:r w:rsidR="00066622" w:rsidRPr="00BE35ED">
        <w:rPr>
          <w:lang w:val="en-GB"/>
        </w:rPr>
        <w:t>limited</w:t>
      </w:r>
      <w:r w:rsidR="0027247F">
        <w:rPr>
          <w:lang w:val="en-GB"/>
        </w:rPr>
        <w:t>-</w:t>
      </w:r>
      <w:r w:rsidR="00066622" w:rsidRPr="00BE35ED">
        <w:rPr>
          <w:lang w:val="en-GB"/>
        </w:rPr>
        <w:t xml:space="preserve">time discount offer. </w:t>
      </w:r>
      <w:r w:rsidR="00255759">
        <w:rPr>
          <w:lang w:val="en-GB"/>
        </w:rPr>
        <w:t xml:space="preserve">The </w:t>
      </w:r>
      <w:proofErr w:type="spellStart"/>
      <w:r w:rsidR="00D1334B">
        <w:rPr>
          <w:lang w:val="en-GB"/>
        </w:rPr>
        <w:t>ToI</w:t>
      </w:r>
      <w:proofErr w:type="spellEnd"/>
      <w:r w:rsidR="00D1334B">
        <w:rPr>
          <w:lang w:val="en-GB"/>
        </w:rPr>
        <w:t xml:space="preserve"> newspaper editions reached out to over 10 million readers across India and covered 16 </w:t>
      </w:r>
      <w:r w:rsidR="00827D68">
        <w:rPr>
          <w:lang w:val="en-GB"/>
        </w:rPr>
        <w:t>metros and sub-metros</w:t>
      </w:r>
      <w:r w:rsidR="007D786F">
        <w:rPr>
          <w:lang w:val="en-GB"/>
        </w:rPr>
        <w:t>;</w:t>
      </w:r>
      <w:r w:rsidR="00827D68">
        <w:rPr>
          <w:lang w:val="en-GB"/>
        </w:rPr>
        <w:t xml:space="preserve"> hence</w:t>
      </w:r>
      <w:r w:rsidR="007D786F">
        <w:rPr>
          <w:lang w:val="en-GB"/>
        </w:rPr>
        <w:t>,</w:t>
      </w:r>
      <w:r w:rsidR="00827D68">
        <w:rPr>
          <w:lang w:val="en-GB"/>
        </w:rPr>
        <w:t xml:space="preserve"> s</w:t>
      </w:r>
      <w:r w:rsidR="00066622" w:rsidRPr="00BE35ED">
        <w:rPr>
          <w:lang w:val="en-GB"/>
        </w:rPr>
        <w:t xml:space="preserve">everal growing and established brands across categories </w:t>
      </w:r>
      <w:r w:rsidR="00977793">
        <w:rPr>
          <w:lang w:val="en-GB"/>
        </w:rPr>
        <w:t>had taken</w:t>
      </w:r>
      <w:r w:rsidR="00066622" w:rsidRPr="00BE35ED">
        <w:rPr>
          <w:lang w:val="en-GB"/>
        </w:rPr>
        <w:t xml:space="preserve"> advantage of the Reader’s Offer</w:t>
      </w:r>
      <w:r w:rsidR="00066622" w:rsidRPr="00BE35ED">
        <w:rPr>
          <w:rStyle w:val="FootnoteReference"/>
          <w:lang w:val="en-GB"/>
        </w:rPr>
        <w:footnoteReference w:id="8"/>
      </w:r>
      <w:r w:rsidR="00066622" w:rsidRPr="00BE35ED">
        <w:rPr>
          <w:lang w:val="en-GB"/>
        </w:rPr>
        <w:t xml:space="preserve"> by announcing attractive daily prices </w:t>
      </w:r>
      <w:r w:rsidR="0027247F">
        <w:rPr>
          <w:lang w:val="en-GB"/>
        </w:rPr>
        <w:t>that</w:t>
      </w:r>
      <w:r w:rsidR="0027247F" w:rsidRPr="00BE35ED">
        <w:rPr>
          <w:lang w:val="en-GB"/>
        </w:rPr>
        <w:t xml:space="preserve"> </w:t>
      </w:r>
      <w:r w:rsidR="00066622" w:rsidRPr="00BE35ED">
        <w:rPr>
          <w:lang w:val="en-GB"/>
        </w:rPr>
        <w:t>cater</w:t>
      </w:r>
      <w:r w:rsidR="0027247F">
        <w:rPr>
          <w:lang w:val="en-GB"/>
        </w:rPr>
        <w:t>ed</w:t>
      </w:r>
      <w:r w:rsidR="00066622" w:rsidRPr="00BE35ED">
        <w:rPr>
          <w:lang w:val="en-GB"/>
        </w:rPr>
        <w:t xml:space="preserve"> to mass markets</w:t>
      </w:r>
      <w:r w:rsidR="00827D68">
        <w:rPr>
          <w:lang w:val="en-GB"/>
        </w:rPr>
        <w:t>.</w:t>
      </w:r>
      <w:r w:rsidR="00066622" w:rsidRPr="00BE35ED">
        <w:rPr>
          <w:lang w:val="en-GB"/>
        </w:rPr>
        <w:t xml:space="preserve"> </w:t>
      </w:r>
    </w:p>
    <w:p w14:paraId="5F000276" w14:textId="77777777" w:rsidR="008D437B" w:rsidRPr="00BE35ED" w:rsidRDefault="008D437B" w:rsidP="00066622">
      <w:pPr>
        <w:pStyle w:val="BodyTextMain"/>
        <w:rPr>
          <w:lang w:val="en-GB"/>
        </w:rPr>
      </w:pPr>
    </w:p>
    <w:p w14:paraId="0B296F06" w14:textId="79062479" w:rsidR="00066622" w:rsidRPr="00BE35ED" w:rsidRDefault="00066622" w:rsidP="00066622">
      <w:pPr>
        <w:pStyle w:val="BodyTextMain"/>
        <w:rPr>
          <w:lang w:val="en-GB"/>
        </w:rPr>
      </w:pPr>
      <w:r w:rsidRPr="00BE35ED">
        <w:rPr>
          <w:lang w:val="en-GB"/>
        </w:rPr>
        <w:t xml:space="preserve">In his new role as </w:t>
      </w:r>
      <w:r w:rsidR="0027247F">
        <w:rPr>
          <w:lang w:val="en-GB"/>
        </w:rPr>
        <w:t>m</w:t>
      </w:r>
      <w:r w:rsidR="0027247F" w:rsidRPr="00BE35ED">
        <w:rPr>
          <w:lang w:val="en-GB"/>
        </w:rPr>
        <w:t xml:space="preserve">anagement </w:t>
      </w:r>
      <w:r w:rsidR="0027247F">
        <w:rPr>
          <w:lang w:val="en-GB"/>
        </w:rPr>
        <w:t>e</w:t>
      </w:r>
      <w:r w:rsidR="0027247F" w:rsidRPr="00BE35ED">
        <w:rPr>
          <w:lang w:val="en-GB"/>
        </w:rPr>
        <w:t xml:space="preserve">xecutive </w:t>
      </w:r>
      <w:r w:rsidRPr="00BE35ED">
        <w:rPr>
          <w:lang w:val="en-GB"/>
        </w:rPr>
        <w:t xml:space="preserve">of the kitchen appliance category, </w:t>
      </w:r>
      <w:proofErr w:type="spellStart"/>
      <w:r w:rsidR="00DF23AA" w:rsidRPr="00BE35ED">
        <w:rPr>
          <w:spacing w:val="-2"/>
          <w:kern w:val="22"/>
          <w:lang w:val="en-GB"/>
        </w:rPr>
        <w:t>Kodakkadan</w:t>
      </w:r>
      <w:proofErr w:type="spellEnd"/>
      <w:r w:rsidR="00DF23AA">
        <w:rPr>
          <w:spacing w:val="-2"/>
          <w:kern w:val="22"/>
          <w:lang w:val="en-GB"/>
        </w:rPr>
        <w:t xml:space="preserve"> </w:t>
      </w:r>
      <w:r w:rsidRPr="00BE35ED">
        <w:rPr>
          <w:lang w:val="en-GB"/>
        </w:rPr>
        <w:t xml:space="preserve">had always </w:t>
      </w:r>
      <w:r w:rsidR="007B0906">
        <w:rPr>
          <w:lang w:val="en-GB"/>
        </w:rPr>
        <w:t>seen the appeal of</w:t>
      </w:r>
      <w:r w:rsidR="007B0906" w:rsidRPr="00BE35ED">
        <w:rPr>
          <w:lang w:val="en-GB"/>
        </w:rPr>
        <w:t xml:space="preserve"> </w:t>
      </w:r>
      <w:r w:rsidRPr="00BE35ED">
        <w:rPr>
          <w:lang w:val="en-GB"/>
        </w:rPr>
        <w:t>a mass</w:t>
      </w:r>
      <w:r w:rsidR="007D786F">
        <w:rPr>
          <w:lang w:val="en-GB"/>
        </w:rPr>
        <w:t>-</w:t>
      </w:r>
      <w:r w:rsidRPr="00BE35ED">
        <w:rPr>
          <w:lang w:val="en-GB"/>
        </w:rPr>
        <w:t xml:space="preserve">media campaign for some of the products he managed. Although </w:t>
      </w:r>
      <w:r w:rsidR="00255759">
        <w:rPr>
          <w:lang w:val="en-GB"/>
        </w:rPr>
        <w:t xml:space="preserve">the </w:t>
      </w:r>
      <w:proofErr w:type="spellStart"/>
      <w:r w:rsidRPr="00BE35ED">
        <w:rPr>
          <w:lang w:val="en-GB"/>
        </w:rPr>
        <w:t>ToI</w:t>
      </w:r>
      <w:proofErr w:type="spellEnd"/>
      <w:r w:rsidRPr="00BE35ED">
        <w:rPr>
          <w:lang w:val="en-GB"/>
        </w:rPr>
        <w:t xml:space="preserve"> had </w:t>
      </w:r>
      <w:r w:rsidR="0027247F">
        <w:rPr>
          <w:lang w:val="en-GB"/>
        </w:rPr>
        <w:t xml:space="preserve">a </w:t>
      </w:r>
      <w:r w:rsidRPr="00BE35ED">
        <w:rPr>
          <w:lang w:val="en-GB"/>
        </w:rPr>
        <w:t>very limited presence in Kerala, it was the most popular English</w:t>
      </w:r>
      <w:r w:rsidR="002E0456">
        <w:rPr>
          <w:lang w:val="en-GB"/>
        </w:rPr>
        <w:t>-language</w:t>
      </w:r>
      <w:r w:rsidRPr="00BE35ED">
        <w:rPr>
          <w:lang w:val="en-GB"/>
        </w:rPr>
        <w:t xml:space="preserve"> daily in the country </w:t>
      </w:r>
      <w:r w:rsidR="00255759">
        <w:rPr>
          <w:lang w:val="en-GB"/>
        </w:rPr>
        <w:t xml:space="preserve">in terms </w:t>
      </w:r>
      <w:r w:rsidRPr="00BE35ED">
        <w:rPr>
          <w:lang w:val="en-GB"/>
        </w:rPr>
        <w:t xml:space="preserve">of readership. It was backed by an established media house </w:t>
      </w:r>
      <w:r w:rsidR="0027247F">
        <w:rPr>
          <w:lang w:val="en-GB"/>
        </w:rPr>
        <w:t>that</w:t>
      </w:r>
      <w:r w:rsidR="0027247F" w:rsidRPr="00BE35ED">
        <w:rPr>
          <w:lang w:val="en-GB"/>
        </w:rPr>
        <w:t xml:space="preserve"> </w:t>
      </w:r>
      <w:r w:rsidRPr="00BE35ED">
        <w:rPr>
          <w:lang w:val="en-GB"/>
        </w:rPr>
        <w:t xml:space="preserve">had established its presence in every conceivable medium through which a brand </w:t>
      </w:r>
      <w:r w:rsidR="0027247F">
        <w:rPr>
          <w:lang w:val="en-GB"/>
        </w:rPr>
        <w:t>could</w:t>
      </w:r>
      <w:r w:rsidR="0027247F" w:rsidRPr="00BE35ED">
        <w:rPr>
          <w:lang w:val="en-GB"/>
        </w:rPr>
        <w:t xml:space="preserve"> </w:t>
      </w:r>
      <w:r w:rsidRPr="00BE35ED">
        <w:rPr>
          <w:lang w:val="en-GB"/>
        </w:rPr>
        <w:t xml:space="preserve">reach its audience, including television, magazines, online portals, and out-of-home platforms. An ad in </w:t>
      </w:r>
      <w:r w:rsidR="00255759">
        <w:rPr>
          <w:lang w:val="en-GB"/>
        </w:rPr>
        <w:t xml:space="preserve">the </w:t>
      </w:r>
      <w:proofErr w:type="spellStart"/>
      <w:r w:rsidRPr="00BE35ED">
        <w:rPr>
          <w:lang w:val="en-GB"/>
        </w:rPr>
        <w:t>ToI</w:t>
      </w:r>
      <w:proofErr w:type="spellEnd"/>
      <w:r w:rsidRPr="00BE35ED">
        <w:rPr>
          <w:lang w:val="en-GB"/>
        </w:rPr>
        <w:t xml:space="preserve"> would help expose </w:t>
      </w:r>
      <w:r w:rsidR="00943B2F">
        <w:rPr>
          <w:lang w:val="en-GB"/>
        </w:rPr>
        <w:t>a</w:t>
      </w:r>
      <w:r w:rsidR="00943B2F" w:rsidRPr="00BE35ED">
        <w:rPr>
          <w:lang w:val="en-GB"/>
        </w:rPr>
        <w:t xml:space="preserve"> </w:t>
      </w:r>
      <w:r w:rsidRPr="00BE35ED">
        <w:rPr>
          <w:lang w:val="en-GB"/>
        </w:rPr>
        <w:t xml:space="preserve">brand to </w:t>
      </w:r>
      <w:r w:rsidR="00DD3D2B">
        <w:rPr>
          <w:lang w:val="en-GB"/>
        </w:rPr>
        <w:t>many</w:t>
      </w:r>
      <w:r w:rsidR="00DD3D2B" w:rsidRPr="00BE35ED">
        <w:rPr>
          <w:lang w:val="en-GB"/>
        </w:rPr>
        <w:t xml:space="preserve"> </w:t>
      </w:r>
      <w:r w:rsidRPr="00BE35ED">
        <w:rPr>
          <w:lang w:val="en-GB"/>
        </w:rPr>
        <w:t>new and elite readers of the English</w:t>
      </w:r>
      <w:r w:rsidR="002E0456">
        <w:rPr>
          <w:lang w:val="en-GB"/>
        </w:rPr>
        <w:t>-language</w:t>
      </w:r>
      <w:r w:rsidRPr="00BE35ED">
        <w:rPr>
          <w:lang w:val="en-GB"/>
        </w:rPr>
        <w:t xml:space="preserve"> daily, but </w:t>
      </w:r>
      <w:proofErr w:type="spellStart"/>
      <w:r w:rsidR="00943B2F">
        <w:rPr>
          <w:lang w:val="en-GB"/>
        </w:rPr>
        <w:t>Kodakkadan</w:t>
      </w:r>
      <w:proofErr w:type="spellEnd"/>
      <w:r w:rsidR="00943B2F" w:rsidRPr="00BE35ED">
        <w:rPr>
          <w:lang w:val="en-GB"/>
        </w:rPr>
        <w:t xml:space="preserve"> </w:t>
      </w:r>
      <w:r w:rsidRPr="00BE35ED">
        <w:rPr>
          <w:lang w:val="en-GB"/>
        </w:rPr>
        <w:t xml:space="preserve">knew that advertising nationally at the </w:t>
      </w:r>
      <w:r w:rsidR="00255759">
        <w:rPr>
          <w:lang w:val="en-GB"/>
        </w:rPr>
        <w:t xml:space="preserve">standard </w:t>
      </w:r>
      <w:proofErr w:type="spellStart"/>
      <w:r w:rsidRPr="00BE35ED">
        <w:rPr>
          <w:lang w:val="en-GB"/>
        </w:rPr>
        <w:t>ToI</w:t>
      </w:r>
      <w:proofErr w:type="spellEnd"/>
      <w:r w:rsidRPr="00BE35ED">
        <w:rPr>
          <w:lang w:val="en-GB"/>
        </w:rPr>
        <w:t xml:space="preserve"> </w:t>
      </w:r>
      <w:r w:rsidR="00255759">
        <w:rPr>
          <w:lang w:val="en-GB"/>
        </w:rPr>
        <w:t xml:space="preserve">rate </w:t>
      </w:r>
      <w:r w:rsidRPr="00BE35ED">
        <w:rPr>
          <w:lang w:val="en-GB"/>
        </w:rPr>
        <w:t xml:space="preserve">was beyond his budget. Moreover, </w:t>
      </w:r>
      <w:r w:rsidR="00DD3D2B">
        <w:rPr>
          <w:lang w:val="en-GB"/>
        </w:rPr>
        <w:t xml:space="preserve">considering that </w:t>
      </w:r>
      <w:proofErr w:type="spellStart"/>
      <w:r w:rsidR="00DD3D2B">
        <w:rPr>
          <w:lang w:val="en-GB"/>
        </w:rPr>
        <w:t>Impex</w:t>
      </w:r>
      <w:proofErr w:type="spellEnd"/>
      <w:r w:rsidR="00DD3D2B">
        <w:rPr>
          <w:lang w:val="en-GB"/>
        </w:rPr>
        <w:t xml:space="preserve"> had</w:t>
      </w:r>
      <w:r w:rsidR="00DD3D2B" w:rsidRPr="00BE35ED">
        <w:rPr>
          <w:lang w:val="en-GB"/>
        </w:rPr>
        <w:t xml:space="preserve"> </w:t>
      </w:r>
      <w:r w:rsidRPr="00BE35ED">
        <w:rPr>
          <w:lang w:val="en-GB"/>
        </w:rPr>
        <w:t>almost no distribution of products outside Kerala, it did not seem like a wise move.</w:t>
      </w:r>
    </w:p>
    <w:p w14:paraId="4F950322" w14:textId="77777777" w:rsidR="00606A2A" w:rsidRPr="00BE35ED" w:rsidRDefault="00606A2A" w:rsidP="00066622">
      <w:pPr>
        <w:pStyle w:val="BodyTextMain"/>
        <w:rPr>
          <w:lang w:val="en-GB"/>
        </w:rPr>
      </w:pPr>
    </w:p>
    <w:p w14:paraId="22A613E8" w14:textId="73A2E409" w:rsidR="00066622" w:rsidRPr="00BE35ED" w:rsidRDefault="00066622" w:rsidP="00066622">
      <w:pPr>
        <w:pStyle w:val="BodyTextMain"/>
        <w:rPr>
          <w:spacing w:val="-2"/>
          <w:kern w:val="22"/>
          <w:lang w:val="en-GB"/>
        </w:rPr>
      </w:pPr>
      <w:r w:rsidRPr="00BE35ED">
        <w:rPr>
          <w:spacing w:val="-2"/>
          <w:kern w:val="22"/>
          <w:lang w:val="en-GB"/>
        </w:rPr>
        <w:t xml:space="preserve">However, the Reader’s Offer was worth considering. As part of the package, the </w:t>
      </w:r>
      <w:proofErr w:type="spellStart"/>
      <w:r w:rsidRPr="00BE35ED">
        <w:rPr>
          <w:spacing w:val="-2"/>
          <w:kern w:val="22"/>
          <w:lang w:val="en-GB"/>
        </w:rPr>
        <w:t>ToI</w:t>
      </w:r>
      <w:proofErr w:type="spellEnd"/>
      <w:r w:rsidRPr="00BE35ED">
        <w:rPr>
          <w:spacing w:val="-2"/>
          <w:kern w:val="22"/>
          <w:lang w:val="en-GB"/>
        </w:rPr>
        <w:t xml:space="preserve"> advertising department also offered an ad design service </w:t>
      </w:r>
      <w:r w:rsidR="00255759">
        <w:rPr>
          <w:spacing w:val="-2"/>
          <w:kern w:val="22"/>
          <w:lang w:val="en-GB"/>
        </w:rPr>
        <w:t>from</w:t>
      </w:r>
      <w:r w:rsidR="00255759" w:rsidRPr="00BE35ED">
        <w:rPr>
          <w:spacing w:val="-2"/>
          <w:kern w:val="22"/>
          <w:lang w:val="en-GB"/>
        </w:rPr>
        <w:t xml:space="preserve"> </w:t>
      </w:r>
      <w:r w:rsidR="00943B2F">
        <w:rPr>
          <w:spacing w:val="-2"/>
          <w:kern w:val="22"/>
          <w:lang w:val="en-GB"/>
        </w:rPr>
        <w:t>its</w:t>
      </w:r>
      <w:r w:rsidR="00943B2F" w:rsidRPr="00BE35ED">
        <w:rPr>
          <w:spacing w:val="-2"/>
          <w:kern w:val="22"/>
          <w:lang w:val="en-GB"/>
        </w:rPr>
        <w:t xml:space="preserve"> </w:t>
      </w:r>
      <w:r w:rsidRPr="00BE35ED">
        <w:rPr>
          <w:spacing w:val="-2"/>
          <w:kern w:val="22"/>
          <w:lang w:val="en-GB"/>
        </w:rPr>
        <w:t xml:space="preserve">in-house graphic designers based on creative input from </w:t>
      </w:r>
      <w:proofErr w:type="spellStart"/>
      <w:r w:rsidRPr="00BE35ED">
        <w:rPr>
          <w:spacing w:val="-2"/>
          <w:kern w:val="22"/>
          <w:lang w:val="en-GB"/>
        </w:rPr>
        <w:t>Impex</w:t>
      </w:r>
      <w:proofErr w:type="spellEnd"/>
      <w:r w:rsidRPr="00BE35ED">
        <w:rPr>
          <w:spacing w:val="-2"/>
          <w:kern w:val="22"/>
          <w:lang w:val="en-GB"/>
        </w:rPr>
        <w:t xml:space="preserve">. The entire campaign was also supported by the </w:t>
      </w:r>
      <w:proofErr w:type="spellStart"/>
      <w:r w:rsidR="00943B2F">
        <w:rPr>
          <w:spacing w:val="-2"/>
          <w:kern w:val="22"/>
          <w:lang w:val="en-GB"/>
        </w:rPr>
        <w:t>ToI’s</w:t>
      </w:r>
      <w:proofErr w:type="spellEnd"/>
      <w:r w:rsidR="00943B2F" w:rsidRPr="00BE35ED">
        <w:rPr>
          <w:spacing w:val="-2"/>
          <w:kern w:val="22"/>
          <w:lang w:val="en-GB"/>
        </w:rPr>
        <w:t xml:space="preserve"> </w:t>
      </w:r>
      <w:r w:rsidR="00943B2F">
        <w:rPr>
          <w:spacing w:val="-2"/>
          <w:kern w:val="22"/>
          <w:lang w:val="en-GB"/>
        </w:rPr>
        <w:t>short-message service (</w:t>
      </w:r>
      <w:r w:rsidRPr="00BE35ED">
        <w:rPr>
          <w:spacing w:val="-2"/>
          <w:kern w:val="22"/>
          <w:lang w:val="en-GB"/>
        </w:rPr>
        <w:t>SMS</w:t>
      </w:r>
      <w:r w:rsidR="00943B2F">
        <w:rPr>
          <w:spacing w:val="-2"/>
          <w:kern w:val="22"/>
          <w:lang w:val="en-GB"/>
        </w:rPr>
        <w:t>)</w:t>
      </w:r>
      <w:r w:rsidRPr="00BE35ED">
        <w:rPr>
          <w:spacing w:val="-2"/>
          <w:kern w:val="22"/>
          <w:lang w:val="en-GB"/>
        </w:rPr>
        <w:t xml:space="preserve"> and call </w:t>
      </w:r>
      <w:r w:rsidR="0027247F" w:rsidRPr="00BE35ED">
        <w:rPr>
          <w:spacing w:val="-2"/>
          <w:kern w:val="22"/>
          <w:lang w:val="en-GB"/>
        </w:rPr>
        <w:t>cent</w:t>
      </w:r>
      <w:r w:rsidR="0027247F">
        <w:rPr>
          <w:spacing w:val="-2"/>
          <w:kern w:val="22"/>
          <w:lang w:val="en-GB"/>
        </w:rPr>
        <w:t>re</w:t>
      </w:r>
      <w:r w:rsidR="0027247F" w:rsidRPr="00BE35ED">
        <w:rPr>
          <w:spacing w:val="-2"/>
          <w:kern w:val="22"/>
          <w:lang w:val="en-GB"/>
        </w:rPr>
        <w:t xml:space="preserve"> </w:t>
      </w:r>
      <w:r w:rsidRPr="00BE35ED">
        <w:rPr>
          <w:spacing w:val="-2"/>
          <w:kern w:val="22"/>
          <w:lang w:val="en-GB"/>
        </w:rPr>
        <w:t>infrastructure</w:t>
      </w:r>
      <w:r w:rsidR="0027247F">
        <w:rPr>
          <w:spacing w:val="-2"/>
          <w:kern w:val="22"/>
          <w:lang w:val="en-GB"/>
        </w:rPr>
        <w:t>,</w:t>
      </w:r>
      <w:r w:rsidRPr="00BE35ED">
        <w:rPr>
          <w:rStyle w:val="FootnoteReference"/>
          <w:spacing w:val="-2"/>
          <w:kern w:val="22"/>
          <w:lang w:val="en-GB"/>
        </w:rPr>
        <w:footnoteReference w:id="9"/>
      </w:r>
      <w:r w:rsidR="0027247F">
        <w:rPr>
          <w:spacing w:val="-2"/>
          <w:kern w:val="22"/>
          <w:lang w:val="en-GB"/>
        </w:rPr>
        <w:t xml:space="preserve"> </w:t>
      </w:r>
      <w:r w:rsidRPr="00BE35ED">
        <w:rPr>
          <w:spacing w:val="-2"/>
          <w:kern w:val="22"/>
          <w:lang w:val="en-GB"/>
        </w:rPr>
        <w:t xml:space="preserve">wherein no retail stocks </w:t>
      </w:r>
      <w:r w:rsidR="0027247F">
        <w:rPr>
          <w:spacing w:val="-2"/>
          <w:kern w:val="22"/>
          <w:lang w:val="en-GB"/>
        </w:rPr>
        <w:t>were</w:t>
      </w:r>
      <w:r w:rsidR="0027247F" w:rsidRPr="00BE35ED">
        <w:rPr>
          <w:spacing w:val="-2"/>
          <w:kern w:val="22"/>
          <w:lang w:val="en-GB"/>
        </w:rPr>
        <w:t xml:space="preserve"> </w:t>
      </w:r>
      <w:r w:rsidRPr="00BE35ED">
        <w:rPr>
          <w:spacing w:val="-2"/>
          <w:kern w:val="22"/>
          <w:lang w:val="en-GB"/>
        </w:rPr>
        <w:t xml:space="preserve">required in the markets where consumers </w:t>
      </w:r>
      <w:proofErr w:type="gramStart"/>
      <w:r w:rsidRPr="00BE35ED">
        <w:rPr>
          <w:spacing w:val="-2"/>
          <w:kern w:val="22"/>
          <w:lang w:val="en-GB"/>
        </w:rPr>
        <w:t>call</w:t>
      </w:r>
      <w:r w:rsidR="0027247F">
        <w:rPr>
          <w:spacing w:val="-2"/>
          <w:kern w:val="22"/>
          <w:lang w:val="en-GB"/>
        </w:rPr>
        <w:t>ed</w:t>
      </w:r>
      <w:r w:rsidRPr="00BE35ED">
        <w:rPr>
          <w:spacing w:val="-2"/>
          <w:kern w:val="22"/>
          <w:lang w:val="en-GB"/>
        </w:rPr>
        <w:t xml:space="preserve"> from.</w:t>
      </w:r>
      <w:proofErr w:type="gramEnd"/>
      <w:r w:rsidRPr="00BE35ED">
        <w:rPr>
          <w:spacing w:val="-2"/>
          <w:kern w:val="22"/>
          <w:lang w:val="en-GB"/>
        </w:rPr>
        <w:t xml:space="preserve"> </w:t>
      </w:r>
      <w:r w:rsidR="00255759">
        <w:rPr>
          <w:spacing w:val="-2"/>
          <w:kern w:val="22"/>
          <w:lang w:val="en-GB"/>
        </w:rPr>
        <w:t xml:space="preserve">The </w:t>
      </w:r>
      <w:proofErr w:type="spellStart"/>
      <w:r w:rsidRPr="00BE35ED">
        <w:rPr>
          <w:spacing w:val="-2"/>
          <w:kern w:val="22"/>
          <w:lang w:val="en-GB"/>
        </w:rPr>
        <w:t>ToI</w:t>
      </w:r>
      <w:proofErr w:type="spellEnd"/>
      <w:r w:rsidRPr="00BE35ED">
        <w:rPr>
          <w:spacing w:val="-2"/>
          <w:kern w:val="22"/>
          <w:lang w:val="en-GB"/>
        </w:rPr>
        <w:t>, in fact, offered complete back</w:t>
      </w:r>
      <w:r w:rsidR="007F2692">
        <w:rPr>
          <w:spacing w:val="-2"/>
          <w:kern w:val="22"/>
          <w:lang w:val="en-GB"/>
        </w:rPr>
        <w:t>-</w:t>
      </w:r>
      <w:r w:rsidRPr="00BE35ED">
        <w:rPr>
          <w:spacing w:val="-2"/>
          <w:kern w:val="22"/>
          <w:lang w:val="en-GB"/>
        </w:rPr>
        <w:t>end</w:t>
      </w:r>
      <w:r w:rsidR="00943B2F">
        <w:rPr>
          <w:spacing w:val="-2"/>
          <w:kern w:val="22"/>
          <w:lang w:val="en-GB"/>
        </w:rPr>
        <w:t xml:space="preserve"> services</w:t>
      </w:r>
      <w:r w:rsidRPr="00BE35ED">
        <w:rPr>
          <w:spacing w:val="-2"/>
          <w:kern w:val="22"/>
          <w:lang w:val="en-GB"/>
        </w:rPr>
        <w:t xml:space="preserve">, including logistics, support </w:t>
      </w:r>
      <w:r w:rsidR="00943B2F">
        <w:rPr>
          <w:spacing w:val="-2"/>
          <w:kern w:val="22"/>
          <w:lang w:val="en-GB"/>
        </w:rPr>
        <w:t>from</w:t>
      </w:r>
      <w:r w:rsidR="00943B2F" w:rsidRPr="00BE35ED">
        <w:rPr>
          <w:spacing w:val="-2"/>
          <w:kern w:val="22"/>
          <w:lang w:val="en-GB"/>
        </w:rPr>
        <w:t xml:space="preserve"> </w:t>
      </w:r>
      <w:r w:rsidRPr="00BE35ED">
        <w:rPr>
          <w:spacing w:val="-2"/>
          <w:kern w:val="22"/>
          <w:lang w:val="en-GB"/>
        </w:rPr>
        <w:t xml:space="preserve">the </w:t>
      </w:r>
      <w:proofErr w:type="spellStart"/>
      <w:r w:rsidR="00255759">
        <w:rPr>
          <w:spacing w:val="-2"/>
          <w:kern w:val="22"/>
          <w:lang w:val="en-GB"/>
        </w:rPr>
        <w:t>ToI</w:t>
      </w:r>
      <w:proofErr w:type="spellEnd"/>
      <w:r w:rsidR="00255759" w:rsidRPr="00BE35ED">
        <w:rPr>
          <w:spacing w:val="-2"/>
          <w:kern w:val="22"/>
          <w:lang w:val="en-GB"/>
        </w:rPr>
        <w:t xml:space="preserve"> </w:t>
      </w:r>
      <w:r w:rsidRPr="00BE35ED">
        <w:rPr>
          <w:spacing w:val="-2"/>
          <w:kern w:val="22"/>
          <w:lang w:val="en-GB"/>
        </w:rPr>
        <w:t xml:space="preserve">call </w:t>
      </w:r>
      <w:r w:rsidR="0027247F" w:rsidRPr="00BE35ED">
        <w:rPr>
          <w:spacing w:val="-2"/>
          <w:kern w:val="22"/>
          <w:lang w:val="en-GB"/>
        </w:rPr>
        <w:t>cent</w:t>
      </w:r>
      <w:r w:rsidR="0027247F">
        <w:rPr>
          <w:spacing w:val="-2"/>
          <w:kern w:val="22"/>
          <w:lang w:val="en-GB"/>
        </w:rPr>
        <w:t>re,</w:t>
      </w:r>
      <w:r w:rsidR="0027247F" w:rsidRPr="00BE35ED">
        <w:rPr>
          <w:spacing w:val="-2"/>
          <w:kern w:val="22"/>
          <w:lang w:val="en-GB"/>
        </w:rPr>
        <w:t xml:space="preserve"> </w:t>
      </w:r>
      <w:r w:rsidRPr="00BE35ED">
        <w:rPr>
          <w:spacing w:val="-2"/>
          <w:kern w:val="22"/>
          <w:lang w:val="en-GB"/>
        </w:rPr>
        <w:t>and the SMS short code 58888</w:t>
      </w:r>
      <w:r w:rsidR="00977793">
        <w:rPr>
          <w:spacing w:val="-2"/>
          <w:kern w:val="22"/>
          <w:lang w:val="en-GB"/>
        </w:rPr>
        <w:t xml:space="preserve">, where an order </w:t>
      </w:r>
      <w:proofErr w:type="gramStart"/>
      <w:r w:rsidR="00943B2F">
        <w:rPr>
          <w:spacing w:val="-2"/>
          <w:kern w:val="22"/>
          <w:lang w:val="en-GB"/>
        </w:rPr>
        <w:t>could be placed</w:t>
      </w:r>
      <w:proofErr w:type="gramEnd"/>
      <w:r w:rsidR="00943B2F">
        <w:rPr>
          <w:spacing w:val="-2"/>
          <w:kern w:val="22"/>
          <w:lang w:val="en-GB"/>
        </w:rPr>
        <w:t xml:space="preserve"> </w:t>
      </w:r>
      <w:r w:rsidR="00977793">
        <w:rPr>
          <w:spacing w:val="-2"/>
          <w:kern w:val="22"/>
          <w:lang w:val="en-GB"/>
        </w:rPr>
        <w:t>by sending an SMS text message</w:t>
      </w:r>
      <w:r w:rsidRPr="00BE35ED">
        <w:rPr>
          <w:spacing w:val="-2"/>
          <w:kern w:val="22"/>
          <w:lang w:val="en-GB"/>
        </w:rPr>
        <w:t xml:space="preserve">. More importantly, the rates were </w:t>
      </w:r>
      <w:r w:rsidR="007B0906">
        <w:rPr>
          <w:spacing w:val="-2"/>
          <w:kern w:val="22"/>
          <w:lang w:val="en-GB"/>
        </w:rPr>
        <w:t>significantly</w:t>
      </w:r>
      <w:r w:rsidR="007B0906" w:rsidRPr="00BE35ED">
        <w:rPr>
          <w:spacing w:val="-2"/>
          <w:kern w:val="22"/>
          <w:lang w:val="en-GB"/>
        </w:rPr>
        <w:t xml:space="preserve"> </w:t>
      </w:r>
      <w:r w:rsidRPr="00BE35ED">
        <w:rPr>
          <w:spacing w:val="-2"/>
          <w:kern w:val="22"/>
          <w:lang w:val="en-GB"/>
        </w:rPr>
        <w:t xml:space="preserve">lower than the card rate </w:t>
      </w:r>
      <w:r w:rsidR="00943B2F">
        <w:rPr>
          <w:spacing w:val="-2"/>
          <w:kern w:val="22"/>
          <w:lang w:val="en-GB"/>
        </w:rPr>
        <w:t>for</w:t>
      </w:r>
      <w:r w:rsidRPr="00BE35ED">
        <w:rPr>
          <w:spacing w:val="-2"/>
          <w:kern w:val="22"/>
          <w:lang w:val="en-GB"/>
        </w:rPr>
        <w:t xml:space="preserve"> regular display ads.</w:t>
      </w:r>
    </w:p>
    <w:p w14:paraId="58567BFA" w14:textId="77777777" w:rsidR="00606A2A" w:rsidRPr="00BE35ED" w:rsidRDefault="00606A2A" w:rsidP="00066622">
      <w:pPr>
        <w:pStyle w:val="BodyTextMain"/>
        <w:rPr>
          <w:lang w:val="en-GB"/>
        </w:rPr>
      </w:pPr>
    </w:p>
    <w:p w14:paraId="08DF17B7" w14:textId="1654D80A" w:rsidR="00066622" w:rsidRPr="00BE35ED" w:rsidRDefault="00066622" w:rsidP="00066622">
      <w:pPr>
        <w:pStyle w:val="BodyTextMain"/>
        <w:rPr>
          <w:lang w:val="en-GB"/>
        </w:rPr>
      </w:pPr>
      <w:r w:rsidRPr="00BE35ED">
        <w:rPr>
          <w:lang w:val="en-GB"/>
        </w:rPr>
        <w:t xml:space="preserve">The standard ad size available for </w:t>
      </w:r>
      <w:r w:rsidR="00943B2F">
        <w:rPr>
          <w:lang w:val="en-GB"/>
        </w:rPr>
        <w:t xml:space="preserve">a single insertion of </w:t>
      </w:r>
      <w:r w:rsidRPr="00BE35ED">
        <w:rPr>
          <w:lang w:val="en-GB"/>
        </w:rPr>
        <w:t xml:space="preserve">the Reader’s </w:t>
      </w:r>
      <w:r w:rsidR="0027247F" w:rsidRPr="00BE35ED">
        <w:rPr>
          <w:lang w:val="en-GB"/>
        </w:rPr>
        <w:t xml:space="preserve">Offer </w:t>
      </w:r>
      <w:r w:rsidRPr="00BE35ED">
        <w:rPr>
          <w:lang w:val="en-GB"/>
        </w:rPr>
        <w:t xml:space="preserve">was 240 </w:t>
      </w:r>
      <w:r w:rsidR="0027247F">
        <w:rPr>
          <w:lang w:val="en-GB"/>
        </w:rPr>
        <w:t xml:space="preserve">square </w:t>
      </w:r>
      <w:r w:rsidRPr="00BE35ED">
        <w:rPr>
          <w:lang w:val="en-GB"/>
        </w:rPr>
        <w:t>c</w:t>
      </w:r>
      <w:r w:rsidR="0027247F">
        <w:rPr>
          <w:lang w:val="en-GB"/>
        </w:rPr>
        <w:t>entimetres</w:t>
      </w:r>
      <w:r w:rsidRPr="00BE35ED">
        <w:rPr>
          <w:lang w:val="en-GB"/>
        </w:rPr>
        <w:t>. The typical response rates to such ads were 80</w:t>
      </w:r>
      <w:r w:rsidR="0069529B">
        <w:rPr>
          <w:lang w:val="en-GB"/>
        </w:rPr>
        <w:t xml:space="preserve"> </w:t>
      </w:r>
      <w:r w:rsidR="007964AA">
        <w:rPr>
          <w:lang w:val="en-GB"/>
        </w:rPr>
        <w:t>per cent</w:t>
      </w:r>
      <w:r w:rsidRPr="00BE35ED">
        <w:rPr>
          <w:lang w:val="en-GB"/>
        </w:rPr>
        <w:t>, 10</w:t>
      </w:r>
      <w:r w:rsidR="0069529B">
        <w:rPr>
          <w:lang w:val="en-GB"/>
        </w:rPr>
        <w:t xml:space="preserve"> </w:t>
      </w:r>
      <w:r w:rsidR="007964AA">
        <w:rPr>
          <w:lang w:val="en-GB"/>
        </w:rPr>
        <w:t>per cent</w:t>
      </w:r>
      <w:r w:rsidR="0027247F">
        <w:rPr>
          <w:lang w:val="en-GB"/>
        </w:rPr>
        <w:t>,</w:t>
      </w:r>
      <w:r w:rsidRPr="00BE35ED">
        <w:rPr>
          <w:lang w:val="en-GB"/>
        </w:rPr>
        <w:t xml:space="preserve"> and 10</w:t>
      </w:r>
      <w:r w:rsidR="0069529B">
        <w:rPr>
          <w:lang w:val="en-GB"/>
        </w:rPr>
        <w:t xml:space="preserve"> </w:t>
      </w:r>
      <w:r w:rsidR="007964AA">
        <w:rPr>
          <w:lang w:val="en-GB"/>
        </w:rPr>
        <w:t>per cent</w:t>
      </w:r>
      <w:r w:rsidRPr="00BE35ED">
        <w:rPr>
          <w:lang w:val="en-GB"/>
        </w:rPr>
        <w:t xml:space="preserve"> on day</w:t>
      </w:r>
      <w:r w:rsidR="0027247F">
        <w:rPr>
          <w:lang w:val="en-GB"/>
        </w:rPr>
        <w:t>s</w:t>
      </w:r>
      <w:r w:rsidRPr="00BE35ED">
        <w:rPr>
          <w:lang w:val="en-GB"/>
        </w:rPr>
        <w:t xml:space="preserve"> 1, 2</w:t>
      </w:r>
      <w:r w:rsidR="002E0456">
        <w:rPr>
          <w:lang w:val="en-GB"/>
        </w:rPr>
        <w:t>,</w:t>
      </w:r>
      <w:r w:rsidRPr="00BE35ED">
        <w:rPr>
          <w:lang w:val="en-GB"/>
        </w:rPr>
        <w:t xml:space="preserve"> and 3, </w:t>
      </w:r>
      <w:r w:rsidR="0027247F">
        <w:rPr>
          <w:lang w:val="en-GB"/>
        </w:rPr>
        <w:t>respectively</w:t>
      </w:r>
      <w:r w:rsidR="00943B2F">
        <w:rPr>
          <w:lang w:val="en-GB"/>
        </w:rPr>
        <w:t>;</w:t>
      </w:r>
      <w:r w:rsidRPr="00BE35ED">
        <w:rPr>
          <w:lang w:val="en-GB"/>
        </w:rPr>
        <w:t xml:space="preserve"> after day</w:t>
      </w:r>
      <w:r w:rsidR="0027247F">
        <w:rPr>
          <w:lang w:val="en-GB"/>
        </w:rPr>
        <w:t xml:space="preserve"> 3</w:t>
      </w:r>
      <w:r w:rsidRPr="00BE35ED">
        <w:rPr>
          <w:lang w:val="en-GB"/>
        </w:rPr>
        <w:t>, practically no response</w:t>
      </w:r>
      <w:r w:rsidR="00943B2F">
        <w:rPr>
          <w:lang w:val="en-GB"/>
        </w:rPr>
        <w:t xml:space="preserve"> was the norm</w:t>
      </w:r>
      <w:r w:rsidRPr="00BE35ED">
        <w:rPr>
          <w:lang w:val="en-GB"/>
        </w:rPr>
        <w:t xml:space="preserve">. The advertised </w:t>
      </w:r>
      <w:r w:rsidR="00943B2F">
        <w:rPr>
          <w:lang w:val="en-GB"/>
        </w:rPr>
        <w:t xml:space="preserve">offer </w:t>
      </w:r>
      <w:r w:rsidRPr="00BE35ED">
        <w:rPr>
          <w:lang w:val="en-GB"/>
        </w:rPr>
        <w:t xml:space="preserve">could </w:t>
      </w:r>
      <w:r w:rsidR="00943B2F">
        <w:rPr>
          <w:lang w:val="en-GB"/>
        </w:rPr>
        <w:t>be</w:t>
      </w:r>
      <w:r w:rsidR="00943B2F" w:rsidRPr="00BE35ED">
        <w:rPr>
          <w:lang w:val="en-GB"/>
        </w:rPr>
        <w:t xml:space="preserve"> </w:t>
      </w:r>
      <w:r w:rsidRPr="00BE35ED">
        <w:rPr>
          <w:lang w:val="en-GB"/>
        </w:rPr>
        <w:t xml:space="preserve">a daily discount, or the discount could be valid for </w:t>
      </w:r>
      <w:r w:rsidR="0027247F">
        <w:rPr>
          <w:lang w:val="en-GB"/>
        </w:rPr>
        <w:t>three</w:t>
      </w:r>
      <w:r w:rsidR="0027247F" w:rsidRPr="00BE35ED">
        <w:rPr>
          <w:lang w:val="en-GB"/>
        </w:rPr>
        <w:t xml:space="preserve"> </w:t>
      </w:r>
      <w:r w:rsidRPr="00BE35ED">
        <w:rPr>
          <w:lang w:val="en-GB"/>
        </w:rPr>
        <w:t xml:space="preserve">days, including the day the ad </w:t>
      </w:r>
      <w:r w:rsidR="0027247F" w:rsidRPr="00BE35ED">
        <w:rPr>
          <w:lang w:val="en-GB"/>
        </w:rPr>
        <w:t>appear</w:t>
      </w:r>
      <w:r w:rsidR="0027247F">
        <w:rPr>
          <w:lang w:val="en-GB"/>
        </w:rPr>
        <w:t>ed</w:t>
      </w:r>
      <w:r w:rsidRPr="00BE35ED">
        <w:rPr>
          <w:lang w:val="en-GB"/>
        </w:rPr>
        <w:t xml:space="preserve">. From past performance of similar ads, it </w:t>
      </w:r>
      <w:proofErr w:type="gramStart"/>
      <w:r w:rsidRPr="00BE35ED">
        <w:rPr>
          <w:lang w:val="en-GB"/>
        </w:rPr>
        <w:t>was suggested</w:t>
      </w:r>
      <w:proofErr w:type="gramEnd"/>
      <w:r w:rsidRPr="00BE35ED">
        <w:rPr>
          <w:lang w:val="en-GB"/>
        </w:rPr>
        <w:t xml:space="preserve"> that at least three ads were required to create the </w:t>
      </w:r>
      <w:r w:rsidR="00943B2F">
        <w:rPr>
          <w:lang w:val="en-GB"/>
        </w:rPr>
        <w:t>desired</w:t>
      </w:r>
      <w:r w:rsidR="00943B2F" w:rsidRPr="00BE35ED">
        <w:rPr>
          <w:lang w:val="en-GB"/>
        </w:rPr>
        <w:t xml:space="preserve"> </w:t>
      </w:r>
      <w:r w:rsidRPr="00BE35ED">
        <w:rPr>
          <w:lang w:val="en-GB"/>
        </w:rPr>
        <w:t xml:space="preserve">impact and response. </w:t>
      </w:r>
      <w:r w:rsidR="00255759">
        <w:rPr>
          <w:lang w:val="en-GB"/>
        </w:rPr>
        <w:t xml:space="preserve">The </w:t>
      </w:r>
      <w:proofErr w:type="spellStart"/>
      <w:r w:rsidR="00943B2F">
        <w:rPr>
          <w:lang w:val="en-GB"/>
        </w:rPr>
        <w:t>ToI</w:t>
      </w:r>
      <w:proofErr w:type="spellEnd"/>
      <w:r w:rsidR="00943B2F">
        <w:rPr>
          <w:lang w:val="en-GB"/>
        </w:rPr>
        <w:t xml:space="preserve"> provided t</w:t>
      </w:r>
      <w:r w:rsidRPr="00BE35ED">
        <w:rPr>
          <w:lang w:val="en-GB"/>
        </w:rPr>
        <w:t xml:space="preserve">he indicative sales figures for other products </w:t>
      </w:r>
      <w:r w:rsidR="0027247F">
        <w:rPr>
          <w:lang w:val="en-GB"/>
        </w:rPr>
        <w:t>that</w:t>
      </w:r>
      <w:r w:rsidR="0027247F" w:rsidRPr="00BE35ED">
        <w:rPr>
          <w:lang w:val="en-GB"/>
        </w:rPr>
        <w:t xml:space="preserve"> </w:t>
      </w:r>
      <w:proofErr w:type="gramStart"/>
      <w:r w:rsidRPr="00BE35ED">
        <w:rPr>
          <w:lang w:val="en-GB"/>
        </w:rPr>
        <w:t>were advertised</w:t>
      </w:r>
      <w:proofErr w:type="gramEnd"/>
      <w:r w:rsidRPr="00BE35ED">
        <w:rPr>
          <w:lang w:val="en-GB"/>
        </w:rPr>
        <w:t xml:space="preserve"> under </w:t>
      </w:r>
      <w:r w:rsidR="002E0456">
        <w:rPr>
          <w:lang w:val="en-GB"/>
        </w:rPr>
        <w:t xml:space="preserve">the </w:t>
      </w:r>
      <w:r w:rsidRPr="00BE35ED">
        <w:rPr>
          <w:lang w:val="en-GB"/>
        </w:rPr>
        <w:t xml:space="preserve">Reader’s </w:t>
      </w:r>
      <w:r w:rsidR="0027247F" w:rsidRPr="00BE35ED">
        <w:rPr>
          <w:lang w:val="en-GB"/>
        </w:rPr>
        <w:t xml:space="preserve">Offer </w:t>
      </w:r>
      <w:r w:rsidRPr="00BE35ED">
        <w:rPr>
          <w:lang w:val="en-GB"/>
        </w:rPr>
        <w:t xml:space="preserve">(see </w:t>
      </w:r>
      <w:r w:rsidRPr="0069529B">
        <w:rPr>
          <w:lang w:val="en-GB"/>
        </w:rPr>
        <w:t>Exhibit 4</w:t>
      </w:r>
      <w:r w:rsidRPr="00BE35ED">
        <w:rPr>
          <w:lang w:val="en-GB"/>
        </w:rPr>
        <w:t xml:space="preserve">). However, </w:t>
      </w:r>
      <w:proofErr w:type="spellStart"/>
      <w:r w:rsidR="00DF23AA" w:rsidRPr="00BE35ED">
        <w:rPr>
          <w:spacing w:val="-2"/>
          <w:kern w:val="22"/>
          <w:lang w:val="en-GB"/>
        </w:rPr>
        <w:t>Kodakkadan</w:t>
      </w:r>
      <w:proofErr w:type="spellEnd"/>
      <w:r w:rsidR="00DF23AA">
        <w:rPr>
          <w:spacing w:val="-2"/>
          <w:kern w:val="22"/>
          <w:lang w:val="en-GB"/>
        </w:rPr>
        <w:t xml:space="preserve"> </w:t>
      </w:r>
      <w:r w:rsidRPr="00BE35ED">
        <w:rPr>
          <w:lang w:val="en-GB"/>
        </w:rPr>
        <w:t xml:space="preserve">felt that the response to his ads </w:t>
      </w:r>
      <w:r w:rsidR="0027247F">
        <w:rPr>
          <w:lang w:val="en-GB"/>
        </w:rPr>
        <w:t>might</w:t>
      </w:r>
      <w:r w:rsidR="0027247F" w:rsidRPr="00BE35ED">
        <w:rPr>
          <w:lang w:val="en-GB"/>
        </w:rPr>
        <w:t xml:space="preserve"> </w:t>
      </w:r>
      <w:r w:rsidRPr="00BE35ED">
        <w:rPr>
          <w:lang w:val="en-GB"/>
        </w:rPr>
        <w:t>not be comparable to th</w:t>
      </w:r>
      <w:r w:rsidR="00905EF3">
        <w:rPr>
          <w:lang w:val="en-GB"/>
        </w:rPr>
        <w:t>o</w:t>
      </w:r>
      <w:r w:rsidRPr="00BE35ED">
        <w:rPr>
          <w:lang w:val="en-GB"/>
        </w:rPr>
        <w:t xml:space="preserve">se numbers and </w:t>
      </w:r>
      <w:r w:rsidR="006B633D">
        <w:rPr>
          <w:lang w:val="en-GB"/>
        </w:rPr>
        <w:t>that it would be fair to</w:t>
      </w:r>
      <w:r w:rsidRPr="00BE35ED">
        <w:rPr>
          <w:lang w:val="en-GB"/>
        </w:rPr>
        <w:t xml:space="preserve"> assume that </w:t>
      </w:r>
      <w:r w:rsidR="006B633D">
        <w:rPr>
          <w:lang w:val="en-GB"/>
        </w:rPr>
        <w:t xml:space="preserve">the </w:t>
      </w:r>
      <w:r w:rsidRPr="00BE35ED">
        <w:rPr>
          <w:lang w:val="en-GB"/>
        </w:rPr>
        <w:t xml:space="preserve">response </w:t>
      </w:r>
      <w:r w:rsidR="006B633D">
        <w:rPr>
          <w:lang w:val="en-GB"/>
        </w:rPr>
        <w:t xml:space="preserve">to </w:t>
      </w:r>
      <w:proofErr w:type="spellStart"/>
      <w:r w:rsidR="000662FE">
        <w:rPr>
          <w:lang w:val="en-GB"/>
        </w:rPr>
        <w:t>Impex</w:t>
      </w:r>
      <w:proofErr w:type="spellEnd"/>
      <w:r w:rsidR="000662FE">
        <w:rPr>
          <w:lang w:val="en-GB"/>
        </w:rPr>
        <w:t xml:space="preserve"> </w:t>
      </w:r>
      <w:r w:rsidR="006B633D">
        <w:rPr>
          <w:lang w:val="en-GB"/>
        </w:rPr>
        <w:t xml:space="preserve">ads </w:t>
      </w:r>
      <w:r w:rsidRPr="00BE35ED">
        <w:rPr>
          <w:lang w:val="en-GB"/>
        </w:rPr>
        <w:t xml:space="preserve">would </w:t>
      </w:r>
      <w:r w:rsidR="00905EF3">
        <w:rPr>
          <w:lang w:val="en-GB"/>
        </w:rPr>
        <w:t xml:space="preserve">be </w:t>
      </w:r>
      <w:r w:rsidR="000662FE">
        <w:rPr>
          <w:lang w:val="en-GB"/>
        </w:rPr>
        <w:lastRenderedPageBreak/>
        <w:t>approximately</w:t>
      </w:r>
      <w:r w:rsidR="000662FE" w:rsidRPr="00BE35ED">
        <w:rPr>
          <w:lang w:val="en-GB"/>
        </w:rPr>
        <w:t xml:space="preserve"> </w:t>
      </w:r>
      <w:r w:rsidRPr="00BE35ED">
        <w:rPr>
          <w:lang w:val="en-GB"/>
        </w:rPr>
        <w:t>40</w:t>
      </w:r>
      <w:r w:rsidR="0069529B">
        <w:rPr>
          <w:lang w:val="en-GB"/>
        </w:rPr>
        <w:t xml:space="preserve"> </w:t>
      </w:r>
      <w:r w:rsidR="007964AA">
        <w:rPr>
          <w:lang w:val="en-GB"/>
        </w:rPr>
        <w:t>per cent</w:t>
      </w:r>
      <w:r w:rsidRPr="00BE35ED">
        <w:rPr>
          <w:lang w:val="en-GB"/>
        </w:rPr>
        <w:t xml:space="preserve"> of the </w:t>
      </w:r>
      <w:r w:rsidR="006B633D">
        <w:rPr>
          <w:lang w:val="en-GB"/>
        </w:rPr>
        <w:t>figures</w:t>
      </w:r>
      <w:r w:rsidR="006B633D" w:rsidRPr="00BE35ED">
        <w:rPr>
          <w:lang w:val="en-GB"/>
        </w:rPr>
        <w:t xml:space="preserve"> </w:t>
      </w:r>
      <w:r w:rsidRPr="00BE35ED">
        <w:rPr>
          <w:lang w:val="en-GB"/>
        </w:rPr>
        <w:t xml:space="preserve">for the </w:t>
      </w:r>
      <w:r w:rsidR="000662FE">
        <w:rPr>
          <w:lang w:val="en-GB"/>
        </w:rPr>
        <w:t xml:space="preserve">respective </w:t>
      </w:r>
      <w:r w:rsidRPr="00BE35ED">
        <w:rPr>
          <w:lang w:val="en-GB"/>
        </w:rPr>
        <w:t xml:space="preserve">item </w:t>
      </w:r>
      <w:r w:rsidR="000662FE">
        <w:rPr>
          <w:lang w:val="en-GB"/>
        </w:rPr>
        <w:t>in the same</w:t>
      </w:r>
      <w:r w:rsidRPr="00BE35ED">
        <w:rPr>
          <w:lang w:val="en-GB"/>
        </w:rPr>
        <w:t xml:space="preserve"> price</w:t>
      </w:r>
      <w:r w:rsidR="000662FE">
        <w:rPr>
          <w:lang w:val="en-GB"/>
        </w:rPr>
        <w:t xml:space="preserve"> range</w:t>
      </w:r>
      <w:r w:rsidRPr="00BE35ED">
        <w:rPr>
          <w:lang w:val="en-GB"/>
        </w:rPr>
        <w:t xml:space="preserve">. In 2015, </w:t>
      </w:r>
      <w:r w:rsidR="00255759">
        <w:rPr>
          <w:lang w:val="en-GB"/>
        </w:rPr>
        <w:t xml:space="preserve">the </w:t>
      </w:r>
      <w:proofErr w:type="spellStart"/>
      <w:r w:rsidRPr="00BE35ED">
        <w:rPr>
          <w:lang w:val="en-GB"/>
        </w:rPr>
        <w:t>ToI</w:t>
      </w:r>
      <w:proofErr w:type="spellEnd"/>
      <w:r w:rsidRPr="00BE35ED">
        <w:rPr>
          <w:lang w:val="en-GB"/>
        </w:rPr>
        <w:t xml:space="preserve"> had 16 different editions: Delhi, Lucknow, Kanpur, Jaipur, and Chandigarh in North India; Ahmedabad, Mumbai, Nagpur, Pune, Goa, and Mangalore in West India; Kolkata in East India; and Bangalore, Chennai, Hyderabad, and Kochi</w:t>
      </w:r>
      <w:r w:rsidR="00977793">
        <w:rPr>
          <w:lang w:val="en-GB"/>
        </w:rPr>
        <w:t xml:space="preserve"> (</w:t>
      </w:r>
      <w:r w:rsidRPr="00BE35ED">
        <w:rPr>
          <w:lang w:val="en-GB"/>
        </w:rPr>
        <w:t>Kerala</w:t>
      </w:r>
      <w:r w:rsidR="00977793">
        <w:rPr>
          <w:lang w:val="en-GB"/>
        </w:rPr>
        <w:t>)</w:t>
      </w:r>
      <w:r w:rsidRPr="00BE35ED">
        <w:rPr>
          <w:lang w:val="en-GB"/>
        </w:rPr>
        <w:t xml:space="preserve"> in South India. Keeping in mind the current operations of </w:t>
      </w:r>
      <w:proofErr w:type="spellStart"/>
      <w:r w:rsidRPr="00BE35ED">
        <w:rPr>
          <w:lang w:val="en-GB"/>
        </w:rPr>
        <w:t>Impex</w:t>
      </w:r>
      <w:proofErr w:type="spellEnd"/>
      <w:r w:rsidRPr="00BE35ED">
        <w:rPr>
          <w:lang w:val="en-GB"/>
        </w:rPr>
        <w:t xml:space="preserve"> in South India, </w:t>
      </w:r>
      <w:r w:rsidR="00255759">
        <w:rPr>
          <w:lang w:val="en-GB"/>
        </w:rPr>
        <w:t xml:space="preserve">the </w:t>
      </w:r>
      <w:proofErr w:type="spellStart"/>
      <w:r w:rsidRPr="00BE35ED">
        <w:rPr>
          <w:lang w:val="en-GB"/>
        </w:rPr>
        <w:t>ToI</w:t>
      </w:r>
      <w:proofErr w:type="spellEnd"/>
      <w:r w:rsidRPr="00BE35ED">
        <w:rPr>
          <w:lang w:val="en-GB"/>
        </w:rPr>
        <w:t xml:space="preserve"> </w:t>
      </w:r>
      <w:r w:rsidR="00905EF3">
        <w:rPr>
          <w:lang w:val="en-GB"/>
        </w:rPr>
        <w:t xml:space="preserve">also </w:t>
      </w:r>
      <w:r w:rsidRPr="00BE35ED">
        <w:rPr>
          <w:lang w:val="en-GB"/>
        </w:rPr>
        <w:t xml:space="preserve">offered a special package for only the </w:t>
      </w:r>
      <w:r w:rsidR="007F2692">
        <w:rPr>
          <w:lang w:val="en-GB"/>
        </w:rPr>
        <w:t>S</w:t>
      </w:r>
      <w:r w:rsidRPr="00BE35ED">
        <w:rPr>
          <w:lang w:val="en-GB"/>
        </w:rPr>
        <w:t>outh Indian editions.</w:t>
      </w:r>
    </w:p>
    <w:p w14:paraId="719D7E8D" w14:textId="77777777" w:rsidR="00606A2A" w:rsidRPr="00BE35ED" w:rsidRDefault="00606A2A" w:rsidP="00066622">
      <w:pPr>
        <w:pStyle w:val="BodyTextMain"/>
        <w:rPr>
          <w:lang w:val="en-GB"/>
        </w:rPr>
      </w:pPr>
    </w:p>
    <w:p w14:paraId="0893D3DD" w14:textId="7F8CF3C8" w:rsidR="00606A2A" w:rsidRPr="00BE35ED" w:rsidRDefault="00255759" w:rsidP="00066622">
      <w:pPr>
        <w:pStyle w:val="BodyTextMain"/>
        <w:rPr>
          <w:lang w:val="en-GB"/>
        </w:rPr>
      </w:pPr>
      <w:r>
        <w:rPr>
          <w:lang w:val="en-GB"/>
        </w:rPr>
        <w:t xml:space="preserve">The </w:t>
      </w:r>
      <w:proofErr w:type="spellStart"/>
      <w:r w:rsidR="00066622" w:rsidRPr="00BE35ED">
        <w:rPr>
          <w:lang w:val="en-GB"/>
        </w:rPr>
        <w:t>ToI</w:t>
      </w:r>
      <w:proofErr w:type="spellEnd"/>
      <w:r w:rsidR="00066622" w:rsidRPr="00BE35ED">
        <w:rPr>
          <w:lang w:val="en-GB"/>
        </w:rPr>
        <w:t xml:space="preserve"> had also agreed to provide special rates to </w:t>
      </w:r>
      <w:proofErr w:type="spellStart"/>
      <w:r w:rsidR="00066622" w:rsidRPr="00BE35ED">
        <w:rPr>
          <w:lang w:val="en-GB"/>
        </w:rPr>
        <w:t>Impex</w:t>
      </w:r>
      <w:proofErr w:type="spellEnd"/>
      <w:r w:rsidR="00066622" w:rsidRPr="00BE35ED">
        <w:rPr>
          <w:lang w:val="en-GB"/>
        </w:rPr>
        <w:t>, provid</w:t>
      </w:r>
      <w:r w:rsidR="007F2692">
        <w:rPr>
          <w:lang w:val="en-GB"/>
        </w:rPr>
        <w:t>ed</w:t>
      </w:r>
      <w:r w:rsidR="00066622" w:rsidRPr="00BE35ED">
        <w:rPr>
          <w:lang w:val="en-GB"/>
        </w:rPr>
        <w:t xml:space="preserve"> </w:t>
      </w:r>
      <w:r w:rsidR="007C7B5B">
        <w:rPr>
          <w:lang w:val="en-GB"/>
        </w:rPr>
        <w:t>it</w:t>
      </w:r>
      <w:r w:rsidR="007C7B5B" w:rsidRPr="00BE35ED">
        <w:rPr>
          <w:lang w:val="en-GB"/>
        </w:rPr>
        <w:t xml:space="preserve"> </w:t>
      </w:r>
      <w:r w:rsidR="00066622" w:rsidRPr="00BE35ED">
        <w:rPr>
          <w:lang w:val="en-GB"/>
        </w:rPr>
        <w:t>purchase</w:t>
      </w:r>
      <w:r w:rsidR="00905EF3">
        <w:rPr>
          <w:lang w:val="en-GB"/>
        </w:rPr>
        <w:t>d</w:t>
      </w:r>
      <w:r w:rsidR="00066622" w:rsidRPr="00BE35ED">
        <w:rPr>
          <w:lang w:val="en-GB"/>
        </w:rPr>
        <w:t xml:space="preserve"> a minimum of three insertions and </w:t>
      </w:r>
      <w:r w:rsidR="00DD3D2B" w:rsidRPr="00BE35ED">
        <w:rPr>
          <w:lang w:val="en-GB"/>
        </w:rPr>
        <w:t>ke</w:t>
      </w:r>
      <w:r w:rsidR="00DD3D2B">
        <w:rPr>
          <w:lang w:val="en-GB"/>
        </w:rPr>
        <w:t>ep</w:t>
      </w:r>
      <w:r w:rsidR="00DD3D2B" w:rsidRPr="00BE35ED">
        <w:rPr>
          <w:lang w:val="en-GB"/>
        </w:rPr>
        <w:t xml:space="preserve"> </w:t>
      </w:r>
      <w:r w:rsidR="00066622" w:rsidRPr="00BE35ED">
        <w:rPr>
          <w:lang w:val="en-GB"/>
        </w:rPr>
        <w:t xml:space="preserve">future relationship opportunities open. The rates given </w:t>
      </w:r>
      <w:proofErr w:type="gramStart"/>
      <w:r w:rsidR="00066622" w:rsidRPr="00BE35ED">
        <w:rPr>
          <w:lang w:val="en-GB"/>
        </w:rPr>
        <w:t>were heavily discounted</w:t>
      </w:r>
      <w:proofErr w:type="gramEnd"/>
      <w:r w:rsidR="00066622" w:rsidRPr="00BE35ED">
        <w:rPr>
          <w:lang w:val="en-GB"/>
        </w:rPr>
        <w:t xml:space="preserve"> from the actual card rates (see </w:t>
      </w:r>
      <w:r w:rsidR="00066622" w:rsidRPr="0069529B">
        <w:rPr>
          <w:lang w:val="en-GB"/>
        </w:rPr>
        <w:t>Exhibit 5</w:t>
      </w:r>
      <w:r w:rsidR="00066622" w:rsidRPr="00BE35ED">
        <w:rPr>
          <w:lang w:val="en-GB"/>
        </w:rPr>
        <w:t>).</w:t>
      </w:r>
      <w:r w:rsidR="008D437B">
        <w:rPr>
          <w:lang w:val="en-GB"/>
        </w:rPr>
        <w:t xml:space="preserve"> </w:t>
      </w:r>
    </w:p>
    <w:p w14:paraId="2A337937" w14:textId="77777777" w:rsidR="00606A2A" w:rsidRPr="00BE35ED" w:rsidRDefault="00606A2A" w:rsidP="00066622">
      <w:pPr>
        <w:pStyle w:val="BodyTextMain"/>
        <w:rPr>
          <w:lang w:val="en-GB"/>
        </w:rPr>
      </w:pPr>
    </w:p>
    <w:p w14:paraId="13BDED3E" w14:textId="16360BDE" w:rsidR="00066622" w:rsidRPr="00BE35ED" w:rsidRDefault="00905EF3" w:rsidP="00066622">
      <w:pPr>
        <w:pStyle w:val="BodyTextMain"/>
        <w:rPr>
          <w:bCs/>
          <w:lang w:val="en-GB"/>
        </w:rPr>
      </w:pPr>
      <w:proofErr w:type="spellStart"/>
      <w:r>
        <w:rPr>
          <w:spacing w:val="-2"/>
          <w:kern w:val="22"/>
          <w:lang w:val="en-GB"/>
        </w:rPr>
        <w:t>Kodakkadan</w:t>
      </w:r>
      <w:proofErr w:type="spellEnd"/>
      <w:r>
        <w:rPr>
          <w:spacing w:val="-2"/>
          <w:kern w:val="22"/>
          <w:lang w:val="en-GB"/>
        </w:rPr>
        <w:t xml:space="preserve"> had examined how the Reader’s Offer worked operationally. He </w:t>
      </w:r>
      <w:r w:rsidR="00066622" w:rsidRPr="00BE35ED">
        <w:rPr>
          <w:bCs/>
          <w:lang w:val="en-GB"/>
        </w:rPr>
        <w:t xml:space="preserve">knew that should </w:t>
      </w:r>
      <w:proofErr w:type="spellStart"/>
      <w:r w:rsidR="00066622" w:rsidRPr="00BE35ED">
        <w:rPr>
          <w:bCs/>
          <w:lang w:val="en-GB"/>
        </w:rPr>
        <w:t>Impex</w:t>
      </w:r>
      <w:proofErr w:type="spellEnd"/>
      <w:r w:rsidR="00066622" w:rsidRPr="00BE35ED">
        <w:rPr>
          <w:bCs/>
          <w:lang w:val="en-GB"/>
        </w:rPr>
        <w:t xml:space="preserve"> opt for this offer, </w:t>
      </w:r>
      <w:r w:rsidR="00784BC2">
        <w:rPr>
          <w:bCs/>
          <w:lang w:val="en-GB"/>
        </w:rPr>
        <w:t>it</w:t>
      </w:r>
      <w:r w:rsidR="00784BC2" w:rsidRPr="00BE35ED">
        <w:rPr>
          <w:bCs/>
          <w:lang w:val="en-GB"/>
        </w:rPr>
        <w:t xml:space="preserve"> </w:t>
      </w:r>
      <w:r w:rsidR="00066622" w:rsidRPr="00BE35ED">
        <w:rPr>
          <w:bCs/>
          <w:lang w:val="en-GB"/>
        </w:rPr>
        <w:t>needed to sign an agreement with</w:t>
      </w:r>
      <w:r w:rsidR="00EC471C">
        <w:rPr>
          <w:bCs/>
          <w:lang w:val="en-GB"/>
        </w:rPr>
        <w:t xml:space="preserve"> the</w:t>
      </w:r>
      <w:r w:rsidR="00066622" w:rsidRPr="00BE35ED">
        <w:rPr>
          <w:bCs/>
          <w:lang w:val="en-GB"/>
        </w:rPr>
        <w:t xml:space="preserve"> </w:t>
      </w:r>
      <w:proofErr w:type="spellStart"/>
      <w:r w:rsidR="00066622" w:rsidRPr="00BE35ED">
        <w:rPr>
          <w:bCs/>
          <w:lang w:val="en-GB"/>
        </w:rPr>
        <w:t>ToI</w:t>
      </w:r>
      <w:proofErr w:type="spellEnd"/>
      <w:r w:rsidR="00066622" w:rsidRPr="00BE35ED">
        <w:rPr>
          <w:bCs/>
          <w:lang w:val="en-GB"/>
        </w:rPr>
        <w:t xml:space="preserve">. He had familiarized himself with the mechanics and the process. The entire process under the </w:t>
      </w:r>
      <w:proofErr w:type="spellStart"/>
      <w:r w:rsidR="00066622" w:rsidRPr="00BE35ED">
        <w:rPr>
          <w:bCs/>
          <w:lang w:val="en-GB"/>
        </w:rPr>
        <w:t>T</w:t>
      </w:r>
      <w:r w:rsidR="007F2692">
        <w:rPr>
          <w:bCs/>
          <w:lang w:val="en-GB"/>
        </w:rPr>
        <w:t>o</w:t>
      </w:r>
      <w:r w:rsidR="00066622" w:rsidRPr="00BE35ED">
        <w:rPr>
          <w:bCs/>
          <w:lang w:val="en-GB"/>
        </w:rPr>
        <w:t>I</w:t>
      </w:r>
      <w:proofErr w:type="spellEnd"/>
      <w:r w:rsidR="00066622" w:rsidRPr="00BE35ED">
        <w:rPr>
          <w:bCs/>
          <w:lang w:val="en-GB"/>
        </w:rPr>
        <w:t xml:space="preserve"> Reader’s Offer comprised </w:t>
      </w:r>
      <w:r>
        <w:rPr>
          <w:bCs/>
          <w:lang w:val="en-GB"/>
        </w:rPr>
        <w:t xml:space="preserve">both </w:t>
      </w:r>
      <w:r w:rsidR="00066622" w:rsidRPr="00BE35ED">
        <w:rPr>
          <w:bCs/>
          <w:lang w:val="en-GB"/>
        </w:rPr>
        <w:t xml:space="preserve">front-end </w:t>
      </w:r>
      <w:r>
        <w:rPr>
          <w:bCs/>
          <w:lang w:val="en-GB"/>
        </w:rPr>
        <w:t xml:space="preserve">operations </w:t>
      </w:r>
      <w:r w:rsidR="00066622" w:rsidRPr="00BE35ED">
        <w:rPr>
          <w:bCs/>
          <w:lang w:val="en-GB"/>
        </w:rPr>
        <w:t xml:space="preserve">(pre-order and customer interface) and back-end </w:t>
      </w:r>
      <w:r>
        <w:rPr>
          <w:bCs/>
          <w:lang w:val="en-GB"/>
        </w:rPr>
        <w:t xml:space="preserve">operations </w:t>
      </w:r>
      <w:r w:rsidR="00066622" w:rsidRPr="00BE35ED">
        <w:rPr>
          <w:bCs/>
          <w:lang w:val="en-GB"/>
        </w:rPr>
        <w:t>(post</w:t>
      </w:r>
      <w:r w:rsidR="007F2692">
        <w:rPr>
          <w:bCs/>
          <w:lang w:val="en-GB"/>
        </w:rPr>
        <w:t>-</w:t>
      </w:r>
      <w:r w:rsidR="00066622" w:rsidRPr="00BE35ED">
        <w:rPr>
          <w:bCs/>
          <w:lang w:val="en-GB"/>
        </w:rPr>
        <w:t>order and vendor/merchant interface).</w:t>
      </w:r>
    </w:p>
    <w:p w14:paraId="78430C78" w14:textId="77777777" w:rsidR="00606A2A" w:rsidRPr="00BE35ED" w:rsidRDefault="00606A2A" w:rsidP="00066622">
      <w:pPr>
        <w:pStyle w:val="BodyTextMain"/>
        <w:rPr>
          <w:bCs/>
          <w:lang w:val="en-GB"/>
        </w:rPr>
      </w:pPr>
    </w:p>
    <w:p w14:paraId="3F424ED8" w14:textId="3017AEE8" w:rsidR="00066622" w:rsidRPr="00BE35ED" w:rsidRDefault="00066622" w:rsidP="00066622">
      <w:pPr>
        <w:pStyle w:val="BodyTextMain"/>
        <w:rPr>
          <w:bCs/>
          <w:lang w:val="en-GB"/>
        </w:rPr>
      </w:pPr>
      <w:r w:rsidRPr="00BE35ED">
        <w:rPr>
          <w:bCs/>
          <w:lang w:val="en-GB"/>
        </w:rPr>
        <w:t xml:space="preserve">The front-end process started </w:t>
      </w:r>
      <w:r w:rsidR="00905EF3">
        <w:rPr>
          <w:bCs/>
          <w:lang w:val="en-GB"/>
        </w:rPr>
        <w:t>by</w:t>
      </w:r>
      <w:r w:rsidR="00905EF3" w:rsidRPr="00BE35ED">
        <w:rPr>
          <w:bCs/>
          <w:lang w:val="en-GB"/>
        </w:rPr>
        <w:t xml:space="preserve"> </w:t>
      </w:r>
      <w:r w:rsidRPr="00BE35ED">
        <w:rPr>
          <w:bCs/>
          <w:lang w:val="en-GB"/>
        </w:rPr>
        <w:t xml:space="preserve">deciding on the products that </w:t>
      </w:r>
      <w:proofErr w:type="gramStart"/>
      <w:r w:rsidRPr="00BE35ED">
        <w:rPr>
          <w:bCs/>
          <w:lang w:val="en-GB"/>
        </w:rPr>
        <w:t>would be promoted</w:t>
      </w:r>
      <w:proofErr w:type="gramEnd"/>
      <w:r w:rsidRPr="00BE35ED">
        <w:rPr>
          <w:bCs/>
          <w:lang w:val="en-GB"/>
        </w:rPr>
        <w:t xml:space="preserve"> through the offer. The next step </w:t>
      </w:r>
      <w:r w:rsidR="00905EF3">
        <w:rPr>
          <w:bCs/>
          <w:lang w:val="en-GB"/>
        </w:rPr>
        <w:t>was</w:t>
      </w:r>
      <w:r w:rsidRPr="00BE35ED">
        <w:rPr>
          <w:bCs/>
          <w:lang w:val="en-GB"/>
        </w:rPr>
        <w:t xml:space="preserve"> the development of the creative</w:t>
      </w:r>
      <w:r w:rsidR="00977793">
        <w:rPr>
          <w:bCs/>
          <w:lang w:val="en-GB"/>
        </w:rPr>
        <w:t xml:space="preserve"> (the newspaper </w:t>
      </w:r>
      <w:r w:rsidR="00905EF3">
        <w:rPr>
          <w:bCs/>
          <w:lang w:val="en-GB"/>
        </w:rPr>
        <w:t xml:space="preserve">ad </w:t>
      </w:r>
      <w:r w:rsidR="0022203B">
        <w:rPr>
          <w:bCs/>
          <w:lang w:val="en-GB"/>
        </w:rPr>
        <w:t>design</w:t>
      </w:r>
      <w:r w:rsidR="00977793">
        <w:rPr>
          <w:bCs/>
          <w:lang w:val="en-GB"/>
        </w:rPr>
        <w:t>)</w:t>
      </w:r>
      <w:r w:rsidRPr="00BE35ED">
        <w:rPr>
          <w:bCs/>
          <w:lang w:val="en-GB"/>
        </w:rPr>
        <w:t xml:space="preserve">, which would be undertaken by </w:t>
      </w:r>
      <w:r w:rsidR="00EC471C">
        <w:rPr>
          <w:bCs/>
          <w:lang w:val="en-GB"/>
        </w:rPr>
        <w:t xml:space="preserve">the </w:t>
      </w:r>
      <w:proofErr w:type="spellStart"/>
      <w:r w:rsidR="007F2692" w:rsidRPr="00BE35ED">
        <w:rPr>
          <w:bCs/>
          <w:lang w:val="en-GB"/>
        </w:rPr>
        <w:t>T</w:t>
      </w:r>
      <w:r w:rsidR="007F2692">
        <w:rPr>
          <w:bCs/>
          <w:lang w:val="en-GB"/>
        </w:rPr>
        <w:t>o</w:t>
      </w:r>
      <w:r w:rsidR="007F2692" w:rsidRPr="00BE35ED">
        <w:rPr>
          <w:bCs/>
          <w:lang w:val="en-GB"/>
        </w:rPr>
        <w:t>I</w:t>
      </w:r>
      <w:proofErr w:type="spellEnd"/>
      <w:r w:rsidR="007F2692" w:rsidRPr="00BE35ED">
        <w:rPr>
          <w:bCs/>
          <w:lang w:val="en-GB"/>
        </w:rPr>
        <w:t xml:space="preserve"> </w:t>
      </w:r>
      <w:r w:rsidRPr="00BE35ED">
        <w:rPr>
          <w:bCs/>
          <w:lang w:val="en-GB"/>
        </w:rPr>
        <w:t xml:space="preserve">and would receive the approval of </w:t>
      </w:r>
      <w:proofErr w:type="spellStart"/>
      <w:r w:rsidRPr="00BE35ED">
        <w:rPr>
          <w:bCs/>
          <w:lang w:val="en-GB"/>
        </w:rPr>
        <w:t>Impex</w:t>
      </w:r>
      <w:proofErr w:type="spellEnd"/>
      <w:r w:rsidRPr="00BE35ED">
        <w:rPr>
          <w:bCs/>
          <w:lang w:val="en-GB"/>
        </w:rPr>
        <w:t xml:space="preserve"> before the ad was released. The calls </w:t>
      </w:r>
      <w:r w:rsidR="00905EF3">
        <w:rPr>
          <w:bCs/>
          <w:lang w:val="en-GB"/>
        </w:rPr>
        <w:t>in</w:t>
      </w:r>
      <w:r w:rsidRPr="00BE35ED">
        <w:rPr>
          <w:bCs/>
          <w:lang w:val="en-GB"/>
        </w:rPr>
        <w:t xml:space="preserve"> response to the offer </w:t>
      </w:r>
      <w:proofErr w:type="gramStart"/>
      <w:r w:rsidRPr="00BE35ED">
        <w:rPr>
          <w:bCs/>
          <w:lang w:val="en-GB"/>
        </w:rPr>
        <w:t>would be handled</w:t>
      </w:r>
      <w:proofErr w:type="gramEnd"/>
      <w:r w:rsidRPr="00BE35ED">
        <w:rPr>
          <w:bCs/>
          <w:lang w:val="en-GB"/>
        </w:rPr>
        <w:t xml:space="preserve"> by the </w:t>
      </w:r>
      <w:proofErr w:type="spellStart"/>
      <w:r w:rsidR="00905EF3">
        <w:rPr>
          <w:bCs/>
          <w:lang w:val="en-GB"/>
        </w:rPr>
        <w:t>ToI’s</w:t>
      </w:r>
      <w:proofErr w:type="spellEnd"/>
      <w:r w:rsidR="00905EF3" w:rsidRPr="00BE35ED">
        <w:rPr>
          <w:bCs/>
          <w:lang w:val="en-GB"/>
        </w:rPr>
        <w:t xml:space="preserve"> </w:t>
      </w:r>
      <w:r w:rsidRPr="00BE35ED">
        <w:rPr>
          <w:bCs/>
          <w:lang w:val="en-GB"/>
        </w:rPr>
        <w:t xml:space="preserve">call </w:t>
      </w:r>
      <w:r w:rsidR="00784BC2" w:rsidRPr="00BE35ED">
        <w:rPr>
          <w:bCs/>
          <w:lang w:val="en-GB"/>
        </w:rPr>
        <w:t>cent</w:t>
      </w:r>
      <w:r w:rsidR="00784BC2">
        <w:rPr>
          <w:bCs/>
          <w:lang w:val="en-GB"/>
        </w:rPr>
        <w:t>re</w:t>
      </w:r>
      <w:r w:rsidR="00905EF3">
        <w:rPr>
          <w:bCs/>
          <w:lang w:val="en-GB"/>
        </w:rPr>
        <w:t>, which</w:t>
      </w:r>
      <w:r w:rsidR="00784BC2" w:rsidRPr="00BE35ED">
        <w:rPr>
          <w:bCs/>
          <w:lang w:val="en-GB"/>
        </w:rPr>
        <w:t xml:space="preserve"> </w:t>
      </w:r>
      <w:r w:rsidRPr="00BE35ED">
        <w:rPr>
          <w:bCs/>
          <w:lang w:val="en-GB"/>
        </w:rPr>
        <w:t xml:space="preserve">would verify </w:t>
      </w:r>
      <w:r w:rsidR="00687440" w:rsidRPr="00BE35ED">
        <w:rPr>
          <w:bCs/>
          <w:lang w:val="en-GB"/>
        </w:rPr>
        <w:t>customer</w:t>
      </w:r>
      <w:r w:rsidR="00687440">
        <w:rPr>
          <w:bCs/>
          <w:lang w:val="en-GB"/>
        </w:rPr>
        <w:t>s’</w:t>
      </w:r>
      <w:r w:rsidR="00687440" w:rsidRPr="00BE35ED">
        <w:rPr>
          <w:bCs/>
          <w:lang w:val="en-GB"/>
        </w:rPr>
        <w:t xml:space="preserve"> </w:t>
      </w:r>
      <w:r w:rsidRPr="00BE35ED">
        <w:rPr>
          <w:bCs/>
          <w:lang w:val="en-GB"/>
        </w:rPr>
        <w:t>shipping address details. Customers typically placed the</w:t>
      </w:r>
      <w:r w:rsidR="007F2692">
        <w:rPr>
          <w:bCs/>
          <w:lang w:val="en-GB"/>
        </w:rPr>
        <w:t>ir</w:t>
      </w:r>
      <w:r w:rsidRPr="00BE35ED">
        <w:rPr>
          <w:bCs/>
          <w:lang w:val="en-GB"/>
        </w:rPr>
        <w:t xml:space="preserve"> order after confirming the</w:t>
      </w:r>
      <w:r w:rsidR="00905EF3">
        <w:rPr>
          <w:bCs/>
          <w:lang w:val="en-GB"/>
        </w:rPr>
        <w:t>ir</w:t>
      </w:r>
      <w:r w:rsidRPr="00BE35ED">
        <w:rPr>
          <w:bCs/>
          <w:lang w:val="en-GB"/>
        </w:rPr>
        <w:t xml:space="preserve"> payment option </w:t>
      </w:r>
      <w:r w:rsidR="00905EF3">
        <w:rPr>
          <w:bCs/>
          <w:lang w:val="en-GB"/>
        </w:rPr>
        <w:t>with</w:t>
      </w:r>
      <w:r w:rsidR="00905EF3" w:rsidRPr="00BE35ED">
        <w:rPr>
          <w:bCs/>
          <w:lang w:val="en-GB"/>
        </w:rPr>
        <w:t xml:space="preserve"> </w:t>
      </w:r>
      <w:r w:rsidRPr="00BE35ED">
        <w:rPr>
          <w:bCs/>
          <w:lang w:val="en-GB"/>
        </w:rPr>
        <w:t>the tele</w:t>
      </w:r>
      <w:r w:rsidR="007F2692">
        <w:rPr>
          <w:bCs/>
          <w:lang w:val="en-GB"/>
        </w:rPr>
        <w:t>phone</w:t>
      </w:r>
      <w:r w:rsidRPr="00BE35ED">
        <w:rPr>
          <w:bCs/>
          <w:lang w:val="en-GB"/>
        </w:rPr>
        <w:t xml:space="preserve"> rep</w:t>
      </w:r>
      <w:r w:rsidR="007F2692">
        <w:rPr>
          <w:bCs/>
          <w:lang w:val="en-GB"/>
        </w:rPr>
        <w:t>resentative</w:t>
      </w:r>
      <w:r w:rsidR="00905EF3">
        <w:rPr>
          <w:bCs/>
          <w:lang w:val="en-GB"/>
        </w:rPr>
        <w:t>:</w:t>
      </w:r>
      <w:r w:rsidRPr="00BE35ED">
        <w:rPr>
          <w:bCs/>
          <w:lang w:val="en-GB"/>
        </w:rPr>
        <w:t xml:space="preserve"> cash on delivery, cheque pick-up</w:t>
      </w:r>
      <w:r w:rsidR="00784BC2">
        <w:rPr>
          <w:bCs/>
          <w:lang w:val="en-GB"/>
        </w:rPr>
        <w:t>,</w:t>
      </w:r>
      <w:r w:rsidRPr="00BE35ED">
        <w:rPr>
          <w:bCs/>
          <w:lang w:val="en-GB"/>
        </w:rPr>
        <w:t xml:space="preserve"> </w:t>
      </w:r>
      <w:r w:rsidR="00905EF3">
        <w:rPr>
          <w:bCs/>
          <w:lang w:val="en-GB"/>
        </w:rPr>
        <w:t>or</w:t>
      </w:r>
      <w:r w:rsidR="00905EF3" w:rsidRPr="00BE35ED">
        <w:rPr>
          <w:bCs/>
          <w:lang w:val="en-GB"/>
        </w:rPr>
        <w:t xml:space="preserve"> </w:t>
      </w:r>
      <w:r w:rsidRPr="00BE35ED">
        <w:rPr>
          <w:bCs/>
          <w:lang w:val="en-GB"/>
        </w:rPr>
        <w:t>credit</w:t>
      </w:r>
      <w:r w:rsidR="00905EF3">
        <w:rPr>
          <w:bCs/>
          <w:lang w:val="en-GB"/>
        </w:rPr>
        <w:t>-</w:t>
      </w:r>
      <w:r w:rsidRPr="00BE35ED">
        <w:rPr>
          <w:bCs/>
          <w:lang w:val="en-GB"/>
        </w:rPr>
        <w:t>card payment.</w:t>
      </w:r>
    </w:p>
    <w:p w14:paraId="6DD77E45" w14:textId="77777777" w:rsidR="00606A2A" w:rsidRPr="00BE35ED" w:rsidRDefault="00606A2A" w:rsidP="00066622">
      <w:pPr>
        <w:pStyle w:val="BodyTextMain"/>
        <w:rPr>
          <w:bCs/>
          <w:lang w:val="en-GB"/>
        </w:rPr>
      </w:pPr>
    </w:p>
    <w:p w14:paraId="1FE2AFD4" w14:textId="272C0966" w:rsidR="00066622" w:rsidRPr="00BE35ED" w:rsidRDefault="00066622" w:rsidP="00066622">
      <w:pPr>
        <w:pStyle w:val="BodyTextMain"/>
        <w:rPr>
          <w:lang w:val="en-GB"/>
        </w:rPr>
      </w:pPr>
      <w:r w:rsidRPr="00BE35ED">
        <w:rPr>
          <w:bCs/>
          <w:lang w:val="en-GB"/>
        </w:rPr>
        <w:t xml:space="preserve">After the front-end process was completed, </w:t>
      </w:r>
      <w:r w:rsidR="00905EF3">
        <w:rPr>
          <w:bCs/>
          <w:lang w:val="en-GB"/>
        </w:rPr>
        <w:t xml:space="preserve">the </w:t>
      </w:r>
      <w:proofErr w:type="spellStart"/>
      <w:r w:rsidR="00905EF3">
        <w:rPr>
          <w:bCs/>
          <w:lang w:val="en-GB"/>
        </w:rPr>
        <w:t>ToI’s</w:t>
      </w:r>
      <w:proofErr w:type="spellEnd"/>
      <w:r w:rsidR="00905EF3">
        <w:rPr>
          <w:bCs/>
          <w:lang w:val="en-GB"/>
        </w:rPr>
        <w:t xml:space="preserve"> </w:t>
      </w:r>
      <w:r w:rsidRPr="00BE35ED">
        <w:rPr>
          <w:bCs/>
          <w:lang w:val="en-GB"/>
        </w:rPr>
        <w:t>back</w:t>
      </w:r>
      <w:r w:rsidR="007F2692">
        <w:rPr>
          <w:bCs/>
          <w:lang w:val="en-GB"/>
        </w:rPr>
        <w:t>-</w:t>
      </w:r>
      <w:r w:rsidRPr="00BE35ED">
        <w:rPr>
          <w:bCs/>
          <w:lang w:val="en-GB"/>
        </w:rPr>
        <w:t>end</w:t>
      </w:r>
      <w:r w:rsidR="00905EF3">
        <w:rPr>
          <w:bCs/>
          <w:lang w:val="en-GB"/>
        </w:rPr>
        <w:t xml:space="preserve"> process</w:t>
      </w:r>
      <w:r w:rsidRPr="00BE35ED">
        <w:rPr>
          <w:bCs/>
          <w:lang w:val="en-GB"/>
        </w:rPr>
        <w:t xml:space="preserve"> </w:t>
      </w:r>
      <w:r w:rsidRPr="00BE35ED">
        <w:rPr>
          <w:lang w:val="en-GB"/>
        </w:rPr>
        <w:t xml:space="preserve">typically verified the order that </w:t>
      </w:r>
      <w:proofErr w:type="gramStart"/>
      <w:r w:rsidRPr="00BE35ED">
        <w:rPr>
          <w:lang w:val="en-GB"/>
        </w:rPr>
        <w:t>was placed</w:t>
      </w:r>
      <w:proofErr w:type="gramEnd"/>
      <w:r w:rsidRPr="00BE35ED">
        <w:rPr>
          <w:lang w:val="en-GB"/>
        </w:rPr>
        <w:t xml:space="preserve">. In case of </w:t>
      </w:r>
      <w:r w:rsidR="00784BC2" w:rsidRPr="00BE35ED">
        <w:rPr>
          <w:lang w:val="en-GB"/>
        </w:rPr>
        <w:t>payment</w:t>
      </w:r>
      <w:r w:rsidR="00784BC2">
        <w:rPr>
          <w:lang w:val="en-GB"/>
        </w:rPr>
        <w:t xml:space="preserve"> by</w:t>
      </w:r>
      <w:r w:rsidR="00784BC2" w:rsidRPr="00BE35ED">
        <w:rPr>
          <w:lang w:val="en-GB"/>
        </w:rPr>
        <w:t xml:space="preserve"> </w:t>
      </w:r>
      <w:r w:rsidRPr="00BE35ED">
        <w:rPr>
          <w:lang w:val="en-GB"/>
        </w:rPr>
        <w:t xml:space="preserve">cheque, </w:t>
      </w:r>
      <w:r w:rsidR="00365D4F">
        <w:rPr>
          <w:lang w:val="en-GB"/>
        </w:rPr>
        <w:t xml:space="preserve">the </w:t>
      </w:r>
      <w:proofErr w:type="spellStart"/>
      <w:r w:rsidRPr="00BE35ED">
        <w:rPr>
          <w:bCs/>
          <w:lang w:val="en-GB"/>
        </w:rPr>
        <w:t>ToI</w:t>
      </w:r>
      <w:proofErr w:type="spellEnd"/>
      <w:r w:rsidRPr="00BE35ED">
        <w:rPr>
          <w:bCs/>
          <w:lang w:val="en-GB"/>
        </w:rPr>
        <w:t xml:space="preserve"> </w:t>
      </w:r>
      <w:r w:rsidRPr="00BE35ED">
        <w:rPr>
          <w:lang w:val="en-GB"/>
        </w:rPr>
        <w:t>would await confirmation of cheque clearance before forwarding the order details to the vendor panel</w:t>
      </w:r>
      <w:r w:rsidR="00905EF3">
        <w:rPr>
          <w:lang w:val="en-GB"/>
        </w:rPr>
        <w:t>—</w:t>
      </w:r>
      <w:r w:rsidRPr="00BE35ED">
        <w:rPr>
          <w:lang w:val="en-GB"/>
        </w:rPr>
        <w:t>i.e.</w:t>
      </w:r>
      <w:r w:rsidR="00784BC2">
        <w:rPr>
          <w:lang w:val="en-GB"/>
        </w:rPr>
        <w:t>,</w:t>
      </w:r>
      <w:r w:rsidRPr="00BE35ED">
        <w:rPr>
          <w:lang w:val="en-GB"/>
        </w:rPr>
        <w:t xml:space="preserve"> </w:t>
      </w:r>
      <w:r w:rsidR="00905EF3">
        <w:rPr>
          <w:lang w:val="en-GB"/>
        </w:rPr>
        <w:t>the</w:t>
      </w:r>
      <w:r w:rsidR="00905EF3" w:rsidRPr="00BE35ED">
        <w:rPr>
          <w:lang w:val="en-GB"/>
        </w:rPr>
        <w:t xml:space="preserve"> </w:t>
      </w:r>
      <w:r w:rsidRPr="00BE35ED">
        <w:rPr>
          <w:lang w:val="en-GB"/>
        </w:rPr>
        <w:t xml:space="preserve">electronic interface where </w:t>
      </w:r>
      <w:proofErr w:type="spellStart"/>
      <w:r w:rsidRPr="00BE35ED">
        <w:rPr>
          <w:lang w:val="en-GB"/>
        </w:rPr>
        <w:t>Impex</w:t>
      </w:r>
      <w:proofErr w:type="spellEnd"/>
      <w:r w:rsidRPr="00BE35ED">
        <w:rPr>
          <w:lang w:val="en-GB"/>
        </w:rPr>
        <w:t xml:space="preserve"> </w:t>
      </w:r>
      <w:r w:rsidR="00784BC2">
        <w:rPr>
          <w:lang w:val="en-GB"/>
        </w:rPr>
        <w:t>could</w:t>
      </w:r>
      <w:r w:rsidR="00784BC2" w:rsidRPr="00BE35ED">
        <w:rPr>
          <w:lang w:val="en-GB"/>
        </w:rPr>
        <w:t xml:space="preserve"> </w:t>
      </w:r>
      <w:r w:rsidRPr="00BE35ED">
        <w:rPr>
          <w:lang w:val="en-GB"/>
        </w:rPr>
        <w:t xml:space="preserve">see the order details. </w:t>
      </w:r>
      <w:r w:rsidRPr="00BE35ED">
        <w:rPr>
          <w:bCs/>
          <w:lang w:val="en-GB"/>
        </w:rPr>
        <w:t xml:space="preserve">Vendor representatives such as </w:t>
      </w:r>
      <w:proofErr w:type="spellStart"/>
      <w:r w:rsidR="00DF23AA" w:rsidRPr="00BE35ED">
        <w:rPr>
          <w:spacing w:val="-2"/>
          <w:kern w:val="22"/>
          <w:lang w:val="en-GB"/>
        </w:rPr>
        <w:t>Kodakkadan</w:t>
      </w:r>
      <w:proofErr w:type="spellEnd"/>
      <w:r w:rsidR="00DF23AA">
        <w:rPr>
          <w:spacing w:val="-2"/>
          <w:kern w:val="22"/>
          <w:lang w:val="en-GB"/>
        </w:rPr>
        <w:t xml:space="preserve"> </w:t>
      </w:r>
      <w:r w:rsidRPr="00BE35ED">
        <w:rPr>
          <w:bCs/>
          <w:lang w:val="en-GB"/>
        </w:rPr>
        <w:t>could l</w:t>
      </w:r>
      <w:r w:rsidRPr="00BE35ED">
        <w:rPr>
          <w:lang w:val="en-GB"/>
        </w:rPr>
        <w:t xml:space="preserve">og on to the </w:t>
      </w:r>
      <w:r w:rsidR="007F2692">
        <w:rPr>
          <w:lang w:val="en-GB"/>
        </w:rPr>
        <w:t>v</w:t>
      </w:r>
      <w:r w:rsidR="007F2692" w:rsidRPr="00BE35ED">
        <w:rPr>
          <w:lang w:val="en-GB"/>
        </w:rPr>
        <w:t xml:space="preserve">endor </w:t>
      </w:r>
      <w:r w:rsidR="007F2692">
        <w:rPr>
          <w:lang w:val="en-GB"/>
        </w:rPr>
        <w:t>p</w:t>
      </w:r>
      <w:r w:rsidR="007F2692" w:rsidRPr="00BE35ED">
        <w:rPr>
          <w:lang w:val="en-GB"/>
        </w:rPr>
        <w:t xml:space="preserve">anel </w:t>
      </w:r>
      <w:r w:rsidRPr="00BE35ED">
        <w:rPr>
          <w:lang w:val="en-GB"/>
        </w:rPr>
        <w:t xml:space="preserve">with the </w:t>
      </w:r>
      <w:r w:rsidR="007F2692">
        <w:rPr>
          <w:bCs/>
          <w:lang w:val="en-GB"/>
        </w:rPr>
        <w:t>u</w:t>
      </w:r>
      <w:r w:rsidR="007F2692" w:rsidRPr="00BE35ED">
        <w:rPr>
          <w:bCs/>
          <w:lang w:val="en-GB"/>
        </w:rPr>
        <w:t xml:space="preserve">nique </w:t>
      </w:r>
      <w:r w:rsidRPr="00BE35ED">
        <w:rPr>
          <w:bCs/>
          <w:lang w:val="en-GB"/>
        </w:rPr>
        <w:t xml:space="preserve">ID </w:t>
      </w:r>
      <w:r w:rsidRPr="00BE35ED">
        <w:rPr>
          <w:lang w:val="en-GB"/>
        </w:rPr>
        <w:t xml:space="preserve">provided by </w:t>
      </w:r>
      <w:r w:rsidR="00EC471C">
        <w:rPr>
          <w:lang w:val="en-GB"/>
        </w:rPr>
        <w:t xml:space="preserve">the </w:t>
      </w:r>
      <w:proofErr w:type="spellStart"/>
      <w:r w:rsidRPr="00BE35ED">
        <w:rPr>
          <w:bCs/>
          <w:lang w:val="en-GB"/>
        </w:rPr>
        <w:t>ToI</w:t>
      </w:r>
      <w:proofErr w:type="spellEnd"/>
      <w:r w:rsidRPr="00BE35ED">
        <w:rPr>
          <w:lang w:val="en-GB"/>
        </w:rPr>
        <w:t xml:space="preserve"> </w:t>
      </w:r>
      <w:r w:rsidRPr="00BE35ED">
        <w:rPr>
          <w:bCs/>
          <w:lang w:val="en-GB"/>
        </w:rPr>
        <w:t>to c</w:t>
      </w:r>
      <w:r w:rsidRPr="00BE35ED">
        <w:rPr>
          <w:lang w:val="en-GB"/>
        </w:rPr>
        <w:t xml:space="preserve">heck the </w:t>
      </w:r>
      <w:r w:rsidR="00365D4F">
        <w:rPr>
          <w:lang w:val="en-GB"/>
        </w:rPr>
        <w:t xml:space="preserve">daily or weekly </w:t>
      </w:r>
      <w:r w:rsidRPr="00BE35ED">
        <w:rPr>
          <w:lang w:val="en-GB"/>
        </w:rPr>
        <w:t xml:space="preserve">orders. Moreover, </w:t>
      </w:r>
      <w:r w:rsidR="00365D4F">
        <w:rPr>
          <w:lang w:val="en-GB"/>
        </w:rPr>
        <w:t xml:space="preserve">either the </w:t>
      </w:r>
      <w:proofErr w:type="spellStart"/>
      <w:r w:rsidR="00365D4F">
        <w:rPr>
          <w:lang w:val="en-GB"/>
        </w:rPr>
        <w:t>ToI</w:t>
      </w:r>
      <w:proofErr w:type="spellEnd"/>
      <w:r w:rsidR="00365D4F">
        <w:rPr>
          <w:lang w:val="en-GB"/>
        </w:rPr>
        <w:t xml:space="preserve"> or the vendor handled </w:t>
      </w:r>
      <w:r w:rsidRPr="00BE35ED">
        <w:rPr>
          <w:lang w:val="en-GB"/>
        </w:rPr>
        <w:t xml:space="preserve">the delivery itself (see </w:t>
      </w:r>
      <w:r w:rsidRPr="0069529B">
        <w:rPr>
          <w:lang w:val="en-GB"/>
        </w:rPr>
        <w:t>Exhibit 6</w:t>
      </w:r>
      <w:r w:rsidRPr="00BE35ED">
        <w:rPr>
          <w:lang w:val="en-GB"/>
        </w:rPr>
        <w:t xml:space="preserve">). </w:t>
      </w:r>
      <w:r w:rsidRPr="00BE35ED">
        <w:rPr>
          <w:bCs/>
          <w:lang w:val="en-GB"/>
        </w:rPr>
        <w:t xml:space="preserve">The agreement would include the agreed percentage of commission to </w:t>
      </w:r>
      <w:proofErr w:type="gramStart"/>
      <w:r w:rsidRPr="00BE35ED">
        <w:rPr>
          <w:bCs/>
          <w:lang w:val="en-GB"/>
        </w:rPr>
        <w:t>be paid</w:t>
      </w:r>
      <w:proofErr w:type="gramEnd"/>
      <w:r w:rsidRPr="00BE35ED">
        <w:rPr>
          <w:bCs/>
          <w:lang w:val="en-GB"/>
        </w:rPr>
        <w:t xml:space="preserve"> to </w:t>
      </w:r>
      <w:r w:rsidR="00365D4F">
        <w:rPr>
          <w:bCs/>
          <w:lang w:val="en-GB"/>
        </w:rPr>
        <w:t xml:space="preserve">the </w:t>
      </w:r>
      <w:proofErr w:type="spellStart"/>
      <w:r w:rsidRPr="00BE35ED">
        <w:rPr>
          <w:bCs/>
          <w:lang w:val="en-GB"/>
        </w:rPr>
        <w:t>ToI</w:t>
      </w:r>
      <w:proofErr w:type="spellEnd"/>
      <w:r w:rsidRPr="00BE35ED">
        <w:rPr>
          <w:bCs/>
          <w:lang w:val="en-GB"/>
        </w:rPr>
        <w:t xml:space="preserve">, which could vary from </w:t>
      </w:r>
      <w:r w:rsidR="00315129">
        <w:rPr>
          <w:bCs/>
          <w:lang w:val="en-GB"/>
        </w:rPr>
        <w:t xml:space="preserve">10 </w:t>
      </w:r>
      <w:r w:rsidR="007964AA">
        <w:rPr>
          <w:bCs/>
          <w:lang w:val="en-GB"/>
        </w:rPr>
        <w:t>per cent</w:t>
      </w:r>
      <w:r w:rsidRPr="00BE35ED">
        <w:rPr>
          <w:bCs/>
          <w:lang w:val="en-GB"/>
        </w:rPr>
        <w:t xml:space="preserve"> to 20</w:t>
      </w:r>
      <w:r w:rsidR="0069529B">
        <w:rPr>
          <w:bCs/>
          <w:lang w:val="en-GB"/>
        </w:rPr>
        <w:t xml:space="preserve"> </w:t>
      </w:r>
      <w:r w:rsidR="007964AA">
        <w:rPr>
          <w:bCs/>
          <w:lang w:val="en-GB"/>
        </w:rPr>
        <w:t>per cent</w:t>
      </w:r>
      <w:r w:rsidR="00365D4F">
        <w:rPr>
          <w:bCs/>
          <w:lang w:val="en-GB"/>
        </w:rPr>
        <w:t>,</w:t>
      </w:r>
      <w:r w:rsidRPr="00BE35ED">
        <w:rPr>
          <w:bCs/>
          <w:lang w:val="en-GB"/>
        </w:rPr>
        <w:t xml:space="preserve"> depending on the mode of delivery. </w:t>
      </w:r>
      <w:proofErr w:type="spellStart"/>
      <w:r w:rsidR="00DF23AA" w:rsidRPr="00BE35ED">
        <w:rPr>
          <w:spacing w:val="-2"/>
          <w:kern w:val="22"/>
          <w:lang w:val="en-GB"/>
        </w:rPr>
        <w:t>Kodakkadan</w:t>
      </w:r>
      <w:proofErr w:type="spellEnd"/>
      <w:r w:rsidR="00DF23AA">
        <w:rPr>
          <w:spacing w:val="-2"/>
          <w:kern w:val="22"/>
          <w:lang w:val="en-GB"/>
        </w:rPr>
        <w:t xml:space="preserve"> </w:t>
      </w:r>
      <w:r w:rsidRPr="00BE35ED">
        <w:rPr>
          <w:bCs/>
          <w:lang w:val="en-GB"/>
        </w:rPr>
        <w:t>had also carefully examined the terms and conditions of the agreement (</w:t>
      </w:r>
      <w:r w:rsidR="00772175">
        <w:rPr>
          <w:bCs/>
          <w:lang w:val="en-GB"/>
        </w:rPr>
        <w:t xml:space="preserve">see </w:t>
      </w:r>
      <w:r w:rsidRPr="0069529B">
        <w:rPr>
          <w:bCs/>
          <w:lang w:val="en-GB"/>
        </w:rPr>
        <w:t>Exhibit 7</w:t>
      </w:r>
      <w:r w:rsidRPr="00BE35ED">
        <w:rPr>
          <w:bCs/>
          <w:lang w:val="en-GB"/>
        </w:rPr>
        <w:t>)</w:t>
      </w:r>
      <w:r w:rsidRPr="00BE35ED">
        <w:rPr>
          <w:lang w:val="en-GB"/>
        </w:rPr>
        <w:t xml:space="preserve">. </w:t>
      </w:r>
      <w:proofErr w:type="spellStart"/>
      <w:r w:rsidR="00DF23AA" w:rsidRPr="00BE35ED">
        <w:rPr>
          <w:spacing w:val="-2"/>
          <w:kern w:val="22"/>
          <w:lang w:val="en-GB"/>
        </w:rPr>
        <w:t>Kodakkadan</w:t>
      </w:r>
      <w:proofErr w:type="spellEnd"/>
      <w:r w:rsidR="00DF23AA">
        <w:rPr>
          <w:spacing w:val="-2"/>
          <w:kern w:val="22"/>
          <w:lang w:val="en-GB"/>
        </w:rPr>
        <w:t xml:space="preserve"> </w:t>
      </w:r>
      <w:r w:rsidRPr="00BE35ED">
        <w:rPr>
          <w:lang w:val="en-GB"/>
        </w:rPr>
        <w:t>had also worked out the break</w:t>
      </w:r>
      <w:r w:rsidR="00365D4F">
        <w:rPr>
          <w:lang w:val="en-GB"/>
        </w:rPr>
        <w:t>-</w:t>
      </w:r>
      <w:r w:rsidRPr="00BE35ED">
        <w:rPr>
          <w:lang w:val="en-GB"/>
        </w:rPr>
        <w:t xml:space="preserve">even volumes for various </w:t>
      </w:r>
      <w:r w:rsidR="008A2AE8">
        <w:rPr>
          <w:lang w:val="en-GB"/>
        </w:rPr>
        <w:t>scenarios</w:t>
      </w:r>
      <w:r w:rsidR="00365D4F">
        <w:rPr>
          <w:lang w:val="en-GB"/>
        </w:rPr>
        <w:t>,</w:t>
      </w:r>
      <w:r w:rsidR="008A2AE8">
        <w:rPr>
          <w:lang w:val="en-GB"/>
        </w:rPr>
        <w:t xml:space="preserve"> taking into account the cost</w:t>
      </w:r>
      <w:r w:rsidR="00365D4F">
        <w:rPr>
          <w:lang w:val="en-GB"/>
        </w:rPr>
        <w:t>s</w:t>
      </w:r>
      <w:r w:rsidR="008A2AE8">
        <w:rPr>
          <w:lang w:val="en-GB"/>
        </w:rPr>
        <w:t xml:space="preserve"> involved in the front</w:t>
      </w:r>
      <w:r w:rsidR="00365D4F">
        <w:rPr>
          <w:lang w:val="en-GB"/>
        </w:rPr>
        <w:t>-</w:t>
      </w:r>
      <w:r w:rsidR="008A2AE8">
        <w:rPr>
          <w:lang w:val="en-GB"/>
        </w:rPr>
        <w:t>end and back</w:t>
      </w:r>
      <w:r w:rsidR="00365D4F">
        <w:rPr>
          <w:lang w:val="en-GB"/>
        </w:rPr>
        <w:t>-</w:t>
      </w:r>
      <w:r w:rsidR="008A2AE8">
        <w:rPr>
          <w:lang w:val="en-GB"/>
        </w:rPr>
        <w:t>end processes.</w:t>
      </w:r>
    </w:p>
    <w:p w14:paraId="56801D19" w14:textId="77777777" w:rsidR="00606A2A" w:rsidRPr="00BE35ED" w:rsidRDefault="00606A2A" w:rsidP="00066622">
      <w:pPr>
        <w:pStyle w:val="BodyTextMain"/>
        <w:rPr>
          <w:lang w:val="en-GB"/>
        </w:rPr>
      </w:pPr>
    </w:p>
    <w:p w14:paraId="0BE9340F" w14:textId="77777777" w:rsidR="00606A2A" w:rsidRPr="00BE35ED" w:rsidRDefault="00606A2A" w:rsidP="00066622">
      <w:pPr>
        <w:pStyle w:val="BodyTextMain"/>
        <w:rPr>
          <w:lang w:val="en-GB"/>
        </w:rPr>
      </w:pPr>
    </w:p>
    <w:p w14:paraId="0C7ECD1D" w14:textId="77777777" w:rsidR="00066622" w:rsidRPr="00BE35ED" w:rsidRDefault="00066622" w:rsidP="00606A2A">
      <w:pPr>
        <w:pStyle w:val="Casehead1"/>
        <w:rPr>
          <w:lang w:val="en-GB"/>
        </w:rPr>
      </w:pPr>
      <w:r w:rsidRPr="00BE35ED">
        <w:rPr>
          <w:lang w:val="en-GB"/>
        </w:rPr>
        <w:t>The Friday Meeting</w:t>
      </w:r>
    </w:p>
    <w:p w14:paraId="778F84B5" w14:textId="0CA8EEEA" w:rsidR="00606A2A" w:rsidRPr="00BE35ED" w:rsidRDefault="00606A2A" w:rsidP="00066622">
      <w:pPr>
        <w:pStyle w:val="BodyTextMain"/>
        <w:rPr>
          <w:lang w:val="en-GB"/>
        </w:rPr>
      </w:pPr>
    </w:p>
    <w:p w14:paraId="0432AB98" w14:textId="5365F6DD" w:rsidR="00066622" w:rsidRPr="00BE35ED" w:rsidRDefault="00066622" w:rsidP="00066622">
      <w:pPr>
        <w:pStyle w:val="BodyTextMain"/>
        <w:rPr>
          <w:lang w:val="en-GB"/>
        </w:rPr>
      </w:pPr>
      <w:r w:rsidRPr="00BE35ED">
        <w:rPr>
          <w:lang w:val="en-GB"/>
        </w:rPr>
        <w:t xml:space="preserve">At </w:t>
      </w:r>
      <w:r w:rsidR="00365D4F">
        <w:rPr>
          <w:lang w:val="en-GB"/>
        </w:rPr>
        <w:t>2</w:t>
      </w:r>
      <w:r w:rsidRPr="00BE35ED">
        <w:rPr>
          <w:lang w:val="en-GB"/>
        </w:rPr>
        <w:t>:30</w:t>
      </w:r>
      <w:r w:rsidR="00365D4F">
        <w:rPr>
          <w:lang w:val="en-GB"/>
        </w:rPr>
        <w:t xml:space="preserve"> p.m.</w:t>
      </w:r>
      <w:r w:rsidRPr="00BE35ED">
        <w:rPr>
          <w:lang w:val="en-GB"/>
        </w:rPr>
        <w:t xml:space="preserve">, </w:t>
      </w:r>
      <w:proofErr w:type="spellStart"/>
      <w:r w:rsidR="00DF23AA" w:rsidRPr="00BE35ED">
        <w:rPr>
          <w:spacing w:val="-2"/>
          <w:kern w:val="22"/>
          <w:lang w:val="en-GB"/>
        </w:rPr>
        <w:t>Kodakkadan</w:t>
      </w:r>
      <w:proofErr w:type="spellEnd"/>
      <w:r w:rsidR="00DF23AA">
        <w:rPr>
          <w:spacing w:val="-2"/>
          <w:kern w:val="22"/>
          <w:lang w:val="en-GB"/>
        </w:rPr>
        <w:t xml:space="preserve"> </w:t>
      </w:r>
      <w:r w:rsidRPr="00BE35ED">
        <w:rPr>
          <w:lang w:val="en-GB"/>
        </w:rPr>
        <w:t xml:space="preserve">entered </w:t>
      </w:r>
      <w:proofErr w:type="spellStart"/>
      <w:r w:rsidR="00DF23AA" w:rsidRPr="00BE35ED">
        <w:rPr>
          <w:lang w:val="en-GB"/>
        </w:rPr>
        <w:t>Chenengadan</w:t>
      </w:r>
      <w:r w:rsidRPr="00BE35ED">
        <w:rPr>
          <w:lang w:val="en-GB"/>
        </w:rPr>
        <w:t>’</w:t>
      </w:r>
      <w:r w:rsidR="00784BC2">
        <w:rPr>
          <w:lang w:val="en-GB"/>
        </w:rPr>
        <w:t>s</w:t>
      </w:r>
      <w:proofErr w:type="spellEnd"/>
      <w:r w:rsidRPr="00BE35ED">
        <w:rPr>
          <w:lang w:val="en-GB"/>
        </w:rPr>
        <w:t xml:space="preserve"> </w:t>
      </w:r>
      <w:r w:rsidR="008A2AE8">
        <w:rPr>
          <w:lang w:val="en-GB"/>
        </w:rPr>
        <w:t>office</w:t>
      </w:r>
      <w:r w:rsidR="008A2AE8" w:rsidRPr="00BE35ED">
        <w:rPr>
          <w:lang w:val="en-GB"/>
        </w:rPr>
        <w:t xml:space="preserve"> </w:t>
      </w:r>
      <w:r w:rsidRPr="00BE35ED">
        <w:rPr>
          <w:lang w:val="en-GB"/>
        </w:rPr>
        <w:t xml:space="preserve">with his laptop and some printouts. </w:t>
      </w:r>
      <w:r w:rsidR="00365D4F">
        <w:rPr>
          <w:lang w:val="en-GB"/>
        </w:rPr>
        <w:t xml:space="preserve">Five minutes later, </w:t>
      </w:r>
      <w:proofErr w:type="spellStart"/>
      <w:r w:rsidR="00AE40CC" w:rsidRPr="00BE35ED">
        <w:rPr>
          <w:lang w:val="en-GB"/>
        </w:rPr>
        <w:t>Ravindran</w:t>
      </w:r>
      <w:proofErr w:type="spellEnd"/>
      <w:r w:rsidRPr="00BE35ED">
        <w:rPr>
          <w:lang w:val="en-GB"/>
        </w:rPr>
        <w:t>, walked in</w:t>
      </w:r>
      <w:r w:rsidR="00365D4F">
        <w:rPr>
          <w:lang w:val="en-GB"/>
        </w:rPr>
        <w:t xml:space="preserve">, while he </w:t>
      </w:r>
      <w:r w:rsidRPr="00BE35ED">
        <w:rPr>
          <w:lang w:val="en-GB"/>
        </w:rPr>
        <w:t xml:space="preserve">was still on his mobile phone with the distributor. </w:t>
      </w:r>
      <w:proofErr w:type="spellStart"/>
      <w:r w:rsidR="00AE40CC" w:rsidRPr="00BE35ED">
        <w:rPr>
          <w:lang w:val="en-GB"/>
        </w:rPr>
        <w:t>Ravindran</w:t>
      </w:r>
      <w:proofErr w:type="spellEnd"/>
      <w:r w:rsidR="00AE40CC">
        <w:rPr>
          <w:lang w:val="en-GB"/>
        </w:rPr>
        <w:t xml:space="preserve"> </w:t>
      </w:r>
      <w:r w:rsidRPr="00BE35ED">
        <w:rPr>
          <w:lang w:val="en-GB"/>
        </w:rPr>
        <w:t xml:space="preserve">concluded </w:t>
      </w:r>
      <w:r w:rsidR="001375E1">
        <w:rPr>
          <w:lang w:val="en-GB"/>
        </w:rPr>
        <w:t>his</w:t>
      </w:r>
      <w:r w:rsidR="001375E1" w:rsidRPr="00BE35ED">
        <w:rPr>
          <w:lang w:val="en-GB"/>
        </w:rPr>
        <w:t xml:space="preserve"> </w:t>
      </w:r>
      <w:r w:rsidRPr="00BE35ED">
        <w:rPr>
          <w:lang w:val="en-GB"/>
        </w:rPr>
        <w:t xml:space="preserve">chat as soon as he </w:t>
      </w:r>
      <w:proofErr w:type="gramStart"/>
      <w:r w:rsidRPr="00BE35ED">
        <w:rPr>
          <w:lang w:val="en-GB"/>
        </w:rPr>
        <w:t>was seated</w:t>
      </w:r>
      <w:proofErr w:type="gramEnd"/>
      <w:r w:rsidRPr="00BE35ED">
        <w:rPr>
          <w:lang w:val="en-GB"/>
        </w:rPr>
        <w:t xml:space="preserve"> in front of </w:t>
      </w:r>
      <w:proofErr w:type="spellStart"/>
      <w:r w:rsidR="00DF23AA" w:rsidRPr="00BE35ED">
        <w:rPr>
          <w:lang w:val="en-GB"/>
        </w:rPr>
        <w:t>Chenengadan</w:t>
      </w:r>
      <w:proofErr w:type="spellEnd"/>
      <w:r w:rsidRPr="00BE35ED">
        <w:rPr>
          <w:lang w:val="en-GB"/>
        </w:rPr>
        <w:t xml:space="preserve">, at which point </w:t>
      </w:r>
      <w:proofErr w:type="spellStart"/>
      <w:r w:rsidR="00DF23AA" w:rsidRPr="00BE35ED">
        <w:rPr>
          <w:spacing w:val="-2"/>
          <w:kern w:val="22"/>
          <w:lang w:val="en-GB"/>
        </w:rPr>
        <w:t>Kodakkadan</w:t>
      </w:r>
      <w:proofErr w:type="spellEnd"/>
      <w:r w:rsidR="00DF23AA">
        <w:rPr>
          <w:spacing w:val="-2"/>
          <w:kern w:val="22"/>
          <w:lang w:val="en-GB"/>
        </w:rPr>
        <w:t xml:space="preserve"> </w:t>
      </w:r>
      <w:r w:rsidRPr="00BE35ED">
        <w:rPr>
          <w:lang w:val="en-GB"/>
        </w:rPr>
        <w:t xml:space="preserve">was ready with his proposal for the year-end promotion scheme. </w:t>
      </w:r>
      <w:proofErr w:type="spellStart"/>
      <w:r w:rsidR="00AE40CC" w:rsidRPr="00BE35ED">
        <w:rPr>
          <w:lang w:val="en-GB"/>
        </w:rPr>
        <w:t>Ravindran</w:t>
      </w:r>
      <w:proofErr w:type="spellEnd"/>
      <w:r w:rsidR="00AE40CC">
        <w:rPr>
          <w:lang w:val="en-GB"/>
        </w:rPr>
        <w:t xml:space="preserve"> </w:t>
      </w:r>
      <w:r w:rsidRPr="00BE35ED">
        <w:rPr>
          <w:lang w:val="en-GB"/>
        </w:rPr>
        <w:t xml:space="preserve">had spent </w:t>
      </w:r>
      <w:r w:rsidR="00365D4F">
        <w:rPr>
          <w:lang w:val="en-GB"/>
        </w:rPr>
        <w:t>approximately</w:t>
      </w:r>
      <w:r w:rsidR="00365D4F" w:rsidRPr="00BE35ED">
        <w:rPr>
          <w:lang w:val="en-GB"/>
        </w:rPr>
        <w:t xml:space="preserve"> </w:t>
      </w:r>
      <w:r w:rsidRPr="00BE35ED">
        <w:rPr>
          <w:lang w:val="en-GB"/>
        </w:rPr>
        <w:t xml:space="preserve">20 years in the industry, growing from a front-line sales executive to a senior executive with regional responsibilities. Although he </w:t>
      </w:r>
      <w:r w:rsidR="00365D4F">
        <w:rPr>
          <w:lang w:val="en-GB"/>
        </w:rPr>
        <w:t>had been</w:t>
      </w:r>
      <w:r w:rsidR="00365D4F" w:rsidRPr="00BE35ED">
        <w:rPr>
          <w:lang w:val="en-GB"/>
        </w:rPr>
        <w:t xml:space="preserve"> </w:t>
      </w:r>
      <w:r w:rsidRPr="00BE35ED">
        <w:rPr>
          <w:lang w:val="en-GB"/>
        </w:rPr>
        <w:t xml:space="preserve">given the mandate of establishing </w:t>
      </w:r>
      <w:proofErr w:type="spellStart"/>
      <w:r w:rsidRPr="00BE35ED">
        <w:rPr>
          <w:lang w:val="en-GB"/>
        </w:rPr>
        <w:t>Impex’s</w:t>
      </w:r>
      <w:proofErr w:type="spellEnd"/>
      <w:r w:rsidRPr="00BE35ED">
        <w:rPr>
          <w:lang w:val="en-GB"/>
        </w:rPr>
        <w:t xml:space="preserve"> presence in southern states other than Kerala, such as Karnataka, Andhra Pradesh</w:t>
      </w:r>
      <w:r w:rsidR="00784BC2">
        <w:rPr>
          <w:lang w:val="en-GB"/>
        </w:rPr>
        <w:t>,</w:t>
      </w:r>
      <w:r w:rsidRPr="00BE35ED">
        <w:rPr>
          <w:lang w:val="en-GB"/>
        </w:rPr>
        <w:t xml:space="preserve"> and Tamil Nadu, he had agreed with </w:t>
      </w:r>
      <w:proofErr w:type="spellStart"/>
      <w:r w:rsidR="00DF23AA" w:rsidRPr="00BE35ED">
        <w:rPr>
          <w:lang w:val="en-GB"/>
        </w:rPr>
        <w:t>Chenengadan</w:t>
      </w:r>
      <w:proofErr w:type="spellEnd"/>
      <w:r w:rsidRPr="00BE35ED">
        <w:rPr>
          <w:lang w:val="en-GB"/>
        </w:rPr>
        <w:t xml:space="preserve"> that </w:t>
      </w:r>
      <w:r w:rsidR="00365D4F">
        <w:rPr>
          <w:lang w:val="en-GB"/>
        </w:rPr>
        <w:t xml:space="preserve">initially </w:t>
      </w:r>
      <w:r w:rsidRPr="00BE35ED">
        <w:rPr>
          <w:lang w:val="en-GB"/>
        </w:rPr>
        <w:t xml:space="preserve">his focus would be to build distributor and dealer relationships in Kerala. </w:t>
      </w:r>
      <w:proofErr w:type="spellStart"/>
      <w:r w:rsidR="00365D4F">
        <w:rPr>
          <w:lang w:val="en-GB"/>
        </w:rPr>
        <w:t>Ravindran</w:t>
      </w:r>
      <w:proofErr w:type="spellEnd"/>
      <w:r w:rsidR="00365D4F" w:rsidRPr="00BE35ED">
        <w:rPr>
          <w:lang w:val="en-GB"/>
        </w:rPr>
        <w:t xml:space="preserve"> </w:t>
      </w:r>
      <w:r w:rsidRPr="00BE35ED">
        <w:rPr>
          <w:lang w:val="en-GB"/>
        </w:rPr>
        <w:t>was successfully carrying out this responsibility.</w:t>
      </w:r>
      <w:r w:rsidR="008D437B">
        <w:rPr>
          <w:lang w:val="en-GB"/>
        </w:rPr>
        <w:t xml:space="preserve"> </w:t>
      </w:r>
      <w:proofErr w:type="spellStart"/>
      <w:r w:rsidR="00DF23AA" w:rsidRPr="00BE35ED">
        <w:rPr>
          <w:lang w:val="en-GB"/>
        </w:rPr>
        <w:t>Chenengadan</w:t>
      </w:r>
      <w:proofErr w:type="spellEnd"/>
      <w:r w:rsidRPr="00BE35ED">
        <w:rPr>
          <w:lang w:val="en-GB"/>
        </w:rPr>
        <w:t xml:space="preserve"> poured some black tea into his cup and squeezed in a wedge of lemon as he started the meeting. He began by looking at </w:t>
      </w:r>
      <w:proofErr w:type="spellStart"/>
      <w:r w:rsidR="00AE40CC" w:rsidRPr="00BE35ED">
        <w:rPr>
          <w:lang w:val="en-GB"/>
        </w:rPr>
        <w:t>Ravindran</w:t>
      </w:r>
      <w:proofErr w:type="spellEnd"/>
      <w:r w:rsidR="003C6106">
        <w:rPr>
          <w:lang w:val="en-GB"/>
        </w:rPr>
        <w:t xml:space="preserve"> and </w:t>
      </w:r>
      <w:r w:rsidR="00365D4F">
        <w:rPr>
          <w:lang w:val="en-GB"/>
        </w:rPr>
        <w:t>said</w:t>
      </w:r>
      <w:r w:rsidRPr="00BE35ED">
        <w:rPr>
          <w:lang w:val="en-GB"/>
        </w:rPr>
        <w:t>:</w:t>
      </w:r>
    </w:p>
    <w:p w14:paraId="26ED9174" w14:textId="77777777" w:rsidR="00606A2A" w:rsidRPr="00BE35ED" w:rsidRDefault="00606A2A" w:rsidP="00066622">
      <w:pPr>
        <w:pStyle w:val="BodyTextMain"/>
        <w:rPr>
          <w:lang w:val="en-GB"/>
        </w:rPr>
      </w:pPr>
    </w:p>
    <w:p w14:paraId="02F1E191" w14:textId="05EA46E6" w:rsidR="00066622" w:rsidRPr="00BE35ED" w:rsidRDefault="00066622" w:rsidP="00606A2A">
      <w:pPr>
        <w:pStyle w:val="BodyTextMain"/>
        <w:ind w:left="720"/>
        <w:rPr>
          <w:lang w:val="en-GB"/>
        </w:rPr>
      </w:pPr>
      <w:r w:rsidRPr="00BE35ED">
        <w:rPr>
          <w:lang w:val="en-GB"/>
        </w:rPr>
        <w:t xml:space="preserve">There is no doubt; we would need some marketing intervention to boost the sales in order to get closer to the annual volumes we had hoped to achieve this financial year. </w:t>
      </w:r>
      <w:proofErr w:type="gramStart"/>
      <w:r w:rsidRPr="00BE35ED">
        <w:rPr>
          <w:lang w:val="en-GB"/>
        </w:rPr>
        <w:t>But</w:t>
      </w:r>
      <w:proofErr w:type="gramEnd"/>
      <w:r w:rsidRPr="00BE35ED">
        <w:rPr>
          <w:lang w:val="en-GB"/>
        </w:rPr>
        <w:t xml:space="preserve">, I am not sure if it </w:t>
      </w:r>
      <w:r w:rsidRPr="00BE35ED">
        <w:rPr>
          <w:lang w:val="en-GB"/>
        </w:rPr>
        <w:lastRenderedPageBreak/>
        <w:t xml:space="preserve">would add to the bottom line as well. In any case, if we have to run a year-end scheme now to lift </w:t>
      </w:r>
      <w:r w:rsidR="00E61EB7">
        <w:rPr>
          <w:lang w:val="en-GB"/>
        </w:rPr>
        <w:t xml:space="preserve">[improve] </w:t>
      </w:r>
      <w:r w:rsidRPr="00BE35ED">
        <w:rPr>
          <w:lang w:val="en-GB"/>
        </w:rPr>
        <w:t xml:space="preserve">sales in the last month, it would be for products in the kitchen appliances category. </w:t>
      </w:r>
      <w:proofErr w:type="gramStart"/>
      <w:r w:rsidRPr="00BE35ED">
        <w:rPr>
          <w:lang w:val="en-GB"/>
        </w:rPr>
        <w:t>That’s</w:t>
      </w:r>
      <w:proofErr w:type="gramEnd"/>
      <w:r w:rsidRPr="00BE35ED">
        <w:rPr>
          <w:lang w:val="en-GB"/>
        </w:rPr>
        <w:t xml:space="preserve"> why I asked </w:t>
      </w:r>
      <w:proofErr w:type="spellStart"/>
      <w:r w:rsidRPr="00BE35ED">
        <w:rPr>
          <w:lang w:val="en-GB"/>
        </w:rPr>
        <w:t>Fairoos</w:t>
      </w:r>
      <w:proofErr w:type="spellEnd"/>
      <w:r w:rsidRPr="00BE35ED">
        <w:rPr>
          <w:lang w:val="en-GB"/>
        </w:rPr>
        <w:t xml:space="preserve"> </w:t>
      </w:r>
      <w:r w:rsidR="00365D4F">
        <w:rPr>
          <w:lang w:val="en-GB"/>
        </w:rPr>
        <w:t>[</w:t>
      </w:r>
      <w:proofErr w:type="spellStart"/>
      <w:r w:rsidR="00365D4F">
        <w:rPr>
          <w:lang w:val="en-GB"/>
        </w:rPr>
        <w:t>Kodakkadan</w:t>
      </w:r>
      <w:proofErr w:type="spellEnd"/>
      <w:r w:rsidR="00365D4F">
        <w:rPr>
          <w:lang w:val="en-GB"/>
        </w:rPr>
        <w:t xml:space="preserve">] </w:t>
      </w:r>
      <w:r w:rsidRPr="00BE35ED">
        <w:rPr>
          <w:lang w:val="en-GB"/>
        </w:rPr>
        <w:t>to work out some details.</w:t>
      </w:r>
    </w:p>
    <w:p w14:paraId="146723A9" w14:textId="77777777" w:rsidR="00606A2A" w:rsidRPr="00BE35ED" w:rsidRDefault="00606A2A" w:rsidP="00066622">
      <w:pPr>
        <w:pStyle w:val="BodyTextMain"/>
        <w:rPr>
          <w:lang w:val="en-GB"/>
        </w:rPr>
      </w:pPr>
    </w:p>
    <w:p w14:paraId="53CFD5C6" w14:textId="271691B6" w:rsidR="00066622" w:rsidRPr="00BE35ED" w:rsidRDefault="00DF23AA" w:rsidP="00066622">
      <w:pPr>
        <w:pStyle w:val="BodyTextMain"/>
        <w:rPr>
          <w:lang w:val="en-GB"/>
        </w:rPr>
      </w:pPr>
      <w:proofErr w:type="spellStart"/>
      <w:r w:rsidRPr="00BE35ED">
        <w:rPr>
          <w:spacing w:val="-2"/>
          <w:kern w:val="22"/>
          <w:lang w:val="en-GB"/>
        </w:rPr>
        <w:t>Kodakkadan</w:t>
      </w:r>
      <w:proofErr w:type="spellEnd"/>
      <w:r>
        <w:rPr>
          <w:spacing w:val="-2"/>
          <w:kern w:val="22"/>
          <w:lang w:val="en-GB"/>
        </w:rPr>
        <w:t xml:space="preserve"> </w:t>
      </w:r>
      <w:r w:rsidR="00066622" w:rsidRPr="00BE35ED">
        <w:rPr>
          <w:lang w:val="en-GB"/>
        </w:rPr>
        <w:t>was ready. He started his presentation:</w:t>
      </w:r>
    </w:p>
    <w:p w14:paraId="6748F36E" w14:textId="77777777" w:rsidR="00606A2A" w:rsidRPr="00BE35ED" w:rsidRDefault="00606A2A" w:rsidP="00066622">
      <w:pPr>
        <w:pStyle w:val="BodyTextMain"/>
        <w:rPr>
          <w:lang w:val="en-GB"/>
        </w:rPr>
      </w:pPr>
    </w:p>
    <w:p w14:paraId="74AFAF61" w14:textId="7966EDAD" w:rsidR="00066622" w:rsidRDefault="00066622" w:rsidP="00606A2A">
      <w:pPr>
        <w:pStyle w:val="BodyTextMain"/>
        <w:ind w:left="720"/>
        <w:rPr>
          <w:lang w:val="en-GB"/>
        </w:rPr>
      </w:pPr>
      <w:r w:rsidRPr="00BE35ED">
        <w:rPr>
          <w:lang w:val="en-GB"/>
        </w:rPr>
        <w:t>I have a new idea to present—</w:t>
      </w:r>
      <w:r w:rsidR="00EC471C">
        <w:rPr>
          <w:lang w:val="en-GB"/>
        </w:rPr>
        <w:t>t</w:t>
      </w:r>
      <w:r w:rsidR="00EC471C" w:rsidRPr="002F75E6">
        <w:rPr>
          <w:lang w:val="en-GB"/>
        </w:rPr>
        <w:t>he</w:t>
      </w:r>
      <w:r w:rsidR="00EC471C" w:rsidRPr="000F1C26">
        <w:rPr>
          <w:i/>
          <w:lang w:val="en-GB"/>
        </w:rPr>
        <w:t xml:space="preserve"> </w:t>
      </w:r>
      <w:r w:rsidRPr="000F1C26">
        <w:rPr>
          <w:i/>
          <w:lang w:val="en-GB"/>
        </w:rPr>
        <w:t>Times of India</w:t>
      </w:r>
      <w:r w:rsidRPr="00BE35ED">
        <w:rPr>
          <w:lang w:val="en-GB"/>
        </w:rPr>
        <w:t xml:space="preserve"> Reader’s Offer. It is interesting because it can contribute to the sales lift </w:t>
      </w:r>
      <w:r w:rsidR="00E61EB7">
        <w:rPr>
          <w:lang w:val="en-GB"/>
        </w:rPr>
        <w:t xml:space="preserve">[improvement] </w:t>
      </w:r>
      <w:r w:rsidRPr="00BE35ED">
        <w:rPr>
          <w:lang w:val="en-GB"/>
        </w:rPr>
        <w:t>as well as create brand awareness through mass media. It can serve not only the Kerala market, where we have wider distribution, but brand awareness can also introduce our brand to other markets across the country through mass media. More importantly, we are getting to advertise at as low as 15</w:t>
      </w:r>
      <w:r w:rsidR="0069529B">
        <w:rPr>
          <w:lang w:val="en-GB"/>
        </w:rPr>
        <w:t xml:space="preserve"> </w:t>
      </w:r>
      <w:r w:rsidR="007964AA">
        <w:rPr>
          <w:lang w:val="en-GB"/>
        </w:rPr>
        <w:t>per cent</w:t>
      </w:r>
      <w:r w:rsidRPr="00BE35ED">
        <w:rPr>
          <w:lang w:val="en-GB"/>
        </w:rPr>
        <w:t xml:space="preserve"> of </w:t>
      </w:r>
      <w:proofErr w:type="spellStart"/>
      <w:r w:rsidR="008A2AE8">
        <w:rPr>
          <w:lang w:val="en-GB"/>
        </w:rPr>
        <w:t>ToI’s</w:t>
      </w:r>
      <w:proofErr w:type="spellEnd"/>
      <w:r w:rsidR="008A2AE8" w:rsidRPr="00BE35ED">
        <w:rPr>
          <w:lang w:val="en-GB"/>
        </w:rPr>
        <w:t xml:space="preserve"> </w:t>
      </w:r>
      <w:r w:rsidRPr="00BE35ED">
        <w:rPr>
          <w:lang w:val="en-GB"/>
        </w:rPr>
        <w:t xml:space="preserve">card rates </w:t>
      </w:r>
      <w:proofErr w:type="gramStart"/>
      <w:r w:rsidRPr="00BE35ED">
        <w:rPr>
          <w:lang w:val="en-GB"/>
        </w:rPr>
        <w:t>and also</w:t>
      </w:r>
      <w:proofErr w:type="gramEnd"/>
      <w:r w:rsidRPr="00BE35ED">
        <w:rPr>
          <w:lang w:val="en-GB"/>
        </w:rPr>
        <w:t xml:space="preserve"> getting their support in creative designs. </w:t>
      </w:r>
      <w:r w:rsidR="0066643B">
        <w:rPr>
          <w:lang w:val="en-GB"/>
        </w:rPr>
        <w:t>Further, t</w:t>
      </w:r>
      <w:r w:rsidR="0066643B" w:rsidRPr="00BE35ED">
        <w:rPr>
          <w:lang w:val="en-GB"/>
        </w:rPr>
        <w:t xml:space="preserve">his </w:t>
      </w:r>
      <w:r w:rsidR="0066643B">
        <w:rPr>
          <w:lang w:val="en-GB"/>
        </w:rPr>
        <w:t xml:space="preserve">idea </w:t>
      </w:r>
      <w:r w:rsidRPr="00BE35ED">
        <w:rPr>
          <w:lang w:val="en-GB"/>
        </w:rPr>
        <w:t>could also help liquidate unsold inventory of some products and clear our shelves for the new models planned from April. I have developed the scheme fully.</w:t>
      </w:r>
      <w:r w:rsidR="00835B59">
        <w:rPr>
          <w:lang w:val="en-GB"/>
        </w:rPr>
        <w:t xml:space="preserve"> </w:t>
      </w:r>
      <w:r w:rsidR="00315129">
        <w:rPr>
          <w:lang w:val="en-GB"/>
        </w:rPr>
        <w:t xml:space="preserve">My estimates suggest that we can get </w:t>
      </w:r>
      <w:proofErr w:type="gramStart"/>
      <w:r w:rsidR="00315129">
        <w:rPr>
          <w:lang w:val="en-GB"/>
        </w:rPr>
        <w:t>much better</w:t>
      </w:r>
      <w:proofErr w:type="gramEnd"/>
      <w:r w:rsidR="00315129">
        <w:rPr>
          <w:lang w:val="en-GB"/>
        </w:rPr>
        <w:t xml:space="preserve"> incremental marketing margins in </w:t>
      </w:r>
      <w:r w:rsidR="003C6106">
        <w:rPr>
          <w:lang w:val="en-GB"/>
        </w:rPr>
        <w:t xml:space="preserve">the </w:t>
      </w:r>
      <w:r w:rsidR="00315129">
        <w:rPr>
          <w:lang w:val="en-GB"/>
        </w:rPr>
        <w:t xml:space="preserve">Reader’s </w:t>
      </w:r>
      <w:r w:rsidR="003C6106">
        <w:rPr>
          <w:lang w:val="en-GB"/>
        </w:rPr>
        <w:t xml:space="preserve">Offer </w:t>
      </w:r>
      <w:r w:rsidR="00315129">
        <w:rPr>
          <w:lang w:val="en-GB"/>
        </w:rPr>
        <w:t>promotion for the same products offered at the same prices that were used for the deep</w:t>
      </w:r>
      <w:r w:rsidR="00507B8D">
        <w:rPr>
          <w:lang w:val="en-GB"/>
        </w:rPr>
        <w:t>-</w:t>
      </w:r>
      <w:r w:rsidR="00315129">
        <w:rPr>
          <w:lang w:val="en-GB"/>
        </w:rPr>
        <w:t>discount promotion last year.</w:t>
      </w:r>
    </w:p>
    <w:p w14:paraId="1152314A" w14:textId="77777777" w:rsidR="00486859" w:rsidRDefault="00486859" w:rsidP="00606A2A">
      <w:pPr>
        <w:pStyle w:val="BodyTextMain"/>
        <w:ind w:left="720"/>
        <w:rPr>
          <w:lang w:val="en-GB"/>
        </w:rPr>
      </w:pPr>
    </w:p>
    <w:p w14:paraId="12E81613" w14:textId="7A87D1B5" w:rsidR="00066622" w:rsidRPr="00BE35ED" w:rsidRDefault="00066622" w:rsidP="00066622">
      <w:pPr>
        <w:pStyle w:val="BodyTextMain"/>
        <w:rPr>
          <w:lang w:val="en-GB"/>
        </w:rPr>
      </w:pPr>
      <w:r w:rsidRPr="00BE35ED">
        <w:rPr>
          <w:lang w:val="en-GB"/>
        </w:rPr>
        <w:t>As he started sharing the chosen products and their discounted prices (</w:t>
      </w:r>
      <w:r w:rsidR="00772175">
        <w:rPr>
          <w:lang w:val="en-GB"/>
        </w:rPr>
        <w:t xml:space="preserve">see </w:t>
      </w:r>
      <w:r w:rsidRPr="0069529B">
        <w:rPr>
          <w:lang w:val="en-GB"/>
        </w:rPr>
        <w:t>Exhibit 8</w:t>
      </w:r>
      <w:r w:rsidRPr="00BE35ED">
        <w:rPr>
          <w:lang w:val="en-GB"/>
        </w:rPr>
        <w:t xml:space="preserve">), </w:t>
      </w:r>
      <w:proofErr w:type="spellStart"/>
      <w:r w:rsidR="00AE40CC" w:rsidRPr="00BE35ED">
        <w:rPr>
          <w:lang w:val="en-GB"/>
        </w:rPr>
        <w:t>Ravindran</w:t>
      </w:r>
      <w:proofErr w:type="spellEnd"/>
      <w:r w:rsidR="00AE40CC">
        <w:rPr>
          <w:lang w:val="en-GB"/>
        </w:rPr>
        <w:t xml:space="preserve"> </w:t>
      </w:r>
      <w:r w:rsidRPr="00BE35ED">
        <w:rPr>
          <w:lang w:val="en-GB"/>
        </w:rPr>
        <w:t>interrupted:</w:t>
      </w:r>
    </w:p>
    <w:p w14:paraId="6CA397DD" w14:textId="77777777" w:rsidR="00606A2A" w:rsidRPr="00BE35ED" w:rsidRDefault="00606A2A" w:rsidP="00066622">
      <w:pPr>
        <w:pStyle w:val="BodyTextMain"/>
        <w:rPr>
          <w:lang w:val="en-GB"/>
        </w:rPr>
      </w:pPr>
    </w:p>
    <w:p w14:paraId="5B05E5A1" w14:textId="62776377" w:rsidR="00066622" w:rsidRPr="00BE35ED" w:rsidRDefault="00066622" w:rsidP="00606A2A">
      <w:pPr>
        <w:pStyle w:val="BodyTextMain"/>
        <w:ind w:left="720"/>
        <w:rPr>
          <w:lang w:val="en-GB"/>
        </w:rPr>
      </w:pPr>
      <w:r w:rsidRPr="00BE35ED">
        <w:rPr>
          <w:lang w:val="en-GB"/>
        </w:rPr>
        <w:t xml:space="preserve">We are not discussing the annual marketing plan and brand building today. We need some quick sales next month to meet our targets. </w:t>
      </w:r>
      <w:proofErr w:type="gramStart"/>
      <w:r w:rsidRPr="00BE35ED">
        <w:rPr>
          <w:lang w:val="en-GB"/>
        </w:rPr>
        <w:t>And anyway</w:t>
      </w:r>
      <w:proofErr w:type="gramEnd"/>
      <w:r w:rsidRPr="00BE35ED">
        <w:rPr>
          <w:lang w:val="en-GB"/>
        </w:rPr>
        <w:t xml:space="preserve">, who reads </w:t>
      </w:r>
      <w:r w:rsidR="00EC471C">
        <w:rPr>
          <w:lang w:val="en-GB"/>
        </w:rPr>
        <w:t>t</w:t>
      </w:r>
      <w:r w:rsidR="00EC471C" w:rsidRPr="002F75E6">
        <w:rPr>
          <w:lang w:val="en-GB"/>
        </w:rPr>
        <w:t>he</w:t>
      </w:r>
      <w:r w:rsidR="00EC471C">
        <w:rPr>
          <w:lang w:val="en-GB"/>
        </w:rPr>
        <w:t xml:space="preserve"> </w:t>
      </w:r>
      <w:r w:rsidRPr="000F1C26">
        <w:rPr>
          <w:i/>
          <w:lang w:val="en-GB"/>
        </w:rPr>
        <w:t>Times of India</w:t>
      </w:r>
      <w:r w:rsidRPr="00BE35ED">
        <w:rPr>
          <w:lang w:val="en-GB"/>
        </w:rPr>
        <w:t xml:space="preserve"> in Kerala</w:t>
      </w:r>
      <w:r w:rsidR="00787E6F">
        <w:rPr>
          <w:lang w:val="en-GB"/>
        </w:rPr>
        <w:t>?</w:t>
      </w:r>
      <w:r w:rsidR="00787E6F" w:rsidRPr="00BE35ED">
        <w:rPr>
          <w:lang w:val="en-GB"/>
        </w:rPr>
        <w:t xml:space="preserve"> </w:t>
      </w:r>
      <w:r w:rsidRPr="00BE35ED">
        <w:rPr>
          <w:lang w:val="en-GB"/>
        </w:rPr>
        <w:t>Even if someone reads</w:t>
      </w:r>
      <w:r w:rsidR="003C6106">
        <w:rPr>
          <w:lang w:val="en-GB"/>
        </w:rPr>
        <w:t xml:space="preserve"> it</w:t>
      </w:r>
      <w:r w:rsidRPr="00BE35ED">
        <w:rPr>
          <w:lang w:val="en-GB"/>
        </w:rPr>
        <w:t xml:space="preserve">, she is </w:t>
      </w:r>
      <w:r w:rsidR="003C6106">
        <w:rPr>
          <w:lang w:val="en-GB"/>
        </w:rPr>
        <w:t xml:space="preserve">the </w:t>
      </w:r>
      <w:r w:rsidRPr="00BE35ED">
        <w:rPr>
          <w:lang w:val="en-GB"/>
        </w:rPr>
        <w:t xml:space="preserve">least like the woman who has </w:t>
      </w:r>
      <w:r w:rsidR="003C6106">
        <w:rPr>
          <w:lang w:val="en-GB"/>
        </w:rPr>
        <w:t xml:space="preserve">an </w:t>
      </w:r>
      <w:r w:rsidRPr="00BE35ED">
        <w:rPr>
          <w:lang w:val="en-GB"/>
        </w:rPr>
        <w:t xml:space="preserve">interest in our products. </w:t>
      </w:r>
      <w:proofErr w:type="spellStart"/>
      <w:r w:rsidRPr="00BE35ED">
        <w:rPr>
          <w:lang w:val="en-GB"/>
        </w:rPr>
        <w:t>ToI</w:t>
      </w:r>
      <w:proofErr w:type="spellEnd"/>
      <w:r w:rsidRPr="00BE35ED">
        <w:rPr>
          <w:lang w:val="en-GB"/>
        </w:rPr>
        <w:t xml:space="preserve"> is not for us. I have not even seen Bajaj, Philips, </w:t>
      </w:r>
      <w:proofErr w:type="spellStart"/>
      <w:r w:rsidRPr="00BE35ED">
        <w:rPr>
          <w:lang w:val="en-GB"/>
        </w:rPr>
        <w:t>Usha</w:t>
      </w:r>
      <w:proofErr w:type="spellEnd"/>
      <w:r w:rsidR="00784BC2">
        <w:rPr>
          <w:lang w:val="en-GB"/>
        </w:rPr>
        <w:t>,</w:t>
      </w:r>
      <w:r w:rsidRPr="00BE35ED">
        <w:rPr>
          <w:lang w:val="en-GB"/>
        </w:rPr>
        <w:t xml:space="preserve"> or </w:t>
      </w:r>
      <w:proofErr w:type="spellStart"/>
      <w:r w:rsidRPr="00BE35ED">
        <w:rPr>
          <w:lang w:val="en-GB"/>
        </w:rPr>
        <w:t>Morphy</w:t>
      </w:r>
      <w:proofErr w:type="spellEnd"/>
      <w:r w:rsidRPr="00BE35ED">
        <w:rPr>
          <w:lang w:val="en-GB"/>
        </w:rPr>
        <w:t xml:space="preserve"> Richards advertising in </w:t>
      </w:r>
      <w:proofErr w:type="spellStart"/>
      <w:r w:rsidRPr="00BE35ED">
        <w:rPr>
          <w:lang w:val="en-GB"/>
        </w:rPr>
        <w:t>ToI</w:t>
      </w:r>
      <w:proofErr w:type="spellEnd"/>
      <w:r w:rsidRPr="00BE35ED">
        <w:rPr>
          <w:lang w:val="en-GB"/>
        </w:rPr>
        <w:t>. Why spend on media</w:t>
      </w:r>
      <w:r w:rsidR="003C6106">
        <w:rPr>
          <w:lang w:val="en-GB"/>
        </w:rPr>
        <w:t>?</w:t>
      </w:r>
      <w:r w:rsidR="003C6106" w:rsidRPr="00BE35ED">
        <w:rPr>
          <w:lang w:val="en-GB"/>
        </w:rPr>
        <w:t xml:space="preserve"> </w:t>
      </w:r>
      <w:r w:rsidRPr="00BE35ED">
        <w:rPr>
          <w:lang w:val="en-GB"/>
        </w:rPr>
        <w:t>We can have some in-store leaflets, which can double up as newspaper inserts, some T-shirts for the in-store promoters, and</w:t>
      </w:r>
      <w:r w:rsidR="00784BC2">
        <w:rPr>
          <w:lang w:val="en-GB"/>
        </w:rPr>
        <w:t>,</w:t>
      </w:r>
      <w:r w:rsidRPr="00BE35ED">
        <w:rPr>
          <w:lang w:val="en-GB"/>
        </w:rPr>
        <w:t xml:space="preserve"> if required, a few billboards, for which we already have a contract in place, </w:t>
      </w:r>
      <w:proofErr w:type="gramStart"/>
      <w:r w:rsidRPr="00BE35ED">
        <w:rPr>
          <w:lang w:val="en-GB"/>
        </w:rPr>
        <w:t>could be painted</w:t>
      </w:r>
      <w:proofErr w:type="gramEnd"/>
      <w:r w:rsidRPr="00BE35ED">
        <w:rPr>
          <w:lang w:val="en-GB"/>
        </w:rPr>
        <w:t xml:space="preserve"> with the scheme. </w:t>
      </w:r>
      <w:proofErr w:type="gramStart"/>
      <w:r w:rsidRPr="00BE35ED">
        <w:rPr>
          <w:lang w:val="en-GB"/>
        </w:rPr>
        <w:t>Also</w:t>
      </w:r>
      <w:proofErr w:type="gramEnd"/>
      <w:r w:rsidRPr="00BE35ED">
        <w:rPr>
          <w:lang w:val="en-GB"/>
        </w:rPr>
        <w:t>, the scheme should be simple for my reps to explain to dealers and in-store promoters to explain to the consumers.</w:t>
      </w:r>
    </w:p>
    <w:p w14:paraId="0C474482" w14:textId="77777777" w:rsidR="00606A2A" w:rsidRPr="00BE35ED" w:rsidRDefault="00606A2A" w:rsidP="00606A2A">
      <w:pPr>
        <w:pStyle w:val="BodyTextMain"/>
        <w:ind w:left="720"/>
        <w:rPr>
          <w:lang w:val="en-GB"/>
        </w:rPr>
      </w:pPr>
    </w:p>
    <w:p w14:paraId="251BDBBC" w14:textId="75262874" w:rsidR="00066622" w:rsidRPr="00BE35ED" w:rsidRDefault="00066622" w:rsidP="00606A2A">
      <w:pPr>
        <w:pStyle w:val="BodyTextMain"/>
        <w:ind w:left="720"/>
        <w:rPr>
          <w:lang w:val="en-GB"/>
        </w:rPr>
      </w:pPr>
      <w:proofErr w:type="gramStart"/>
      <w:r w:rsidRPr="00BE35ED">
        <w:rPr>
          <w:lang w:val="en-GB"/>
        </w:rPr>
        <w:t xml:space="preserve">In fact, why not </w:t>
      </w:r>
      <w:r w:rsidR="00D03E56">
        <w:rPr>
          <w:lang w:val="en-GB"/>
        </w:rPr>
        <w:t xml:space="preserve">use </w:t>
      </w:r>
      <w:r w:rsidRPr="00BE35ED">
        <w:rPr>
          <w:lang w:val="en-GB"/>
        </w:rPr>
        <w:t xml:space="preserve">our </w:t>
      </w:r>
      <w:r w:rsidR="003C6106">
        <w:rPr>
          <w:lang w:val="en-GB"/>
        </w:rPr>
        <w:t>tried-and-</w:t>
      </w:r>
      <w:r w:rsidR="009D3C74">
        <w:rPr>
          <w:lang w:val="en-GB"/>
        </w:rPr>
        <w:t>tested</w:t>
      </w:r>
      <w:r w:rsidRPr="00BE35ED">
        <w:rPr>
          <w:lang w:val="en-GB"/>
        </w:rPr>
        <w:t xml:space="preserve"> scheme</w:t>
      </w:r>
      <w:r w:rsidR="00A55F65">
        <w:rPr>
          <w:lang w:val="en-GB"/>
        </w:rPr>
        <w:t>,</w:t>
      </w:r>
      <w:r w:rsidRPr="00BE35ED">
        <w:rPr>
          <w:lang w:val="en-GB"/>
        </w:rPr>
        <w:t xml:space="preserve"> which we executed last year when I had just joined</w:t>
      </w:r>
      <w:r w:rsidR="003C6106">
        <w:rPr>
          <w:lang w:val="en-GB"/>
        </w:rPr>
        <w:t>?</w:t>
      </w:r>
      <w:proofErr w:type="gramEnd"/>
      <w:r w:rsidR="003C6106" w:rsidRPr="00BE35ED">
        <w:rPr>
          <w:lang w:val="en-GB"/>
        </w:rPr>
        <w:t xml:space="preserve"> </w:t>
      </w:r>
      <w:r w:rsidRPr="00BE35ED">
        <w:rPr>
          <w:lang w:val="en-GB"/>
        </w:rPr>
        <w:t xml:space="preserve">I remember we crossed our projected volume targets. I can assure distributor and dealer support for the deep discounts to </w:t>
      </w:r>
      <w:proofErr w:type="gramStart"/>
      <w:r w:rsidRPr="00BE35ED">
        <w:rPr>
          <w:lang w:val="en-GB"/>
        </w:rPr>
        <w:t>be shared</w:t>
      </w:r>
      <w:proofErr w:type="gramEnd"/>
      <w:r w:rsidRPr="00BE35ED">
        <w:rPr>
          <w:lang w:val="en-GB"/>
        </w:rPr>
        <w:t xml:space="preserve"> in reasonable proportion so that we do not cut our margins heavily and consumers get a </w:t>
      </w:r>
      <w:r w:rsidR="00784BC2">
        <w:rPr>
          <w:lang w:val="en-GB"/>
        </w:rPr>
        <w:t>“</w:t>
      </w:r>
      <w:r w:rsidR="00784BC2" w:rsidRPr="00BE35ED">
        <w:rPr>
          <w:lang w:val="en-GB"/>
        </w:rPr>
        <w:t>real</w:t>
      </w:r>
      <w:r w:rsidR="00784BC2">
        <w:rPr>
          <w:lang w:val="en-GB"/>
        </w:rPr>
        <w:t>”</w:t>
      </w:r>
      <w:r w:rsidR="00784BC2" w:rsidRPr="00BE35ED">
        <w:rPr>
          <w:lang w:val="en-GB"/>
        </w:rPr>
        <w:t xml:space="preserve"> </w:t>
      </w:r>
      <w:r w:rsidRPr="00BE35ED">
        <w:rPr>
          <w:lang w:val="en-GB"/>
        </w:rPr>
        <w:t xml:space="preserve">discount, which they can feel. My boys in the field are waiting for this </w:t>
      </w:r>
      <w:r w:rsidR="003C6106" w:rsidRPr="00BE35ED">
        <w:rPr>
          <w:lang w:val="en-GB"/>
        </w:rPr>
        <w:t>tried</w:t>
      </w:r>
      <w:r w:rsidR="003C6106">
        <w:rPr>
          <w:lang w:val="en-GB"/>
        </w:rPr>
        <w:t>-</w:t>
      </w:r>
      <w:r w:rsidR="003C6106" w:rsidRPr="00BE35ED">
        <w:rPr>
          <w:lang w:val="en-GB"/>
        </w:rPr>
        <w:t>and</w:t>
      </w:r>
      <w:r w:rsidR="003C6106">
        <w:rPr>
          <w:lang w:val="en-GB"/>
        </w:rPr>
        <w:t>-</w:t>
      </w:r>
      <w:r w:rsidRPr="00BE35ED">
        <w:rPr>
          <w:lang w:val="en-GB"/>
        </w:rPr>
        <w:t>tested scheme. Even a few dealers were asking me about it.</w:t>
      </w:r>
    </w:p>
    <w:p w14:paraId="38C99117" w14:textId="77777777" w:rsidR="00606A2A" w:rsidRPr="00BE35ED" w:rsidRDefault="00606A2A" w:rsidP="00066622">
      <w:pPr>
        <w:pStyle w:val="BodyTextMain"/>
        <w:rPr>
          <w:lang w:val="en-GB"/>
        </w:rPr>
      </w:pPr>
    </w:p>
    <w:p w14:paraId="27CFF85F" w14:textId="62E7F9FA" w:rsidR="00066622" w:rsidRPr="00BE35ED" w:rsidRDefault="00DF23AA" w:rsidP="00066622">
      <w:pPr>
        <w:pStyle w:val="BodyTextMain"/>
        <w:rPr>
          <w:lang w:val="en-GB"/>
        </w:rPr>
      </w:pPr>
      <w:proofErr w:type="spellStart"/>
      <w:r w:rsidRPr="00BE35ED">
        <w:rPr>
          <w:spacing w:val="-2"/>
          <w:kern w:val="22"/>
          <w:lang w:val="en-GB"/>
        </w:rPr>
        <w:t>Kodakkadan</w:t>
      </w:r>
      <w:proofErr w:type="spellEnd"/>
      <w:r>
        <w:rPr>
          <w:spacing w:val="-2"/>
          <w:kern w:val="22"/>
          <w:lang w:val="en-GB"/>
        </w:rPr>
        <w:t xml:space="preserve"> </w:t>
      </w:r>
      <w:r w:rsidR="00066622" w:rsidRPr="00BE35ED">
        <w:rPr>
          <w:lang w:val="en-GB"/>
        </w:rPr>
        <w:t xml:space="preserve">presented some more arguments in favour of his new idea and explained the </w:t>
      </w:r>
      <w:r w:rsidR="00787E6F" w:rsidRPr="00BE35ED">
        <w:rPr>
          <w:lang w:val="en-GB"/>
        </w:rPr>
        <w:t>direct</w:t>
      </w:r>
      <w:r w:rsidR="00787E6F">
        <w:rPr>
          <w:lang w:val="en-GB"/>
        </w:rPr>
        <w:t>-</w:t>
      </w:r>
      <w:r w:rsidR="00066622" w:rsidRPr="00BE35ED">
        <w:rPr>
          <w:lang w:val="en-GB"/>
        </w:rPr>
        <w:t>response model:</w:t>
      </w:r>
    </w:p>
    <w:p w14:paraId="70782641" w14:textId="77777777" w:rsidR="00606A2A" w:rsidRPr="00BE35ED" w:rsidRDefault="00606A2A" w:rsidP="00066622">
      <w:pPr>
        <w:pStyle w:val="BodyTextMain"/>
        <w:rPr>
          <w:lang w:val="en-GB"/>
        </w:rPr>
      </w:pPr>
    </w:p>
    <w:p w14:paraId="4C609255" w14:textId="4297FA3A" w:rsidR="00066622" w:rsidRPr="00BE35ED" w:rsidRDefault="00066622" w:rsidP="00606A2A">
      <w:pPr>
        <w:pStyle w:val="BodyTextMain"/>
        <w:ind w:left="720"/>
        <w:rPr>
          <w:lang w:val="en-GB"/>
        </w:rPr>
      </w:pPr>
      <w:r w:rsidRPr="00BE35ED">
        <w:rPr>
          <w:lang w:val="en-GB"/>
        </w:rPr>
        <w:t xml:space="preserve">I have done my calculations; even this scheme can result in good volumes and the prices can be as attractive as they were in last year’s scheme. With regard to </w:t>
      </w:r>
      <w:proofErr w:type="spellStart"/>
      <w:r w:rsidRPr="00BE35ED">
        <w:rPr>
          <w:lang w:val="en-GB"/>
        </w:rPr>
        <w:t>ToI</w:t>
      </w:r>
      <w:proofErr w:type="spellEnd"/>
      <w:r w:rsidRPr="00BE35ED">
        <w:rPr>
          <w:lang w:val="en-GB"/>
        </w:rPr>
        <w:t xml:space="preserve"> and the elite market, I know our consumers better. This is a different approach</w:t>
      </w:r>
      <w:r w:rsidR="00784BC2">
        <w:rPr>
          <w:lang w:val="en-GB"/>
        </w:rPr>
        <w:t>—</w:t>
      </w:r>
      <w:r w:rsidRPr="00BE35ED">
        <w:rPr>
          <w:lang w:val="en-GB"/>
        </w:rPr>
        <w:t xml:space="preserve">it is not a brand-building campaign, </w:t>
      </w:r>
      <w:proofErr w:type="gramStart"/>
      <w:r w:rsidRPr="00BE35ED">
        <w:rPr>
          <w:lang w:val="en-GB"/>
        </w:rPr>
        <w:t>it’s</w:t>
      </w:r>
      <w:proofErr w:type="gramEnd"/>
      <w:r w:rsidRPr="00BE35ED">
        <w:rPr>
          <w:lang w:val="en-GB"/>
        </w:rPr>
        <w:t xml:space="preserve"> </w:t>
      </w:r>
      <w:r w:rsidR="00784BC2" w:rsidRPr="00BE35ED">
        <w:rPr>
          <w:lang w:val="en-GB"/>
        </w:rPr>
        <w:t>direct</w:t>
      </w:r>
      <w:r w:rsidR="00784BC2">
        <w:rPr>
          <w:lang w:val="en-GB"/>
        </w:rPr>
        <w:t>-</w:t>
      </w:r>
      <w:r w:rsidRPr="00BE35ED">
        <w:rPr>
          <w:lang w:val="en-GB"/>
        </w:rPr>
        <w:t xml:space="preserve">response advertising, which may also help us in familiarizing the brand in newer markets. We </w:t>
      </w:r>
      <w:proofErr w:type="gramStart"/>
      <w:r w:rsidRPr="00BE35ED">
        <w:rPr>
          <w:lang w:val="en-GB"/>
        </w:rPr>
        <w:t>shouldn’t</w:t>
      </w:r>
      <w:proofErr w:type="gramEnd"/>
      <w:r w:rsidRPr="00BE35ED">
        <w:rPr>
          <w:lang w:val="en-GB"/>
        </w:rPr>
        <w:t xml:space="preserve"> keep looking only at the Kerala market. We have seen how we are stuck at </w:t>
      </w:r>
      <w:r w:rsidRPr="00BE35ED">
        <w:rPr>
          <w:rFonts w:ascii="Tahoma" w:hAnsi="Tahoma" w:cs="Tahoma"/>
          <w:lang w:val="en-GB"/>
        </w:rPr>
        <w:t>₹</w:t>
      </w:r>
      <w:r w:rsidRPr="00BE35ED">
        <w:rPr>
          <w:lang w:val="en-GB"/>
        </w:rPr>
        <w:t xml:space="preserve">350 million, with hardly any growth in the last two years. In order for the brand to grow, we need to expand geographically in other markets, and nationally. Many regional brands in the kitchen appliances category have quickly grown from regional brands to national brands. Further, we do not need to rely on channel partners, as this is a direct sales model and the orders would come over telephone or SMS. </w:t>
      </w:r>
      <w:proofErr w:type="gramStart"/>
      <w:r w:rsidRPr="00BE35ED">
        <w:rPr>
          <w:lang w:val="en-GB"/>
        </w:rPr>
        <w:t>It’s</w:t>
      </w:r>
      <w:proofErr w:type="gramEnd"/>
      <w:r w:rsidRPr="00BE35ED">
        <w:rPr>
          <w:lang w:val="en-GB"/>
        </w:rPr>
        <w:t xml:space="preserve"> been long since we have been thinking of testing the waters outside Kerala. This is a good opportunity where we would have measurable response data with customer profiles.</w:t>
      </w:r>
    </w:p>
    <w:p w14:paraId="2FDAB77F" w14:textId="77777777" w:rsidR="00606A2A" w:rsidRPr="00BE35ED" w:rsidRDefault="00606A2A" w:rsidP="00066622">
      <w:pPr>
        <w:pStyle w:val="BodyTextMain"/>
        <w:rPr>
          <w:lang w:val="en-GB"/>
        </w:rPr>
      </w:pPr>
    </w:p>
    <w:p w14:paraId="74BE5D33" w14:textId="58192323" w:rsidR="00066622" w:rsidRPr="00BE35ED" w:rsidRDefault="00AE40CC" w:rsidP="00066622">
      <w:pPr>
        <w:pStyle w:val="BodyTextMain"/>
        <w:rPr>
          <w:lang w:val="en-GB"/>
        </w:rPr>
      </w:pPr>
      <w:proofErr w:type="spellStart"/>
      <w:r w:rsidRPr="00BE35ED">
        <w:rPr>
          <w:lang w:val="en-GB"/>
        </w:rPr>
        <w:lastRenderedPageBreak/>
        <w:t>Ravindran</w:t>
      </w:r>
      <w:proofErr w:type="spellEnd"/>
      <w:r>
        <w:rPr>
          <w:lang w:val="en-GB"/>
        </w:rPr>
        <w:t xml:space="preserve"> </w:t>
      </w:r>
      <w:r w:rsidR="00066622" w:rsidRPr="00BE35ED">
        <w:rPr>
          <w:lang w:val="en-GB"/>
        </w:rPr>
        <w:t xml:space="preserve">was not very happy with </w:t>
      </w:r>
      <w:proofErr w:type="gramStart"/>
      <w:r w:rsidR="00066622" w:rsidRPr="00BE35ED">
        <w:rPr>
          <w:lang w:val="en-GB"/>
        </w:rPr>
        <w:t>this</w:t>
      </w:r>
      <w:proofErr w:type="gramEnd"/>
      <w:r w:rsidR="00066622" w:rsidRPr="00BE35ED">
        <w:rPr>
          <w:lang w:val="en-GB"/>
        </w:rPr>
        <w:t xml:space="preserve"> new idea that </w:t>
      </w:r>
      <w:proofErr w:type="spellStart"/>
      <w:r w:rsidR="00DF23AA" w:rsidRPr="00BE35ED">
        <w:rPr>
          <w:spacing w:val="-2"/>
          <w:kern w:val="22"/>
          <w:lang w:val="en-GB"/>
        </w:rPr>
        <w:t>Kodakkadan</w:t>
      </w:r>
      <w:proofErr w:type="spellEnd"/>
      <w:r w:rsidR="00DF23AA">
        <w:rPr>
          <w:spacing w:val="-2"/>
          <w:kern w:val="22"/>
          <w:lang w:val="en-GB"/>
        </w:rPr>
        <w:t xml:space="preserve"> </w:t>
      </w:r>
      <w:r w:rsidR="00066622" w:rsidRPr="00BE35ED">
        <w:rPr>
          <w:lang w:val="en-GB"/>
        </w:rPr>
        <w:t xml:space="preserve">advocated </w:t>
      </w:r>
      <w:r w:rsidR="00365D4F">
        <w:rPr>
          <w:lang w:val="en-GB"/>
        </w:rPr>
        <w:t>as if he were</w:t>
      </w:r>
      <w:r w:rsidR="00365D4F" w:rsidRPr="00BE35ED">
        <w:rPr>
          <w:lang w:val="en-GB"/>
        </w:rPr>
        <w:t xml:space="preserve"> </w:t>
      </w:r>
      <w:r w:rsidR="00066622" w:rsidRPr="00BE35ED">
        <w:rPr>
          <w:lang w:val="en-GB"/>
        </w:rPr>
        <w:t xml:space="preserve">an agent of </w:t>
      </w:r>
      <w:r w:rsidR="00FE4FFE">
        <w:rPr>
          <w:lang w:val="en-GB"/>
        </w:rPr>
        <w:t>a</w:t>
      </w:r>
      <w:r w:rsidR="00FE4FFE" w:rsidRPr="00BE35ED">
        <w:rPr>
          <w:lang w:val="en-GB"/>
        </w:rPr>
        <w:t xml:space="preserve"> </w:t>
      </w:r>
      <w:r w:rsidR="00066622" w:rsidRPr="00BE35ED">
        <w:rPr>
          <w:lang w:val="en-GB"/>
        </w:rPr>
        <w:t xml:space="preserve">media house. He was worried about what would happen to channel relations in Kerala, which he had carefully rebuilt </w:t>
      </w:r>
      <w:r w:rsidR="00365D4F">
        <w:rPr>
          <w:lang w:val="en-GB"/>
        </w:rPr>
        <w:t xml:space="preserve">in </w:t>
      </w:r>
      <w:r w:rsidR="00066622" w:rsidRPr="00BE35ED">
        <w:rPr>
          <w:lang w:val="en-GB"/>
        </w:rPr>
        <w:t xml:space="preserve">the </w:t>
      </w:r>
      <w:r w:rsidR="00365D4F">
        <w:rPr>
          <w:lang w:val="en-GB"/>
        </w:rPr>
        <w:t>p</w:t>
      </w:r>
      <w:r w:rsidR="00066622" w:rsidRPr="00BE35ED">
        <w:rPr>
          <w:lang w:val="en-GB"/>
        </w:rPr>
        <w:t xml:space="preserve">ast year. According to him, the primary goal of achieving incremental volumes in March was </w:t>
      </w:r>
      <w:r w:rsidR="00FE4FFE">
        <w:rPr>
          <w:lang w:val="en-GB"/>
        </w:rPr>
        <w:t>probably unachievable</w:t>
      </w:r>
      <w:r w:rsidR="00FE4FFE" w:rsidRPr="00BE35ED">
        <w:rPr>
          <w:lang w:val="en-GB"/>
        </w:rPr>
        <w:t xml:space="preserve"> </w:t>
      </w:r>
      <w:r w:rsidR="00066622" w:rsidRPr="00BE35ED">
        <w:rPr>
          <w:lang w:val="en-GB"/>
        </w:rPr>
        <w:t>in this case; moreover, the distributors and dealers would be not part of this scheme at all. He mumbled:</w:t>
      </w:r>
    </w:p>
    <w:p w14:paraId="460A541B" w14:textId="77777777" w:rsidR="00606A2A" w:rsidRPr="00BE35ED" w:rsidRDefault="00606A2A" w:rsidP="00066622">
      <w:pPr>
        <w:pStyle w:val="BodyTextMain"/>
        <w:rPr>
          <w:lang w:val="en-GB"/>
        </w:rPr>
      </w:pPr>
    </w:p>
    <w:p w14:paraId="15495CEA" w14:textId="101885E9" w:rsidR="00066622" w:rsidRPr="00BE35ED" w:rsidRDefault="00066622" w:rsidP="00606A2A">
      <w:pPr>
        <w:pStyle w:val="BodyTextMain"/>
        <w:ind w:left="720"/>
        <w:rPr>
          <w:lang w:val="en-GB"/>
        </w:rPr>
      </w:pPr>
      <w:r w:rsidRPr="00BE35ED">
        <w:rPr>
          <w:lang w:val="en-GB"/>
        </w:rPr>
        <w:t xml:space="preserve">It is all about direct distribution. </w:t>
      </w:r>
      <w:proofErr w:type="gramStart"/>
      <w:r w:rsidRPr="00BE35ED">
        <w:rPr>
          <w:lang w:val="en-GB"/>
        </w:rPr>
        <w:t>And</w:t>
      </w:r>
      <w:proofErr w:type="gramEnd"/>
      <w:r w:rsidRPr="00BE35ED">
        <w:rPr>
          <w:lang w:val="en-GB"/>
        </w:rPr>
        <w:t xml:space="preserve"> what about the boys in the field? Would they get their incentives? What happens to his</w:t>
      </w:r>
      <w:r w:rsidR="00FE4FFE">
        <w:rPr>
          <w:lang w:val="en-GB"/>
        </w:rPr>
        <w:t xml:space="preserve"> sales</w:t>
      </w:r>
      <w:r w:rsidRPr="00BE35ED">
        <w:rPr>
          <w:lang w:val="en-GB"/>
        </w:rPr>
        <w:t xml:space="preserve"> targets if this contributes more sales from North India and not the </w:t>
      </w:r>
      <w:r w:rsidR="00CD093A">
        <w:rPr>
          <w:lang w:val="en-GB"/>
        </w:rPr>
        <w:t>s</w:t>
      </w:r>
      <w:r w:rsidR="00CD093A" w:rsidRPr="00BE35ED">
        <w:rPr>
          <w:lang w:val="en-GB"/>
        </w:rPr>
        <w:t xml:space="preserve">outhern </w:t>
      </w:r>
      <w:r w:rsidRPr="00BE35ED">
        <w:rPr>
          <w:lang w:val="en-GB"/>
        </w:rPr>
        <w:t>states?</w:t>
      </w:r>
    </w:p>
    <w:p w14:paraId="3A7E2CF6" w14:textId="77777777" w:rsidR="00606A2A" w:rsidRPr="00BE35ED" w:rsidRDefault="00606A2A" w:rsidP="00066622">
      <w:pPr>
        <w:pStyle w:val="BodyTextMain"/>
        <w:rPr>
          <w:lang w:val="en-GB"/>
        </w:rPr>
      </w:pPr>
    </w:p>
    <w:p w14:paraId="158FBCCD" w14:textId="0AC6746F" w:rsidR="00066622" w:rsidRPr="00BE35ED" w:rsidRDefault="00DF23AA" w:rsidP="00066622">
      <w:pPr>
        <w:pStyle w:val="BodyTextMain"/>
        <w:rPr>
          <w:lang w:val="en-GB"/>
        </w:rPr>
      </w:pPr>
      <w:proofErr w:type="spellStart"/>
      <w:r w:rsidRPr="00BE35ED">
        <w:rPr>
          <w:spacing w:val="-2"/>
          <w:kern w:val="22"/>
          <w:lang w:val="en-GB"/>
        </w:rPr>
        <w:t>Kodakkadan</w:t>
      </w:r>
      <w:proofErr w:type="spellEnd"/>
      <w:r w:rsidR="00066622" w:rsidRPr="00BE35ED">
        <w:rPr>
          <w:lang w:val="en-GB"/>
        </w:rPr>
        <w:t>, on the other hand, was very optimistic about this scheme. Direct distribution would be a great opportunity to get closer to the consumers</w:t>
      </w:r>
      <w:r w:rsidR="0093207B">
        <w:rPr>
          <w:lang w:val="en-GB"/>
        </w:rPr>
        <w:t xml:space="preserve"> and</w:t>
      </w:r>
      <w:r w:rsidR="0093207B" w:rsidRPr="00BE35ED">
        <w:rPr>
          <w:lang w:val="en-GB"/>
        </w:rPr>
        <w:t xml:space="preserve"> </w:t>
      </w:r>
      <w:r w:rsidR="00066622" w:rsidRPr="00BE35ED">
        <w:rPr>
          <w:lang w:val="en-GB"/>
        </w:rPr>
        <w:t>end</w:t>
      </w:r>
      <w:r w:rsidR="00A55F65">
        <w:rPr>
          <w:lang w:val="en-GB"/>
        </w:rPr>
        <w:t>-</w:t>
      </w:r>
      <w:r w:rsidR="00066622" w:rsidRPr="00BE35ED">
        <w:rPr>
          <w:lang w:val="en-GB"/>
        </w:rPr>
        <w:t xml:space="preserve">users. With regard to the existing channel partners, </w:t>
      </w:r>
      <w:proofErr w:type="spellStart"/>
      <w:r w:rsidR="00AE40CC" w:rsidRPr="00BE35ED">
        <w:rPr>
          <w:lang w:val="en-GB"/>
        </w:rPr>
        <w:t>Ravindran</w:t>
      </w:r>
      <w:proofErr w:type="spellEnd"/>
      <w:r w:rsidR="00AE40CC">
        <w:rPr>
          <w:lang w:val="en-GB"/>
        </w:rPr>
        <w:t xml:space="preserve"> </w:t>
      </w:r>
      <w:r w:rsidR="00365D4F">
        <w:rPr>
          <w:lang w:val="en-GB"/>
        </w:rPr>
        <w:t xml:space="preserve">had no need </w:t>
      </w:r>
      <w:r w:rsidR="00CD093A">
        <w:rPr>
          <w:lang w:val="en-GB"/>
        </w:rPr>
        <w:t xml:space="preserve">to </w:t>
      </w:r>
      <w:r w:rsidR="00066622" w:rsidRPr="00BE35ED">
        <w:rPr>
          <w:lang w:val="en-GB"/>
        </w:rPr>
        <w:t>worr</w:t>
      </w:r>
      <w:r w:rsidR="0093207B">
        <w:rPr>
          <w:lang w:val="en-GB"/>
        </w:rPr>
        <w:t>y</w:t>
      </w:r>
      <w:r w:rsidR="00066622" w:rsidRPr="00BE35ED">
        <w:rPr>
          <w:lang w:val="en-GB"/>
        </w:rPr>
        <w:t xml:space="preserve"> because </w:t>
      </w:r>
      <w:r w:rsidR="00EC471C">
        <w:rPr>
          <w:lang w:val="en-GB"/>
        </w:rPr>
        <w:t xml:space="preserve">the </w:t>
      </w:r>
      <w:proofErr w:type="spellStart"/>
      <w:r w:rsidR="00066622" w:rsidRPr="00BE35ED">
        <w:rPr>
          <w:lang w:val="en-GB"/>
        </w:rPr>
        <w:t>ToI</w:t>
      </w:r>
      <w:proofErr w:type="spellEnd"/>
      <w:r w:rsidR="00066622" w:rsidRPr="00BE35ED">
        <w:rPr>
          <w:lang w:val="en-GB"/>
        </w:rPr>
        <w:t xml:space="preserve"> was not a popular newspaper in Kerala: there would </w:t>
      </w:r>
      <w:r w:rsidR="00784BC2">
        <w:rPr>
          <w:lang w:val="en-GB"/>
        </w:rPr>
        <w:t xml:space="preserve">be </w:t>
      </w:r>
      <w:r w:rsidR="00066622" w:rsidRPr="00BE35ED">
        <w:rPr>
          <w:lang w:val="en-GB"/>
        </w:rPr>
        <w:t xml:space="preserve">a maximum of three ads in a not-so-popular daily </w:t>
      </w:r>
      <w:r w:rsidR="00CD093A">
        <w:rPr>
          <w:lang w:val="en-GB"/>
        </w:rPr>
        <w:t xml:space="preserve">paper </w:t>
      </w:r>
      <w:r w:rsidR="00066622" w:rsidRPr="00BE35ED">
        <w:rPr>
          <w:lang w:val="en-GB"/>
        </w:rPr>
        <w:t xml:space="preserve">in Kerala and no billboards. </w:t>
      </w:r>
      <w:r w:rsidR="009D3C74">
        <w:rPr>
          <w:lang w:val="en-GB"/>
        </w:rPr>
        <w:t>The</w:t>
      </w:r>
      <w:r w:rsidR="00066622" w:rsidRPr="00BE35ED">
        <w:rPr>
          <w:lang w:val="en-GB"/>
        </w:rPr>
        <w:t xml:space="preserve"> dealers would not even know that such a scheme was </w:t>
      </w:r>
      <w:r w:rsidR="00365D4F">
        <w:rPr>
          <w:lang w:val="en-GB"/>
        </w:rPr>
        <w:t>occurring</w:t>
      </w:r>
      <w:r w:rsidR="00066622" w:rsidRPr="00BE35ED">
        <w:rPr>
          <w:lang w:val="en-GB"/>
        </w:rPr>
        <w:t xml:space="preserve">. </w:t>
      </w:r>
      <w:proofErr w:type="spellStart"/>
      <w:r w:rsidR="00365D4F">
        <w:rPr>
          <w:lang w:val="en-GB"/>
        </w:rPr>
        <w:t>Kodakkadan</w:t>
      </w:r>
      <w:proofErr w:type="spellEnd"/>
      <w:r w:rsidR="00365D4F" w:rsidRPr="00BE35ED">
        <w:rPr>
          <w:lang w:val="en-GB"/>
        </w:rPr>
        <w:t xml:space="preserve"> </w:t>
      </w:r>
      <w:r w:rsidR="00066622" w:rsidRPr="00BE35ED">
        <w:rPr>
          <w:lang w:val="en-GB"/>
        </w:rPr>
        <w:t>was also aware that the new one-</w:t>
      </w:r>
      <w:r w:rsidR="00492EB9">
        <w:rPr>
          <w:lang w:val="en-GB"/>
        </w:rPr>
        <w:t>person</w:t>
      </w:r>
      <w:r w:rsidR="00492EB9" w:rsidRPr="00BE35ED">
        <w:rPr>
          <w:lang w:val="en-GB"/>
        </w:rPr>
        <w:t xml:space="preserve"> </w:t>
      </w:r>
      <w:r w:rsidR="00066622" w:rsidRPr="00BE35ED">
        <w:rPr>
          <w:lang w:val="en-GB"/>
        </w:rPr>
        <w:t xml:space="preserve">department for online sales at </w:t>
      </w:r>
      <w:proofErr w:type="spellStart"/>
      <w:r w:rsidR="00066622" w:rsidRPr="00BE35ED">
        <w:rPr>
          <w:lang w:val="en-GB"/>
        </w:rPr>
        <w:t>Impex</w:t>
      </w:r>
      <w:proofErr w:type="spellEnd"/>
      <w:r w:rsidR="00066622" w:rsidRPr="00BE35ED">
        <w:rPr>
          <w:lang w:val="en-GB"/>
        </w:rPr>
        <w:t xml:space="preserve"> was reporting over 500</w:t>
      </w:r>
      <w:r w:rsidR="0069529B">
        <w:rPr>
          <w:lang w:val="en-GB"/>
        </w:rPr>
        <w:t xml:space="preserve"> </w:t>
      </w:r>
      <w:r w:rsidR="007964AA">
        <w:rPr>
          <w:lang w:val="en-GB"/>
        </w:rPr>
        <w:t>per cent</w:t>
      </w:r>
      <w:r w:rsidR="00066622" w:rsidRPr="00BE35ED">
        <w:rPr>
          <w:lang w:val="en-GB"/>
        </w:rPr>
        <w:t xml:space="preserve"> month-on-month growth from the e-commerce channel, with the brand selling on e-tailing platforms such as Amazon and Flipkart. With the discounted offer prices being lower than the </w:t>
      </w:r>
      <w:proofErr w:type="gramStart"/>
      <w:r w:rsidR="00784BC2" w:rsidRPr="00BE35ED">
        <w:rPr>
          <w:lang w:val="en-GB"/>
        </w:rPr>
        <w:t>below</w:t>
      </w:r>
      <w:r w:rsidR="00784BC2">
        <w:rPr>
          <w:lang w:val="en-GB"/>
        </w:rPr>
        <w:t>-</w:t>
      </w:r>
      <w:r w:rsidR="00066622" w:rsidRPr="00BE35ED">
        <w:rPr>
          <w:lang w:val="en-GB"/>
        </w:rPr>
        <w:t>average</w:t>
      </w:r>
      <w:proofErr w:type="gramEnd"/>
      <w:r w:rsidR="00066622" w:rsidRPr="00BE35ED">
        <w:rPr>
          <w:lang w:val="en-GB"/>
        </w:rPr>
        <w:t xml:space="preserve"> price</w:t>
      </w:r>
      <w:r w:rsidR="00CD093A">
        <w:rPr>
          <w:lang w:val="en-GB"/>
        </w:rPr>
        <w:t>s</w:t>
      </w:r>
      <w:r w:rsidR="00066622" w:rsidRPr="00BE35ED">
        <w:rPr>
          <w:lang w:val="en-GB"/>
        </w:rPr>
        <w:t xml:space="preserve"> on the online portals (see </w:t>
      </w:r>
      <w:r w:rsidR="00066622" w:rsidRPr="0069529B">
        <w:rPr>
          <w:lang w:val="en-GB"/>
        </w:rPr>
        <w:t>Exhibit 9</w:t>
      </w:r>
      <w:r w:rsidR="00066622" w:rsidRPr="00BE35ED">
        <w:rPr>
          <w:lang w:val="en-GB"/>
        </w:rPr>
        <w:t xml:space="preserve">), he was confident that the response would be similar to that which the Reader’s Offer typically generated. As </w:t>
      </w:r>
      <w:proofErr w:type="spellStart"/>
      <w:r w:rsidR="008A2AE8">
        <w:rPr>
          <w:lang w:val="en-GB"/>
        </w:rPr>
        <w:t>Impex</w:t>
      </w:r>
      <w:proofErr w:type="spellEnd"/>
      <w:r w:rsidR="008A2AE8">
        <w:rPr>
          <w:lang w:val="en-GB"/>
        </w:rPr>
        <w:t xml:space="preserve"> used its</w:t>
      </w:r>
      <w:r w:rsidR="00066622" w:rsidRPr="00BE35ED">
        <w:rPr>
          <w:lang w:val="en-GB"/>
        </w:rPr>
        <w:t xml:space="preserve"> courier partner to deliver online orders, he assumed that the </w:t>
      </w:r>
      <w:r w:rsidR="0093207B">
        <w:rPr>
          <w:lang w:val="en-GB"/>
        </w:rPr>
        <w:t>“</w:t>
      </w:r>
      <w:r w:rsidR="00066622" w:rsidRPr="00BE35ED">
        <w:rPr>
          <w:lang w:val="en-GB"/>
        </w:rPr>
        <w:t xml:space="preserve">vendor </w:t>
      </w:r>
      <w:r w:rsidR="0093207B" w:rsidRPr="00BE35ED">
        <w:rPr>
          <w:lang w:val="en-GB"/>
        </w:rPr>
        <w:t>delivery</w:t>
      </w:r>
      <w:r w:rsidR="0093207B">
        <w:rPr>
          <w:lang w:val="en-GB"/>
        </w:rPr>
        <w:t>”</w:t>
      </w:r>
      <w:r w:rsidR="0093207B" w:rsidRPr="00BE35ED">
        <w:rPr>
          <w:lang w:val="en-GB"/>
        </w:rPr>
        <w:t xml:space="preserve"> </w:t>
      </w:r>
      <w:r w:rsidR="00066622" w:rsidRPr="00BE35ED">
        <w:rPr>
          <w:lang w:val="en-GB"/>
        </w:rPr>
        <w:t xml:space="preserve">mode would be better and he could negotiate the </w:t>
      </w:r>
      <w:proofErr w:type="spellStart"/>
      <w:r w:rsidR="00066622" w:rsidRPr="00BE35ED">
        <w:rPr>
          <w:lang w:val="en-GB"/>
        </w:rPr>
        <w:t>ToI</w:t>
      </w:r>
      <w:proofErr w:type="spellEnd"/>
      <w:r w:rsidR="00066622" w:rsidRPr="00BE35ED">
        <w:rPr>
          <w:lang w:val="en-GB"/>
        </w:rPr>
        <w:t xml:space="preserve"> commissions to </w:t>
      </w:r>
      <w:r w:rsidR="008D45E8">
        <w:rPr>
          <w:lang w:val="en-GB"/>
        </w:rPr>
        <w:t xml:space="preserve">8 </w:t>
      </w:r>
      <w:r w:rsidR="007964AA">
        <w:rPr>
          <w:lang w:val="en-GB"/>
        </w:rPr>
        <w:t>per cent</w:t>
      </w:r>
      <w:r w:rsidR="00066622" w:rsidRPr="00BE35ED">
        <w:rPr>
          <w:lang w:val="en-GB"/>
        </w:rPr>
        <w:t xml:space="preserve">. However, he was aware that if </w:t>
      </w:r>
      <w:proofErr w:type="spellStart"/>
      <w:r w:rsidR="00492EB9">
        <w:rPr>
          <w:lang w:val="en-GB"/>
        </w:rPr>
        <w:t>Impex</w:t>
      </w:r>
      <w:proofErr w:type="spellEnd"/>
      <w:r w:rsidR="00492EB9">
        <w:rPr>
          <w:lang w:val="en-GB"/>
        </w:rPr>
        <w:t xml:space="preserve"> undertook </w:t>
      </w:r>
      <w:r w:rsidR="00066622" w:rsidRPr="00BE35ED">
        <w:rPr>
          <w:lang w:val="en-GB"/>
        </w:rPr>
        <w:t xml:space="preserve">the delivery, the cost of delivery (paid to courier services) </w:t>
      </w:r>
      <w:r w:rsidR="00492EB9">
        <w:rPr>
          <w:lang w:val="en-GB"/>
        </w:rPr>
        <w:t xml:space="preserve">would need </w:t>
      </w:r>
      <w:r w:rsidR="00066622" w:rsidRPr="00BE35ED">
        <w:rPr>
          <w:lang w:val="en-GB"/>
        </w:rPr>
        <w:t xml:space="preserve">to </w:t>
      </w:r>
      <w:proofErr w:type="gramStart"/>
      <w:r w:rsidR="00066622" w:rsidRPr="00BE35ED">
        <w:rPr>
          <w:lang w:val="en-GB"/>
        </w:rPr>
        <w:t>be accounted for</w:t>
      </w:r>
      <w:proofErr w:type="gramEnd"/>
      <w:r w:rsidR="00066622" w:rsidRPr="00BE35ED">
        <w:rPr>
          <w:lang w:val="en-GB"/>
        </w:rPr>
        <w:t xml:space="preserve">. </w:t>
      </w:r>
    </w:p>
    <w:p w14:paraId="3BB6547E" w14:textId="2A04EAD0" w:rsidR="0069529B" w:rsidRDefault="0069529B">
      <w:pPr>
        <w:spacing w:after="200" w:line="276" w:lineRule="auto"/>
        <w:rPr>
          <w:sz w:val="22"/>
          <w:szCs w:val="22"/>
          <w:lang w:val="en-GB"/>
        </w:rPr>
      </w:pPr>
    </w:p>
    <w:p w14:paraId="5CD43D97" w14:textId="19B0EE4E" w:rsidR="00066622" w:rsidRPr="00BE35ED" w:rsidRDefault="00DF23AA" w:rsidP="00606A2A">
      <w:pPr>
        <w:pStyle w:val="Casehead1"/>
        <w:rPr>
          <w:lang w:val="en-GB"/>
        </w:rPr>
      </w:pPr>
      <w:r w:rsidRPr="00BE35ED">
        <w:rPr>
          <w:lang w:val="en-GB"/>
        </w:rPr>
        <w:t>Chenengadan</w:t>
      </w:r>
      <w:r w:rsidR="00066622" w:rsidRPr="00BE35ED">
        <w:rPr>
          <w:lang w:val="en-GB"/>
        </w:rPr>
        <w:t>’</w:t>
      </w:r>
      <w:r>
        <w:rPr>
          <w:lang w:val="en-GB"/>
        </w:rPr>
        <w:t>s</w:t>
      </w:r>
      <w:r w:rsidR="00066622" w:rsidRPr="00BE35ED">
        <w:rPr>
          <w:lang w:val="en-GB"/>
        </w:rPr>
        <w:t xml:space="preserve"> Decision</w:t>
      </w:r>
    </w:p>
    <w:p w14:paraId="554B9F33" w14:textId="77777777" w:rsidR="00606A2A" w:rsidRPr="00BE35ED" w:rsidRDefault="00606A2A" w:rsidP="00066622">
      <w:pPr>
        <w:pStyle w:val="BodyTextMain"/>
        <w:rPr>
          <w:lang w:val="en-GB"/>
        </w:rPr>
      </w:pPr>
    </w:p>
    <w:p w14:paraId="51273D18" w14:textId="061439FF" w:rsidR="00066622" w:rsidRPr="00BE35ED" w:rsidRDefault="00DF23AA" w:rsidP="00066622">
      <w:pPr>
        <w:pStyle w:val="BodyTextMain"/>
        <w:rPr>
          <w:lang w:val="en-GB"/>
        </w:rPr>
      </w:pPr>
      <w:proofErr w:type="spellStart"/>
      <w:r w:rsidRPr="00BE35ED">
        <w:rPr>
          <w:lang w:val="en-GB"/>
        </w:rPr>
        <w:t>Chenengadan</w:t>
      </w:r>
      <w:proofErr w:type="spellEnd"/>
      <w:r w:rsidRPr="00BE35ED" w:rsidDel="00DF23AA">
        <w:rPr>
          <w:lang w:val="en-GB"/>
        </w:rPr>
        <w:t xml:space="preserve"> </w:t>
      </w:r>
      <w:r w:rsidR="00066622" w:rsidRPr="00BE35ED">
        <w:rPr>
          <w:lang w:val="en-GB"/>
        </w:rPr>
        <w:t xml:space="preserve">saw this </w:t>
      </w:r>
      <w:r w:rsidR="00492EB9">
        <w:rPr>
          <w:lang w:val="en-GB"/>
        </w:rPr>
        <w:t xml:space="preserve">situation </w:t>
      </w:r>
      <w:r w:rsidR="00066622" w:rsidRPr="00BE35ED">
        <w:rPr>
          <w:lang w:val="en-GB"/>
        </w:rPr>
        <w:t xml:space="preserve">as an opportunity to test the waters in North India, without even setting up distribution. If the brand showed some traction in newer markets, </w:t>
      </w:r>
      <w:r w:rsidR="00CD093A">
        <w:rPr>
          <w:lang w:val="en-GB"/>
        </w:rPr>
        <w:t xml:space="preserve">the </w:t>
      </w:r>
      <w:r w:rsidR="00066622" w:rsidRPr="00BE35ED">
        <w:rPr>
          <w:lang w:val="en-GB"/>
        </w:rPr>
        <w:t>distribution set</w:t>
      </w:r>
      <w:r w:rsidR="00492EB9">
        <w:rPr>
          <w:lang w:val="en-GB"/>
        </w:rPr>
        <w:t>-</w:t>
      </w:r>
      <w:r w:rsidR="00066622" w:rsidRPr="00BE35ED">
        <w:rPr>
          <w:lang w:val="en-GB"/>
        </w:rPr>
        <w:t xml:space="preserve">up would be </w:t>
      </w:r>
      <w:r w:rsidR="00492EB9">
        <w:rPr>
          <w:lang w:val="en-GB"/>
        </w:rPr>
        <w:t xml:space="preserve">less </w:t>
      </w:r>
      <w:r w:rsidR="00066622" w:rsidRPr="00BE35ED">
        <w:rPr>
          <w:lang w:val="en-GB"/>
        </w:rPr>
        <w:t xml:space="preserve">risky and going national </w:t>
      </w:r>
      <w:r w:rsidR="00784BC2">
        <w:rPr>
          <w:lang w:val="en-GB"/>
        </w:rPr>
        <w:t>might</w:t>
      </w:r>
      <w:r w:rsidR="00784BC2" w:rsidRPr="00BE35ED">
        <w:rPr>
          <w:lang w:val="en-GB"/>
        </w:rPr>
        <w:t xml:space="preserve"> </w:t>
      </w:r>
      <w:r w:rsidR="00066622" w:rsidRPr="00BE35ED">
        <w:rPr>
          <w:lang w:val="en-GB"/>
        </w:rPr>
        <w:t xml:space="preserve">not be very challenging. He thought about how regional players such as Butterfly had </w:t>
      </w:r>
      <w:r w:rsidR="00492EB9">
        <w:rPr>
          <w:lang w:val="en-GB"/>
        </w:rPr>
        <w:t xml:space="preserve">quickly </w:t>
      </w:r>
      <w:r w:rsidR="00066622" w:rsidRPr="00BE35ED">
        <w:rPr>
          <w:lang w:val="en-GB"/>
        </w:rPr>
        <w:t xml:space="preserve">gone national. </w:t>
      </w:r>
      <w:r w:rsidR="00492EB9">
        <w:rPr>
          <w:lang w:val="en-GB"/>
        </w:rPr>
        <w:t xml:space="preserve">The </w:t>
      </w:r>
      <w:proofErr w:type="gramStart"/>
      <w:r w:rsidR="00492EB9">
        <w:rPr>
          <w:lang w:val="en-GB"/>
        </w:rPr>
        <w:t>brand’s</w:t>
      </w:r>
      <w:proofErr w:type="gramEnd"/>
      <w:r w:rsidR="00492EB9">
        <w:rPr>
          <w:lang w:val="en-GB"/>
        </w:rPr>
        <w:t xml:space="preserve"> added familiarity outside Kerala would also boost e</w:t>
      </w:r>
      <w:r w:rsidR="00066622" w:rsidRPr="00BE35ED">
        <w:rPr>
          <w:lang w:val="en-GB"/>
        </w:rPr>
        <w:t xml:space="preserve">-commerce sales. However, </w:t>
      </w:r>
      <w:proofErr w:type="spellStart"/>
      <w:r w:rsidRPr="00BE35ED">
        <w:rPr>
          <w:lang w:val="en-GB"/>
        </w:rPr>
        <w:t>Chenengadan</w:t>
      </w:r>
      <w:proofErr w:type="spellEnd"/>
      <w:r w:rsidRPr="00BE35ED" w:rsidDel="00DF23AA">
        <w:rPr>
          <w:lang w:val="en-GB"/>
        </w:rPr>
        <w:t xml:space="preserve"> </w:t>
      </w:r>
      <w:r w:rsidR="00066622" w:rsidRPr="00BE35ED">
        <w:rPr>
          <w:lang w:val="en-GB"/>
        </w:rPr>
        <w:t xml:space="preserve">also did not </w:t>
      </w:r>
      <w:r w:rsidR="00492EB9">
        <w:rPr>
          <w:lang w:val="en-GB"/>
        </w:rPr>
        <w:t>want</w:t>
      </w:r>
      <w:r w:rsidR="00492EB9" w:rsidRPr="00BE35ED">
        <w:rPr>
          <w:lang w:val="en-GB"/>
        </w:rPr>
        <w:t xml:space="preserve"> </w:t>
      </w:r>
      <w:r w:rsidR="00066622" w:rsidRPr="00BE35ED">
        <w:rPr>
          <w:lang w:val="en-GB"/>
        </w:rPr>
        <w:t xml:space="preserve">to jeopardize the Kerala market for the sake of these big dreams. He had seen </w:t>
      </w:r>
      <w:r w:rsidR="00784BC2">
        <w:rPr>
          <w:lang w:val="en-GB"/>
        </w:rPr>
        <w:t xml:space="preserve">a </w:t>
      </w:r>
      <w:r w:rsidR="00066622" w:rsidRPr="00BE35ED">
        <w:rPr>
          <w:lang w:val="en-GB"/>
        </w:rPr>
        <w:t>sudden decline only a couple of years back</w:t>
      </w:r>
      <w:r w:rsidR="00492EB9">
        <w:rPr>
          <w:lang w:val="en-GB"/>
        </w:rPr>
        <w:t>,</w:t>
      </w:r>
      <w:r w:rsidR="00066622" w:rsidRPr="00BE35ED">
        <w:rPr>
          <w:lang w:val="en-GB"/>
        </w:rPr>
        <w:t xml:space="preserve"> after </w:t>
      </w:r>
      <w:proofErr w:type="spellStart"/>
      <w:r w:rsidR="008A2AE8">
        <w:rPr>
          <w:lang w:val="en-GB"/>
        </w:rPr>
        <w:t>Impex’s</w:t>
      </w:r>
      <w:proofErr w:type="spellEnd"/>
      <w:r w:rsidR="00066622" w:rsidRPr="00BE35ED">
        <w:rPr>
          <w:lang w:val="en-GB"/>
        </w:rPr>
        <w:t xml:space="preserve"> initial rapid rise, and he was aware that building </w:t>
      </w:r>
      <w:r w:rsidR="0093207B">
        <w:rPr>
          <w:lang w:val="en-GB"/>
        </w:rPr>
        <w:t>a project</w:t>
      </w:r>
      <w:r w:rsidR="0093207B" w:rsidRPr="00BE35ED">
        <w:rPr>
          <w:lang w:val="en-GB"/>
        </w:rPr>
        <w:t xml:space="preserve"> </w:t>
      </w:r>
      <w:r w:rsidR="00492EB9">
        <w:rPr>
          <w:lang w:val="en-GB"/>
        </w:rPr>
        <w:t>that had</w:t>
      </w:r>
      <w:r w:rsidR="00492EB9" w:rsidRPr="00BE35ED">
        <w:rPr>
          <w:lang w:val="en-GB"/>
        </w:rPr>
        <w:t xml:space="preserve"> </w:t>
      </w:r>
      <w:r w:rsidR="00066622" w:rsidRPr="00BE35ED">
        <w:rPr>
          <w:lang w:val="en-GB"/>
        </w:rPr>
        <w:t xml:space="preserve">a weak foundation would not take him far. </w:t>
      </w:r>
      <w:r w:rsidR="0093207B">
        <w:rPr>
          <w:lang w:val="en-GB"/>
        </w:rPr>
        <w:t>H</w:t>
      </w:r>
      <w:r w:rsidR="00066622" w:rsidRPr="00BE35ED">
        <w:rPr>
          <w:lang w:val="en-GB"/>
        </w:rPr>
        <w:t xml:space="preserve">e had </w:t>
      </w:r>
      <w:r w:rsidR="00492EB9" w:rsidRPr="00BE35ED">
        <w:rPr>
          <w:lang w:val="en-GB"/>
        </w:rPr>
        <w:t>learn</w:t>
      </w:r>
      <w:r w:rsidR="00492EB9">
        <w:rPr>
          <w:lang w:val="en-GB"/>
        </w:rPr>
        <w:t>ed</w:t>
      </w:r>
      <w:r w:rsidR="00492EB9" w:rsidRPr="00BE35ED">
        <w:rPr>
          <w:lang w:val="en-GB"/>
        </w:rPr>
        <w:t xml:space="preserve"> </w:t>
      </w:r>
      <w:r w:rsidR="00066622" w:rsidRPr="00BE35ED">
        <w:rPr>
          <w:lang w:val="en-GB"/>
        </w:rPr>
        <w:t xml:space="preserve">that sustainable brand building generally </w:t>
      </w:r>
      <w:r w:rsidR="00492EB9">
        <w:rPr>
          <w:lang w:val="en-GB"/>
        </w:rPr>
        <w:t xml:space="preserve">also </w:t>
      </w:r>
      <w:r w:rsidR="00066622" w:rsidRPr="00BE35ED">
        <w:rPr>
          <w:lang w:val="en-GB"/>
        </w:rPr>
        <w:t xml:space="preserve">required </w:t>
      </w:r>
      <w:r w:rsidR="00784BC2">
        <w:rPr>
          <w:lang w:val="en-GB"/>
        </w:rPr>
        <w:t xml:space="preserve">a </w:t>
      </w:r>
      <w:r w:rsidR="00066622" w:rsidRPr="00BE35ED">
        <w:rPr>
          <w:lang w:val="en-GB"/>
        </w:rPr>
        <w:t xml:space="preserve">strong consumer pull, not just </w:t>
      </w:r>
      <w:r w:rsidR="00492EB9">
        <w:rPr>
          <w:lang w:val="en-GB"/>
        </w:rPr>
        <w:t>a</w:t>
      </w:r>
      <w:r w:rsidR="00492EB9" w:rsidRPr="00BE35ED">
        <w:rPr>
          <w:lang w:val="en-GB"/>
        </w:rPr>
        <w:t xml:space="preserve"> </w:t>
      </w:r>
      <w:r w:rsidR="00066622" w:rsidRPr="00BE35ED">
        <w:rPr>
          <w:lang w:val="en-GB"/>
        </w:rPr>
        <w:t>sales</w:t>
      </w:r>
      <w:r w:rsidR="00492EB9">
        <w:rPr>
          <w:lang w:val="en-GB"/>
        </w:rPr>
        <w:t xml:space="preserve"> push</w:t>
      </w:r>
      <w:r w:rsidR="00066622" w:rsidRPr="00BE35ED">
        <w:rPr>
          <w:lang w:val="en-GB"/>
        </w:rPr>
        <w:t>. After all, he had relied too much on distributors for his sales for far too long.</w:t>
      </w:r>
    </w:p>
    <w:p w14:paraId="695FAC31" w14:textId="77777777" w:rsidR="00606A2A" w:rsidRPr="00BE35ED" w:rsidRDefault="00606A2A" w:rsidP="00066622">
      <w:pPr>
        <w:pStyle w:val="BodyTextMain"/>
        <w:rPr>
          <w:lang w:val="en-GB"/>
        </w:rPr>
      </w:pPr>
    </w:p>
    <w:p w14:paraId="165DB1EA" w14:textId="3D0208E4" w:rsidR="00066622" w:rsidRPr="00BE35ED" w:rsidRDefault="00DF23AA" w:rsidP="00066622">
      <w:pPr>
        <w:pStyle w:val="BodyTextMain"/>
        <w:rPr>
          <w:lang w:val="en-GB"/>
        </w:rPr>
      </w:pPr>
      <w:proofErr w:type="spellStart"/>
      <w:r w:rsidRPr="00BE35ED">
        <w:rPr>
          <w:lang w:val="en-GB"/>
        </w:rPr>
        <w:t>Chenengadan</w:t>
      </w:r>
      <w:proofErr w:type="spellEnd"/>
      <w:r w:rsidRPr="00BE35ED" w:rsidDel="00DF23AA">
        <w:rPr>
          <w:lang w:val="en-GB"/>
        </w:rPr>
        <w:t xml:space="preserve"> </w:t>
      </w:r>
      <w:r w:rsidR="00066622" w:rsidRPr="00BE35ED">
        <w:rPr>
          <w:lang w:val="en-GB"/>
        </w:rPr>
        <w:t>looked at the break</w:t>
      </w:r>
      <w:r w:rsidR="00BA630F">
        <w:rPr>
          <w:lang w:val="en-GB"/>
        </w:rPr>
        <w:t>-</w:t>
      </w:r>
      <w:r w:rsidR="00066622" w:rsidRPr="00BE35ED">
        <w:rPr>
          <w:lang w:val="en-GB"/>
        </w:rPr>
        <w:t xml:space="preserve">even volume calculations for the various marketing cost scenarios: all </w:t>
      </w:r>
      <w:r w:rsidR="00EC471C">
        <w:rPr>
          <w:lang w:val="en-GB"/>
        </w:rPr>
        <w:t xml:space="preserve">the </w:t>
      </w:r>
      <w:proofErr w:type="spellStart"/>
      <w:r w:rsidR="00066622" w:rsidRPr="00BE35ED">
        <w:rPr>
          <w:lang w:val="en-GB"/>
        </w:rPr>
        <w:t>ToI</w:t>
      </w:r>
      <w:proofErr w:type="spellEnd"/>
      <w:r w:rsidR="00066622" w:rsidRPr="00BE35ED">
        <w:rPr>
          <w:lang w:val="en-GB"/>
        </w:rPr>
        <w:t xml:space="preserve"> editions </w:t>
      </w:r>
      <w:r w:rsidR="00492EB9">
        <w:rPr>
          <w:lang w:val="en-GB"/>
        </w:rPr>
        <w:t>versus</w:t>
      </w:r>
      <w:r w:rsidR="00EC471C">
        <w:rPr>
          <w:lang w:val="en-GB"/>
        </w:rPr>
        <w:t xml:space="preserve"> only the</w:t>
      </w:r>
      <w:r w:rsidR="00066622" w:rsidRPr="00BE35ED">
        <w:rPr>
          <w:lang w:val="en-GB"/>
        </w:rPr>
        <w:t xml:space="preserve"> South Indian </w:t>
      </w:r>
      <w:proofErr w:type="spellStart"/>
      <w:r w:rsidR="00066622" w:rsidRPr="00BE35ED">
        <w:rPr>
          <w:lang w:val="en-GB"/>
        </w:rPr>
        <w:t>ToI</w:t>
      </w:r>
      <w:proofErr w:type="spellEnd"/>
      <w:r w:rsidR="00066622" w:rsidRPr="00BE35ED">
        <w:rPr>
          <w:lang w:val="en-GB"/>
        </w:rPr>
        <w:t xml:space="preserve"> editions, one insertion </w:t>
      </w:r>
      <w:r w:rsidR="00492EB9">
        <w:rPr>
          <w:lang w:val="en-GB"/>
        </w:rPr>
        <w:t>versus</w:t>
      </w:r>
      <w:r w:rsidR="00066622" w:rsidRPr="00BE35ED">
        <w:rPr>
          <w:lang w:val="en-GB"/>
        </w:rPr>
        <w:t xml:space="preserve"> three insertions, </w:t>
      </w:r>
      <w:proofErr w:type="gramStart"/>
      <w:r w:rsidR="00EC471C">
        <w:rPr>
          <w:lang w:val="en-GB"/>
        </w:rPr>
        <w:t>the</w:t>
      </w:r>
      <w:proofErr w:type="gramEnd"/>
      <w:r w:rsidR="00EC471C">
        <w:rPr>
          <w:lang w:val="en-GB"/>
        </w:rPr>
        <w:t xml:space="preserve"> </w:t>
      </w:r>
      <w:proofErr w:type="spellStart"/>
      <w:r w:rsidR="00066622" w:rsidRPr="00BE35ED">
        <w:rPr>
          <w:lang w:val="en-GB"/>
        </w:rPr>
        <w:t>ToI</w:t>
      </w:r>
      <w:proofErr w:type="spellEnd"/>
      <w:r w:rsidR="00066622" w:rsidRPr="00BE35ED">
        <w:rPr>
          <w:lang w:val="en-GB"/>
        </w:rPr>
        <w:t xml:space="preserve"> delivery </w:t>
      </w:r>
      <w:r w:rsidR="00492EB9">
        <w:rPr>
          <w:lang w:val="en-GB"/>
        </w:rPr>
        <w:t>versus</w:t>
      </w:r>
      <w:r w:rsidR="00066622" w:rsidRPr="00BE35ED">
        <w:rPr>
          <w:lang w:val="en-GB"/>
        </w:rPr>
        <w:t xml:space="preserve"> vendor delivery. Were these volumes achievable? </w:t>
      </w:r>
      <w:proofErr w:type="gramStart"/>
      <w:r w:rsidR="00066622" w:rsidRPr="00BE35ED">
        <w:rPr>
          <w:lang w:val="en-GB"/>
        </w:rPr>
        <w:t xml:space="preserve">What about the volumes </w:t>
      </w:r>
      <w:r w:rsidR="00492EB9">
        <w:rPr>
          <w:lang w:val="en-GB"/>
        </w:rPr>
        <w:t xml:space="preserve">that could be </w:t>
      </w:r>
      <w:r w:rsidR="00066622" w:rsidRPr="00BE35ED">
        <w:rPr>
          <w:lang w:val="en-GB"/>
        </w:rPr>
        <w:t xml:space="preserve">achieved through the </w:t>
      </w:r>
      <w:r w:rsidR="0093207B" w:rsidRPr="00BE35ED">
        <w:rPr>
          <w:lang w:val="en-GB"/>
        </w:rPr>
        <w:t>tried</w:t>
      </w:r>
      <w:r w:rsidR="0093207B">
        <w:rPr>
          <w:lang w:val="en-GB"/>
        </w:rPr>
        <w:t>-</w:t>
      </w:r>
      <w:r w:rsidR="0093207B" w:rsidRPr="00BE35ED">
        <w:rPr>
          <w:lang w:val="en-GB"/>
        </w:rPr>
        <w:t>and</w:t>
      </w:r>
      <w:r w:rsidR="0093207B">
        <w:rPr>
          <w:lang w:val="en-GB"/>
        </w:rPr>
        <w:t>-</w:t>
      </w:r>
      <w:r w:rsidR="00066622" w:rsidRPr="00BE35ED">
        <w:rPr>
          <w:lang w:val="en-GB"/>
        </w:rPr>
        <w:t>tested year-end scheme with the Kerala channel partners?</w:t>
      </w:r>
      <w:proofErr w:type="gramEnd"/>
      <w:r w:rsidR="00066622" w:rsidRPr="00BE35ED">
        <w:rPr>
          <w:lang w:val="en-GB"/>
        </w:rPr>
        <w:t xml:space="preserve"> Were there other strategic factors in play beyond numbers?</w:t>
      </w:r>
    </w:p>
    <w:p w14:paraId="237F16E1" w14:textId="77777777" w:rsidR="00606A2A" w:rsidRPr="00BE35ED" w:rsidRDefault="00606A2A" w:rsidP="00066622">
      <w:pPr>
        <w:pStyle w:val="BodyTextMain"/>
        <w:rPr>
          <w:lang w:val="en-GB"/>
        </w:rPr>
      </w:pPr>
    </w:p>
    <w:p w14:paraId="5D9D8A68" w14:textId="77777777" w:rsidR="00066622" w:rsidRPr="00BE35ED" w:rsidRDefault="00066622" w:rsidP="00066622">
      <w:pPr>
        <w:pStyle w:val="BodyTextMain"/>
        <w:rPr>
          <w:lang w:val="en-GB"/>
        </w:rPr>
      </w:pPr>
      <w:r w:rsidRPr="00BE35ED">
        <w:rPr>
          <w:lang w:val="en-GB"/>
        </w:rPr>
        <w:t xml:space="preserve">He cleared his throat and began to spell out his decision in Malayalam, his native language, which he was most comfortable </w:t>
      </w:r>
      <w:proofErr w:type="gramStart"/>
      <w:r w:rsidRPr="00BE35ED">
        <w:rPr>
          <w:lang w:val="en-GB"/>
        </w:rPr>
        <w:t>with</w:t>
      </w:r>
      <w:proofErr w:type="gramEnd"/>
      <w:r w:rsidRPr="00BE35ED">
        <w:rPr>
          <w:lang w:val="en-GB"/>
        </w:rPr>
        <w:t>.</w:t>
      </w:r>
    </w:p>
    <w:p w14:paraId="7FD39B5B" w14:textId="77777777" w:rsidR="002B08D6" w:rsidRPr="00BE35ED" w:rsidRDefault="002B08D6">
      <w:pPr>
        <w:spacing w:after="200" w:line="276" w:lineRule="auto"/>
        <w:rPr>
          <w:rFonts w:ascii="Arial" w:hAnsi="Arial" w:cs="Arial"/>
          <w:sz w:val="17"/>
          <w:szCs w:val="17"/>
          <w:lang w:val="en-GB"/>
        </w:rPr>
      </w:pPr>
      <w:r w:rsidRPr="00BE35ED">
        <w:rPr>
          <w:lang w:val="en-GB"/>
        </w:rPr>
        <w:br w:type="page"/>
      </w:r>
    </w:p>
    <w:p w14:paraId="73FC019E" w14:textId="18701AAB" w:rsidR="00094B83" w:rsidRPr="00BE35ED" w:rsidRDefault="00094B83" w:rsidP="00094B83">
      <w:pPr>
        <w:pStyle w:val="Casehead1"/>
        <w:jc w:val="center"/>
        <w:rPr>
          <w:lang w:val="en-GB"/>
        </w:rPr>
      </w:pPr>
      <w:r w:rsidRPr="00BE35ED">
        <w:rPr>
          <w:lang w:val="en-GB"/>
        </w:rPr>
        <w:lastRenderedPageBreak/>
        <w:t xml:space="preserve">Exhibit 1: </w:t>
      </w:r>
      <w:r w:rsidR="00492EB9">
        <w:rPr>
          <w:lang w:val="en-GB"/>
        </w:rPr>
        <w:t xml:space="preserve">IMpex’s </w:t>
      </w:r>
      <w:r w:rsidRPr="00BE35ED">
        <w:rPr>
          <w:lang w:val="en-GB"/>
        </w:rPr>
        <w:t>Chronicle of Growth</w:t>
      </w:r>
      <w:r w:rsidR="00492EB9">
        <w:rPr>
          <w:lang w:val="en-GB"/>
        </w:rPr>
        <w:t>,</w:t>
      </w:r>
      <w:r w:rsidRPr="00BE35ED">
        <w:rPr>
          <w:lang w:val="en-GB"/>
        </w:rPr>
        <w:t xml:space="preserve"> 2006</w:t>
      </w:r>
      <w:r w:rsidR="0093207B">
        <w:rPr>
          <w:lang w:val="en-GB"/>
        </w:rPr>
        <w:t>–</w:t>
      </w:r>
      <w:r w:rsidRPr="00BE35ED">
        <w:rPr>
          <w:lang w:val="en-GB"/>
        </w:rPr>
        <w:t>201</w:t>
      </w:r>
      <w:r w:rsidR="00EC471C">
        <w:rPr>
          <w:lang w:val="en-GB"/>
        </w:rPr>
        <w:t>4</w:t>
      </w:r>
    </w:p>
    <w:p w14:paraId="25D70B80" w14:textId="77777777" w:rsidR="00094B83" w:rsidRPr="00BE35ED" w:rsidRDefault="00094B83" w:rsidP="00094B83">
      <w:pPr>
        <w:jc w:val="center"/>
        <w:rPr>
          <w:b/>
          <w:lang w:val="en-GB"/>
        </w:rPr>
      </w:pPr>
    </w:p>
    <w:p w14:paraId="45E10624" w14:textId="4EDF01C3" w:rsidR="00094B83" w:rsidRPr="00BE35ED" w:rsidRDefault="005D2D25" w:rsidP="00094B83">
      <w:pPr>
        <w:jc w:val="center"/>
        <w:rPr>
          <w:lang w:val="en-GB"/>
        </w:rPr>
      </w:pPr>
      <w:r>
        <w:rPr>
          <w:noProof/>
          <w:lang w:val="en-GB" w:eastAsia="en-GB"/>
        </w:rPr>
        <w:drawing>
          <wp:inline distT="0" distB="0" distL="0" distR="0" wp14:anchorId="5C536989" wp14:editId="0F9C8180">
            <wp:extent cx="5943600" cy="1440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40180"/>
                    </a:xfrm>
                    <a:prstGeom prst="rect">
                      <a:avLst/>
                    </a:prstGeom>
                  </pic:spPr>
                </pic:pic>
              </a:graphicData>
            </a:graphic>
          </wp:inline>
        </w:drawing>
      </w:r>
    </w:p>
    <w:p w14:paraId="64B56858" w14:textId="77777777" w:rsidR="00094B83" w:rsidRPr="00BE35ED" w:rsidRDefault="00094B83" w:rsidP="00094B83">
      <w:pPr>
        <w:rPr>
          <w:i/>
          <w:lang w:val="en-GB"/>
        </w:rPr>
      </w:pPr>
    </w:p>
    <w:p w14:paraId="1E70ECEF" w14:textId="425F7FCD" w:rsidR="00094B83" w:rsidRPr="00BE35ED" w:rsidRDefault="00094B83" w:rsidP="0073281D">
      <w:pPr>
        <w:pStyle w:val="Footnote"/>
        <w:rPr>
          <w:lang w:val="en-GB"/>
        </w:rPr>
      </w:pPr>
      <w:r w:rsidRPr="00BE35ED">
        <w:rPr>
          <w:lang w:val="en-GB"/>
        </w:rPr>
        <w:t xml:space="preserve">Source: </w:t>
      </w:r>
      <w:r w:rsidR="0073281D">
        <w:rPr>
          <w:lang w:val="en-GB"/>
        </w:rPr>
        <w:t>Company records.</w:t>
      </w:r>
    </w:p>
    <w:p w14:paraId="6D3E550D" w14:textId="77777777" w:rsidR="00094B83" w:rsidRPr="00BE35ED" w:rsidRDefault="00094B83" w:rsidP="00094B83">
      <w:pPr>
        <w:pStyle w:val="Footnote"/>
        <w:rPr>
          <w:lang w:val="en-GB"/>
        </w:rPr>
      </w:pPr>
    </w:p>
    <w:p w14:paraId="0B51D7D3" w14:textId="77777777" w:rsidR="00094B83" w:rsidRPr="00BE35ED" w:rsidRDefault="00094B83" w:rsidP="00094B83">
      <w:pPr>
        <w:rPr>
          <w:lang w:val="en-GB"/>
        </w:rPr>
      </w:pPr>
    </w:p>
    <w:p w14:paraId="5DD1761E" w14:textId="5DAD3DE2" w:rsidR="00094B83" w:rsidRPr="00BE35ED" w:rsidRDefault="00094B83" w:rsidP="00094B83">
      <w:pPr>
        <w:pStyle w:val="Casehead1"/>
        <w:jc w:val="center"/>
        <w:rPr>
          <w:lang w:val="en-GB"/>
        </w:rPr>
      </w:pPr>
      <w:r w:rsidRPr="00BE35ED">
        <w:rPr>
          <w:lang w:val="en-GB"/>
        </w:rPr>
        <w:t xml:space="preserve">Exhibit 2: </w:t>
      </w:r>
      <w:r w:rsidR="00492EB9">
        <w:rPr>
          <w:lang w:val="en-GB"/>
        </w:rPr>
        <w:t xml:space="preserve">IMPEX’s </w:t>
      </w:r>
      <w:r w:rsidRPr="00BE35ED">
        <w:rPr>
          <w:lang w:val="en-GB"/>
        </w:rPr>
        <w:t>Key Competitors across categories</w:t>
      </w:r>
    </w:p>
    <w:p w14:paraId="47AD4D24" w14:textId="77777777" w:rsidR="00094B83" w:rsidRPr="00BE35ED" w:rsidRDefault="00094B83" w:rsidP="00094B83">
      <w:pPr>
        <w:rPr>
          <w:lang w:val="en-GB"/>
        </w:rPr>
      </w:pP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340"/>
      </w:tblGrid>
      <w:tr w:rsidR="00094B83" w:rsidRPr="00BE35ED" w14:paraId="39841C0F" w14:textId="77777777" w:rsidTr="00094B83">
        <w:trPr>
          <w:trHeight w:val="2402"/>
        </w:trPr>
        <w:tc>
          <w:tcPr>
            <w:tcW w:w="3150" w:type="dxa"/>
          </w:tcPr>
          <w:p w14:paraId="5E753BA9" w14:textId="77777777" w:rsidR="00094B83" w:rsidRPr="00BE35ED" w:rsidRDefault="00094B83" w:rsidP="00AA2E9A">
            <w:pPr>
              <w:pStyle w:val="CommentText"/>
              <w:numPr>
                <w:ilvl w:val="0"/>
                <w:numId w:val="4"/>
              </w:numPr>
              <w:rPr>
                <w:rFonts w:ascii="Arial" w:hAnsi="Arial" w:cs="Arial"/>
                <w:lang w:val="en-GB"/>
              </w:rPr>
            </w:pPr>
            <w:r w:rsidRPr="00BE35ED">
              <w:rPr>
                <w:rFonts w:ascii="Arial" w:hAnsi="Arial" w:cs="Arial"/>
                <w:lang w:val="en-GB"/>
              </w:rPr>
              <w:t>Pigeon</w:t>
            </w:r>
          </w:p>
          <w:p w14:paraId="527EBD93" w14:textId="77777777" w:rsidR="00094B83" w:rsidRPr="00BE35ED" w:rsidRDefault="00094B83" w:rsidP="00AA2E9A">
            <w:pPr>
              <w:pStyle w:val="CommentText"/>
              <w:numPr>
                <w:ilvl w:val="0"/>
                <w:numId w:val="4"/>
              </w:numPr>
              <w:rPr>
                <w:rFonts w:ascii="Arial" w:hAnsi="Arial" w:cs="Arial"/>
                <w:lang w:val="en-GB"/>
              </w:rPr>
            </w:pPr>
            <w:proofErr w:type="spellStart"/>
            <w:r w:rsidRPr="00BE35ED">
              <w:rPr>
                <w:rFonts w:ascii="Arial" w:hAnsi="Arial" w:cs="Arial"/>
                <w:lang w:val="en-GB"/>
              </w:rPr>
              <w:t>Nolta</w:t>
            </w:r>
            <w:proofErr w:type="spellEnd"/>
          </w:p>
          <w:p w14:paraId="633BA1EB" w14:textId="77777777" w:rsidR="00094B83" w:rsidRPr="00BE35ED" w:rsidRDefault="00094B83" w:rsidP="00AA2E9A">
            <w:pPr>
              <w:pStyle w:val="CommentText"/>
              <w:numPr>
                <w:ilvl w:val="0"/>
                <w:numId w:val="4"/>
              </w:numPr>
              <w:rPr>
                <w:rFonts w:ascii="Arial" w:hAnsi="Arial" w:cs="Arial"/>
                <w:lang w:val="en-GB"/>
              </w:rPr>
            </w:pPr>
            <w:r w:rsidRPr="00BE35ED">
              <w:rPr>
                <w:rFonts w:ascii="Arial" w:hAnsi="Arial" w:cs="Arial"/>
                <w:lang w:val="en-GB"/>
              </w:rPr>
              <w:t>Crompton Greaves</w:t>
            </w:r>
          </w:p>
          <w:p w14:paraId="01BF9555" w14:textId="77777777" w:rsidR="00094B83" w:rsidRPr="00BE35ED" w:rsidRDefault="00094B83" w:rsidP="00AA2E9A">
            <w:pPr>
              <w:pStyle w:val="CommentText"/>
              <w:numPr>
                <w:ilvl w:val="0"/>
                <w:numId w:val="4"/>
              </w:numPr>
              <w:rPr>
                <w:rFonts w:ascii="Arial" w:hAnsi="Arial" w:cs="Arial"/>
                <w:lang w:val="en-GB"/>
              </w:rPr>
            </w:pPr>
            <w:r w:rsidRPr="00BE35ED">
              <w:rPr>
                <w:rFonts w:ascii="Arial" w:hAnsi="Arial" w:cs="Arial"/>
                <w:lang w:val="en-GB"/>
              </w:rPr>
              <w:t>V-Guard</w:t>
            </w:r>
          </w:p>
          <w:p w14:paraId="2DD09301" w14:textId="77777777" w:rsidR="00094B83" w:rsidRPr="00BE35ED" w:rsidRDefault="00094B83" w:rsidP="00AA2E9A">
            <w:pPr>
              <w:pStyle w:val="CommentText"/>
              <w:numPr>
                <w:ilvl w:val="0"/>
                <w:numId w:val="4"/>
              </w:numPr>
              <w:rPr>
                <w:rFonts w:ascii="Arial" w:hAnsi="Arial" w:cs="Arial"/>
                <w:lang w:val="en-GB"/>
              </w:rPr>
            </w:pPr>
            <w:r w:rsidRPr="00BE35ED">
              <w:rPr>
                <w:rFonts w:ascii="Arial" w:hAnsi="Arial" w:cs="Arial"/>
                <w:lang w:val="en-GB"/>
              </w:rPr>
              <w:t>Butterfly</w:t>
            </w:r>
          </w:p>
          <w:p w14:paraId="35A45EE3" w14:textId="77777777" w:rsidR="00094B83" w:rsidRPr="00BE35ED" w:rsidRDefault="00094B83" w:rsidP="00AA2E9A">
            <w:pPr>
              <w:pStyle w:val="CommentText"/>
              <w:numPr>
                <w:ilvl w:val="0"/>
                <w:numId w:val="4"/>
              </w:numPr>
              <w:rPr>
                <w:rFonts w:ascii="Arial" w:hAnsi="Arial" w:cs="Arial"/>
                <w:lang w:val="en-GB"/>
              </w:rPr>
            </w:pPr>
            <w:r w:rsidRPr="00BE35ED">
              <w:rPr>
                <w:rFonts w:ascii="Arial" w:hAnsi="Arial" w:cs="Arial"/>
                <w:lang w:val="en-GB"/>
              </w:rPr>
              <w:t>Panasonic</w:t>
            </w:r>
          </w:p>
          <w:p w14:paraId="7DD90CEB" w14:textId="6D1A7954" w:rsidR="00094B83" w:rsidRPr="00BE35ED" w:rsidRDefault="00094B83" w:rsidP="00AA2E9A">
            <w:pPr>
              <w:pStyle w:val="CommentText"/>
              <w:numPr>
                <w:ilvl w:val="0"/>
                <w:numId w:val="4"/>
              </w:numPr>
              <w:rPr>
                <w:rFonts w:ascii="Arial" w:hAnsi="Arial" w:cs="Arial"/>
                <w:lang w:val="en-GB"/>
              </w:rPr>
            </w:pPr>
            <w:proofErr w:type="spellStart"/>
            <w:r w:rsidRPr="00BE35ED">
              <w:rPr>
                <w:rFonts w:ascii="Arial" w:hAnsi="Arial" w:cs="Arial"/>
                <w:lang w:val="en-GB"/>
              </w:rPr>
              <w:t>Morphy</w:t>
            </w:r>
            <w:proofErr w:type="spellEnd"/>
            <w:r w:rsidRPr="00BE35ED">
              <w:rPr>
                <w:rFonts w:ascii="Arial" w:hAnsi="Arial" w:cs="Arial"/>
                <w:lang w:val="en-GB"/>
              </w:rPr>
              <w:t xml:space="preserve"> Richard</w:t>
            </w:r>
            <w:r w:rsidR="0093207B">
              <w:rPr>
                <w:rFonts w:ascii="Arial" w:hAnsi="Arial" w:cs="Arial"/>
                <w:lang w:val="en-GB"/>
              </w:rPr>
              <w:t>s</w:t>
            </w:r>
          </w:p>
          <w:p w14:paraId="0AD18724" w14:textId="77777777" w:rsidR="00094B83" w:rsidRPr="00BE35ED" w:rsidRDefault="00094B83" w:rsidP="00AA2E9A">
            <w:pPr>
              <w:pStyle w:val="CommentText"/>
              <w:numPr>
                <w:ilvl w:val="0"/>
                <w:numId w:val="4"/>
              </w:numPr>
              <w:rPr>
                <w:rFonts w:ascii="Arial" w:hAnsi="Arial" w:cs="Arial"/>
                <w:lang w:val="en-GB"/>
              </w:rPr>
            </w:pPr>
            <w:r w:rsidRPr="00BE35ED">
              <w:rPr>
                <w:rFonts w:ascii="Arial" w:hAnsi="Arial" w:cs="Arial"/>
                <w:lang w:val="en-GB"/>
              </w:rPr>
              <w:t>Haier</w:t>
            </w:r>
          </w:p>
          <w:p w14:paraId="233A159F" w14:textId="77777777" w:rsidR="00094B83" w:rsidRPr="00BE35ED" w:rsidRDefault="00094B83" w:rsidP="00AA2E9A">
            <w:pPr>
              <w:pStyle w:val="CommentText"/>
              <w:numPr>
                <w:ilvl w:val="0"/>
                <w:numId w:val="4"/>
              </w:numPr>
              <w:rPr>
                <w:rFonts w:ascii="Arial" w:hAnsi="Arial" w:cs="Arial"/>
                <w:lang w:val="en-GB"/>
              </w:rPr>
            </w:pPr>
            <w:r w:rsidRPr="00BE35ED">
              <w:rPr>
                <w:rFonts w:ascii="Arial" w:hAnsi="Arial" w:cs="Arial"/>
                <w:lang w:val="en-GB"/>
              </w:rPr>
              <w:t>Sony</w:t>
            </w:r>
          </w:p>
          <w:p w14:paraId="065C2851" w14:textId="77777777" w:rsidR="00094B83" w:rsidRPr="00BE35ED" w:rsidRDefault="00094B83" w:rsidP="00AA2E9A">
            <w:pPr>
              <w:pStyle w:val="CommentText"/>
              <w:numPr>
                <w:ilvl w:val="0"/>
                <w:numId w:val="4"/>
              </w:numPr>
              <w:rPr>
                <w:rFonts w:ascii="Arial" w:hAnsi="Arial" w:cs="Arial"/>
                <w:lang w:val="en-GB"/>
              </w:rPr>
            </w:pPr>
            <w:proofErr w:type="spellStart"/>
            <w:r w:rsidRPr="00BE35ED">
              <w:rPr>
                <w:rFonts w:ascii="Arial" w:hAnsi="Arial" w:cs="Arial"/>
                <w:lang w:val="en-GB"/>
              </w:rPr>
              <w:t>Usha</w:t>
            </w:r>
            <w:proofErr w:type="spellEnd"/>
          </w:p>
        </w:tc>
        <w:tc>
          <w:tcPr>
            <w:tcW w:w="2340" w:type="dxa"/>
          </w:tcPr>
          <w:p w14:paraId="18835DB5" w14:textId="77777777" w:rsidR="00094B83" w:rsidRPr="00BE35ED" w:rsidRDefault="00094B83" w:rsidP="00AA2E9A">
            <w:pPr>
              <w:pStyle w:val="CommentText"/>
              <w:numPr>
                <w:ilvl w:val="0"/>
                <w:numId w:val="3"/>
              </w:numPr>
              <w:rPr>
                <w:rFonts w:ascii="Arial" w:hAnsi="Arial" w:cs="Arial"/>
                <w:lang w:val="en-GB"/>
              </w:rPr>
            </w:pPr>
            <w:proofErr w:type="spellStart"/>
            <w:r w:rsidRPr="00BE35ED">
              <w:rPr>
                <w:rFonts w:ascii="Arial" w:hAnsi="Arial" w:cs="Arial"/>
                <w:lang w:val="en-GB"/>
              </w:rPr>
              <w:t>Onida</w:t>
            </w:r>
            <w:proofErr w:type="spellEnd"/>
          </w:p>
          <w:p w14:paraId="02AE97AA" w14:textId="77777777" w:rsidR="00094B83" w:rsidRPr="00BE35ED" w:rsidRDefault="00094B83" w:rsidP="00AA2E9A">
            <w:pPr>
              <w:pStyle w:val="CommentText"/>
              <w:numPr>
                <w:ilvl w:val="0"/>
                <w:numId w:val="3"/>
              </w:numPr>
              <w:rPr>
                <w:rFonts w:ascii="Arial" w:hAnsi="Arial" w:cs="Arial"/>
                <w:lang w:val="en-GB"/>
              </w:rPr>
            </w:pPr>
            <w:r w:rsidRPr="00BE35ED">
              <w:rPr>
                <w:rFonts w:ascii="Arial" w:hAnsi="Arial" w:cs="Arial"/>
                <w:lang w:val="en-GB"/>
              </w:rPr>
              <w:t>Cello</w:t>
            </w:r>
          </w:p>
          <w:p w14:paraId="7EFCFCFE" w14:textId="77777777" w:rsidR="00094B83" w:rsidRPr="00BE35ED" w:rsidRDefault="00094B83" w:rsidP="00AA2E9A">
            <w:pPr>
              <w:pStyle w:val="CommentText"/>
              <w:numPr>
                <w:ilvl w:val="0"/>
                <w:numId w:val="3"/>
              </w:numPr>
              <w:rPr>
                <w:rFonts w:ascii="Arial" w:hAnsi="Arial" w:cs="Arial"/>
                <w:lang w:val="en-GB"/>
              </w:rPr>
            </w:pPr>
            <w:proofErr w:type="spellStart"/>
            <w:r w:rsidRPr="00BE35ED">
              <w:rPr>
                <w:rFonts w:ascii="Arial" w:hAnsi="Arial" w:cs="Arial"/>
                <w:lang w:val="en-GB"/>
              </w:rPr>
              <w:t>Zebronics</w:t>
            </w:r>
            <w:proofErr w:type="spellEnd"/>
          </w:p>
          <w:p w14:paraId="4A828ADF" w14:textId="77777777" w:rsidR="00094B83" w:rsidRPr="00BE35ED" w:rsidRDefault="00094B83" w:rsidP="00AA2E9A">
            <w:pPr>
              <w:pStyle w:val="CommentText"/>
              <w:numPr>
                <w:ilvl w:val="0"/>
                <w:numId w:val="3"/>
              </w:numPr>
              <w:rPr>
                <w:rFonts w:ascii="Arial" w:hAnsi="Arial" w:cs="Arial"/>
                <w:lang w:val="en-GB"/>
              </w:rPr>
            </w:pPr>
            <w:r w:rsidRPr="00BE35ED">
              <w:rPr>
                <w:rFonts w:ascii="Arial" w:hAnsi="Arial" w:cs="Arial"/>
                <w:lang w:val="en-GB"/>
              </w:rPr>
              <w:t>F&amp;D</w:t>
            </w:r>
          </w:p>
          <w:p w14:paraId="0D165B77" w14:textId="77777777" w:rsidR="00094B83" w:rsidRPr="00BE35ED" w:rsidRDefault="00094B83" w:rsidP="00AA2E9A">
            <w:pPr>
              <w:pStyle w:val="CommentText"/>
              <w:numPr>
                <w:ilvl w:val="0"/>
                <w:numId w:val="3"/>
              </w:numPr>
              <w:rPr>
                <w:rFonts w:ascii="Arial" w:hAnsi="Arial" w:cs="Arial"/>
                <w:lang w:val="en-GB"/>
              </w:rPr>
            </w:pPr>
            <w:r w:rsidRPr="00BE35ED">
              <w:rPr>
                <w:rFonts w:ascii="Arial" w:hAnsi="Arial" w:cs="Arial"/>
                <w:lang w:val="en-GB"/>
              </w:rPr>
              <w:t>Videocon</w:t>
            </w:r>
          </w:p>
          <w:p w14:paraId="2DBF9E87" w14:textId="77777777" w:rsidR="00094B83" w:rsidRPr="00BE35ED" w:rsidRDefault="00094B83" w:rsidP="00AA2E9A">
            <w:pPr>
              <w:pStyle w:val="CommentText"/>
              <w:numPr>
                <w:ilvl w:val="0"/>
                <w:numId w:val="3"/>
              </w:numPr>
              <w:rPr>
                <w:rFonts w:ascii="Arial" w:hAnsi="Arial" w:cs="Arial"/>
                <w:lang w:val="en-GB"/>
              </w:rPr>
            </w:pPr>
            <w:r w:rsidRPr="00BE35ED">
              <w:rPr>
                <w:rFonts w:ascii="Arial" w:hAnsi="Arial" w:cs="Arial"/>
                <w:lang w:val="en-GB"/>
              </w:rPr>
              <w:t>Philips</w:t>
            </w:r>
          </w:p>
          <w:p w14:paraId="2B3160A9" w14:textId="77777777" w:rsidR="00094B83" w:rsidRPr="00BE35ED" w:rsidRDefault="00094B83" w:rsidP="00AA2E9A">
            <w:pPr>
              <w:pStyle w:val="CommentText"/>
              <w:numPr>
                <w:ilvl w:val="0"/>
                <w:numId w:val="3"/>
              </w:numPr>
              <w:rPr>
                <w:rFonts w:ascii="Arial" w:hAnsi="Arial" w:cs="Arial"/>
                <w:lang w:val="en-GB"/>
              </w:rPr>
            </w:pPr>
            <w:r w:rsidRPr="00BE35ED">
              <w:rPr>
                <w:rFonts w:ascii="Arial" w:hAnsi="Arial" w:cs="Arial"/>
                <w:lang w:val="en-GB"/>
              </w:rPr>
              <w:t>Milton</w:t>
            </w:r>
          </w:p>
          <w:p w14:paraId="2055EF0A" w14:textId="77777777" w:rsidR="00094B83" w:rsidRPr="00BE35ED" w:rsidRDefault="00094B83" w:rsidP="00AA2E9A">
            <w:pPr>
              <w:pStyle w:val="CommentText"/>
              <w:numPr>
                <w:ilvl w:val="0"/>
                <w:numId w:val="3"/>
              </w:numPr>
              <w:rPr>
                <w:rFonts w:ascii="Arial" w:hAnsi="Arial" w:cs="Arial"/>
                <w:lang w:val="en-GB"/>
              </w:rPr>
            </w:pPr>
            <w:proofErr w:type="spellStart"/>
            <w:r w:rsidRPr="00BE35ED">
              <w:rPr>
                <w:rFonts w:ascii="Arial" w:hAnsi="Arial" w:cs="Arial"/>
                <w:lang w:val="en-GB"/>
              </w:rPr>
              <w:t>Intex</w:t>
            </w:r>
            <w:proofErr w:type="spellEnd"/>
          </w:p>
          <w:p w14:paraId="1BC01C97" w14:textId="77777777" w:rsidR="00094B83" w:rsidRPr="00BE35ED" w:rsidRDefault="00094B83" w:rsidP="00AA2E9A">
            <w:pPr>
              <w:pStyle w:val="CommentText"/>
              <w:numPr>
                <w:ilvl w:val="0"/>
                <w:numId w:val="3"/>
              </w:numPr>
              <w:rPr>
                <w:rFonts w:ascii="Arial" w:hAnsi="Arial" w:cs="Arial"/>
                <w:lang w:val="en-GB"/>
              </w:rPr>
            </w:pPr>
            <w:r w:rsidRPr="00BE35ED">
              <w:rPr>
                <w:rFonts w:ascii="Arial" w:hAnsi="Arial" w:cs="Arial"/>
                <w:lang w:val="en-GB"/>
              </w:rPr>
              <w:t>Prestige</w:t>
            </w:r>
          </w:p>
          <w:p w14:paraId="34158B0C" w14:textId="77777777" w:rsidR="00094B83" w:rsidRPr="00BE35ED" w:rsidRDefault="00094B83" w:rsidP="00AA2E9A">
            <w:pPr>
              <w:pStyle w:val="ListParagraph"/>
              <w:numPr>
                <w:ilvl w:val="0"/>
                <w:numId w:val="3"/>
              </w:numPr>
              <w:spacing w:after="160" w:line="259" w:lineRule="auto"/>
              <w:jc w:val="left"/>
              <w:rPr>
                <w:rFonts w:ascii="Arial" w:hAnsi="Arial" w:cs="Arial"/>
                <w:sz w:val="20"/>
                <w:szCs w:val="20"/>
                <w:lang w:val="en-GB"/>
              </w:rPr>
            </w:pPr>
            <w:r w:rsidRPr="00BE35ED">
              <w:rPr>
                <w:rFonts w:ascii="Arial" w:hAnsi="Arial" w:cs="Arial"/>
                <w:sz w:val="20"/>
                <w:szCs w:val="20"/>
                <w:lang w:val="en-GB"/>
              </w:rPr>
              <w:t>Bajaj</w:t>
            </w:r>
          </w:p>
        </w:tc>
      </w:tr>
    </w:tbl>
    <w:p w14:paraId="67DA94A6" w14:textId="77777777" w:rsidR="008D437B" w:rsidRDefault="008D437B" w:rsidP="00936ECF">
      <w:pPr>
        <w:pStyle w:val="Casehead1"/>
        <w:jc w:val="center"/>
        <w:rPr>
          <w:lang w:val="en-GB"/>
        </w:rPr>
      </w:pPr>
    </w:p>
    <w:p w14:paraId="47858F9A" w14:textId="119532E2" w:rsidR="008D437B" w:rsidRDefault="008D437B" w:rsidP="008D437B">
      <w:pPr>
        <w:pStyle w:val="Footnote"/>
        <w:rPr>
          <w:lang w:val="en-GB"/>
        </w:rPr>
      </w:pPr>
      <w:r>
        <w:rPr>
          <w:lang w:val="en-GB"/>
        </w:rPr>
        <w:t xml:space="preserve">Source: Company records. </w:t>
      </w:r>
    </w:p>
    <w:p w14:paraId="69E2E4FA" w14:textId="77777777" w:rsidR="008D437B" w:rsidRDefault="008D437B" w:rsidP="00936ECF">
      <w:pPr>
        <w:pStyle w:val="Casehead1"/>
        <w:jc w:val="center"/>
        <w:rPr>
          <w:lang w:val="en-GB"/>
        </w:rPr>
      </w:pPr>
    </w:p>
    <w:p w14:paraId="23CDCE76" w14:textId="77777777" w:rsidR="008D437B" w:rsidRDefault="008D437B" w:rsidP="00936ECF">
      <w:pPr>
        <w:pStyle w:val="Casehead1"/>
        <w:jc w:val="center"/>
        <w:rPr>
          <w:lang w:val="en-GB"/>
        </w:rPr>
      </w:pPr>
    </w:p>
    <w:p w14:paraId="2D7C94DC" w14:textId="00FD173E" w:rsidR="00094B83" w:rsidRPr="00BE35ED" w:rsidRDefault="00452083" w:rsidP="00936ECF">
      <w:pPr>
        <w:pStyle w:val="Casehead1"/>
        <w:jc w:val="center"/>
        <w:rPr>
          <w:lang w:val="en-GB"/>
        </w:rPr>
      </w:pPr>
      <w:r>
        <w:rPr>
          <w:lang w:val="en-GB"/>
        </w:rPr>
        <w:t>E</w:t>
      </w:r>
      <w:r w:rsidR="00094B83" w:rsidRPr="00BE35ED">
        <w:rPr>
          <w:lang w:val="en-GB"/>
        </w:rPr>
        <w:t xml:space="preserve">xhibit 3: </w:t>
      </w:r>
      <w:r w:rsidR="00492EB9">
        <w:rPr>
          <w:lang w:val="en-GB"/>
        </w:rPr>
        <w:t xml:space="preserve">Results of the 2014 </w:t>
      </w:r>
      <w:r w:rsidR="00094B83" w:rsidRPr="00BE35ED">
        <w:rPr>
          <w:lang w:val="en-GB"/>
        </w:rPr>
        <w:t>Deep</w:t>
      </w:r>
      <w:r w:rsidR="00597390">
        <w:rPr>
          <w:lang w:val="en-GB"/>
        </w:rPr>
        <w:t>-</w:t>
      </w:r>
      <w:r w:rsidR="00094B83" w:rsidRPr="00BE35ED">
        <w:rPr>
          <w:lang w:val="en-GB"/>
        </w:rPr>
        <w:t xml:space="preserve">Discount Year-End Scheme </w:t>
      </w:r>
      <w:r w:rsidR="000E04AD">
        <w:rPr>
          <w:lang w:val="en-GB"/>
        </w:rPr>
        <w:t>(</w:t>
      </w:r>
      <w:r w:rsidR="00492EB9">
        <w:rPr>
          <w:lang w:val="en-GB"/>
        </w:rPr>
        <w:t xml:space="preserve">in </w:t>
      </w:r>
      <w:r w:rsidR="000E04AD" w:rsidRPr="000F1C26">
        <w:rPr>
          <w:rFonts w:ascii="Tahoma" w:hAnsi="Tahoma" w:cs="Tahoma"/>
          <w:lang w:val="en-GB"/>
        </w:rPr>
        <w:t>₹</w:t>
      </w:r>
      <w:r w:rsidR="000E04AD">
        <w:rPr>
          <w:rFonts w:ascii="Tahoma" w:hAnsi="Tahoma" w:cs="Tahoma"/>
          <w:lang w:val="en-GB"/>
        </w:rPr>
        <w:t>)</w:t>
      </w:r>
    </w:p>
    <w:p w14:paraId="1F678F52" w14:textId="77777777" w:rsidR="00936ECF" w:rsidRPr="00BE35ED" w:rsidRDefault="00936ECF" w:rsidP="00094B83">
      <w:pPr>
        <w:jc w:val="center"/>
        <w:rPr>
          <w:b/>
          <w:lang w:val="en-GB"/>
        </w:rPr>
      </w:pPr>
    </w:p>
    <w:tbl>
      <w:tblPr>
        <w:tblW w:w="8022" w:type="dxa"/>
        <w:jc w:val="center"/>
        <w:tblLook w:val="04A0" w:firstRow="1" w:lastRow="0" w:firstColumn="1" w:lastColumn="0" w:noHBand="0" w:noVBand="1"/>
      </w:tblPr>
      <w:tblGrid>
        <w:gridCol w:w="1741"/>
        <w:gridCol w:w="1139"/>
        <w:gridCol w:w="1037"/>
        <w:gridCol w:w="1275"/>
        <w:gridCol w:w="1418"/>
        <w:gridCol w:w="1417"/>
      </w:tblGrid>
      <w:tr w:rsidR="00094B83" w:rsidRPr="00BE35ED" w14:paraId="778F8761" w14:textId="77777777" w:rsidTr="000F1C26">
        <w:trPr>
          <w:trHeight w:val="223"/>
          <w:jc w:val="center"/>
        </w:trPr>
        <w:tc>
          <w:tcPr>
            <w:tcW w:w="8022"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2F1F6A2" w14:textId="06D3CD30" w:rsidR="00094B83" w:rsidRPr="000F1C26" w:rsidRDefault="00094B83" w:rsidP="00492EB9">
            <w:pPr>
              <w:jc w:val="center"/>
              <w:rPr>
                <w:rFonts w:ascii="Arial" w:hAnsi="Arial" w:cs="Arial"/>
                <w:lang w:val="en-GB"/>
              </w:rPr>
            </w:pPr>
            <w:r w:rsidRPr="000F1C26">
              <w:rPr>
                <w:rFonts w:ascii="Arial" w:hAnsi="Arial" w:cs="Arial"/>
                <w:lang w:val="en-GB"/>
              </w:rPr>
              <w:t xml:space="preserve">Sales </w:t>
            </w:r>
            <w:r w:rsidR="00492EB9">
              <w:rPr>
                <w:rFonts w:ascii="Arial" w:hAnsi="Arial" w:cs="Arial"/>
                <w:lang w:val="en-GB"/>
              </w:rPr>
              <w:t>F</w:t>
            </w:r>
            <w:r w:rsidR="00FB33BC" w:rsidRPr="000F1C26">
              <w:rPr>
                <w:rFonts w:ascii="Arial" w:hAnsi="Arial" w:cs="Arial"/>
                <w:lang w:val="en-GB"/>
              </w:rPr>
              <w:t xml:space="preserve">igures </w:t>
            </w:r>
            <w:r w:rsidRPr="000F1C26">
              <w:rPr>
                <w:rFonts w:ascii="Arial" w:hAnsi="Arial" w:cs="Arial"/>
                <w:lang w:val="en-GB"/>
              </w:rPr>
              <w:t xml:space="preserve">for </w:t>
            </w:r>
            <w:r w:rsidR="00492EB9">
              <w:rPr>
                <w:rFonts w:ascii="Arial" w:hAnsi="Arial" w:cs="Arial"/>
                <w:lang w:val="en-GB"/>
              </w:rPr>
              <w:t>P</w:t>
            </w:r>
            <w:r w:rsidRPr="000F1C26">
              <w:rPr>
                <w:rFonts w:ascii="Arial" w:hAnsi="Arial" w:cs="Arial"/>
                <w:lang w:val="en-GB"/>
              </w:rPr>
              <w:t>romotion in March 2014</w:t>
            </w:r>
          </w:p>
        </w:tc>
      </w:tr>
      <w:tr w:rsidR="00094B83" w:rsidRPr="00BE35ED" w14:paraId="247B7BB6" w14:textId="77777777" w:rsidTr="004A5CAC">
        <w:trPr>
          <w:trHeight w:val="493"/>
          <w:jc w:val="center"/>
        </w:trPr>
        <w:tc>
          <w:tcPr>
            <w:tcW w:w="1741" w:type="dxa"/>
            <w:tcBorders>
              <w:top w:val="nil"/>
              <w:left w:val="single" w:sz="8" w:space="0" w:color="auto"/>
              <w:bottom w:val="single" w:sz="8" w:space="0" w:color="auto"/>
              <w:right w:val="single" w:sz="4" w:space="0" w:color="auto"/>
            </w:tcBorders>
            <w:shd w:val="clear" w:color="auto" w:fill="auto"/>
            <w:vAlign w:val="bottom"/>
            <w:hideMark/>
          </w:tcPr>
          <w:p w14:paraId="58498EF8" w14:textId="77777777" w:rsidR="00094B83" w:rsidRPr="000F1C26" w:rsidRDefault="00094B83" w:rsidP="009563E1">
            <w:pPr>
              <w:rPr>
                <w:rFonts w:ascii="Arial" w:hAnsi="Arial" w:cs="Arial"/>
                <w:lang w:val="en-GB"/>
              </w:rPr>
            </w:pPr>
            <w:r w:rsidRPr="000F1C26">
              <w:rPr>
                <w:rFonts w:ascii="Arial" w:hAnsi="Arial" w:cs="Arial"/>
                <w:lang w:val="en-GB"/>
              </w:rPr>
              <w:t> </w:t>
            </w:r>
          </w:p>
        </w:tc>
        <w:tc>
          <w:tcPr>
            <w:tcW w:w="1134" w:type="dxa"/>
            <w:tcBorders>
              <w:top w:val="nil"/>
              <w:left w:val="nil"/>
              <w:bottom w:val="single" w:sz="8" w:space="0" w:color="auto"/>
              <w:right w:val="single" w:sz="4" w:space="0" w:color="auto"/>
            </w:tcBorders>
            <w:shd w:val="clear" w:color="auto" w:fill="auto"/>
            <w:hideMark/>
          </w:tcPr>
          <w:p w14:paraId="18FEAE51" w14:textId="19F35434" w:rsidR="00094B83" w:rsidRPr="000F1C26" w:rsidRDefault="008D45E8" w:rsidP="004A5CAC">
            <w:pPr>
              <w:jc w:val="center"/>
              <w:rPr>
                <w:rFonts w:ascii="Arial" w:hAnsi="Arial" w:cs="Arial"/>
                <w:b/>
                <w:lang w:val="en-GB"/>
              </w:rPr>
            </w:pPr>
            <w:r w:rsidRPr="000F1C26">
              <w:rPr>
                <w:rFonts w:ascii="Arial" w:hAnsi="Arial" w:cs="Arial"/>
                <w:b/>
                <w:lang w:val="en-GB"/>
              </w:rPr>
              <w:t>Maximum Retail Price</w:t>
            </w:r>
          </w:p>
        </w:tc>
        <w:tc>
          <w:tcPr>
            <w:tcW w:w="1037" w:type="dxa"/>
            <w:tcBorders>
              <w:top w:val="nil"/>
              <w:left w:val="nil"/>
              <w:bottom w:val="single" w:sz="8" w:space="0" w:color="auto"/>
              <w:right w:val="single" w:sz="4" w:space="0" w:color="auto"/>
            </w:tcBorders>
            <w:shd w:val="clear" w:color="auto" w:fill="auto"/>
            <w:hideMark/>
          </w:tcPr>
          <w:p w14:paraId="7D721451" w14:textId="02593AC6" w:rsidR="00094B83" w:rsidRPr="000F1C26" w:rsidRDefault="00094B83" w:rsidP="004A5CAC">
            <w:pPr>
              <w:jc w:val="center"/>
              <w:rPr>
                <w:rFonts w:ascii="Arial" w:hAnsi="Arial" w:cs="Arial"/>
                <w:b/>
                <w:lang w:val="en-GB"/>
              </w:rPr>
            </w:pPr>
            <w:r w:rsidRPr="000F1C26">
              <w:rPr>
                <w:rFonts w:ascii="Arial" w:hAnsi="Arial" w:cs="Arial"/>
                <w:b/>
                <w:lang w:val="en-GB"/>
              </w:rPr>
              <w:t>Offer Price</w:t>
            </w:r>
          </w:p>
        </w:tc>
        <w:tc>
          <w:tcPr>
            <w:tcW w:w="1275" w:type="dxa"/>
            <w:tcBorders>
              <w:top w:val="nil"/>
              <w:left w:val="nil"/>
              <w:bottom w:val="single" w:sz="8" w:space="0" w:color="auto"/>
              <w:right w:val="single" w:sz="4" w:space="0" w:color="auto"/>
            </w:tcBorders>
            <w:shd w:val="clear" w:color="auto" w:fill="auto"/>
            <w:hideMark/>
          </w:tcPr>
          <w:p w14:paraId="1C825ECA" w14:textId="79ABE68E" w:rsidR="00094B83" w:rsidRPr="000F1C26" w:rsidRDefault="00094B83" w:rsidP="004A5CAC">
            <w:pPr>
              <w:jc w:val="center"/>
              <w:rPr>
                <w:rFonts w:ascii="Arial" w:hAnsi="Arial" w:cs="Arial"/>
                <w:b/>
                <w:lang w:val="en-GB"/>
              </w:rPr>
            </w:pPr>
            <w:r w:rsidRPr="000F1C26">
              <w:rPr>
                <w:rFonts w:ascii="Arial" w:hAnsi="Arial" w:cs="Arial"/>
                <w:b/>
                <w:lang w:val="en-GB"/>
              </w:rPr>
              <w:t xml:space="preserve">Average Monthly </w:t>
            </w:r>
            <w:r w:rsidR="00783032" w:rsidRPr="000F1C26">
              <w:rPr>
                <w:rFonts w:ascii="Arial" w:hAnsi="Arial" w:cs="Arial"/>
                <w:b/>
                <w:lang w:val="en-GB"/>
              </w:rPr>
              <w:t>Sales</w:t>
            </w:r>
          </w:p>
        </w:tc>
        <w:tc>
          <w:tcPr>
            <w:tcW w:w="1418" w:type="dxa"/>
            <w:tcBorders>
              <w:top w:val="nil"/>
              <w:left w:val="nil"/>
              <w:bottom w:val="single" w:sz="8" w:space="0" w:color="auto"/>
              <w:right w:val="single" w:sz="4" w:space="0" w:color="auto"/>
            </w:tcBorders>
            <w:shd w:val="clear" w:color="auto" w:fill="auto"/>
            <w:hideMark/>
          </w:tcPr>
          <w:p w14:paraId="507B2C7F" w14:textId="4CD21ACB" w:rsidR="00094B83" w:rsidRPr="000F1C26" w:rsidRDefault="003D0C07" w:rsidP="004A5CAC">
            <w:pPr>
              <w:jc w:val="center"/>
              <w:rPr>
                <w:rFonts w:ascii="Arial" w:hAnsi="Arial" w:cs="Arial"/>
                <w:b/>
                <w:lang w:val="en-GB"/>
              </w:rPr>
            </w:pPr>
            <w:r w:rsidRPr="000F1C26">
              <w:rPr>
                <w:rFonts w:ascii="Arial" w:hAnsi="Arial" w:cs="Arial"/>
                <w:b/>
                <w:lang w:val="en-GB"/>
              </w:rPr>
              <w:t xml:space="preserve">Projected Sales </w:t>
            </w:r>
            <w:r w:rsidR="00FB33BC" w:rsidRPr="000F1C26">
              <w:rPr>
                <w:rFonts w:ascii="Arial" w:hAnsi="Arial" w:cs="Arial"/>
                <w:b/>
                <w:lang w:val="en-GB"/>
              </w:rPr>
              <w:t xml:space="preserve">with </w:t>
            </w:r>
            <w:r w:rsidR="00094B83" w:rsidRPr="000F1C26">
              <w:rPr>
                <w:rFonts w:ascii="Arial" w:hAnsi="Arial" w:cs="Arial"/>
                <w:b/>
                <w:lang w:val="en-GB"/>
              </w:rPr>
              <w:t>Expected 40</w:t>
            </w:r>
            <w:r w:rsidR="00783032" w:rsidRPr="000F1C26">
              <w:rPr>
                <w:rFonts w:ascii="Arial" w:hAnsi="Arial" w:cs="Arial"/>
                <w:b/>
                <w:lang w:val="en-GB"/>
              </w:rPr>
              <w:t>%</w:t>
            </w:r>
            <w:r w:rsidR="00094B83" w:rsidRPr="000F1C26">
              <w:rPr>
                <w:rFonts w:ascii="Arial" w:hAnsi="Arial" w:cs="Arial"/>
                <w:b/>
                <w:lang w:val="en-GB"/>
              </w:rPr>
              <w:t xml:space="preserve"> </w:t>
            </w:r>
            <w:r w:rsidR="00FB33BC" w:rsidRPr="000F1C26">
              <w:rPr>
                <w:rFonts w:ascii="Arial" w:hAnsi="Arial" w:cs="Arial"/>
                <w:b/>
                <w:lang w:val="en-GB"/>
              </w:rPr>
              <w:t>Growth</w:t>
            </w:r>
          </w:p>
        </w:tc>
        <w:tc>
          <w:tcPr>
            <w:tcW w:w="1417" w:type="dxa"/>
            <w:tcBorders>
              <w:top w:val="nil"/>
              <w:left w:val="nil"/>
              <w:bottom w:val="single" w:sz="8" w:space="0" w:color="auto"/>
              <w:right w:val="single" w:sz="8" w:space="0" w:color="auto"/>
            </w:tcBorders>
            <w:shd w:val="clear" w:color="auto" w:fill="auto"/>
            <w:hideMark/>
          </w:tcPr>
          <w:p w14:paraId="2066D80F" w14:textId="335ACC0B" w:rsidR="00094B83" w:rsidRPr="000F1C26" w:rsidRDefault="007B0906" w:rsidP="004A5CAC">
            <w:pPr>
              <w:jc w:val="center"/>
              <w:rPr>
                <w:rFonts w:ascii="Arial" w:hAnsi="Arial" w:cs="Arial"/>
                <w:b/>
                <w:lang w:val="en-GB"/>
              </w:rPr>
            </w:pPr>
            <w:r w:rsidRPr="000F1C26">
              <w:rPr>
                <w:rFonts w:ascii="Arial" w:hAnsi="Arial" w:cs="Arial"/>
                <w:b/>
                <w:lang w:val="en-GB"/>
              </w:rPr>
              <w:t xml:space="preserve">Actual </w:t>
            </w:r>
            <w:r w:rsidR="00094B83" w:rsidRPr="000F1C26">
              <w:rPr>
                <w:rFonts w:ascii="Arial" w:hAnsi="Arial" w:cs="Arial"/>
                <w:b/>
                <w:lang w:val="en-GB"/>
              </w:rPr>
              <w:t>Sales During Offer Month</w:t>
            </w:r>
          </w:p>
        </w:tc>
      </w:tr>
      <w:tr w:rsidR="00094B83" w:rsidRPr="00BE35ED" w14:paraId="074664B3" w14:textId="77777777" w:rsidTr="004A5CAC">
        <w:trPr>
          <w:trHeight w:val="255"/>
          <w:jc w:val="center"/>
        </w:trPr>
        <w:tc>
          <w:tcPr>
            <w:tcW w:w="1741" w:type="dxa"/>
            <w:tcBorders>
              <w:top w:val="nil"/>
              <w:left w:val="single" w:sz="8" w:space="0" w:color="auto"/>
              <w:bottom w:val="single" w:sz="4" w:space="0" w:color="auto"/>
              <w:right w:val="single" w:sz="4" w:space="0" w:color="auto"/>
            </w:tcBorders>
            <w:shd w:val="clear" w:color="auto" w:fill="auto"/>
            <w:noWrap/>
            <w:vAlign w:val="center"/>
            <w:hideMark/>
          </w:tcPr>
          <w:p w14:paraId="3045BACD" w14:textId="19430878" w:rsidR="00094B83" w:rsidRPr="000F1C26" w:rsidRDefault="00094B83" w:rsidP="004A5CAC">
            <w:pPr>
              <w:rPr>
                <w:rFonts w:ascii="Arial" w:hAnsi="Arial" w:cs="Arial"/>
                <w:lang w:val="en-GB"/>
              </w:rPr>
            </w:pPr>
            <w:r w:rsidRPr="000F1C26">
              <w:rPr>
                <w:rFonts w:ascii="Arial" w:hAnsi="Arial" w:cs="Arial"/>
                <w:lang w:val="en-GB"/>
              </w:rPr>
              <w:t>Gas Stove</w:t>
            </w:r>
          </w:p>
        </w:tc>
        <w:tc>
          <w:tcPr>
            <w:tcW w:w="1134" w:type="dxa"/>
            <w:tcBorders>
              <w:top w:val="nil"/>
              <w:left w:val="nil"/>
              <w:bottom w:val="single" w:sz="4" w:space="0" w:color="auto"/>
              <w:right w:val="single" w:sz="4" w:space="0" w:color="auto"/>
            </w:tcBorders>
            <w:shd w:val="clear" w:color="auto" w:fill="auto"/>
            <w:noWrap/>
            <w:vAlign w:val="center"/>
            <w:hideMark/>
          </w:tcPr>
          <w:p w14:paraId="7E1C2176" w14:textId="2629C2B0" w:rsidR="00094B83" w:rsidRPr="000F1C26" w:rsidRDefault="00094B83" w:rsidP="004A5CAC">
            <w:pPr>
              <w:jc w:val="right"/>
              <w:rPr>
                <w:rFonts w:ascii="Arial" w:hAnsi="Arial" w:cs="Arial"/>
                <w:lang w:val="en-GB"/>
              </w:rPr>
            </w:pPr>
            <w:r w:rsidRPr="000F1C26">
              <w:rPr>
                <w:rFonts w:ascii="Arial" w:hAnsi="Arial" w:cs="Arial"/>
                <w:lang w:val="en-GB"/>
              </w:rPr>
              <w:t>4</w:t>
            </w:r>
            <w:r w:rsidR="00452083" w:rsidRPr="000F1C26">
              <w:rPr>
                <w:rFonts w:ascii="Arial" w:hAnsi="Arial" w:cs="Arial"/>
                <w:lang w:val="en-GB"/>
              </w:rPr>
              <w:t>,</w:t>
            </w:r>
            <w:r w:rsidRPr="000F1C26">
              <w:rPr>
                <w:rFonts w:ascii="Arial" w:hAnsi="Arial" w:cs="Arial"/>
                <w:lang w:val="en-GB"/>
              </w:rPr>
              <w:t>155</w:t>
            </w:r>
          </w:p>
        </w:tc>
        <w:tc>
          <w:tcPr>
            <w:tcW w:w="1037" w:type="dxa"/>
            <w:tcBorders>
              <w:top w:val="nil"/>
              <w:left w:val="nil"/>
              <w:bottom w:val="single" w:sz="4" w:space="0" w:color="auto"/>
              <w:right w:val="single" w:sz="4" w:space="0" w:color="auto"/>
            </w:tcBorders>
            <w:shd w:val="clear" w:color="auto" w:fill="auto"/>
            <w:noWrap/>
            <w:vAlign w:val="center"/>
            <w:hideMark/>
          </w:tcPr>
          <w:p w14:paraId="183CA7A7" w14:textId="2B1EA5B1" w:rsidR="00094B83" w:rsidRPr="000F1C26" w:rsidRDefault="00094B83" w:rsidP="004A5CAC">
            <w:pPr>
              <w:jc w:val="right"/>
              <w:rPr>
                <w:rFonts w:ascii="Arial" w:hAnsi="Arial" w:cs="Arial"/>
                <w:lang w:val="en-GB"/>
              </w:rPr>
            </w:pPr>
            <w:r w:rsidRPr="000F1C26">
              <w:rPr>
                <w:rFonts w:ascii="Arial" w:hAnsi="Arial" w:cs="Arial"/>
                <w:lang w:val="en-GB"/>
              </w:rPr>
              <w:t>2</w:t>
            </w:r>
            <w:r w:rsidR="00452083" w:rsidRPr="000F1C26">
              <w:rPr>
                <w:rFonts w:ascii="Arial" w:hAnsi="Arial" w:cs="Arial"/>
                <w:lang w:val="en-GB"/>
              </w:rPr>
              <w:t>,</w:t>
            </w:r>
            <w:r w:rsidRPr="000F1C26">
              <w:rPr>
                <w:rFonts w:ascii="Arial" w:hAnsi="Arial" w:cs="Arial"/>
                <w:lang w:val="en-GB"/>
              </w:rPr>
              <w:t>499</w:t>
            </w:r>
          </w:p>
        </w:tc>
        <w:tc>
          <w:tcPr>
            <w:tcW w:w="1275" w:type="dxa"/>
            <w:tcBorders>
              <w:top w:val="nil"/>
              <w:left w:val="nil"/>
              <w:bottom w:val="single" w:sz="4" w:space="0" w:color="auto"/>
              <w:right w:val="single" w:sz="4" w:space="0" w:color="auto"/>
            </w:tcBorders>
            <w:shd w:val="clear" w:color="auto" w:fill="auto"/>
            <w:noWrap/>
            <w:vAlign w:val="center"/>
            <w:hideMark/>
          </w:tcPr>
          <w:p w14:paraId="69F867D7" w14:textId="6B0A29A4" w:rsidR="00094B83" w:rsidRPr="000F1C26" w:rsidRDefault="00094B83" w:rsidP="004A5CAC">
            <w:pPr>
              <w:jc w:val="right"/>
              <w:rPr>
                <w:rFonts w:ascii="Arial" w:hAnsi="Arial" w:cs="Arial"/>
                <w:lang w:val="en-GB"/>
              </w:rPr>
            </w:pPr>
            <w:r w:rsidRPr="000F1C26">
              <w:rPr>
                <w:rFonts w:ascii="Arial" w:hAnsi="Arial" w:cs="Arial"/>
                <w:lang w:val="en-GB"/>
              </w:rPr>
              <w:t>3</w:t>
            </w:r>
            <w:r w:rsidR="00452083" w:rsidRPr="000F1C26">
              <w:rPr>
                <w:rFonts w:ascii="Arial" w:hAnsi="Arial" w:cs="Arial"/>
                <w:lang w:val="en-GB"/>
              </w:rPr>
              <w:t>,</w:t>
            </w:r>
            <w:r w:rsidRPr="000F1C26">
              <w:rPr>
                <w:rFonts w:ascii="Arial" w:hAnsi="Arial" w:cs="Arial"/>
                <w:lang w:val="en-GB"/>
              </w:rPr>
              <w:t>281</w:t>
            </w:r>
            <w:r w:rsidR="00452083" w:rsidRPr="000F1C26">
              <w:rPr>
                <w:rFonts w:ascii="Arial" w:hAnsi="Arial" w:cs="Arial"/>
                <w:lang w:val="en-GB"/>
              </w:rPr>
              <w:t>,</w:t>
            </w:r>
            <w:r w:rsidRPr="000F1C26">
              <w:rPr>
                <w:rFonts w:ascii="Arial" w:hAnsi="Arial" w:cs="Arial"/>
                <w:lang w:val="en-GB"/>
              </w:rPr>
              <w:t>138</w:t>
            </w:r>
          </w:p>
        </w:tc>
        <w:tc>
          <w:tcPr>
            <w:tcW w:w="1418" w:type="dxa"/>
            <w:tcBorders>
              <w:top w:val="nil"/>
              <w:left w:val="nil"/>
              <w:bottom w:val="single" w:sz="4" w:space="0" w:color="auto"/>
              <w:right w:val="single" w:sz="4" w:space="0" w:color="auto"/>
            </w:tcBorders>
            <w:shd w:val="clear" w:color="auto" w:fill="auto"/>
            <w:noWrap/>
            <w:vAlign w:val="center"/>
            <w:hideMark/>
          </w:tcPr>
          <w:p w14:paraId="79B48974" w14:textId="3FAF6F0B" w:rsidR="00094B83" w:rsidRPr="000F1C26" w:rsidRDefault="00094B83" w:rsidP="004A5CAC">
            <w:pPr>
              <w:jc w:val="right"/>
              <w:rPr>
                <w:rFonts w:ascii="Arial" w:hAnsi="Arial" w:cs="Arial"/>
                <w:lang w:val="en-GB"/>
              </w:rPr>
            </w:pPr>
            <w:r w:rsidRPr="000F1C26">
              <w:rPr>
                <w:rFonts w:ascii="Arial" w:hAnsi="Arial" w:cs="Arial"/>
                <w:lang w:val="en-GB"/>
              </w:rPr>
              <w:t>4</w:t>
            </w:r>
            <w:r w:rsidR="00452083" w:rsidRPr="000F1C26">
              <w:rPr>
                <w:rFonts w:ascii="Arial" w:hAnsi="Arial" w:cs="Arial"/>
                <w:lang w:val="en-GB"/>
              </w:rPr>
              <w:t>,</w:t>
            </w:r>
            <w:r w:rsidRPr="000F1C26">
              <w:rPr>
                <w:rFonts w:ascii="Arial" w:hAnsi="Arial" w:cs="Arial"/>
                <w:lang w:val="en-GB"/>
              </w:rPr>
              <w:t>593</w:t>
            </w:r>
            <w:r w:rsidR="00452083" w:rsidRPr="000F1C26">
              <w:rPr>
                <w:rFonts w:ascii="Arial" w:hAnsi="Arial" w:cs="Arial"/>
                <w:lang w:val="en-GB"/>
              </w:rPr>
              <w:t>,</w:t>
            </w:r>
            <w:r w:rsidRPr="000F1C26">
              <w:rPr>
                <w:rFonts w:ascii="Arial" w:hAnsi="Arial" w:cs="Arial"/>
                <w:lang w:val="en-GB"/>
              </w:rPr>
              <w:t>593</w:t>
            </w:r>
          </w:p>
        </w:tc>
        <w:tc>
          <w:tcPr>
            <w:tcW w:w="1417" w:type="dxa"/>
            <w:tcBorders>
              <w:top w:val="nil"/>
              <w:left w:val="nil"/>
              <w:bottom w:val="single" w:sz="4" w:space="0" w:color="auto"/>
              <w:right w:val="single" w:sz="8" w:space="0" w:color="auto"/>
            </w:tcBorders>
            <w:shd w:val="clear" w:color="auto" w:fill="auto"/>
            <w:noWrap/>
            <w:vAlign w:val="center"/>
            <w:hideMark/>
          </w:tcPr>
          <w:p w14:paraId="1E0A2BFE" w14:textId="6C4CE0C4" w:rsidR="00094B83" w:rsidRPr="000F1C26" w:rsidRDefault="00094B83" w:rsidP="004A5CAC">
            <w:pPr>
              <w:jc w:val="right"/>
              <w:rPr>
                <w:rFonts w:ascii="Arial" w:hAnsi="Arial" w:cs="Arial"/>
                <w:lang w:val="en-GB"/>
              </w:rPr>
            </w:pPr>
            <w:r w:rsidRPr="000F1C26">
              <w:rPr>
                <w:rFonts w:ascii="Arial" w:hAnsi="Arial" w:cs="Arial"/>
                <w:lang w:val="en-GB"/>
              </w:rPr>
              <w:t>5</w:t>
            </w:r>
            <w:r w:rsidR="00452083" w:rsidRPr="000F1C26">
              <w:rPr>
                <w:rFonts w:ascii="Arial" w:hAnsi="Arial" w:cs="Arial"/>
                <w:lang w:val="en-GB"/>
              </w:rPr>
              <w:t>,</w:t>
            </w:r>
            <w:r w:rsidRPr="000F1C26">
              <w:rPr>
                <w:rFonts w:ascii="Arial" w:hAnsi="Arial" w:cs="Arial"/>
                <w:lang w:val="en-GB"/>
              </w:rPr>
              <w:t>024</w:t>
            </w:r>
            <w:r w:rsidR="00452083" w:rsidRPr="000F1C26">
              <w:rPr>
                <w:rFonts w:ascii="Arial" w:hAnsi="Arial" w:cs="Arial"/>
                <w:lang w:val="en-GB"/>
              </w:rPr>
              <w:t>,</w:t>
            </w:r>
            <w:r w:rsidRPr="000F1C26">
              <w:rPr>
                <w:rFonts w:ascii="Arial" w:hAnsi="Arial" w:cs="Arial"/>
                <w:lang w:val="en-GB"/>
              </w:rPr>
              <w:t>633</w:t>
            </w:r>
          </w:p>
        </w:tc>
      </w:tr>
      <w:tr w:rsidR="00094B83" w:rsidRPr="00BE35ED" w14:paraId="6AC71728" w14:textId="77777777" w:rsidTr="004A5CAC">
        <w:trPr>
          <w:trHeight w:val="255"/>
          <w:jc w:val="center"/>
        </w:trPr>
        <w:tc>
          <w:tcPr>
            <w:tcW w:w="1741" w:type="dxa"/>
            <w:tcBorders>
              <w:top w:val="nil"/>
              <w:left w:val="single" w:sz="8" w:space="0" w:color="auto"/>
              <w:bottom w:val="single" w:sz="4" w:space="0" w:color="auto"/>
              <w:right w:val="single" w:sz="4" w:space="0" w:color="auto"/>
            </w:tcBorders>
            <w:shd w:val="clear" w:color="auto" w:fill="auto"/>
            <w:noWrap/>
            <w:vAlign w:val="center"/>
            <w:hideMark/>
          </w:tcPr>
          <w:p w14:paraId="3291EE0F" w14:textId="6CC88E9D" w:rsidR="00094B83" w:rsidRPr="000F1C26" w:rsidRDefault="00094B83" w:rsidP="004A5CAC">
            <w:pPr>
              <w:rPr>
                <w:rFonts w:ascii="Arial" w:hAnsi="Arial" w:cs="Arial"/>
                <w:lang w:val="en-GB"/>
              </w:rPr>
            </w:pPr>
            <w:r w:rsidRPr="000F1C26">
              <w:rPr>
                <w:rFonts w:ascii="Arial" w:hAnsi="Arial" w:cs="Arial"/>
                <w:lang w:val="en-GB"/>
              </w:rPr>
              <w:t xml:space="preserve">Pressure </w:t>
            </w:r>
            <w:r w:rsidR="00C24FD3">
              <w:rPr>
                <w:rFonts w:ascii="Arial" w:hAnsi="Arial" w:cs="Arial"/>
                <w:lang w:val="en-GB"/>
              </w:rPr>
              <w:t>C</w:t>
            </w:r>
            <w:r w:rsidRPr="000F1C26">
              <w:rPr>
                <w:rFonts w:ascii="Arial" w:hAnsi="Arial" w:cs="Arial"/>
                <w:lang w:val="en-GB"/>
              </w:rPr>
              <w:t>ooker</w:t>
            </w:r>
          </w:p>
        </w:tc>
        <w:tc>
          <w:tcPr>
            <w:tcW w:w="1134" w:type="dxa"/>
            <w:tcBorders>
              <w:top w:val="nil"/>
              <w:left w:val="nil"/>
              <w:bottom w:val="single" w:sz="4" w:space="0" w:color="auto"/>
              <w:right w:val="single" w:sz="4" w:space="0" w:color="auto"/>
            </w:tcBorders>
            <w:shd w:val="clear" w:color="auto" w:fill="auto"/>
            <w:noWrap/>
            <w:vAlign w:val="center"/>
            <w:hideMark/>
          </w:tcPr>
          <w:p w14:paraId="236696C8" w14:textId="51C74347" w:rsidR="00094B83" w:rsidRPr="000F1C26" w:rsidRDefault="00094B83" w:rsidP="004A5CAC">
            <w:pPr>
              <w:jc w:val="right"/>
              <w:rPr>
                <w:rFonts w:ascii="Arial" w:hAnsi="Arial" w:cs="Arial"/>
                <w:lang w:val="en-GB"/>
              </w:rPr>
            </w:pPr>
            <w:r w:rsidRPr="000F1C26">
              <w:rPr>
                <w:rFonts w:ascii="Arial" w:hAnsi="Arial" w:cs="Arial"/>
                <w:lang w:val="en-GB"/>
              </w:rPr>
              <w:t>1</w:t>
            </w:r>
            <w:r w:rsidR="00452083" w:rsidRPr="000F1C26">
              <w:rPr>
                <w:rFonts w:ascii="Arial" w:hAnsi="Arial" w:cs="Arial"/>
                <w:lang w:val="en-GB"/>
              </w:rPr>
              <w:t>,</w:t>
            </w:r>
            <w:r w:rsidRPr="000F1C26">
              <w:rPr>
                <w:rFonts w:ascii="Arial" w:hAnsi="Arial" w:cs="Arial"/>
                <w:lang w:val="en-GB"/>
              </w:rPr>
              <w:t>990</w:t>
            </w:r>
          </w:p>
        </w:tc>
        <w:tc>
          <w:tcPr>
            <w:tcW w:w="1037" w:type="dxa"/>
            <w:tcBorders>
              <w:top w:val="nil"/>
              <w:left w:val="nil"/>
              <w:bottom w:val="single" w:sz="4" w:space="0" w:color="auto"/>
              <w:right w:val="single" w:sz="4" w:space="0" w:color="auto"/>
            </w:tcBorders>
            <w:shd w:val="clear" w:color="auto" w:fill="auto"/>
            <w:noWrap/>
            <w:vAlign w:val="center"/>
            <w:hideMark/>
          </w:tcPr>
          <w:p w14:paraId="31B34EA0" w14:textId="54FBFBCA" w:rsidR="00094B83" w:rsidRPr="000F1C26" w:rsidRDefault="00094B83" w:rsidP="004A5CAC">
            <w:pPr>
              <w:jc w:val="right"/>
              <w:rPr>
                <w:rFonts w:ascii="Arial" w:hAnsi="Arial" w:cs="Arial"/>
                <w:lang w:val="en-GB"/>
              </w:rPr>
            </w:pPr>
            <w:r w:rsidRPr="000F1C26">
              <w:rPr>
                <w:rFonts w:ascii="Arial" w:hAnsi="Arial" w:cs="Arial"/>
                <w:lang w:val="en-GB"/>
              </w:rPr>
              <w:t>1</w:t>
            </w:r>
            <w:r w:rsidR="00452083" w:rsidRPr="000F1C26">
              <w:rPr>
                <w:rFonts w:ascii="Arial" w:hAnsi="Arial" w:cs="Arial"/>
                <w:lang w:val="en-GB"/>
              </w:rPr>
              <w:t>,</w:t>
            </w:r>
            <w:r w:rsidRPr="000F1C26">
              <w:rPr>
                <w:rFonts w:ascii="Arial" w:hAnsi="Arial" w:cs="Arial"/>
                <w:lang w:val="en-GB"/>
              </w:rPr>
              <w:t>099</w:t>
            </w:r>
          </w:p>
        </w:tc>
        <w:tc>
          <w:tcPr>
            <w:tcW w:w="1275" w:type="dxa"/>
            <w:tcBorders>
              <w:top w:val="nil"/>
              <w:left w:val="nil"/>
              <w:bottom w:val="single" w:sz="4" w:space="0" w:color="auto"/>
              <w:right w:val="single" w:sz="4" w:space="0" w:color="auto"/>
            </w:tcBorders>
            <w:shd w:val="clear" w:color="auto" w:fill="auto"/>
            <w:noWrap/>
            <w:vAlign w:val="center"/>
            <w:hideMark/>
          </w:tcPr>
          <w:p w14:paraId="46DC0D0B" w14:textId="28FFFA96" w:rsidR="00094B83" w:rsidRPr="000F1C26" w:rsidRDefault="00094B83" w:rsidP="004A5CAC">
            <w:pPr>
              <w:jc w:val="right"/>
              <w:rPr>
                <w:rFonts w:ascii="Arial" w:hAnsi="Arial" w:cs="Arial"/>
                <w:lang w:val="en-GB"/>
              </w:rPr>
            </w:pPr>
            <w:r w:rsidRPr="000F1C26">
              <w:rPr>
                <w:rFonts w:ascii="Arial" w:hAnsi="Arial" w:cs="Arial"/>
                <w:lang w:val="en-GB"/>
              </w:rPr>
              <w:t>1</w:t>
            </w:r>
            <w:r w:rsidR="00452083" w:rsidRPr="000F1C26">
              <w:rPr>
                <w:rFonts w:ascii="Arial" w:hAnsi="Arial" w:cs="Arial"/>
                <w:lang w:val="en-GB"/>
              </w:rPr>
              <w:t>,</w:t>
            </w:r>
            <w:r w:rsidRPr="000F1C26">
              <w:rPr>
                <w:rFonts w:ascii="Arial" w:hAnsi="Arial" w:cs="Arial"/>
                <w:lang w:val="en-GB"/>
              </w:rPr>
              <w:t>187</w:t>
            </w:r>
            <w:r w:rsidR="00452083" w:rsidRPr="000F1C26">
              <w:rPr>
                <w:rFonts w:ascii="Arial" w:hAnsi="Arial" w:cs="Arial"/>
                <w:lang w:val="en-GB"/>
              </w:rPr>
              <w:t>,</w:t>
            </w:r>
            <w:r w:rsidRPr="000F1C26">
              <w:rPr>
                <w:rFonts w:ascii="Arial" w:hAnsi="Arial" w:cs="Arial"/>
                <w:lang w:val="en-GB"/>
              </w:rPr>
              <w:t>936</w:t>
            </w:r>
          </w:p>
        </w:tc>
        <w:tc>
          <w:tcPr>
            <w:tcW w:w="1418" w:type="dxa"/>
            <w:tcBorders>
              <w:top w:val="nil"/>
              <w:left w:val="nil"/>
              <w:bottom w:val="single" w:sz="4" w:space="0" w:color="auto"/>
              <w:right w:val="single" w:sz="4" w:space="0" w:color="auto"/>
            </w:tcBorders>
            <w:shd w:val="clear" w:color="auto" w:fill="auto"/>
            <w:noWrap/>
            <w:vAlign w:val="center"/>
            <w:hideMark/>
          </w:tcPr>
          <w:p w14:paraId="02ED2C53" w14:textId="2AE07BBD" w:rsidR="00094B83" w:rsidRPr="000F1C26" w:rsidRDefault="00094B83" w:rsidP="004A5CAC">
            <w:pPr>
              <w:jc w:val="right"/>
              <w:rPr>
                <w:rFonts w:ascii="Arial" w:hAnsi="Arial" w:cs="Arial"/>
                <w:lang w:val="en-GB"/>
              </w:rPr>
            </w:pPr>
            <w:r w:rsidRPr="000F1C26">
              <w:rPr>
                <w:rFonts w:ascii="Arial" w:hAnsi="Arial" w:cs="Arial"/>
                <w:lang w:val="en-GB"/>
              </w:rPr>
              <w:t>1</w:t>
            </w:r>
            <w:r w:rsidR="00452083" w:rsidRPr="000F1C26">
              <w:rPr>
                <w:rFonts w:ascii="Arial" w:hAnsi="Arial" w:cs="Arial"/>
                <w:lang w:val="en-GB"/>
              </w:rPr>
              <w:t>,</w:t>
            </w:r>
            <w:r w:rsidRPr="000F1C26">
              <w:rPr>
                <w:rFonts w:ascii="Arial" w:hAnsi="Arial" w:cs="Arial"/>
                <w:lang w:val="en-GB"/>
              </w:rPr>
              <w:t>663</w:t>
            </w:r>
            <w:r w:rsidR="00452083" w:rsidRPr="000F1C26">
              <w:rPr>
                <w:rFonts w:ascii="Arial" w:hAnsi="Arial" w:cs="Arial"/>
                <w:lang w:val="en-GB"/>
              </w:rPr>
              <w:t>,</w:t>
            </w:r>
            <w:r w:rsidRPr="000F1C26">
              <w:rPr>
                <w:rFonts w:ascii="Arial" w:hAnsi="Arial" w:cs="Arial"/>
                <w:lang w:val="en-GB"/>
              </w:rPr>
              <w:t>110</w:t>
            </w:r>
          </w:p>
        </w:tc>
        <w:tc>
          <w:tcPr>
            <w:tcW w:w="1417" w:type="dxa"/>
            <w:tcBorders>
              <w:top w:val="nil"/>
              <w:left w:val="nil"/>
              <w:bottom w:val="single" w:sz="4" w:space="0" w:color="auto"/>
              <w:right w:val="single" w:sz="8" w:space="0" w:color="auto"/>
            </w:tcBorders>
            <w:shd w:val="clear" w:color="auto" w:fill="auto"/>
            <w:noWrap/>
            <w:vAlign w:val="center"/>
            <w:hideMark/>
          </w:tcPr>
          <w:p w14:paraId="5FCA3103" w14:textId="297FB6C2" w:rsidR="00094B83" w:rsidRPr="000F1C26" w:rsidRDefault="00094B83" w:rsidP="004A5CAC">
            <w:pPr>
              <w:jc w:val="right"/>
              <w:rPr>
                <w:rFonts w:ascii="Arial" w:hAnsi="Arial" w:cs="Arial"/>
                <w:lang w:val="en-GB"/>
              </w:rPr>
            </w:pPr>
            <w:r w:rsidRPr="000F1C26">
              <w:rPr>
                <w:rFonts w:ascii="Arial" w:hAnsi="Arial" w:cs="Arial"/>
                <w:lang w:val="en-GB"/>
              </w:rPr>
              <w:t>2</w:t>
            </w:r>
            <w:r w:rsidR="00452083" w:rsidRPr="000F1C26">
              <w:rPr>
                <w:rFonts w:ascii="Arial" w:hAnsi="Arial" w:cs="Arial"/>
                <w:lang w:val="en-GB"/>
              </w:rPr>
              <w:t>,</w:t>
            </w:r>
            <w:r w:rsidRPr="000F1C26">
              <w:rPr>
                <w:rFonts w:ascii="Arial" w:hAnsi="Arial" w:cs="Arial"/>
                <w:lang w:val="en-GB"/>
              </w:rPr>
              <w:t>298</w:t>
            </w:r>
            <w:r w:rsidR="00452083" w:rsidRPr="000F1C26">
              <w:rPr>
                <w:rFonts w:ascii="Arial" w:hAnsi="Arial" w:cs="Arial"/>
                <w:lang w:val="en-GB"/>
              </w:rPr>
              <w:t>,</w:t>
            </w:r>
            <w:r w:rsidRPr="000F1C26">
              <w:rPr>
                <w:rFonts w:ascii="Arial" w:hAnsi="Arial" w:cs="Arial"/>
                <w:lang w:val="en-GB"/>
              </w:rPr>
              <w:t>237</w:t>
            </w:r>
          </w:p>
        </w:tc>
      </w:tr>
      <w:tr w:rsidR="00094B83" w:rsidRPr="00BE35ED" w14:paraId="6987E86E" w14:textId="77777777" w:rsidTr="004A5CAC">
        <w:trPr>
          <w:trHeight w:val="270"/>
          <w:jc w:val="center"/>
        </w:trPr>
        <w:tc>
          <w:tcPr>
            <w:tcW w:w="1741" w:type="dxa"/>
            <w:tcBorders>
              <w:top w:val="nil"/>
              <w:left w:val="single" w:sz="8" w:space="0" w:color="auto"/>
              <w:bottom w:val="single" w:sz="8" w:space="0" w:color="auto"/>
              <w:right w:val="single" w:sz="4" w:space="0" w:color="auto"/>
            </w:tcBorders>
            <w:shd w:val="clear" w:color="auto" w:fill="auto"/>
            <w:noWrap/>
            <w:vAlign w:val="center"/>
            <w:hideMark/>
          </w:tcPr>
          <w:p w14:paraId="72D04CEB" w14:textId="4B79AF88" w:rsidR="00094B83" w:rsidRPr="000F1C26" w:rsidRDefault="00094B83" w:rsidP="004A5CAC">
            <w:pPr>
              <w:rPr>
                <w:rFonts w:ascii="Arial" w:hAnsi="Arial" w:cs="Arial"/>
                <w:lang w:val="en-GB"/>
              </w:rPr>
            </w:pPr>
            <w:r w:rsidRPr="000F1C26">
              <w:rPr>
                <w:rFonts w:ascii="Arial" w:hAnsi="Arial" w:cs="Arial"/>
                <w:lang w:val="en-GB"/>
              </w:rPr>
              <w:t xml:space="preserve">Ceramic </w:t>
            </w:r>
            <w:r w:rsidR="00C24FD3">
              <w:rPr>
                <w:rFonts w:ascii="Arial" w:hAnsi="Arial" w:cs="Arial"/>
                <w:lang w:val="en-GB"/>
              </w:rPr>
              <w:t>P</w:t>
            </w:r>
            <w:r w:rsidR="00FB33BC" w:rsidRPr="000F1C26">
              <w:rPr>
                <w:rFonts w:ascii="Arial" w:hAnsi="Arial" w:cs="Arial"/>
                <w:lang w:val="en-GB"/>
              </w:rPr>
              <w:t xml:space="preserve">an </w:t>
            </w:r>
            <w:r w:rsidR="00C24FD3">
              <w:rPr>
                <w:rFonts w:ascii="Arial" w:hAnsi="Arial" w:cs="Arial"/>
                <w:lang w:val="en-GB"/>
              </w:rPr>
              <w:t>C</w:t>
            </w:r>
            <w:r w:rsidRPr="000F1C26">
              <w:rPr>
                <w:rFonts w:ascii="Arial" w:hAnsi="Arial" w:cs="Arial"/>
                <w:lang w:val="en-GB"/>
              </w:rPr>
              <w:t>ombo</w:t>
            </w:r>
          </w:p>
        </w:tc>
        <w:tc>
          <w:tcPr>
            <w:tcW w:w="1134" w:type="dxa"/>
            <w:tcBorders>
              <w:top w:val="nil"/>
              <w:left w:val="nil"/>
              <w:bottom w:val="single" w:sz="8" w:space="0" w:color="auto"/>
              <w:right w:val="single" w:sz="4" w:space="0" w:color="auto"/>
            </w:tcBorders>
            <w:shd w:val="clear" w:color="auto" w:fill="auto"/>
            <w:noWrap/>
            <w:vAlign w:val="center"/>
            <w:hideMark/>
          </w:tcPr>
          <w:p w14:paraId="3C23C916" w14:textId="646CDBAC" w:rsidR="00094B83" w:rsidRPr="000F1C26" w:rsidRDefault="00094B83" w:rsidP="004A5CAC">
            <w:pPr>
              <w:jc w:val="right"/>
              <w:rPr>
                <w:rFonts w:ascii="Arial" w:hAnsi="Arial" w:cs="Arial"/>
                <w:lang w:val="en-GB"/>
              </w:rPr>
            </w:pPr>
            <w:r w:rsidRPr="000F1C26">
              <w:rPr>
                <w:rFonts w:ascii="Arial" w:hAnsi="Arial" w:cs="Arial"/>
                <w:lang w:val="en-GB"/>
              </w:rPr>
              <w:t>2</w:t>
            </w:r>
            <w:r w:rsidR="00452083" w:rsidRPr="000F1C26">
              <w:rPr>
                <w:rFonts w:ascii="Arial" w:hAnsi="Arial" w:cs="Arial"/>
                <w:lang w:val="en-GB"/>
              </w:rPr>
              <w:t>,</w:t>
            </w:r>
            <w:r w:rsidRPr="000F1C26">
              <w:rPr>
                <w:rFonts w:ascii="Arial" w:hAnsi="Arial" w:cs="Arial"/>
                <w:lang w:val="en-GB"/>
              </w:rPr>
              <w:t>510</w:t>
            </w:r>
          </w:p>
        </w:tc>
        <w:tc>
          <w:tcPr>
            <w:tcW w:w="1037" w:type="dxa"/>
            <w:tcBorders>
              <w:top w:val="nil"/>
              <w:left w:val="nil"/>
              <w:bottom w:val="single" w:sz="8" w:space="0" w:color="auto"/>
              <w:right w:val="single" w:sz="4" w:space="0" w:color="auto"/>
            </w:tcBorders>
            <w:shd w:val="clear" w:color="auto" w:fill="auto"/>
            <w:noWrap/>
            <w:vAlign w:val="center"/>
            <w:hideMark/>
          </w:tcPr>
          <w:p w14:paraId="43E61241" w14:textId="3F34505E" w:rsidR="00094B83" w:rsidRPr="000F1C26" w:rsidRDefault="00094B83" w:rsidP="004A5CAC">
            <w:pPr>
              <w:jc w:val="right"/>
              <w:rPr>
                <w:rFonts w:ascii="Arial" w:hAnsi="Arial" w:cs="Arial"/>
                <w:lang w:val="en-GB"/>
              </w:rPr>
            </w:pPr>
            <w:r w:rsidRPr="000F1C26">
              <w:rPr>
                <w:rFonts w:ascii="Arial" w:hAnsi="Arial" w:cs="Arial"/>
                <w:lang w:val="en-GB"/>
              </w:rPr>
              <w:t>1</w:t>
            </w:r>
            <w:r w:rsidR="00452083" w:rsidRPr="000F1C26">
              <w:rPr>
                <w:rFonts w:ascii="Arial" w:hAnsi="Arial" w:cs="Arial"/>
                <w:lang w:val="en-GB"/>
              </w:rPr>
              <w:t>,</w:t>
            </w:r>
            <w:r w:rsidRPr="000F1C26">
              <w:rPr>
                <w:rFonts w:ascii="Arial" w:hAnsi="Arial" w:cs="Arial"/>
                <w:lang w:val="en-GB"/>
              </w:rPr>
              <w:t>299</w:t>
            </w:r>
          </w:p>
        </w:tc>
        <w:tc>
          <w:tcPr>
            <w:tcW w:w="1275" w:type="dxa"/>
            <w:tcBorders>
              <w:top w:val="nil"/>
              <w:left w:val="nil"/>
              <w:bottom w:val="single" w:sz="8" w:space="0" w:color="auto"/>
              <w:right w:val="single" w:sz="4" w:space="0" w:color="auto"/>
            </w:tcBorders>
            <w:shd w:val="clear" w:color="auto" w:fill="auto"/>
            <w:noWrap/>
            <w:vAlign w:val="center"/>
            <w:hideMark/>
          </w:tcPr>
          <w:p w14:paraId="6C572978" w14:textId="7F3D1B8A" w:rsidR="00094B83" w:rsidRPr="000F1C26" w:rsidRDefault="00094B83" w:rsidP="004A5CAC">
            <w:pPr>
              <w:jc w:val="right"/>
              <w:rPr>
                <w:rFonts w:ascii="Arial" w:hAnsi="Arial" w:cs="Arial"/>
                <w:lang w:val="en-GB"/>
              </w:rPr>
            </w:pPr>
            <w:r w:rsidRPr="000F1C26">
              <w:rPr>
                <w:rFonts w:ascii="Arial" w:hAnsi="Arial" w:cs="Arial"/>
                <w:lang w:val="en-GB"/>
              </w:rPr>
              <w:t>898</w:t>
            </w:r>
            <w:r w:rsidR="00452083" w:rsidRPr="000F1C26">
              <w:rPr>
                <w:rFonts w:ascii="Arial" w:hAnsi="Arial" w:cs="Arial"/>
                <w:lang w:val="en-GB"/>
              </w:rPr>
              <w:t>,</w:t>
            </w:r>
            <w:r w:rsidRPr="000F1C26">
              <w:rPr>
                <w:rFonts w:ascii="Arial" w:hAnsi="Arial" w:cs="Arial"/>
                <w:lang w:val="en-GB"/>
              </w:rPr>
              <w:t>995</w:t>
            </w:r>
          </w:p>
        </w:tc>
        <w:tc>
          <w:tcPr>
            <w:tcW w:w="1418" w:type="dxa"/>
            <w:tcBorders>
              <w:top w:val="nil"/>
              <w:left w:val="nil"/>
              <w:bottom w:val="single" w:sz="8" w:space="0" w:color="auto"/>
              <w:right w:val="single" w:sz="4" w:space="0" w:color="auto"/>
            </w:tcBorders>
            <w:shd w:val="clear" w:color="auto" w:fill="auto"/>
            <w:noWrap/>
            <w:vAlign w:val="center"/>
            <w:hideMark/>
          </w:tcPr>
          <w:p w14:paraId="66DEC2F9" w14:textId="1CF3D682" w:rsidR="00094B83" w:rsidRPr="000F1C26" w:rsidRDefault="00094B83" w:rsidP="004A5CAC">
            <w:pPr>
              <w:jc w:val="right"/>
              <w:rPr>
                <w:rFonts w:ascii="Arial" w:hAnsi="Arial" w:cs="Arial"/>
                <w:lang w:val="en-GB"/>
              </w:rPr>
            </w:pPr>
            <w:r w:rsidRPr="000F1C26">
              <w:rPr>
                <w:rFonts w:ascii="Arial" w:hAnsi="Arial" w:cs="Arial"/>
                <w:lang w:val="en-GB"/>
              </w:rPr>
              <w:t>1</w:t>
            </w:r>
            <w:r w:rsidR="00452083" w:rsidRPr="000F1C26">
              <w:rPr>
                <w:rFonts w:ascii="Arial" w:hAnsi="Arial" w:cs="Arial"/>
                <w:lang w:val="en-GB"/>
              </w:rPr>
              <w:t>,</w:t>
            </w:r>
            <w:r w:rsidRPr="000F1C26">
              <w:rPr>
                <w:rFonts w:ascii="Arial" w:hAnsi="Arial" w:cs="Arial"/>
                <w:lang w:val="en-GB"/>
              </w:rPr>
              <w:t>258</w:t>
            </w:r>
            <w:r w:rsidR="00452083" w:rsidRPr="000F1C26">
              <w:rPr>
                <w:rFonts w:ascii="Arial" w:hAnsi="Arial" w:cs="Arial"/>
                <w:lang w:val="en-GB"/>
              </w:rPr>
              <w:t>,</w:t>
            </w:r>
            <w:r w:rsidRPr="000F1C26">
              <w:rPr>
                <w:rFonts w:ascii="Arial" w:hAnsi="Arial" w:cs="Arial"/>
                <w:lang w:val="en-GB"/>
              </w:rPr>
              <w:t>593</w:t>
            </w:r>
          </w:p>
        </w:tc>
        <w:tc>
          <w:tcPr>
            <w:tcW w:w="1417" w:type="dxa"/>
            <w:tcBorders>
              <w:top w:val="nil"/>
              <w:left w:val="nil"/>
              <w:bottom w:val="single" w:sz="8" w:space="0" w:color="auto"/>
              <w:right w:val="single" w:sz="8" w:space="0" w:color="auto"/>
            </w:tcBorders>
            <w:shd w:val="clear" w:color="auto" w:fill="auto"/>
            <w:noWrap/>
            <w:vAlign w:val="center"/>
            <w:hideMark/>
          </w:tcPr>
          <w:p w14:paraId="0AEAB755" w14:textId="5A787D2D" w:rsidR="00094B83" w:rsidRPr="000F1C26" w:rsidRDefault="00094B83" w:rsidP="004A5CAC">
            <w:pPr>
              <w:jc w:val="right"/>
              <w:rPr>
                <w:rFonts w:ascii="Arial" w:hAnsi="Arial" w:cs="Arial"/>
                <w:lang w:val="en-GB"/>
              </w:rPr>
            </w:pPr>
            <w:r w:rsidRPr="000F1C26">
              <w:rPr>
                <w:rFonts w:ascii="Arial" w:hAnsi="Arial" w:cs="Arial"/>
                <w:lang w:val="en-GB"/>
              </w:rPr>
              <w:t>2</w:t>
            </w:r>
            <w:r w:rsidR="00452083" w:rsidRPr="000F1C26">
              <w:rPr>
                <w:rFonts w:ascii="Arial" w:hAnsi="Arial" w:cs="Arial"/>
                <w:lang w:val="en-GB"/>
              </w:rPr>
              <w:t>,</w:t>
            </w:r>
            <w:r w:rsidRPr="000F1C26">
              <w:rPr>
                <w:rFonts w:ascii="Arial" w:hAnsi="Arial" w:cs="Arial"/>
                <w:lang w:val="en-GB"/>
              </w:rPr>
              <w:t>262</w:t>
            </w:r>
            <w:r w:rsidR="00452083" w:rsidRPr="000F1C26">
              <w:rPr>
                <w:rFonts w:ascii="Arial" w:hAnsi="Arial" w:cs="Arial"/>
                <w:lang w:val="en-GB"/>
              </w:rPr>
              <w:t>,</w:t>
            </w:r>
            <w:r w:rsidRPr="000F1C26">
              <w:rPr>
                <w:rFonts w:ascii="Arial" w:hAnsi="Arial" w:cs="Arial"/>
                <w:lang w:val="en-GB"/>
              </w:rPr>
              <w:t>805</w:t>
            </w:r>
          </w:p>
        </w:tc>
      </w:tr>
    </w:tbl>
    <w:p w14:paraId="29764DD9" w14:textId="77777777" w:rsidR="008D437B" w:rsidRDefault="008D437B" w:rsidP="00936ECF">
      <w:pPr>
        <w:pStyle w:val="Footnote"/>
        <w:rPr>
          <w:lang w:val="en-GB"/>
        </w:rPr>
      </w:pPr>
    </w:p>
    <w:p w14:paraId="6326B0DD" w14:textId="77777777" w:rsidR="00492EB9" w:rsidRPr="00EC1677" w:rsidRDefault="00492EB9" w:rsidP="00492EB9">
      <w:pPr>
        <w:pStyle w:val="Footnote"/>
        <w:rPr>
          <w:lang w:val="en-IN"/>
        </w:rPr>
      </w:pPr>
      <w:r>
        <w:rPr>
          <w:lang w:val="en-GB"/>
        </w:rPr>
        <w:t xml:space="preserve">Note: </w:t>
      </w:r>
      <w:r>
        <w:t xml:space="preserve">₹ = INR = Indian rupee; US$1= ₹63 on February 15, 2015. </w:t>
      </w:r>
    </w:p>
    <w:p w14:paraId="1D796497" w14:textId="42D8CAE7" w:rsidR="00094B83" w:rsidRPr="00BE35ED" w:rsidRDefault="00094B83" w:rsidP="00936ECF">
      <w:pPr>
        <w:pStyle w:val="Footnote"/>
        <w:rPr>
          <w:lang w:val="en-GB"/>
        </w:rPr>
      </w:pPr>
      <w:r w:rsidRPr="00BE35ED">
        <w:rPr>
          <w:lang w:val="en-GB"/>
        </w:rPr>
        <w:t xml:space="preserve">Source: </w:t>
      </w:r>
      <w:r w:rsidR="000E04AD">
        <w:rPr>
          <w:lang w:val="en-GB"/>
        </w:rPr>
        <w:t>Company records.</w:t>
      </w:r>
    </w:p>
    <w:p w14:paraId="5514B478" w14:textId="77777777" w:rsidR="00936ECF" w:rsidRPr="00BE35ED" w:rsidRDefault="00936ECF">
      <w:pPr>
        <w:spacing w:after="200" w:line="276" w:lineRule="auto"/>
        <w:rPr>
          <w:i/>
          <w:lang w:val="en-GB"/>
        </w:rPr>
      </w:pPr>
      <w:r w:rsidRPr="00BE35ED">
        <w:rPr>
          <w:i/>
          <w:lang w:val="en-GB"/>
        </w:rPr>
        <w:br w:type="page"/>
      </w:r>
    </w:p>
    <w:p w14:paraId="165C419A" w14:textId="06735EF7" w:rsidR="00094B83" w:rsidRPr="00BE35ED" w:rsidRDefault="00094B83" w:rsidP="00E629A4">
      <w:pPr>
        <w:pStyle w:val="Casehead1"/>
        <w:jc w:val="center"/>
        <w:rPr>
          <w:lang w:val="en-GB"/>
        </w:rPr>
      </w:pPr>
      <w:r w:rsidRPr="00BE35ED">
        <w:rPr>
          <w:lang w:val="en-GB"/>
        </w:rPr>
        <w:lastRenderedPageBreak/>
        <w:t xml:space="preserve">Exhibit 4: Sales Response for </w:t>
      </w:r>
      <w:r w:rsidR="00EC471C">
        <w:rPr>
          <w:lang w:val="en-GB"/>
        </w:rPr>
        <w:t xml:space="preserve">the </w:t>
      </w:r>
      <w:r w:rsidRPr="00BE35ED">
        <w:rPr>
          <w:lang w:val="en-GB"/>
        </w:rPr>
        <w:t xml:space="preserve">Previous </w:t>
      </w:r>
      <w:r w:rsidR="00102991" w:rsidRPr="002F75E6">
        <w:rPr>
          <w:i/>
          <w:lang w:val="en-GB"/>
        </w:rPr>
        <w:t>Times of India</w:t>
      </w:r>
      <w:r w:rsidR="00102991">
        <w:rPr>
          <w:lang w:val="en-GB"/>
        </w:rPr>
        <w:t xml:space="preserve"> </w:t>
      </w:r>
      <w:r w:rsidRPr="00BE35ED">
        <w:rPr>
          <w:lang w:val="en-GB"/>
        </w:rPr>
        <w:t>Reader’s Offer</w:t>
      </w:r>
      <w:r w:rsidR="00492EB9">
        <w:rPr>
          <w:lang w:val="en-GB"/>
        </w:rPr>
        <w:t xml:space="preserve"> campaigns</w:t>
      </w:r>
    </w:p>
    <w:p w14:paraId="6C4D7AE6" w14:textId="77777777" w:rsidR="00E629A4" w:rsidRPr="00BE35ED" w:rsidRDefault="00E629A4" w:rsidP="00094B83">
      <w:pPr>
        <w:jc w:val="center"/>
        <w:rPr>
          <w:b/>
          <w:lang w:val="en-GB"/>
        </w:rPr>
      </w:pPr>
    </w:p>
    <w:tbl>
      <w:tblPr>
        <w:tblStyle w:val="TableGrid"/>
        <w:tblW w:w="0" w:type="auto"/>
        <w:jc w:val="center"/>
        <w:tblLook w:val="04A0" w:firstRow="1" w:lastRow="0" w:firstColumn="1" w:lastColumn="0" w:noHBand="0" w:noVBand="1"/>
      </w:tblPr>
      <w:tblGrid>
        <w:gridCol w:w="1740"/>
        <w:gridCol w:w="1134"/>
        <w:gridCol w:w="1396"/>
      </w:tblGrid>
      <w:tr w:rsidR="0069529B" w:rsidRPr="00BE35ED" w14:paraId="70DEAF37" w14:textId="77777777" w:rsidTr="000F1C26">
        <w:trPr>
          <w:trHeight w:val="350"/>
          <w:jc w:val="center"/>
        </w:trPr>
        <w:tc>
          <w:tcPr>
            <w:tcW w:w="1740" w:type="dxa"/>
          </w:tcPr>
          <w:p w14:paraId="7370AE1B" w14:textId="77777777" w:rsidR="0069529B" w:rsidRPr="00BE35ED" w:rsidRDefault="0069529B" w:rsidP="004A5CAC">
            <w:pPr>
              <w:spacing w:after="160" w:line="259" w:lineRule="auto"/>
              <w:jc w:val="center"/>
              <w:rPr>
                <w:rFonts w:ascii="Arial" w:hAnsi="Arial" w:cs="Arial"/>
                <w:b/>
                <w:lang w:val="en-GB"/>
              </w:rPr>
            </w:pPr>
            <w:r w:rsidRPr="00BE35ED">
              <w:rPr>
                <w:rFonts w:ascii="Arial" w:hAnsi="Arial" w:cs="Arial"/>
                <w:b/>
                <w:lang w:val="en-GB"/>
              </w:rPr>
              <w:t>Product</w:t>
            </w:r>
          </w:p>
        </w:tc>
        <w:tc>
          <w:tcPr>
            <w:tcW w:w="1134" w:type="dxa"/>
          </w:tcPr>
          <w:p w14:paraId="1C9C4E5C" w14:textId="77777777" w:rsidR="0069529B" w:rsidRPr="00BE35ED" w:rsidRDefault="0069529B" w:rsidP="004A5CAC">
            <w:pPr>
              <w:spacing w:after="160" w:line="259" w:lineRule="auto"/>
              <w:jc w:val="center"/>
              <w:rPr>
                <w:rFonts w:ascii="Arial" w:hAnsi="Arial" w:cs="Arial"/>
                <w:b/>
                <w:lang w:val="en-GB"/>
              </w:rPr>
            </w:pPr>
            <w:r w:rsidRPr="00BE35ED">
              <w:rPr>
                <w:rFonts w:ascii="Arial" w:hAnsi="Arial" w:cs="Arial"/>
                <w:b/>
                <w:lang w:val="en-GB"/>
              </w:rPr>
              <w:t>Price Range (₹)</w:t>
            </w:r>
          </w:p>
        </w:tc>
        <w:tc>
          <w:tcPr>
            <w:tcW w:w="1396" w:type="dxa"/>
          </w:tcPr>
          <w:p w14:paraId="3376D539" w14:textId="25D74403" w:rsidR="0069529B" w:rsidRPr="00BE35ED" w:rsidRDefault="0069529B" w:rsidP="004A5CAC">
            <w:pPr>
              <w:spacing w:after="160" w:line="259" w:lineRule="auto"/>
              <w:jc w:val="center"/>
              <w:rPr>
                <w:rFonts w:ascii="Arial" w:hAnsi="Arial" w:cs="Arial"/>
                <w:b/>
                <w:lang w:val="en-GB"/>
              </w:rPr>
            </w:pPr>
            <w:r w:rsidRPr="00BE35ED">
              <w:rPr>
                <w:rFonts w:ascii="Arial" w:hAnsi="Arial" w:cs="Arial"/>
                <w:b/>
                <w:lang w:val="en-GB"/>
              </w:rPr>
              <w:t xml:space="preserve">Pieces </w:t>
            </w:r>
            <w:r w:rsidR="00FB33BC">
              <w:rPr>
                <w:rFonts w:ascii="Arial" w:hAnsi="Arial" w:cs="Arial"/>
                <w:b/>
                <w:lang w:val="en-GB"/>
              </w:rPr>
              <w:t xml:space="preserve">Sold </w:t>
            </w:r>
            <w:r w:rsidRPr="00BE35ED">
              <w:rPr>
                <w:rFonts w:ascii="Arial" w:hAnsi="Arial" w:cs="Arial"/>
                <w:b/>
                <w:lang w:val="en-GB"/>
              </w:rPr>
              <w:t xml:space="preserve">in a </w:t>
            </w:r>
            <w:r w:rsidR="00FB33BC">
              <w:rPr>
                <w:rFonts w:ascii="Arial" w:hAnsi="Arial" w:cs="Arial"/>
                <w:b/>
                <w:lang w:val="en-GB"/>
              </w:rPr>
              <w:t>D</w:t>
            </w:r>
            <w:r w:rsidR="00FB33BC" w:rsidRPr="00BE35ED">
              <w:rPr>
                <w:rFonts w:ascii="Arial" w:hAnsi="Arial" w:cs="Arial"/>
                <w:b/>
                <w:lang w:val="en-GB"/>
              </w:rPr>
              <w:t xml:space="preserve">ay </w:t>
            </w:r>
            <w:r w:rsidRPr="00BE35ED">
              <w:rPr>
                <w:rFonts w:ascii="Arial" w:hAnsi="Arial" w:cs="Arial"/>
                <w:b/>
                <w:lang w:val="en-GB"/>
              </w:rPr>
              <w:t>(Day 1)</w:t>
            </w:r>
          </w:p>
        </w:tc>
      </w:tr>
      <w:tr w:rsidR="0069529B" w:rsidRPr="00BE35ED" w14:paraId="7EC9C57E" w14:textId="77777777" w:rsidTr="004A5CAC">
        <w:trPr>
          <w:trHeight w:val="20"/>
          <w:jc w:val="center"/>
        </w:trPr>
        <w:tc>
          <w:tcPr>
            <w:tcW w:w="1740" w:type="dxa"/>
            <w:vAlign w:val="center"/>
          </w:tcPr>
          <w:p w14:paraId="29F4C412" w14:textId="2E15D1B1" w:rsidR="0069529B" w:rsidRPr="00BE35ED" w:rsidRDefault="0069529B" w:rsidP="004A5CAC">
            <w:pPr>
              <w:spacing w:after="160" w:line="259" w:lineRule="auto"/>
              <w:rPr>
                <w:rFonts w:ascii="Arial" w:hAnsi="Arial" w:cs="Arial"/>
                <w:lang w:val="en-GB"/>
              </w:rPr>
            </w:pPr>
            <w:r w:rsidRPr="00BE35ED">
              <w:rPr>
                <w:rFonts w:ascii="Arial" w:hAnsi="Arial" w:cs="Arial"/>
                <w:lang w:val="en-GB" w:bidi="he-IL"/>
              </w:rPr>
              <w:t>HCL Tab</w:t>
            </w:r>
            <w:r w:rsidR="00102991">
              <w:rPr>
                <w:rFonts w:ascii="Arial" w:hAnsi="Arial" w:cs="Arial"/>
                <w:lang w:val="en-GB" w:bidi="he-IL"/>
              </w:rPr>
              <w:t>let</w:t>
            </w:r>
          </w:p>
        </w:tc>
        <w:tc>
          <w:tcPr>
            <w:tcW w:w="1134" w:type="dxa"/>
            <w:vAlign w:val="center"/>
          </w:tcPr>
          <w:p w14:paraId="206B1AEA" w14:textId="1C1B3565" w:rsidR="0069529B" w:rsidRPr="00BE35ED" w:rsidRDefault="0069529B" w:rsidP="004A5CAC">
            <w:pPr>
              <w:spacing w:after="160" w:line="259" w:lineRule="auto"/>
              <w:jc w:val="center"/>
              <w:rPr>
                <w:rFonts w:ascii="Arial" w:hAnsi="Arial" w:cs="Arial"/>
                <w:lang w:val="en-GB"/>
              </w:rPr>
            </w:pPr>
            <w:r>
              <w:rPr>
                <w:rFonts w:ascii="Arial" w:hAnsi="Arial" w:cs="Arial"/>
                <w:lang w:val="en-GB" w:bidi="he-IL"/>
              </w:rPr>
              <w:t>8,499</w:t>
            </w:r>
          </w:p>
        </w:tc>
        <w:tc>
          <w:tcPr>
            <w:tcW w:w="1396" w:type="dxa"/>
            <w:vAlign w:val="center"/>
          </w:tcPr>
          <w:p w14:paraId="47F43609" w14:textId="77777777" w:rsidR="0069529B" w:rsidRPr="00BE35ED" w:rsidRDefault="0069529B" w:rsidP="004A5CAC">
            <w:pPr>
              <w:spacing w:after="160" w:line="259" w:lineRule="auto"/>
              <w:jc w:val="center"/>
              <w:rPr>
                <w:rFonts w:ascii="Arial" w:hAnsi="Arial" w:cs="Arial"/>
                <w:lang w:val="en-GB"/>
              </w:rPr>
            </w:pPr>
            <w:r w:rsidRPr="00BE35ED">
              <w:rPr>
                <w:rFonts w:ascii="Arial" w:hAnsi="Arial" w:cs="Arial"/>
                <w:lang w:val="en-GB" w:bidi="he-IL"/>
              </w:rPr>
              <w:t>230</w:t>
            </w:r>
          </w:p>
        </w:tc>
      </w:tr>
      <w:tr w:rsidR="0069529B" w:rsidRPr="00BE35ED" w14:paraId="5E2CE9A1" w14:textId="77777777" w:rsidTr="004A5CAC">
        <w:trPr>
          <w:trHeight w:val="867"/>
          <w:jc w:val="center"/>
        </w:trPr>
        <w:tc>
          <w:tcPr>
            <w:tcW w:w="1740" w:type="dxa"/>
            <w:vAlign w:val="center"/>
          </w:tcPr>
          <w:p w14:paraId="1DAA64E4" w14:textId="77777777" w:rsidR="0069529B" w:rsidRPr="00BE35ED" w:rsidRDefault="0069529B" w:rsidP="004A5CAC">
            <w:pPr>
              <w:spacing w:after="160" w:line="259" w:lineRule="auto"/>
              <w:rPr>
                <w:rFonts w:ascii="Arial" w:hAnsi="Arial" w:cs="Arial"/>
                <w:lang w:val="en-GB"/>
              </w:rPr>
            </w:pPr>
            <w:r w:rsidRPr="00BE35ED">
              <w:rPr>
                <w:rFonts w:ascii="Arial" w:hAnsi="Arial" w:cs="Arial"/>
                <w:lang w:val="en-GB" w:bidi="he-IL"/>
              </w:rPr>
              <w:t xml:space="preserve">Sony DVD Player + </w:t>
            </w:r>
            <w:proofErr w:type="spellStart"/>
            <w:r w:rsidRPr="00BE35ED">
              <w:rPr>
                <w:rFonts w:ascii="Arial" w:hAnsi="Arial" w:cs="Arial"/>
                <w:lang w:val="en-GB" w:bidi="he-IL"/>
              </w:rPr>
              <w:t>Cybershot</w:t>
            </w:r>
            <w:proofErr w:type="spellEnd"/>
            <w:r w:rsidRPr="00BE35ED">
              <w:rPr>
                <w:rFonts w:ascii="Arial" w:hAnsi="Arial" w:cs="Arial"/>
                <w:lang w:val="en-GB" w:bidi="he-IL"/>
              </w:rPr>
              <w:t xml:space="preserve"> Digital Camera</w:t>
            </w:r>
          </w:p>
        </w:tc>
        <w:tc>
          <w:tcPr>
            <w:tcW w:w="1134" w:type="dxa"/>
            <w:vAlign w:val="center"/>
          </w:tcPr>
          <w:p w14:paraId="265E8197" w14:textId="47CC7B77" w:rsidR="0069529B" w:rsidRPr="00BE35ED" w:rsidRDefault="0069529B" w:rsidP="004A5CAC">
            <w:pPr>
              <w:spacing w:after="160" w:line="259" w:lineRule="auto"/>
              <w:jc w:val="center"/>
              <w:rPr>
                <w:rFonts w:ascii="Arial" w:hAnsi="Arial" w:cs="Arial"/>
                <w:lang w:val="en-GB"/>
              </w:rPr>
            </w:pPr>
            <w:r>
              <w:rPr>
                <w:rFonts w:ascii="Arial" w:hAnsi="Arial" w:cs="Arial"/>
                <w:lang w:val="en-GB" w:bidi="he-IL"/>
              </w:rPr>
              <w:t>6,699</w:t>
            </w:r>
          </w:p>
        </w:tc>
        <w:tc>
          <w:tcPr>
            <w:tcW w:w="1396" w:type="dxa"/>
            <w:vAlign w:val="center"/>
          </w:tcPr>
          <w:p w14:paraId="129E4E42" w14:textId="77777777" w:rsidR="0069529B" w:rsidRPr="00BE35ED" w:rsidRDefault="0069529B" w:rsidP="004A5CAC">
            <w:pPr>
              <w:spacing w:after="160" w:line="259" w:lineRule="auto"/>
              <w:jc w:val="center"/>
              <w:rPr>
                <w:rFonts w:ascii="Arial" w:hAnsi="Arial" w:cs="Arial"/>
                <w:lang w:val="en-GB"/>
              </w:rPr>
            </w:pPr>
            <w:r w:rsidRPr="00BE35ED">
              <w:rPr>
                <w:rFonts w:ascii="Arial" w:hAnsi="Arial" w:cs="Arial"/>
                <w:lang w:val="en-GB" w:bidi="he-IL"/>
              </w:rPr>
              <w:t>310</w:t>
            </w:r>
          </w:p>
        </w:tc>
      </w:tr>
      <w:tr w:rsidR="0069529B" w:rsidRPr="00BE35ED" w14:paraId="545A78F2" w14:textId="77777777" w:rsidTr="004A5CAC">
        <w:trPr>
          <w:trHeight w:val="609"/>
          <w:jc w:val="center"/>
        </w:trPr>
        <w:tc>
          <w:tcPr>
            <w:tcW w:w="1740" w:type="dxa"/>
            <w:vAlign w:val="center"/>
          </w:tcPr>
          <w:p w14:paraId="7C0BB368" w14:textId="77777777" w:rsidR="0069529B" w:rsidRPr="00BE35ED" w:rsidRDefault="0069529B" w:rsidP="004A5CAC">
            <w:pPr>
              <w:spacing w:after="160" w:line="259" w:lineRule="auto"/>
              <w:rPr>
                <w:rFonts w:ascii="Arial" w:hAnsi="Arial" w:cs="Arial"/>
                <w:lang w:val="en-GB"/>
              </w:rPr>
            </w:pPr>
            <w:proofErr w:type="spellStart"/>
            <w:r w:rsidRPr="00BE35ED">
              <w:rPr>
                <w:rFonts w:ascii="Arial" w:hAnsi="Arial" w:cs="Arial"/>
                <w:lang w:val="en-GB" w:bidi="he-IL"/>
              </w:rPr>
              <w:t>Onida</w:t>
            </w:r>
            <w:proofErr w:type="spellEnd"/>
            <w:r w:rsidRPr="00BE35ED">
              <w:rPr>
                <w:rFonts w:ascii="Arial" w:hAnsi="Arial" w:cs="Arial"/>
                <w:lang w:val="en-GB" w:bidi="he-IL"/>
              </w:rPr>
              <w:t xml:space="preserve"> Mobile Handset</w:t>
            </w:r>
          </w:p>
        </w:tc>
        <w:tc>
          <w:tcPr>
            <w:tcW w:w="1134" w:type="dxa"/>
            <w:vAlign w:val="center"/>
          </w:tcPr>
          <w:p w14:paraId="44F884AD" w14:textId="1CD4FFED" w:rsidR="0069529B" w:rsidRPr="00BE35ED" w:rsidRDefault="0069529B" w:rsidP="004A5CAC">
            <w:pPr>
              <w:spacing w:after="160" w:line="259" w:lineRule="auto"/>
              <w:jc w:val="center"/>
              <w:rPr>
                <w:rFonts w:ascii="Arial" w:hAnsi="Arial" w:cs="Arial"/>
                <w:lang w:val="en-GB"/>
              </w:rPr>
            </w:pPr>
            <w:r>
              <w:rPr>
                <w:rFonts w:ascii="Arial" w:hAnsi="Arial" w:cs="Arial"/>
                <w:lang w:val="en-GB" w:bidi="he-IL"/>
              </w:rPr>
              <w:t>1,770</w:t>
            </w:r>
          </w:p>
        </w:tc>
        <w:tc>
          <w:tcPr>
            <w:tcW w:w="1396" w:type="dxa"/>
            <w:vAlign w:val="center"/>
          </w:tcPr>
          <w:p w14:paraId="0D06AE54" w14:textId="77777777" w:rsidR="0069529B" w:rsidRPr="00BE35ED" w:rsidRDefault="0069529B" w:rsidP="004A5CAC">
            <w:pPr>
              <w:spacing w:after="160" w:line="259" w:lineRule="auto"/>
              <w:jc w:val="center"/>
              <w:rPr>
                <w:rFonts w:ascii="Arial" w:hAnsi="Arial" w:cs="Arial"/>
                <w:lang w:val="en-GB"/>
              </w:rPr>
            </w:pPr>
            <w:r w:rsidRPr="00BE35ED">
              <w:rPr>
                <w:rFonts w:ascii="Arial" w:hAnsi="Arial" w:cs="Arial"/>
                <w:lang w:val="en-GB" w:bidi="he-IL"/>
              </w:rPr>
              <w:t>620</w:t>
            </w:r>
          </w:p>
        </w:tc>
      </w:tr>
    </w:tbl>
    <w:p w14:paraId="2DDED11A" w14:textId="77777777" w:rsidR="004E3BD1" w:rsidRPr="00BE35ED" w:rsidRDefault="004E3BD1" w:rsidP="004E3BD1">
      <w:pPr>
        <w:pStyle w:val="Footnote"/>
        <w:rPr>
          <w:lang w:val="en-GB"/>
        </w:rPr>
      </w:pPr>
    </w:p>
    <w:p w14:paraId="73940ACB" w14:textId="116EF201" w:rsidR="00492EB9" w:rsidRDefault="00492EB9" w:rsidP="004E3BD1">
      <w:pPr>
        <w:pStyle w:val="Footnote"/>
        <w:rPr>
          <w:lang w:val="en-GB"/>
        </w:rPr>
      </w:pPr>
      <w:r>
        <w:rPr>
          <w:lang w:val="en-GB"/>
        </w:rPr>
        <w:t xml:space="preserve">Note: </w:t>
      </w:r>
      <w:r>
        <w:t>₹ = INR = Indian rupee; US$1= ₹63 on February 15, 2015.</w:t>
      </w:r>
    </w:p>
    <w:p w14:paraId="5808AF94" w14:textId="4562450C" w:rsidR="00094B83" w:rsidRPr="00BE35ED" w:rsidRDefault="00094B83" w:rsidP="004E3BD1">
      <w:pPr>
        <w:pStyle w:val="Footnote"/>
        <w:rPr>
          <w:lang w:val="en-GB"/>
        </w:rPr>
      </w:pPr>
      <w:r w:rsidRPr="00BE35ED">
        <w:rPr>
          <w:lang w:val="en-GB"/>
        </w:rPr>
        <w:t xml:space="preserve">Source: </w:t>
      </w:r>
      <w:r w:rsidR="000E04AD">
        <w:rPr>
          <w:lang w:val="en-GB"/>
        </w:rPr>
        <w:t>Company records.</w:t>
      </w:r>
    </w:p>
    <w:p w14:paraId="6044B880" w14:textId="77777777" w:rsidR="00094B83" w:rsidRPr="00BE35ED" w:rsidRDefault="00094B83" w:rsidP="00094B83">
      <w:pPr>
        <w:rPr>
          <w:lang w:val="en-GB"/>
        </w:rPr>
      </w:pPr>
    </w:p>
    <w:p w14:paraId="4766EA61" w14:textId="77777777" w:rsidR="00094B83" w:rsidRPr="00BE35ED" w:rsidRDefault="00094B83" w:rsidP="00094B83">
      <w:pPr>
        <w:rPr>
          <w:lang w:val="en-GB"/>
        </w:rPr>
      </w:pPr>
    </w:p>
    <w:p w14:paraId="523A69F2" w14:textId="4410EFB7" w:rsidR="00094B83" w:rsidRPr="00BE35ED" w:rsidRDefault="00094B83" w:rsidP="009750EB">
      <w:pPr>
        <w:pStyle w:val="Casehead1"/>
        <w:jc w:val="center"/>
        <w:rPr>
          <w:lang w:val="en-GB"/>
        </w:rPr>
      </w:pPr>
      <w:r w:rsidRPr="00BE35ED">
        <w:rPr>
          <w:lang w:val="en-GB"/>
        </w:rPr>
        <w:t xml:space="preserve">Exhibit 5: </w:t>
      </w:r>
      <w:r w:rsidR="00102991">
        <w:rPr>
          <w:lang w:val="en-GB"/>
        </w:rPr>
        <w:t xml:space="preserve">the </w:t>
      </w:r>
      <w:r w:rsidR="00102991" w:rsidRPr="002F75E6">
        <w:rPr>
          <w:i/>
          <w:lang w:val="en-GB"/>
        </w:rPr>
        <w:t>Times of India</w:t>
      </w:r>
      <w:r w:rsidR="00102991">
        <w:rPr>
          <w:lang w:val="en-GB"/>
        </w:rPr>
        <w:t xml:space="preserve"> advertising </w:t>
      </w:r>
      <w:r w:rsidRPr="00BE35ED">
        <w:rPr>
          <w:lang w:val="en-GB"/>
        </w:rPr>
        <w:t>Rates offered to Impex</w:t>
      </w:r>
    </w:p>
    <w:p w14:paraId="25FF5988" w14:textId="77777777" w:rsidR="00364B10" w:rsidRPr="00BE35ED" w:rsidRDefault="00364B10" w:rsidP="00094B83">
      <w:pPr>
        <w:jc w:val="center"/>
        <w:rPr>
          <w:b/>
          <w:lang w:val="en-GB"/>
        </w:rPr>
      </w:pPr>
    </w:p>
    <w:tbl>
      <w:tblPr>
        <w:tblStyle w:val="TableGrid"/>
        <w:tblW w:w="8982" w:type="dxa"/>
        <w:jc w:val="center"/>
        <w:tblLook w:val="04A0" w:firstRow="1" w:lastRow="0" w:firstColumn="1" w:lastColumn="0" w:noHBand="0" w:noVBand="1"/>
      </w:tblPr>
      <w:tblGrid>
        <w:gridCol w:w="1328"/>
        <w:gridCol w:w="3118"/>
        <w:gridCol w:w="3006"/>
        <w:gridCol w:w="1530"/>
      </w:tblGrid>
      <w:tr w:rsidR="00094B83" w:rsidRPr="00BE35ED" w14:paraId="594FF150" w14:textId="77777777" w:rsidTr="000F1C26">
        <w:trPr>
          <w:jc w:val="center"/>
        </w:trPr>
        <w:tc>
          <w:tcPr>
            <w:tcW w:w="1328" w:type="dxa"/>
          </w:tcPr>
          <w:p w14:paraId="501A9078" w14:textId="77777777" w:rsidR="00094B83" w:rsidRPr="00BE35ED" w:rsidRDefault="00094B83" w:rsidP="009563E1">
            <w:pPr>
              <w:rPr>
                <w:rFonts w:ascii="Arial" w:hAnsi="Arial" w:cs="Arial"/>
                <w:b/>
                <w:lang w:val="en-GB"/>
              </w:rPr>
            </w:pPr>
            <w:r w:rsidRPr="00BE35ED">
              <w:rPr>
                <w:rFonts w:ascii="Arial" w:hAnsi="Arial" w:cs="Arial"/>
                <w:b/>
                <w:lang w:val="en-GB"/>
              </w:rPr>
              <w:t>Package</w:t>
            </w:r>
          </w:p>
        </w:tc>
        <w:tc>
          <w:tcPr>
            <w:tcW w:w="3118" w:type="dxa"/>
          </w:tcPr>
          <w:p w14:paraId="2625322C" w14:textId="77777777" w:rsidR="00094B83" w:rsidRPr="00BE35ED" w:rsidRDefault="00094B83" w:rsidP="009563E1">
            <w:pPr>
              <w:rPr>
                <w:rFonts w:ascii="Arial" w:hAnsi="Arial" w:cs="Arial"/>
                <w:b/>
                <w:lang w:val="en-GB"/>
              </w:rPr>
            </w:pPr>
            <w:r w:rsidRPr="00BE35ED">
              <w:rPr>
                <w:rFonts w:ascii="Arial" w:hAnsi="Arial" w:cs="Arial"/>
                <w:b/>
                <w:lang w:val="en-GB"/>
              </w:rPr>
              <w:t>Editions Covered</w:t>
            </w:r>
          </w:p>
        </w:tc>
        <w:tc>
          <w:tcPr>
            <w:tcW w:w="3006" w:type="dxa"/>
          </w:tcPr>
          <w:p w14:paraId="7C028F02" w14:textId="4E5F2966" w:rsidR="00094B83" w:rsidRPr="00BE35ED" w:rsidRDefault="00094B83" w:rsidP="009563E1">
            <w:pPr>
              <w:rPr>
                <w:rFonts w:ascii="Arial" w:hAnsi="Arial" w:cs="Arial"/>
                <w:b/>
                <w:lang w:val="en-GB"/>
              </w:rPr>
            </w:pPr>
            <w:r w:rsidRPr="00BE35ED">
              <w:rPr>
                <w:rFonts w:ascii="Arial" w:hAnsi="Arial" w:cs="Arial"/>
                <w:b/>
                <w:lang w:val="en-GB"/>
              </w:rPr>
              <w:t>Reader’s Offer Rate</w:t>
            </w:r>
            <w:r w:rsidR="00385346">
              <w:rPr>
                <w:rFonts w:ascii="Arial" w:hAnsi="Arial" w:cs="Arial"/>
                <w:b/>
                <w:lang w:val="en-GB"/>
              </w:rPr>
              <w:t xml:space="preserve"> (</w:t>
            </w:r>
            <w:r w:rsidR="00102991">
              <w:rPr>
                <w:rFonts w:ascii="Arial" w:hAnsi="Arial" w:cs="Arial"/>
                <w:b/>
                <w:lang w:val="en-GB"/>
              </w:rPr>
              <w:t xml:space="preserve">in </w:t>
            </w:r>
            <w:r w:rsidR="00385346" w:rsidRPr="00BE35ED">
              <w:rPr>
                <w:rFonts w:ascii="Tahoma" w:hAnsi="Tahoma" w:cs="Tahoma"/>
                <w:lang w:val="en-GB"/>
              </w:rPr>
              <w:t>₹</w:t>
            </w:r>
            <w:r w:rsidR="00385346">
              <w:rPr>
                <w:rFonts w:ascii="Tahoma" w:hAnsi="Tahoma" w:cs="Tahoma"/>
                <w:lang w:val="en-GB"/>
              </w:rPr>
              <w:t>)</w:t>
            </w:r>
          </w:p>
        </w:tc>
        <w:tc>
          <w:tcPr>
            <w:tcW w:w="1530" w:type="dxa"/>
          </w:tcPr>
          <w:p w14:paraId="522F7AD3" w14:textId="77777777" w:rsidR="004A5CAC" w:rsidRDefault="00094B83" w:rsidP="009563E1">
            <w:pPr>
              <w:rPr>
                <w:rFonts w:ascii="Arial" w:hAnsi="Arial" w:cs="Arial"/>
                <w:b/>
                <w:lang w:val="en-GB"/>
              </w:rPr>
            </w:pPr>
            <w:r w:rsidRPr="00BE35ED">
              <w:rPr>
                <w:rFonts w:ascii="Arial" w:hAnsi="Arial" w:cs="Arial"/>
                <w:b/>
                <w:lang w:val="en-GB"/>
              </w:rPr>
              <w:t>Card Rate</w:t>
            </w:r>
            <w:r w:rsidR="00385346">
              <w:rPr>
                <w:rFonts w:ascii="Arial" w:hAnsi="Arial" w:cs="Arial"/>
                <w:b/>
                <w:lang w:val="en-GB"/>
              </w:rPr>
              <w:t xml:space="preserve"> </w:t>
            </w:r>
          </w:p>
          <w:p w14:paraId="09353571" w14:textId="0D09F603" w:rsidR="00094B83" w:rsidRPr="00BE35ED" w:rsidRDefault="00385346" w:rsidP="009563E1">
            <w:pPr>
              <w:rPr>
                <w:rFonts w:ascii="Arial" w:hAnsi="Arial" w:cs="Arial"/>
                <w:b/>
                <w:lang w:val="en-GB"/>
              </w:rPr>
            </w:pPr>
            <w:r>
              <w:rPr>
                <w:rFonts w:ascii="Arial" w:hAnsi="Arial" w:cs="Arial"/>
                <w:b/>
                <w:lang w:val="en-GB"/>
              </w:rPr>
              <w:t>(</w:t>
            </w:r>
            <w:r w:rsidR="00102991">
              <w:rPr>
                <w:rFonts w:ascii="Arial" w:hAnsi="Arial" w:cs="Arial"/>
                <w:b/>
                <w:lang w:val="en-GB"/>
              </w:rPr>
              <w:t xml:space="preserve">in </w:t>
            </w:r>
            <w:r w:rsidRPr="00BE35ED">
              <w:rPr>
                <w:rFonts w:ascii="Tahoma" w:hAnsi="Tahoma" w:cs="Tahoma"/>
                <w:lang w:val="en-GB"/>
              </w:rPr>
              <w:t>₹</w:t>
            </w:r>
            <w:r>
              <w:rPr>
                <w:rFonts w:ascii="Tahoma" w:hAnsi="Tahoma" w:cs="Tahoma"/>
                <w:lang w:val="en-GB"/>
              </w:rPr>
              <w:t>)</w:t>
            </w:r>
          </w:p>
        </w:tc>
      </w:tr>
      <w:tr w:rsidR="00094B83" w:rsidRPr="00BE35ED" w14:paraId="1BF13DAA" w14:textId="77777777" w:rsidTr="000F1C26">
        <w:trPr>
          <w:trHeight w:val="152"/>
          <w:jc w:val="center"/>
        </w:trPr>
        <w:tc>
          <w:tcPr>
            <w:tcW w:w="1328" w:type="dxa"/>
          </w:tcPr>
          <w:p w14:paraId="6AE96BEB" w14:textId="2544D5C3" w:rsidR="00094B83" w:rsidRPr="00BE35ED" w:rsidRDefault="00094B83">
            <w:pPr>
              <w:rPr>
                <w:rFonts w:ascii="Arial" w:hAnsi="Arial" w:cs="Arial"/>
                <w:lang w:val="en-GB"/>
              </w:rPr>
            </w:pPr>
            <w:r w:rsidRPr="00BE35ED">
              <w:rPr>
                <w:rFonts w:ascii="Arial" w:hAnsi="Arial" w:cs="Arial"/>
                <w:lang w:val="en-GB"/>
              </w:rPr>
              <w:t>All</w:t>
            </w:r>
            <w:r w:rsidR="00102991">
              <w:rPr>
                <w:rFonts w:ascii="Arial" w:hAnsi="Arial" w:cs="Arial"/>
                <w:lang w:val="en-GB"/>
              </w:rPr>
              <w:t xml:space="preserve"> editions</w:t>
            </w:r>
          </w:p>
        </w:tc>
        <w:tc>
          <w:tcPr>
            <w:tcW w:w="3118" w:type="dxa"/>
          </w:tcPr>
          <w:p w14:paraId="17DDF8C1" w14:textId="0BA24107" w:rsidR="00094B83" w:rsidRPr="00BE35ED" w:rsidRDefault="00094B83" w:rsidP="00FB33BC">
            <w:pPr>
              <w:spacing w:after="160" w:line="259" w:lineRule="auto"/>
              <w:rPr>
                <w:rFonts w:ascii="Arial" w:hAnsi="Arial" w:cs="Arial"/>
                <w:lang w:val="en-GB"/>
              </w:rPr>
            </w:pPr>
            <w:r w:rsidRPr="00BE35ED">
              <w:rPr>
                <w:rFonts w:ascii="Arial" w:hAnsi="Arial" w:cs="Arial"/>
                <w:lang w:val="en-GB"/>
              </w:rPr>
              <w:t xml:space="preserve">All 15 </w:t>
            </w:r>
            <w:r w:rsidR="00FB33BC">
              <w:rPr>
                <w:rFonts w:ascii="Arial" w:hAnsi="Arial" w:cs="Arial"/>
                <w:lang w:val="en-GB"/>
              </w:rPr>
              <w:t>e</w:t>
            </w:r>
            <w:r w:rsidR="00FB33BC" w:rsidRPr="00BE35ED">
              <w:rPr>
                <w:rFonts w:ascii="Arial" w:hAnsi="Arial" w:cs="Arial"/>
                <w:lang w:val="en-GB"/>
              </w:rPr>
              <w:t>ditions</w:t>
            </w:r>
          </w:p>
        </w:tc>
        <w:tc>
          <w:tcPr>
            <w:tcW w:w="3006" w:type="dxa"/>
          </w:tcPr>
          <w:p w14:paraId="399CCA9F" w14:textId="6AA56303" w:rsidR="00094B83" w:rsidRPr="00BE35ED" w:rsidRDefault="00094B83" w:rsidP="00FB33BC">
            <w:pPr>
              <w:rPr>
                <w:rFonts w:ascii="Arial" w:hAnsi="Arial" w:cs="Arial"/>
                <w:lang w:val="en-GB"/>
              </w:rPr>
            </w:pPr>
            <w:r w:rsidRPr="00BE35ED">
              <w:rPr>
                <w:rFonts w:ascii="Arial" w:hAnsi="Arial" w:cs="Arial"/>
                <w:lang w:val="en-GB"/>
              </w:rPr>
              <w:t>380</w:t>
            </w:r>
            <w:r w:rsidR="0069529B">
              <w:rPr>
                <w:rFonts w:ascii="Arial" w:hAnsi="Arial" w:cs="Arial"/>
                <w:lang w:val="en-GB"/>
              </w:rPr>
              <w:t>,</w:t>
            </w:r>
            <w:r w:rsidRPr="00BE35ED">
              <w:rPr>
                <w:rFonts w:ascii="Arial" w:hAnsi="Arial" w:cs="Arial"/>
                <w:lang w:val="en-GB"/>
              </w:rPr>
              <w:t xml:space="preserve">000 + </w:t>
            </w:r>
            <w:r w:rsidR="00FB33BC">
              <w:rPr>
                <w:rFonts w:ascii="Arial" w:hAnsi="Arial" w:cs="Arial"/>
                <w:lang w:val="en-GB"/>
              </w:rPr>
              <w:t>t</w:t>
            </w:r>
            <w:r w:rsidR="00FB33BC" w:rsidRPr="00BE35ED">
              <w:rPr>
                <w:rFonts w:ascii="Arial" w:hAnsi="Arial" w:cs="Arial"/>
                <w:lang w:val="en-GB"/>
              </w:rPr>
              <w:t xml:space="preserve">ax </w:t>
            </w:r>
            <w:r w:rsidRPr="00BE35ED">
              <w:rPr>
                <w:rFonts w:ascii="Arial" w:hAnsi="Arial" w:cs="Arial"/>
                <w:lang w:val="en-GB"/>
              </w:rPr>
              <w:t>(12.36</w:t>
            </w:r>
            <w:r w:rsidR="0069529B">
              <w:rPr>
                <w:rFonts w:ascii="Arial" w:hAnsi="Arial" w:cs="Arial"/>
                <w:lang w:val="en-GB"/>
              </w:rPr>
              <w:t xml:space="preserve"> </w:t>
            </w:r>
            <w:r w:rsidR="007964AA">
              <w:rPr>
                <w:rFonts w:ascii="Arial" w:hAnsi="Arial" w:cs="Arial"/>
                <w:lang w:val="en-GB"/>
              </w:rPr>
              <w:t>per cent</w:t>
            </w:r>
            <w:r w:rsidRPr="00BE35ED">
              <w:rPr>
                <w:rFonts w:ascii="Arial" w:hAnsi="Arial" w:cs="Arial"/>
                <w:lang w:val="en-GB"/>
              </w:rPr>
              <w:t>)</w:t>
            </w:r>
          </w:p>
        </w:tc>
        <w:tc>
          <w:tcPr>
            <w:tcW w:w="1530" w:type="dxa"/>
          </w:tcPr>
          <w:p w14:paraId="4F160CAE" w14:textId="65D45024" w:rsidR="00094B83" w:rsidRPr="00BE35ED" w:rsidRDefault="00094B83" w:rsidP="002F75E6">
            <w:pPr>
              <w:tabs>
                <w:tab w:val="decimal" w:pos="1040"/>
              </w:tabs>
              <w:rPr>
                <w:rFonts w:ascii="Arial" w:hAnsi="Arial" w:cs="Arial"/>
                <w:lang w:val="en-GB"/>
              </w:rPr>
            </w:pPr>
            <w:r w:rsidRPr="00BE35ED">
              <w:rPr>
                <w:rFonts w:ascii="Arial" w:hAnsi="Arial" w:cs="Arial"/>
                <w:lang w:val="en-GB"/>
              </w:rPr>
              <w:t>2</w:t>
            </w:r>
            <w:r w:rsidR="0082546C">
              <w:rPr>
                <w:rFonts w:ascii="Arial" w:hAnsi="Arial" w:cs="Arial"/>
                <w:lang w:val="en-GB"/>
              </w:rPr>
              <w:t>,</w:t>
            </w:r>
            <w:r w:rsidRPr="00BE35ED">
              <w:rPr>
                <w:rFonts w:ascii="Arial" w:hAnsi="Arial" w:cs="Arial"/>
                <w:lang w:val="en-GB"/>
              </w:rPr>
              <w:t>539,200</w:t>
            </w:r>
          </w:p>
        </w:tc>
      </w:tr>
      <w:tr w:rsidR="00094B83" w:rsidRPr="00BE35ED" w14:paraId="64806842" w14:textId="77777777" w:rsidTr="000F1C26">
        <w:trPr>
          <w:trHeight w:val="395"/>
          <w:jc w:val="center"/>
        </w:trPr>
        <w:tc>
          <w:tcPr>
            <w:tcW w:w="1328" w:type="dxa"/>
          </w:tcPr>
          <w:p w14:paraId="10D75D0E" w14:textId="3A16521A" w:rsidR="00094B83" w:rsidRPr="00BE35ED" w:rsidRDefault="00094B83">
            <w:pPr>
              <w:rPr>
                <w:rFonts w:ascii="Arial" w:hAnsi="Arial" w:cs="Arial"/>
                <w:lang w:val="en-GB"/>
              </w:rPr>
            </w:pPr>
            <w:r w:rsidRPr="00BE35ED">
              <w:rPr>
                <w:rFonts w:ascii="Arial" w:hAnsi="Arial" w:cs="Arial"/>
                <w:lang w:val="en-GB"/>
              </w:rPr>
              <w:t>South</w:t>
            </w:r>
            <w:r w:rsidR="00102991">
              <w:rPr>
                <w:rFonts w:ascii="Arial" w:hAnsi="Arial" w:cs="Arial"/>
                <w:lang w:val="en-GB"/>
              </w:rPr>
              <w:t xml:space="preserve"> India editions only</w:t>
            </w:r>
          </w:p>
        </w:tc>
        <w:tc>
          <w:tcPr>
            <w:tcW w:w="3118" w:type="dxa"/>
          </w:tcPr>
          <w:p w14:paraId="3119A1B4" w14:textId="05587668" w:rsidR="00094B83" w:rsidRPr="00BE35ED" w:rsidRDefault="00102991" w:rsidP="009563E1">
            <w:pPr>
              <w:spacing w:after="160" w:line="259" w:lineRule="auto"/>
              <w:rPr>
                <w:rFonts w:ascii="Arial" w:hAnsi="Arial" w:cs="Arial"/>
                <w:lang w:val="en-GB"/>
              </w:rPr>
            </w:pPr>
            <w:r>
              <w:rPr>
                <w:rFonts w:ascii="Arial" w:hAnsi="Arial" w:cs="Arial"/>
                <w:lang w:val="en-GB"/>
              </w:rPr>
              <w:t>Four</w:t>
            </w:r>
            <w:r w:rsidRPr="00BE35ED">
              <w:rPr>
                <w:rFonts w:ascii="Arial" w:hAnsi="Arial" w:cs="Arial"/>
                <w:lang w:val="en-GB"/>
              </w:rPr>
              <w:t xml:space="preserve"> </w:t>
            </w:r>
            <w:r w:rsidR="00094B83" w:rsidRPr="00BE35ED">
              <w:rPr>
                <w:rFonts w:ascii="Arial" w:hAnsi="Arial" w:cs="Arial"/>
                <w:lang w:val="en-GB"/>
              </w:rPr>
              <w:t>editions</w:t>
            </w:r>
            <w:r w:rsidR="00FB33BC">
              <w:rPr>
                <w:rFonts w:ascii="Arial" w:hAnsi="Arial" w:cs="Arial"/>
                <w:lang w:val="en-GB"/>
              </w:rPr>
              <w:t>:</w:t>
            </w:r>
            <w:r w:rsidR="00094B83" w:rsidRPr="00BE35ED">
              <w:rPr>
                <w:rFonts w:ascii="Arial" w:hAnsi="Arial" w:cs="Arial"/>
                <w:lang w:val="en-GB"/>
              </w:rPr>
              <w:t xml:space="preserve"> </w:t>
            </w:r>
            <w:r w:rsidR="00094B83" w:rsidRPr="00BE35ED">
              <w:rPr>
                <w:rFonts w:ascii="Arial" w:hAnsi="Arial" w:cs="Arial"/>
                <w:lang w:val="en-GB" w:bidi="he-IL"/>
              </w:rPr>
              <w:t>Bangalore,</w:t>
            </w:r>
            <w:r w:rsidR="00094B83" w:rsidRPr="00BE35ED" w:rsidDel="00814843">
              <w:rPr>
                <w:rFonts w:ascii="Arial" w:hAnsi="Arial" w:cs="Arial"/>
                <w:lang w:val="en-GB" w:bidi="he-IL"/>
              </w:rPr>
              <w:t xml:space="preserve"> </w:t>
            </w:r>
            <w:r w:rsidR="00094B83" w:rsidRPr="00BE35ED">
              <w:rPr>
                <w:rFonts w:ascii="Arial" w:hAnsi="Arial" w:cs="Arial"/>
                <w:lang w:val="en-GB" w:bidi="he-IL"/>
              </w:rPr>
              <w:t>Chennai,</w:t>
            </w:r>
            <w:r w:rsidR="00094B83" w:rsidRPr="00BE35ED" w:rsidDel="00814843">
              <w:rPr>
                <w:rFonts w:ascii="Arial" w:hAnsi="Arial" w:cs="Arial"/>
                <w:lang w:val="en-GB" w:bidi="he-IL"/>
              </w:rPr>
              <w:t xml:space="preserve"> </w:t>
            </w:r>
            <w:r w:rsidR="00094B83" w:rsidRPr="00BE35ED">
              <w:rPr>
                <w:rFonts w:ascii="Arial" w:hAnsi="Arial" w:cs="Arial"/>
                <w:lang w:val="en-GB" w:bidi="he-IL"/>
              </w:rPr>
              <w:t>Hyderabad,</w:t>
            </w:r>
            <w:r w:rsidR="00094B83" w:rsidRPr="00BE35ED" w:rsidDel="00814843">
              <w:rPr>
                <w:rFonts w:ascii="Arial" w:hAnsi="Arial" w:cs="Arial"/>
                <w:lang w:val="en-GB" w:bidi="he-IL"/>
              </w:rPr>
              <w:t xml:space="preserve"> </w:t>
            </w:r>
            <w:r>
              <w:rPr>
                <w:rFonts w:ascii="Arial" w:hAnsi="Arial" w:cs="Arial"/>
                <w:lang w:val="en-GB" w:bidi="he-IL"/>
              </w:rPr>
              <w:t xml:space="preserve">and </w:t>
            </w:r>
            <w:r w:rsidR="00094B83" w:rsidRPr="00BE35ED">
              <w:rPr>
                <w:rFonts w:ascii="Arial" w:hAnsi="Arial" w:cs="Arial"/>
                <w:lang w:val="en-GB" w:bidi="he-IL"/>
              </w:rPr>
              <w:t>Kerala*</w:t>
            </w:r>
          </w:p>
        </w:tc>
        <w:tc>
          <w:tcPr>
            <w:tcW w:w="3006" w:type="dxa"/>
          </w:tcPr>
          <w:p w14:paraId="3F5D3209" w14:textId="37A23A17" w:rsidR="00094B83" w:rsidRPr="00BE35ED" w:rsidRDefault="00094B83" w:rsidP="00FB33BC">
            <w:pPr>
              <w:rPr>
                <w:rFonts w:ascii="Arial" w:hAnsi="Arial" w:cs="Arial"/>
                <w:lang w:val="en-GB"/>
              </w:rPr>
            </w:pPr>
            <w:r w:rsidRPr="00BE35ED">
              <w:rPr>
                <w:rFonts w:ascii="Arial" w:hAnsi="Arial" w:cs="Arial"/>
                <w:lang w:val="en-GB"/>
              </w:rPr>
              <w:t>180</w:t>
            </w:r>
            <w:r w:rsidR="0069529B">
              <w:rPr>
                <w:rFonts w:ascii="Arial" w:hAnsi="Arial" w:cs="Arial"/>
                <w:lang w:val="en-GB"/>
              </w:rPr>
              <w:t>,</w:t>
            </w:r>
            <w:r w:rsidRPr="00BE35ED">
              <w:rPr>
                <w:rFonts w:ascii="Arial" w:hAnsi="Arial" w:cs="Arial"/>
                <w:lang w:val="en-GB"/>
              </w:rPr>
              <w:t xml:space="preserve">000 + </w:t>
            </w:r>
            <w:r w:rsidR="00FB33BC">
              <w:rPr>
                <w:rFonts w:ascii="Arial" w:hAnsi="Arial" w:cs="Arial"/>
                <w:lang w:val="en-GB"/>
              </w:rPr>
              <w:t>t</w:t>
            </w:r>
            <w:r w:rsidR="00FB33BC" w:rsidRPr="00BE35ED">
              <w:rPr>
                <w:rFonts w:ascii="Arial" w:hAnsi="Arial" w:cs="Arial"/>
                <w:lang w:val="en-GB"/>
              </w:rPr>
              <w:t xml:space="preserve">ax </w:t>
            </w:r>
            <w:r w:rsidRPr="00BE35ED">
              <w:rPr>
                <w:rFonts w:ascii="Arial" w:hAnsi="Arial" w:cs="Arial"/>
                <w:lang w:val="en-GB"/>
              </w:rPr>
              <w:t>(12.36</w:t>
            </w:r>
            <w:r w:rsidR="0069529B">
              <w:rPr>
                <w:rFonts w:ascii="Arial" w:hAnsi="Arial" w:cs="Arial"/>
                <w:lang w:val="en-GB"/>
              </w:rPr>
              <w:t xml:space="preserve"> </w:t>
            </w:r>
            <w:r w:rsidR="007964AA">
              <w:rPr>
                <w:rFonts w:ascii="Arial" w:hAnsi="Arial" w:cs="Arial"/>
                <w:lang w:val="en-GB"/>
              </w:rPr>
              <w:t>per cent</w:t>
            </w:r>
            <w:r w:rsidRPr="00BE35ED">
              <w:rPr>
                <w:rFonts w:ascii="Arial" w:hAnsi="Arial" w:cs="Arial"/>
                <w:lang w:val="en-GB"/>
              </w:rPr>
              <w:t>)</w:t>
            </w:r>
          </w:p>
        </w:tc>
        <w:tc>
          <w:tcPr>
            <w:tcW w:w="1530" w:type="dxa"/>
          </w:tcPr>
          <w:p w14:paraId="75554D39" w14:textId="659B63AA" w:rsidR="00094B83" w:rsidRPr="00BE35ED" w:rsidRDefault="00094B83" w:rsidP="002F75E6">
            <w:pPr>
              <w:tabs>
                <w:tab w:val="decimal" w:pos="1040"/>
              </w:tabs>
              <w:rPr>
                <w:rFonts w:ascii="Arial" w:hAnsi="Arial" w:cs="Arial"/>
                <w:lang w:val="en-GB"/>
              </w:rPr>
            </w:pPr>
            <w:r w:rsidRPr="00BE35ED">
              <w:rPr>
                <w:rFonts w:ascii="Arial" w:hAnsi="Arial" w:cs="Arial"/>
                <w:lang w:val="en-GB"/>
              </w:rPr>
              <w:t>988,800</w:t>
            </w:r>
          </w:p>
        </w:tc>
      </w:tr>
    </w:tbl>
    <w:p w14:paraId="2D2CA330" w14:textId="77777777" w:rsidR="00C364C9" w:rsidRPr="00BE35ED" w:rsidRDefault="00C364C9" w:rsidP="00C364C9">
      <w:pPr>
        <w:pStyle w:val="Footnote"/>
        <w:rPr>
          <w:lang w:val="en-GB"/>
        </w:rPr>
      </w:pPr>
    </w:p>
    <w:p w14:paraId="24B4F02B" w14:textId="6CD6903C" w:rsidR="00364B10" w:rsidRPr="00BE35ED" w:rsidRDefault="00094B83" w:rsidP="00C364C9">
      <w:pPr>
        <w:pStyle w:val="Footnote"/>
        <w:rPr>
          <w:lang w:val="en-GB"/>
        </w:rPr>
      </w:pPr>
      <w:r w:rsidRPr="00BE35ED">
        <w:rPr>
          <w:lang w:val="en-GB"/>
        </w:rPr>
        <w:t xml:space="preserve">Note: </w:t>
      </w:r>
      <w:r w:rsidR="00492EB9">
        <w:rPr>
          <w:lang w:val="en-GB"/>
        </w:rPr>
        <w:t xml:space="preserve">Note: </w:t>
      </w:r>
      <w:r w:rsidR="00492EB9">
        <w:t xml:space="preserve">₹ = INR = Indian rupee; US$1= ₹63 on February 15, 2015. </w:t>
      </w:r>
      <w:r w:rsidR="00102991">
        <w:rPr>
          <w:lang w:val="en-GB"/>
        </w:rPr>
        <w:t>When</w:t>
      </w:r>
      <w:r w:rsidR="00102991" w:rsidRPr="00BE35ED">
        <w:rPr>
          <w:lang w:val="en-GB"/>
        </w:rPr>
        <w:t xml:space="preserve"> </w:t>
      </w:r>
      <w:r w:rsidRPr="00BE35ED">
        <w:rPr>
          <w:lang w:val="en-GB"/>
        </w:rPr>
        <w:t xml:space="preserve">booking </w:t>
      </w:r>
      <w:r w:rsidR="00783032">
        <w:rPr>
          <w:lang w:val="en-GB"/>
        </w:rPr>
        <w:t>three</w:t>
      </w:r>
      <w:r w:rsidR="00783032" w:rsidRPr="00BE35ED">
        <w:rPr>
          <w:lang w:val="en-GB"/>
        </w:rPr>
        <w:t xml:space="preserve"> </w:t>
      </w:r>
      <w:r w:rsidRPr="00BE35ED">
        <w:rPr>
          <w:lang w:val="en-GB"/>
        </w:rPr>
        <w:t xml:space="preserve">insertions under this scheme, </w:t>
      </w:r>
      <w:r w:rsidR="00102991">
        <w:rPr>
          <w:lang w:val="en-GB"/>
        </w:rPr>
        <w:t xml:space="preserve">the </w:t>
      </w:r>
      <w:r w:rsidR="00102991" w:rsidRPr="002F75E6">
        <w:rPr>
          <w:i/>
          <w:lang w:val="en-GB"/>
        </w:rPr>
        <w:t>Times of India</w:t>
      </w:r>
      <w:r w:rsidR="00102991">
        <w:rPr>
          <w:lang w:val="en-GB"/>
        </w:rPr>
        <w:t xml:space="preserve"> offered </w:t>
      </w:r>
      <w:r w:rsidR="00FB33BC">
        <w:rPr>
          <w:lang w:val="en-GB"/>
        </w:rPr>
        <w:t xml:space="preserve">a </w:t>
      </w:r>
      <w:r w:rsidRPr="00BE35ED">
        <w:rPr>
          <w:lang w:val="en-GB"/>
        </w:rPr>
        <w:t>10</w:t>
      </w:r>
      <w:r w:rsidR="0069529B">
        <w:rPr>
          <w:lang w:val="en-GB"/>
        </w:rPr>
        <w:t xml:space="preserve"> </w:t>
      </w:r>
      <w:r w:rsidR="007964AA">
        <w:rPr>
          <w:lang w:val="en-GB"/>
        </w:rPr>
        <w:t>per cent</w:t>
      </w:r>
      <w:r w:rsidR="0073281D">
        <w:rPr>
          <w:lang w:val="en-GB"/>
        </w:rPr>
        <w:t xml:space="preserve"> discount; </w:t>
      </w:r>
      <w:r w:rsidRPr="00BE35ED">
        <w:rPr>
          <w:lang w:val="en-GB"/>
        </w:rPr>
        <w:t>*</w:t>
      </w:r>
      <w:r w:rsidR="00783032">
        <w:rPr>
          <w:lang w:val="en-GB"/>
        </w:rPr>
        <w:t xml:space="preserve">The </w:t>
      </w:r>
      <w:r w:rsidRPr="00BE35ED">
        <w:rPr>
          <w:lang w:val="en-GB"/>
        </w:rPr>
        <w:t xml:space="preserve">Kerala </w:t>
      </w:r>
      <w:r w:rsidR="00783032">
        <w:rPr>
          <w:lang w:val="en-GB"/>
        </w:rPr>
        <w:t>e</w:t>
      </w:r>
      <w:r w:rsidR="00783032" w:rsidRPr="00BE35ED">
        <w:rPr>
          <w:lang w:val="en-GB"/>
        </w:rPr>
        <w:t xml:space="preserve">dition </w:t>
      </w:r>
      <w:r w:rsidRPr="00BE35ED">
        <w:rPr>
          <w:lang w:val="en-GB"/>
        </w:rPr>
        <w:t>came from Kochi</w:t>
      </w:r>
      <w:r w:rsidR="00783032">
        <w:rPr>
          <w:lang w:val="en-GB"/>
        </w:rPr>
        <w:t>—</w:t>
      </w:r>
      <w:r w:rsidRPr="00BE35ED">
        <w:rPr>
          <w:lang w:val="en-GB"/>
        </w:rPr>
        <w:t xml:space="preserve">the biggest city in the </w:t>
      </w:r>
      <w:r w:rsidR="00783032" w:rsidRPr="00BE35ED">
        <w:rPr>
          <w:lang w:val="en-GB"/>
        </w:rPr>
        <w:t>state</w:t>
      </w:r>
      <w:r w:rsidR="00783032">
        <w:rPr>
          <w:lang w:val="en-GB"/>
        </w:rPr>
        <w:t>—</w:t>
      </w:r>
      <w:r w:rsidRPr="00BE35ED">
        <w:rPr>
          <w:lang w:val="en-GB"/>
        </w:rPr>
        <w:t xml:space="preserve">but </w:t>
      </w:r>
      <w:r w:rsidR="00783032" w:rsidRPr="00BE35ED">
        <w:rPr>
          <w:lang w:val="en-GB"/>
        </w:rPr>
        <w:t>city</w:t>
      </w:r>
      <w:r w:rsidR="00783032">
        <w:rPr>
          <w:lang w:val="en-GB"/>
        </w:rPr>
        <w:t>-</w:t>
      </w:r>
      <w:r w:rsidRPr="00BE35ED">
        <w:rPr>
          <w:lang w:val="en-GB"/>
        </w:rPr>
        <w:t xml:space="preserve">specific pages </w:t>
      </w:r>
      <w:r w:rsidR="00102991">
        <w:rPr>
          <w:lang w:val="en-GB"/>
        </w:rPr>
        <w:t xml:space="preserve">were published </w:t>
      </w:r>
      <w:r w:rsidRPr="00BE35ED">
        <w:rPr>
          <w:lang w:val="en-GB"/>
        </w:rPr>
        <w:t>for key cities in Kerala.</w:t>
      </w:r>
    </w:p>
    <w:p w14:paraId="4C6E6DF9" w14:textId="1D6639BD" w:rsidR="00094B83" w:rsidRPr="00BE35ED" w:rsidRDefault="00094B83" w:rsidP="00C364C9">
      <w:pPr>
        <w:pStyle w:val="Footnote"/>
        <w:rPr>
          <w:lang w:val="en-GB"/>
        </w:rPr>
      </w:pPr>
      <w:r w:rsidRPr="00BE35ED">
        <w:rPr>
          <w:lang w:val="en-GB"/>
        </w:rPr>
        <w:t xml:space="preserve">Source: </w:t>
      </w:r>
      <w:r w:rsidR="000E04AD">
        <w:rPr>
          <w:lang w:val="en-GB"/>
        </w:rPr>
        <w:t>Company records.</w:t>
      </w:r>
    </w:p>
    <w:p w14:paraId="437DC6D1" w14:textId="77777777" w:rsidR="00364B10" w:rsidRPr="00BE35ED" w:rsidRDefault="00364B10" w:rsidP="00C364C9">
      <w:pPr>
        <w:pStyle w:val="Footnote"/>
        <w:rPr>
          <w:lang w:val="en-GB"/>
        </w:rPr>
      </w:pPr>
      <w:r w:rsidRPr="00BE35ED">
        <w:rPr>
          <w:lang w:val="en-GB"/>
        </w:rPr>
        <w:br w:type="page"/>
      </w:r>
    </w:p>
    <w:p w14:paraId="4B412634" w14:textId="6918CD3D" w:rsidR="00094B83" w:rsidRPr="00BE35ED" w:rsidRDefault="00094B83" w:rsidP="0088174F">
      <w:pPr>
        <w:pStyle w:val="ExhibitHeading"/>
        <w:rPr>
          <w:lang w:val="en-GB"/>
        </w:rPr>
      </w:pPr>
      <w:r w:rsidRPr="00BE35ED">
        <w:rPr>
          <w:lang w:val="en-GB"/>
        </w:rPr>
        <w:lastRenderedPageBreak/>
        <w:t>Exhibit 6: Delivery options</w:t>
      </w:r>
      <w:r w:rsidR="00102991">
        <w:rPr>
          <w:lang w:val="en-GB"/>
        </w:rPr>
        <w:t xml:space="preserve"> for the </w:t>
      </w:r>
      <w:r w:rsidR="00102991" w:rsidRPr="002F75E6">
        <w:rPr>
          <w:i/>
          <w:lang w:val="en-GB"/>
        </w:rPr>
        <w:t>times of india</w:t>
      </w:r>
      <w:r w:rsidR="00102991">
        <w:rPr>
          <w:lang w:val="en-GB"/>
        </w:rPr>
        <w:t xml:space="preserve"> reader’s offer</w:t>
      </w:r>
    </w:p>
    <w:p w14:paraId="1D637069" w14:textId="77777777" w:rsidR="009E2875" w:rsidRPr="00BE35ED" w:rsidRDefault="009E2875" w:rsidP="000F1C26">
      <w:pPr>
        <w:tabs>
          <w:tab w:val="left" w:pos="4395"/>
        </w:tabs>
        <w:jc w:val="center"/>
        <w:rPr>
          <w:b/>
          <w:lang w:val="en-GB"/>
        </w:rPr>
      </w:pPr>
    </w:p>
    <w:tbl>
      <w:tblPr>
        <w:tblStyle w:val="TableGrid"/>
        <w:tblW w:w="0" w:type="auto"/>
        <w:jc w:val="center"/>
        <w:tblLook w:val="04A0" w:firstRow="1" w:lastRow="0" w:firstColumn="1" w:lastColumn="0" w:noHBand="0" w:noVBand="1"/>
      </w:tblPr>
      <w:tblGrid>
        <w:gridCol w:w="4927"/>
        <w:gridCol w:w="4068"/>
      </w:tblGrid>
      <w:tr w:rsidR="00094B83" w:rsidRPr="00BE35ED" w14:paraId="08A3DAF8" w14:textId="77777777" w:rsidTr="002273D0">
        <w:trPr>
          <w:jc w:val="center"/>
        </w:trPr>
        <w:tc>
          <w:tcPr>
            <w:tcW w:w="4927" w:type="dxa"/>
          </w:tcPr>
          <w:p w14:paraId="0ADC259E" w14:textId="77867952" w:rsidR="00094B83" w:rsidRPr="00BE35ED" w:rsidRDefault="00094B83" w:rsidP="00783032">
            <w:pPr>
              <w:jc w:val="center"/>
              <w:rPr>
                <w:rFonts w:ascii="Arial" w:hAnsi="Arial" w:cs="Arial"/>
                <w:b/>
                <w:sz w:val="19"/>
                <w:szCs w:val="19"/>
                <w:lang w:val="en-GB"/>
              </w:rPr>
            </w:pPr>
            <w:r w:rsidRPr="00BE35ED">
              <w:rPr>
                <w:rFonts w:ascii="Arial" w:hAnsi="Arial" w:cs="Arial"/>
                <w:b/>
                <w:sz w:val="19"/>
                <w:szCs w:val="19"/>
                <w:lang w:val="en-GB"/>
              </w:rPr>
              <w:t>Delivery</w:t>
            </w:r>
            <w:r w:rsidR="00102991">
              <w:rPr>
                <w:rFonts w:ascii="Arial" w:hAnsi="Arial" w:cs="Arial"/>
                <w:b/>
                <w:sz w:val="19"/>
                <w:szCs w:val="19"/>
                <w:lang w:val="en-GB"/>
              </w:rPr>
              <w:t xml:space="preserve"> by the Vendor</w:t>
            </w:r>
          </w:p>
        </w:tc>
        <w:tc>
          <w:tcPr>
            <w:tcW w:w="4068" w:type="dxa"/>
          </w:tcPr>
          <w:p w14:paraId="3A9BDE17" w14:textId="6ABFD3E5" w:rsidR="00094B83" w:rsidRPr="00BE35ED" w:rsidRDefault="00783032" w:rsidP="00A96D99">
            <w:pPr>
              <w:jc w:val="center"/>
              <w:rPr>
                <w:rFonts w:ascii="Arial" w:hAnsi="Arial" w:cs="Arial"/>
                <w:b/>
                <w:sz w:val="19"/>
                <w:szCs w:val="19"/>
                <w:lang w:val="en-GB"/>
              </w:rPr>
            </w:pPr>
            <w:r>
              <w:rPr>
                <w:rFonts w:ascii="Arial" w:hAnsi="Arial" w:cs="Arial"/>
                <w:b/>
                <w:sz w:val="19"/>
                <w:szCs w:val="19"/>
                <w:lang w:val="en-GB"/>
              </w:rPr>
              <w:t>D</w:t>
            </w:r>
            <w:r w:rsidR="00094B83" w:rsidRPr="00BE35ED">
              <w:rPr>
                <w:rFonts w:ascii="Arial" w:hAnsi="Arial" w:cs="Arial"/>
                <w:b/>
                <w:sz w:val="19"/>
                <w:szCs w:val="19"/>
                <w:lang w:val="en-GB"/>
              </w:rPr>
              <w:t>elivery</w:t>
            </w:r>
            <w:r w:rsidR="00102991">
              <w:rPr>
                <w:rFonts w:ascii="Arial" w:hAnsi="Arial" w:cs="Arial"/>
                <w:b/>
                <w:sz w:val="19"/>
                <w:szCs w:val="19"/>
                <w:lang w:val="en-GB"/>
              </w:rPr>
              <w:t xml:space="preserve"> by the </w:t>
            </w:r>
            <w:r w:rsidR="00102991" w:rsidRPr="002F75E6">
              <w:rPr>
                <w:rFonts w:ascii="Arial" w:hAnsi="Arial" w:cs="Arial"/>
                <w:b/>
                <w:i/>
                <w:sz w:val="19"/>
                <w:szCs w:val="19"/>
                <w:lang w:val="en-GB"/>
              </w:rPr>
              <w:t>Times of India</w:t>
            </w:r>
          </w:p>
        </w:tc>
      </w:tr>
      <w:tr w:rsidR="00094B83" w:rsidRPr="00BE35ED" w14:paraId="7264008A" w14:textId="77777777" w:rsidTr="002273D0">
        <w:trPr>
          <w:jc w:val="center"/>
        </w:trPr>
        <w:tc>
          <w:tcPr>
            <w:tcW w:w="4927" w:type="dxa"/>
          </w:tcPr>
          <w:p w14:paraId="111421EE" w14:textId="5C30F432" w:rsidR="00094B83" w:rsidRPr="00BE35ED" w:rsidRDefault="00094B83" w:rsidP="00AA2E9A">
            <w:pPr>
              <w:pStyle w:val="ListParagraph"/>
              <w:numPr>
                <w:ilvl w:val="0"/>
                <w:numId w:val="1"/>
              </w:numPr>
              <w:ind w:left="157" w:hanging="180"/>
              <w:jc w:val="left"/>
              <w:rPr>
                <w:rFonts w:ascii="Arial" w:hAnsi="Arial" w:cs="Arial"/>
                <w:sz w:val="19"/>
                <w:szCs w:val="19"/>
                <w:lang w:val="en-GB"/>
              </w:rPr>
            </w:pPr>
            <w:r w:rsidRPr="00BE35ED">
              <w:rPr>
                <w:rFonts w:ascii="Arial" w:hAnsi="Arial" w:cs="Arial"/>
                <w:sz w:val="19"/>
                <w:szCs w:val="19"/>
                <w:lang w:val="en-GB"/>
              </w:rPr>
              <w:t xml:space="preserve">Vendor </w:t>
            </w:r>
            <w:r w:rsidR="00FB33BC">
              <w:rPr>
                <w:rFonts w:ascii="Arial" w:hAnsi="Arial" w:cs="Arial"/>
                <w:sz w:val="19"/>
                <w:szCs w:val="19"/>
                <w:lang w:val="en-GB"/>
              </w:rPr>
              <w:t>b</w:t>
            </w:r>
            <w:r w:rsidR="00FB33BC" w:rsidRPr="00BE35ED">
              <w:rPr>
                <w:rFonts w:ascii="Arial" w:hAnsi="Arial" w:cs="Arial"/>
                <w:sz w:val="19"/>
                <w:szCs w:val="19"/>
                <w:lang w:val="en-GB"/>
              </w:rPr>
              <w:t xml:space="preserve">ooks </w:t>
            </w:r>
            <w:r w:rsidRPr="00BE35ED">
              <w:rPr>
                <w:rFonts w:ascii="Arial" w:hAnsi="Arial" w:cs="Arial"/>
                <w:sz w:val="19"/>
                <w:szCs w:val="19"/>
                <w:lang w:val="en-GB"/>
              </w:rPr>
              <w:t xml:space="preserve">the item with the courier of its choice for shipping the ordered article and </w:t>
            </w:r>
            <w:r w:rsidR="00102991">
              <w:rPr>
                <w:rFonts w:ascii="Arial" w:hAnsi="Arial" w:cs="Arial"/>
                <w:sz w:val="19"/>
                <w:szCs w:val="19"/>
                <w:lang w:val="en-GB"/>
              </w:rPr>
              <w:t>receives</w:t>
            </w:r>
            <w:r w:rsidR="00102991" w:rsidRPr="00BE35ED">
              <w:rPr>
                <w:rFonts w:ascii="Arial" w:hAnsi="Arial" w:cs="Arial"/>
                <w:sz w:val="19"/>
                <w:szCs w:val="19"/>
                <w:lang w:val="en-GB"/>
              </w:rPr>
              <w:t xml:space="preserve"> </w:t>
            </w:r>
            <w:r w:rsidRPr="00BE35ED">
              <w:rPr>
                <w:rFonts w:ascii="Arial" w:hAnsi="Arial" w:cs="Arial"/>
                <w:sz w:val="19"/>
                <w:szCs w:val="19"/>
                <w:lang w:val="en-GB"/>
              </w:rPr>
              <w:t xml:space="preserve">the </w:t>
            </w:r>
            <w:r w:rsidR="00783032">
              <w:rPr>
                <w:rFonts w:ascii="Arial" w:hAnsi="Arial" w:cs="Arial"/>
                <w:sz w:val="19"/>
                <w:szCs w:val="19"/>
                <w:lang w:val="en-GB"/>
              </w:rPr>
              <w:t>a</w:t>
            </w:r>
            <w:r w:rsidRPr="00BE35ED">
              <w:rPr>
                <w:rFonts w:ascii="Arial" w:hAnsi="Arial" w:cs="Arial"/>
                <w:sz w:val="19"/>
                <w:szCs w:val="19"/>
                <w:lang w:val="en-GB"/>
              </w:rPr>
              <w:t xml:space="preserve">ir </w:t>
            </w:r>
            <w:r w:rsidR="00783032">
              <w:rPr>
                <w:rFonts w:ascii="Arial" w:hAnsi="Arial" w:cs="Arial"/>
                <w:sz w:val="19"/>
                <w:szCs w:val="19"/>
                <w:lang w:val="en-GB"/>
              </w:rPr>
              <w:t>w</w:t>
            </w:r>
            <w:r w:rsidRPr="00BE35ED">
              <w:rPr>
                <w:rFonts w:ascii="Arial" w:hAnsi="Arial" w:cs="Arial"/>
                <w:sz w:val="19"/>
                <w:szCs w:val="19"/>
                <w:lang w:val="en-GB"/>
              </w:rPr>
              <w:t>ay</w:t>
            </w:r>
            <w:r w:rsidR="00783032">
              <w:rPr>
                <w:rFonts w:ascii="Arial" w:hAnsi="Arial" w:cs="Arial"/>
                <w:sz w:val="19"/>
                <w:szCs w:val="19"/>
                <w:lang w:val="en-GB"/>
              </w:rPr>
              <w:t>b</w:t>
            </w:r>
            <w:r w:rsidRPr="00BE35ED">
              <w:rPr>
                <w:rFonts w:ascii="Arial" w:hAnsi="Arial" w:cs="Arial"/>
                <w:sz w:val="19"/>
                <w:szCs w:val="19"/>
                <w:lang w:val="en-GB"/>
              </w:rPr>
              <w:t>ill (AWB) number.</w:t>
            </w:r>
          </w:p>
          <w:p w14:paraId="4C666607" w14:textId="532BF259" w:rsidR="00094B83" w:rsidRPr="00BE35ED" w:rsidRDefault="00094B83" w:rsidP="00AA2E9A">
            <w:pPr>
              <w:pStyle w:val="ListParagraph"/>
              <w:numPr>
                <w:ilvl w:val="0"/>
                <w:numId w:val="1"/>
              </w:numPr>
              <w:ind w:left="157" w:hanging="180"/>
              <w:jc w:val="left"/>
              <w:rPr>
                <w:rFonts w:ascii="Arial" w:hAnsi="Arial" w:cs="Arial"/>
                <w:sz w:val="19"/>
                <w:szCs w:val="19"/>
                <w:lang w:val="en-GB"/>
              </w:rPr>
            </w:pPr>
            <w:r w:rsidRPr="00BE35ED">
              <w:rPr>
                <w:rFonts w:ascii="Arial" w:hAnsi="Arial" w:cs="Arial"/>
                <w:sz w:val="19"/>
                <w:szCs w:val="19"/>
                <w:lang w:val="en-GB"/>
              </w:rPr>
              <w:t>Vendor provide</w:t>
            </w:r>
            <w:r w:rsidR="00783032">
              <w:rPr>
                <w:rFonts w:ascii="Arial" w:hAnsi="Arial" w:cs="Arial"/>
                <w:sz w:val="19"/>
                <w:szCs w:val="19"/>
                <w:lang w:val="en-GB"/>
              </w:rPr>
              <w:t>s</w:t>
            </w:r>
            <w:r w:rsidRPr="00BE35ED">
              <w:rPr>
                <w:rFonts w:ascii="Arial" w:hAnsi="Arial" w:cs="Arial"/>
                <w:sz w:val="19"/>
                <w:szCs w:val="19"/>
                <w:lang w:val="en-GB"/>
              </w:rPr>
              <w:t xml:space="preserve"> AWB </w:t>
            </w:r>
            <w:r w:rsidR="00783032">
              <w:rPr>
                <w:rFonts w:ascii="Arial" w:hAnsi="Arial" w:cs="Arial"/>
                <w:sz w:val="19"/>
                <w:szCs w:val="19"/>
                <w:lang w:val="en-GB"/>
              </w:rPr>
              <w:t>n</w:t>
            </w:r>
            <w:r w:rsidR="00783032" w:rsidRPr="00BE35ED">
              <w:rPr>
                <w:rFonts w:ascii="Arial" w:hAnsi="Arial" w:cs="Arial"/>
                <w:sz w:val="19"/>
                <w:szCs w:val="19"/>
                <w:lang w:val="en-GB"/>
              </w:rPr>
              <w:t xml:space="preserve">umber </w:t>
            </w:r>
            <w:r w:rsidRPr="00BE35ED">
              <w:rPr>
                <w:rFonts w:ascii="Arial" w:hAnsi="Arial" w:cs="Arial"/>
                <w:sz w:val="19"/>
                <w:szCs w:val="19"/>
                <w:lang w:val="en-GB"/>
              </w:rPr>
              <w:t xml:space="preserve">and the trackable courier details with </w:t>
            </w:r>
            <w:proofErr w:type="spellStart"/>
            <w:r w:rsidRPr="00BE35ED">
              <w:rPr>
                <w:rFonts w:ascii="Arial" w:hAnsi="Arial" w:cs="Arial"/>
                <w:sz w:val="19"/>
                <w:szCs w:val="19"/>
                <w:lang w:val="en-GB"/>
              </w:rPr>
              <w:t>ToI</w:t>
            </w:r>
            <w:proofErr w:type="spellEnd"/>
            <w:r w:rsidRPr="00BE35ED">
              <w:rPr>
                <w:rFonts w:ascii="Arial" w:hAnsi="Arial" w:cs="Arial"/>
                <w:sz w:val="19"/>
                <w:szCs w:val="19"/>
                <w:lang w:val="en-GB"/>
              </w:rPr>
              <w:t xml:space="preserve"> against each order in order to update the vendor panel and to complete the order cycle.</w:t>
            </w:r>
          </w:p>
          <w:p w14:paraId="0F64E7B9" w14:textId="125C5176" w:rsidR="00094B83" w:rsidRPr="00BE35ED" w:rsidRDefault="00EC471C" w:rsidP="00AA2E9A">
            <w:pPr>
              <w:pStyle w:val="ListParagraph"/>
              <w:numPr>
                <w:ilvl w:val="0"/>
                <w:numId w:val="1"/>
              </w:numPr>
              <w:ind w:left="157" w:hanging="180"/>
              <w:jc w:val="left"/>
              <w:rPr>
                <w:rFonts w:ascii="Arial" w:hAnsi="Arial" w:cs="Arial"/>
                <w:sz w:val="19"/>
                <w:szCs w:val="19"/>
                <w:lang w:val="en-GB"/>
              </w:rPr>
            </w:pPr>
            <w:r>
              <w:rPr>
                <w:rFonts w:ascii="Arial" w:hAnsi="Arial" w:cs="Arial"/>
                <w:sz w:val="19"/>
                <w:szCs w:val="19"/>
                <w:lang w:val="en-GB"/>
              </w:rPr>
              <w:t xml:space="preserve">The </w:t>
            </w:r>
            <w:proofErr w:type="spellStart"/>
            <w:r w:rsidR="00102991">
              <w:rPr>
                <w:rFonts w:ascii="Arial" w:hAnsi="Arial" w:cs="Arial"/>
                <w:sz w:val="19"/>
                <w:szCs w:val="19"/>
                <w:lang w:val="en-GB"/>
              </w:rPr>
              <w:t>ToI</w:t>
            </w:r>
            <w:proofErr w:type="spellEnd"/>
            <w:r w:rsidR="00102991">
              <w:rPr>
                <w:rFonts w:ascii="Arial" w:hAnsi="Arial" w:cs="Arial"/>
                <w:sz w:val="19"/>
                <w:szCs w:val="19"/>
                <w:lang w:val="en-GB"/>
              </w:rPr>
              <w:t xml:space="preserve"> collects the s</w:t>
            </w:r>
            <w:r w:rsidR="00FB33BC" w:rsidRPr="00BE35ED">
              <w:rPr>
                <w:rFonts w:ascii="Arial" w:hAnsi="Arial" w:cs="Arial"/>
                <w:sz w:val="19"/>
                <w:szCs w:val="19"/>
                <w:lang w:val="en-GB"/>
              </w:rPr>
              <w:t xml:space="preserve">hipment </w:t>
            </w:r>
            <w:r w:rsidR="00094B83" w:rsidRPr="00BE35ED">
              <w:rPr>
                <w:rFonts w:ascii="Arial" w:hAnsi="Arial" w:cs="Arial"/>
                <w:sz w:val="19"/>
                <w:szCs w:val="19"/>
                <w:lang w:val="en-GB"/>
              </w:rPr>
              <w:t xml:space="preserve">details from the courier company and </w:t>
            </w:r>
            <w:r w:rsidR="00102991">
              <w:rPr>
                <w:rFonts w:ascii="Arial" w:hAnsi="Arial" w:cs="Arial"/>
                <w:sz w:val="19"/>
                <w:szCs w:val="19"/>
                <w:lang w:val="en-GB"/>
              </w:rPr>
              <w:t xml:space="preserve">updates </w:t>
            </w:r>
            <w:r w:rsidR="00094B83" w:rsidRPr="00BE35ED">
              <w:rPr>
                <w:rFonts w:ascii="Arial" w:hAnsi="Arial" w:cs="Arial"/>
                <w:sz w:val="19"/>
                <w:szCs w:val="19"/>
                <w:lang w:val="en-GB"/>
              </w:rPr>
              <w:t xml:space="preserve">the vendor panel with </w:t>
            </w:r>
            <w:r w:rsidR="00FB33BC">
              <w:rPr>
                <w:rFonts w:ascii="Arial" w:hAnsi="Arial" w:cs="Arial"/>
                <w:sz w:val="19"/>
                <w:szCs w:val="19"/>
                <w:lang w:val="en-GB"/>
              </w:rPr>
              <w:t xml:space="preserve">the </w:t>
            </w:r>
            <w:r w:rsidR="00094B83" w:rsidRPr="00BE35ED">
              <w:rPr>
                <w:rFonts w:ascii="Arial" w:hAnsi="Arial" w:cs="Arial"/>
                <w:sz w:val="19"/>
                <w:szCs w:val="19"/>
                <w:lang w:val="en-GB"/>
              </w:rPr>
              <w:t xml:space="preserve">corresponding AWB </w:t>
            </w:r>
            <w:r w:rsidR="00783032">
              <w:rPr>
                <w:rFonts w:ascii="Arial" w:hAnsi="Arial" w:cs="Arial"/>
                <w:sz w:val="19"/>
                <w:szCs w:val="19"/>
                <w:lang w:val="en-GB"/>
              </w:rPr>
              <w:t>number</w:t>
            </w:r>
            <w:r w:rsidR="00094B83" w:rsidRPr="00BE35ED">
              <w:rPr>
                <w:rFonts w:ascii="Arial" w:hAnsi="Arial" w:cs="Arial"/>
                <w:sz w:val="19"/>
                <w:szCs w:val="19"/>
                <w:lang w:val="en-GB"/>
              </w:rPr>
              <w:t xml:space="preserve"> in order to complete the order cycle.</w:t>
            </w:r>
          </w:p>
          <w:p w14:paraId="2D1A5B22" w14:textId="444072DD" w:rsidR="00094B83" w:rsidRPr="00BE35ED" w:rsidRDefault="00783032" w:rsidP="00AA2E9A">
            <w:pPr>
              <w:pStyle w:val="ListParagraph"/>
              <w:numPr>
                <w:ilvl w:val="0"/>
                <w:numId w:val="1"/>
              </w:numPr>
              <w:ind w:left="157" w:hanging="180"/>
              <w:jc w:val="left"/>
              <w:rPr>
                <w:rFonts w:ascii="Arial" w:hAnsi="Arial" w:cs="Arial"/>
                <w:sz w:val="19"/>
                <w:szCs w:val="19"/>
                <w:lang w:val="en-GB"/>
              </w:rPr>
            </w:pPr>
            <w:r>
              <w:rPr>
                <w:rFonts w:ascii="Arial" w:hAnsi="Arial" w:cs="Arial"/>
                <w:sz w:val="19"/>
                <w:szCs w:val="19"/>
                <w:lang w:val="en-GB"/>
              </w:rPr>
              <w:t>V</w:t>
            </w:r>
            <w:r w:rsidR="00094B83" w:rsidRPr="00BE35ED">
              <w:rPr>
                <w:rFonts w:ascii="Arial" w:hAnsi="Arial" w:cs="Arial"/>
                <w:sz w:val="19"/>
                <w:szCs w:val="19"/>
                <w:lang w:val="en-GB"/>
              </w:rPr>
              <w:t>endor take</w:t>
            </w:r>
            <w:r>
              <w:rPr>
                <w:rFonts w:ascii="Arial" w:hAnsi="Arial" w:cs="Arial"/>
                <w:sz w:val="19"/>
                <w:szCs w:val="19"/>
                <w:lang w:val="en-GB"/>
              </w:rPr>
              <w:t>s</w:t>
            </w:r>
            <w:r w:rsidR="00094B83" w:rsidRPr="00BE35ED">
              <w:rPr>
                <w:rFonts w:ascii="Arial" w:hAnsi="Arial" w:cs="Arial"/>
                <w:sz w:val="19"/>
                <w:szCs w:val="19"/>
                <w:lang w:val="en-GB"/>
              </w:rPr>
              <w:t xml:space="preserve"> a print copy of the manifest from the panel and </w:t>
            </w:r>
            <w:r w:rsidR="00102991">
              <w:rPr>
                <w:rFonts w:ascii="Arial" w:hAnsi="Arial" w:cs="Arial"/>
                <w:sz w:val="19"/>
                <w:szCs w:val="19"/>
                <w:lang w:val="en-GB"/>
              </w:rPr>
              <w:t>has</w:t>
            </w:r>
            <w:r w:rsidR="00102991" w:rsidRPr="00BE35ED">
              <w:rPr>
                <w:rFonts w:ascii="Arial" w:hAnsi="Arial" w:cs="Arial"/>
                <w:sz w:val="19"/>
                <w:szCs w:val="19"/>
                <w:lang w:val="en-GB"/>
              </w:rPr>
              <w:t xml:space="preserve"> </w:t>
            </w:r>
            <w:r w:rsidR="00094B83" w:rsidRPr="00BE35ED">
              <w:rPr>
                <w:rFonts w:ascii="Arial" w:hAnsi="Arial" w:cs="Arial"/>
                <w:sz w:val="19"/>
                <w:szCs w:val="19"/>
                <w:lang w:val="en-GB"/>
              </w:rPr>
              <w:t xml:space="preserve">the courier person sign the copy while handing over the parcels. The same </w:t>
            </w:r>
            <w:r w:rsidR="00102991">
              <w:rPr>
                <w:rFonts w:ascii="Arial" w:hAnsi="Arial" w:cs="Arial"/>
                <w:sz w:val="19"/>
                <w:szCs w:val="19"/>
                <w:lang w:val="en-GB"/>
              </w:rPr>
              <w:t xml:space="preserve">information </w:t>
            </w:r>
            <w:r w:rsidR="00094B83" w:rsidRPr="00BE35ED">
              <w:rPr>
                <w:rFonts w:ascii="Arial" w:hAnsi="Arial" w:cs="Arial"/>
                <w:sz w:val="19"/>
                <w:szCs w:val="19"/>
                <w:lang w:val="en-GB"/>
              </w:rPr>
              <w:t xml:space="preserve">needs to </w:t>
            </w:r>
            <w:proofErr w:type="gramStart"/>
            <w:r w:rsidR="00094B83" w:rsidRPr="00BE35ED">
              <w:rPr>
                <w:rFonts w:ascii="Arial" w:hAnsi="Arial" w:cs="Arial"/>
                <w:sz w:val="19"/>
                <w:szCs w:val="19"/>
                <w:lang w:val="en-GB"/>
              </w:rPr>
              <w:t>be shared</w:t>
            </w:r>
            <w:proofErr w:type="gramEnd"/>
            <w:r w:rsidR="00094B83" w:rsidRPr="00BE35ED">
              <w:rPr>
                <w:rFonts w:ascii="Arial" w:hAnsi="Arial" w:cs="Arial"/>
                <w:sz w:val="19"/>
                <w:szCs w:val="19"/>
                <w:lang w:val="en-GB"/>
              </w:rPr>
              <w:t xml:space="preserve"> with </w:t>
            </w:r>
            <w:r w:rsidR="006E522A">
              <w:rPr>
                <w:rFonts w:ascii="Arial" w:hAnsi="Arial" w:cs="Arial"/>
                <w:sz w:val="19"/>
                <w:szCs w:val="19"/>
                <w:lang w:val="en-GB"/>
              </w:rPr>
              <w:t xml:space="preserve">the </w:t>
            </w:r>
            <w:proofErr w:type="spellStart"/>
            <w:r w:rsidR="00094B83" w:rsidRPr="00BE35ED">
              <w:rPr>
                <w:rFonts w:ascii="Arial" w:hAnsi="Arial" w:cs="Arial"/>
                <w:sz w:val="19"/>
                <w:szCs w:val="19"/>
                <w:lang w:val="en-GB"/>
              </w:rPr>
              <w:t>ToI</w:t>
            </w:r>
            <w:proofErr w:type="spellEnd"/>
            <w:r w:rsidR="00094B83" w:rsidRPr="00BE35ED">
              <w:rPr>
                <w:rFonts w:ascii="Arial" w:hAnsi="Arial" w:cs="Arial"/>
                <w:sz w:val="19"/>
                <w:szCs w:val="19"/>
                <w:lang w:val="en-GB"/>
              </w:rPr>
              <w:t>.</w:t>
            </w:r>
          </w:p>
          <w:p w14:paraId="4D5F8923" w14:textId="4D889E88" w:rsidR="00094B83" w:rsidRDefault="00783032" w:rsidP="00AA2E9A">
            <w:pPr>
              <w:pStyle w:val="ListParagraph"/>
              <w:numPr>
                <w:ilvl w:val="0"/>
                <w:numId w:val="1"/>
              </w:numPr>
              <w:ind w:left="157" w:hanging="180"/>
              <w:jc w:val="left"/>
              <w:rPr>
                <w:rFonts w:ascii="Arial" w:hAnsi="Arial" w:cs="Arial"/>
                <w:sz w:val="19"/>
                <w:szCs w:val="19"/>
                <w:lang w:val="en-GB"/>
              </w:rPr>
            </w:pPr>
            <w:r>
              <w:rPr>
                <w:rFonts w:ascii="Arial" w:hAnsi="Arial" w:cs="Arial"/>
                <w:sz w:val="19"/>
                <w:szCs w:val="19"/>
                <w:lang w:val="en-GB"/>
              </w:rPr>
              <w:t>C</w:t>
            </w:r>
            <w:r w:rsidR="00094B83" w:rsidRPr="00BE35ED">
              <w:rPr>
                <w:rFonts w:ascii="Arial" w:hAnsi="Arial" w:cs="Arial"/>
                <w:sz w:val="19"/>
                <w:szCs w:val="19"/>
                <w:lang w:val="en-GB"/>
              </w:rPr>
              <w:t xml:space="preserve">ompleted order then goes into the </w:t>
            </w:r>
            <w:proofErr w:type="spellStart"/>
            <w:r w:rsidR="00094B83" w:rsidRPr="00BE35ED">
              <w:rPr>
                <w:rFonts w:ascii="Arial" w:hAnsi="Arial" w:cs="Arial"/>
                <w:sz w:val="19"/>
                <w:szCs w:val="19"/>
                <w:lang w:val="en-GB"/>
              </w:rPr>
              <w:t>ToI</w:t>
            </w:r>
            <w:proofErr w:type="spellEnd"/>
            <w:r w:rsidR="00094B83" w:rsidRPr="00BE35ED">
              <w:rPr>
                <w:rFonts w:ascii="Arial" w:hAnsi="Arial" w:cs="Arial"/>
                <w:sz w:val="19"/>
                <w:szCs w:val="19"/>
                <w:lang w:val="en-GB"/>
              </w:rPr>
              <w:t xml:space="preserve"> accounts process for vendor payment.</w:t>
            </w:r>
          </w:p>
          <w:p w14:paraId="6726E04C" w14:textId="198F6A0E" w:rsidR="00A82D37" w:rsidRPr="00BE35ED" w:rsidRDefault="00A82D37" w:rsidP="0051486E">
            <w:pPr>
              <w:pStyle w:val="ListParagraph"/>
              <w:numPr>
                <w:ilvl w:val="0"/>
                <w:numId w:val="1"/>
              </w:numPr>
              <w:ind w:left="157" w:hanging="180"/>
              <w:jc w:val="left"/>
              <w:rPr>
                <w:rFonts w:ascii="Arial" w:hAnsi="Arial" w:cs="Arial"/>
                <w:sz w:val="19"/>
                <w:szCs w:val="19"/>
                <w:lang w:val="en-GB"/>
              </w:rPr>
            </w:pPr>
            <w:r>
              <w:rPr>
                <w:rFonts w:ascii="Arial" w:hAnsi="Arial" w:cs="Arial"/>
                <w:sz w:val="19"/>
                <w:szCs w:val="19"/>
                <w:lang w:val="en-GB"/>
              </w:rPr>
              <w:t xml:space="preserve">Typical rates </w:t>
            </w:r>
            <w:r w:rsidR="0051486E">
              <w:rPr>
                <w:rFonts w:ascii="Arial" w:hAnsi="Arial" w:cs="Arial"/>
                <w:sz w:val="19"/>
                <w:szCs w:val="19"/>
                <w:lang w:val="en-GB"/>
              </w:rPr>
              <w:t>are</w:t>
            </w:r>
            <w:r>
              <w:rPr>
                <w:rFonts w:ascii="Arial" w:hAnsi="Arial" w:cs="Arial"/>
                <w:sz w:val="19"/>
                <w:szCs w:val="19"/>
                <w:lang w:val="en-GB"/>
              </w:rPr>
              <w:t xml:space="preserve"> 10% of the price at which </w:t>
            </w:r>
            <w:r w:rsidR="0051486E">
              <w:rPr>
                <w:rFonts w:ascii="Arial" w:hAnsi="Arial" w:cs="Arial"/>
                <w:sz w:val="19"/>
                <w:szCs w:val="19"/>
                <w:lang w:val="en-GB"/>
              </w:rPr>
              <w:t xml:space="preserve">the </w:t>
            </w:r>
            <w:r>
              <w:rPr>
                <w:rFonts w:ascii="Arial" w:hAnsi="Arial" w:cs="Arial"/>
                <w:sz w:val="19"/>
                <w:szCs w:val="19"/>
                <w:lang w:val="en-GB"/>
              </w:rPr>
              <w:t>vendor sells</w:t>
            </w:r>
            <w:r w:rsidR="005D2D25">
              <w:rPr>
                <w:rFonts w:ascii="Arial" w:hAnsi="Arial" w:cs="Arial"/>
                <w:sz w:val="19"/>
                <w:szCs w:val="19"/>
                <w:lang w:val="en-GB"/>
              </w:rPr>
              <w:t xml:space="preserve"> the product</w:t>
            </w:r>
            <w:r>
              <w:rPr>
                <w:rFonts w:ascii="Arial" w:hAnsi="Arial" w:cs="Arial"/>
                <w:sz w:val="19"/>
                <w:szCs w:val="19"/>
                <w:lang w:val="en-GB"/>
              </w:rPr>
              <w:t xml:space="preserve"> rounded to the nearest hundred.</w:t>
            </w:r>
          </w:p>
        </w:tc>
        <w:tc>
          <w:tcPr>
            <w:tcW w:w="4068" w:type="dxa"/>
          </w:tcPr>
          <w:p w14:paraId="59779F3F" w14:textId="0F736552" w:rsidR="00094B83" w:rsidRPr="00BE35ED" w:rsidRDefault="00094B83" w:rsidP="00AA2E9A">
            <w:pPr>
              <w:pStyle w:val="ListParagraph"/>
              <w:numPr>
                <w:ilvl w:val="0"/>
                <w:numId w:val="1"/>
              </w:numPr>
              <w:ind w:left="157" w:hanging="180"/>
              <w:jc w:val="left"/>
              <w:rPr>
                <w:rFonts w:ascii="Arial" w:hAnsi="Arial" w:cs="Arial"/>
                <w:sz w:val="19"/>
                <w:szCs w:val="19"/>
                <w:lang w:val="en-GB"/>
              </w:rPr>
            </w:pPr>
            <w:r w:rsidRPr="00BE35ED">
              <w:rPr>
                <w:rFonts w:ascii="Arial" w:hAnsi="Arial" w:cs="Arial"/>
                <w:sz w:val="19"/>
                <w:szCs w:val="19"/>
                <w:lang w:val="en-GB"/>
              </w:rPr>
              <w:t xml:space="preserve">Vendor can deliver all the products </w:t>
            </w:r>
            <w:r w:rsidR="00102991">
              <w:rPr>
                <w:rFonts w:ascii="Arial" w:hAnsi="Arial" w:cs="Arial"/>
                <w:sz w:val="19"/>
                <w:szCs w:val="19"/>
                <w:lang w:val="en-GB"/>
              </w:rPr>
              <w:t>ordered</w:t>
            </w:r>
            <w:r w:rsidRPr="00BE35ED">
              <w:rPr>
                <w:rFonts w:ascii="Arial" w:hAnsi="Arial" w:cs="Arial"/>
                <w:sz w:val="19"/>
                <w:szCs w:val="19"/>
                <w:lang w:val="en-GB"/>
              </w:rPr>
              <w:t xml:space="preserve"> along with the invoice to </w:t>
            </w:r>
            <w:r w:rsidR="0051486E">
              <w:rPr>
                <w:rFonts w:ascii="Arial" w:hAnsi="Arial" w:cs="Arial"/>
                <w:sz w:val="19"/>
                <w:szCs w:val="19"/>
                <w:lang w:val="en-GB"/>
              </w:rPr>
              <w:t xml:space="preserve">the </w:t>
            </w:r>
            <w:proofErr w:type="spellStart"/>
            <w:r w:rsidR="005D2D25">
              <w:rPr>
                <w:rFonts w:ascii="Arial" w:hAnsi="Arial" w:cs="Arial"/>
                <w:sz w:val="19"/>
                <w:szCs w:val="19"/>
                <w:lang w:val="en-GB"/>
              </w:rPr>
              <w:t>ToI</w:t>
            </w:r>
            <w:proofErr w:type="spellEnd"/>
            <w:r w:rsidR="005D2D25" w:rsidRPr="00BE35ED">
              <w:rPr>
                <w:rFonts w:ascii="Arial" w:hAnsi="Arial" w:cs="Arial"/>
                <w:sz w:val="19"/>
                <w:szCs w:val="19"/>
                <w:lang w:val="en-GB"/>
              </w:rPr>
              <w:t xml:space="preserve"> </w:t>
            </w:r>
            <w:r w:rsidRPr="00BE35ED">
              <w:rPr>
                <w:rFonts w:ascii="Arial" w:hAnsi="Arial" w:cs="Arial"/>
                <w:sz w:val="19"/>
                <w:szCs w:val="19"/>
                <w:lang w:val="en-GB"/>
              </w:rPr>
              <w:t xml:space="preserve">warehouse in Delhi. The </w:t>
            </w:r>
            <w:r w:rsidR="00102991">
              <w:rPr>
                <w:rFonts w:ascii="Arial" w:hAnsi="Arial" w:cs="Arial"/>
                <w:sz w:val="19"/>
                <w:szCs w:val="19"/>
                <w:lang w:val="en-GB"/>
              </w:rPr>
              <w:t>warehouse</w:t>
            </w:r>
            <w:r w:rsidRPr="00BE35ED">
              <w:rPr>
                <w:rFonts w:ascii="Arial" w:hAnsi="Arial" w:cs="Arial"/>
                <w:sz w:val="19"/>
                <w:szCs w:val="19"/>
                <w:lang w:val="en-GB"/>
              </w:rPr>
              <w:t xml:space="preserve"> then dispatched the </w:t>
            </w:r>
            <w:r w:rsidR="00102991">
              <w:rPr>
                <w:rFonts w:ascii="Arial" w:hAnsi="Arial" w:cs="Arial"/>
                <w:sz w:val="19"/>
                <w:szCs w:val="19"/>
                <w:lang w:val="en-GB"/>
              </w:rPr>
              <w:t>products</w:t>
            </w:r>
            <w:r w:rsidR="00102991" w:rsidRPr="00BE35ED">
              <w:rPr>
                <w:rFonts w:ascii="Arial" w:hAnsi="Arial" w:cs="Arial"/>
                <w:sz w:val="19"/>
                <w:szCs w:val="19"/>
                <w:lang w:val="en-GB"/>
              </w:rPr>
              <w:t xml:space="preserve"> </w:t>
            </w:r>
            <w:r w:rsidRPr="00BE35ED">
              <w:rPr>
                <w:rFonts w:ascii="Arial" w:hAnsi="Arial" w:cs="Arial"/>
                <w:sz w:val="19"/>
                <w:szCs w:val="19"/>
                <w:lang w:val="en-GB"/>
              </w:rPr>
              <w:t>to the end</w:t>
            </w:r>
            <w:r w:rsidR="00102991">
              <w:rPr>
                <w:rFonts w:ascii="Arial" w:hAnsi="Arial" w:cs="Arial"/>
                <w:sz w:val="19"/>
                <w:szCs w:val="19"/>
                <w:lang w:val="en-GB"/>
              </w:rPr>
              <w:t>-</w:t>
            </w:r>
            <w:r w:rsidRPr="00BE35ED">
              <w:rPr>
                <w:rFonts w:ascii="Arial" w:hAnsi="Arial" w:cs="Arial"/>
                <w:sz w:val="19"/>
                <w:szCs w:val="19"/>
                <w:lang w:val="en-GB"/>
              </w:rPr>
              <w:t>c</w:t>
            </w:r>
            <w:r w:rsidR="00783032">
              <w:rPr>
                <w:rFonts w:ascii="Arial" w:hAnsi="Arial" w:cs="Arial"/>
                <w:sz w:val="19"/>
                <w:szCs w:val="19"/>
                <w:lang w:val="en-GB"/>
              </w:rPr>
              <w:t>onsu</w:t>
            </w:r>
            <w:r w:rsidRPr="00BE35ED">
              <w:rPr>
                <w:rFonts w:ascii="Arial" w:hAnsi="Arial" w:cs="Arial"/>
                <w:sz w:val="19"/>
                <w:szCs w:val="19"/>
                <w:lang w:val="en-GB"/>
              </w:rPr>
              <w:t>mers.</w:t>
            </w:r>
          </w:p>
          <w:p w14:paraId="5D251358" w14:textId="77777777" w:rsidR="00094B83" w:rsidRPr="00BE35ED" w:rsidRDefault="00094B83" w:rsidP="009563E1">
            <w:pPr>
              <w:rPr>
                <w:rFonts w:ascii="Arial" w:hAnsi="Arial" w:cs="Arial"/>
                <w:sz w:val="19"/>
                <w:szCs w:val="19"/>
                <w:lang w:val="en-GB"/>
              </w:rPr>
            </w:pPr>
          </w:p>
        </w:tc>
      </w:tr>
    </w:tbl>
    <w:p w14:paraId="0175ABB7" w14:textId="77777777" w:rsidR="0088174F" w:rsidRPr="00BE35ED" w:rsidRDefault="0088174F" w:rsidP="0088174F">
      <w:pPr>
        <w:pStyle w:val="Footnote"/>
        <w:rPr>
          <w:sz w:val="13"/>
          <w:lang w:val="en-GB"/>
        </w:rPr>
      </w:pPr>
    </w:p>
    <w:p w14:paraId="064AA65B" w14:textId="1543AAB9" w:rsidR="00102991" w:rsidRPr="002F75E6" w:rsidRDefault="00102991" w:rsidP="0088174F">
      <w:pPr>
        <w:pStyle w:val="Footnote"/>
        <w:rPr>
          <w:lang w:val="en-GB"/>
        </w:rPr>
      </w:pPr>
      <w:r>
        <w:rPr>
          <w:lang w:val="en-GB"/>
        </w:rPr>
        <w:t xml:space="preserve">Note: </w:t>
      </w:r>
      <w:proofErr w:type="spellStart"/>
      <w:r>
        <w:rPr>
          <w:lang w:val="en-GB"/>
        </w:rPr>
        <w:t>ToI</w:t>
      </w:r>
      <w:proofErr w:type="spellEnd"/>
      <w:r>
        <w:rPr>
          <w:lang w:val="en-GB"/>
        </w:rPr>
        <w:t xml:space="preserve"> = </w:t>
      </w:r>
      <w:r w:rsidRPr="002F75E6">
        <w:rPr>
          <w:i/>
          <w:lang w:val="en-GB"/>
        </w:rPr>
        <w:t>Times of India</w:t>
      </w:r>
      <w:r>
        <w:rPr>
          <w:lang w:val="en-GB"/>
        </w:rPr>
        <w:t>.</w:t>
      </w:r>
    </w:p>
    <w:p w14:paraId="1A494F71" w14:textId="62F48322" w:rsidR="00094B83" w:rsidRDefault="00094B83" w:rsidP="0088174F">
      <w:pPr>
        <w:pStyle w:val="Footnote"/>
        <w:rPr>
          <w:lang w:val="en-GB"/>
        </w:rPr>
      </w:pPr>
      <w:r w:rsidRPr="00BE35ED">
        <w:rPr>
          <w:lang w:val="en-GB"/>
        </w:rPr>
        <w:t xml:space="preserve">Source: </w:t>
      </w:r>
      <w:r w:rsidR="000E04AD">
        <w:rPr>
          <w:lang w:val="en-GB"/>
        </w:rPr>
        <w:t>Company records.</w:t>
      </w:r>
    </w:p>
    <w:p w14:paraId="422B4041" w14:textId="77777777" w:rsidR="0051486E" w:rsidRDefault="0051486E" w:rsidP="0088174F">
      <w:pPr>
        <w:pStyle w:val="Footnote"/>
        <w:rPr>
          <w:lang w:val="en-GB"/>
        </w:rPr>
      </w:pPr>
    </w:p>
    <w:p w14:paraId="5957A5D0" w14:textId="77777777" w:rsidR="000E04AD" w:rsidRPr="00BE35ED" w:rsidRDefault="000E04AD" w:rsidP="0088174F">
      <w:pPr>
        <w:pStyle w:val="Footnote"/>
        <w:rPr>
          <w:lang w:val="en-GB"/>
        </w:rPr>
      </w:pPr>
    </w:p>
    <w:p w14:paraId="4A080724" w14:textId="5902C2CB" w:rsidR="00094B83" w:rsidRPr="00BE35ED" w:rsidRDefault="00094B83" w:rsidP="009B135B">
      <w:pPr>
        <w:pStyle w:val="Casehead1"/>
        <w:jc w:val="center"/>
        <w:rPr>
          <w:lang w:val="en-GB"/>
        </w:rPr>
      </w:pPr>
      <w:r w:rsidRPr="00BE35ED">
        <w:rPr>
          <w:lang w:val="en-GB"/>
        </w:rPr>
        <w:t xml:space="preserve">Exhibit 7: Terms and Conditions </w:t>
      </w:r>
      <w:r w:rsidR="00102991">
        <w:rPr>
          <w:lang w:val="en-GB"/>
        </w:rPr>
        <w:t xml:space="preserve">of the </w:t>
      </w:r>
      <w:r w:rsidR="00102991" w:rsidRPr="002F75E6">
        <w:rPr>
          <w:i/>
          <w:lang w:val="en-GB"/>
        </w:rPr>
        <w:t>times of india</w:t>
      </w:r>
      <w:r w:rsidR="00102991">
        <w:rPr>
          <w:lang w:val="en-GB"/>
        </w:rPr>
        <w:t xml:space="preserve"> reader’s offer</w:t>
      </w:r>
    </w:p>
    <w:p w14:paraId="3106DB1D" w14:textId="77777777" w:rsidR="00FC6440" w:rsidRPr="00BE35ED" w:rsidRDefault="00FC6440" w:rsidP="00094B83">
      <w:pPr>
        <w:jc w:val="center"/>
        <w:rPr>
          <w:b/>
          <w:sz w:val="14"/>
          <w:lang w:val="en-GB"/>
        </w:rPr>
      </w:pPr>
    </w:p>
    <w:tbl>
      <w:tblPr>
        <w:tblStyle w:val="TableGrid"/>
        <w:tblW w:w="0" w:type="auto"/>
        <w:tblLook w:val="04A0" w:firstRow="1" w:lastRow="0" w:firstColumn="1" w:lastColumn="0" w:noHBand="0" w:noVBand="1"/>
      </w:tblPr>
      <w:tblGrid>
        <w:gridCol w:w="9350"/>
      </w:tblGrid>
      <w:tr w:rsidR="00094B83" w:rsidRPr="00BE35ED" w14:paraId="70B1F33A" w14:textId="77777777" w:rsidTr="009563E1">
        <w:tc>
          <w:tcPr>
            <w:tcW w:w="9350" w:type="dxa"/>
          </w:tcPr>
          <w:p w14:paraId="6F10C066" w14:textId="77777777" w:rsidR="00094B83" w:rsidRPr="00BE35ED" w:rsidRDefault="00094B83" w:rsidP="00A44688">
            <w:pPr>
              <w:jc w:val="center"/>
              <w:rPr>
                <w:rFonts w:ascii="Arial" w:hAnsi="Arial" w:cs="Arial"/>
                <w:sz w:val="19"/>
                <w:szCs w:val="19"/>
                <w:lang w:val="en-GB"/>
              </w:rPr>
            </w:pPr>
            <w:r w:rsidRPr="00A44688">
              <w:rPr>
                <w:rFonts w:ascii="Arial" w:hAnsi="Arial" w:cs="Arial"/>
                <w:b/>
                <w:sz w:val="19"/>
                <w:szCs w:val="19"/>
                <w:lang w:val="en-GB"/>
              </w:rPr>
              <w:t>Logistics and Prerequisites</w:t>
            </w:r>
          </w:p>
        </w:tc>
      </w:tr>
      <w:tr w:rsidR="00094B83" w:rsidRPr="00BE35ED" w14:paraId="1185AF10" w14:textId="77777777" w:rsidTr="009563E1">
        <w:tc>
          <w:tcPr>
            <w:tcW w:w="9350" w:type="dxa"/>
          </w:tcPr>
          <w:p w14:paraId="75CCE0BE" w14:textId="57346E9B" w:rsidR="00094B83" w:rsidRPr="00BE35ED" w:rsidRDefault="00094B83" w:rsidP="00AA2E9A">
            <w:pPr>
              <w:pStyle w:val="ListParagraph"/>
              <w:numPr>
                <w:ilvl w:val="0"/>
                <w:numId w:val="2"/>
              </w:numPr>
              <w:jc w:val="left"/>
              <w:rPr>
                <w:rFonts w:ascii="Arial" w:hAnsi="Arial" w:cs="Arial"/>
                <w:sz w:val="19"/>
                <w:szCs w:val="19"/>
                <w:lang w:val="en-GB"/>
              </w:rPr>
            </w:pPr>
            <w:r w:rsidRPr="00BE35ED">
              <w:rPr>
                <w:rFonts w:ascii="Arial" w:hAnsi="Arial" w:cs="Arial"/>
                <w:sz w:val="19"/>
                <w:szCs w:val="19"/>
                <w:lang w:val="en-GB"/>
              </w:rPr>
              <w:t>Merchant</w:t>
            </w:r>
            <w:r w:rsidR="0051486E">
              <w:rPr>
                <w:rFonts w:ascii="Arial" w:hAnsi="Arial" w:cs="Arial"/>
                <w:sz w:val="19"/>
                <w:szCs w:val="19"/>
                <w:lang w:val="en-GB"/>
              </w:rPr>
              <w:t>/</w:t>
            </w:r>
            <w:proofErr w:type="spellStart"/>
            <w:r w:rsidR="005E6024">
              <w:rPr>
                <w:rFonts w:ascii="Arial" w:hAnsi="Arial" w:cs="Arial"/>
                <w:sz w:val="19"/>
                <w:szCs w:val="19"/>
                <w:lang w:val="en-GB"/>
              </w:rPr>
              <w:t>ToI</w:t>
            </w:r>
            <w:proofErr w:type="spellEnd"/>
            <w:r w:rsidRPr="00BE35ED">
              <w:rPr>
                <w:rFonts w:ascii="Arial" w:hAnsi="Arial" w:cs="Arial"/>
                <w:sz w:val="19"/>
                <w:szCs w:val="19"/>
                <w:lang w:val="en-GB"/>
              </w:rPr>
              <w:t xml:space="preserve"> shall be solely responsible </w:t>
            </w:r>
            <w:proofErr w:type="gramStart"/>
            <w:r w:rsidRPr="00BE35ED">
              <w:rPr>
                <w:rFonts w:ascii="Arial" w:hAnsi="Arial" w:cs="Arial"/>
                <w:sz w:val="19"/>
                <w:szCs w:val="19"/>
                <w:lang w:val="en-GB"/>
              </w:rPr>
              <w:t>to promptly dispatch</w:t>
            </w:r>
            <w:proofErr w:type="gramEnd"/>
            <w:r w:rsidRPr="00BE35ED">
              <w:rPr>
                <w:rFonts w:ascii="Arial" w:hAnsi="Arial" w:cs="Arial"/>
                <w:sz w:val="19"/>
                <w:szCs w:val="19"/>
                <w:lang w:val="en-GB"/>
              </w:rPr>
              <w:t xml:space="preserve"> the sold </w:t>
            </w:r>
            <w:r w:rsidR="00350148">
              <w:rPr>
                <w:rFonts w:ascii="Arial" w:hAnsi="Arial" w:cs="Arial"/>
                <w:sz w:val="19"/>
                <w:szCs w:val="19"/>
                <w:lang w:val="en-GB"/>
              </w:rPr>
              <w:t>p</w:t>
            </w:r>
            <w:r w:rsidR="00350148" w:rsidRPr="00BE35ED">
              <w:rPr>
                <w:rFonts w:ascii="Arial" w:hAnsi="Arial" w:cs="Arial"/>
                <w:sz w:val="19"/>
                <w:szCs w:val="19"/>
                <w:lang w:val="en-GB"/>
              </w:rPr>
              <w:t xml:space="preserve">roducts </w:t>
            </w:r>
            <w:r w:rsidRPr="00BE35ED">
              <w:rPr>
                <w:rFonts w:ascii="Arial" w:hAnsi="Arial" w:cs="Arial"/>
                <w:sz w:val="19"/>
                <w:szCs w:val="19"/>
                <w:lang w:val="en-GB"/>
              </w:rPr>
              <w:t>after invoicing the customers directly as mentioned in the agreement or as agreed upon.</w:t>
            </w:r>
          </w:p>
          <w:p w14:paraId="4FD6CFC9" w14:textId="4DFD69E5" w:rsidR="00094B83" w:rsidRPr="00BE35ED" w:rsidRDefault="00094B83" w:rsidP="00AA2E9A">
            <w:pPr>
              <w:pStyle w:val="ListParagraph"/>
              <w:numPr>
                <w:ilvl w:val="0"/>
                <w:numId w:val="2"/>
              </w:numPr>
              <w:jc w:val="left"/>
              <w:rPr>
                <w:rFonts w:ascii="Arial" w:hAnsi="Arial" w:cs="Arial"/>
                <w:sz w:val="19"/>
                <w:szCs w:val="19"/>
                <w:lang w:val="en-GB"/>
              </w:rPr>
            </w:pPr>
            <w:r w:rsidRPr="00BE35ED">
              <w:rPr>
                <w:rFonts w:ascii="Arial" w:hAnsi="Arial" w:cs="Arial"/>
                <w:sz w:val="19"/>
                <w:szCs w:val="19"/>
                <w:lang w:val="en-GB"/>
              </w:rPr>
              <w:t>Merchant/</w:t>
            </w:r>
            <w:proofErr w:type="spellStart"/>
            <w:r w:rsidR="005E6024">
              <w:rPr>
                <w:rFonts w:ascii="Arial" w:hAnsi="Arial" w:cs="Arial"/>
                <w:sz w:val="19"/>
                <w:szCs w:val="19"/>
                <w:lang w:val="en-GB"/>
              </w:rPr>
              <w:t>ToI</w:t>
            </w:r>
            <w:proofErr w:type="spellEnd"/>
            <w:r w:rsidRPr="00BE35ED">
              <w:rPr>
                <w:rFonts w:ascii="Arial" w:hAnsi="Arial" w:cs="Arial"/>
                <w:sz w:val="19"/>
                <w:szCs w:val="19"/>
                <w:lang w:val="en-GB"/>
              </w:rPr>
              <w:t xml:space="preserve"> shall deliver the product within a maximum </w:t>
            </w:r>
            <w:r w:rsidR="00350148">
              <w:rPr>
                <w:rFonts w:ascii="Arial" w:hAnsi="Arial" w:cs="Arial"/>
                <w:sz w:val="19"/>
                <w:szCs w:val="19"/>
                <w:lang w:val="en-GB"/>
              </w:rPr>
              <w:t>four</w:t>
            </w:r>
            <w:r w:rsidR="00350148" w:rsidRPr="00BE35ED">
              <w:rPr>
                <w:rFonts w:ascii="Arial" w:hAnsi="Arial" w:cs="Arial"/>
                <w:sz w:val="19"/>
                <w:szCs w:val="19"/>
                <w:lang w:val="en-GB"/>
              </w:rPr>
              <w:t xml:space="preserve"> </w:t>
            </w:r>
            <w:r w:rsidR="00350148">
              <w:rPr>
                <w:rFonts w:ascii="Arial" w:hAnsi="Arial" w:cs="Arial"/>
                <w:sz w:val="19"/>
                <w:szCs w:val="19"/>
                <w:lang w:val="en-GB"/>
              </w:rPr>
              <w:t>d</w:t>
            </w:r>
            <w:r w:rsidRPr="00BE35ED">
              <w:rPr>
                <w:rFonts w:ascii="Arial" w:hAnsi="Arial" w:cs="Arial"/>
                <w:sz w:val="19"/>
                <w:szCs w:val="19"/>
                <w:lang w:val="en-GB"/>
              </w:rPr>
              <w:t xml:space="preserve">ays from </w:t>
            </w:r>
            <w:r w:rsidR="00350148">
              <w:rPr>
                <w:rFonts w:ascii="Arial" w:hAnsi="Arial" w:cs="Arial"/>
                <w:sz w:val="19"/>
                <w:szCs w:val="19"/>
                <w:lang w:val="en-GB"/>
              </w:rPr>
              <w:t xml:space="preserve">the </w:t>
            </w:r>
            <w:r w:rsidRPr="00BE35ED">
              <w:rPr>
                <w:rFonts w:ascii="Arial" w:hAnsi="Arial" w:cs="Arial"/>
                <w:sz w:val="19"/>
                <w:szCs w:val="19"/>
                <w:lang w:val="en-GB"/>
              </w:rPr>
              <w:t xml:space="preserve">date of receipt of </w:t>
            </w:r>
            <w:r w:rsidR="00350148">
              <w:rPr>
                <w:rFonts w:ascii="Arial" w:hAnsi="Arial" w:cs="Arial"/>
                <w:sz w:val="19"/>
                <w:szCs w:val="19"/>
                <w:lang w:val="en-GB"/>
              </w:rPr>
              <w:t>the o</w:t>
            </w:r>
            <w:r w:rsidRPr="00BE35ED">
              <w:rPr>
                <w:rFonts w:ascii="Arial" w:hAnsi="Arial" w:cs="Arial"/>
                <w:sz w:val="19"/>
                <w:szCs w:val="19"/>
                <w:lang w:val="en-GB"/>
              </w:rPr>
              <w:t xml:space="preserve">rder from </w:t>
            </w:r>
            <w:proofErr w:type="spellStart"/>
            <w:r w:rsidRPr="00BE35ED">
              <w:rPr>
                <w:rFonts w:ascii="Arial" w:hAnsi="Arial" w:cs="Arial"/>
                <w:sz w:val="19"/>
                <w:szCs w:val="19"/>
                <w:lang w:val="en-GB"/>
              </w:rPr>
              <w:t>ToI</w:t>
            </w:r>
            <w:proofErr w:type="spellEnd"/>
            <w:r w:rsidRPr="00BE35ED">
              <w:rPr>
                <w:rFonts w:ascii="Arial" w:hAnsi="Arial" w:cs="Arial"/>
                <w:sz w:val="19"/>
                <w:szCs w:val="19"/>
                <w:lang w:val="en-GB"/>
              </w:rPr>
              <w:t xml:space="preserve"> or as discussed.</w:t>
            </w:r>
          </w:p>
          <w:p w14:paraId="7EEE281C" w14:textId="48A38839" w:rsidR="00094B83" w:rsidRPr="00BE35ED" w:rsidRDefault="00094B83" w:rsidP="0051486E">
            <w:pPr>
              <w:pStyle w:val="ListParagraph"/>
              <w:numPr>
                <w:ilvl w:val="0"/>
                <w:numId w:val="2"/>
              </w:numPr>
              <w:jc w:val="left"/>
              <w:rPr>
                <w:rFonts w:ascii="Arial" w:hAnsi="Arial" w:cs="Arial"/>
                <w:sz w:val="19"/>
                <w:szCs w:val="19"/>
                <w:lang w:val="en-GB"/>
              </w:rPr>
            </w:pPr>
            <w:proofErr w:type="spellStart"/>
            <w:r w:rsidRPr="00BE35ED">
              <w:rPr>
                <w:rFonts w:ascii="Arial" w:hAnsi="Arial" w:cs="Arial"/>
                <w:sz w:val="19"/>
                <w:szCs w:val="19"/>
                <w:lang w:val="en-GB"/>
              </w:rPr>
              <w:t>ToI</w:t>
            </w:r>
            <w:proofErr w:type="spellEnd"/>
            <w:r w:rsidRPr="00BE35ED">
              <w:rPr>
                <w:rFonts w:ascii="Arial" w:hAnsi="Arial" w:cs="Arial"/>
                <w:sz w:val="19"/>
                <w:szCs w:val="19"/>
                <w:lang w:val="en-GB"/>
              </w:rPr>
              <w:t xml:space="preserve"> shall pay </w:t>
            </w:r>
            <w:r w:rsidR="0051486E">
              <w:rPr>
                <w:rFonts w:ascii="Arial" w:hAnsi="Arial" w:cs="Arial"/>
                <w:sz w:val="19"/>
                <w:szCs w:val="19"/>
                <w:lang w:val="en-GB"/>
              </w:rPr>
              <w:t xml:space="preserve">the </w:t>
            </w:r>
            <w:r w:rsidR="00350148">
              <w:rPr>
                <w:rFonts w:ascii="Arial" w:hAnsi="Arial" w:cs="Arial"/>
                <w:sz w:val="19"/>
                <w:szCs w:val="19"/>
                <w:lang w:val="en-GB"/>
              </w:rPr>
              <w:t>m</w:t>
            </w:r>
            <w:r w:rsidR="00350148" w:rsidRPr="00BE35ED">
              <w:rPr>
                <w:rFonts w:ascii="Arial" w:hAnsi="Arial" w:cs="Arial"/>
                <w:sz w:val="19"/>
                <w:szCs w:val="19"/>
                <w:lang w:val="en-GB"/>
              </w:rPr>
              <w:t xml:space="preserve">erchant </w:t>
            </w:r>
            <w:r w:rsidR="00C5688E">
              <w:rPr>
                <w:rFonts w:ascii="Arial" w:hAnsi="Arial" w:cs="Arial"/>
                <w:sz w:val="19"/>
                <w:szCs w:val="19"/>
                <w:lang w:val="en-GB"/>
              </w:rPr>
              <w:t>after subtracting</w:t>
            </w:r>
            <w:r w:rsidRPr="00BE35ED">
              <w:rPr>
                <w:rFonts w:ascii="Arial" w:hAnsi="Arial" w:cs="Arial"/>
                <w:sz w:val="19"/>
                <w:szCs w:val="19"/>
                <w:lang w:val="en-GB"/>
              </w:rPr>
              <w:t xml:space="preserve"> its own commission (as per the agreed commission </w:t>
            </w:r>
            <w:r w:rsidR="00350148">
              <w:rPr>
                <w:rFonts w:ascii="Arial" w:hAnsi="Arial" w:cs="Arial"/>
                <w:sz w:val="19"/>
                <w:szCs w:val="19"/>
                <w:lang w:val="en-GB"/>
              </w:rPr>
              <w:t>[</w:t>
            </w:r>
            <w:r w:rsidR="00F44150">
              <w:rPr>
                <w:rFonts w:ascii="Arial" w:hAnsi="Arial" w:cs="Arial"/>
                <w:sz w:val="19"/>
                <w:szCs w:val="19"/>
                <w:lang w:val="en-GB"/>
              </w:rPr>
              <w:t>10</w:t>
            </w:r>
            <w:r w:rsidR="005E3D49">
              <w:rPr>
                <w:rFonts w:ascii="Arial" w:hAnsi="Arial" w:cs="Arial"/>
                <w:sz w:val="19"/>
                <w:szCs w:val="19"/>
                <w:lang w:val="en-GB"/>
              </w:rPr>
              <w:t>% or 20%</w:t>
            </w:r>
            <w:r w:rsidR="00350148">
              <w:rPr>
                <w:rFonts w:ascii="Arial" w:hAnsi="Arial" w:cs="Arial"/>
                <w:sz w:val="19"/>
                <w:szCs w:val="19"/>
                <w:lang w:val="en-GB"/>
              </w:rPr>
              <w:t>]</w:t>
            </w:r>
            <w:r w:rsidRPr="00BE35ED">
              <w:rPr>
                <w:rFonts w:ascii="Arial" w:hAnsi="Arial" w:cs="Arial"/>
                <w:sz w:val="19"/>
                <w:szCs w:val="19"/>
                <w:lang w:val="en-GB"/>
              </w:rPr>
              <w:t xml:space="preserve">). Payments </w:t>
            </w:r>
            <w:proofErr w:type="gramStart"/>
            <w:r w:rsidRPr="00BE35ED">
              <w:rPr>
                <w:rFonts w:ascii="Arial" w:hAnsi="Arial" w:cs="Arial"/>
                <w:sz w:val="19"/>
                <w:szCs w:val="19"/>
                <w:lang w:val="en-GB"/>
              </w:rPr>
              <w:t>will be processed</w:t>
            </w:r>
            <w:proofErr w:type="gramEnd"/>
            <w:r w:rsidRPr="00BE35ED">
              <w:rPr>
                <w:rFonts w:ascii="Arial" w:hAnsi="Arial" w:cs="Arial"/>
                <w:sz w:val="19"/>
                <w:szCs w:val="19"/>
                <w:lang w:val="en-GB"/>
              </w:rPr>
              <w:t xml:space="preserve"> only after receiving the complete shipment data provided by the </w:t>
            </w:r>
            <w:r w:rsidR="00350148">
              <w:rPr>
                <w:rFonts w:ascii="Arial" w:hAnsi="Arial" w:cs="Arial"/>
                <w:sz w:val="19"/>
                <w:szCs w:val="19"/>
                <w:lang w:val="en-GB"/>
              </w:rPr>
              <w:t>v</w:t>
            </w:r>
            <w:r w:rsidR="00350148" w:rsidRPr="00BE35ED">
              <w:rPr>
                <w:rFonts w:ascii="Arial" w:hAnsi="Arial" w:cs="Arial"/>
                <w:sz w:val="19"/>
                <w:szCs w:val="19"/>
                <w:lang w:val="en-GB"/>
              </w:rPr>
              <w:t>endor</w:t>
            </w:r>
            <w:r w:rsidRPr="00BE35ED">
              <w:rPr>
                <w:rFonts w:ascii="Arial" w:hAnsi="Arial" w:cs="Arial"/>
                <w:sz w:val="19"/>
                <w:szCs w:val="19"/>
                <w:lang w:val="en-GB"/>
              </w:rPr>
              <w:t xml:space="preserve">. </w:t>
            </w:r>
            <w:r w:rsidR="0051486E">
              <w:rPr>
                <w:rFonts w:ascii="Arial" w:hAnsi="Arial" w:cs="Arial"/>
                <w:sz w:val="19"/>
                <w:szCs w:val="19"/>
                <w:lang w:val="en-GB"/>
              </w:rPr>
              <w:t>The p</w:t>
            </w:r>
            <w:r w:rsidR="0051486E" w:rsidRPr="00BE35ED">
              <w:rPr>
                <w:rFonts w:ascii="Arial" w:hAnsi="Arial" w:cs="Arial"/>
                <w:sz w:val="19"/>
                <w:szCs w:val="19"/>
                <w:lang w:val="en-GB"/>
              </w:rPr>
              <w:t xml:space="preserve">ayment </w:t>
            </w:r>
            <w:r w:rsidRPr="00BE35ED">
              <w:rPr>
                <w:rFonts w:ascii="Arial" w:hAnsi="Arial" w:cs="Arial"/>
                <w:sz w:val="19"/>
                <w:szCs w:val="19"/>
                <w:lang w:val="en-GB"/>
              </w:rPr>
              <w:t xml:space="preserve">cycle </w:t>
            </w:r>
            <w:proofErr w:type="gramStart"/>
            <w:r w:rsidRPr="00BE35ED">
              <w:rPr>
                <w:rFonts w:ascii="Arial" w:hAnsi="Arial" w:cs="Arial"/>
                <w:sz w:val="19"/>
                <w:szCs w:val="19"/>
                <w:lang w:val="en-GB"/>
              </w:rPr>
              <w:t>can be reduced</w:t>
            </w:r>
            <w:proofErr w:type="gramEnd"/>
            <w:r w:rsidRPr="00BE35ED">
              <w:rPr>
                <w:rFonts w:ascii="Arial" w:hAnsi="Arial" w:cs="Arial"/>
                <w:sz w:val="19"/>
                <w:szCs w:val="19"/>
                <w:lang w:val="en-GB"/>
              </w:rPr>
              <w:t xml:space="preserve"> for vendors who are providing regular offers and are doing bulk business</w:t>
            </w:r>
            <w:r w:rsidR="00350148">
              <w:rPr>
                <w:rFonts w:ascii="Arial" w:hAnsi="Arial" w:cs="Arial"/>
                <w:sz w:val="19"/>
                <w:szCs w:val="19"/>
                <w:lang w:val="en-GB"/>
              </w:rPr>
              <w:t>.</w:t>
            </w:r>
          </w:p>
        </w:tc>
      </w:tr>
    </w:tbl>
    <w:p w14:paraId="5099BA13" w14:textId="77777777" w:rsidR="002C1D9A" w:rsidRPr="00BE35ED" w:rsidRDefault="002C1D9A" w:rsidP="002C1D9A">
      <w:pPr>
        <w:pStyle w:val="Footnote"/>
        <w:rPr>
          <w:lang w:val="en-GB"/>
        </w:rPr>
      </w:pPr>
    </w:p>
    <w:p w14:paraId="1F4815E0" w14:textId="35FDE0D9" w:rsidR="00102991" w:rsidRDefault="00102991" w:rsidP="002C1D9A">
      <w:pPr>
        <w:pStyle w:val="Footnote"/>
        <w:rPr>
          <w:lang w:val="en-GB"/>
        </w:rPr>
      </w:pPr>
      <w:r>
        <w:rPr>
          <w:lang w:val="en-GB"/>
        </w:rPr>
        <w:t xml:space="preserve">Note: </w:t>
      </w:r>
      <w:proofErr w:type="spellStart"/>
      <w:r>
        <w:rPr>
          <w:lang w:val="en-GB"/>
        </w:rPr>
        <w:t>ToI</w:t>
      </w:r>
      <w:proofErr w:type="spellEnd"/>
      <w:r>
        <w:rPr>
          <w:lang w:val="en-GB"/>
        </w:rPr>
        <w:t xml:space="preserve"> = </w:t>
      </w:r>
      <w:r w:rsidRPr="006922C2">
        <w:rPr>
          <w:i/>
          <w:lang w:val="en-GB"/>
        </w:rPr>
        <w:t>Times of India</w:t>
      </w:r>
      <w:r>
        <w:rPr>
          <w:lang w:val="en-GB"/>
        </w:rPr>
        <w:t>.</w:t>
      </w:r>
    </w:p>
    <w:p w14:paraId="34844CC2" w14:textId="24A7FA37" w:rsidR="00094B83" w:rsidRPr="00BE35ED" w:rsidRDefault="00094B83" w:rsidP="002C1D9A">
      <w:pPr>
        <w:pStyle w:val="Footnote"/>
        <w:rPr>
          <w:lang w:val="en-GB"/>
        </w:rPr>
      </w:pPr>
      <w:r w:rsidRPr="00BE35ED">
        <w:rPr>
          <w:lang w:val="en-GB"/>
        </w:rPr>
        <w:t xml:space="preserve">Source: </w:t>
      </w:r>
      <w:r w:rsidR="000E04AD">
        <w:rPr>
          <w:lang w:val="en-GB"/>
        </w:rPr>
        <w:t>Company records.</w:t>
      </w:r>
    </w:p>
    <w:p w14:paraId="528190DB" w14:textId="77777777" w:rsidR="00094B83" w:rsidRDefault="00094B83" w:rsidP="00094B83">
      <w:pPr>
        <w:rPr>
          <w:sz w:val="16"/>
          <w:lang w:val="en-GB"/>
        </w:rPr>
      </w:pPr>
    </w:p>
    <w:p w14:paraId="1280FD13" w14:textId="77777777" w:rsidR="000E04AD" w:rsidRPr="00BE35ED" w:rsidRDefault="000E04AD" w:rsidP="00094B83">
      <w:pPr>
        <w:rPr>
          <w:sz w:val="16"/>
          <w:lang w:val="en-GB"/>
        </w:rPr>
      </w:pPr>
    </w:p>
    <w:p w14:paraId="73E6BEC2" w14:textId="77777777" w:rsidR="00BA630F" w:rsidRDefault="00094B83" w:rsidP="00333617">
      <w:pPr>
        <w:pStyle w:val="ExhibitHeading"/>
        <w:rPr>
          <w:lang w:val="en-GB"/>
        </w:rPr>
      </w:pPr>
      <w:r w:rsidRPr="00BE35ED">
        <w:rPr>
          <w:lang w:val="en-GB"/>
        </w:rPr>
        <w:t>Exhibit 8: Products</w:t>
      </w:r>
      <w:r w:rsidR="00FE4FFE">
        <w:rPr>
          <w:lang w:val="en-GB"/>
        </w:rPr>
        <w:t xml:space="preserve"> Proposed</w:t>
      </w:r>
      <w:r w:rsidRPr="00BE35ED">
        <w:rPr>
          <w:lang w:val="en-GB"/>
        </w:rPr>
        <w:t xml:space="preserve"> for </w:t>
      </w:r>
      <w:r w:rsidR="00102991">
        <w:rPr>
          <w:lang w:val="en-GB"/>
        </w:rPr>
        <w:t xml:space="preserve">the </w:t>
      </w:r>
      <w:r w:rsidR="00102991" w:rsidRPr="002F75E6">
        <w:rPr>
          <w:i/>
          <w:lang w:val="en-GB"/>
        </w:rPr>
        <w:t>Times of india</w:t>
      </w:r>
      <w:r w:rsidR="00102991">
        <w:rPr>
          <w:lang w:val="en-GB"/>
        </w:rPr>
        <w:t xml:space="preserve"> reader’s </w:t>
      </w:r>
      <w:r w:rsidRPr="00BE35ED">
        <w:rPr>
          <w:lang w:val="en-GB"/>
        </w:rPr>
        <w:t xml:space="preserve">Offer </w:t>
      </w:r>
    </w:p>
    <w:p w14:paraId="23F68902" w14:textId="59F7D4F0" w:rsidR="00094B83" w:rsidRPr="00BE35ED" w:rsidRDefault="00094B83" w:rsidP="00333617">
      <w:pPr>
        <w:pStyle w:val="ExhibitHeading"/>
        <w:rPr>
          <w:lang w:val="en-GB"/>
        </w:rPr>
      </w:pPr>
      <w:r w:rsidRPr="00BE35ED">
        <w:rPr>
          <w:lang w:val="en-GB"/>
        </w:rPr>
        <w:t xml:space="preserve">(One </w:t>
      </w:r>
      <w:r w:rsidR="00102991">
        <w:rPr>
          <w:lang w:val="en-GB"/>
        </w:rPr>
        <w:t>of the following</w:t>
      </w:r>
      <w:r w:rsidRPr="00BE35ED">
        <w:rPr>
          <w:lang w:val="en-GB"/>
        </w:rPr>
        <w:t xml:space="preserve"> </w:t>
      </w:r>
      <w:r w:rsidR="00EF2B76">
        <w:rPr>
          <w:lang w:val="en-GB"/>
        </w:rPr>
        <w:t>must</w:t>
      </w:r>
      <w:r w:rsidRPr="00BE35ED">
        <w:rPr>
          <w:lang w:val="en-GB"/>
        </w:rPr>
        <w:t xml:space="preserve"> be chosen)</w:t>
      </w:r>
    </w:p>
    <w:p w14:paraId="43F2E44C" w14:textId="77777777" w:rsidR="003C628D" w:rsidRPr="00BE35ED" w:rsidRDefault="003C628D" w:rsidP="00094B83">
      <w:pPr>
        <w:jc w:val="center"/>
        <w:rPr>
          <w:b/>
          <w:lang w:val="en-GB"/>
        </w:rPr>
      </w:pPr>
    </w:p>
    <w:tbl>
      <w:tblPr>
        <w:tblW w:w="8898" w:type="dxa"/>
        <w:jc w:val="center"/>
        <w:tblLook w:val="04A0" w:firstRow="1" w:lastRow="0" w:firstColumn="1" w:lastColumn="0" w:noHBand="0" w:noVBand="1"/>
      </w:tblPr>
      <w:tblGrid>
        <w:gridCol w:w="3622"/>
        <w:gridCol w:w="1559"/>
        <w:gridCol w:w="1843"/>
        <w:gridCol w:w="1874"/>
      </w:tblGrid>
      <w:tr w:rsidR="00094B83" w:rsidRPr="00BE35ED" w14:paraId="54FA6F54" w14:textId="77777777" w:rsidTr="000E04AD">
        <w:trPr>
          <w:trHeight w:val="46"/>
          <w:jc w:val="center"/>
        </w:trPr>
        <w:tc>
          <w:tcPr>
            <w:tcW w:w="8898"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82D17E4" w14:textId="77777777" w:rsidR="00094B83" w:rsidRPr="00BE35ED" w:rsidRDefault="00094B83" w:rsidP="009563E1">
            <w:pPr>
              <w:jc w:val="center"/>
              <w:rPr>
                <w:rFonts w:ascii="Arial" w:hAnsi="Arial" w:cs="Arial"/>
                <w:b/>
                <w:bCs/>
                <w:color w:val="000000"/>
                <w:lang w:val="en-GB"/>
              </w:rPr>
            </w:pPr>
            <w:r w:rsidRPr="00BE35ED">
              <w:rPr>
                <w:rFonts w:ascii="Arial" w:hAnsi="Arial" w:cs="Arial"/>
                <w:b/>
                <w:bCs/>
                <w:color w:val="000000"/>
                <w:lang w:val="en-GB"/>
              </w:rPr>
              <w:t xml:space="preserve">Market Rates and </w:t>
            </w:r>
            <w:proofErr w:type="spellStart"/>
            <w:r w:rsidRPr="00BE35ED">
              <w:rPr>
                <w:rFonts w:ascii="Arial" w:hAnsi="Arial" w:cs="Arial"/>
                <w:b/>
                <w:bCs/>
                <w:color w:val="000000"/>
                <w:lang w:val="en-GB"/>
              </w:rPr>
              <w:t>Impex</w:t>
            </w:r>
            <w:proofErr w:type="spellEnd"/>
            <w:r w:rsidRPr="00BE35ED">
              <w:rPr>
                <w:rFonts w:ascii="Arial" w:hAnsi="Arial" w:cs="Arial"/>
                <w:b/>
                <w:bCs/>
                <w:color w:val="000000"/>
                <w:lang w:val="en-GB"/>
              </w:rPr>
              <w:t xml:space="preserve"> Cost</w:t>
            </w:r>
          </w:p>
        </w:tc>
      </w:tr>
      <w:tr w:rsidR="00094B83" w:rsidRPr="00BE35ED" w14:paraId="741EB9C2" w14:textId="77777777" w:rsidTr="000E04AD">
        <w:trPr>
          <w:trHeight w:val="46"/>
          <w:jc w:val="center"/>
        </w:trPr>
        <w:tc>
          <w:tcPr>
            <w:tcW w:w="3622" w:type="dxa"/>
            <w:tcBorders>
              <w:top w:val="nil"/>
              <w:left w:val="single" w:sz="8" w:space="0" w:color="auto"/>
              <w:bottom w:val="single" w:sz="8" w:space="0" w:color="auto"/>
              <w:right w:val="single" w:sz="8" w:space="0" w:color="auto"/>
            </w:tcBorders>
            <w:shd w:val="clear" w:color="auto" w:fill="auto"/>
            <w:noWrap/>
            <w:vAlign w:val="center"/>
            <w:hideMark/>
          </w:tcPr>
          <w:p w14:paraId="268DB9C4" w14:textId="77777777" w:rsidR="00094B83" w:rsidRPr="00BE35ED" w:rsidRDefault="00094B83" w:rsidP="009563E1">
            <w:pPr>
              <w:rPr>
                <w:rFonts w:ascii="Arial" w:hAnsi="Arial" w:cs="Arial"/>
                <w:b/>
                <w:bCs/>
                <w:color w:val="000000"/>
                <w:lang w:val="en-GB"/>
              </w:rPr>
            </w:pPr>
            <w:r w:rsidRPr="00BE35ED">
              <w:rPr>
                <w:rFonts w:ascii="Arial" w:hAnsi="Arial" w:cs="Arial"/>
                <w:b/>
                <w:bCs/>
                <w:color w:val="000000"/>
                <w:lang w:val="en-GB"/>
              </w:rPr>
              <w:t> </w:t>
            </w:r>
          </w:p>
        </w:tc>
        <w:tc>
          <w:tcPr>
            <w:tcW w:w="1559" w:type="dxa"/>
            <w:tcBorders>
              <w:top w:val="nil"/>
              <w:left w:val="nil"/>
              <w:bottom w:val="single" w:sz="8" w:space="0" w:color="auto"/>
              <w:right w:val="single" w:sz="8" w:space="0" w:color="auto"/>
            </w:tcBorders>
            <w:shd w:val="clear" w:color="auto" w:fill="auto"/>
            <w:noWrap/>
            <w:vAlign w:val="center"/>
            <w:hideMark/>
          </w:tcPr>
          <w:p w14:paraId="261C5C49" w14:textId="77777777" w:rsidR="00094B83" w:rsidRPr="00BE35ED" w:rsidRDefault="00094B83" w:rsidP="009563E1">
            <w:pPr>
              <w:jc w:val="center"/>
              <w:rPr>
                <w:rFonts w:ascii="Arial" w:hAnsi="Arial" w:cs="Arial"/>
                <w:b/>
                <w:bCs/>
                <w:color w:val="000000"/>
                <w:lang w:val="en-GB"/>
              </w:rPr>
            </w:pPr>
            <w:r w:rsidRPr="00BE35ED">
              <w:rPr>
                <w:rFonts w:ascii="Arial" w:hAnsi="Arial" w:cs="Arial"/>
                <w:b/>
                <w:bCs/>
                <w:color w:val="000000"/>
                <w:lang w:val="en-GB"/>
              </w:rPr>
              <w:t>Gas Stove</w:t>
            </w:r>
          </w:p>
        </w:tc>
        <w:tc>
          <w:tcPr>
            <w:tcW w:w="1843" w:type="dxa"/>
            <w:tcBorders>
              <w:top w:val="nil"/>
              <w:left w:val="nil"/>
              <w:bottom w:val="single" w:sz="8" w:space="0" w:color="auto"/>
              <w:right w:val="single" w:sz="8" w:space="0" w:color="auto"/>
            </w:tcBorders>
            <w:shd w:val="clear" w:color="auto" w:fill="auto"/>
            <w:noWrap/>
            <w:vAlign w:val="center"/>
            <w:hideMark/>
          </w:tcPr>
          <w:p w14:paraId="290D2C52" w14:textId="77777777" w:rsidR="00094B83" w:rsidRPr="00BE35ED" w:rsidRDefault="00094B83" w:rsidP="009563E1">
            <w:pPr>
              <w:jc w:val="center"/>
              <w:rPr>
                <w:rFonts w:ascii="Arial" w:hAnsi="Arial" w:cs="Arial"/>
                <w:b/>
                <w:bCs/>
                <w:color w:val="000000"/>
                <w:lang w:val="en-GB"/>
              </w:rPr>
            </w:pPr>
            <w:r w:rsidRPr="00BE35ED">
              <w:rPr>
                <w:rFonts w:ascii="Arial" w:hAnsi="Arial" w:cs="Arial"/>
                <w:b/>
                <w:bCs/>
                <w:color w:val="000000"/>
                <w:lang w:val="en-GB"/>
              </w:rPr>
              <w:t>Pressure Cooker</w:t>
            </w:r>
          </w:p>
        </w:tc>
        <w:tc>
          <w:tcPr>
            <w:tcW w:w="1874" w:type="dxa"/>
            <w:tcBorders>
              <w:top w:val="nil"/>
              <w:left w:val="nil"/>
              <w:bottom w:val="single" w:sz="8" w:space="0" w:color="auto"/>
              <w:right w:val="single" w:sz="8" w:space="0" w:color="auto"/>
            </w:tcBorders>
            <w:shd w:val="clear" w:color="auto" w:fill="auto"/>
            <w:noWrap/>
            <w:vAlign w:val="center"/>
            <w:hideMark/>
          </w:tcPr>
          <w:p w14:paraId="796A0A6C" w14:textId="77777777" w:rsidR="00094B83" w:rsidRPr="00BE35ED" w:rsidRDefault="00094B83" w:rsidP="009563E1">
            <w:pPr>
              <w:rPr>
                <w:rFonts w:ascii="Arial" w:hAnsi="Arial" w:cs="Arial"/>
                <w:b/>
                <w:bCs/>
                <w:color w:val="000000"/>
                <w:lang w:val="en-GB"/>
              </w:rPr>
            </w:pPr>
            <w:r w:rsidRPr="00BE35ED">
              <w:rPr>
                <w:rFonts w:ascii="Arial" w:hAnsi="Arial" w:cs="Arial"/>
                <w:b/>
                <w:bCs/>
                <w:color w:val="000000"/>
                <w:lang w:val="en-GB"/>
              </w:rPr>
              <w:t>Ceramic Combo</w:t>
            </w:r>
          </w:p>
        </w:tc>
      </w:tr>
      <w:tr w:rsidR="00094B83" w:rsidRPr="00BE35ED" w14:paraId="7584AAD3" w14:textId="77777777" w:rsidTr="000E04AD">
        <w:trPr>
          <w:trHeight w:val="46"/>
          <w:jc w:val="center"/>
        </w:trPr>
        <w:tc>
          <w:tcPr>
            <w:tcW w:w="3622" w:type="dxa"/>
            <w:tcBorders>
              <w:top w:val="nil"/>
              <w:left w:val="single" w:sz="8" w:space="0" w:color="auto"/>
              <w:bottom w:val="single" w:sz="8" w:space="0" w:color="auto"/>
              <w:right w:val="single" w:sz="8" w:space="0" w:color="auto"/>
            </w:tcBorders>
            <w:shd w:val="clear" w:color="auto" w:fill="auto"/>
            <w:noWrap/>
            <w:vAlign w:val="center"/>
            <w:hideMark/>
          </w:tcPr>
          <w:p w14:paraId="59C9304D" w14:textId="3C7E5DD4" w:rsidR="00094B83" w:rsidRPr="00BE35ED" w:rsidRDefault="005D2D25" w:rsidP="009563E1">
            <w:pPr>
              <w:rPr>
                <w:rFonts w:ascii="Arial" w:hAnsi="Arial" w:cs="Arial"/>
                <w:color w:val="000000"/>
                <w:lang w:val="en-GB"/>
              </w:rPr>
            </w:pPr>
            <w:r>
              <w:rPr>
                <w:rFonts w:ascii="Arial" w:hAnsi="Arial" w:cs="Arial"/>
                <w:color w:val="000000"/>
                <w:lang w:val="en-GB"/>
              </w:rPr>
              <w:t>Maximum Retail Price (MRP)</w:t>
            </w:r>
            <w:r w:rsidRPr="00BE35ED">
              <w:rPr>
                <w:rFonts w:ascii="Arial" w:hAnsi="Arial" w:cs="Arial"/>
                <w:color w:val="000000"/>
                <w:lang w:val="en-GB"/>
              </w:rPr>
              <w:t xml:space="preserve"> </w:t>
            </w:r>
            <w:r w:rsidR="00094B83" w:rsidRPr="00BE35ED">
              <w:rPr>
                <w:rFonts w:ascii="Arial" w:hAnsi="Arial" w:cs="Arial"/>
                <w:color w:val="000000"/>
                <w:lang w:val="en-GB"/>
              </w:rPr>
              <w:t xml:space="preserve">(₹) </w:t>
            </w:r>
          </w:p>
        </w:tc>
        <w:tc>
          <w:tcPr>
            <w:tcW w:w="1559" w:type="dxa"/>
            <w:tcBorders>
              <w:top w:val="nil"/>
              <w:left w:val="nil"/>
              <w:bottom w:val="single" w:sz="8" w:space="0" w:color="auto"/>
              <w:right w:val="single" w:sz="8" w:space="0" w:color="auto"/>
            </w:tcBorders>
            <w:shd w:val="clear" w:color="auto" w:fill="auto"/>
            <w:noWrap/>
            <w:vAlign w:val="center"/>
            <w:hideMark/>
          </w:tcPr>
          <w:p w14:paraId="164ED84F" w14:textId="6CB9A3AF" w:rsidR="00094B83" w:rsidRPr="00BE35ED" w:rsidRDefault="00094B83" w:rsidP="002F75E6">
            <w:pPr>
              <w:tabs>
                <w:tab w:val="decimal" w:pos="1426"/>
                <w:tab w:val="decimal" w:pos="2602"/>
              </w:tabs>
              <w:jc w:val="center"/>
              <w:rPr>
                <w:rFonts w:ascii="Arial" w:hAnsi="Arial" w:cs="Arial"/>
                <w:color w:val="000000"/>
                <w:lang w:val="en-GB"/>
              </w:rPr>
            </w:pPr>
            <w:r w:rsidRPr="00BE35ED">
              <w:rPr>
                <w:rFonts w:ascii="Arial" w:hAnsi="Arial" w:cs="Arial"/>
                <w:color w:val="000000"/>
                <w:lang w:val="en-GB"/>
              </w:rPr>
              <w:t>4</w:t>
            </w:r>
            <w:r w:rsidR="00350148">
              <w:rPr>
                <w:rFonts w:ascii="Arial" w:hAnsi="Arial" w:cs="Arial"/>
                <w:color w:val="000000"/>
                <w:lang w:val="en-GB"/>
              </w:rPr>
              <w:t>,</w:t>
            </w:r>
            <w:r w:rsidRPr="00BE35ED">
              <w:rPr>
                <w:rFonts w:ascii="Arial" w:hAnsi="Arial" w:cs="Arial"/>
                <w:color w:val="000000"/>
                <w:lang w:val="en-GB"/>
              </w:rPr>
              <w:t>155</w:t>
            </w:r>
          </w:p>
        </w:tc>
        <w:tc>
          <w:tcPr>
            <w:tcW w:w="1843" w:type="dxa"/>
            <w:tcBorders>
              <w:top w:val="nil"/>
              <w:left w:val="nil"/>
              <w:bottom w:val="single" w:sz="8" w:space="0" w:color="auto"/>
              <w:right w:val="single" w:sz="8" w:space="0" w:color="auto"/>
            </w:tcBorders>
            <w:shd w:val="clear" w:color="auto" w:fill="auto"/>
            <w:noWrap/>
            <w:vAlign w:val="center"/>
            <w:hideMark/>
          </w:tcPr>
          <w:p w14:paraId="69CD1C79" w14:textId="51FB5F6B" w:rsidR="00094B83" w:rsidRPr="00BE35ED" w:rsidRDefault="00094B83" w:rsidP="002F75E6">
            <w:pPr>
              <w:tabs>
                <w:tab w:val="decimal" w:pos="576"/>
              </w:tabs>
              <w:jc w:val="center"/>
              <w:rPr>
                <w:rFonts w:ascii="Arial" w:hAnsi="Arial" w:cs="Arial"/>
                <w:color w:val="000000"/>
                <w:lang w:val="en-GB"/>
              </w:rPr>
            </w:pPr>
            <w:r w:rsidRPr="00BE35ED">
              <w:rPr>
                <w:rFonts w:ascii="Arial" w:hAnsi="Arial" w:cs="Arial"/>
                <w:color w:val="000000"/>
                <w:lang w:val="en-GB"/>
              </w:rPr>
              <w:t>1</w:t>
            </w:r>
            <w:r w:rsidR="00350148">
              <w:rPr>
                <w:rFonts w:ascii="Arial" w:hAnsi="Arial" w:cs="Arial"/>
                <w:color w:val="000000"/>
                <w:lang w:val="en-GB"/>
              </w:rPr>
              <w:t>,</w:t>
            </w:r>
            <w:r w:rsidRPr="00BE35ED">
              <w:rPr>
                <w:rFonts w:ascii="Arial" w:hAnsi="Arial" w:cs="Arial"/>
                <w:color w:val="000000"/>
                <w:lang w:val="en-GB"/>
              </w:rPr>
              <w:t>990</w:t>
            </w:r>
          </w:p>
        </w:tc>
        <w:tc>
          <w:tcPr>
            <w:tcW w:w="1874" w:type="dxa"/>
            <w:tcBorders>
              <w:top w:val="nil"/>
              <w:left w:val="nil"/>
              <w:bottom w:val="single" w:sz="8" w:space="0" w:color="auto"/>
              <w:right w:val="single" w:sz="8" w:space="0" w:color="auto"/>
            </w:tcBorders>
            <w:shd w:val="clear" w:color="auto" w:fill="auto"/>
            <w:noWrap/>
            <w:vAlign w:val="center"/>
            <w:hideMark/>
          </w:tcPr>
          <w:p w14:paraId="7CCA3C9F" w14:textId="33887D9D" w:rsidR="00094B83" w:rsidRPr="00BE35ED" w:rsidRDefault="00094B83" w:rsidP="002F75E6">
            <w:pPr>
              <w:tabs>
                <w:tab w:val="decimal" w:pos="1001"/>
              </w:tabs>
              <w:rPr>
                <w:rFonts w:ascii="Arial" w:hAnsi="Arial" w:cs="Arial"/>
                <w:color w:val="000000"/>
                <w:lang w:val="en-GB"/>
              </w:rPr>
            </w:pPr>
            <w:r w:rsidRPr="00BE35ED">
              <w:rPr>
                <w:rFonts w:ascii="Arial" w:hAnsi="Arial" w:cs="Arial"/>
                <w:color w:val="000000"/>
                <w:lang w:val="en-GB"/>
              </w:rPr>
              <w:t>2</w:t>
            </w:r>
            <w:r w:rsidR="00350148">
              <w:rPr>
                <w:rFonts w:ascii="Arial" w:hAnsi="Arial" w:cs="Arial"/>
                <w:color w:val="000000"/>
                <w:lang w:val="en-GB"/>
              </w:rPr>
              <w:t>,</w:t>
            </w:r>
            <w:r w:rsidRPr="00BE35ED">
              <w:rPr>
                <w:rFonts w:ascii="Arial" w:hAnsi="Arial" w:cs="Arial"/>
                <w:color w:val="000000"/>
                <w:lang w:val="en-GB"/>
              </w:rPr>
              <w:t>510</w:t>
            </w:r>
          </w:p>
        </w:tc>
      </w:tr>
      <w:tr w:rsidR="00094B83" w:rsidRPr="00BE35ED" w14:paraId="72FE1032" w14:textId="77777777" w:rsidTr="000E04AD">
        <w:trPr>
          <w:trHeight w:val="46"/>
          <w:jc w:val="center"/>
        </w:trPr>
        <w:tc>
          <w:tcPr>
            <w:tcW w:w="3622" w:type="dxa"/>
            <w:tcBorders>
              <w:top w:val="nil"/>
              <w:left w:val="single" w:sz="8" w:space="0" w:color="auto"/>
              <w:bottom w:val="single" w:sz="8" w:space="0" w:color="auto"/>
              <w:right w:val="single" w:sz="8" w:space="0" w:color="auto"/>
            </w:tcBorders>
            <w:shd w:val="clear" w:color="auto" w:fill="auto"/>
            <w:noWrap/>
            <w:vAlign w:val="center"/>
            <w:hideMark/>
          </w:tcPr>
          <w:p w14:paraId="7D9A65A6" w14:textId="33F4875F" w:rsidR="00094B83" w:rsidRPr="00BE35ED" w:rsidRDefault="00094B83" w:rsidP="00350148">
            <w:pPr>
              <w:rPr>
                <w:rFonts w:ascii="Arial" w:hAnsi="Arial" w:cs="Arial"/>
                <w:color w:val="000000"/>
                <w:lang w:val="en-GB"/>
              </w:rPr>
            </w:pPr>
            <w:r w:rsidRPr="00BE35ED">
              <w:rPr>
                <w:rFonts w:ascii="Arial" w:hAnsi="Arial" w:cs="Arial"/>
                <w:color w:val="000000"/>
                <w:lang w:val="en-GB"/>
              </w:rPr>
              <w:t>Unit Cost (₹)</w:t>
            </w:r>
          </w:p>
        </w:tc>
        <w:tc>
          <w:tcPr>
            <w:tcW w:w="1559" w:type="dxa"/>
            <w:tcBorders>
              <w:top w:val="nil"/>
              <w:left w:val="nil"/>
              <w:bottom w:val="single" w:sz="8" w:space="0" w:color="auto"/>
              <w:right w:val="single" w:sz="8" w:space="0" w:color="auto"/>
            </w:tcBorders>
            <w:shd w:val="clear" w:color="auto" w:fill="auto"/>
            <w:noWrap/>
            <w:vAlign w:val="center"/>
            <w:hideMark/>
          </w:tcPr>
          <w:p w14:paraId="273A7B08" w14:textId="28C96A2F" w:rsidR="00094B83" w:rsidRPr="00BE35ED" w:rsidRDefault="00094B83" w:rsidP="002F75E6">
            <w:pPr>
              <w:tabs>
                <w:tab w:val="decimal" w:pos="1426"/>
                <w:tab w:val="decimal" w:pos="2602"/>
              </w:tabs>
              <w:jc w:val="center"/>
              <w:rPr>
                <w:rFonts w:ascii="Arial" w:hAnsi="Arial" w:cs="Arial"/>
                <w:color w:val="000000"/>
                <w:lang w:val="en-GB"/>
              </w:rPr>
            </w:pPr>
            <w:r w:rsidRPr="00BE35ED">
              <w:rPr>
                <w:rFonts w:ascii="Arial" w:hAnsi="Arial" w:cs="Arial"/>
                <w:color w:val="000000"/>
                <w:lang w:val="en-GB"/>
              </w:rPr>
              <w:t>1</w:t>
            </w:r>
            <w:r w:rsidR="00350148">
              <w:rPr>
                <w:rFonts w:ascii="Arial" w:hAnsi="Arial" w:cs="Arial"/>
                <w:color w:val="000000"/>
                <w:lang w:val="en-GB"/>
              </w:rPr>
              <w:t>,</w:t>
            </w:r>
            <w:r w:rsidRPr="00BE35ED">
              <w:rPr>
                <w:rFonts w:ascii="Arial" w:hAnsi="Arial" w:cs="Arial"/>
                <w:color w:val="000000"/>
                <w:lang w:val="en-GB"/>
              </w:rPr>
              <w:t>475</w:t>
            </w:r>
          </w:p>
        </w:tc>
        <w:tc>
          <w:tcPr>
            <w:tcW w:w="1843" w:type="dxa"/>
            <w:tcBorders>
              <w:top w:val="nil"/>
              <w:left w:val="nil"/>
              <w:bottom w:val="single" w:sz="8" w:space="0" w:color="auto"/>
              <w:right w:val="single" w:sz="8" w:space="0" w:color="auto"/>
            </w:tcBorders>
            <w:shd w:val="clear" w:color="auto" w:fill="auto"/>
            <w:noWrap/>
            <w:vAlign w:val="center"/>
            <w:hideMark/>
          </w:tcPr>
          <w:p w14:paraId="098EA0C6" w14:textId="77777777" w:rsidR="00094B83" w:rsidRPr="00BE35ED" w:rsidRDefault="00094B83" w:rsidP="002F75E6">
            <w:pPr>
              <w:tabs>
                <w:tab w:val="decimal" w:pos="576"/>
              </w:tabs>
              <w:jc w:val="center"/>
              <w:rPr>
                <w:rFonts w:ascii="Arial" w:hAnsi="Arial" w:cs="Arial"/>
                <w:color w:val="000000"/>
                <w:lang w:val="en-GB"/>
              </w:rPr>
            </w:pPr>
            <w:r w:rsidRPr="00BE35ED">
              <w:rPr>
                <w:rFonts w:ascii="Arial" w:hAnsi="Arial" w:cs="Arial"/>
                <w:color w:val="000000"/>
                <w:lang w:val="en-GB"/>
              </w:rPr>
              <w:t>645</w:t>
            </w:r>
          </w:p>
        </w:tc>
        <w:tc>
          <w:tcPr>
            <w:tcW w:w="1874" w:type="dxa"/>
            <w:tcBorders>
              <w:top w:val="nil"/>
              <w:left w:val="nil"/>
              <w:bottom w:val="single" w:sz="8" w:space="0" w:color="auto"/>
              <w:right w:val="single" w:sz="8" w:space="0" w:color="auto"/>
            </w:tcBorders>
            <w:shd w:val="clear" w:color="auto" w:fill="auto"/>
            <w:noWrap/>
            <w:vAlign w:val="center"/>
            <w:hideMark/>
          </w:tcPr>
          <w:p w14:paraId="3FBA8E9E" w14:textId="77777777" w:rsidR="00094B83" w:rsidRPr="00BE35ED" w:rsidRDefault="00094B83" w:rsidP="002F75E6">
            <w:pPr>
              <w:tabs>
                <w:tab w:val="decimal" w:pos="1001"/>
              </w:tabs>
              <w:rPr>
                <w:rFonts w:ascii="Arial" w:hAnsi="Arial" w:cs="Arial"/>
                <w:color w:val="000000"/>
                <w:lang w:val="en-GB"/>
              </w:rPr>
            </w:pPr>
            <w:r w:rsidRPr="00BE35ED">
              <w:rPr>
                <w:rFonts w:ascii="Arial" w:hAnsi="Arial" w:cs="Arial"/>
                <w:color w:val="000000"/>
                <w:lang w:val="en-GB"/>
              </w:rPr>
              <w:t>760</w:t>
            </w:r>
          </w:p>
        </w:tc>
      </w:tr>
    </w:tbl>
    <w:p w14:paraId="17C05556" w14:textId="77777777" w:rsidR="00C263FA" w:rsidRPr="00BE35ED" w:rsidRDefault="00C263FA" w:rsidP="00C263FA">
      <w:pPr>
        <w:pStyle w:val="Footnote"/>
        <w:rPr>
          <w:lang w:val="en-GB"/>
        </w:rPr>
      </w:pPr>
    </w:p>
    <w:p w14:paraId="0FACAF79" w14:textId="6ED45C4B" w:rsidR="00492EB9" w:rsidRDefault="00492EB9" w:rsidP="00C263FA">
      <w:pPr>
        <w:pStyle w:val="Footnote"/>
        <w:rPr>
          <w:lang w:val="en-GB"/>
        </w:rPr>
      </w:pPr>
      <w:r>
        <w:rPr>
          <w:lang w:val="en-GB"/>
        </w:rPr>
        <w:t xml:space="preserve">Note: </w:t>
      </w:r>
      <w:r>
        <w:t>₹ = INR = Indian rupee; US$1= ₹63 on February 15, 2015.</w:t>
      </w:r>
    </w:p>
    <w:p w14:paraId="489691CB" w14:textId="4353DF04" w:rsidR="00094B83" w:rsidRDefault="00094B83" w:rsidP="00C263FA">
      <w:pPr>
        <w:pStyle w:val="Footnote"/>
        <w:rPr>
          <w:lang w:val="en-GB"/>
        </w:rPr>
      </w:pPr>
      <w:r w:rsidRPr="00BE35ED">
        <w:rPr>
          <w:lang w:val="en-GB"/>
        </w:rPr>
        <w:t xml:space="preserve">Source: </w:t>
      </w:r>
      <w:r w:rsidR="000E04AD">
        <w:rPr>
          <w:lang w:val="en-GB"/>
        </w:rPr>
        <w:t>Company records.</w:t>
      </w:r>
    </w:p>
    <w:p w14:paraId="039F65D0" w14:textId="1511895F" w:rsidR="000E04AD" w:rsidRDefault="000E04AD">
      <w:pPr>
        <w:spacing w:after="200" w:line="276" w:lineRule="auto"/>
        <w:rPr>
          <w:rFonts w:ascii="Arial" w:hAnsi="Arial" w:cs="Arial"/>
          <w:sz w:val="17"/>
          <w:szCs w:val="17"/>
          <w:lang w:val="en-GB"/>
        </w:rPr>
      </w:pPr>
      <w:r>
        <w:rPr>
          <w:lang w:val="en-GB"/>
        </w:rPr>
        <w:br w:type="page"/>
      </w:r>
    </w:p>
    <w:p w14:paraId="170A58C2" w14:textId="13B0EA4F" w:rsidR="00094B83" w:rsidRPr="00BE35ED" w:rsidRDefault="00094B83" w:rsidP="002273D0">
      <w:pPr>
        <w:pStyle w:val="ExhibitHeading"/>
        <w:rPr>
          <w:lang w:val="en-GB"/>
        </w:rPr>
      </w:pPr>
      <w:r w:rsidRPr="00BE35ED">
        <w:rPr>
          <w:lang w:val="en-GB"/>
        </w:rPr>
        <w:lastRenderedPageBreak/>
        <w:t>Exhibit 9: Online prices of products</w:t>
      </w:r>
      <w:r w:rsidR="00BA630F">
        <w:rPr>
          <w:lang w:val="en-GB"/>
        </w:rPr>
        <w:t xml:space="preserve"> </w:t>
      </w:r>
      <w:r w:rsidR="00102991">
        <w:rPr>
          <w:lang w:val="en-GB"/>
        </w:rPr>
        <w:t xml:space="preserve">similar to the products targeted in the </w:t>
      </w:r>
      <w:r w:rsidR="00102991" w:rsidRPr="002F75E6">
        <w:rPr>
          <w:i/>
          <w:lang w:val="en-GB"/>
        </w:rPr>
        <w:t>times of india</w:t>
      </w:r>
      <w:r w:rsidR="00102991">
        <w:rPr>
          <w:lang w:val="en-GB"/>
        </w:rPr>
        <w:t xml:space="preserve"> reader’s offer</w:t>
      </w:r>
    </w:p>
    <w:p w14:paraId="02FBD855" w14:textId="77777777" w:rsidR="00D424A5" w:rsidRPr="00BE35ED" w:rsidRDefault="00D424A5" w:rsidP="00094B83">
      <w:pPr>
        <w:jc w:val="center"/>
        <w:rPr>
          <w:b/>
          <w:sz w:val="14"/>
          <w:lang w:val="en-GB"/>
        </w:rPr>
      </w:pPr>
    </w:p>
    <w:tbl>
      <w:tblPr>
        <w:tblW w:w="5030" w:type="dxa"/>
        <w:jc w:val="center"/>
        <w:tblLook w:val="04A0" w:firstRow="1" w:lastRow="0" w:firstColumn="1" w:lastColumn="0" w:noHBand="0" w:noVBand="1"/>
      </w:tblPr>
      <w:tblGrid>
        <w:gridCol w:w="2140"/>
        <w:gridCol w:w="1094"/>
        <w:gridCol w:w="1139"/>
        <w:gridCol w:w="1006"/>
      </w:tblGrid>
      <w:tr w:rsidR="00094B83" w:rsidRPr="00BE35ED" w14:paraId="26976EF8" w14:textId="77777777" w:rsidTr="00A44688">
        <w:trPr>
          <w:trHeight w:val="46"/>
          <w:jc w:val="center"/>
        </w:trPr>
        <w:tc>
          <w:tcPr>
            <w:tcW w:w="503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2A6DDCB" w14:textId="0036F736" w:rsidR="00094B83" w:rsidRPr="00BE35ED" w:rsidRDefault="00094B83" w:rsidP="00102991">
            <w:pPr>
              <w:jc w:val="center"/>
              <w:rPr>
                <w:rFonts w:ascii="Arial" w:hAnsi="Arial" w:cs="Arial"/>
                <w:b/>
                <w:bCs/>
                <w:color w:val="000000"/>
                <w:lang w:val="en-GB"/>
              </w:rPr>
            </w:pPr>
            <w:r w:rsidRPr="00BE35ED">
              <w:rPr>
                <w:rFonts w:ascii="Arial" w:hAnsi="Arial" w:cs="Arial"/>
                <w:b/>
                <w:bCs/>
                <w:color w:val="000000"/>
                <w:lang w:val="en-GB"/>
              </w:rPr>
              <w:t xml:space="preserve">Comparative </w:t>
            </w:r>
            <w:r w:rsidR="00102991">
              <w:rPr>
                <w:rFonts w:ascii="Arial" w:hAnsi="Arial" w:cs="Arial"/>
                <w:b/>
                <w:bCs/>
                <w:color w:val="000000"/>
                <w:lang w:val="en-GB"/>
              </w:rPr>
              <w:t xml:space="preserve">Online </w:t>
            </w:r>
            <w:r w:rsidRPr="00BE35ED">
              <w:rPr>
                <w:rFonts w:ascii="Arial" w:hAnsi="Arial" w:cs="Arial"/>
                <w:b/>
                <w:bCs/>
                <w:color w:val="000000"/>
                <w:lang w:val="en-GB"/>
              </w:rPr>
              <w:t>Product Prices</w:t>
            </w:r>
          </w:p>
        </w:tc>
      </w:tr>
      <w:tr w:rsidR="00094B83" w:rsidRPr="00BE35ED" w14:paraId="7EA519A2" w14:textId="77777777" w:rsidTr="00A44688">
        <w:trPr>
          <w:trHeight w:val="46"/>
          <w:jc w:val="center"/>
        </w:trPr>
        <w:tc>
          <w:tcPr>
            <w:tcW w:w="2140" w:type="dxa"/>
            <w:tcBorders>
              <w:top w:val="nil"/>
              <w:left w:val="single" w:sz="8" w:space="0" w:color="auto"/>
              <w:bottom w:val="single" w:sz="8" w:space="0" w:color="auto"/>
              <w:right w:val="nil"/>
            </w:tcBorders>
            <w:shd w:val="clear" w:color="auto" w:fill="auto"/>
            <w:noWrap/>
            <w:vAlign w:val="bottom"/>
            <w:hideMark/>
          </w:tcPr>
          <w:p w14:paraId="1A88EFBF" w14:textId="77777777" w:rsidR="00094B83" w:rsidRPr="00BE35ED" w:rsidRDefault="00094B83" w:rsidP="009563E1">
            <w:pPr>
              <w:rPr>
                <w:rFonts w:ascii="Arial" w:hAnsi="Arial" w:cs="Arial"/>
                <w:b/>
                <w:bCs/>
                <w:color w:val="000000"/>
                <w:lang w:val="en-GB"/>
              </w:rPr>
            </w:pPr>
            <w:r w:rsidRPr="00BE35ED">
              <w:rPr>
                <w:rFonts w:ascii="Arial" w:hAnsi="Arial" w:cs="Arial"/>
                <w:b/>
                <w:bCs/>
                <w:color w:val="000000"/>
                <w:lang w:val="en-GB"/>
              </w:rPr>
              <w:t> </w:t>
            </w:r>
          </w:p>
        </w:tc>
        <w:tc>
          <w:tcPr>
            <w:tcW w:w="889" w:type="dxa"/>
            <w:tcBorders>
              <w:top w:val="nil"/>
              <w:left w:val="single" w:sz="8" w:space="0" w:color="auto"/>
              <w:bottom w:val="single" w:sz="8" w:space="0" w:color="auto"/>
              <w:right w:val="single" w:sz="8" w:space="0" w:color="auto"/>
            </w:tcBorders>
            <w:shd w:val="clear" w:color="auto" w:fill="auto"/>
            <w:noWrap/>
            <w:vAlign w:val="bottom"/>
            <w:hideMark/>
          </w:tcPr>
          <w:p w14:paraId="12622916" w14:textId="6DABB01D" w:rsidR="00094B83" w:rsidRPr="00BE35ED" w:rsidRDefault="00094B83" w:rsidP="0073281D">
            <w:pPr>
              <w:jc w:val="center"/>
              <w:rPr>
                <w:rFonts w:ascii="Arial" w:hAnsi="Arial" w:cs="Arial"/>
                <w:b/>
                <w:bCs/>
                <w:color w:val="000000"/>
                <w:lang w:val="en-GB"/>
              </w:rPr>
            </w:pPr>
            <w:r w:rsidRPr="00BE35ED">
              <w:rPr>
                <w:rFonts w:ascii="Arial" w:hAnsi="Arial" w:cs="Arial"/>
                <w:b/>
                <w:bCs/>
                <w:color w:val="000000"/>
                <w:lang w:val="en-GB"/>
              </w:rPr>
              <w:t>Min</w:t>
            </w:r>
            <w:r w:rsidR="00102991">
              <w:rPr>
                <w:rFonts w:ascii="Arial" w:hAnsi="Arial" w:cs="Arial"/>
                <w:b/>
                <w:bCs/>
                <w:color w:val="000000"/>
                <w:lang w:val="en-GB"/>
              </w:rPr>
              <w:t>imum</w:t>
            </w:r>
            <w:r w:rsidR="00385346">
              <w:rPr>
                <w:rFonts w:ascii="Arial" w:hAnsi="Arial" w:cs="Arial"/>
                <w:b/>
                <w:bCs/>
                <w:color w:val="000000"/>
                <w:lang w:val="en-GB"/>
              </w:rPr>
              <w:t xml:space="preserve"> (</w:t>
            </w:r>
            <w:r w:rsidR="00102991">
              <w:rPr>
                <w:rFonts w:ascii="Arial" w:hAnsi="Arial" w:cs="Arial"/>
                <w:b/>
                <w:bCs/>
                <w:color w:val="000000"/>
                <w:lang w:val="en-GB"/>
              </w:rPr>
              <w:t>in</w:t>
            </w:r>
            <w:r w:rsidR="0073281D">
              <w:rPr>
                <w:rFonts w:ascii="Arial" w:hAnsi="Arial" w:cs="Arial"/>
                <w:b/>
                <w:bCs/>
                <w:color w:val="000000"/>
                <w:lang w:val="en-GB"/>
              </w:rPr>
              <w:t xml:space="preserve"> </w:t>
            </w:r>
            <w:r w:rsidR="00385346" w:rsidRPr="002F75E6">
              <w:rPr>
                <w:rFonts w:ascii="Arial" w:hAnsi="Arial" w:cs="Arial"/>
                <w:b/>
                <w:bCs/>
                <w:color w:val="000000"/>
                <w:lang w:val="en-GB"/>
              </w:rPr>
              <w:t>₹</w:t>
            </w:r>
            <w:r w:rsidR="00385346">
              <w:rPr>
                <w:rFonts w:ascii="Tahoma" w:hAnsi="Tahoma" w:cs="Tahoma"/>
                <w:lang w:val="en-GB"/>
              </w:rPr>
              <w:t>)</w:t>
            </w:r>
          </w:p>
        </w:tc>
        <w:tc>
          <w:tcPr>
            <w:tcW w:w="1011" w:type="dxa"/>
            <w:tcBorders>
              <w:top w:val="nil"/>
              <w:left w:val="nil"/>
              <w:bottom w:val="single" w:sz="8" w:space="0" w:color="auto"/>
              <w:right w:val="single" w:sz="8" w:space="0" w:color="auto"/>
            </w:tcBorders>
            <w:shd w:val="clear" w:color="auto" w:fill="auto"/>
            <w:noWrap/>
            <w:vAlign w:val="bottom"/>
            <w:hideMark/>
          </w:tcPr>
          <w:p w14:paraId="5ACEFB65" w14:textId="10D891AC" w:rsidR="00094B83" w:rsidRPr="00BE35ED" w:rsidRDefault="00094B83" w:rsidP="0073281D">
            <w:pPr>
              <w:jc w:val="center"/>
              <w:rPr>
                <w:rFonts w:ascii="Arial" w:hAnsi="Arial" w:cs="Arial"/>
                <w:b/>
                <w:bCs/>
                <w:color w:val="000000"/>
                <w:lang w:val="en-GB"/>
              </w:rPr>
            </w:pPr>
            <w:r w:rsidRPr="00BE35ED">
              <w:rPr>
                <w:rFonts w:ascii="Arial" w:hAnsi="Arial" w:cs="Arial"/>
                <w:b/>
                <w:bCs/>
                <w:color w:val="000000"/>
                <w:lang w:val="en-GB"/>
              </w:rPr>
              <w:t>Max</w:t>
            </w:r>
            <w:r w:rsidR="00102991">
              <w:rPr>
                <w:rFonts w:ascii="Arial" w:hAnsi="Arial" w:cs="Arial"/>
                <w:b/>
                <w:bCs/>
                <w:color w:val="000000"/>
                <w:lang w:val="en-GB"/>
              </w:rPr>
              <w:t>imum</w:t>
            </w:r>
            <w:r w:rsidR="00385346">
              <w:rPr>
                <w:rFonts w:ascii="Arial" w:hAnsi="Arial" w:cs="Arial"/>
                <w:b/>
                <w:bCs/>
                <w:color w:val="000000"/>
                <w:lang w:val="en-GB"/>
              </w:rPr>
              <w:t xml:space="preserve"> (</w:t>
            </w:r>
            <w:r w:rsidR="00102991">
              <w:rPr>
                <w:rFonts w:ascii="Arial" w:hAnsi="Arial" w:cs="Arial"/>
                <w:b/>
                <w:bCs/>
                <w:color w:val="000000"/>
                <w:lang w:val="en-GB"/>
              </w:rPr>
              <w:t xml:space="preserve">in </w:t>
            </w:r>
            <w:r w:rsidR="00385346" w:rsidRPr="002F75E6">
              <w:rPr>
                <w:rFonts w:ascii="Arial" w:hAnsi="Arial" w:cs="Arial"/>
                <w:b/>
                <w:bCs/>
                <w:color w:val="000000"/>
                <w:lang w:val="en-GB"/>
              </w:rPr>
              <w:t>₹</w:t>
            </w:r>
            <w:r w:rsidR="00385346">
              <w:rPr>
                <w:rFonts w:ascii="Tahoma" w:hAnsi="Tahoma" w:cs="Tahoma"/>
                <w:lang w:val="en-GB"/>
              </w:rPr>
              <w:t>)</w:t>
            </w:r>
          </w:p>
        </w:tc>
        <w:tc>
          <w:tcPr>
            <w:tcW w:w="990" w:type="dxa"/>
            <w:tcBorders>
              <w:top w:val="nil"/>
              <w:left w:val="nil"/>
              <w:bottom w:val="single" w:sz="8" w:space="0" w:color="auto"/>
              <w:right w:val="single" w:sz="8" w:space="0" w:color="auto"/>
            </w:tcBorders>
            <w:shd w:val="clear" w:color="auto" w:fill="auto"/>
            <w:noWrap/>
            <w:vAlign w:val="bottom"/>
            <w:hideMark/>
          </w:tcPr>
          <w:p w14:paraId="518F39B1" w14:textId="07D77F09" w:rsidR="00094B83" w:rsidRPr="00BE35ED" w:rsidRDefault="00094B83" w:rsidP="0073281D">
            <w:pPr>
              <w:jc w:val="center"/>
              <w:rPr>
                <w:rFonts w:ascii="Arial" w:hAnsi="Arial" w:cs="Arial"/>
                <w:b/>
                <w:bCs/>
                <w:color w:val="000000"/>
                <w:lang w:val="en-GB"/>
              </w:rPr>
            </w:pPr>
            <w:r w:rsidRPr="00BE35ED">
              <w:rPr>
                <w:rFonts w:ascii="Arial" w:hAnsi="Arial" w:cs="Arial"/>
                <w:b/>
                <w:bCs/>
                <w:color w:val="000000"/>
                <w:lang w:val="en-GB"/>
              </w:rPr>
              <w:t>Av</w:t>
            </w:r>
            <w:r w:rsidR="00102991">
              <w:rPr>
                <w:rFonts w:ascii="Arial" w:hAnsi="Arial" w:cs="Arial"/>
                <w:b/>
                <w:bCs/>
                <w:color w:val="000000"/>
                <w:lang w:val="en-GB"/>
              </w:rPr>
              <w:t>era</w:t>
            </w:r>
            <w:r w:rsidRPr="00BE35ED">
              <w:rPr>
                <w:rFonts w:ascii="Arial" w:hAnsi="Arial" w:cs="Arial"/>
                <w:b/>
                <w:bCs/>
                <w:color w:val="000000"/>
                <w:lang w:val="en-GB"/>
              </w:rPr>
              <w:t>g</w:t>
            </w:r>
            <w:r w:rsidR="00102991">
              <w:rPr>
                <w:rFonts w:ascii="Arial" w:hAnsi="Arial" w:cs="Arial"/>
                <w:b/>
                <w:bCs/>
                <w:color w:val="000000"/>
                <w:lang w:val="en-GB"/>
              </w:rPr>
              <w:t>e</w:t>
            </w:r>
            <w:r w:rsidR="00385346">
              <w:rPr>
                <w:rFonts w:ascii="Arial" w:hAnsi="Arial" w:cs="Arial"/>
                <w:b/>
                <w:bCs/>
                <w:color w:val="000000"/>
                <w:lang w:val="en-GB"/>
              </w:rPr>
              <w:t xml:space="preserve"> (</w:t>
            </w:r>
            <w:r w:rsidR="00102991">
              <w:rPr>
                <w:rFonts w:ascii="Arial" w:hAnsi="Arial" w:cs="Arial"/>
                <w:b/>
                <w:bCs/>
                <w:color w:val="000000"/>
                <w:lang w:val="en-GB"/>
              </w:rPr>
              <w:t>in</w:t>
            </w:r>
            <w:r w:rsidR="0073281D">
              <w:rPr>
                <w:rFonts w:ascii="Arial" w:hAnsi="Arial" w:cs="Arial"/>
                <w:b/>
                <w:bCs/>
                <w:color w:val="000000"/>
                <w:lang w:val="en-GB"/>
              </w:rPr>
              <w:t xml:space="preserve"> </w:t>
            </w:r>
            <w:r w:rsidR="00385346" w:rsidRPr="002F75E6">
              <w:rPr>
                <w:rFonts w:ascii="Arial" w:hAnsi="Arial" w:cs="Arial"/>
                <w:b/>
                <w:bCs/>
                <w:color w:val="000000"/>
                <w:lang w:val="en-GB"/>
              </w:rPr>
              <w:t>₹</w:t>
            </w:r>
            <w:r w:rsidR="00385346">
              <w:rPr>
                <w:rFonts w:ascii="Tahoma" w:hAnsi="Tahoma" w:cs="Tahoma"/>
                <w:lang w:val="en-GB"/>
              </w:rPr>
              <w:t>)</w:t>
            </w:r>
          </w:p>
        </w:tc>
      </w:tr>
      <w:tr w:rsidR="00094B83" w:rsidRPr="00BE35ED" w14:paraId="58C505DD" w14:textId="77777777" w:rsidTr="00A44688">
        <w:trPr>
          <w:trHeight w:val="46"/>
          <w:jc w:val="center"/>
        </w:trPr>
        <w:tc>
          <w:tcPr>
            <w:tcW w:w="2140" w:type="dxa"/>
            <w:tcBorders>
              <w:top w:val="nil"/>
              <w:left w:val="single" w:sz="8" w:space="0" w:color="auto"/>
              <w:bottom w:val="single" w:sz="4" w:space="0" w:color="auto"/>
              <w:right w:val="nil"/>
            </w:tcBorders>
            <w:shd w:val="clear" w:color="auto" w:fill="auto"/>
            <w:noWrap/>
            <w:vAlign w:val="bottom"/>
            <w:hideMark/>
          </w:tcPr>
          <w:p w14:paraId="1ED54FFE" w14:textId="059922F7" w:rsidR="00094B83" w:rsidRPr="00BE35ED" w:rsidRDefault="00094B83" w:rsidP="00350148">
            <w:pPr>
              <w:rPr>
                <w:rFonts w:ascii="Arial" w:hAnsi="Arial" w:cs="Arial"/>
                <w:bCs/>
                <w:color w:val="000000"/>
                <w:lang w:val="en-GB"/>
              </w:rPr>
            </w:pPr>
            <w:r w:rsidRPr="00BE35ED">
              <w:rPr>
                <w:rFonts w:ascii="Arial" w:hAnsi="Arial" w:cs="Arial"/>
                <w:bCs/>
                <w:color w:val="000000"/>
                <w:lang w:val="en-GB"/>
              </w:rPr>
              <w:t>Gas Stove</w:t>
            </w:r>
          </w:p>
        </w:tc>
        <w:tc>
          <w:tcPr>
            <w:tcW w:w="889" w:type="dxa"/>
            <w:tcBorders>
              <w:top w:val="nil"/>
              <w:left w:val="single" w:sz="8" w:space="0" w:color="auto"/>
              <w:bottom w:val="single" w:sz="4" w:space="0" w:color="auto"/>
              <w:right w:val="single" w:sz="8" w:space="0" w:color="auto"/>
            </w:tcBorders>
            <w:shd w:val="clear" w:color="auto" w:fill="auto"/>
            <w:noWrap/>
            <w:vAlign w:val="bottom"/>
            <w:hideMark/>
          </w:tcPr>
          <w:p w14:paraId="786A8BBA" w14:textId="1647BF89" w:rsidR="00094B83" w:rsidRPr="00BE35ED" w:rsidRDefault="00094B83" w:rsidP="009563E1">
            <w:pPr>
              <w:jc w:val="right"/>
              <w:rPr>
                <w:rFonts w:ascii="Arial" w:hAnsi="Arial" w:cs="Arial"/>
                <w:color w:val="000000"/>
                <w:lang w:val="en-GB"/>
              </w:rPr>
            </w:pPr>
            <w:r w:rsidRPr="00BE35ED">
              <w:rPr>
                <w:rFonts w:ascii="Arial" w:hAnsi="Arial" w:cs="Arial"/>
                <w:color w:val="000000"/>
                <w:lang w:val="en-GB"/>
              </w:rPr>
              <w:t>1</w:t>
            </w:r>
            <w:r w:rsidR="00350148">
              <w:rPr>
                <w:rFonts w:ascii="Arial" w:hAnsi="Arial" w:cs="Arial"/>
                <w:color w:val="000000"/>
                <w:lang w:val="en-GB"/>
              </w:rPr>
              <w:t>,</w:t>
            </w:r>
            <w:r w:rsidRPr="00BE35ED">
              <w:rPr>
                <w:rFonts w:ascii="Arial" w:hAnsi="Arial" w:cs="Arial"/>
                <w:color w:val="000000"/>
                <w:lang w:val="en-GB"/>
              </w:rPr>
              <w:t>999</w:t>
            </w:r>
          </w:p>
        </w:tc>
        <w:tc>
          <w:tcPr>
            <w:tcW w:w="1011" w:type="dxa"/>
            <w:tcBorders>
              <w:top w:val="nil"/>
              <w:left w:val="nil"/>
              <w:bottom w:val="single" w:sz="4" w:space="0" w:color="auto"/>
              <w:right w:val="single" w:sz="8" w:space="0" w:color="auto"/>
            </w:tcBorders>
            <w:shd w:val="clear" w:color="auto" w:fill="auto"/>
            <w:noWrap/>
            <w:vAlign w:val="bottom"/>
            <w:hideMark/>
          </w:tcPr>
          <w:p w14:paraId="2A7F5136" w14:textId="77C7F0FE" w:rsidR="00094B83" w:rsidRPr="00BE35ED" w:rsidRDefault="00094B83" w:rsidP="009563E1">
            <w:pPr>
              <w:jc w:val="right"/>
              <w:rPr>
                <w:rFonts w:ascii="Arial" w:hAnsi="Arial" w:cs="Arial"/>
                <w:color w:val="000000"/>
                <w:lang w:val="en-GB"/>
              </w:rPr>
            </w:pPr>
            <w:r w:rsidRPr="00BE35ED">
              <w:rPr>
                <w:rFonts w:ascii="Arial" w:hAnsi="Arial" w:cs="Arial"/>
                <w:color w:val="000000"/>
                <w:lang w:val="en-GB"/>
              </w:rPr>
              <w:t>4</w:t>
            </w:r>
            <w:r w:rsidR="00350148">
              <w:rPr>
                <w:rFonts w:ascii="Arial" w:hAnsi="Arial" w:cs="Arial"/>
                <w:color w:val="000000"/>
                <w:lang w:val="en-GB"/>
              </w:rPr>
              <w:t>,</w:t>
            </w:r>
            <w:r w:rsidRPr="00BE35ED">
              <w:rPr>
                <w:rFonts w:ascii="Arial" w:hAnsi="Arial" w:cs="Arial"/>
                <w:color w:val="000000"/>
                <w:lang w:val="en-GB"/>
              </w:rPr>
              <w:t>298</w:t>
            </w:r>
          </w:p>
        </w:tc>
        <w:tc>
          <w:tcPr>
            <w:tcW w:w="990" w:type="dxa"/>
            <w:tcBorders>
              <w:top w:val="nil"/>
              <w:left w:val="nil"/>
              <w:bottom w:val="single" w:sz="4" w:space="0" w:color="auto"/>
              <w:right w:val="single" w:sz="8" w:space="0" w:color="auto"/>
            </w:tcBorders>
            <w:shd w:val="clear" w:color="auto" w:fill="auto"/>
            <w:noWrap/>
            <w:vAlign w:val="bottom"/>
            <w:hideMark/>
          </w:tcPr>
          <w:p w14:paraId="715B5B28" w14:textId="1CF30F49" w:rsidR="00094B83" w:rsidRPr="00BE35ED" w:rsidRDefault="00094B83" w:rsidP="009563E1">
            <w:pPr>
              <w:jc w:val="right"/>
              <w:rPr>
                <w:rFonts w:ascii="Arial" w:hAnsi="Arial" w:cs="Arial"/>
                <w:color w:val="000000"/>
                <w:lang w:val="en-GB"/>
              </w:rPr>
            </w:pPr>
            <w:r w:rsidRPr="00BE35ED">
              <w:rPr>
                <w:rFonts w:ascii="Arial" w:hAnsi="Arial" w:cs="Arial"/>
                <w:color w:val="000000"/>
                <w:lang w:val="en-GB"/>
              </w:rPr>
              <w:t>3</w:t>
            </w:r>
            <w:r w:rsidR="00350148">
              <w:rPr>
                <w:rFonts w:ascii="Arial" w:hAnsi="Arial" w:cs="Arial"/>
                <w:color w:val="000000"/>
                <w:lang w:val="en-GB"/>
              </w:rPr>
              <w:t>,</w:t>
            </w:r>
            <w:r w:rsidRPr="00BE35ED">
              <w:rPr>
                <w:rFonts w:ascii="Arial" w:hAnsi="Arial" w:cs="Arial"/>
                <w:color w:val="000000"/>
                <w:lang w:val="en-GB"/>
              </w:rPr>
              <w:t>150</w:t>
            </w:r>
          </w:p>
        </w:tc>
      </w:tr>
      <w:tr w:rsidR="00094B83" w:rsidRPr="00BE35ED" w14:paraId="2EF7F99D" w14:textId="77777777" w:rsidTr="00A44688">
        <w:trPr>
          <w:trHeight w:val="56"/>
          <w:jc w:val="center"/>
        </w:trPr>
        <w:tc>
          <w:tcPr>
            <w:tcW w:w="2140" w:type="dxa"/>
            <w:tcBorders>
              <w:top w:val="nil"/>
              <w:left w:val="single" w:sz="8" w:space="0" w:color="auto"/>
              <w:bottom w:val="single" w:sz="4" w:space="0" w:color="auto"/>
              <w:right w:val="nil"/>
            </w:tcBorders>
            <w:shd w:val="clear" w:color="auto" w:fill="auto"/>
            <w:noWrap/>
            <w:vAlign w:val="bottom"/>
            <w:hideMark/>
          </w:tcPr>
          <w:p w14:paraId="197EE4B3" w14:textId="63EB1B2D" w:rsidR="00094B83" w:rsidRPr="00BE35ED" w:rsidRDefault="00094B83" w:rsidP="00C24FD3">
            <w:pPr>
              <w:rPr>
                <w:rFonts w:ascii="Arial" w:hAnsi="Arial" w:cs="Arial"/>
                <w:bCs/>
                <w:color w:val="000000"/>
                <w:lang w:val="en-GB"/>
              </w:rPr>
            </w:pPr>
            <w:r w:rsidRPr="00BE35ED">
              <w:rPr>
                <w:rFonts w:ascii="Arial" w:hAnsi="Arial" w:cs="Arial"/>
                <w:bCs/>
                <w:color w:val="000000"/>
                <w:lang w:val="en-GB"/>
              </w:rPr>
              <w:t xml:space="preserve">Pressure </w:t>
            </w:r>
            <w:r w:rsidR="00C24FD3">
              <w:rPr>
                <w:rFonts w:ascii="Arial" w:hAnsi="Arial" w:cs="Arial"/>
                <w:bCs/>
                <w:color w:val="000000"/>
                <w:lang w:val="en-GB"/>
              </w:rPr>
              <w:t>C</w:t>
            </w:r>
            <w:r w:rsidR="00C24FD3" w:rsidRPr="00BE35ED">
              <w:rPr>
                <w:rFonts w:ascii="Arial" w:hAnsi="Arial" w:cs="Arial"/>
                <w:bCs/>
                <w:color w:val="000000"/>
                <w:lang w:val="en-GB"/>
              </w:rPr>
              <w:t>ooker</w:t>
            </w:r>
          </w:p>
        </w:tc>
        <w:tc>
          <w:tcPr>
            <w:tcW w:w="889" w:type="dxa"/>
            <w:tcBorders>
              <w:top w:val="nil"/>
              <w:left w:val="single" w:sz="8" w:space="0" w:color="auto"/>
              <w:bottom w:val="single" w:sz="4" w:space="0" w:color="auto"/>
              <w:right w:val="single" w:sz="8" w:space="0" w:color="auto"/>
            </w:tcBorders>
            <w:shd w:val="clear" w:color="auto" w:fill="auto"/>
            <w:noWrap/>
            <w:vAlign w:val="bottom"/>
            <w:hideMark/>
          </w:tcPr>
          <w:p w14:paraId="341872B5" w14:textId="77777777" w:rsidR="00094B83" w:rsidRPr="00BE35ED" w:rsidRDefault="00094B83" w:rsidP="009563E1">
            <w:pPr>
              <w:jc w:val="right"/>
              <w:rPr>
                <w:rFonts w:ascii="Arial" w:hAnsi="Arial" w:cs="Arial"/>
                <w:color w:val="000000"/>
                <w:lang w:val="en-GB"/>
              </w:rPr>
            </w:pPr>
            <w:r w:rsidRPr="00BE35ED">
              <w:rPr>
                <w:rFonts w:ascii="Arial" w:hAnsi="Arial" w:cs="Arial"/>
                <w:color w:val="000000"/>
                <w:lang w:val="en-GB"/>
              </w:rPr>
              <w:t>899</w:t>
            </w:r>
          </w:p>
        </w:tc>
        <w:tc>
          <w:tcPr>
            <w:tcW w:w="1011" w:type="dxa"/>
            <w:tcBorders>
              <w:top w:val="nil"/>
              <w:left w:val="nil"/>
              <w:bottom w:val="single" w:sz="4" w:space="0" w:color="auto"/>
              <w:right w:val="single" w:sz="8" w:space="0" w:color="auto"/>
            </w:tcBorders>
            <w:shd w:val="clear" w:color="auto" w:fill="auto"/>
            <w:noWrap/>
            <w:vAlign w:val="bottom"/>
            <w:hideMark/>
          </w:tcPr>
          <w:p w14:paraId="28F54EC4" w14:textId="4C7525A7" w:rsidR="00094B83" w:rsidRPr="00BE35ED" w:rsidRDefault="00094B83" w:rsidP="009563E1">
            <w:pPr>
              <w:jc w:val="right"/>
              <w:rPr>
                <w:rFonts w:ascii="Arial" w:hAnsi="Arial" w:cs="Arial"/>
                <w:color w:val="000000"/>
                <w:lang w:val="en-GB"/>
              </w:rPr>
            </w:pPr>
            <w:r w:rsidRPr="00BE35ED">
              <w:rPr>
                <w:rFonts w:ascii="Arial" w:hAnsi="Arial" w:cs="Arial"/>
                <w:color w:val="000000"/>
                <w:lang w:val="en-GB"/>
              </w:rPr>
              <w:t>1</w:t>
            </w:r>
            <w:r w:rsidR="00350148">
              <w:rPr>
                <w:rFonts w:ascii="Arial" w:hAnsi="Arial" w:cs="Arial"/>
                <w:color w:val="000000"/>
                <w:lang w:val="en-GB"/>
              </w:rPr>
              <w:t>,</w:t>
            </w:r>
            <w:r w:rsidRPr="00BE35ED">
              <w:rPr>
                <w:rFonts w:ascii="Arial" w:hAnsi="Arial" w:cs="Arial"/>
                <w:color w:val="000000"/>
                <w:lang w:val="en-GB"/>
              </w:rPr>
              <w:t>499</w:t>
            </w:r>
          </w:p>
        </w:tc>
        <w:tc>
          <w:tcPr>
            <w:tcW w:w="990" w:type="dxa"/>
            <w:tcBorders>
              <w:top w:val="nil"/>
              <w:left w:val="nil"/>
              <w:bottom w:val="single" w:sz="4" w:space="0" w:color="auto"/>
              <w:right w:val="single" w:sz="8" w:space="0" w:color="auto"/>
            </w:tcBorders>
            <w:shd w:val="clear" w:color="auto" w:fill="auto"/>
            <w:noWrap/>
            <w:vAlign w:val="bottom"/>
            <w:hideMark/>
          </w:tcPr>
          <w:p w14:paraId="65DB73D7" w14:textId="350F09AD" w:rsidR="00094B83" w:rsidRPr="00BE35ED" w:rsidRDefault="00094B83" w:rsidP="009563E1">
            <w:pPr>
              <w:jc w:val="right"/>
              <w:rPr>
                <w:rFonts w:ascii="Arial" w:hAnsi="Arial" w:cs="Arial"/>
                <w:color w:val="000000"/>
                <w:lang w:val="en-GB"/>
              </w:rPr>
            </w:pPr>
            <w:r w:rsidRPr="00BE35ED">
              <w:rPr>
                <w:rFonts w:ascii="Arial" w:hAnsi="Arial" w:cs="Arial"/>
                <w:color w:val="000000"/>
                <w:lang w:val="en-GB"/>
              </w:rPr>
              <w:t>1</w:t>
            </w:r>
            <w:r w:rsidR="00350148">
              <w:rPr>
                <w:rFonts w:ascii="Arial" w:hAnsi="Arial" w:cs="Arial"/>
                <w:color w:val="000000"/>
                <w:lang w:val="en-GB"/>
              </w:rPr>
              <w:t>,</w:t>
            </w:r>
            <w:r w:rsidRPr="00BE35ED">
              <w:rPr>
                <w:rFonts w:ascii="Arial" w:hAnsi="Arial" w:cs="Arial"/>
                <w:color w:val="000000"/>
                <w:lang w:val="en-GB"/>
              </w:rPr>
              <w:t>199</w:t>
            </w:r>
          </w:p>
        </w:tc>
      </w:tr>
      <w:tr w:rsidR="00094B83" w:rsidRPr="00BE35ED" w14:paraId="7F0DE224" w14:textId="77777777" w:rsidTr="00A44688">
        <w:trPr>
          <w:trHeight w:val="56"/>
          <w:jc w:val="center"/>
        </w:trPr>
        <w:tc>
          <w:tcPr>
            <w:tcW w:w="2140" w:type="dxa"/>
            <w:tcBorders>
              <w:top w:val="nil"/>
              <w:left w:val="single" w:sz="8" w:space="0" w:color="auto"/>
              <w:bottom w:val="single" w:sz="8" w:space="0" w:color="auto"/>
              <w:right w:val="nil"/>
            </w:tcBorders>
            <w:shd w:val="clear" w:color="auto" w:fill="auto"/>
            <w:noWrap/>
            <w:vAlign w:val="bottom"/>
            <w:hideMark/>
          </w:tcPr>
          <w:p w14:paraId="7A2FD532" w14:textId="154DE929" w:rsidR="00094B83" w:rsidRPr="00BE35ED" w:rsidRDefault="00094B83" w:rsidP="00C24FD3">
            <w:pPr>
              <w:rPr>
                <w:rFonts w:ascii="Arial" w:hAnsi="Arial" w:cs="Arial"/>
                <w:bCs/>
                <w:color w:val="000000"/>
                <w:lang w:val="en-GB"/>
              </w:rPr>
            </w:pPr>
            <w:r w:rsidRPr="00BE35ED">
              <w:rPr>
                <w:rFonts w:ascii="Arial" w:hAnsi="Arial" w:cs="Arial"/>
                <w:bCs/>
                <w:color w:val="000000"/>
                <w:lang w:val="en-GB"/>
              </w:rPr>
              <w:t xml:space="preserve">Ceramic Pan </w:t>
            </w:r>
            <w:r w:rsidR="00C24FD3">
              <w:rPr>
                <w:rFonts w:ascii="Arial" w:hAnsi="Arial" w:cs="Arial"/>
                <w:bCs/>
                <w:color w:val="000000"/>
                <w:lang w:val="en-GB"/>
              </w:rPr>
              <w:t>C</w:t>
            </w:r>
            <w:r w:rsidR="00C24FD3" w:rsidRPr="00BE35ED">
              <w:rPr>
                <w:rFonts w:ascii="Arial" w:hAnsi="Arial" w:cs="Arial"/>
                <w:bCs/>
                <w:color w:val="000000"/>
                <w:lang w:val="en-GB"/>
              </w:rPr>
              <w:t>ombo</w:t>
            </w:r>
          </w:p>
        </w:tc>
        <w:tc>
          <w:tcPr>
            <w:tcW w:w="889" w:type="dxa"/>
            <w:tcBorders>
              <w:top w:val="nil"/>
              <w:left w:val="single" w:sz="8" w:space="0" w:color="auto"/>
              <w:bottom w:val="single" w:sz="8" w:space="0" w:color="auto"/>
              <w:right w:val="single" w:sz="8" w:space="0" w:color="auto"/>
            </w:tcBorders>
            <w:shd w:val="clear" w:color="auto" w:fill="auto"/>
            <w:noWrap/>
            <w:vAlign w:val="bottom"/>
            <w:hideMark/>
          </w:tcPr>
          <w:p w14:paraId="1812E537" w14:textId="598BB9E4" w:rsidR="00094B83" w:rsidRPr="00BE35ED" w:rsidRDefault="00094B83" w:rsidP="009563E1">
            <w:pPr>
              <w:jc w:val="right"/>
              <w:rPr>
                <w:rFonts w:ascii="Arial" w:hAnsi="Arial" w:cs="Arial"/>
                <w:color w:val="000000"/>
                <w:lang w:val="en-GB"/>
              </w:rPr>
            </w:pPr>
            <w:r w:rsidRPr="00BE35ED">
              <w:rPr>
                <w:rFonts w:ascii="Arial" w:hAnsi="Arial" w:cs="Arial"/>
                <w:color w:val="000000"/>
                <w:lang w:val="en-GB"/>
              </w:rPr>
              <w:t>1</w:t>
            </w:r>
            <w:r w:rsidR="00350148">
              <w:rPr>
                <w:rFonts w:ascii="Arial" w:hAnsi="Arial" w:cs="Arial"/>
                <w:color w:val="000000"/>
                <w:lang w:val="en-GB"/>
              </w:rPr>
              <w:t>,</w:t>
            </w:r>
            <w:r w:rsidRPr="00BE35ED">
              <w:rPr>
                <w:rFonts w:ascii="Arial" w:hAnsi="Arial" w:cs="Arial"/>
                <w:color w:val="000000"/>
                <w:lang w:val="en-GB"/>
              </w:rPr>
              <w:t>299</w:t>
            </w:r>
          </w:p>
        </w:tc>
        <w:tc>
          <w:tcPr>
            <w:tcW w:w="1011" w:type="dxa"/>
            <w:tcBorders>
              <w:top w:val="nil"/>
              <w:left w:val="nil"/>
              <w:bottom w:val="single" w:sz="8" w:space="0" w:color="auto"/>
              <w:right w:val="single" w:sz="8" w:space="0" w:color="auto"/>
            </w:tcBorders>
            <w:shd w:val="clear" w:color="auto" w:fill="auto"/>
            <w:noWrap/>
            <w:vAlign w:val="bottom"/>
            <w:hideMark/>
          </w:tcPr>
          <w:p w14:paraId="27F020CF" w14:textId="606758D6" w:rsidR="00094B83" w:rsidRPr="00BE35ED" w:rsidRDefault="00094B83" w:rsidP="009563E1">
            <w:pPr>
              <w:jc w:val="right"/>
              <w:rPr>
                <w:rFonts w:ascii="Arial" w:hAnsi="Arial" w:cs="Arial"/>
                <w:color w:val="000000"/>
                <w:lang w:val="en-GB"/>
              </w:rPr>
            </w:pPr>
            <w:r w:rsidRPr="00BE35ED">
              <w:rPr>
                <w:rFonts w:ascii="Arial" w:hAnsi="Arial" w:cs="Arial"/>
                <w:color w:val="000000"/>
                <w:lang w:val="en-GB"/>
              </w:rPr>
              <w:t>2</w:t>
            </w:r>
            <w:r w:rsidR="00350148">
              <w:rPr>
                <w:rFonts w:ascii="Arial" w:hAnsi="Arial" w:cs="Arial"/>
                <w:color w:val="000000"/>
                <w:lang w:val="en-GB"/>
              </w:rPr>
              <w:t>,</w:t>
            </w:r>
            <w:r w:rsidRPr="00BE35ED">
              <w:rPr>
                <w:rFonts w:ascii="Arial" w:hAnsi="Arial" w:cs="Arial"/>
                <w:color w:val="000000"/>
                <w:lang w:val="en-GB"/>
              </w:rPr>
              <w:t>699</w:t>
            </w:r>
          </w:p>
        </w:tc>
        <w:tc>
          <w:tcPr>
            <w:tcW w:w="990" w:type="dxa"/>
            <w:tcBorders>
              <w:top w:val="nil"/>
              <w:left w:val="nil"/>
              <w:bottom w:val="single" w:sz="8" w:space="0" w:color="auto"/>
              <w:right w:val="single" w:sz="8" w:space="0" w:color="auto"/>
            </w:tcBorders>
            <w:shd w:val="clear" w:color="auto" w:fill="auto"/>
            <w:noWrap/>
            <w:vAlign w:val="bottom"/>
            <w:hideMark/>
          </w:tcPr>
          <w:p w14:paraId="42277705" w14:textId="4532485E" w:rsidR="00094B83" w:rsidRPr="00BE35ED" w:rsidRDefault="00094B83" w:rsidP="009563E1">
            <w:pPr>
              <w:jc w:val="right"/>
              <w:rPr>
                <w:rFonts w:ascii="Arial" w:hAnsi="Arial" w:cs="Arial"/>
                <w:color w:val="000000"/>
                <w:lang w:val="en-GB"/>
              </w:rPr>
            </w:pPr>
            <w:r w:rsidRPr="00BE35ED">
              <w:rPr>
                <w:rFonts w:ascii="Arial" w:hAnsi="Arial" w:cs="Arial"/>
                <w:color w:val="000000"/>
                <w:lang w:val="en-GB"/>
              </w:rPr>
              <w:t>1</w:t>
            </w:r>
            <w:r w:rsidR="00350148">
              <w:rPr>
                <w:rFonts w:ascii="Arial" w:hAnsi="Arial" w:cs="Arial"/>
                <w:color w:val="000000"/>
                <w:lang w:val="en-GB"/>
              </w:rPr>
              <w:t>,</w:t>
            </w:r>
            <w:r w:rsidRPr="00BE35ED">
              <w:rPr>
                <w:rFonts w:ascii="Arial" w:hAnsi="Arial" w:cs="Arial"/>
                <w:color w:val="000000"/>
                <w:lang w:val="en-GB"/>
              </w:rPr>
              <w:t>699</w:t>
            </w:r>
          </w:p>
        </w:tc>
      </w:tr>
    </w:tbl>
    <w:p w14:paraId="0CF40D06" w14:textId="77777777" w:rsidR="000E04AD" w:rsidRDefault="000E04AD" w:rsidP="000E04AD">
      <w:pPr>
        <w:pStyle w:val="Footnote"/>
        <w:rPr>
          <w:lang w:val="en-GB"/>
        </w:rPr>
      </w:pPr>
    </w:p>
    <w:p w14:paraId="5577D390" w14:textId="73B577FC" w:rsidR="00492EB9" w:rsidRDefault="00492EB9" w:rsidP="000E04AD">
      <w:pPr>
        <w:pStyle w:val="Footnote"/>
      </w:pPr>
      <w:r>
        <w:rPr>
          <w:lang w:val="en-GB"/>
        </w:rPr>
        <w:t xml:space="preserve">Note: </w:t>
      </w:r>
      <w:r>
        <w:t>₹ = INR = Indian rupee; US$1= ₹63 on February 15, 2015.</w:t>
      </w:r>
    </w:p>
    <w:p w14:paraId="488B0140" w14:textId="38F21E7E" w:rsidR="00957DCC" w:rsidRPr="00BE35ED" w:rsidRDefault="00492EB9" w:rsidP="000E04AD">
      <w:pPr>
        <w:pStyle w:val="Footnote"/>
        <w:rPr>
          <w:lang w:val="en-GB"/>
        </w:rPr>
      </w:pPr>
      <w:r>
        <w:rPr>
          <w:lang w:val="en-GB"/>
        </w:rPr>
        <w:t xml:space="preserve">Source: </w:t>
      </w:r>
      <w:r w:rsidR="000E04AD">
        <w:rPr>
          <w:lang w:val="en-GB"/>
        </w:rPr>
        <w:t>Company records.</w:t>
      </w:r>
      <w:bookmarkStart w:id="0" w:name="_GoBack"/>
      <w:bookmarkEnd w:id="0"/>
    </w:p>
    <w:sectPr w:rsidR="00957DCC" w:rsidRPr="00BE35ED"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C1C65" w14:textId="77777777" w:rsidR="002F75E6" w:rsidRDefault="002F75E6" w:rsidP="00D75295">
      <w:r>
        <w:separator/>
      </w:r>
    </w:p>
  </w:endnote>
  <w:endnote w:type="continuationSeparator" w:id="0">
    <w:p w14:paraId="0FDB3EA5" w14:textId="77777777" w:rsidR="002F75E6" w:rsidRDefault="002F75E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DFAEA" w14:textId="77777777" w:rsidR="002F75E6" w:rsidRDefault="002F75E6" w:rsidP="00D75295">
      <w:r>
        <w:separator/>
      </w:r>
    </w:p>
  </w:footnote>
  <w:footnote w:type="continuationSeparator" w:id="0">
    <w:p w14:paraId="6D4F3181" w14:textId="77777777" w:rsidR="002F75E6" w:rsidRDefault="002F75E6" w:rsidP="00D75295">
      <w:r>
        <w:continuationSeparator/>
      </w:r>
    </w:p>
  </w:footnote>
  <w:footnote w:id="1">
    <w:p w14:paraId="4FFE2D5D" w14:textId="2CBCF73C" w:rsidR="002F75E6" w:rsidRPr="00EC1677" w:rsidRDefault="002F75E6" w:rsidP="00606A2A">
      <w:pPr>
        <w:pStyle w:val="Footnote"/>
        <w:rPr>
          <w:lang w:val="en-IN"/>
        </w:rPr>
      </w:pPr>
      <w:r w:rsidRPr="008C0443">
        <w:rPr>
          <w:rStyle w:val="FootnoteReference"/>
        </w:rPr>
        <w:footnoteRef/>
      </w:r>
      <w:r>
        <w:t xml:space="preserve"> ₹ = INR = Indian rupee; US$1= ₹63 on February 15, 2015. </w:t>
      </w:r>
    </w:p>
  </w:footnote>
  <w:footnote w:id="2">
    <w:p w14:paraId="651F2984" w14:textId="1D00D5D9" w:rsidR="002F75E6" w:rsidRDefault="002F75E6" w:rsidP="00606A2A">
      <w:pPr>
        <w:pStyle w:val="Footnote"/>
      </w:pPr>
      <w:r w:rsidRPr="008C0443">
        <w:rPr>
          <w:rStyle w:val="FootnoteReference"/>
        </w:rPr>
        <w:footnoteRef/>
      </w:r>
      <w:r>
        <w:t xml:space="preserve"> In India, the financial year began on April 1 and ended on March 31.</w:t>
      </w:r>
    </w:p>
  </w:footnote>
  <w:footnote w:id="3">
    <w:p w14:paraId="652D662A" w14:textId="43945368" w:rsidR="002F75E6" w:rsidRDefault="002F75E6" w:rsidP="00D20175">
      <w:pPr>
        <w:pStyle w:val="Footnote"/>
      </w:pPr>
      <w:r w:rsidRPr="008C0443">
        <w:rPr>
          <w:rStyle w:val="FootnoteReference"/>
        </w:rPr>
        <w:footnoteRef/>
      </w:r>
      <w:r>
        <w:t xml:space="preserve"> “About </w:t>
      </w:r>
      <w:proofErr w:type="gramStart"/>
      <w:r>
        <w:t>Us</w:t>
      </w:r>
      <w:proofErr w:type="gramEnd"/>
      <w:r>
        <w:t xml:space="preserve">,” </w:t>
      </w:r>
      <w:proofErr w:type="spellStart"/>
      <w:r>
        <w:t>Stovekraft</w:t>
      </w:r>
      <w:proofErr w:type="spellEnd"/>
      <w:r>
        <w:t xml:space="preserve">, accessed February 3, 2017, </w:t>
      </w:r>
      <w:r w:rsidRPr="00486859">
        <w:t>https://www.stovekraft.com/aboutus</w:t>
      </w:r>
      <w:r>
        <w:t>.</w:t>
      </w:r>
    </w:p>
  </w:footnote>
  <w:footnote w:id="4">
    <w:p w14:paraId="56CAB201" w14:textId="2C508430" w:rsidR="002F75E6" w:rsidRPr="00486859" w:rsidRDefault="002F75E6" w:rsidP="00486859">
      <w:pPr>
        <w:pStyle w:val="Footnote"/>
      </w:pPr>
      <w:r>
        <w:rPr>
          <w:rStyle w:val="FootnoteReference"/>
        </w:rPr>
        <w:footnoteRef/>
      </w:r>
      <w:r>
        <w:t xml:space="preserve"> “About,” TTK Prestige </w:t>
      </w:r>
      <w:proofErr w:type="gramStart"/>
      <w:r>
        <w:t>Limited,</w:t>
      </w:r>
      <w:proofErr w:type="gramEnd"/>
      <w:r>
        <w:t xml:space="preserve"> accessed February 3, 2017, </w:t>
      </w:r>
      <w:r w:rsidRPr="00486859">
        <w:t>www.ttkprestige.com/about/ttk-group</w:t>
      </w:r>
      <w:r>
        <w:t>.</w:t>
      </w:r>
    </w:p>
  </w:footnote>
  <w:footnote w:id="5">
    <w:p w14:paraId="252A3334" w14:textId="1F76B2D3" w:rsidR="002F75E6" w:rsidRPr="00486859" w:rsidRDefault="002F75E6" w:rsidP="00486859">
      <w:pPr>
        <w:pStyle w:val="Footnote"/>
      </w:pPr>
      <w:r>
        <w:rPr>
          <w:rStyle w:val="FootnoteReference"/>
        </w:rPr>
        <w:footnoteRef/>
      </w:r>
      <w:r>
        <w:t xml:space="preserve">“About </w:t>
      </w:r>
      <w:proofErr w:type="gramStart"/>
      <w:r>
        <w:t>Us</w:t>
      </w:r>
      <w:proofErr w:type="gramEnd"/>
      <w:r>
        <w:t xml:space="preserve">,” </w:t>
      </w:r>
      <w:proofErr w:type="spellStart"/>
      <w:r>
        <w:t>Betterfly</w:t>
      </w:r>
      <w:proofErr w:type="spellEnd"/>
      <w:r>
        <w:t xml:space="preserve"> </w:t>
      </w:r>
      <w:proofErr w:type="spellStart"/>
      <w:r>
        <w:t>Gandhimathi</w:t>
      </w:r>
      <w:proofErr w:type="spellEnd"/>
      <w:r>
        <w:t xml:space="preserve"> Appliances Limited, accessed February 3, 2017, </w:t>
      </w:r>
      <w:r w:rsidRPr="00486859">
        <w:t>www.butterflyindia.com/about-us/corporate-profile/</w:t>
      </w:r>
      <w:r>
        <w:t>.</w:t>
      </w:r>
    </w:p>
  </w:footnote>
  <w:footnote w:id="6">
    <w:p w14:paraId="54FAF855" w14:textId="4C5032A6" w:rsidR="002F75E6" w:rsidRPr="00486859" w:rsidRDefault="002F75E6" w:rsidP="00486859">
      <w:pPr>
        <w:pStyle w:val="Footnote"/>
      </w:pPr>
      <w:r>
        <w:rPr>
          <w:rStyle w:val="FootnoteReference"/>
        </w:rPr>
        <w:footnoteRef/>
      </w:r>
      <w:r>
        <w:t xml:space="preserve"> “About V-Guard,” V-Guard Industries Ltd</w:t>
      </w:r>
      <w:proofErr w:type="gramStart"/>
      <w:r>
        <w:t>.,</w:t>
      </w:r>
      <w:proofErr w:type="gramEnd"/>
      <w:r>
        <w:t xml:space="preserve"> accessed February 3, 2017, </w:t>
      </w:r>
      <w:r w:rsidRPr="00486859">
        <w:t>www.vguard.in/about-us/story</w:t>
      </w:r>
      <w:r>
        <w:t>.</w:t>
      </w:r>
    </w:p>
  </w:footnote>
  <w:footnote w:id="7">
    <w:p w14:paraId="1079E7C1" w14:textId="5BD1CDEA" w:rsidR="002F75E6" w:rsidRPr="00486859" w:rsidRDefault="002F75E6" w:rsidP="00486859">
      <w:pPr>
        <w:pStyle w:val="Footnote"/>
      </w:pPr>
      <w:r>
        <w:rPr>
          <w:rStyle w:val="FootnoteReference"/>
        </w:rPr>
        <w:footnoteRef/>
      </w:r>
      <w:r>
        <w:t xml:space="preserve"> “History of Bajaj Electricals,” Bajaj Electricals Limited, accessed February 3, 2017, </w:t>
      </w:r>
      <w:r w:rsidRPr="00486859">
        <w:t>http://bajajelectricals.com/history.aspx</w:t>
      </w:r>
      <w:r>
        <w:t xml:space="preserve">. </w:t>
      </w:r>
    </w:p>
  </w:footnote>
  <w:footnote w:id="8">
    <w:p w14:paraId="4E84EA70" w14:textId="78F0CBC7" w:rsidR="002F75E6" w:rsidRDefault="002F75E6" w:rsidP="00606A2A">
      <w:pPr>
        <w:pStyle w:val="Footnote"/>
      </w:pPr>
      <w:r w:rsidRPr="008C0443">
        <w:rPr>
          <w:rStyle w:val="FootnoteReference"/>
        </w:rPr>
        <w:footnoteRef/>
      </w:r>
      <w:r>
        <w:t xml:space="preserve"> The Reader’s Offer </w:t>
      </w:r>
      <w:proofErr w:type="gramStart"/>
      <w:r>
        <w:t>was positioned</w:t>
      </w:r>
      <w:proofErr w:type="gramEnd"/>
      <w:r>
        <w:t xml:space="preserve"> as a special offer exclusively available to readers of the </w:t>
      </w:r>
      <w:r>
        <w:rPr>
          <w:i/>
        </w:rPr>
        <w:t xml:space="preserve">Times of India </w:t>
      </w:r>
      <w:r>
        <w:t xml:space="preserve">newspaper. </w:t>
      </w:r>
    </w:p>
  </w:footnote>
  <w:footnote w:id="9">
    <w:p w14:paraId="5C22BB74" w14:textId="69B5B6CC" w:rsidR="002F75E6" w:rsidRDefault="002F75E6" w:rsidP="00606A2A">
      <w:pPr>
        <w:pStyle w:val="Footnote"/>
      </w:pPr>
      <w:r w:rsidRPr="008C0443">
        <w:rPr>
          <w:rStyle w:val="FootnoteReference"/>
        </w:rPr>
        <w:footnoteRef/>
      </w:r>
      <w:r>
        <w:t xml:space="preserve"> </w:t>
      </w:r>
      <w:proofErr w:type="gramStart"/>
      <w:r>
        <w:t>This infrastructure was managed by India Times, a division of the Times of India group, which provided an online portal, e-commerce, and home shopping as channels for marketers</w:t>
      </w:r>
      <w:proofErr w:type="gram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0336C" w14:textId="3E5978F2" w:rsidR="002F75E6" w:rsidRDefault="002F75E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3281D">
      <w:rPr>
        <w:rFonts w:ascii="Arial" w:hAnsi="Arial"/>
        <w:b/>
        <w:noProof/>
      </w:rPr>
      <w:t>11</w:t>
    </w:r>
    <w:r>
      <w:rPr>
        <w:rFonts w:ascii="Arial" w:hAnsi="Arial"/>
        <w:b/>
      </w:rPr>
      <w:fldChar w:fldCharType="end"/>
    </w:r>
    <w:r>
      <w:rPr>
        <w:rFonts w:ascii="Arial" w:hAnsi="Arial"/>
        <w:b/>
      </w:rPr>
      <w:tab/>
      <w:t>9B17A</w:t>
    </w:r>
    <w:r w:rsidR="004A5CAC">
      <w:rPr>
        <w:rFonts w:ascii="Arial" w:hAnsi="Arial"/>
        <w:b/>
      </w:rPr>
      <w:t>010</w:t>
    </w:r>
  </w:p>
  <w:p w14:paraId="0C01B3F8" w14:textId="77777777" w:rsidR="002F75E6" w:rsidRPr="00C92CC4" w:rsidRDefault="002F75E6">
    <w:pPr>
      <w:pStyle w:val="Header"/>
      <w:rPr>
        <w:sz w:val="18"/>
        <w:szCs w:val="18"/>
      </w:rPr>
    </w:pPr>
  </w:p>
  <w:p w14:paraId="3861DCC7" w14:textId="77777777" w:rsidR="002F75E6" w:rsidRPr="00C92CC4" w:rsidRDefault="002F75E6">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03642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9A0462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884FDA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DCE7BD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D808E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56CA5C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34A224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A09C0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E6430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E5CF2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8B47A9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60485"/>
    <w:multiLevelType w:val="hybridMultilevel"/>
    <w:tmpl w:val="1902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2023D"/>
    <w:multiLevelType w:val="hybridMultilevel"/>
    <w:tmpl w:val="37E8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55D61"/>
    <w:multiLevelType w:val="hybridMultilevel"/>
    <w:tmpl w:val="5BC4F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D61E96"/>
    <w:multiLevelType w:val="hybridMultilevel"/>
    <w:tmpl w:val="3304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4"/>
  </w:num>
  <w:num w:numId="4">
    <w:abstractNumId w:val="12"/>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63040"/>
    <w:rsid w:val="000662FE"/>
    <w:rsid w:val="00066622"/>
    <w:rsid w:val="0008102D"/>
    <w:rsid w:val="00093CCB"/>
    <w:rsid w:val="00094B83"/>
    <w:rsid w:val="00094C0E"/>
    <w:rsid w:val="00095B98"/>
    <w:rsid w:val="000A043D"/>
    <w:rsid w:val="000A1885"/>
    <w:rsid w:val="000B2760"/>
    <w:rsid w:val="000B3978"/>
    <w:rsid w:val="000E04AD"/>
    <w:rsid w:val="000F0C22"/>
    <w:rsid w:val="000F1C26"/>
    <w:rsid w:val="000F5A92"/>
    <w:rsid w:val="000F6B09"/>
    <w:rsid w:val="000F6FDC"/>
    <w:rsid w:val="00102991"/>
    <w:rsid w:val="00104567"/>
    <w:rsid w:val="00123105"/>
    <w:rsid w:val="0012732D"/>
    <w:rsid w:val="001375E1"/>
    <w:rsid w:val="00154FC9"/>
    <w:rsid w:val="00166CD9"/>
    <w:rsid w:val="001671D6"/>
    <w:rsid w:val="001700DE"/>
    <w:rsid w:val="001825B2"/>
    <w:rsid w:val="0018753E"/>
    <w:rsid w:val="0019241A"/>
    <w:rsid w:val="001A5335"/>
    <w:rsid w:val="001A752D"/>
    <w:rsid w:val="001D25B1"/>
    <w:rsid w:val="001E59F6"/>
    <w:rsid w:val="001F5D84"/>
    <w:rsid w:val="001F5F8B"/>
    <w:rsid w:val="00203AA1"/>
    <w:rsid w:val="002075C4"/>
    <w:rsid w:val="002122F5"/>
    <w:rsid w:val="00213E98"/>
    <w:rsid w:val="0022203B"/>
    <w:rsid w:val="00225B04"/>
    <w:rsid w:val="002273D0"/>
    <w:rsid w:val="002362E7"/>
    <w:rsid w:val="002374A9"/>
    <w:rsid w:val="00254A10"/>
    <w:rsid w:val="00255759"/>
    <w:rsid w:val="00261612"/>
    <w:rsid w:val="00262C4A"/>
    <w:rsid w:val="0027247F"/>
    <w:rsid w:val="00297A73"/>
    <w:rsid w:val="002B08D6"/>
    <w:rsid w:val="002B15CE"/>
    <w:rsid w:val="002C1D9A"/>
    <w:rsid w:val="002C68D2"/>
    <w:rsid w:val="002E0456"/>
    <w:rsid w:val="002E32F0"/>
    <w:rsid w:val="002E4A09"/>
    <w:rsid w:val="002F460C"/>
    <w:rsid w:val="002F48D6"/>
    <w:rsid w:val="002F75E6"/>
    <w:rsid w:val="00301C33"/>
    <w:rsid w:val="00315129"/>
    <w:rsid w:val="003173FB"/>
    <w:rsid w:val="00333617"/>
    <w:rsid w:val="00337213"/>
    <w:rsid w:val="00340D0E"/>
    <w:rsid w:val="00350148"/>
    <w:rsid w:val="00354899"/>
    <w:rsid w:val="00355FD6"/>
    <w:rsid w:val="00361C8E"/>
    <w:rsid w:val="00364A5C"/>
    <w:rsid w:val="00364B10"/>
    <w:rsid w:val="00365D4F"/>
    <w:rsid w:val="00373FB1"/>
    <w:rsid w:val="00385346"/>
    <w:rsid w:val="003950AE"/>
    <w:rsid w:val="003B30D8"/>
    <w:rsid w:val="003B3D71"/>
    <w:rsid w:val="003B7EF2"/>
    <w:rsid w:val="003C3FA4"/>
    <w:rsid w:val="003C6106"/>
    <w:rsid w:val="003C628D"/>
    <w:rsid w:val="003D0C07"/>
    <w:rsid w:val="003F2B0C"/>
    <w:rsid w:val="00401B4A"/>
    <w:rsid w:val="00417D13"/>
    <w:rsid w:val="004221E4"/>
    <w:rsid w:val="004308D9"/>
    <w:rsid w:val="00452083"/>
    <w:rsid w:val="0046411A"/>
    <w:rsid w:val="00471088"/>
    <w:rsid w:val="00483AF9"/>
    <w:rsid w:val="00486859"/>
    <w:rsid w:val="00492EB9"/>
    <w:rsid w:val="004A5CAC"/>
    <w:rsid w:val="004B1CCB"/>
    <w:rsid w:val="004D73A5"/>
    <w:rsid w:val="004E2549"/>
    <w:rsid w:val="004E3AFD"/>
    <w:rsid w:val="004E3BD1"/>
    <w:rsid w:val="00507B8D"/>
    <w:rsid w:val="0051486E"/>
    <w:rsid w:val="00527E78"/>
    <w:rsid w:val="0053208A"/>
    <w:rsid w:val="00532CF5"/>
    <w:rsid w:val="005358F9"/>
    <w:rsid w:val="005444C1"/>
    <w:rsid w:val="00551FA1"/>
    <w:rsid w:val="005528CB"/>
    <w:rsid w:val="00553DE1"/>
    <w:rsid w:val="005609EE"/>
    <w:rsid w:val="00566771"/>
    <w:rsid w:val="00581E2E"/>
    <w:rsid w:val="00584F15"/>
    <w:rsid w:val="00597390"/>
    <w:rsid w:val="005A0015"/>
    <w:rsid w:val="005D2D25"/>
    <w:rsid w:val="005D32FD"/>
    <w:rsid w:val="005E3D49"/>
    <w:rsid w:val="005E6024"/>
    <w:rsid w:val="00606A2A"/>
    <w:rsid w:val="006163F7"/>
    <w:rsid w:val="006338EB"/>
    <w:rsid w:val="00652606"/>
    <w:rsid w:val="0066643B"/>
    <w:rsid w:val="00682754"/>
    <w:rsid w:val="0068528C"/>
    <w:rsid w:val="00687440"/>
    <w:rsid w:val="00693731"/>
    <w:rsid w:val="0069529B"/>
    <w:rsid w:val="006A58A9"/>
    <w:rsid w:val="006A606D"/>
    <w:rsid w:val="006B11F2"/>
    <w:rsid w:val="006B633D"/>
    <w:rsid w:val="006B7F7A"/>
    <w:rsid w:val="006C0371"/>
    <w:rsid w:val="006C08B6"/>
    <w:rsid w:val="006C0B1A"/>
    <w:rsid w:val="006C4384"/>
    <w:rsid w:val="006C6065"/>
    <w:rsid w:val="006C7F9F"/>
    <w:rsid w:val="006E2F6D"/>
    <w:rsid w:val="006E522A"/>
    <w:rsid w:val="006E588C"/>
    <w:rsid w:val="006E58F6"/>
    <w:rsid w:val="006E77E1"/>
    <w:rsid w:val="006F131D"/>
    <w:rsid w:val="006F1D9E"/>
    <w:rsid w:val="00706242"/>
    <w:rsid w:val="007323DF"/>
    <w:rsid w:val="0073257F"/>
    <w:rsid w:val="0073281D"/>
    <w:rsid w:val="00752BCD"/>
    <w:rsid w:val="00766CF1"/>
    <w:rsid w:val="00766DA1"/>
    <w:rsid w:val="00772175"/>
    <w:rsid w:val="00783032"/>
    <w:rsid w:val="00784BC2"/>
    <w:rsid w:val="007866A6"/>
    <w:rsid w:val="00787796"/>
    <w:rsid w:val="00787E6F"/>
    <w:rsid w:val="007964AA"/>
    <w:rsid w:val="007A130D"/>
    <w:rsid w:val="007B0906"/>
    <w:rsid w:val="007C7B5B"/>
    <w:rsid w:val="007D4102"/>
    <w:rsid w:val="007D786F"/>
    <w:rsid w:val="007E5921"/>
    <w:rsid w:val="007F2692"/>
    <w:rsid w:val="007F4D79"/>
    <w:rsid w:val="00810D5C"/>
    <w:rsid w:val="00817062"/>
    <w:rsid w:val="00821FFC"/>
    <w:rsid w:val="0082546C"/>
    <w:rsid w:val="008271CA"/>
    <w:rsid w:val="00827D68"/>
    <w:rsid w:val="008331F8"/>
    <w:rsid w:val="008337E3"/>
    <w:rsid w:val="00835B59"/>
    <w:rsid w:val="008467D5"/>
    <w:rsid w:val="00856D9F"/>
    <w:rsid w:val="00866F6D"/>
    <w:rsid w:val="0088174F"/>
    <w:rsid w:val="00893E23"/>
    <w:rsid w:val="008A2AE8"/>
    <w:rsid w:val="008A4DC4"/>
    <w:rsid w:val="008A50CB"/>
    <w:rsid w:val="008B679E"/>
    <w:rsid w:val="008C1400"/>
    <w:rsid w:val="008C7C6F"/>
    <w:rsid w:val="008D437B"/>
    <w:rsid w:val="008D45E8"/>
    <w:rsid w:val="008F1C41"/>
    <w:rsid w:val="008F4EF1"/>
    <w:rsid w:val="00905EF3"/>
    <w:rsid w:val="0090607C"/>
    <w:rsid w:val="009067A4"/>
    <w:rsid w:val="00906983"/>
    <w:rsid w:val="0090722E"/>
    <w:rsid w:val="00916046"/>
    <w:rsid w:val="0093207B"/>
    <w:rsid w:val="009340DB"/>
    <w:rsid w:val="00936ECF"/>
    <w:rsid w:val="00943B2F"/>
    <w:rsid w:val="00945F9E"/>
    <w:rsid w:val="009563E1"/>
    <w:rsid w:val="00957DCC"/>
    <w:rsid w:val="00972498"/>
    <w:rsid w:val="00972563"/>
    <w:rsid w:val="00973FBC"/>
    <w:rsid w:val="00974CC6"/>
    <w:rsid w:val="009750EB"/>
    <w:rsid w:val="00976AD4"/>
    <w:rsid w:val="00977793"/>
    <w:rsid w:val="009933D6"/>
    <w:rsid w:val="00993EC7"/>
    <w:rsid w:val="009A312F"/>
    <w:rsid w:val="009A5348"/>
    <w:rsid w:val="009A67BB"/>
    <w:rsid w:val="009B135B"/>
    <w:rsid w:val="009B4421"/>
    <w:rsid w:val="009B4E89"/>
    <w:rsid w:val="009B686B"/>
    <w:rsid w:val="009C76D5"/>
    <w:rsid w:val="009D0B92"/>
    <w:rsid w:val="009D0F8A"/>
    <w:rsid w:val="009D3C74"/>
    <w:rsid w:val="009D4958"/>
    <w:rsid w:val="009E2875"/>
    <w:rsid w:val="009F7AA4"/>
    <w:rsid w:val="00A0109A"/>
    <w:rsid w:val="00A03FF9"/>
    <w:rsid w:val="00A2716E"/>
    <w:rsid w:val="00A44688"/>
    <w:rsid w:val="00A540A4"/>
    <w:rsid w:val="00A559DB"/>
    <w:rsid w:val="00A55F65"/>
    <w:rsid w:val="00A82D37"/>
    <w:rsid w:val="00A930C5"/>
    <w:rsid w:val="00A96D99"/>
    <w:rsid w:val="00A97496"/>
    <w:rsid w:val="00AA2E9A"/>
    <w:rsid w:val="00AA51F7"/>
    <w:rsid w:val="00AC0640"/>
    <w:rsid w:val="00AD4F41"/>
    <w:rsid w:val="00AE40CC"/>
    <w:rsid w:val="00AF35FC"/>
    <w:rsid w:val="00B00B3F"/>
    <w:rsid w:val="00B02E0A"/>
    <w:rsid w:val="00B03639"/>
    <w:rsid w:val="00B0652A"/>
    <w:rsid w:val="00B328E1"/>
    <w:rsid w:val="00B3757D"/>
    <w:rsid w:val="00B40937"/>
    <w:rsid w:val="00B423EF"/>
    <w:rsid w:val="00B44E6A"/>
    <w:rsid w:val="00B453DE"/>
    <w:rsid w:val="00B4742F"/>
    <w:rsid w:val="00B519FA"/>
    <w:rsid w:val="00B547A7"/>
    <w:rsid w:val="00B760B9"/>
    <w:rsid w:val="00B901F9"/>
    <w:rsid w:val="00BA630F"/>
    <w:rsid w:val="00BB1E41"/>
    <w:rsid w:val="00BD6EFB"/>
    <w:rsid w:val="00BE35ED"/>
    <w:rsid w:val="00C042C7"/>
    <w:rsid w:val="00C15BE2"/>
    <w:rsid w:val="00C22219"/>
    <w:rsid w:val="00C22A7D"/>
    <w:rsid w:val="00C239FE"/>
    <w:rsid w:val="00C24FD3"/>
    <w:rsid w:val="00C263FA"/>
    <w:rsid w:val="00C304C6"/>
    <w:rsid w:val="00C32F8D"/>
    <w:rsid w:val="00C3447F"/>
    <w:rsid w:val="00C364C9"/>
    <w:rsid w:val="00C43028"/>
    <w:rsid w:val="00C55761"/>
    <w:rsid w:val="00C5688E"/>
    <w:rsid w:val="00C70A5A"/>
    <w:rsid w:val="00C81491"/>
    <w:rsid w:val="00C81676"/>
    <w:rsid w:val="00C92CC4"/>
    <w:rsid w:val="00CA0AFB"/>
    <w:rsid w:val="00CA2CE1"/>
    <w:rsid w:val="00CA3976"/>
    <w:rsid w:val="00CA757B"/>
    <w:rsid w:val="00CB51EA"/>
    <w:rsid w:val="00CB6B09"/>
    <w:rsid w:val="00CB787B"/>
    <w:rsid w:val="00CC1787"/>
    <w:rsid w:val="00CC182C"/>
    <w:rsid w:val="00CC3A53"/>
    <w:rsid w:val="00CD0824"/>
    <w:rsid w:val="00CD093A"/>
    <w:rsid w:val="00CD2908"/>
    <w:rsid w:val="00CF2D91"/>
    <w:rsid w:val="00CF5DFE"/>
    <w:rsid w:val="00D004EA"/>
    <w:rsid w:val="00D03A82"/>
    <w:rsid w:val="00D03D52"/>
    <w:rsid w:val="00D03E56"/>
    <w:rsid w:val="00D1334B"/>
    <w:rsid w:val="00D15344"/>
    <w:rsid w:val="00D20175"/>
    <w:rsid w:val="00D30220"/>
    <w:rsid w:val="00D31BEC"/>
    <w:rsid w:val="00D424A5"/>
    <w:rsid w:val="00D472FD"/>
    <w:rsid w:val="00D553AE"/>
    <w:rsid w:val="00D63150"/>
    <w:rsid w:val="00D64A32"/>
    <w:rsid w:val="00D64EFC"/>
    <w:rsid w:val="00D75295"/>
    <w:rsid w:val="00D76CE9"/>
    <w:rsid w:val="00D7757F"/>
    <w:rsid w:val="00D81C49"/>
    <w:rsid w:val="00D95CD2"/>
    <w:rsid w:val="00D97F12"/>
    <w:rsid w:val="00DB42E7"/>
    <w:rsid w:val="00DB57DF"/>
    <w:rsid w:val="00DD3D2B"/>
    <w:rsid w:val="00DE54FF"/>
    <w:rsid w:val="00DF23AA"/>
    <w:rsid w:val="00DF32C2"/>
    <w:rsid w:val="00E20CE9"/>
    <w:rsid w:val="00E471A7"/>
    <w:rsid w:val="00E50BCB"/>
    <w:rsid w:val="00E61EB7"/>
    <w:rsid w:val="00E629A4"/>
    <w:rsid w:val="00E635CF"/>
    <w:rsid w:val="00E67D96"/>
    <w:rsid w:val="00E97874"/>
    <w:rsid w:val="00EB5410"/>
    <w:rsid w:val="00EC2993"/>
    <w:rsid w:val="00EC471C"/>
    <w:rsid w:val="00EC6E0A"/>
    <w:rsid w:val="00ED4E18"/>
    <w:rsid w:val="00EE1F37"/>
    <w:rsid w:val="00EE5C5D"/>
    <w:rsid w:val="00EF2B76"/>
    <w:rsid w:val="00F0159C"/>
    <w:rsid w:val="00F105B7"/>
    <w:rsid w:val="00F152C4"/>
    <w:rsid w:val="00F17A21"/>
    <w:rsid w:val="00F44150"/>
    <w:rsid w:val="00F4765B"/>
    <w:rsid w:val="00F50E91"/>
    <w:rsid w:val="00F57D29"/>
    <w:rsid w:val="00F80BB0"/>
    <w:rsid w:val="00F92A99"/>
    <w:rsid w:val="00F96201"/>
    <w:rsid w:val="00FA56D4"/>
    <w:rsid w:val="00FA6886"/>
    <w:rsid w:val="00FB33BC"/>
    <w:rsid w:val="00FB39B2"/>
    <w:rsid w:val="00FC30E9"/>
    <w:rsid w:val="00FC6440"/>
    <w:rsid w:val="00FC6A17"/>
    <w:rsid w:val="00FD0B18"/>
    <w:rsid w:val="00FD0F82"/>
    <w:rsid w:val="00FE0961"/>
    <w:rsid w:val="00FE3488"/>
    <w:rsid w:val="00FE4FFE"/>
    <w:rsid w:val="00FE714F"/>
    <w:rsid w:val="00FF3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F452319"/>
  <w15:docId w15:val="{DFAADC55-1F24-459B-8C7A-BB764E15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uiPriority w:val="1"/>
    <w:qFormat/>
    <w:rsid w:val="007721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64422-6ADB-4FE7-AC19-2A8885477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4851</Words>
  <Characters>27653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Cassandra</dc:creator>
  <cp:keywords/>
  <dc:description/>
  <cp:lastModifiedBy>Anderson, Cassandra</cp:lastModifiedBy>
  <cp:revision>4</cp:revision>
  <dcterms:created xsi:type="dcterms:W3CDTF">2017-03-01T20:34:00Z</dcterms:created>
  <dcterms:modified xsi:type="dcterms:W3CDTF">2017-03-07T20:11:00Z</dcterms:modified>
</cp:coreProperties>
</file>