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9778F" w14:textId="77835E55" w:rsidR="008467D5" w:rsidRDefault="008062D5"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US"/>
        </w:rPr>
        <w:drawing>
          <wp:inline distT="0" distB="0" distL="0" distR="0" wp14:anchorId="05C6E76E" wp14:editId="3AA926E0">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7"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327EDA4" w14:textId="77777777" w:rsidR="00856D9F" w:rsidRDefault="00856D9F" w:rsidP="008467D5">
      <w:pPr>
        <w:pBdr>
          <w:bottom w:val="single" w:sz="18" w:space="1" w:color="auto"/>
        </w:pBdr>
        <w:tabs>
          <w:tab w:val="left" w:pos="-1440"/>
          <w:tab w:val="left" w:pos="-720"/>
          <w:tab w:val="left" w:pos="1"/>
        </w:tabs>
        <w:jc w:val="both"/>
        <w:rPr>
          <w:rFonts w:ascii="Arial" w:hAnsi="Arial"/>
          <w:b/>
          <w:sz w:val="24"/>
        </w:rPr>
      </w:pPr>
    </w:p>
    <w:p w14:paraId="2DD44E99" w14:textId="32C9EC11" w:rsidR="00D75295" w:rsidRDefault="00665D3F" w:rsidP="001C571B">
      <w:pPr>
        <w:pStyle w:val="ProductNumber"/>
        <w:outlineLvl w:val="0"/>
      </w:pPr>
      <w:r>
        <w:t>9B17A016</w:t>
      </w:r>
    </w:p>
    <w:p w14:paraId="20B69297" w14:textId="77777777" w:rsidR="00E41575" w:rsidRDefault="00E41575" w:rsidP="00D75295">
      <w:pPr>
        <w:jc w:val="right"/>
        <w:rPr>
          <w:rFonts w:ascii="Arial" w:hAnsi="Arial"/>
          <w:b/>
          <w:sz w:val="28"/>
          <w:szCs w:val="28"/>
        </w:rPr>
      </w:pPr>
    </w:p>
    <w:p w14:paraId="17225C89" w14:textId="77777777" w:rsidR="00E41575" w:rsidRDefault="00E41575" w:rsidP="00D75295">
      <w:pPr>
        <w:jc w:val="right"/>
        <w:rPr>
          <w:rFonts w:ascii="Arial" w:hAnsi="Arial"/>
          <w:b/>
          <w:sz w:val="28"/>
          <w:szCs w:val="28"/>
        </w:rPr>
      </w:pPr>
    </w:p>
    <w:p w14:paraId="7CE584EC" w14:textId="38AECCC7" w:rsidR="00013360" w:rsidRPr="00361C8E" w:rsidRDefault="00E757C5" w:rsidP="001C571B">
      <w:pPr>
        <w:pStyle w:val="CaseTitle"/>
        <w:spacing w:after="0" w:line="240" w:lineRule="auto"/>
        <w:outlineLvl w:val="0"/>
      </w:pPr>
      <w:r>
        <w:t>mawlyngot’s tea growers</w:t>
      </w:r>
      <w:r w:rsidR="00A3506A">
        <w:t>’</w:t>
      </w:r>
      <w:r>
        <w:t xml:space="preserve"> cooperative</w:t>
      </w:r>
    </w:p>
    <w:p w14:paraId="51540EE2" w14:textId="77777777" w:rsidR="00F84ED9" w:rsidRDefault="00F84ED9" w:rsidP="00013360">
      <w:pPr>
        <w:pStyle w:val="CaseTitle"/>
        <w:spacing w:after="0" w:line="240" w:lineRule="auto"/>
        <w:rPr>
          <w:sz w:val="20"/>
          <w:szCs w:val="20"/>
        </w:rPr>
      </w:pPr>
    </w:p>
    <w:p w14:paraId="20CBCF24" w14:textId="77777777" w:rsidR="00F84ED9" w:rsidRPr="00013360" w:rsidRDefault="00F84ED9" w:rsidP="00013360">
      <w:pPr>
        <w:pStyle w:val="CaseTitle"/>
        <w:spacing w:after="0" w:line="240" w:lineRule="auto"/>
        <w:rPr>
          <w:sz w:val="20"/>
          <w:szCs w:val="20"/>
        </w:rPr>
      </w:pPr>
    </w:p>
    <w:p w14:paraId="5AA4A3A3" w14:textId="77777777" w:rsidR="00013360" w:rsidRDefault="00EA33C7" w:rsidP="00104567">
      <w:pPr>
        <w:pStyle w:val="StyleCopyrightStatementAfter0ptBottomSinglesolidline1"/>
      </w:pPr>
      <w:r w:rsidRPr="00815D99">
        <w:rPr>
          <w:noProof/>
        </w:rPr>
        <w:t>Teidorlang</w:t>
      </w:r>
      <w:r>
        <w:t xml:space="preserve"> Lyngdoh, </w:t>
      </w:r>
      <w:proofErr w:type="spellStart"/>
      <w:r>
        <w:t>Gopalakrishnan</w:t>
      </w:r>
      <w:proofErr w:type="spellEnd"/>
      <w:r>
        <w:t xml:space="preserve"> </w:t>
      </w:r>
      <w:proofErr w:type="spellStart"/>
      <w:r>
        <w:t>Narayanamurthy</w:t>
      </w:r>
      <w:proofErr w:type="spellEnd"/>
      <w:r>
        <w:t xml:space="preserve">, and Sridhar </w:t>
      </w:r>
      <w:r w:rsidRPr="00815D99">
        <w:rPr>
          <w:noProof/>
        </w:rPr>
        <w:t>Guda</w:t>
      </w:r>
      <w:r w:rsidR="007E5921">
        <w:t xml:space="preserve"> wrote this case sol</w:t>
      </w:r>
      <w:r w:rsidR="00D75295" w:rsidRPr="00104567">
        <w:t>ely to provide material for class discussion. The</w:t>
      </w:r>
      <w:r w:rsidR="00D75295">
        <w:t xml:space="preserve"> authors do not intend to illustrate either effective or ineffective handling of a managerial situation. The authors may have disguised certain names and other identifying information to protect confidentiality.</w:t>
      </w:r>
    </w:p>
    <w:p w14:paraId="2D3F5012" w14:textId="77777777" w:rsidR="00F84ED9" w:rsidRDefault="00F84ED9" w:rsidP="00104567">
      <w:pPr>
        <w:pStyle w:val="StyleCopyrightStatementAfter0ptBottomSinglesolidline1"/>
      </w:pPr>
    </w:p>
    <w:p w14:paraId="35C3112A" w14:textId="77777777" w:rsidR="008062D5" w:rsidRPr="00E23AB7" w:rsidRDefault="008062D5" w:rsidP="008062D5">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8"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9" w:history="1">
        <w:r w:rsidRPr="00E23AB7">
          <w:rPr>
            <w:rFonts w:ascii="Arial" w:hAnsi="Arial"/>
            <w:i/>
            <w:iCs/>
            <w:color w:val="000000"/>
            <w:sz w:val="16"/>
          </w:rPr>
          <w:t>www.iveycases.com</w:t>
        </w:r>
      </w:hyperlink>
      <w:r w:rsidRPr="00E23AB7">
        <w:rPr>
          <w:rFonts w:ascii="Arial" w:hAnsi="Arial"/>
          <w:i/>
          <w:iCs/>
          <w:color w:val="000000"/>
          <w:sz w:val="16"/>
        </w:rPr>
        <w:t>.</w:t>
      </w:r>
    </w:p>
    <w:p w14:paraId="70EF93AF" w14:textId="57E6F126" w:rsidR="00F84ED9" w:rsidRDefault="00F84ED9" w:rsidP="008062D5">
      <w:pPr>
        <w:pStyle w:val="StyleCopyrightStatementAfter0ptBottomSinglesolidline1"/>
      </w:pPr>
    </w:p>
    <w:p w14:paraId="4BDBBF0F" w14:textId="0A294904" w:rsidR="008E644D" w:rsidRDefault="008062D5" w:rsidP="001C571B">
      <w:pPr>
        <w:pStyle w:val="StyleStyleCopyrightStatementAfter0ptBottomSinglesolid"/>
        <w:outlineLvl w:val="0"/>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rsidR="00AA4368">
        <w:rPr>
          <w:rFonts w:cs="Arial"/>
          <w:szCs w:val="16"/>
          <w:lang w:val="en-CA"/>
        </w:rPr>
        <w:t xml:space="preserve">                                                                    </w:t>
      </w:r>
      <w:r w:rsidR="003B7EF2">
        <w:tab/>
      </w:r>
      <w:r w:rsidR="00EF4D93">
        <w:t xml:space="preserve">  </w:t>
      </w:r>
      <w:r w:rsidR="00E730D4">
        <w:t xml:space="preserve">  </w:t>
      </w:r>
      <w:r w:rsidR="008E644D">
        <w:t xml:space="preserve">    </w:t>
      </w:r>
      <w:r w:rsidR="00665D3F">
        <w:t xml:space="preserve">    </w:t>
      </w:r>
      <w:r w:rsidR="003B7EF2">
        <w:t xml:space="preserve">Version: </w:t>
      </w:r>
      <w:r w:rsidR="00361C8E">
        <w:t>201</w:t>
      </w:r>
      <w:r w:rsidR="007A6A7F">
        <w:t>7</w:t>
      </w:r>
      <w:r w:rsidR="00361C8E">
        <w:t>-</w:t>
      </w:r>
      <w:r w:rsidR="005D25BC">
        <w:t>0</w:t>
      </w:r>
      <w:r w:rsidR="00E730D4">
        <w:t>3</w:t>
      </w:r>
      <w:r w:rsidR="00361C8E">
        <w:t>-</w:t>
      </w:r>
      <w:r w:rsidR="00A70A5D">
        <w:t>23</w:t>
      </w:r>
    </w:p>
    <w:p w14:paraId="2F33FDD3" w14:textId="77777777" w:rsidR="003B7EF2" w:rsidRPr="003B7EF2" w:rsidRDefault="003B7EF2" w:rsidP="00104567">
      <w:pPr>
        <w:pStyle w:val="StyleCopyrightStatementAfter0ptBottomSinglesolidline1"/>
        <w:rPr>
          <w:rFonts w:ascii="Times New Roman" w:hAnsi="Times New Roman"/>
          <w:sz w:val="20"/>
        </w:rPr>
      </w:pPr>
    </w:p>
    <w:p w14:paraId="57205876" w14:textId="77777777" w:rsidR="009F600E" w:rsidRDefault="009F600E" w:rsidP="00EA33C7">
      <w:pPr>
        <w:pStyle w:val="BodyTextMain"/>
      </w:pPr>
    </w:p>
    <w:p w14:paraId="2469E438" w14:textId="3B17F94D" w:rsidR="00135E9A" w:rsidRDefault="00135E9A" w:rsidP="00EA33C7">
      <w:pPr>
        <w:pStyle w:val="BodyTextMain"/>
      </w:pPr>
      <w:r>
        <w:t>The Mawlyngot Tea Growers</w:t>
      </w:r>
      <w:r w:rsidR="00A3506A">
        <w:t>’</w:t>
      </w:r>
      <w:r>
        <w:t xml:space="preserve"> Cooperative Society (</w:t>
      </w:r>
      <w:r w:rsidR="002A0B56">
        <w:t>MTG</w:t>
      </w:r>
      <w:r>
        <w:t>)</w:t>
      </w:r>
      <w:r w:rsidR="007A6A7F">
        <w:t>,</w:t>
      </w:r>
      <w:r>
        <w:t xml:space="preserve"> </w:t>
      </w:r>
      <w:r w:rsidR="0061448F">
        <w:t xml:space="preserve">nestled in the pristine </w:t>
      </w:r>
      <w:r w:rsidR="001744DB">
        <w:t>E</w:t>
      </w:r>
      <w:r w:rsidR="0061448F">
        <w:t xml:space="preserve">ast Khasi </w:t>
      </w:r>
      <w:r w:rsidR="001744DB">
        <w:t>H</w:t>
      </w:r>
      <w:r w:rsidR="0061448F">
        <w:t>ills of Meghalaya</w:t>
      </w:r>
      <w:r w:rsidR="007A6A7F">
        <w:t>, India,</w:t>
      </w:r>
      <w:r w:rsidR="007A6A7F" w:rsidRPr="007A6A7F">
        <w:t xml:space="preserve"> </w:t>
      </w:r>
      <w:r w:rsidR="007A6A7F">
        <w:t xml:space="preserve">was started </w:t>
      </w:r>
      <w:r w:rsidR="00C1631C">
        <w:t xml:space="preserve">in 2003 </w:t>
      </w:r>
      <w:r w:rsidR="007A6A7F">
        <w:t xml:space="preserve">by </w:t>
      </w:r>
      <w:r w:rsidR="007A6A7F" w:rsidRPr="00F84ED9">
        <w:rPr>
          <w:noProof/>
        </w:rPr>
        <w:t>Lisenbor</w:t>
      </w:r>
      <w:r w:rsidR="007A6A7F">
        <w:t xml:space="preserve"> </w:t>
      </w:r>
      <w:proofErr w:type="spellStart"/>
      <w:r w:rsidR="007A6A7F">
        <w:t>Nongspung</w:t>
      </w:r>
      <w:proofErr w:type="spellEnd"/>
      <w:r w:rsidR="00C1631C">
        <w:t>, a head teacher at the village school and former village headman</w:t>
      </w:r>
      <w:r w:rsidR="0061448F">
        <w:t>. B</w:t>
      </w:r>
      <w:r w:rsidR="00815D99">
        <w:t>y</w:t>
      </w:r>
      <w:r w:rsidR="00815D99" w:rsidRPr="00815D99">
        <w:rPr>
          <w:noProof/>
        </w:rPr>
        <w:t xml:space="preserve"> </w:t>
      </w:r>
      <w:r w:rsidR="007A6A7F">
        <w:rPr>
          <w:noProof/>
        </w:rPr>
        <w:t xml:space="preserve">the </w:t>
      </w:r>
      <w:r w:rsidR="00815D99" w:rsidRPr="00F84ED9">
        <w:rPr>
          <w:noProof/>
        </w:rPr>
        <w:t xml:space="preserve">end </w:t>
      </w:r>
      <w:r w:rsidR="00815D99" w:rsidRPr="00815D99">
        <w:rPr>
          <w:noProof/>
        </w:rPr>
        <w:t xml:space="preserve">of </w:t>
      </w:r>
      <w:r w:rsidR="00815D99">
        <w:t>2014</w:t>
      </w:r>
      <w:r w:rsidR="007A6A7F">
        <w:t>,</w:t>
      </w:r>
      <w:r w:rsidR="00815D99">
        <w:t xml:space="preserve"> </w:t>
      </w:r>
      <w:r w:rsidR="002A0B56">
        <w:t xml:space="preserve">MTG </w:t>
      </w:r>
      <w:r w:rsidR="007A6A7F">
        <w:t>had</w:t>
      </w:r>
      <w:r>
        <w:t xml:space="preserve"> spread </w:t>
      </w:r>
      <w:r w:rsidR="00815D99">
        <w:rPr>
          <w:noProof/>
        </w:rPr>
        <w:t>across</w:t>
      </w:r>
      <w:r w:rsidR="00473FB4">
        <w:t xml:space="preserve"> </w:t>
      </w:r>
      <w:r>
        <w:t>90 hectares</w:t>
      </w:r>
      <w:r w:rsidR="007A6A7F">
        <w:t>,</w:t>
      </w:r>
      <w:r>
        <w:t xml:space="preserve"> </w:t>
      </w:r>
      <w:r w:rsidR="00473FB4">
        <w:t xml:space="preserve">with </w:t>
      </w:r>
      <w:r>
        <w:t xml:space="preserve">the entire village (about 45 households) </w:t>
      </w:r>
      <w:r w:rsidR="00B30350">
        <w:t xml:space="preserve">of Mawlyngot </w:t>
      </w:r>
      <w:r>
        <w:t xml:space="preserve">as members of the society. </w:t>
      </w:r>
      <w:r w:rsidR="001744DB">
        <w:t>Nonetheless, s</w:t>
      </w:r>
      <w:r w:rsidR="00D32D16">
        <w:t xml:space="preserve">ince </w:t>
      </w:r>
      <w:r w:rsidR="002D466A">
        <w:t>2013</w:t>
      </w:r>
      <w:r w:rsidR="00D32D16">
        <w:t xml:space="preserve">, </w:t>
      </w:r>
      <w:proofErr w:type="spellStart"/>
      <w:r w:rsidR="00D32D16">
        <w:t>Nongspung</w:t>
      </w:r>
      <w:proofErr w:type="spellEnd"/>
      <w:r w:rsidR="00D32D16">
        <w:t xml:space="preserve"> </w:t>
      </w:r>
      <w:r w:rsidR="007A6A7F">
        <w:t xml:space="preserve">had </w:t>
      </w:r>
      <w:r w:rsidR="00D32D16">
        <w:t xml:space="preserve">felt that </w:t>
      </w:r>
      <w:r w:rsidR="002A0B56">
        <w:t>MTG</w:t>
      </w:r>
      <w:r>
        <w:t xml:space="preserve"> was mired </w:t>
      </w:r>
      <w:r w:rsidR="001744DB">
        <w:t xml:space="preserve">in </w:t>
      </w:r>
      <w:r>
        <w:t>issues of profitability</w:t>
      </w:r>
      <w:r w:rsidR="001744DB">
        <w:t>.</w:t>
      </w:r>
      <w:r w:rsidR="007C6AD2">
        <w:t xml:space="preserve"> </w:t>
      </w:r>
      <w:r w:rsidR="001744DB">
        <w:t xml:space="preserve">He </w:t>
      </w:r>
      <w:r w:rsidR="00D32D16">
        <w:t xml:space="preserve">sensed that </w:t>
      </w:r>
      <w:r w:rsidR="007C6AD2">
        <w:t xml:space="preserve">strengthening the marketing activities </w:t>
      </w:r>
      <w:r w:rsidR="00D32D16">
        <w:t xml:space="preserve">of </w:t>
      </w:r>
      <w:r w:rsidR="007C6AD2">
        <w:t xml:space="preserve">the </w:t>
      </w:r>
      <w:r w:rsidR="00C1631C">
        <w:t>society</w:t>
      </w:r>
      <w:r w:rsidR="007C6AD2">
        <w:t xml:space="preserve"> </w:t>
      </w:r>
      <w:r w:rsidR="00D32D16">
        <w:t xml:space="preserve">would </w:t>
      </w:r>
      <w:r w:rsidR="007C6AD2">
        <w:t xml:space="preserve">be </w:t>
      </w:r>
      <w:r w:rsidR="00D32D16">
        <w:t>important to address the challenge</w:t>
      </w:r>
      <w:r w:rsidR="001744DB">
        <w:t xml:space="preserve">, </w:t>
      </w:r>
      <w:r w:rsidR="00D32D16">
        <w:t xml:space="preserve">but </w:t>
      </w:r>
      <w:r w:rsidR="001744DB">
        <w:t xml:space="preserve">he </w:t>
      </w:r>
      <w:r w:rsidR="00D32D16">
        <w:t xml:space="preserve">was not sure how to </w:t>
      </w:r>
      <w:r w:rsidR="001744DB">
        <w:t>proceed</w:t>
      </w:r>
      <w:r w:rsidR="00D32D16">
        <w:t xml:space="preserve">. </w:t>
      </w:r>
    </w:p>
    <w:p w14:paraId="7475606C" w14:textId="77777777" w:rsidR="00135E9A" w:rsidRDefault="00135E9A" w:rsidP="00EA33C7">
      <w:pPr>
        <w:pStyle w:val="BodyTextMain"/>
      </w:pPr>
    </w:p>
    <w:p w14:paraId="678BED4D" w14:textId="77777777" w:rsidR="004D24AF" w:rsidRDefault="004D24AF" w:rsidP="00EA33C7">
      <w:pPr>
        <w:pStyle w:val="BodyTextMain"/>
      </w:pPr>
    </w:p>
    <w:p w14:paraId="2FC64A62" w14:textId="6E0EB923" w:rsidR="00EA33C7" w:rsidRPr="005A6150" w:rsidRDefault="00EA33C7" w:rsidP="001C571B">
      <w:pPr>
        <w:pStyle w:val="Casehead1"/>
        <w:outlineLvl w:val="0"/>
      </w:pPr>
      <w:r w:rsidRPr="005A6150">
        <w:t>MAWLYNGOT VILLAGE</w:t>
      </w:r>
    </w:p>
    <w:p w14:paraId="66696F87" w14:textId="77777777" w:rsidR="007A6A7F" w:rsidRDefault="007A6A7F" w:rsidP="00EA33C7">
      <w:pPr>
        <w:pStyle w:val="BodyTextMain"/>
      </w:pPr>
    </w:p>
    <w:p w14:paraId="23A1EF72" w14:textId="34130895" w:rsidR="00EA33C7" w:rsidRPr="00EA33C7" w:rsidRDefault="00EA33C7" w:rsidP="00EA33C7">
      <w:pPr>
        <w:pStyle w:val="BodyTextMain"/>
      </w:pPr>
      <w:r w:rsidRPr="00EA33C7">
        <w:t xml:space="preserve">Mawlyngot </w:t>
      </w:r>
      <w:r w:rsidR="007A6A7F">
        <w:t xml:space="preserve">was </w:t>
      </w:r>
      <w:r w:rsidR="00E735AD">
        <w:t xml:space="preserve">a village </w:t>
      </w:r>
      <w:r w:rsidR="00680782">
        <w:t xml:space="preserve">in the East Khasi Hills </w:t>
      </w:r>
      <w:r w:rsidR="007A6A7F">
        <w:t xml:space="preserve">district </w:t>
      </w:r>
      <w:r w:rsidRPr="00EA33C7">
        <w:t>of</w:t>
      </w:r>
      <w:r w:rsidR="001744DB">
        <w:t xml:space="preserve"> the state of</w:t>
      </w:r>
      <w:r w:rsidRPr="00EA33C7">
        <w:t xml:space="preserve"> Meghalaya</w:t>
      </w:r>
      <w:r w:rsidR="001744DB">
        <w:t xml:space="preserve">, </w:t>
      </w:r>
      <w:r w:rsidR="00A81664">
        <w:t>India</w:t>
      </w:r>
      <w:r w:rsidR="001744DB">
        <w:t xml:space="preserve">, located </w:t>
      </w:r>
      <w:r w:rsidR="001744DB" w:rsidRPr="00EA33C7">
        <w:t>about 40</w:t>
      </w:r>
      <w:r w:rsidR="001744DB">
        <w:t xml:space="preserve"> </w:t>
      </w:r>
      <w:r w:rsidR="001744DB" w:rsidRPr="00F84ED9">
        <w:rPr>
          <w:noProof/>
        </w:rPr>
        <w:t>k</w:t>
      </w:r>
      <w:r w:rsidR="001744DB">
        <w:rPr>
          <w:noProof/>
        </w:rPr>
        <w:t>ilometres</w:t>
      </w:r>
      <w:r w:rsidR="001744DB" w:rsidRPr="00EA33C7">
        <w:t xml:space="preserve"> from </w:t>
      </w:r>
      <w:proofErr w:type="spellStart"/>
      <w:r w:rsidR="001744DB" w:rsidRPr="00EA33C7">
        <w:t>Shillong</w:t>
      </w:r>
      <w:proofErr w:type="spellEnd"/>
      <w:r w:rsidR="001744DB" w:rsidRPr="00EA33C7">
        <w:t xml:space="preserve">, </w:t>
      </w:r>
      <w:r w:rsidR="001744DB">
        <w:t>the state capital</w:t>
      </w:r>
      <w:r w:rsidRPr="00EA33C7">
        <w:t xml:space="preserve">. The original inhabitants of the village </w:t>
      </w:r>
      <w:r w:rsidR="005A2F89">
        <w:t xml:space="preserve">had </w:t>
      </w:r>
      <w:r w:rsidR="00E735AD">
        <w:t>migrated</w:t>
      </w:r>
      <w:r w:rsidR="001B4E8C">
        <w:t xml:space="preserve"> </w:t>
      </w:r>
      <w:r w:rsidR="005A2F89">
        <w:t xml:space="preserve">there </w:t>
      </w:r>
      <w:r w:rsidR="001B4E8C">
        <w:t xml:space="preserve">about 150 years </w:t>
      </w:r>
      <w:r w:rsidR="005A2F89">
        <w:t xml:space="preserve">prior </w:t>
      </w:r>
      <w:r w:rsidR="00E735AD">
        <w:t xml:space="preserve">from </w:t>
      </w:r>
      <w:r w:rsidR="00A57503">
        <w:t xml:space="preserve">other districts </w:t>
      </w:r>
      <w:r w:rsidR="00184DC3">
        <w:t xml:space="preserve">in </w:t>
      </w:r>
      <w:r w:rsidRPr="00EA33C7">
        <w:t>Meghalaya</w:t>
      </w:r>
      <w:r w:rsidR="00E83FA6">
        <w:t>,</w:t>
      </w:r>
      <w:r w:rsidRPr="00EA33C7">
        <w:t xml:space="preserve"> </w:t>
      </w:r>
      <w:r w:rsidR="00CE46CA">
        <w:t xml:space="preserve">following </w:t>
      </w:r>
      <w:r w:rsidR="007A6A7F">
        <w:t xml:space="preserve">the route of </w:t>
      </w:r>
      <w:r w:rsidRPr="00F84ED9">
        <w:rPr>
          <w:noProof/>
        </w:rPr>
        <w:t>Umsong</w:t>
      </w:r>
      <w:r w:rsidR="00CE46CA">
        <w:rPr>
          <w:noProof/>
        </w:rPr>
        <w:t xml:space="preserve"> River</w:t>
      </w:r>
      <w:r w:rsidRPr="00EA33C7">
        <w:t xml:space="preserve">. </w:t>
      </w:r>
      <w:r w:rsidR="007C6AD2">
        <w:t xml:space="preserve">After </w:t>
      </w:r>
      <w:r w:rsidR="007A6A7F">
        <w:t xml:space="preserve">a </w:t>
      </w:r>
      <w:r w:rsidR="007C6AD2">
        <w:t xml:space="preserve">few skirmishes </w:t>
      </w:r>
      <w:r w:rsidRPr="00EA33C7">
        <w:t xml:space="preserve">with </w:t>
      </w:r>
      <w:r w:rsidR="00184DC3">
        <w:t xml:space="preserve">other </w:t>
      </w:r>
      <w:r w:rsidR="00E735AD">
        <w:t>village</w:t>
      </w:r>
      <w:r w:rsidRPr="00EA33C7">
        <w:t xml:space="preserve">s </w:t>
      </w:r>
      <w:r w:rsidR="00184DC3">
        <w:t>in the East Khasi Hills</w:t>
      </w:r>
      <w:r w:rsidR="00EF5212">
        <w:t xml:space="preserve"> (e.g.,</w:t>
      </w:r>
      <w:r w:rsidR="00184DC3">
        <w:t xml:space="preserve"> </w:t>
      </w:r>
      <w:proofErr w:type="spellStart"/>
      <w:r w:rsidRPr="00EA33C7">
        <w:t>Thangbnai</w:t>
      </w:r>
      <w:proofErr w:type="spellEnd"/>
      <w:r w:rsidRPr="00EA33C7">
        <w:t xml:space="preserve">, </w:t>
      </w:r>
      <w:r w:rsidRPr="00F84ED9">
        <w:rPr>
          <w:noProof/>
        </w:rPr>
        <w:t>Rngibah</w:t>
      </w:r>
      <w:r w:rsidR="007A6A7F">
        <w:rPr>
          <w:noProof/>
        </w:rPr>
        <w:t>,</w:t>
      </w:r>
      <w:r w:rsidRPr="00EA33C7">
        <w:t xml:space="preserve"> and </w:t>
      </w:r>
      <w:r w:rsidRPr="00F84ED9">
        <w:rPr>
          <w:noProof/>
        </w:rPr>
        <w:t>Khapmaw</w:t>
      </w:r>
      <w:r w:rsidR="00EF5212">
        <w:rPr>
          <w:noProof/>
        </w:rPr>
        <w:t>)</w:t>
      </w:r>
      <w:r w:rsidRPr="00EA33C7">
        <w:t>, the</w:t>
      </w:r>
      <w:r w:rsidR="00A8742B">
        <w:t xml:space="preserve"> migrants</w:t>
      </w:r>
      <w:r w:rsidRPr="00EA33C7">
        <w:t xml:space="preserve"> shift</w:t>
      </w:r>
      <w:r w:rsidR="007C6AD2">
        <w:t>ed</w:t>
      </w:r>
      <w:r w:rsidRPr="00EA33C7">
        <w:t xml:space="preserve"> northward and finally ended up at the hilltop </w:t>
      </w:r>
      <w:r w:rsidR="00EF5212">
        <w:t>that became</w:t>
      </w:r>
      <w:r w:rsidR="00EF5212" w:rsidRPr="00EA33C7">
        <w:t xml:space="preserve"> </w:t>
      </w:r>
      <w:r w:rsidRPr="00EA33C7">
        <w:t>known as Mawlyngot. The vil</w:t>
      </w:r>
      <w:r w:rsidR="007C6AD2">
        <w:t>lage ha</w:t>
      </w:r>
      <w:r w:rsidR="007A6A7F">
        <w:t>d</w:t>
      </w:r>
      <w:r w:rsidRPr="00EA33C7">
        <w:t xml:space="preserve"> a scenic view of the Khasi and </w:t>
      </w:r>
      <w:proofErr w:type="spellStart"/>
      <w:r w:rsidRPr="00EA33C7">
        <w:t>Jaintia</w:t>
      </w:r>
      <w:proofErr w:type="spellEnd"/>
      <w:r w:rsidRPr="00EA33C7">
        <w:t xml:space="preserve"> </w:t>
      </w:r>
      <w:r w:rsidR="00184DC3">
        <w:t>H</w:t>
      </w:r>
      <w:r w:rsidRPr="00EA33C7">
        <w:t xml:space="preserve">ills. </w:t>
      </w:r>
      <w:r w:rsidR="00184DC3">
        <w:t xml:space="preserve">Mawlyngot </w:t>
      </w:r>
      <w:r w:rsidR="00B91C2E">
        <w:t>was</w:t>
      </w:r>
      <w:r w:rsidRPr="00EA33C7">
        <w:t xml:space="preserve"> </w:t>
      </w:r>
      <w:r w:rsidR="00184DC3">
        <w:t>in</w:t>
      </w:r>
      <w:r w:rsidR="00184DC3" w:rsidRPr="00EA33C7">
        <w:t xml:space="preserve"> </w:t>
      </w:r>
      <w:r w:rsidRPr="00EA33C7">
        <w:t>a strategic location</w:t>
      </w:r>
      <w:r w:rsidR="00CA428A">
        <w:t>,</w:t>
      </w:r>
      <w:r w:rsidR="001B4E8C">
        <w:t xml:space="preserve"> </w:t>
      </w:r>
      <w:r w:rsidRPr="00EA33C7">
        <w:t>connect</w:t>
      </w:r>
      <w:r w:rsidR="00CA428A">
        <w:t>ing</w:t>
      </w:r>
      <w:r w:rsidRPr="00EA33C7">
        <w:t xml:space="preserve"> seven other villages with the rest of the state. </w:t>
      </w:r>
    </w:p>
    <w:p w14:paraId="166BB3F2" w14:textId="77777777" w:rsidR="00EA33C7" w:rsidRPr="00EA33C7" w:rsidRDefault="00EA33C7" w:rsidP="00EA33C7">
      <w:pPr>
        <w:pStyle w:val="BodyTextMain"/>
      </w:pPr>
    </w:p>
    <w:p w14:paraId="30399360" w14:textId="4F97C52C" w:rsidR="004338F0" w:rsidRDefault="0074665A" w:rsidP="00EA33C7">
      <w:pPr>
        <w:pStyle w:val="BodyTextMain"/>
      </w:pPr>
      <w:r>
        <w:t>For years, agriculture had been the main occupation of the village. Yam</w:t>
      </w:r>
      <w:r w:rsidR="00CA428A">
        <w:t>s</w:t>
      </w:r>
      <w:r>
        <w:t>, corn, potato</w:t>
      </w:r>
      <w:r w:rsidR="00CA428A">
        <w:t>es</w:t>
      </w:r>
      <w:r w:rsidR="00EF5212">
        <w:t>,</w:t>
      </w:r>
      <w:r>
        <w:t xml:space="preserve"> and banana</w:t>
      </w:r>
      <w:r w:rsidR="00CA428A">
        <w:t>s</w:t>
      </w:r>
      <w:r>
        <w:t xml:space="preserve"> wer</w:t>
      </w:r>
      <w:r w:rsidR="00222152">
        <w:t xml:space="preserve">e the major crops. </w:t>
      </w:r>
      <w:r w:rsidR="00222152" w:rsidRPr="00F84ED9">
        <w:rPr>
          <w:noProof/>
        </w:rPr>
        <w:t>Widespread</w:t>
      </w:r>
      <w:r w:rsidR="00222152">
        <w:t xml:space="preserve"> </w:t>
      </w:r>
      <w:proofErr w:type="spellStart"/>
      <w:r w:rsidR="00873EDA">
        <w:t>j</w:t>
      </w:r>
      <w:r w:rsidR="00EA33C7" w:rsidRPr="00EA33C7">
        <w:t>hum</w:t>
      </w:r>
      <w:proofErr w:type="spellEnd"/>
      <w:r w:rsidR="00EA33C7" w:rsidRPr="00EA33C7">
        <w:t xml:space="preserve"> cultivation</w:t>
      </w:r>
      <w:r w:rsidR="00EA33C7" w:rsidRPr="002228F8">
        <w:rPr>
          <w:rStyle w:val="FootnoteReference"/>
        </w:rPr>
        <w:footnoteReference w:id="1"/>
      </w:r>
      <w:r w:rsidR="00EA33C7" w:rsidRPr="00EA33C7">
        <w:t xml:space="preserve"> </w:t>
      </w:r>
      <w:r w:rsidR="00CA428A">
        <w:t xml:space="preserve">had </w:t>
      </w:r>
      <w:r w:rsidR="00EA33C7" w:rsidRPr="00EA33C7">
        <w:t>degrad</w:t>
      </w:r>
      <w:r w:rsidR="00E40907">
        <w:t>ed</w:t>
      </w:r>
      <w:r w:rsidR="00EA33C7" w:rsidRPr="00EA33C7">
        <w:t xml:space="preserve"> the soil</w:t>
      </w:r>
      <w:r w:rsidR="002C1843">
        <w:t xml:space="preserve">; </w:t>
      </w:r>
      <w:r w:rsidR="00E40907">
        <w:t>g</w:t>
      </w:r>
      <w:r w:rsidR="00222152">
        <w:t xml:space="preserve">radually, </w:t>
      </w:r>
      <w:r w:rsidR="00F22B05">
        <w:t>a</w:t>
      </w:r>
      <w:r>
        <w:t xml:space="preserve">griculture </w:t>
      </w:r>
      <w:r w:rsidR="00CA428A">
        <w:t>was</w:t>
      </w:r>
      <w:r w:rsidR="00F22B05">
        <w:t xml:space="preserve"> </w:t>
      </w:r>
      <w:r>
        <w:t xml:space="preserve">replaced by </w:t>
      </w:r>
      <w:r w:rsidR="002C1843">
        <w:t xml:space="preserve">several villagers with </w:t>
      </w:r>
      <w:r w:rsidR="00DD3A2B">
        <w:t xml:space="preserve">local </w:t>
      </w:r>
      <w:r>
        <w:t>manufacturing</w:t>
      </w:r>
      <w:r w:rsidR="00CB4B68">
        <w:t xml:space="preserve"> </w:t>
      </w:r>
      <w:r w:rsidR="008002F7">
        <w:t xml:space="preserve">of </w:t>
      </w:r>
      <w:r w:rsidR="008002F7" w:rsidRPr="00EA33C7">
        <w:t>liquor</w:t>
      </w:r>
      <w:r w:rsidR="00DD3A2B">
        <w:t xml:space="preserve">. </w:t>
      </w:r>
      <w:r w:rsidR="00815D99">
        <w:rPr>
          <w:noProof/>
        </w:rPr>
        <w:t>The s</w:t>
      </w:r>
      <w:r w:rsidR="00222152" w:rsidRPr="00F84ED9">
        <w:rPr>
          <w:noProof/>
        </w:rPr>
        <w:t>hift</w:t>
      </w:r>
      <w:r w:rsidR="00222152">
        <w:t xml:space="preserve"> in occupational structures led to </w:t>
      </w:r>
      <w:r w:rsidR="00DD3A2B">
        <w:t xml:space="preserve">negative </w:t>
      </w:r>
      <w:r w:rsidR="00A3506A">
        <w:t xml:space="preserve">consequences </w:t>
      </w:r>
      <w:r w:rsidR="008002F7">
        <w:t>for the villagers</w:t>
      </w:r>
      <w:r w:rsidR="00256E04">
        <w:t xml:space="preserve"> that included </w:t>
      </w:r>
      <w:r w:rsidR="002C1843">
        <w:t>brawls,</w:t>
      </w:r>
      <w:r w:rsidR="008002F7">
        <w:t xml:space="preserve"> </w:t>
      </w:r>
      <w:r w:rsidR="00EA33C7" w:rsidRPr="00EA33C7">
        <w:t>broken families</w:t>
      </w:r>
      <w:r w:rsidR="002C1843">
        <w:t>,</w:t>
      </w:r>
      <w:r w:rsidR="00EA33C7" w:rsidRPr="00EA33C7">
        <w:t xml:space="preserve"> </w:t>
      </w:r>
      <w:r>
        <w:t xml:space="preserve">and </w:t>
      </w:r>
      <w:r w:rsidR="00EA33C7" w:rsidRPr="00EA33C7">
        <w:t>poor health</w:t>
      </w:r>
      <w:r w:rsidR="00256E04">
        <w:t>.</w:t>
      </w:r>
      <w:r w:rsidR="00EA33C7" w:rsidRPr="00EA33C7">
        <w:t xml:space="preserve"> </w:t>
      </w:r>
    </w:p>
    <w:p w14:paraId="08774EC3" w14:textId="77777777" w:rsidR="004338F0" w:rsidRDefault="004338F0" w:rsidP="00EA33C7">
      <w:pPr>
        <w:pStyle w:val="BodyTextMain"/>
      </w:pPr>
    </w:p>
    <w:p w14:paraId="27ADF825" w14:textId="5CFCD90F" w:rsidR="00EA33C7" w:rsidRPr="00EA33C7" w:rsidRDefault="00DD3A2B" w:rsidP="00EA33C7">
      <w:pPr>
        <w:pStyle w:val="BodyTextMain"/>
      </w:pPr>
      <w:proofErr w:type="spellStart"/>
      <w:r>
        <w:t>Nongspung</w:t>
      </w:r>
      <w:proofErr w:type="spellEnd"/>
      <w:r>
        <w:t xml:space="preserve">, </w:t>
      </w:r>
      <w:r w:rsidR="004338F0">
        <w:t>joined by</w:t>
      </w:r>
      <w:r>
        <w:t xml:space="preserve"> </w:t>
      </w:r>
      <w:r w:rsidR="00CA428A">
        <w:t>some</w:t>
      </w:r>
      <w:r>
        <w:t xml:space="preserve"> villagers</w:t>
      </w:r>
      <w:r w:rsidR="00CA428A">
        <w:t>,</w:t>
      </w:r>
      <w:r>
        <w:t xml:space="preserve"> </w:t>
      </w:r>
      <w:r w:rsidR="00CB4B68">
        <w:t xml:space="preserve">took </w:t>
      </w:r>
      <w:r w:rsidR="002C1843">
        <w:t xml:space="preserve">on the challenge </w:t>
      </w:r>
      <w:r>
        <w:t xml:space="preserve">of </w:t>
      </w:r>
      <w:r w:rsidR="00CB4B68">
        <w:t>transform</w:t>
      </w:r>
      <w:r>
        <w:t>ing</w:t>
      </w:r>
      <w:r w:rsidR="00CB4B68">
        <w:t xml:space="preserve"> the village. </w:t>
      </w:r>
      <w:proofErr w:type="spellStart"/>
      <w:r w:rsidR="004338F0">
        <w:t>Nongspung</w:t>
      </w:r>
      <w:proofErr w:type="spellEnd"/>
      <w:r w:rsidR="004338F0">
        <w:t xml:space="preserve"> </w:t>
      </w:r>
      <w:r w:rsidR="00CB4B68">
        <w:t xml:space="preserve">first formed </w:t>
      </w:r>
      <w:r w:rsidR="007B37AA">
        <w:t>the</w:t>
      </w:r>
      <w:r w:rsidR="004338F0">
        <w:t xml:space="preserve"> </w:t>
      </w:r>
      <w:proofErr w:type="spellStart"/>
      <w:r w:rsidR="00CB4B68" w:rsidRPr="004C224F">
        <w:rPr>
          <w:i/>
        </w:rPr>
        <w:t>Charcha</w:t>
      </w:r>
      <w:r w:rsidR="007B37AA" w:rsidRPr="007B37AA">
        <w:rPr>
          <w:i/>
        </w:rPr>
        <w:t>m</w:t>
      </w:r>
      <w:r w:rsidR="00CB4B68" w:rsidRPr="004C224F">
        <w:rPr>
          <w:i/>
        </w:rPr>
        <w:t>andal</w:t>
      </w:r>
      <w:proofErr w:type="spellEnd"/>
      <w:r w:rsidR="007B37AA">
        <w:rPr>
          <w:i/>
        </w:rPr>
        <w:t xml:space="preserve"> Farmers’ Centre</w:t>
      </w:r>
      <w:r w:rsidR="004338F0">
        <w:t>, a meeting place for</w:t>
      </w:r>
      <w:r w:rsidR="00CB4B68">
        <w:t xml:space="preserve"> farmer</w:t>
      </w:r>
      <w:r w:rsidR="007B37AA">
        <w:t>s</w:t>
      </w:r>
      <w:r w:rsidR="004338F0">
        <w:t xml:space="preserve"> </w:t>
      </w:r>
      <w:r w:rsidR="00351DC8">
        <w:t xml:space="preserve">to pursue skills and techniques related to agriculture. In 2003, as soon as the government approved </w:t>
      </w:r>
      <w:proofErr w:type="spellStart"/>
      <w:r w:rsidR="004338F0">
        <w:t>Nongspung’s</w:t>
      </w:r>
      <w:proofErr w:type="spellEnd"/>
      <w:r w:rsidR="004338F0">
        <w:t xml:space="preserve"> </w:t>
      </w:r>
      <w:r w:rsidR="00351DC8">
        <w:t xml:space="preserve">proposal to start a tea plantation project, </w:t>
      </w:r>
      <w:r w:rsidR="002A0B56">
        <w:t>MTG</w:t>
      </w:r>
      <w:r w:rsidR="00351DC8">
        <w:t xml:space="preserve"> was registered and the decision </w:t>
      </w:r>
      <w:r w:rsidR="004338F0">
        <w:t xml:space="preserve">made </w:t>
      </w:r>
      <w:r w:rsidR="00351DC8">
        <w:t xml:space="preserve">to produce organic tea under the brand name </w:t>
      </w:r>
      <w:r w:rsidR="004338F0">
        <w:lastRenderedPageBreak/>
        <w:t>“</w:t>
      </w:r>
      <w:proofErr w:type="spellStart"/>
      <w:r w:rsidR="004338F0" w:rsidRPr="00F84ED9">
        <w:rPr>
          <w:noProof/>
        </w:rPr>
        <w:t>U</w:t>
      </w:r>
      <w:r w:rsidR="004338F0">
        <w:rPr>
          <w:noProof/>
        </w:rPr>
        <w:t>rlong</w:t>
      </w:r>
      <w:proofErr w:type="spellEnd"/>
      <w:r w:rsidR="004338F0">
        <w:rPr>
          <w:noProof/>
        </w:rPr>
        <w:t xml:space="preserve">,” which </w:t>
      </w:r>
      <w:r w:rsidR="00351DC8">
        <w:t>mean</w:t>
      </w:r>
      <w:r w:rsidR="004338F0">
        <w:t>t</w:t>
      </w:r>
      <w:r w:rsidR="00351DC8">
        <w:t xml:space="preserve"> </w:t>
      </w:r>
      <w:r w:rsidR="00CA428A">
        <w:t>“p</w:t>
      </w:r>
      <w:r w:rsidR="00351DC8">
        <w:t>rosper</w:t>
      </w:r>
      <w:r w:rsidR="00CA428A">
        <w:t>”</w:t>
      </w:r>
      <w:r w:rsidR="00351DC8">
        <w:t xml:space="preserve"> in </w:t>
      </w:r>
      <w:r w:rsidR="00CA428A">
        <w:t xml:space="preserve">the </w:t>
      </w:r>
      <w:r w:rsidR="00351DC8">
        <w:t xml:space="preserve">Khasi </w:t>
      </w:r>
      <w:r w:rsidR="00CA428A">
        <w:t>l</w:t>
      </w:r>
      <w:r w:rsidR="00351DC8">
        <w:t xml:space="preserve">anguage. </w:t>
      </w:r>
      <w:r w:rsidR="000A4B3F">
        <w:t xml:space="preserve">According to MTG’s records, the project </w:t>
      </w:r>
      <w:r w:rsidR="00E40907">
        <w:t xml:space="preserve">improved the </w:t>
      </w:r>
      <w:r w:rsidR="004338F0" w:rsidRPr="00EA33C7">
        <w:t>village</w:t>
      </w:r>
      <w:r w:rsidR="004338F0">
        <w:t xml:space="preserve">’s </w:t>
      </w:r>
      <w:r w:rsidR="00E40907">
        <w:t>economy</w:t>
      </w:r>
      <w:r w:rsidR="004338F0">
        <w:t xml:space="preserve"> from a</w:t>
      </w:r>
      <w:r w:rsidR="00CA428A">
        <w:t xml:space="preserve"> </w:t>
      </w:r>
      <w:r w:rsidR="00702B0A">
        <w:t xml:space="preserve">mean </w:t>
      </w:r>
      <w:r w:rsidR="00CA428A">
        <w:t xml:space="preserve">household </w:t>
      </w:r>
      <w:r w:rsidR="00702B0A">
        <w:t xml:space="preserve">income </w:t>
      </w:r>
      <w:r w:rsidR="004338F0">
        <w:t xml:space="preserve">of </w:t>
      </w:r>
      <w:r w:rsidR="00702B0A" w:rsidRPr="00E10707">
        <w:rPr>
          <w:rFonts w:ascii="Tahoma" w:hAnsi="Tahoma" w:cs="Tahoma"/>
        </w:rPr>
        <w:t>₹</w:t>
      </w:r>
      <w:r w:rsidR="00702B0A">
        <w:t>1</w:t>
      </w:r>
      <w:r w:rsidR="000A4B3F">
        <w:t>,</w:t>
      </w:r>
      <w:r w:rsidR="00702B0A">
        <w:t>500</w:t>
      </w:r>
      <w:r w:rsidR="00CA428A" w:rsidRPr="00200D62">
        <w:rPr>
          <w:rStyle w:val="FootnoteReference"/>
        </w:rPr>
        <w:footnoteReference w:id="2"/>
      </w:r>
      <w:r w:rsidR="00702B0A" w:rsidRPr="00200D62">
        <w:t xml:space="preserve"> </w:t>
      </w:r>
      <w:r w:rsidR="000A4B3F">
        <w:t xml:space="preserve">in 1999 </w:t>
      </w:r>
      <w:r w:rsidR="00702B0A">
        <w:t xml:space="preserve">to </w:t>
      </w:r>
      <w:r w:rsidR="00702B0A" w:rsidRPr="00E10707">
        <w:rPr>
          <w:rFonts w:ascii="Tahoma" w:hAnsi="Tahoma" w:cs="Tahoma"/>
        </w:rPr>
        <w:t>₹</w:t>
      </w:r>
      <w:r w:rsidR="00702B0A">
        <w:t>4</w:t>
      </w:r>
      <w:r w:rsidR="000A4B3F">
        <w:t>,</w:t>
      </w:r>
      <w:r w:rsidR="00702B0A">
        <w:t xml:space="preserve">500 </w:t>
      </w:r>
      <w:r w:rsidR="000A4B3F">
        <w:t xml:space="preserve">in </w:t>
      </w:r>
      <w:r w:rsidR="00702B0A">
        <w:t>2012</w:t>
      </w:r>
      <w:r w:rsidR="00207F1B">
        <w:t>.</w:t>
      </w:r>
    </w:p>
    <w:p w14:paraId="58155D5C" w14:textId="77777777" w:rsidR="00EA33C7" w:rsidRPr="00EA33C7" w:rsidRDefault="00EA33C7" w:rsidP="00EA33C7">
      <w:pPr>
        <w:pStyle w:val="BodyTextMain"/>
      </w:pPr>
    </w:p>
    <w:p w14:paraId="46AB7BEC" w14:textId="374FCF4A" w:rsidR="00EA33C7" w:rsidRPr="00EA33C7" w:rsidRDefault="005A762F" w:rsidP="00EA33C7">
      <w:pPr>
        <w:pStyle w:val="BodyTextMain"/>
      </w:pPr>
      <w:r>
        <w:t xml:space="preserve">In 2014, </w:t>
      </w:r>
      <w:r w:rsidR="00EA33C7" w:rsidRPr="00EA33C7">
        <w:t>Mawlyngot ha</w:t>
      </w:r>
      <w:r w:rsidR="004D24AF">
        <w:t>d</w:t>
      </w:r>
      <w:r w:rsidR="00EA33C7" w:rsidRPr="00EA33C7">
        <w:t xml:space="preserve"> a</w:t>
      </w:r>
      <w:r w:rsidR="00DD3A2B">
        <w:t xml:space="preserve">bout </w:t>
      </w:r>
      <w:r w:rsidR="00A61B5B">
        <w:rPr>
          <w:noProof/>
        </w:rPr>
        <w:t>45</w:t>
      </w:r>
      <w:r w:rsidR="00EA33C7" w:rsidRPr="00EA33C7">
        <w:t xml:space="preserve"> households committed to sustainable development. Being involved </w:t>
      </w:r>
      <w:r>
        <w:t>with</w:t>
      </w:r>
      <w:r w:rsidRPr="00EA33C7">
        <w:t xml:space="preserve"> </w:t>
      </w:r>
      <w:r w:rsidR="00EA33C7" w:rsidRPr="00EA33C7">
        <w:t xml:space="preserve">the tea plantation strengthened the sense of ownership among the local </w:t>
      </w:r>
      <w:r w:rsidR="00052D5F" w:rsidRPr="00EA33C7">
        <w:t>farmers.</w:t>
      </w:r>
      <w:r w:rsidR="00052D5F">
        <w:t xml:space="preserve"> When</w:t>
      </w:r>
      <w:r w:rsidR="00A6075B">
        <w:t xml:space="preserve"> </w:t>
      </w:r>
      <w:r w:rsidR="00EA33C7" w:rsidRPr="00EA33C7">
        <w:t xml:space="preserve">asked </w:t>
      </w:r>
      <w:r w:rsidR="00A6075B">
        <w:t xml:space="preserve">about </w:t>
      </w:r>
      <w:r w:rsidR="00EA33C7" w:rsidRPr="00EA33C7">
        <w:t xml:space="preserve">the progress </w:t>
      </w:r>
      <w:r w:rsidR="00D56B5C">
        <w:t>of</w:t>
      </w:r>
      <w:r w:rsidR="00EA33C7" w:rsidRPr="00EA33C7">
        <w:t xml:space="preserve"> the village over the years</w:t>
      </w:r>
      <w:r w:rsidR="004D24AF">
        <w:t>,</w:t>
      </w:r>
      <w:r w:rsidR="00A61B5B">
        <w:t xml:space="preserve"> </w:t>
      </w:r>
      <w:proofErr w:type="spellStart"/>
      <w:r w:rsidR="00A61B5B" w:rsidRPr="00EA33C7">
        <w:t>Nongspung</w:t>
      </w:r>
      <w:proofErr w:type="spellEnd"/>
      <w:r w:rsidR="00EA33C7" w:rsidRPr="00EA33C7">
        <w:t xml:space="preserve"> responded</w:t>
      </w:r>
      <w:r>
        <w:t>:</w:t>
      </w:r>
    </w:p>
    <w:p w14:paraId="3BBDDCFC" w14:textId="77777777" w:rsidR="00EA33C7" w:rsidRPr="00EA33C7" w:rsidRDefault="00EA33C7" w:rsidP="00EA33C7">
      <w:pPr>
        <w:pStyle w:val="BodyTextMain"/>
      </w:pPr>
    </w:p>
    <w:p w14:paraId="7DD377A0" w14:textId="13B09E8C" w:rsidR="00EA33C7" w:rsidRPr="00665D3F" w:rsidRDefault="00EA33C7" w:rsidP="00665D3F">
      <w:pPr>
        <w:pStyle w:val="BodyTextMain"/>
        <w:ind w:left="720"/>
      </w:pPr>
      <w:r w:rsidRPr="00665D3F">
        <w:t>The problem of alcoholism has declined</w:t>
      </w:r>
      <w:r w:rsidR="00A61B5B" w:rsidRPr="00665D3F">
        <w:t>,</w:t>
      </w:r>
      <w:r w:rsidRPr="00665D3F">
        <w:t xml:space="preserve"> and the village started seeing great</w:t>
      </w:r>
      <w:r w:rsidR="00C21BB2" w:rsidRPr="00665D3F">
        <w:t>er</w:t>
      </w:r>
      <w:r w:rsidRPr="00665D3F">
        <w:t xml:space="preserve"> health benefits. Because of tea, impoverished families </w:t>
      </w:r>
      <w:r w:rsidR="00D56B5C" w:rsidRPr="00665D3F">
        <w:t xml:space="preserve">are </w:t>
      </w:r>
      <w:r w:rsidRPr="00665D3F">
        <w:t>now hav</w:t>
      </w:r>
      <w:r w:rsidR="00D56B5C" w:rsidRPr="00665D3F">
        <w:t>ing</w:t>
      </w:r>
      <w:r w:rsidRPr="00665D3F">
        <w:t xml:space="preserve"> the means to send their children to school and complete their higher studies. Food insecurity has become an issue of the past</w:t>
      </w:r>
      <w:r w:rsidR="00A61B5B" w:rsidRPr="00665D3F">
        <w:t>,</w:t>
      </w:r>
      <w:r w:rsidRPr="00665D3F">
        <w:t xml:space="preserve"> and proper housing has become </w:t>
      </w:r>
      <w:r w:rsidR="008E5571" w:rsidRPr="00665D3F">
        <w:t>a reality</w:t>
      </w:r>
      <w:r w:rsidRPr="00665D3F">
        <w:t>. Tea has transf</w:t>
      </w:r>
      <w:r w:rsidR="004D24AF" w:rsidRPr="00665D3F">
        <w:t>ormed the lives in this village.</w:t>
      </w:r>
    </w:p>
    <w:p w14:paraId="2FCDE184" w14:textId="77777777" w:rsidR="00A2128A" w:rsidRDefault="00A2128A" w:rsidP="00F84ED9">
      <w:pPr>
        <w:pStyle w:val="BodyTextMain"/>
      </w:pPr>
    </w:p>
    <w:p w14:paraId="05375D12" w14:textId="77777777" w:rsidR="00F84ED9" w:rsidRDefault="00F84ED9" w:rsidP="00F84ED9">
      <w:pPr>
        <w:pStyle w:val="BodyTextMain"/>
      </w:pPr>
    </w:p>
    <w:p w14:paraId="36C0F693" w14:textId="6D9E3C23" w:rsidR="003F53C3" w:rsidRDefault="003F53C3" w:rsidP="001C571B">
      <w:pPr>
        <w:pStyle w:val="Casehead1"/>
        <w:outlineLvl w:val="0"/>
      </w:pPr>
      <w:r w:rsidRPr="003F53C3">
        <w:t xml:space="preserve">THE MAWLYNGOT COOPERATIVE </w:t>
      </w:r>
    </w:p>
    <w:p w14:paraId="6F619A53" w14:textId="77777777" w:rsidR="00731F40" w:rsidRPr="003F53C3" w:rsidRDefault="00731F40" w:rsidP="003F53C3">
      <w:pPr>
        <w:pStyle w:val="BodyTextMain"/>
        <w:rPr>
          <w:b/>
        </w:rPr>
      </w:pPr>
    </w:p>
    <w:p w14:paraId="3728E60B" w14:textId="5D2AE79D" w:rsidR="00BB2030" w:rsidRDefault="005A762F" w:rsidP="003F53C3">
      <w:pPr>
        <w:pStyle w:val="BodyTextMain"/>
      </w:pPr>
      <w:r>
        <w:t xml:space="preserve">The beginning of the journey for the cooperative was </w:t>
      </w:r>
      <w:r w:rsidR="003F53C3">
        <w:t xml:space="preserve">1987, </w:t>
      </w:r>
      <w:r>
        <w:t xml:space="preserve">when </w:t>
      </w:r>
      <w:r w:rsidR="003F53C3">
        <w:t>the farmers</w:t>
      </w:r>
      <w:r>
        <w:t>’</w:t>
      </w:r>
      <w:r w:rsidR="003F53C3">
        <w:t xml:space="preserve"> centre was formed in collaboration with </w:t>
      </w:r>
      <w:r>
        <w:t xml:space="preserve">a </w:t>
      </w:r>
      <w:r w:rsidR="003F53C3">
        <w:t>farmers</w:t>
      </w:r>
      <w:r>
        <w:t>’</w:t>
      </w:r>
      <w:r w:rsidR="003F53C3">
        <w:t xml:space="preserve"> training centre. </w:t>
      </w:r>
      <w:proofErr w:type="spellStart"/>
      <w:r w:rsidR="00C1631C" w:rsidRPr="005A6150">
        <w:t>Nongspung</w:t>
      </w:r>
      <w:proofErr w:type="spellEnd"/>
      <w:r w:rsidR="00C1631C" w:rsidRPr="005A6150">
        <w:t xml:space="preserve"> </w:t>
      </w:r>
      <w:r w:rsidR="00C1631C">
        <w:t xml:space="preserve">had observed that Mawlyngot had an ideal climate for tea farming, especially organic farming. The area was naturally bestowed with an abundance of water, both wet and dry climates, and good soil conditions. </w:t>
      </w:r>
      <w:proofErr w:type="spellStart"/>
      <w:r w:rsidR="00C1631C">
        <w:t>Nongspung</w:t>
      </w:r>
      <w:proofErr w:type="spellEnd"/>
      <w:r w:rsidR="00C1631C">
        <w:t xml:space="preserve"> </w:t>
      </w:r>
      <w:r w:rsidR="00C1631C" w:rsidRPr="005A6150">
        <w:t xml:space="preserve">first </w:t>
      </w:r>
      <w:r w:rsidR="00C1631C">
        <w:t xml:space="preserve">experimented with tea farming on his small organic </w:t>
      </w:r>
      <w:r w:rsidR="00C1631C" w:rsidRPr="005A6150">
        <w:t>tea farm</w:t>
      </w:r>
      <w:r w:rsidR="00C1631C">
        <w:t>. In 2000,</w:t>
      </w:r>
      <w:r w:rsidR="00C1631C" w:rsidRPr="005A6150">
        <w:t xml:space="preserve"> </w:t>
      </w:r>
      <w:r w:rsidR="00C1631C">
        <w:t>when villagers found merit in the idea, a village development committee was formed</w:t>
      </w:r>
      <w:r w:rsidR="003F53C3">
        <w:t xml:space="preserve"> with the idea </w:t>
      </w:r>
      <w:r>
        <w:t xml:space="preserve">of </w:t>
      </w:r>
      <w:r w:rsidR="003F53C3">
        <w:t>star</w:t>
      </w:r>
      <w:r w:rsidR="00815D99">
        <w:t>t</w:t>
      </w:r>
      <w:r>
        <w:t>ing</w:t>
      </w:r>
      <w:r w:rsidR="003F53C3">
        <w:t xml:space="preserve"> tea cultivation. In Feb</w:t>
      </w:r>
      <w:r>
        <w:t>ruary</w:t>
      </w:r>
      <w:r w:rsidR="003F53C3">
        <w:t xml:space="preserve"> 2001, the development committee applied </w:t>
      </w:r>
      <w:r w:rsidR="004A46B9">
        <w:t xml:space="preserve">to </w:t>
      </w:r>
      <w:r>
        <w:t xml:space="preserve">the </w:t>
      </w:r>
      <w:r w:rsidR="00BB2030">
        <w:t>Department</w:t>
      </w:r>
      <w:r w:rsidR="00573B53">
        <w:t xml:space="preserve"> of </w:t>
      </w:r>
      <w:r w:rsidR="003F53C3">
        <w:t>Border Area</w:t>
      </w:r>
      <w:r w:rsidR="003F6FD7">
        <w:t>s</w:t>
      </w:r>
      <w:r w:rsidR="004A46B9">
        <w:t xml:space="preserve"> for </w:t>
      </w:r>
      <w:r w:rsidR="00C1631C">
        <w:t>development aid from the government</w:t>
      </w:r>
      <w:r w:rsidR="004A46B9">
        <w:t xml:space="preserve"> </w:t>
      </w:r>
      <w:r w:rsidR="003F53C3">
        <w:t>for tea cultivation</w:t>
      </w:r>
      <w:r w:rsidR="00F82140">
        <w:t>.</w:t>
      </w:r>
      <w:r w:rsidR="003F53C3">
        <w:t xml:space="preserve"> </w:t>
      </w:r>
      <w:r w:rsidR="00017AC6">
        <w:t>T</w:t>
      </w:r>
      <w:r w:rsidR="003F53C3">
        <w:t xml:space="preserve">he </w:t>
      </w:r>
      <w:r w:rsidR="00017AC6">
        <w:t xml:space="preserve">scheme </w:t>
      </w:r>
      <w:r w:rsidR="003F53C3">
        <w:t>was sanctioned with the assistan</w:t>
      </w:r>
      <w:r w:rsidR="00E869E0">
        <w:t>ce</w:t>
      </w:r>
      <w:r w:rsidR="003F53C3">
        <w:t xml:space="preserve"> of officers from </w:t>
      </w:r>
      <w:r w:rsidR="00E869E0">
        <w:t xml:space="preserve">the </w:t>
      </w:r>
      <w:r w:rsidR="003F53C3">
        <w:t>Department of Agriculture, Meghalaya</w:t>
      </w:r>
      <w:r w:rsidR="009F600E">
        <w:t>.</w:t>
      </w:r>
      <w:r w:rsidR="003F53C3">
        <w:t xml:space="preserve"> </w:t>
      </w:r>
      <w:r w:rsidR="00BB2030">
        <w:t xml:space="preserve">In July 2003, the cooperative was given </w:t>
      </w:r>
      <w:r w:rsidR="00571899" w:rsidRPr="00E10707">
        <w:rPr>
          <w:rFonts w:ascii="Tahoma" w:hAnsi="Tahoma" w:cs="Tahoma"/>
        </w:rPr>
        <w:t>₹</w:t>
      </w:r>
      <w:r w:rsidR="009F600E">
        <w:t>5,872,</w:t>
      </w:r>
      <w:r w:rsidR="003F53C3">
        <w:t xml:space="preserve">000 </w:t>
      </w:r>
      <w:r w:rsidR="00BB2030">
        <w:t>toward</w:t>
      </w:r>
      <w:r w:rsidR="00815D99">
        <w:t xml:space="preserve"> the</w:t>
      </w:r>
      <w:r w:rsidR="003F53C3">
        <w:t xml:space="preserve"> </w:t>
      </w:r>
      <w:r w:rsidR="003F53C3" w:rsidRPr="00815D99">
        <w:rPr>
          <w:noProof/>
        </w:rPr>
        <w:t>development</w:t>
      </w:r>
      <w:r w:rsidR="003F53C3">
        <w:t xml:space="preserve"> of tea cultivation. </w:t>
      </w:r>
      <w:r w:rsidR="00BB2030">
        <w:t>T</w:t>
      </w:r>
      <w:r w:rsidR="003F53C3">
        <w:t xml:space="preserve">he </w:t>
      </w:r>
      <w:r w:rsidR="00BB2030">
        <w:t>cooperative was then registered</w:t>
      </w:r>
      <w:r w:rsidR="00C1631C">
        <w:t xml:space="preserve"> under the </w:t>
      </w:r>
      <w:r w:rsidR="00C1631C" w:rsidRPr="00C1631C">
        <w:rPr>
          <w:i/>
        </w:rPr>
        <w:t>Societies Registration Act, 1860</w:t>
      </w:r>
      <w:r w:rsidR="00C1631C">
        <w:t>,</w:t>
      </w:r>
      <w:r w:rsidR="00BB2030">
        <w:t xml:space="preserve"> as the </w:t>
      </w:r>
      <w:r w:rsidR="003F53C3">
        <w:t>Mawlyngot Tea Grower</w:t>
      </w:r>
      <w:r w:rsidR="00256E04">
        <w:t>’</w:t>
      </w:r>
      <w:r w:rsidR="003F53C3">
        <w:t xml:space="preserve">s Society. </w:t>
      </w:r>
      <w:r w:rsidR="0020609E">
        <w:t>A few years later, because the operations involved all households in the village, the society was granted the status of Integrated Development Society.</w:t>
      </w:r>
    </w:p>
    <w:p w14:paraId="31245D31" w14:textId="77777777" w:rsidR="00BB2030" w:rsidRDefault="00BB2030" w:rsidP="003F53C3">
      <w:pPr>
        <w:pStyle w:val="BodyTextMain"/>
      </w:pPr>
    </w:p>
    <w:p w14:paraId="30F3BBE3" w14:textId="49ECA3EF" w:rsidR="000F2338" w:rsidRDefault="00A025EE" w:rsidP="003F53C3">
      <w:pPr>
        <w:pStyle w:val="BodyTextMain"/>
      </w:pPr>
      <w:r>
        <w:t>T</w:t>
      </w:r>
      <w:r w:rsidR="003F53C3">
        <w:t xml:space="preserve">he first batch of tea plants </w:t>
      </w:r>
      <w:r w:rsidR="003F53C3" w:rsidRPr="00815D99">
        <w:rPr>
          <w:noProof/>
        </w:rPr>
        <w:t>w</w:t>
      </w:r>
      <w:r w:rsidR="00815D99">
        <w:rPr>
          <w:noProof/>
        </w:rPr>
        <w:t>as</w:t>
      </w:r>
      <w:r w:rsidR="003F53C3">
        <w:t xml:space="preserve"> planted </w:t>
      </w:r>
      <w:r>
        <w:t xml:space="preserve">in August 2003 </w:t>
      </w:r>
      <w:r w:rsidR="003F53C3">
        <w:t xml:space="preserve">under the guidance of </w:t>
      </w:r>
      <w:r w:rsidR="009F600E">
        <w:t xml:space="preserve">the </w:t>
      </w:r>
      <w:r w:rsidR="003F53C3">
        <w:t xml:space="preserve">Tea </w:t>
      </w:r>
      <w:r w:rsidR="00E8337C">
        <w:t>D</w:t>
      </w:r>
      <w:r w:rsidR="003F53C3">
        <w:t xml:space="preserve">evelopment </w:t>
      </w:r>
      <w:r w:rsidR="00E8337C">
        <w:t>C</w:t>
      </w:r>
      <w:r w:rsidR="003F53C3">
        <w:t>entre</w:t>
      </w:r>
      <w:r w:rsidR="00E8337C">
        <w:t xml:space="preserve"> of the Government of</w:t>
      </w:r>
      <w:r w:rsidR="003F53C3">
        <w:t xml:space="preserve"> Meghalaya. </w:t>
      </w:r>
      <w:r w:rsidR="001909C1">
        <w:t>M</w:t>
      </w:r>
      <w:r w:rsidR="003F53C3">
        <w:t xml:space="preserve">embers of the society had the opportunity to visit tea growing areas </w:t>
      </w:r>
      <w:r w:rsidR="00E8337C">
        <w:t xml:space="preserve">in </w:t>
      </w:r>
      <w:r w:rsidR="003F53C3">
        <w:t>Darjeeling</w:t>
      </w:r>
      <w:r w:rsidR="009F600E">
        <w:t>,</w:t>
      </w:r>
      <w:r w:rsidR="003F53C3">
        <w:t xml:space="preserve"> which </w:t>
      </w:r>
      <w:r w:rsidR="00E8337C">
        <w:t xml:space="preserve">provided </w:t>
      </w:r>
      <w:r w:rsidR="003F53C3">
        <w:t>the</w:t>
      </w:r>
      <w:r w:rsidR="00E8337C">
        <w:t xml:space="preserve"> </w:t>
      </w:r>
      <w:r w:rsidR="003F53C3">
        <w:t>m</w:t>
      </w:r>
      <w:r w:rsidR="00E8337C">
        <w:t>embers with</w:t>
      </w:r>
      <w:r w:rsidR="003F53C3">
        <w:t xml:space="preserve"> more knowledge about various practices of tea cultivation</w:t>
      </w:r>
      <w:r w:rsidR="00E8337C">
        <w:t>, helping the members learn and the society grow.</w:t>
      </w:r>
      <w:r w:rsidR="003F53C3">
        <w:t xml:space="preserve"> </w:t>
      </w:r>
    </w:p>
    <w:p w14:paraId="5557BCD1" w14:textId="77777777" w:rsidR="000F2338" w:rsidRDefault="000F2338" w:rsidP="003F53C3">
      <w:pPr>
        <w:pStyle w:val="BodyTextMain"/>
      </w:pPr>
    </w:p>
    <w:p w14:paraId="70598E9C" w14:textId="5204552A" w:rsidR="003F53C3" w:rsidRDefault="000F2338" w:rsidP="003F53C3">
      <w:pPr>
        <w:pStyle w:val="BodyTextMain"/>
      </w:pPr>
      <w:r>
        <w:t>A</w:t>
      </w:r>
      <w:r w:rsidR="003F53C3">
        <w:t xml:space="preserve"> </w:t>
      </w:r>
      <w:r w:rsidR="009F600E">
        <w:t>t</w:t>
      </w:r>
      <w:r w:rsidR="003F53C3">
        <w:t xml:space="preserve">ea processing unit was established </w:t>
      </w:r>
      <w:r>
        <w:t xml:space="preserve">in </w:t>
      </w:r>
      <w:r w:rsidR="003F53C3">
        <w:t xml:space="preserve">Mawlyngot </w:t>
      </w:r>
      <w:r>
        <w:t xml:space="preserve">in early 2003. With </w:t>
      </w:r>
      <w:r w:rsidR="003F53C3">
        <w:t>several years of hard work and continuous improvement</w:t>
      </w:r>
      <w:r>
        <w:t xml:space="preserve">, the processing unit and its tea products were </w:t>
      </w:r>
      <w:r w:rsidR="003F53C3">
        <w:t xml:space="preserve">certified as organic </w:t>
      </w:r>
      <w:r w:rsidR="001909C1">
        <w:t xml:space="preserve">in August 2011 </w:t>
      </w:r>
      <w:r w:rsidR="003F53C3">
        <w:t xml:space="preserve">by </w:t>
      </w:r>
      <w:r w:rsidR="0061108A">
        <w:t>India’s Contro</w:t>
      </w:r>
      <w:r w:rsidR="001909C1">
        <w:t>l Union of Organic Certificates</w:t>
      </w:r>
      <w:r w:rsidR="003F53C3">
        <w:t xml:space="preserve">. </w:t>
      </w:r>
      <w:r w:rsidR="0061108A">
        <w:t>The next</w:t>
      </w:r>
      <w:r w:rsidR="003F53C3">
        <w:t xml:space="preserve"> year</w:t>
      </w:r>
      <w:r w:rsidR="009F600E">
        <w:t>,</w:t>
      </w:r>
      <w:r w:rsidR="003F53C3">
        <w:t xml:space="preserve"> the</w:t>
      </w:r>
      <w:r w:rsidR="0061108A">
        <w:t xml:space="preserve"> society</w:t>
      </w:r>
      <w:r w:rsidR="003F53C3">
        <w:t xml:space="preserve"> </w:t>
      </w:r>
      <w:r w:rsidR="0061108A">
        <w:t xml:space="preserve">began </w:t>
      </w:r>
      <w:r w:rsidR="003F53C3">
        <w:t xml:space="preserve">experimenting </w:t>
      </w:r>
      <w:r w:rsidR="001909C1">
        <w:t xml:space="preserve">with </w:t>
      </w:r>
      <w:r w:rsidR="003F53C3" w:rsidRPr="00815D99">
        <w:rPr>
          <w:noProof/>
        </w:rPr>
        <w:t>coffee</w:t>
      </w:r>
      <w:r w:rsidR="003F53C3">
        <w:t xml:space="preserve"> plantation</w:t>
      </w:r>
      <w:r w:rsidR="009F600E">
        <w:t>s</w:t>
      </w:r>
      <w:r w:rsidR="003F53C3">
        <w:t xml:space="preserve"> and had </w:t>
      </w:r>
      <w:r w:rsidR="003F53C3" w:rsidRPr="00815D99">
        <w:rPr>
          <w:noProof/>
        </w:rPr>
        <w:t>several round</w:t>
      </w:r>
      <w:r w:rsidR="00815D99">
        <w:rPr>
          <w:noProof/>
        </w:rPr>
        <w:t>s</w:t>
      </w:r>
      <w:r w:rsidR="003F53C3">
        <w:t xml:space="preserve"> of discussion</w:t>
      </w:r>
      <w:r w:rsidR="009F600E">
        <w:t>s</w:t>
      </w:r>
      <w:r w:rsidR="003F53C3">
        <w:t xml:space="preserve"> with neighbouring villages </w:t>
      </w:r>
      <w:r w:rsidR="001909C1">
        <w:t xml:space="preserve">about </w:t>
      </w:r>
      <w:r w:rsidR="003F53C3" w:rsidRPr="00815D99">
        <w:rPr>
          <w:noProof/>
        </w:rPr>
        <w:t>expan</w:t>
      </w:r>
      <w:r w:rsidR="001909C1">
        <w:rPr>
          <w:noProof/>
        </w:rPr>
        <w:t>ding</w:t>
      </w:r>
      <w:r w:rsidR="003F53C3">
        <w:t xml:space="preserve"> the cooperative model </w:t>
      </w:r>
      <w:r w:rsidR="001909C1">
        <w:t>to include the neighbouring villages</w:t>
      </w:r>
      <w:r w:rsidR="003F53C3">
        <w:t>.</w:t>
      </w:r>
    </w:p>
    <w:p w14:paraId="5AB1C182" w14:textId="77777777" w:rsidR="003F53C3" w:rsidRDefault="003F53C3" w:rsidP="00EA33C7">
      <w:pPr>
        <w:pStyle w:val="Casehead1"/>
      </w:pPr>
    </w:p>
    <w:p w14:paraId="0E6A58B1" w14:textId="77777777" w:rsidR="00731F40" w:rsidRDefault="00731F40" w:rsidP="00EA33C7">
      <w:pPr>
        <w:pStyle w:val="Casehead1"/>
      </w:pPr>
    </w:p>
    <w:p w14:paraId="6199E259" w14:textId="0FAF702F" w:rsidR="00EA33C7" w:rsidRPr="005A6150" w:rsidRDefault="00BC322B" w:rsidP="00200D62">
      <w:pPr>
        <w:pStyle w:val="Casehead2"/>
      </w:pPr>
      <w:r>
        <w:t>The Cooperative Model</w:t>
      </w:r>
    </w:p>
    <w:p w14:paraId="20D93F91" w14:textId="77777777" w:rsidR="00731F40" w:rsidRDefault="00731F40" w:rsidP="00787039">
      <w:pPr>
        <w:pStyle w:val="BodyTextMain"/>
      </w:pPr>
    </w:p>
    <w:p w14:paraId="47B8A9F2" w14:textId="05E66854" w:rsidR="0059237A" w:rsidRDefault="00711DA5" w:rsidP="00694B34">
      <w:pPr>
        <w:pStyle w:val="BodyTextMain"/>
      </w:pPr>
      <w:r>
        <w:t xml:space="preserve">The </w:t>
      </w:r>
      <w:r w:rsidR="002A0B56">
        <w:t>MTG</w:t>
      </w:r>
      <w:r w:rsidR="0059237A">
        <w:t xml:space="preserve"> </w:t>
      </w:r>
      <w:r>
        <w:t xml:space="preserve">model </w:t>
      </w:r>
      <w:r w:rsidR="004B66C5">
        <w:t xml:space="preserve">had </w:t>
      </w:r>
      <w:r>
        <w:t xml:space="preserve">three </w:t>
      </w:r>
      <w:r w:rsidR="004B66C5">
        <w:t>tiers</w:t>
      </w:r>
      <w:r w:rsidR="00F368CD">
        <w:t>:</w:t>
      </w:r>
      <w:r w:rsidR="004B66C5">
        <w:t xml:space="preserve"> </w:t>
      </w:r>
      <w:r w:rsidR="00B61D1B">
        <w:t xml:space="preserve">the </w:t>
      </w:r>
      <w:r w:rsidR="004B66C5">
        <w:t>Dorbar Shnong</w:t>
      </w:r>
      <w:r w:rsidR="00B24352">
        <w:t>,</w:t>
      </w:r>
      <w:r w:rsidR="0059237A">
        <w:t xml:space="preserve"> </w:t>
      </w:r>
      <w:r w:rsidR="00B61D1B">
        <w:t>the village c</w:t>
      </w:r>
      <w:r w:rsidR="00B24352">
        <w:t xml:space="preserve">ooperative </w:t>
      </w:r>
      <w:r w:rsidR="00B61D1B">
        <w:t>s</w:t>
      </w:r>
      <w:r w:rsidR="004B66C5">
        <w:t>ociety</w:t>
      </w:r>
      <w:r w:rsidR="009F600E">
        <w:t>,</w:t>
      </w:r>
      <w:r w:rsidR="004B66C5">
        <w:t xml:space="preserve"> </w:t>
      </w:r>
      <w:r w:rsidR="00B24352">
        <w:t xml:space="preserve">and </w:t>
      </w:r>
      <w:r w:rsidR="00C11DF6">
        <w:t>s</w:t>
      </w:r>
      <w:r w:rsidR="00B24352">
        <w:t>elf</w:t>
      </w:r>
      <w:r w:rsidR="00C11DF6">
        <w:t>-h</w:t>
      </w:r>
      <w:r w:rsidR="00B24352">
        <w:t>el</w:t>
      </w:r>
      <w:r w:rsidR="009F600E">
        <w:t>p</w:t>
      </w:r>
      <w:r w:rsidR="00B24352">
        <w:t xml:space="preserve"> </w:t>
      </w:r>
      <w:r w:rsidR="00C11DF6">
        <w:t>g</w:t>
      </w:r>
      <w:r>
        <w:t>roups</w:t>
      </w:r>
      <w:r w:rsidR="00B24352">
        <w:t xml:space="preserve"> (SHG)</w:t>
      </w:r>
      <w:r>
        <w:t xml:space="preserve">. </w:t>
      </w:r>
      <w:r w:rsidR="004B66C5">
        <w:t xml:space="preserve">An </w:t>
      </w:r>
      <w:r w:rsidR="0059237A">
        <w:t>integrated</w:t>
      </w:r>
      <w:r>
        <w:t xml:space="preserve"> model was design</w:t>
      </w:r>
      <w:r w:rsidR="00B24352">
        <w:t>ed</w:t>
      </w:r>
      <w:r>
        <w:t xml:space="preserve"> to connect the village tea growers </w:t>
      </w:r>
      <w:r w:rsidR="00F368CD">
        <w:t xml:space="preserve">directly </w:t>
      </w:r>
      <w:r>
        <w:t>with the consumers</w:t>
      </w:r>
      <w:r w:rsidR="00F368CD">
        <w:t>,</w:t>
      </w:r>
      <w:r>
        <w:t xml:space="preserve"> </w:t>
      </w:r>
      <w:r w:rsidR="00F368CD">
        <w:t>removing any intermediaries</w:t>
      </w:r>
      <w:r>
        <w:t>.</w:t>
      </w:r>
    </w:p>
    <w:p w14:paraId="6DF1FB41" w14:textId="77777777" w:rsidR="009F600E" w:rsidRDefault="009F600E" w:rsidP="00EA33C7">
      <w:pPr>
        <w:pStyle w:val="Casehead2"/>
      </w:pPr>
    </w:p>
    <w:p w14:paraId="1111351C" w14:textId="77777777" w:rsidR="00CC37FD" w:rsidRDefault="00CC37FD" w:rsidP="00694B34">
      <w:pPr>
        <w:pStyle w:val="Casehead3"/>
      </w:pPr>
    </w:p>
    <w:p w14:paraId="0A31725D" w14:textId="77777777" w:rsidR="00665D3F" w:rsidRDefault="00665D3F" w:rsidP="00694B34">
      <w:pPr>
        <w:pStyle w:val="Casehead3"/>
      </w:pPr>
    </w:p>
    <w:p w14:paraId="4B1A8ACF" w14:textId="5F05DD5C" w:rsidR="00EA33C7" w:rsidRDefault="00EA33C7" w:rsidP="00694B34">
      <w:pPr>
        <w:pStyle w:val="Casehead3"/>
      </w:pPr>
      <w:r w:rsidRPr="005A6150">
        <w:lastRenderedPageBreak/>
        <w:t>Mawlyngot Dorbar Shnong</w:t>
      </w:r>
    </w:p>
    <w:p w14:paraId="5C2F3F13" w14:textId="77777777" w:rsidR="00CC37FD" w:rsidRPr="005A6150" w:rsidRDefault="00CC37FD" w:rsidP="00694B34">
      <w:pPr>
        <w:pStyle w:val="Casehead3"/>
      </w:pPr>
    </w:p>
    <w:p w14:paraId="28F337BA" w14:textId="62386531" w:rsidR="00EA33C7" w:rsidRPr="005A6150" w:rsidRDefault="00014AEA" w:rsidP="00393C76">
      <w:pPr>
        <w:pStyle w:val="BodyTextMain"/>
      </w:pPr>
      <w:r>
        <w:t xml:space="preserve">The </w:t>
      </w:r>
      <w:r w:rsidR="00EA33C7" w:rsidRPr="005A6150">
        <w:t xml:space="preserve">Dorbar Shnong </w:t>
      </w:r>
      <w:r w:rsidR="009F600E">
        <w:t>was</w:t>
      </w:r>
      <w:r w:rsidR="00EA33C7" w:rsidRPr="005A6150">
        <w:t xml:space="preserve"> an important institution in almost all the villages of </w:t>
      </w:r>
      <w:r w:rsidR="006C7164">
        <w:t>Meghalaya</w:t>
      </w:r>
      <w:r w:rsidR="00052D5F">
        <w:t>;</w:t>
      </w:r>
      <w:r w:rsidR="00EA33C7" w:rsidRPr="005A6150">
        <w:t xml:space="preserve"> </w:t>
      </w:r>
      <w:r w:rsidR="00400436">
        <w:t>i</w:t>
      </w:r>
      <w:r w:rsidR="009F021B">
        <w:t xml:space="preserve">t </w:t>
      </w:r>
      <w:r w:rsidR="00EA33C7" w:rsidRPr="005A6150">
        <w:t>supervise</w:t>
      </w:r>
      <w:r w:rsidR="006745FB">
        <w:t>d</w:t>
      </w:r>
      <w:r w:rsidR="00EA33C7" w:rsidRPr="005A6150">
        <w:t xml:space="preserve"> the functioning of the village and </w:t>
      </w:r>
      <w:r w:rsidR="00687DD1">
        <w:t>look</w:t>
      </w:r>
      <w:r w:rsidR="006745FB">
        <w:t>ed</w:t>
      </w:r>
      <w:r w:rsidR="00687DD1">
        <w:t xml:space="preserve"> a</w:t>
      </w:r>
      <w:r w:rsidR="00393C76">
        <w:t xml:space="preserve">fter </w:t>
      </w:r>
      <w:r w:rsidR="009F021B">
        <w:t>its</w:t>
      </w:r>
      <w:r w:rsidR="00393C76">
        <w:t xml:space="preserve"> wellbeing. As an apex body</w:t>
      </w:r>
      <w:r w:rsidR="00A97460">
        <w:t>,</w:t>
      </w:r>
      <w:r w:rsidR="00393C76">
        <w:t xml:space="preserve"> </w:t>
      </w:r>
      <w:r>
        <w:t>the highest institution at the village level, the Dorbar Shnong</w:t>
      </w:r>
      <w:r w:rsidR="00393C76">
        <w:t xml:space="preserve"> </w:t>
      </w:r>
      <w:r w:rsidR="00CF3B17">
        <w:t xml:space="preserve">made </w:t>
      </w:r>
      <w:r w:rsidR="00393C76">
        <w:t>major decisions</w:t>
      </w:r>
      <w:r w:rsidR="00052D5F">
        <w:t>—such as forming MTG—</w:t>
      </w:r>
      <w:r w:rsidR="00393C76">
        <w:t xml:space="preserve">that </w:t>
      </w:r>
      <w:r w:rsidR="00CF3B17">
        <w:t xml:space="preserve">affected </w:t>
      </w:r>
      <w:r w:rsidR="00393C76">
        <w:t xml:space="preserve">the village economy and social systems. </w:t>
      </w:r>
      <w:r w:rsidR="00CF3B17">
        <w:t xml:space="preserve">The Dorbar Shnong </w:t>
      </w:r>
      <w:r w:rsidR="00393C76">
        <w:t>h</w:t>
      </w:r>
      <w:r w:rsidR="009F600E">
        <w:t xml:space="preserve">eld </w:t>
      </w:r>
      <w:r w:rsidR="00393C76">
        <w:t xml:space="preserve">an </w:t>
      </w:r>
      <w:r w:rsidR="00CF3B17">
        <w:t>a</w:t>
      </w:r>
      <w:r w:rsidR="00393C76">
        <w:t xml:space="preserve">nnual </w:t>
      </w:r>
      <w:r w:rsidR="00CF3B17">
        <w:t>g</w:t>
      </w:r>
      <w:r w:rsidR="00393C76">
        <w:t xml:space="preserve">eneral </w:t>
      </w:r>
      <w:r w:rsidR="00CF3B17">
        <w:t>m</w:t>
      </w:r>
      <w:r w:rsidR="00393C76">
        <w:t xml:space="preserve">eeting every year </w:t>
      </w:r>
      <w:r w:rsidR="00EA33C7" w:rsidRPr="005A6150">
        <w:t>and discuss</w:t>
      </w:r>
      <w:r w:rsidR="00393C76">
        <w:t>e</w:t>
      </w:r>
      <w:r w:rsidR="009F600E">
        <w:t>d</w:t>
      </w:r>
      <w:r w:rsidR="00EA33C7" w:rsidRPr="005A6150">
        <w:t xml:space="preserve"> matters concerning the administration of the village.</w:t>
      </w:r>
      <w:r w:rsidR="00393C76">
        <w:t xml:space="preserve"> It </w:t>
      </w:r>
      <w:r w:rsidR="006745FB">
        <w:t>sought</w:t>
      </w:r>
      <w:r w:rsidR="00393C76">
        <w:t xml:space="preserve"> opinions and suggestions from every </w:t>
      </w:r>
      <w:r w:rsidR="00393C76" w:rsidRPr="00815D99">
        <w:rPr>
          <w:noProof/>
        </w:rPr>
        <w:t>villager</w:t>
      </w:r>
      <w:r w:rsidR="00393C76">
        <w:t xml:space="preserve"> and discusse</w:t>
      </w:r>
      <w:r w:rsidR="006745FB">
        <w:t>d</w:t>
      </w:r>
      <w:r w:rsidR="00393C76">
        <w:t xml:space="preserve"> the issues </w:t>
      </w:r>
      <w:r w:rsidR="009F600E">
        <w:t>until</w:t>
      </w:r>
      <w:r w:rsidR="00393C76">
        <w:t xml:space="preserve"> </w:t>
      </w:r>
      <w:r w:rsidR="009F600E">
        <w:t xml:space="preserve">arriving at </w:t>
      </w:r>
      <w:r w:rsidR="00393C76">
        <w:t>a collective decision. It conduct</w:t>
      </w:r>
      <w:r w:rsidR="006745FB">
        <w:t>ed</w:t>
      </w:r>
      <w:r w:rsidR="00393C76">
        <w:t xml:space="preserve"> several awareness and training programs to enhance community participation. </w:t>
      </w:r>
      <w:r w:rsidR="00731FA0">
        <w:t xml:space="preserve">The Dorbar Shnong </w:t>
      </w:r>
      <w:r w:rsidR="00393C76">
        <w:t>also support</w:t>
      </w:r>
      <w:r w:rsidR="006745FB">
        <w:t>ed</w:t>
      </w:r>
      <w:r w:rsidR="00393C76">
        <w:t xml:space="preserve"> developmental projects </w:t>
      </w:r>
      <w:r w:rsidR="00731FA0">
        <w:t xml:space="preserve">such as </w:t>
      </w:r>
      <w:r w:rsidR="00393C76">
        <w:t xml:space="preserve">roads, footpaths, </w:t>
      </w:r>
      <w:r w:rsidR="00A97460">
        <w:t xml:space="preserve">and </w:t>
      </w:r>
      <w:r w:rsidR="00393C76">
        <w:t>drainage system</w:t>
      </w:r>
      <w:r w:rsidR="009F600E">
        <w:t>s</w:t>
      </w:r>
      <w:r w:rsidR="00CC100C">
        <w:t>,</w:t>
      </w:r>
      <w:r w:rsidR="009A4A5D">
        <w:t xml:space="preserve"> and</w:t>
      </w:r>
      <w:r w:rsidR="00393C76">
        <w:t xml:space="preserve"> was instrumental in making Mawlyngot a model </w:t>
      </w:r>
      <w:r w:rsidR="00B61D1B">
        <w:t xml:space="preserve">of </w:t>
      </w:r>
      <w:r w:rsidR="00393C76">
        <w:t>self-sustenance</w:t>
      </w:r>
      <w:r w:rsidR="00A97460">
        <w:t xml:space="preserve"> through </w:t>
      </w:r>
      <w:r w:rsidR="002A0B56">
        <w:t>MTG</w:t>
      </w:r>
      <w:r w:rsidR="00393C76">
        <w:t xml:space="preserve">. </w:t>
      </w:r>
    </w:p>
    <w:p w14:paraId="15ADB4B6" w14:textId="77777777" w:rsidR="00EA33C7" w:rsidRDefault="00EA33C7" w:rsidP="00EA33C7">
      <w:pPr>
        <w:pStyle w:val="BodyTextMain"/>
      </w:pPr>
    </w:p>
    <w:p w14:paraId="346D2B39" w14:textId="77777777" w:rsidR="009F600E" w:rsidRPr="005A6150" w:rsidRDefault="009F600E" w:rsidP="00EA33C7">
      <w:pPr>
        <w:pStyle w:val="BodyTextMain"/>
      </w:pPr>
    </w:p>
    <w:p w14:paraId="6ADE34E5" w14:textId="77777777" w:rsidR="00EA33C7" w:rsidRDefault="00EA33C7" w:rsidP="005F188C">
      <w:pPr>
        <w:pStyle w:val="Casehead3"/>
      </w:pPr>
      <w:r>
        <w:t>Village Cooperative Society</w:t>
      </w:r>
    </w:p>
    <w:p w14:paraId="4331A901" w14:textId="77777777" w:rsidR="00731F40" w:rsidRDefault="00731F40" w:rsidP="00C5767A">
      <w:pPr>
        <w:pStyle w:val="BodyTextMain"/>
      </w:pPr>
    </w:p>
    <w:p w14:paraId="3F3EF744" w14:textId="7E346FB5" w:rsidR="00EA33C7" w:rsidRPr="005A6150" w:rsidRDefault="00AF49E9" w:rsidP="00C5767A">
      <w:pPr>
        <w:pStyle w:val="BodyTextMain"/>
        <w:rPr>
          <w:highlight w:val="yellow"/>
        </w:rPr>
      </w:pPr>
      <w:r>
        <w:t xml:space="preserve">Members of the village cooperative society included </w:t>
      </w:r>
      <w:r w:rsidR="00EA33C7" w:rsidRPr="005A6150">
        <w:t>tea growers as well as landless farmers</w:t>
      </w:r>
      <w:r>
        <w:t xml:space="preserve"> </w:t>
      </w:r>
      <w:r w:rsidR="00EA33C7" w:rsidRPr="005A6150">
        <w:t xml:space="preserve">from </w:t>
      </w:r>
      <w:r w:rsidR="0006076D">
        <w:t xml:space="preserve">Mawlyngot </w:t>
      </w:r>
      <w:r w:rsidR="000A42EE">
        <w:t>who we</w:t>
      </w:r>
      <w:r w:rsidR="00A057A4">
        <w:t xml:space="preserve">re committed to </w:t>
      </w:r>
      <w:r w:rsidR="00A057A4" w:rsidRPr="00815D99">
        <w:rPr>
          <w:noProof/>
        </w:rPr>
        <w:t>sell</w:t>
      </w:r>
      <w:r w:rsidR="00815D99">
        <w:rPr>
          <w:noProof/>
        </w:rPr>
        <w:t>ing</w:t>
      </w:r>
      <w:r w:rsidR="00A057A4">
        <w:t xml:space="preserve"> their tea leaves to the cooperative. The cooperative members elect</w:t>
      </w:r>
      <w:r w:rsidR="0006076D">
        <w:t>ed</w:t>
      </w:r>
      <w:r w:rsidR="00A057A4">
        <w:t xml:space="preserve"> the managing committee</w:t>
      </w:r>
      <w:r w:rsidR="0006076D">
        <w:t xml:space="preserve"> and </w:t>
      </w:r>
      <w:r w:rsidR="009F600E">
        <w:t>m</w:t>
      </w:r>
      <w:r w:rsidR="0006076D">
        <w:t xml:space="preserve">anaging </w:t>
      </w:r>
      <w:r w:rsidR="009F600E">
        <w:t>d</w:t>
      </w:r>
      <w:r w:rsidR="0006076D">
        <w:t>irector</w:t>
      </w:r>
      <w:r w:rsidR="00C11DF6">
        <w:t>.</w:t>
      </w:r>
      <w:r w:rsidR="0006076D">
        <w:t xml:space="preserve"> (</w:t>
      </w:r>
      <w:proofErr w:type="spellStart"/>
      <w:r w:rsidR="0006076D">
        <w:t>Nongspung</w:t>
      </w:r>
      <w:proofErr w:type="spellEnd"/>
      <w:r w:rsidR="0006076D">
        <w:t xml:space="preserve"> had been in the position since 2003</w:t>
      </w:r>
      <w:r w:rsidR="00C11DF6">
        <w:t>.</w:t>
      </w:r>
      <w:r w:rsidR="0006076D">
        <w:t>)</w:t>
      </w:r>
      <w:r w:rsidR="00A057A4">
        <w:t xml:space="preserve"> </w:t>
      </w:r>
      <w:r>
        <w:t xml:space="preserve">Apart from organizing the farmers’ activities, </w:t>
      </w:r>
      <w:r w:rsidR="00A057A4">
        <w:t xml:space="preserve">the cooperative also </w:t>
      </w:r>
      <w:r>
        <w:t>support</w:t>
      </w:r>
      <w:r w:rsidR="0006076D">
        <w:t>ed</w:t>
      </w:r>
      <w:r w:rsidR="00815D99">
        <w:t xml:space="preserve"> the</w:t>
      </w:r>
      <w:r w:rsidR="00A057A4">
        <w:t xml:space="preserve"> </w:t>
      </w:r>
      <w:r w:rsidR="00A057A4" w:rsidRPr="00815D99">
        <w:rPr>
          <w:noProof/>
        </w:rPr>
        <w:t>improvement</w:t>
      </w:r>
      <w:r w:rsidR="00A057A4">
        <w:t xml:space="preserve"> of tea cultivation by </w:t>
      </w:r>
      <w:r>
        <w:t xml:space="preserve">providing required </w:t>
      </w:r>
      <w:r w:rsidR="00A057A4">
        <w:t xml:space="preserve">technological </w:t>
      </w:r>
      <w:r>
        <w:t xml:space="preserve">inputs and </w:t>
      </w:r>
      <w:r w:rsidR="00A057A4">
        <w:t>other best practices</w:t>
      </w:r>
      <w:r>
        <w:t>.</w:t>
      </w:r>
      <w:r w:rsidR="00EA33C7" w:rsidRPr="005A6150">
        <w:t xml:space="preserve"> </w:t>
      </w:r>
      <w:r w:rsidR="00A057A4">
        <w:t xml:space="preserve">The cooperative </w:t>
      </w:r>
      <w:r w:rsidR="00C11DF6">
        <w:t xml:space="preserve">also </w:t>
      </w:r>
      <w:r w:rsidR="00A057A4">
        <w:t>ha</w:t>
      </w:r>
      <w:r w:rsidR="0006076D">
        <w:t>d</w:t>
      </w:r>
      <w:r w:rsidR="00A057A4">
        <w:t xml:space="preserve"> a point of sale for the farmers. </w:t>
      </w:r>
      <w:r>
        <w:t xml:space="preserve">After tea </w:t>
      </w:r>
      <w:r w:rsidR="0006076D">
        <w:t>leaves</w:t>
      </w:r>
      <w:r w:rsidR="009F600E">
        <w:t xml:space="preserve"> were</w:t>
      </w:r>
      <w:r>
        <w:t xml:space="preserve"> plucked and collected, farmers sold </w:t>
      </w:r>
      <w:r w:rsidR="00400436">
        <w:t>them</w:t>
      </w:r>
      <w:r w:rsidR="0006076D">
        <w:t xml:space="preserve"> </w:t>
      </w:r>
      <w:r>
        <w:t xml:space="preserve">to </w:t>
      </w:r>
      <w:r w:rsidR="009F600E">
        <w:t xml:space="preserve">the </w:t>
      </w:r>
      <w:r>
        <w:t>cooperative</w:t>
      </w:r>
      <w:r w:rsidR="0006076D">
        <w:t>. The</w:t>
      </w:r>
      <w:r w:rsidR="009F600E">
        <w:t xml:space="preserve"> </w:t>
      </w:r>
      <w:r w:rsidR="0006076D">
        <w:t>cooperative</w:t>
      </w:r>
      <w:r>
        <w:t xml:space="preserve"> </w:t>
      </w:r>
      <w:r w:rsidR="009F600E">
        <w:t xml:space="preserve">then </w:t>
      </w:r>
      <w:r>
        <w:t xml:space="preserve">graded and processed </w:t>
      </w:r>
      <w:r w:rsidR="0006076D">
        <w:t xml:space="preserve">the leaves </w:t>
      </w:r>
      <w:r>
        <w:t xml:space="preserve">for different </w:t>
      </w:r>
      <w:r w:rsidR="00995731">
        <w:t xml:space="preserve">varieties of tea </w:t>
      </w:r>
      <w:r w:rsidR="009F600E">
        <w:t>such as</w:t>
      </w:r>
      <w:r w:rsidR="00995731">
        <w:t xml:space="preserve"> green, black, powdered</w:t>
      </w:r>
      <w:r w:rsidR="009F600E">
        <w:t>,</w:t>
      </w:r>
      <w:r w:rsidR="00995731">
        <w:t xml:space="preserve"> </w:t>
      </w:r>
      <w:r w:rsidR="000A42EE">
        <w:t xml:space="preserve">and </w:t>
      </w:r>
      <w:r w:rsidR="00995731">
        <w:t xml:space="preserve">so on. Processing was done in the unit established by </w:t>
      </w:r>
      <w:r w:rsidR="002A0B56">
        <w:t>MTG</w:t>
      </w:r>
      <w:r w:rsidR="00995731">
        <w:t xml:space="preserve"> in </w:t>
      </w:r>
      <w:r w:rsidR="00C11DF6">
        <w:t xml:space="preserve">the </w:t>
      </w:r>
      <w:r w:rsidR="00995731">
        <w:t>village</w:t>
      </w:r>
      <w:r w:rsidR="00400436">
        <w:t>, and t</w:t>
      </w:r>
      <w:r w:rsidR="00C5767A">
        <w:t xml:space="preserve">he </w:t>
      </w:r>
      <w:r w:rsidR="00C11DF6">
        <w:t xml:space="preserve">cooperative </w:t>
      </w:r>
      <w:r w:rsidR="00C5767A">
        <w:t>help</w:t>
      </w:r>
      <w:r w:rsidR="0006076D">
        <w:t>ed</w:t>
      </w:r>
      <w:r w:rsidR="00C5767A">
        <w:t xml:space="preserve"> </w:t>
      </w:r>
      <w:r w:rsidR="00C11DF6">
        <w:t xml:space="preserve">with </w:t>
      </w:r>
      <w:r w:rsidR="00A057A4">
        <w:t>marketing activities</w:t>
      </w:r>
      <w:r w:rsidR="00C11DF6">
        <w:t>. T</w:t>
      </w:r>
      <w:r w:rsidR="00C5767A">
        <w:t xml:space="preserve">he </w:t>
      </w:r>
      <w:r w:rsidR="00C11DF6">
        <w:t xml:space="preserve">realized </w:t>
      </w:r>
      <w:r w:rsidR="00C5767A">
        <w:t xml:space="preserve">profit </w:t>
      </w:r>
      <w:r w:rsidR="0006076D">
        <w:t>wa</w:t>
      </w:r>
      <w:r w:rsidR="00C5767A">
        <w:t>s shared with the members</w:t>
      </w:r>
      <w:r w:rsidR="00C11DF6">
        <w:t>, with</w:t>
      </w:r>
      <w:r w:rsidR="00C5767A">
        <w:t xml:space="preserve"> </w:t>
      </w:r>
      <w:r w:rsidR="00C11DF6">
        <w:t>a</w:t>
      </w:r>
      <w:r w:rsidR="00C5767A">
        <w:t xml:space="preserve"> small portion of the savings used for </w:t>
      </w:r>
      <w:r w:rsidR="0006076D">
        <w:t xml:space="preserve">running </w:t>
      </w:r>
      <w:r w:rsidR="00C5767A">
        <w:t xml:space="preserve">the </w:t>
      </w:r>
      <w:r w:rsidR="00C11DF6">
        <w:t>cooperative</w:t>
      </w:r>
      <w:r w:rsidR="00C5767A">
        <w:t xml:space="preserve">. </w:t>
      </w:r>
    </w:p>
    <w:p w14:paraId="396409A2" w14:textId="77777777" w:rsidR="00FB335D" w:rsidRDefault="00FB335D" w:rsidP="00665D3F">
      <w:pPr>
        <w:pStyle w:val="BodyTextMain"/>
      </w:pPr>
    </w:p>
    <w:p w14:paraId="632D51CB" w14:textId="77777777" w:rsidR="00731F40" w:rsidRDefault="00731F40" w:rsidP="00665D3F">
      <w:pPr>
        <w:pStyle w:val="BodyTextMain"/>
      </w:pPr>
    </w:p>
    <w:p w14:paraId="6D589653" w14:textId="6369EB32" w:rsidR="00EA33C7" w:rsidRPr="005A6150" w:rsidRDefault="00EA33C7" w:rsidP="005F188C">
      <w:pPr>
        <w:pStyle w:val="Casehead3"/>
      </w:pPr>
      <w:r w:rsidRPr="005A6150">
        <w:t>Self-</w:t>
      </w:r>
      <w:r w:rsidR="00C11DF6">
        <w:t>H</w:t>
      </w:r>
      <w:r w:rsidRPr="005A6150">
        <w:t>elp Groups</w:t>
      </w:r>
    </w:p>
    <w:p w14:paraId="5CA7CF0E" w14:textId="77777777" w:rsidR="00731F40" w:rsidRDefault="00731F40" w:rsidP="00EA33C7">
      <w:pPr>
        <w:pStyle w:val="BodyTextMain"/>
      </w:pPr>
    </w:p>
    <w:p w14:paraId="643E567F" w14:textId="02B3CC51" w:rsidR="00EA33C7" w:rsidRPr="005A6150" w:rsidRDefault="00EA33C7" w:rsidP="00EA33C7">
      <w:pPr>
        <w:pStyle w:val="BodyTextMain"/>
      </w:pPr>
      <w:r w:rsidRPr="005A6150">
        <w:t>SHG</w:t>
      </w:r>
      <w:r w:rsidR="001F4D08">
        <w:t>s</w:t>
      </w:r>
      <w:r w:rsidRPr="005A6150">
        <w:t xml:space="preserve"> </w:t>
      </w:r>
      <w:r w:rsidR="00A057A4">
        <w:t>were the day</w:t>
      </w:r>
      <w:r w:rsidR="00400436">
        <w:t>-</w:t>
      </w:r>
      <w:r w:rsidR="00A057A4">
        <w:t>to</w:t>
      </w:r>
      <w:r w:rsidR="00400436">
        <w:t>-</w:t>
      </w:r>
      <w:r w:rsidR="00A057A4">
        <w:t xml:space="preserve">day business arm of </w:t>
      </w:r>
      <w:r w:rsidR="0020609E">
        <w:t>MTG</w:t>
      </w:r>
      <w:r w:rsidR="00A057A4">
        <w:t xml:space="preserve">. The SHGs were shareholders in the </w:t>
      </w:r>
      <w:r w:rsidRPr="005A6150">
        <w:t xml:space="preserve">cooperative society. </w:t>
      </w:r>
      <w:r w:rsidR="00C11DF6">
        <w:t>The groups</w:t>
      </w:r>
      <w:r w:rsidR="00C11DF6" w:rsidRPr="005A6150">
        <w:t xml:space="preserve"> </w:t>
      </w:r>
      <w:r w:rsidRPr="005A6150">
        <w:t>comprised approximately 85</w:t>
      </w:r>
      <w:r w:rsidR="00905597">
        <w:t xml:space="preserve"> per</w:t>
      </w:r>
      <w:r w:rsidR="00C11DF6">
        <w:t xml:space="preserve"> </w:t>
      </w:r>
      <w:r w:rsidR="00905597">
        <w:t xml:space="preserve">cent </w:t>
      </w:r>
      <w:r w:rsidR="00905597" w:rsidRPr="005A6150">
        <w:t>of</w:t>
      </w:r>
      <w:r w:rsidRPr="005A6150">
        <w:t xml:space="preserve"> the </w:t>
      </w:r>
      <w:r w:rsidR="00CC0886">
        <w:t>Mawlyngot</w:t>
      </w:r>
      <w:r w:rsidRPr="005A6150">
        <w:t xml:space="preserve"> population.</w:t>
      </w:r>
      <w:r w:rsidR="00A057A4">
        <w:t xml:space="preserve"> A few of the SHGs </w:t>
      </w:r>
      <w:r w:rsidR="00A954B6">
        <w:t xml:space="preserve">were from the </w:t>
      </w:r>
      <w:r w:rsidR="00CC0886">
        <w:t>neighbo</w:t>
      </w:r>
      <w:r w:rsidR="009F600E">
        <w:t>u</w:t>
      </w:r>
      <w:r w:rsidR="00CC0886">
        <w:t>ring</w:t>
      </w:r>
      <w:r w:rsidR="00A954B6">
        <w:t xml:space="preserve"> villages </w:t>
      </w:r>
      <w:r w:rsidR="00C11DF6">
        <w:t xml:space="preserve">that </w:t>
      </w:r>
      <w:r w:rsidR="00A954B6">
        <w:t xml:space="preserve">were involved in indirect activities. </w:t>
      </w:r>
      <w:r w:rsidR="00C11DF6">
        <w:t>A</w:t>
      </w:r>
      <w:r w:rsidR="009F600E">
        <w:t xml:space="preserve"> </w:t>
      </w:r>
      <w:r w:rsidR="00CC0886">
        <w:t xml:space="preserve">few </w:t>
      </w:r>
      <w:r w:rsidRPr="005A6150">
        <w:t>SHG</w:t>
      </w:r>
      <w:r w:rsidR="007C30FC">
        <w:t>s</w:t>
      </w:r>
      <w:r w:rsidRPr="005A6150">
        <w:t xml:space="preserve"> were involved in tea plantation</w:t>
      </w:r>
      <w:r w:rsidR="00C11DF6">
        <w:t>;</w:t>
      </w:r>
      <w:r w:rsidRPr="005A6150">
        <w:t xml:space="preserve"> </w:t>
      </w:r>
      <w:r w:rsidR="00CC0886">
        <w:t xml:space="preserve">others </w:t>
      </w:r>
      <w:r w:rsidRPr="005A6150">
        <w:t>were involved in processing and day</w:t>
      </w:r>
      <w:r w:rsidR="00400436">
        <w:t>-</w:t>
      </w:r>
      <w:r w:rsidRPr="005A6150">
        <w:t>to</w:t>
      </w:r>
      <w:r w:rsidR="00400436">
        <w:t>-</w:t>
      </w:r>
      <w:r w:rsidRPr="005A6150">
        <w:t>day activit</w:t>
      </w:r>
      <w:r w:rsidR="007C30FC">
        <w:t>ies</w:t>
      </w:r>
      <w:r w:rsidRPr="005A6150">
        <w:t>. Every SHG had an elected leader for a term of one year</w:t>
      </w:r>
      <w:r w:rsidR="00C11DF6">
        <w:t>;</w:t>
      </w:r>
      <w:r w:rsidRPr="005A6150">
        <w:t xml:space="preserve"> </w:t>
      </w:r>
      <w:r w:rsidR="00C11DF6">
        <w:t>the leaders</w:t>
      </w:r>
      <w:r w:rsidRPr="005A6150">
        <w:t xml:space="preserve"> were responsible for holding regular meetings and </w:t>
      </w:r>
      <w:r w:rsidR="0020609E">
        <w:t xml:space="preserve">for </w:t>
      </w:r>
      <w:r w:rsidRPr="005A6150">
        <w:t xml:space="preserve">supporting one another in their activities. </w:t>
      </w:r>
      <w:r w:rsidR="00842021">
        <w:t>T</w:t>
      </w:r>
      <w:r w:rsidRPr="005A6150">
        <w:t>he coopera</w:t>
      </w:r>
      <w:r w:rsidR="007C30FC">
        <w:t xml:space="preserve">tive created </w:t>
      </w:r>
      <w:r w:rsidR="00555C6D">
        <w:t>10</w:t>
      </w:r>
      <w:r w:rsidR="00555C6D" w:rsidRPr="005A6150">
        <w:t xml:space="preserve"> </w:t>
      </w:r>
      <w:r w:rsidRPr="005A6150">
        <w:t>SHG</w:t>
      </w:r>
      <w:r w:rsidR="007C30FC">
        <w:t>s</w:t>
      </w:r>
      <w:r w:rsidR="00555C6D">
        <w:t>,</w:t>
      </w:r>
      <w:r w:rsidRPr="005A6150">
        <w:t xml:space="preserve"> giving employment to </w:t>
      </w:r>
      <w:r w:rsidR="00CC0886">
        <w:t>villagers</w:t>
      </w:r>
      <w:r w:rsidRPr="005A6150">
        <w:t xml:space="preserve"> either directly or indirectly.</w:t>
      </w:r>
    </w:p>
    <w:p w14:paraId="46893D59" w14:textId="77777777" w:rsidR="00EA33C7" w:rsidRDefault="00EA33C7" w:rsidP="00EA33C7">
      <w:pPr>
        <w:pStyle w:val="BodyTextMain"/>
      </w:pPr>
    </w:p>
    <w:p w14:paraId="2CBF4506" w14:textId="77777777" w:rsidR="00731F40" w:rsidRDefault="00731F40" w:rsidP="00EA33C7">
      <w:pPr>
        <w:pStyle w:val="BodyTextMain"/>
      </w:pPr>
    </w:p>
    <w:p w14:paraId="0D725F4E" w14:textId="453315C9" w:rsidR="00EA33C7" w:rsidRPr="005A6150" w:rsidRDefault="00163922" w:rsidP="005F188C">
      <w:pPr>
        <w:pStyle w:val="Casehead2"/>
      </w:pPr>
      <w:r>
        <w:t xml:space="preserve">Unique </w:t>
      </w:r>
      <w:r w:rsidR="00BC322B">
        <w:t>I</w:t>
      </w:r>
      <w:r>
        <w:t>nitiatives</w:t>
      </w:r>
    </w:p>
    <w:p w14:paraId="6BCA9E1B" w14:textId="77777777" w:rsidR="009F600E" w:rsidRDefault="009F600E" w:rsidP="00D41C4D">
      <w:pPr>
        <w:pStyle w:val="BodyTextMain"/>
      </w:pPr>
    </w:p>
    <w:p w14:paraId="12D2CF1F" w14:textId="46B1F839" w:rsidR="006F41F5" w:rsidRDefault="008822F0" w:rsidP="00D41C4D">
      <w:pPr>
        <w:pStyle w:val="BodyTextMain"/>
      </w:pPr>
      <w:r>
        <w:t xml:space="preserve">Sustainability and growth had been the </w:t>
      </w:r>
      <w:r w:rsidRPr="00815D99">
        <w:rPr>
          <w:noProof/>
        </w:rPr>
        <w:t>cornerstones</w:t>
      </w:r>
      <w:r>
        <w:t xml:space="preserve"> of </w:t>
      </w:r>
      <w:r w:rsidR="002A0B56">
        <w:t>MTG</w:t>
      </w:r>
      <w:r w:rsidR="00EA33C7" w:rsidRPr="005A6150">
        <w:t xml:space="preserve"> </w:t>
      </w:r>
      <w:r>
        <w:t>since its inception.</w:t>
      </w:r>
      <w:r w:rsidR="00EA33C7" w:rsidRPr="005A6150">
        <w:t xml:space="preserve"> The cooperative </w:t>
      </w:r>
      <w:r w:rsidR="00533390">
        <w:t>took</w:t>
      </w:r>
      <w:r w:rsidR="00EA33C7" w:rsidRPr="005A6150">
        <w:t xml:space="preserve"> several steps over the years to increase its membership while maintaining its core goals and principles. </w:t>
      </w:r>
      <w:r w:rsidR="006F41F5">
        <w:t>For those involved in tea cultivation, special training programs were provided to members to improve their business skills and enhance their motivation and productivity. P</w:t>
      </w:r>
      <w:r w:rsidR="009F600E">
        <w:t>rogram</w:t>
      </w:r>
      <w:r w:rsidR="00EA33C7" w:rsidRPr="005A6150">
        <w:t>s and initiative</w:t>
      </w:r>
      <w:r w:rsidR="00533390">
        <w:t>s</w:t>
      </w:r>
      <w:r w:rsidR="00DA0C30">
        <w:t xml:space="preserve"> </w:t>
      </w:r>
      <w:r w:rsidR="00905597">
        <w:t>were e</w:t>
      </w:r>
      <w:r w:rsidR="00163922">
        <w:t xml:space="preserve">mpowering women by providing </w:t>
      </w:r>
      <w:r w:rsidR="00FA7D61">
        <w:t xml:space="preserve">them with </w:t>
      </w:r>
      <w:r w:rsidR="00163922">
        <w:t>employment in the tea gardens</w:t>
      </w:r>
      <w:r w:rsidR="00905597">
        <w:t xml:space="preserve"> and conducting </w:t>
      </w:r>
      <w:r w:rsidR="00DA0C30">
        <w:t xml:space="preserve">special training programs for </w:t>
      </w:r>
      <w:r w:rsidR="00FA7D61">
        <w:t>them</w:t>
      </w:r>
      <w:r w:rsidR="00DA0C30">
        <w:t xml:space="preserve">. </w:t>
      </w:r>
    </w:p>
    <w:p w14:paraId="60984F6A" w14:textId="77777777" w:rsidR="006F41F5" w:rsidRDefault="006F41F5" w:rsidP="00D41C4D">
      <w:pPr>
        <w:pStyle w:val="BodyTextMain"/>
      </w:pPr>
    </w:p>
    <w:p w14:paraId="16656FF7" w14:textId="0AC1447D" w:rsidR="00BC322B" w:rsidRDefault="009F600E" w:rsidP="00D41C4D">
      <w:pPr>
        <w:pStyle w:val="BodyTextMain"/>
      </w:pPr>
      <w:r>
        <w:t xml:space="preserve">The </w:t>
      </w:r>
      <w:r w:rsidR="00D41C4D">
        <w:t xml:space="preserve">cooperative </w:t>
      </w:r>
      <w:r w:rsidR="00BC322B">
        <w:t xml:space="preserve">also </w:t>
      </w:r>
      <w:r w:rsidR="00D41C4D">
        <w:t xml:space="preserve">provided </w:t>
      </w:r>
      <w:r w:rsidR="00D41C4D" w:rsidRPr="00815D99">
        <w:rPr>
          <w:noProof/>
        </w:rPr>
        <w:t>earning</w:t>
      </w:r>
      <w:r w:rsidR="00163922">
        <w:t xml:space="preserve"> opportunities to </w:t>
      </w:r>
      <w:r>
        <w:t xml:space="preserve">the </w:t>
      </w:r>
      <w:r w:rsidR="00163922">
        <w:t>young by making them the distribution agents</w:t>
      </w:r>
      <w:r w:rsidR="00FC013A">
        <w:t>, working</w:t>
      </w:r>
      <w:r w:rsidR="00163922">
        <w:t xml:space="preserve"> on commission. They </w:t>
      </w:r>
      <w:r w:rsidR="00D41C4D">
        <w:t>were</w:t>
      </w:r>
      <w:r w:rsidR="00163922">
        <w:t xml:space="preserve"> paid </w:t>
      </w:r>
      <w:r w:rsidR="00DA0C30" w:rsidRPr="00E10707">
        <w:rPr>
          <w:rFonts w:ascii="Tahoma" w:hAnsi="Tahoma" w:cs="Tahoma"/>
        </w:rPr>
        <w:t>₹</w:t>
      </w:r>
      <w:r w:rsidR="00DA0C30" w:rsidRPr="005A6150">
        <w:t>100 for every 10 k</w:t>
      </w:r>
      <w:r w:rsidR="00FC013A">
        <w:t>ilo</w:t>
      </w:r>
      <w:r w:rsidR="00DA0C30" w:rsidRPr="005A6150">
        <w:t>g</w:t>
      </w:r>
      <w:r w:rsidR="00FC013A">
        <w:t>rams</w:t>
      </w:r>
      <w:r w:rsidR="00DA0C30" w:rsidRPr="005A6150">
        <w:t xml:space="preserve"> of tea distributed to the retailers</w:t>
      </w:r>
      <w:r w:rsidR="00DA0C30">
        <w:t xml:space="preserve">. Many of them reported to the </w:t>
      </w:r>
      <w:r w:rsidR="00FC013A">
        <w:t xml:space="preserve">case </w:t>
      </w:r>
      <w:r w:rsidR="00DA0C30">
        <w:t xml:space="preserve">authors that this money was </w:t>
      </w:r>
      <w:r w:rsidR="00FC013A">
        <w:t>helpful</w:t>
      </w:r>
      <w:r w:rsidR="00DA0C30">
        <w:t xml:space="preserve"> </w:t>
      </w:r>
      <w:r w:rsidR="00FC013A">
        <w:t xml:space="preserve">in </w:t>
      </w:r>
      <w:r w:rsidR="00DA0C30">
        <w:t xml:space="preserve">pursuing their higher studies. </w:t>
      </w:r>
      <w:r w:rsidR="00FC013A">
        <w:t>S</w:t>
      </w:r>
      <w:r w:rsidR="00DA0C30">
        <w:t xml:space="preserve">chool </w:t>
      </w:r>
      <w:r w:rsidR="00DA0C30">
        <w:lastRenderedPageBreak/>
        <w:t xml:space="preserve">children </w:t>
      </w:r>
      <w:r w:rsidR="009C798B">
        <w:t xml:space="preserve">of the members </w:t>
      </w:r>
      <w:r w:rsidR="00DA0C30">
        <w:t xml:space="preserve">were given a cash prize of </w:t>
      </w:r>
      <w:r w:rsidR="00DA0C30" w:rsidRPr="00E10707">
        <w:rPr>
          <w:rFonts w:ascii="Tahoma" w:hAnsi="Tahoma" w:cs="Tahoma"/>
        </w:rPr>
        <w:t>₹</w:t>
      </w:r>
      <w:r w:rsidR="00DA0C30" w:rsidRPr="005A6150">
        <w:t>3</w:t>
      </w:r>
      <w:r w:rsidR="00FC013A">
        <w:t>,</w:t>
      </w:r>
      <w:r w:rsidR="00DA0C30" w:rsidRPr="005A6150">
        <w:t>000</w:t>
      </w:r>
      <w:r w:rsidR="00DA0C30">
        <w:t xml:space="preserve"> if they</w:t>
      </w:r>
      <w:r w:rsidR="0020609E">
        <w:t xml:space="preserve"> ranked among the top three</w:t>
      </w:r>
      <w:r w:rsidR="00DA0C30">
        <w:t xml:space="preserve"> in the </w:t>
      </w:r>
      <w:r w:rsidR="00BC322B">
        <w:t xml:space="preserve">secondary school Class 10 </w:t>
      </w:r>
      <w:r w:rsidR="0020609E">
        <w:t>or</w:t>
      </w:r>
      <w:r w:rsidR="00DA0C30">
        <w:t xml:space="preserve"> </w:t>
      </w:r>
      <w:r w:rsidR="00BC322B">
        <w:t xml:space="preserve">Class 12 </w:t>
      </w:r>
      <w:r w:rsidR="00DA0C30">
        <w:t>final examination</w:t>
      </w:r>
      <w:r w:rsidR="00BC322B">
        <w:t>s</w:t>
      </w:r>
      <w:r w:rsidR="00DA0C30">
        <w:t xml:space="preserve">. </w:t>
      </w:r>
    </w:p>
    <w:p w14:paraId="2AF3163E" w14:textId="77777777" w:rsidR="00BC322B" w:rsidRDefault="00BC322B" w:rsidP="00D41C4D">
      <w:pPr>
        <w:pStyle w:val="BodyTextMain"/>
      </w:pPr>
    </w:p>
    <w:p w14:paraId="7E77F620" w14:textId="75C399E5" w:rsidR="00347C00" w:rsidRDefault="00D41C4D" w:rsidP="00D41C4D">
      <w:pPr>
        <w:pStyle w:val="BodyTextMain"/>
      </w:pPr>
      <w:r>
        <w:t xml:space="preserve">The cooperative </w:t>
      </w:r>
      <w:r w:rsidR="006F41F5">
        <w:t>committed to village development in a number of ways</w:t>
      </w:r>
      <w:r w:rsidR="001F5473">
        <w:t xml:space="preserve"> including </w:t>
      </w:r>
      <w:r>
        <w:t>organiz</w:t>
      </w:r>
      <w:r w:rsidR="001F5473">
        <w:t>ing</w:t>
      </w:r>
      <w:r>
        <w:t xml:space="preserve"> rural</w:t>
      </w:r>
      <w:r w:rsidR="00DA0C30">
        <w:t xml:space="preserve"> sanitation programs with the help </w:t>
      </w:r>
      <w:r w:rsidR="009F600E">
        <w:t>of several non-profit organiz</w:t>
      </w:r>
      <w:r w:rsidR="00DA0C30">
        <w:t>ations. This improved waste disposal in the village</w:t>
      </w:r>
      <w:r w:rsidR="00052D5F">
        <w:t xml:space="preserve"> </w:t>
      </w:r>
      <w:r w:rsidR="00DA0C30">
        <w:t xml:space="preserve">made its surroundings clean. </w:t>
      </w:r>
      <w:r>
        <w:t xml:space="preserve">The cooperative also </w:t>
      </w:r>
      <w:r w:rsidR="00347C00">
        <w:t>contributed to</w:t>
      </w:r>
      <w:r>
        <w:t xml:space="preserve"> laying roads </w:t>
      </w:r>
      <w:r w:rsidR="00347C00">
        <w:t xml:space="preserve">and making </w:t>
      </w:r>
      <w:r>
        <w:t xml:space="preserve">electricity and drinking water </w:t>
      </w:r>
      <w:r w:rsidR="00347C00">
        <w:t xml:space="preserve">available </w:t>
      </w:r>
      <w:r>
        <w:t>across the village</w:t>
      </w:r>
      <w:r w:rsidR="00347C00">
        <w:t>. It</w:t>
      </w:r>
      <w:r w:rsidR="001F5473">
        <w:t>s</w:t>
      </w:r>
      <w:r w:rsidR="00052D5F">
        <w:t xml:space="preserve"> </w:t>
      </w:r>
      <w:r>
        <w:t xml:space="preserve">small loans to </w:t>
      </w:r>
      <w:r w:rsidR="00347C00">
        <w:t>SHGs</w:t>
      </w:r>
      <w:r w:rsidR="00052D5F">
        <w:t xml:space="preserve"> </w:t>
      </w:r>
      <w:r>
        <w:t>promote</w:t>
      </w:r>
      <w:r w:rsidR="001F5473">
        <w:t>d</w:t>
      </w:r>
      <w:r>
        <w:t xml:space="preserve"> organic farming even in </w:t>
      </w:r>
      <w:r w:rsidR="00347C00">
        <w:t xml:space="preserve">household </w:t>
      </w:r>
      <w:r>
        <w:t xml:space="preserve">yards. </w:t>
      </w:r>
    </w:p>
    <w:p w14:paraId="7A90C766" w14:textId="77777777" w:rsidR="00347C00" w:rsidRDefault="00347C00" w:rsidP="00D41C4D">
      <w:pPr>
        <w:pStyle w:val="BodyTextMain"/>
      </w:pPr>
    </w:p>
    <w:p w14:paraId="1B73D9D0" w14:textId="6BF3CF77" w:rsidR="00020E91" w:rsidRDefault="00D41C4D" w:rsidP="00D41C4D">
      <w:pPr>
        <w:pStyle w:val="BodyTextMain"/>
      </w:pPr>
      <w:r>
        <w:t>The cooperative also took initiatives with regard to the health of its member</w:t>
      </w:r>
      <w:r w:rsidR="009F600E">
        <w:t>s</w:t>
      </w:r>
      <w:r>
        <w:t xml:space="preserve">. </w:t>
      </w:r>
      <w:r w:rsidR="00020E91">
        <w:t xml:space="preserve">In collaboration with the state healthcare department and the local community health </w:t>
      </w:r>
      <w:r w:rsidR="00020E91" w:rsidRPr="00815D99">
        <w:rPr>
          <w:noProof/>
        </w:rPr>
        <w:t>centers</w:t>
      </w:r>
      <w:r w:rsidR="00815D99">
        <w:rPr>
          <w:noProof/>
        </w:rPr>
        <w:t>,</w:t>
      </w:r>
      <w:r w:rsidR="00020E91">
        <w:t xml:space="preserve"> </w:t>
      </w:r>
      <w:r w:rsidR="00347C00">
        <w:t xml:space="preserve">the cooperative </w:t>
      </w:r>
      <w:r w:rsidR="00020E91">
        <w:t xml:space="preserve">facilitated programs </w:t>
      </w:r>
      <w:r w:rsidR="00347C00">
        <w:t xml:space="preserve">such as </w:t>
      </w:r>
      <w:r w:rsidR="00020E91">
        <w:t>family planning, rural health, child care</w:t>
      </w:r>
      <w:r w:rsidR="009F600E">
        <w:t>,</w:t>
      </w:r>
      <w:r w:rsidR="00020E91">
        <w:t xml:space="preserve"> and child immunization. </w:t>
      </w:r>
      <w:r w:rsidR="00347C00">
        <w:t>Members and their children received r</w:t>
      </w:r>
      <w:r w:rsidR="00020E91">
        <w:t xml:space="preserve">egular health </w:t>
      </w:r>
      <w:proofErr w:type="spellStart"/>
      <w:r w:rsidR="00020E91">
        <w:t>checkups</w:t>
      </w:r>
      <w:proofErr w:type="spellEnd"/>
      <w:r w:rsidR="00347C00">
        <w:t>, and—importantly, given the village’s past—</w:t>
      </w:r>
      <w:r>
        <w:t>p</w:t>
      </w:r>
      <w:r w:rsidR="00020E91">
        <w:t xml:space="preserve">rograms </w:t>
      </w:r>
      <w:r w:rsidR="00347C00">
        <w:t>dealt with</w:t>
      </w:r>
      <w:r w:rsidR="00020E91">
        <w:t xml:space="preserve"> </w:t>
      </w:r>
      <w:r w:rsidR="009F600E">
        <w:t xml:space="preserve">the </w:t>
      </w:r>
      <w:r w:rsidR="00020E91">
        <w:t xml:space="preserve">effects of alcohol addiction and its impact on society. </w:t>
      </w:r>
    </w:p>
    <w:p w14:paraId="58881B84" w14:textId="77777777" w:rsidR="003A18A7" w:rsidRDefault="003A18A7" w:rsidP="007A3D80">
      <w:pPr>
        <w:pStyle w:val="Casehead1"/>
      </w:pPr>
    </w:p>
    <w:p w14:paraId="6E581BA8" w14:textId="77777777" w:rsidR="003A18A7" w:rsidRDefault="003A18A7" w:rsidP="007A3D80">
      <w:pPr>
        <w:pStyle w:val="Casehead1"/>
      </w:pPr>
    </w:p>
    <w:p w14:paraId="78947848" w14:textId="7B84B6CB" w:rsidR="003A18A7" w:rsidRPr="007A3D80" w:rsidRDefault="003A18A7" w:rsidP="001C571B">
      <w:pPr>
        <w:pStyle w:val="Casehead1"/>
        <w:outlineLvl w:val="0"/>
      </w:pPr>
      <w:r w:rsidRPr="007A3D80">
        <w:t>THE TEA INDUSTRY IN INDIA</w:t>
      </w:r>
      <w:r w:rsidR="00462D92">
        <w:t xml:space="preserve"> and</w:t>
      </w:r>
      <w:r w:rsidR="00381482">
        <w:t xml:space="preserve"> the</w:t>
      </w:r>
      <w:r w:rsidR="00462D92">
        <w:t xml:space="preserve"> </w:t>
      </w:r>
      <w:r w:rsidR="00462D92" w:rsidRPr="00815D99">
        <w:rPr>
          <w:noProof/>
        </w:rPr>
        <w:t>NOrth</w:t>
      </w:r>
      <w:r w:rsidR="00267384">
        <w:rPr>
          <w:noProof/>
        </w:rPr>
        <w:t xml:space="preserve"> </w:t>
      </w:r>
      <w:r w:rsidR="00462D92" w:rsidRPr="00815D99">
        <w:rPr>
          <w:noProof/>
        </w:rPr>
        <w:t>eastern</w:t>
      </w:r>
      <w:r w:rsidR="00462D92">
        <w:t xml:space="preserve"> states</w:t>
      </w:r>
    </w:p>
    <w:p w14:paraId="74728E6A" w14:textId="77777777" w:rsidR="007A3D80" w:rsidRDefault="007A3D80" w:rsidP="003A18A7">
      <w:pPr>
        <w:pStyle w:val="BodyTextMain"/>
        <w:rPr>
          <w:b/>
        </w:rPr>
      </w:pPr>
    </w:p>
    <w:p w14:paraId="4DDC4DCF" w14:textId="63D98ED8" w:rsidR="0020609E" w:rsidRDefault="0020609E" w:rsidP="0020609E">
      <w:pPr>
        <w:pStyle w:val="BodyTextMain"/>
      </w:pPr>
      <w:r w:rsidRPr="005A6150">
        <w:t xml:space="preserve">Tea </w:t>
      </w:r>
      <w:r>
        <w:t>was</w:t>
      </w:r>
      <w:r w:rsidRPr="005A6150">
        <w:t xml:space="preserve"> one of the most popular beverages in the </w:t>
      </w:r>
      <w:r>
        <w:t>North East</w:t>
      </w:r>
      <w:r w:rsidRPr="005A6150">
        <w:t xml:space="preserve">ern states of India. The first experimental </w:t>
      </w:r>
      <w:r>
        <w:t xml:space="preserve">tea </w:t>
      </w:r>
      <w:r w:rsidRPr="005A6150">
        <w:t xml:space="preserve">plantations were established on the Garo </w:t>
      </w:r>
      <w:r>
        <w:t>H</w:t>
      </w:r>
      <w:r w:rsidRPr="005A6150">
        <w:t>ills in 1835</w:t>
      </w:r>
      <w:r>
        <w:t>,</w:t>
      </w:r>
      <w:r w:rsidRPr="005A6150">
        <w:t xml:space="preserve"> </w:t>
      </w:r>
      <w:r>
        <w:t xml:space="preserve">then </w:t>
      </w:r>
      <w:r w:rsidRPr="005A6150">
        <w:t xml:space="preserve">in </w:t>
      </w:r>
      <w:r>
        <w:t>the state of Assam. In 1839, during British rule</w:t>
      </w:r>
      <w:r w:rsidRPr="005A6150">
        <w:t xml:space="preserve">, private enterprises </w:t>
      </w:r>
      <w:r>
        <w:t xml:space="preserve">were involved in the </w:t>
      </w:r>
      <w:r w:rsidRPr="005A6150">
        <w:t xml:space="preserve">production of tea, mostly in the states of Assam and Tripura. </w:t>
      </w:r>
      <w:r>
        <w:t xml:space="preserve">Later, </w:t>
      </w:r>
      <w:r w:rsidRPr="005A6150">
        <w:t>Arunachal Pradesh, Nagaland, Manipur</w:t>
      </w:r>
      <w:r>
        <w:t>,</w:t>
      </w:r>
      <w:r w:rsidRPr="005A6150">
        <w:t xml:space="preserve"> and Meghalaya </w:t>
      </w:r>
      <w:r>
        <w:t xml:space="preserve">entered the industry. </w:t>
      </w:r>
    </w:p>
    <w:p w14:paraId="7D9C9B1D" w14:textId="77777777" w:rsidR="0020609E" w:rsidRDefault="0020609E" w:rsidP="00373A38">
      <w:pPr>
        <w:pStyle w:val="BodyTextMain"/>
      </w:pPr>
    </w:p>
    <w:p w14:paraId="0DE0E634" w14:textId="586E0164" w:rsidR="0020609E" w:rsidRDefault="009C798B" w:rsidP="00373A38">
      <w:pPr>
        <w:pStyle w:val="BodyTextMain"/>
      </w:pPr>
      <w:r w:rsidRPr="00143F2B">
        <w:t xml:space="preserve">According to the </w:t>
      </w:r>
      <w:r>
        <w:t>T</w:t>
      </w:r>
      <w:r w:rsidRPr="00143F2B">
        <w:t xml:space="preserve">ea </w:t>
      </w:r>
      <w:r>
        <w:t>B</w:t>
      </w:r>
      <w:r w:rsidRPr="00143F2B">
        <w:t>oard India</w:t>
      </w:r>
      <w:r w:rsidR="00381482">
        <w:t>,</w:t>
      </w:r>
      <w:r w:rsidR="003817C5">
        <w:rPr>
          <w:rStyle w:val="FootnoteReference"/>
        </w:rPr>
        <w:footnoteReference w:id="3"/>
      </w:r>
      <w:r w:rsidRPr="00143F2B">
        <w:t xml:space="preserve"> </w:t>
      </w:r>
      <w:r>
        <w:t>of the total production of 5</w:t>
      </w:r>
      <w:r w:rsidR="00503246">
        <w:t>,</w:t>
      </w:r>
      <w:r>
        <w:t>048 million k</w:t>
      </w:r>
      <w:r w:rsidR="00503246">
        <w:t>ilo</w:t>
      </w:r>
      <w:r w:rsidR="00B52613">
        <w:t>gram</w:t>
      </w:r>
      <w:r w:rsidR="00503246">
        <w:t>s</w:t>
      </w:r>
      <w:r>
        <w:t xml:space="preserve"> </w:t>
      </w:r>
      <w:r w:rsidR="00503246">
        <w:t xml:space="preserve">of </w:t>
      </w:r>
      <w:r>
        <w:t xml:space="preserve">tea produced </w:t>
      </w:r>
      <w:r w:rsidRPr="00143F2B">
        <w:t xml:space="preserve">in </w:t>
      </w:r>
      <w:r>
        <w:t>2014</w:t>
      </w:r>
      <w:r w:rsidR="00503246">
        <w:t>,</w:t>
      </w:r>
      <w:r w:rsidRPr="00143F2B">
        <w:t xml:space="preserve"> China and India </w:t>
      </w:r>
      <w:r>
        <w:t xml:space="preserve">were </w:t>
      </w:r>
      <w:r w:rsidR="00503246">
        <w:t xml:space="preserve">the </w:t>
      </w:r>
      <w:r>
        <w:t>top two producers</w:t>
      </w:r>
      <w:r w:rsidR="00381482">
        <w:t>, providing</w:t>
      </w:r>
      <w:r>
        <w:t xml:space="preserve"> </w:t>
      </w:r>
      <w:r w:rsidRPr="00143F2B">
        <w:t xml:space="preserve">40 and 25 per cent </w:t>
      </w:r>
      <w:r>
        <w:t xml:space="preserve">respectively. </w:t>
      </w:r>
      <w:r w:rsidR="00143F2B" w:rsidRPr="00143F2B">
        <w:t xml:space="preserve">The main tea-growing regions </w:t>
      </w:r>
      <w:r w:rsidR="00FB703D">
        <w:t xml:space="preserve">in India </w:t>
      </w:r>
      <w:r>
        <w:t>were</w:t>
      </w:r>
      <w:r w:rsidR="00143F2B" w:rsidRPr="00143F2B">
        <w:t xml:space="preserve"> </w:t>
      </w:r>
      <w:r w:rsidR="00503246">
        <w:t xml:space="preserve">the </w:t>
      </w:r>
      <w:r w:rsidR="00267384">
        <w:t>North East</w:t>
      </w:r>
      <w:r w:rsidR="00FB703D">
        <w:t xml:space="preserve">ern states of </w:t>
      </w:r>
      <w:r w:rsidR="00143F2B" w:rsidRPr="00143F2B">
        <w:t xml:space="preserve">India. </w:t>
      </w:r>
      <w:r w:rsidR="00503246">
        <w:t xml:space="preserve">The </w:t>
      </w:r>
      <w:r w:rsidR="00267384">
        <w:t>North</w:t>
      </w:r>
      <w:r w:rsidR="00EF495F">
        <w:t>e</w:t>
      </w:r>
      <w:r w:rsidR="00267384">
        <w:t>ast</w:t>
      </w:r>
      <w:r w:rsidR="00143F2B" w:rsidRPr="00143F2B">
        <w:t xml:space="preserve"> </w:t>
      </w:r>
      <w:r>
        <w:t>was</w:t>
      </w:r>
      <w:r w:rsidR="00143F2B" w:rsidRPr="00143F2B">
        <w:t xml:space="preserve"> the largest producer of tea</w:t>
      </w:r>
      <w:r w:rsidR="00381482">
        <w:t xml:space="preserve"> </w:t>
      </w:r>
      <w:r w:rsidR="00381482" w:rsidRPr="00143F2B">
        <w:t xml:space="preserve">(49 </w:t>
      </w:r>
      <w:r w:rsidR="00381482" w:rsidRPr="00815D99">
        <w:rPr>
          <w:noProof/>
        </w:rPr>
        <w:t>per cent</w:t>
      </w:r>
      <w:r w:rsidR="00381482" w:rsidRPr="00143F2B">
        <w:t xml:space="preserve"> </w:t>
      </w:r>
      <w:r w:rsidR="00381482">
        <w:t>in 2014)</w:t>
      </w:r>
      <w:r w:rsidR="00143F2B" w:rsidRPr="00143F2B">
        <w:t xml:space="preserve">, followed by West Bengal (27 per cent). </w:t>
      </w:r>
      <w:r w:rsidR="0020609E">
        <w:t>Together, t</w:t>
      </w:r>
      <w:r w:rsidR="0020609E" w:rsidRPr="005A6150">
        <w:t xml:space="preserve">he seven </w:t>
      </w:r>
      <w:r w:rsidR="0020609E">
        <w:t>North East</w:t>
      </w:r>
      <w:r w:rsidR="0020609E" w:rsidRPr="005A6150">
        <w:t xml:space="preserve">ern states </w:t>
      </w:r>
      <w:r w:rsidR="0020609E">
        <w:t xml:space="preserve">and </w:t>
      </w:r>
      <w:r w:rsidR="0020609E" w:rsidRPr="005A6150">
        <w:t>Darjeeling</w:t>
      </w:r>
      <w:r w:rsidR="0020609E">
        <w:t xml:space="preserve"> (in the state of West Bengal)</w:t>
      </w:r>
      <w:r w:rsidR="0020609E" w:rsidRPr="005A6150">
        <w:t xml:space="preserve"> produc</w:t>
      </w:r>
      <w:r w:rsidR="0020609E">
        <w:t>ed</w:t>
      </w:r>
      <w:r w:rsidR="0020609E" w:rsidRPr="005A6150">
        <w:t xml:space="preserve"> nearly 77</w:t>
      </w:r>
      <w:r w:rsidR="0020609E">
        <w:t xml:space="preserve"> per cent</w:t>
      </w:r>
      <w:r w:rsidR="0020609E" w:rsidRPr="005A6150">
        <w:t xml:space="preserve"> of tea</w:t>
      </w:r>
      <w:r w:rsidR="0020609E">
        <w:t xml:space="preserve"> in India</w:t>
      </w:r>
      <w:r w:rsidR="0020609E" w:rsidRPr="005A6150">
        <w:t xml:space="preserve">, with Assam </w:t>
      </w:r>
      <w:r w:rsidR="0020609E">
        <w:t xml:space="preserve">contributing </w:t>
      </w:r>
      <w:r w:rsidR="0020609E" w:rsidRPr="005A6150">
        <w:t>more than 50</w:t>
      </w:r>
      <w:r w:rsidR="0020609E">
        <w:t xml:space="preserve"> per cent</w:t>
      </w:r>
      <w:r w:rsidR="0020609E">
        <w:rPr>
          <w:bCs/>
        </w:rPr>
        <w:t>.</w:t>
      </w:r>
      <w:r w:rsidR="0020609E" w:rsidRPr="005A6150">
        <w:t xml:space="preserve"> </w:t>
      </w:r>
      <w:r w:rsidR="00B52613">
        <w:t>The s</w:t>
      </w:r>
      <w:r w:rsidR="00143F2B" w:rsidRPr="00143F2B">
        <w:t xml:space="preserve">outhern states </w:t>
      </w:r>
      <w:r w:rsidR="00381482">
        <w:t>produced</w:t>
      </w:r>
      <w:r w:rsidR="00381482" w:rsidRPr="00143F2B">
        <w:t xml:space="preserve"> </w:t>
      </w:r>
      <w:r w:rsidR="00143F2B" w:rsidRPr="00143F2B">
        <w:t xml:space="preserve">a lower share: Tamil Nadu (14 per cent) </w:t>
      </w:r>
      <w:r w:rsidR="00503246">
        <w:t xml:space="preserve">was </w:t>
      </w:r>
      <w:r w:rsidR="00143F2B" w:rsidRPr="00143F2B">
        <w:t>followed by Kerala (6 per cent) and Karnataka (1 per cent)</w:t>
      </w:r>
      <w:r w:rsidR="00B52613">
        <w:t xml:space="preserve"> (see Exhibit</w:t>
      </w:r>
      <w:r w:rsidR="00EF6C86">
        <w:t>s</w:t>
      </w:r>
      <w:r w:rsidR="00B52613">
        <w:t xml:space="preserve"> 1</w:t>
      </w:r>
      <w:r w:rsidR="00EF6C86">
        <w:t xml:space="preserve"> and 2</w:t>
      </w:r>
      <w:r w:rsidR="00B52613">
        <w:t>)</w:t>
      </w:r>
      <w:r w:rsidR="00143F2B">
        <w:t>.</w:t>
      </w:r>
      <w:r w:rsidR="00143F2B" w:rsidRPr="00143F2B">
        <w:t xml:space="preserve"> </w:t>
      </w:r>
    </w:p>
    <w:p w14:paraId="077AAE9D" w14:textId="6BCFB6CD" w:rsidR="0020609E" w:rsidRDefault="0020609E" w:rsidP="00373A38">
      <w:pPr>
        <w:pStyle w:val="BodyTextMain"/>
      </w:pPr>
    </w:p>
    <w:p w14:paraId="31C73BED" w14:textId="7CEFA92F" w:rsidR="00B52613" w:rsidRDefault="0020609E" w:rsidP="00373A38">
      <w:pPr>
        <w:pStyle w:val="BodyTextMain"/>
      </w:pPr>
      <w:r w:rsidRPr="005A6150">
        <w:t xml:space="preserve">Within the </w:t>
      </w:r>
      <w:r>
        <w:t>North</w:t>
      </w:r>
      <w:r w:rsidR="00E5141F">
        <w:t>east</w:t>
      </w:r>
      <w:r>
        <w:t xml:space="preserve"> </w:t>
      </w:r>
      <w:r w:rsidRPr="005A6150">
        <w:t xml:space="preserve">region, tea </w:t>
      </w:r>
      <w:r>
        <w:t>was</w:t>
      </w:r>
      <w:r w:rsidRPr="005A6150">
        <w:t xml:space="preserve"> one of the most </w:t>
      </w:r>
      <w:r>
        <w:t xml:space="preserve">cultivated </w:t>
      </w:r>
      <w:r w:rsidRPr="005A6150">
        <w:t xml:space="preserve">agriculture </w:t>
      </w:r>
      <w:r>
        <w:t>commodities</w:t>
      </w:r>
      <w:r w:rsidRPr="005A6150">
        <w:t xml:space="preserve"> </w:t>
      </w:r>
      <w:r>
        <w:t xml:space="preserve">after </w:t>
      </w:r>
      <w:r w:rsidRPr="005A6150">
        <w:t xml:space="preserve">rice. </w:t>
      </w:r>
      <w:r>
        <w:t>As a significant contributor to the gross domestic product (GDP), the t</w:t>
      </w:r>
      <w:r w:rsidRPr="005A6150">
        <w:t xml:space="preserve">ea industry in the </w:t>
      </w:r>
      <w:r>
        <w:t>North</w:t>
      </w:r>
      <w:r w:rsidR="00E5141F">
        <w:t>east</w:t>
      </w:r>
      <w:r w:rsidRPr="005A6150">
        <w:t xml:space="preserve"> account</w:t>
      </w:r>
      <w:r>
        <w:t>ed</w:t>
      </w:r>
      <w:r w:rsidRPr="005A6150">
        <w:t xml:space="preserve"> for 0.3 to 0.6 million jobs</w:t>
      </w:r>
      <w:r>
        <w:t>,</w:t>
      </w:r>
      <w:r w:rsidRPr="005A6150">
        <w:t xml:space="preserve"> both directly and indirectly</w:t>
      </w:r>
      <w:r>
        <w:t>.</w:t>
      </w:r>
      <w:r>
        <w:rPr>
          <w:rStyle w:val="FootnoteReference"/>
        </w:rPr>
        <w:footnoteReference w:id="4"/>
      </w:r>
      <w:r w:rsidRPr="005A6150">
        <w:t xml:space="preserve"> </w:t>
      </w:r>
      <w:r w:rsidR="00143F2B" w:rsidRPr="00143F2B">
        <w:t xml:space="preserve">Tea production in India grew at a </w:t>
      </w:r>
      <w:r w:rsidR="00381482">
        <w:t>c</w:t>
      </w:r>
      <w:r w:rsidR="00101A4F">
        <w:t xml:space="preserve">ompounded </w:t>
      </w:r>
      <w:r w:rsidR="00381482">
        <w:t>a</w:t>
      </w:r>
      <w:r w:rsidR="00101A4F">
        <w:t xml:space="preserve">nnual </w:t>
      </w:r>
      <w:r w:rsidR="00381482">
        <w:t>g</w:t>
      </w:r>
      <w:r w:rsidR="00101A4F">
        <w:t xml:space="preserve">rowth </w:t>
      </w:r>
      <w:r w:rsidR="00381482">
        <w:t>r</w:t>
      </w:r>
      <w:r w:rsidR="00101A4F">
        <w:t>ate (CAGR)</w:t>
      </w:r>
      <w:r w:rsidR="00143F2B" w:rsidRPr="00143F2B">
        <w:t xml:space="preserve"> of 3 </w:t>
      </w:r>
      <w:r w:rsidR="00143F2B" w:rsidRPr="00815D99">
        <w:rPr>
          <w:noProof/>
        </w:rPr>
        <w:t>per cent</w:t>
      </w:r>
      <w:r w:rsidR="00143F2B" w:rsidRPr="00143F2B">
        <w:t xml:space="preserve"> </w:t>
      </w:r>
      <w:r w:rsidR="00B52613">
        <w:t>from</w:t>
      </w:r>
      <w:r w:rsidR="00B52613" w:rsidRPr="00143F2B">
        <w:t xml:space="preserve"> </w:t>
      </w:r>
      <w:r w:rsidR="00143F2B" w:rsidRPr="00143F2B">
        <w:t>2011 to 2014</w:t>
      </w:r>
      <w:r w:rsidR="00FB703D">
        <w:t xml:space="preserve">. </w:t>
      </w:r>
    </w:p>
    <w:p w14:paraId="59311482" w14:textId="77777777" w:rsidR="00B52613" w:rsidRDefault="00B52613" w:rsidP="00373A38">
      <w:pPr>
        <w:pStyle w:val="BodyTextMain"/>
      </w:pPr>
    </w:p>
    <w:p w14:paraId="56F68CDB" w14:textId="113A5CA6" w:rsidR="00373A38" w:rsidRPr="00143F2B" w:rsidRDefault="00143F2B" w:rsidP="00373A38">
      <w:pPr>
        <w:pStyle w:val="BodyTextMain"/>
      </w:pPr>
      <w:r w:rsidRPr="00143F2B">
        <w:t xml:space="preserve">The tea industry in India was dominated </w:t>
      </w:r>
      <w:r>
        <w:t>by</w:t>
      </w:r>
      <w:r w:rsidRPr="00143F2B">
        <w:t xml:space="preserve"> the unorganized sector. The top 10 players accounted for only 16 </w:t>
      </w:r>
      <w:r w:rsidRPr="00815D99">
        <w:rPr>
          <w:noProof/>
        </w:rPr>
        <w:t>per cent</w:t>
      </w:r>
      <w:r w:rsidRPr="00143F2B">
        <w:t xml:space="preserve"> of the total domestic produ</w:t>
      </w:r>
      <w:r>
        <w:t>ction (1</w:t>
      </w:r>
      <w:r w:rsidR="00503246">
        <w:t>,</w:t>
      </w:r>
      <w:r>
        <w:t>184 million k</w:t>
      </w:r>
      <w:r w:rsidR="0038678B">
        <w:t>ilo</w:t>
      </w:r>
      <w:r w:rsidR="00B52613">
        <w:t>gram</w:t>
      </w:r>
      <w:r w:rsidR="0038678B">
        <w:t>s</w:t>
      </w:r>
      <w:r>
        <w:t xml:space="preserve"> in 2014)</w:t>
      </w:r>
      <w:r w:rsidR="00B52613">
        <w:t>;</w:t>
      </w:r>
      <w:r>
        <w:t xml:space="preserve"> the </w:t>
      </w:r>
      <w:r w:rsidRPr="00143F2B">
        <w:t xml:space="preserve">balance </w:t>
      </w:r>
      <w:r w:rsidR="00FB703D">
        <w:t>was</w:t>
      </w:r>
      <w:r w:rsidRPr="00143F2B">
        <w:t xml:space="preserve"> </w:t>
      </w:r>
      <w:r w:rsidR="00FB703D">
        <w:t xml:space="preserve">from the </w:t>
      </w:r>
      <w:r w:rsidRPr="00143F2B">
        <w:t xml:space="preserve">small players. India consumed about 1,015 million </w:t>
      </w:r>
      <w:r w:rsidR="00BA5CA0">
        <w:t>kilo</w:t>
      </w:r>
      <w:r w:rsidR="00B52613">
        <w:t>gram</w:t>
      </w:r>
      <w:r w:rsidR="00BA5CA0">
        <w:t>s</w:t>
      </w:r>
      <w:r w:rsidRPr="00143F2B">
        <w:t xml:space="preserve"> of tea in 2014, which is around 8</w:t>
      </w:r>
      <w:r w:rsidR="00101A4F">
        <w:t>0</w:t>
      </w:r>
      <w:r w:rsidRPr="00143F2B">
        <w:t xml:space="preserve"> per cent of </w:t>
      </w:r>
      <w:r w:rsidR="00101A4F">
        <w:t xml:space="preserve">its </w:t>
      </w:r>
      <w:r w:rsidRPr="00143F2B">
        <w:t>production</w:t>
      </w:r>
      <w:r w:rsidR="00B52613">
        <w:t>;</w:t>
      </w:r>
      <w:r w:rsidR="006860DB">
        <w:t xml:space="preserve"> the remain</w:t>
      </w:r>
      <w:r w:rsidR="00B52613">
        <w:t>der</w:t>
      </w:r>
      <w:r w:rsidR="006860DB">
        <w:t xml:space="preserve"> was exported</w:t>
      </w:r>
      <w:r w:rsidR="00B52613">
        <w:t>.</w:t>
      </w:r>
      <w:r w:rsidR="009065D5">
        <w:rPr>
          <w:rStyle w:val="FootnoteReference"/>
        </w:rPr>
        <w:footnoteReference w:id="5"/>
      </w:r>
      <w:r w:rsidRPr="00143F2B">
        <w:t xml:space="preserve"> The demand for India</w:t>
      </w:r>
      <w:r w:rsidR="00B52613">
        <w:t>n</w:t>
      </w:r>
      <w:r w:rsidRPr="00143F2B">
        <w:t xml:space="preserve"> tea </w:t>
      </w:r>
      <w:r w:rsidR="006860DB">
        <w:t>was</w:t>
      </w:r>
      <w:r w:rsidRPr="00143F2B">
        <w:t xml:space="preserve"> high in the export market.</w:t>
      </w:r>
    </w:p>
    <w:p w14:paraId="6B989C54" w14:textId="77777777" w:rsidR="0038678B" w:rsidRDefault="0038678B" w:rsidP="00EA33C7">
      <w:pPr>
        <w:pStyle w:val="BodyTextMain"/>
      </w:pPr>
    </w:p>
    <w:p w14:paraId="0D1C7F67" w14:textId="77777777" w:rsidR="00155F43" w:rsidRDefault="00155F43" w:rsidP="00EA33C7">
      <w:pPr>
        <w:pStyle w:val="Casehead1"/>
      </w:pPr>
    </w:p>
    <w:p w14:paraId="1CC87F16" w14:textId="77777777" w:rsidR="00297EA3" w:rsidRDefault="00297EA3" w:rsidP="00EA33C7">
      <w:pPr>
        <w:pStyle w:val="Casehead1"/>
      </w:pPr>
    </w:p>
    <w:p w14:paraId="52C03054" w14:textId="77777777" w:rsidR="00297EA3" w:rsidRDefault="00297EA3" w:rsidP="00EA33C7">
      <w:pPr>
        <w:pStyle w:val="Casehead1"/>
      </w:pPr>
    </w:p>
    <w:p w14:paraId="3D1F3263" w14:textId="0F4B8FCB" w:rsidR="00EA33C7" w:rsidRDefault="00EA33C7" w:rsidP="001C571B">
      <w:pPr>
        <w:pStyle w:val="Casehead1"/>
        <w:outlineLvl w:val="0"/>
      </w:pPr>
      <w:r w:rsidRPr="00815D99">
        <w:rPr>
          <w:noProof/>
        </w:rPr>
        <w:lastRenderedPageBreak/>
        <w:t>URLONG</w:t>
      </w:r>
      <w:r w:rsidRPr="005A6150">
        <w:t xml:space="preserve"> TEA: BRAND BUILDING, PRODUCTION</w:t>
      </w:r>
      <w:r w:rsidR="000453D9">
        <w:t>, and</w:t>
      </w:r>
      <w:r w:rsidRPr="005A6150">
        <w:t xml:space="preserve"> DISTRIBUTION</w:t>
      </w:r>
    </w:p>
    <w:p w14:paraId="6243825B" w14:textId="77777777" w:rsidR="006860DB" w:rsidRPr="005A6150" w:rsidRDefault="006860DB" w:rsidP="00EA33C7">
      <w:pPr>
        <w:pStyle w:val="Casehead1"/>
      </w:pPr>
    </w:p>
    <w:p w14:paraId="6015F994" w14:textId="77777777" w:rsidR="00EA33C7" w:rsidRDefault="00EA33C7" w:rsidP="001C571B">
      <w:pPr>
        <w:pStyle w:val="Casehead2"/>
        <w:outlineLvl w:val="0"/>
      </w:pPr>
      <w:r w:rsidRPr="005A6150">
        <w:t>Brand Building</w:t>
      </w:r>
    </w:p>
    <w:p w14:paraId="76E00EB6" w14:textId="77777777" w:rsidR="00503246" w:rsidRDefault="00503246" w:rsidP="00EA33C7">
      <w:pPr>
        <w:pStyle w:val="BodyTextMain"/>
      </w:pPr>
    </w:p>
    <w:p w14:paraId="7E62620C" w14:textId="52145E25" w:rsidR="00712E3F" w:rsidRDefault="00EA33C7" w:rsidP="00EA33C7">
      <w:pPr>
        <w:pStyle w:val="BodyTextMain"/>
      </w:pPr>
      <w:r w:rsidRPr="005A6150">
        <w:t>In the initial years of produc</w:t>
      </w:r>
      <w:r w:rsidR="00712E3F">
        <w:t>ing tea</w:t>
      </w:r>
      <w:r w:rsidRPr="005A6150">
        <w:t>, the cooperative found it difficult to compete with regional and multi-national brands like Anderson</w:t>
      </w:r>
      <w:r w:rsidR="00247DF4">
        <w:t>’s</w:t>
      </w:r>
      <w:r w:rsidRPr="005A6150">
        <w:t xml:space="preserve">, </w:t>
      </w:r>
      <w:r w:rsidRPr="00815D99">
        <w:rPr>
          <w:noProof/>
        </w:rPr>
        <w:t>Sharawn</w:t>
      </w:r>
      <w:r w:rsidRPr="005A6150">
        <w:t xml:space="preserve">, </w:t>
      </w:r>
      <w:r w:rsidRPr="00815D99">
        <w:rPr>
          <w:noProof/>
        </w:rPr>
        <w:t>Nalari</w:t>
      </w:r>
      <w:r w:rsidRPr="005A6150">
        <w:t>, Tata, and Tetley</w:t>
      </w:r>
      <w:r w:rsidR="00F7474C">
        <w:t xml:space="preserve">. </w:t>
      </w:r>
      <w:r w:rsidR="00F7474C" w:rsidRPr="00815D99">
        <w:rPr>
          <w:noProof/>
        </w:rPr>
        <w:t>Generally</w:t>
      </w:r>
      <w:r w:rsidR="00815D99">
        <w:rPr>
          <w:noProof/>
        </w:rPr>
        <w:t>,</w:t>
      </w:r>
      <w:r w:rsidR="00F7474C">
        <w:t xml:space="preserve"> the pack</w:t>
      </w:r>
      <w:r w:rsidR="00712E3F">
        <w:t>age</w:t>
      </w:r>
      <w:r w:rsidR="00F7474C">
        <w:t xml:space="preserve"> sizes available were </w:t>
      </w:r>
      <w:r w:rsidR="00712E3F">
        <w:t>similar</w:t>
      </w:r>
      <w:r w:rsidR="00F7474C">
        <w:t xml:space="preserve"> for all brands.</w:t>
      </w:r>
      <w:r w:rsidRPr="005A6150">
        <w:t xml:space="preserve"> </w:t>
      </w:r>
    </w:p>
    <w:p w14:paraId="21BF9316" w14:textId="77777777" w:rsidR="00EF495F" w:rsidRDefault="00EF495F" w:rsidP="00EA33C7">
      <w:pPr>
        <w:pStyle w:val="BodyTextMain"/>
      </w:pPr>
    </w:p>
    <w:p w14:paraId="16E47B7C" w14:textId="4D86A023" w:rsidR="0002022D" w:rsidRDefault="00EA33C7" w:rsidP="00EA33C7">
      <w:pPr>
        <w:pStyle w:val="BodyTextMain"/>
      </w:pPr>
      <w:proofErr w:type="spellStart"/>
      <w:r w:rsidRPr="005A6150">
        <w:t>Nongspung</w:t>
      </w:r>
      <w:proofErr w:type="spellEnd"/>
      <w:r w:rsidRPr="005A6150">
        <w:t xml:space="preserve"> and his team decided to </w:t>
      </w:r>
      <w:r w:rsidR="00712E3F">
        <w:t>create</w:t>
      </w:r>
      <w:r w:rsidRPr="005A6150">
        <w:t xml:space="preserve"> a brand name that would help the cooperative convey their purpose of existence. One of the members of the team suggested the name “</w:t>
      </w:r>
      <w:proofErr w:type="spellStart"/>
      <w:r w:rsidRPr="00815D99">
        <w:rPr>
          <w:noProof/>
        </w:rPr>
        <w:t>Urlong</w:t>
      </w:r>
      <w:proofErr w:type="spellEnd"/>
      <w:r w:rsidR="00712E3F">
        <w:rPr>
          <w:noProof/>
        </w:rPr>
        <w:t>,</w:t>
      </w:r>
      <w:r w:rsidRPr="005A6150">
        <w:t xml:space="preserve">” </w:t>
      </w:r>
      <w:r w:rsidR="002E1A6B">
        <w:t xml:space="preserve">meaning </w:t>
      </w:r>
      <w:r w:rsidR="00712E3F">
        <w:t>“</w:t>
      </w:r>
      <w:r w:rsidR="002E1A6B">
        <w:t>prosper</w:t>
      </w:r>
      <w:r w:rsidR="00712E3F">
        <w:t>”</w:t>
      </w:r>
      <w:r w:rsidR="002E1A6B">
        <w:t xml:space="preserve"> in Khasi</w:t>
      </w:r>
      <w:r w:rsidR="00712E3F">
        <w:t xml:space="preserve">; </w:t>
      </w:r>
      <w:r w:rsidRPr="005A6150">
        <w:t xml:space="preserve">the team </w:t>
      </w:r>
      <w:r w:rsidR="002E1A6B">
        <w:t xml:space="preserve">felt </w:t>
      </w:r>
      <w:r w:rsidR="00712E3F">
        <w:t xml:space="preserve">the name </w:t>
      </w:r>
      <w:r w:rsidRPr="005A6150">
        <w:t>signi</w:t>
      </w:r>
      <w:r w:rsidR="002E1A6B">
        <w:t>fied what the community longed f</w:t>
      </w:r>
      <w:r w:rsidRPr="005A6150">
        <w:t>or.</w:t>
      </w:r>
      <w:r w:rsidR="001C571B">
        <w:t xml:space="preserve"> </w:t>
      </w:r>
      <w:r w:rsidRPr="005A6150">
        <w:t xml:space="preserve">The brand </w:t>
      </w:r>
      <w:r w:rsidR="00462D92">
        <w:t xml:space="preserve">name </w:t>
      </w:r>
      <w:r w:rsidRPr="005A6150">
        <w:t xml:space="preserve">was short and had a deep meaning that </w:t>
      </w:r>
      <w:r w:rsidR="00712E3F">
        <w:t>members</w:t>
      </w:r>
      <w:r w:rsidR="00712E3F" w:rsidRPr="005A6150">
        <w:t xml:space="preserve"> </w:t>
      </w:r>
      <w:r w:rsidRPr="005A6150">
        <w:t xml:space="preserve">of the cooperative could connect </w:t>
      </w:r>
      <w:r w:rsidR="00503246">
        <w:t xml:space="preserve">with </w:t>
      </w:r>
      <w:r w:rsidRPr="005A6150">
        <w:t>and be proud of.</w:t>
      </w:r>
      <w:r w:rsidR="001C571B">
        <w:t xml:space="preserve"> </w:t>
      </w:r>
    </w:p>
    <w:p w14:paraId="084A8DE2" w14:textId="77777777" w:rsidR="0002022D" w:rsidRDefault="0002022D" w:rsidP="00EA33C7">
      <w:pPr>
        <w:pStyle w:val="BodyTextMain"/>
      </w:pPr>
    </w:p>
    <w:p w14:paraId="0DC7D7C1" w14:textId="0024689F" w:rsidR="00EA33C7" w:rsidRDefault="002E1A6B" w:rsidP="00EA33C7">
      <w:pPr>
        <w:pStyle w:val="BodyTextMain"/>
      </w:pPr>
      <w:r>
        <w:t xml:space="preserve">After </w:t>
      </w:r>
      <w:r w:rsidR="00503246">
        <w:t xml:space="preserve">a </w:t>
      </w:r>
      <w:r>
        <w:t xml:space="preserve">few months, </w:t>
      </w:r>
      <w:r w:rsidR="00503246">
        <w:t xml:space="preserve">the </w:t>
      </w:r>
      <w:r>
        <w:t xml:space="preserve">cooperative released articles and write-ups </w:t>
      </w:r>
      <w:r w:rsidR="00712E3F">
        <w:t xml:space="preserve">about </w:t>
      </w:r>
      <w:r>
        <w:t>the brand in the newspapers. This publicity created the required impetus to establish</w:t>
      </w:r>
      <w:r w:rsidR="00712E3F">
        <w:t xml:space="preserve"> the brand</w:t>
      </w:r>
      <w:r>
        <w:t xml:space="preserve"> in the local market. </w:t>
      </w:r>
      <w:r w:rsidR="00EA33C7" w:rsidRPr="005A6150">
        <w:t>Following the success of its initial branding</w:t>
      </w:r>
      <w:r w:rsidR="00A65A77">
        <w:t xml:space="preserve"> efforts</w:t>
      </w:r>
      <w:r w:rsidR="00EA33C7" w:rsidRPr="005A6150">
        <w:t xml:space="preserve">, </w:t>
      </w:r>
      <w:r w:rsidR="00712E3F">
        <w:rPr>
          <w:noProof/>
        </w:rPr>
        <w:t xml:space="preserve">the </w:t>
      </w:r>
      <w:r w:rsidR="003877E0">
        <w:rPr>
          <w:noProof/>
        </w:rPr>
        <w:t>brand</w:t>
      </w:r>
      <w:r w:rsidR="00712E3F" w:rsidRPr="005A6150">
        <w:t xml:space="preserve"> </w:t>
      </w:r>
      <w:r w:rsidR="00EA33C7" w:rsidRPr="005A6150">
        <w:t xml:space="preserve">achieved another milestone when </w:t>
      </w:r>
      <w:r w:rsidR="003877E0">
        <w:t>it</w:t>
      </w:r>
      <w:r w:rsidR="00A65A77">
        <w:t xml:space="preserve"> was</w:t>
      </w:r>
      <w:r w:rsidR="00EA33C7" w:rsidRPr="005A6150">
        <w:t xml:space="preserve"> certified as </w:t>
      </w:r>
      <w:r w:rsidR="00712E3F" w:rsidRPr="00553D20">
        <w:t>organic</w:t>
      </w:r>
      <w:r w:rsidR="00EA33C7" w:rsidRPr="005A6150">
        <w:t xml:space="preserve">. </w:t>
      </w:r>
      <w:r w:rsidR="00D52E79" w:rsidRPr="00815D99">
        <w:rPr>
          <w:noProof/>
        </w:rPr>
        <w:t>Urlong</w:t>
      </w:r>
      <w:r w:rsidR="00D52E79" w:rsidRPr="005A6150">
        <w:t xml:space="preserve"> had established its presence in the markets </w:t>
      </w:r>
      <w:r w:rsidR="00247DF4">
        <w:t>with</w:t>
      </w:r>
      <w:r w:rsidR="00247DF4" w:rsidRPr="005A6150">
        <w:t xml:space="preserve"> </w:t>
      </w:r>
      <w:r w:rsidR="00D52E79" w:rsidRPr="005A6150">
        <w:t>its</w:t>
      </w:r>
      <w:r w:rsidR="00247DF4" w:rsidRPr="005A6150">
        <w:t xml:space="preserve"> </w:t>
      </w:r>
      <w:r w:rsidR="00247DF4">
        <w:t>combination</w:t>
      </w:r>
      <w:r w:rsidR="00247DF4" w:rsidRPr="005A6150">
        <w:t xml:space="preserve"> </w:t>
      </w:r>
      <w:r w:rsidR="00D52E79" w:rsidRPr="005A6150">
        <w:t>of organic tea</w:t>
      </w:r>
      <w:r w:rsidR="00D52E79">
        <w:t xml:space="preserve"> and sustainable cultivation</w:t>
      </w:r>
      <w:r w:rsidR="00D52E79" w:rsidRPr="005A6150">
        <w:t>.</w:t>
      </w:r>
      <w:r w:rsidR="00D52E79">
        <w:t xml:space="preserve"> </w:t>
      </w:r>
      <w:r w:rsidR="00712E3F">
        <w:t xml:space="preserve">Until then, </w:t>
      </w:r>
      <w:r w:rsidR="00EA33C7" w:rsidRPr="005A6150">
        <w:t xml:space="preserve">sustainable </w:t>
      </w:r>
      <w:r w:rsidR="00177231" w:rsidRPr="005A6150">
        <w:t>practices</w:t>
      </w:r>
      <w:r w:rsidR="00EA33C7" w:rsidRPr="005A6150">
        <w:t xml:space="preserve"> </w:t>
      </w:r>
      <w:r w:rsidR="004F6B80">
        <w:t xml:space="preserve">were </w:t>
      </w:r>
      <w:r w:rsidR="000C2B28">
        <w:t>not a common practice among tea cultivators</w:t>
      </w:r>
      <w:r w:rsidR="00490DB5">
        <w:t xml:space="preserve"> in </w:t>
      </w:r>
      <w:r w:rsidR="00267384">
        <w:t>North</w:t>
      </w:r>
      <w:r w:rsidR="00EF495F">
        <w:t>east</w:t>
      </w:r>
      <w:r w:rsidR="00490DB5">
        <w:t xml:space="preserve"> India. </w:t>
      </w:r>
    </w:p>
    <w:p w14:paraId="2F068079" w14:textId="77777777" w:rsidR="000B21BB" w:rsidRPr="005A6150" w:rsidRDefault="000B21BB" w:rsidP="00EA33C7">
      <w:pPr>
        <w:pStyle w:val="BodyTextMain"/>
      </w:pPr>
    </w:p>
    <w:p w14:paraId="5F252760" w14:textId="77777777" w:rsidR="009065D5" w:rsidRDefault="009065D5" w:rsidP="00EA33C7">
      <w:pPr>
        <w:pStyle w:val="Casehead2"/>
      </w:pPr>
    </w:p>
    <w:p w14:paraId="60D4CBD9" w14:textId="77777777" w:rsidR="00EA33C7" w:rsidRDefault="00EA33C7" w:rsidP="001C571B">
      <w:pPr>
        <w:pStyle w:val="Casehead2"/>
        <w:outlineLvl w:val="0"/>
      </w:pPr>
      <w:r w:rsidRPr="005A6150">
        <w:t>Production Infrastructure at Mawlyngot</w:t>
      </w:r>
    </w:p>
    <w:p w14:paraId="4EC96214" w14:textId="77777777" w:rsidR="00503246" w:rsidRDefault="00503246" w:rsidP="00B0107D">
      <w:pPr>
        <w:pStyle w:val="BodyTextMain"/>
        <w:tabs>
          <w:tab w:val="left" w:pos="9214"/>
        </w:tabs>
      </w:pPr>
    </w:p>
    <w:p w14:paraId="5008F8CE" w14:textId="2E0C3F2F" w:rsidR="00EA33C7" w:rsidRPr="005A6150" w:rsidRDefault="00D1465F" w:rsidP="00B0107D">
      <w:pPr>
        <w:pStyle w:val="BodyTextMain"/>
        <w:tabs>
          <w:tab w:val="left" w:pos="9214"/>
        </w:tabs>
      </w:pPr>
      <w:r>
        <w:t xml:space="preserve">With a total capacity of 500 </w:t>
      </w:r>
      <w:r w:rsidR="002B4EDC">
        <w:t>kilo</w:t>
      </w:r>
      <w:r w:rsidR="00D20254">
        <w:t>gram</w:t>
      </w:r>
      <w:r w:rsidR="002B4EDC">
        <w:t>s</w:t>
      </w:r>
      <w:r>
        <w:t xml:space="preserve"> per day and working </w:t>
      </w:r>
      <w:r w:rsidR="002B4EDC">
        <w:t xml:space="preserve">for </w:t>
      </w:r>
      <w:r>
        <w:t xml:space="preserve">about 175 days a year, </w:t>
      </w:r>
      <w:r w:rsidR="00D20254">
        <w:t xml:space="preserve">MTG’s </w:t>
      </w:r>
      <w:r>
        <w:t>production unit handle</w:t>
      </w:r>
      <w:r w:rsidR="00876AAE">
        <w:t>d</w:t>
      </w:r>
      <w:r w:rsidR="00D60F92">
        <w:t xml:space="preserve"> the </w:t>
      </w:r>
      <w:r w:rsidR="00D20254">
        <w:t xml:space="preserve">processing </w:t>
      </w:r>
      <w:r w:rsidR="00876AAE">
        <w:t>activities</w:t>
      </w:r>
      <w:r w:rsidR="00A95634">
        <w:t>—</w:t>
      </w:r>
      <w:r w:rsidR="00EA33C7" w:rsidRPr="005A6150">
        <w:t>withering, breaking up, CTC (</w:t>
      </w:r>
      <w:r w:rsidR="00A95634">
        <w:t>c</w:t>
      </w:r>
      <w:r w:rsidR="00EA33C7" w:rsidRPr="005A6150">
        <w:t>rush</w:t>
      </w:r>
      <w:r w:rsidR="00225C83">
        <w:t>ing</w:t>
      </w:r>
      <w:r w:rsidR="00EA33C7" w:rsidRPr="005A6150">
        <w:t xml:space="preserve">, </w:t>
      </w:r>
      <w:r w:rsidR="00A95634">
        <w:t>t</w:t>
      </w:r>
      <w:r w:rsidR="00EA33C7" w:rsidRPr="005A6150">
        <w:t>ear</w:t>
      </w:r>
      <w:r w:rsidR="00225C83">
        <w:t>ing</w:t>
      </w:r>
      <w:r w:rsidR="00EA33C7" w:rsidRPr="005A6150">
        <w:t xml:space="preserve">, and </w:t>
      </w:r>
      <w:r w:rsidR="00A95634">
        <w:t>c</w:t>
      </w:r>
      <w:r w:rsidR="00EA33C7" w:rsidRPr="005A6150">
        <w:t>url</w:t>
      </w:r>
      <w:r w:rsidR="00225C83">
        <w:t>ing</w:t>
      </w:r>
      <w:r w:rsidR="00EA33C7" w:rsidRPr="005A6150">
        <w:t>), fermenting, drying, sorting</w:t>
      </w:r>
      <w:r w:rsidR="00225C83">
        <w:t>,</w:t>
      </w:r>
      <w:r w:rsidR="00EA33C7" w:rsidRPr="005A6150">
        <w:t xml:space="preserve"> and packaging. The unit had a total of 21 </w:t>
      </w:r>
      <w:r w:rsidR="00B0107D" w:rsidRPr="00815D99">
        <w:rPr>
          <w:noProof/>
        </w:rPr>
        <w:t>full</w:t>
      </w:r>
      <w:r w:rsidR="003F708E">
        <w:rPr>
          <w:noProof/>
        </w:rPr>
        <w:t>-</w:t>
      </w:r>
      <w:r w:rsidR="00B0107D" w:rsidRPr="00815D99">
        <w:rPr>
          <w:noProof/>
        </w:rPr>
        <w:t>time</w:t>
      </w:r>
      <w:r w:rsidR="00B0107D">
        <w:t xml:space="preserve"> </w:t>
      </w:r>
      <w:r w:rsidR="00EA33C7" w:rsidRPr="005A6150">
        <w:t>employees</w:t>
      </w:r>
      <w:r w:rsidR="00876AAE">
        <w:t>.</w:t>
      </w:r>
      <w:r w:rsidR="00EA33C7" w:rsidRPr="005A6150">
        <w:t xml:space="preserve"> </w:t>
      </w:r>
      <w:r w:rsidR="00B0107D">
        <w:t xml:space="preserve">The entire chain of operations </w:t>
      </w:r>
      <w:r w:rsidR="00EA33C7" w:rsidRPr="005A6150">
        <w:t xml:space="preserve">from picking </w:t>
      </w:r>
      <w:r w:rsidR="00225C83">
        <w:t>the</w:t>
      </w:r>
      <w:r w:rsidR="00225C83" w:rsidRPr="005A6150">
        <w:t xml:space="preserve"> </w:t>
      </w:r>
      <w:r w:rsidR="00EA33C7" w:rsidRPr="005A6150">
        <w:t>tea leaves to distributin</w:t>
      </w:r>
      <w:r w:rsidR="00225C83">
        <w:t>g</w:t>
      </w:r>
      <w:r w:rsidR="00EA33C7" w:rsidRPr="005A6150">
        <w:t xml:space="preserve"> pack</w:t>
      </w:r>
      <w:r w:rsidR="00225C83">
        <w:t>aged</w:t>
      </w:r>
      <w:r w:rsidR="00EA33C7" w:rsidRPr="005A6150">
        <w:t xml:space="preserve"> tea </w:t>
      </w:r>
      <w:r w:rsidR="00655A4E">
        <w:t>was handled by the villagers</w:t>
      </w:r>
      <w:r w:rsidR="00EA33C7" w:rsidRPr="005A6150">
        <w:t xml:space="preserve">. </w:t>
      </w:r>
      <w:r w:rsidR="00184FA8" w:rsidRPr="005A6150">
        <w:t>The cooperative also had</w:t>
      </w:r>
      <w:r w:rsidR="00184FA8">
        <w:t xml:space="preserve"> a</w:t>
      </w:r>
      <w:r w:rsidR="00184FA8" w:rsidRPr="005A6150">
        <w:t xml:space="preserve"> </w:t>
      </w:r>
      <w:r w:rsidR="00184FA8" w:rsidRPr="00815D99">
        <w:rPr>
          <w:noProof/>
        </w:rPr>
        <w:t>small</w:t>
      </w:r>
      <w:r w:rsidR="00184FA8" w:rsidRPr="005A6150">
        <w:t xml:space="preserve"> vermicomposting unit in the village to meet the demand for organic manure for its tea cultivation. </w:t>
      </w:r>
      <w:r w:rsidR="00184FA8">
        <w:t xml:space="preserve">A </w:t>
      </w:r>
      <w:r w:rsidR="00184FA8" w:rsidRPr="005A6150">
        <w:t xml:space="preserve">few SHGs </w:t>
      </w:r>
      <w:r w:rsidR="00184FA8">
        <w:t xml:space="preserve">were responsible for </w:t>
      </w:r>
      <w:r w:rsidR="00184FA8" w:rsidRPr="005A6150">
        <w:t>provid</w:t>
      </w:r>
      <w:r w:rsidR="00184FA8">
        <w:t>ing</w:t>
      </w:r>
      <w:r w:rsidR="00184FA8" w:rsidRPr="005A6150">
        <w:t xml:space="preserve"> organic manure </w:t>
      </w:r>
      <w:r w:rsidR="00184FA8">
        <w:t>to</w:t>
      </w:r>
      <w:r w:rsidR="00184FA8" w:rsidRPr="005A6150">
        <w:t xml:space="preserve"> cooperative members at competitive rates. </w:t>
      </w:r>
    </w:p>
    <w:p w14:paraId="033DE2D0" w14:textId="77777777" w:rsidR="00EA33C7" w:rsidRPr="005A6150" w:rsidRDefault="00EA33C7" w:rsidP="00EA33C7">
      <w:pPr>
        <w:pStyle w:val="BodyTextMain"/>
      </w:pPr>
    </w:p>
    <w:p w14:paraId="6A245F0D" w14:textId="0FCE499F" w:rsidR="00EA33C7" w:rsidRPr="005A6150" w:rsidRDefault="00EA33C7" w:rsidP="00EA33C7">
      <w:pPr>
        <w:pStyle w:val="BodyTextMain"/>
      </w:pPr>
      <w:r w:rsidRPr="005A6150">
        <w:t xml:space="preserve">Tea production </w:t>
      </w:r>
      <w:r w:rsidR="002765CB">
        <w:t>wa</w:t>
      </w:r>
      <w:r w:rsidRPr="005A6150">
        <w:t>s a highly labour</w:t>
      </w:r>
      <w:r w:rsidR="009A4ED8">
        <w:t>-</w:t>
      </w:r>
      <w:r w:rsidRPr="005A6150">
        <w:t>intens</w:t>
      </w:r>
      <w:r w:rsidR="00490DB5">
        <w:t>ive activity</w:t>
      </w:r>
      <w:r w:rsidR="00225C83">
        <w:t>, which</w:t>
      </w:r>
      <w:r w:rsidR="00490DB5">
        <w:t xml:space="preserve"> </w:t>
      </w:r>
      <w:r w:rsidR="002765CB">
        <w:t>was</w:t>
      </w:r>
      <w:r w:rsidR="00B0107D">
        <w:t xml:space="preserve"> evident </w:t>
      </w:r>
      <w:r w:rsidR="00490DB5">
        <w:t>all through</w:t>
      </w:r>
      <w:r w:rsidRPr="005A6150">
        <w:t xml:space="preserve"> the year. Tea </w:t>
      </w:r>
      <w:r w:rsidR="00B0107D">
        <w:t>need</w:t>
      </w:r>
      <w:r w:rsidR="00876AAE">
        <w:t>ed</w:t>
      </w:r>
      <w:r w:rsidR="00B0107D">
        <w:t xml:space="preserve"> </w:t>
      </w:r>
      <w:r w:rsidRPr="005A6150">
        <w:t>to be carefully hand</w:t>
      </w:r>
      <w:r w:rsidR="008068A2">
        <w:t>-</w:t>
      </w:r>
      <w:r w:rsidRPr="005A6150">
        <w:t>picked every 7</w:t>
      </w:r>
      <w:r w:rsidR="00225C83">
        <w:t xml:space="preserve"> to</w:t>
      </w:r>
      <w:r w:rsidRPr="005A6150">
        <w:t xml:space="preserve"> 20 days depending on the climatic conditions and altitude. Tea plants </w:t>
      </w:r>
      <w:r w:rsidR="002765CB">
        <w:t>had to</w:t>
      </w:r>
      <w:r w:rsidR="00B0107D">
        <w:t xml:space="preserve"> </w:t>
      </w:r>
      <w:r w:rsidRPr="005A6150">
        <w:t>be regularly pruned to make the handpicking convenient. The leaves</w:t>
      </w:r>
      <w:r w:rsidR="002765CB">
        <w:t>,</w:t>
      </w:r>
      <w:r w:rsidRPr="005A6150">
        <w:t xml:space="preserve"> once picked</w:t>
      </w:r>
      <w:r w:rsidR="002765CB">
        <w:t>,</w:t>
      </w:r>
      <w:r w:rsidRPr="005A6150">
        <w:t xml:space="preserve"> w</w:t>
      </w:r>
      <w:r w:rsidR="002765CB">
        <w:t>ere</w:t>
      </w:r>
      <w:r w:rsidRPr="005A6150">
        <w:t xml:space="preserve"> sent to the processing unit. </w:t>
      </w:r>
      <w:r w:rsidR="002A0B56">
        <w:t>MTG</w:t>
      </w:r>
      <w:r w:rsidR="00876AAE">
        <w:t xml:space="preserve"> offered</w:t>
      </w:r>
      <w:r w:rsidR="00503DBE">
        <w:t xml:space="preserve"> tea farmers </w:t>
      </w:r>
      <w:r w:rsidR="00225C83">
        <w:t xml:space="preserve">a price </w:t>
      </w:r>
      <w:r w:rsidR="00876AAE">
        <w:t xml:space="preserve">as high as </w:t>
      </w:r>
      <w:r w:rsidR="00503DBE" w:rsidRPr="00E10707">
        <w:rPr>
          <w:rFonts w:ascii="Tahoma" w:hAnsi="Tahoma" w:cs="Tahoma"/>
        </w:rPr>
        <w:t>₹</w:t>
      </w:r>
      <w:r w:rsidR="00503DBE">
        <w:t xml:space="preserve">60 per kilogram. </w:t>
      </w:r>
      <w:r w:rsidR="00876AAE">
        <w:t xml:space="preserve">After </w:t>
      </w:r>
      <w:r w:rsidRPr="005A6150">
        <w:t>processing</w:t>
      </w:r>
      <w:r w:rsidR="002765CB">
        <w:t>,</w:t>
      </w:r>
      <w:r w:rsidRPr="005A6150">
        <w:t xml:space="preserve"> the tea w</w:t>
      </w:r>
      <w:r w:rsidR="00B0107D">
        <w:t>as</w:t>
      </w:r>
      <w:r w:rsidRPr="005A6150">
        <w:t xml:space="preserve"> pack</w:t>
      </w:r>
      <w:r w:rsidR="00225C83">
        <w:t>ag</w:t>
      </w:r>
      <w:r w:rsidRPr="005A6150">
        <w:t>ed into different sizes</w:t>
      </w:r>
      <w:r w:rsidR="00225C83">
        <w:t>:</w:t>
      </w:r>
      <w:r w:rsidRPr="005A6150">
        <w:t xml:space="preserve"> 100</w:t>
      </w:r>
      <w:r w:rsidR="00225C83">
        <w:t xml:space="preserve"> </w:t>
      </w:r>
      <w:r w:rsidRPr="005A6150">
        <w:t>g</w:t>
      </w:r>
      <w:r w:rsidR="00225C83">
        <w:t>rams</w:t>
      </w:r>
      <w:r w:rsidRPr="005A6150">
        <w:t xml:space="preserve">, </w:t>
      </w:r>
      <w:r w:rsidRPr="00815D99">
        <w:rPr>
          <w:noProof/>
        </w:rPr>
        <w:t>250</w:t>
      </w:r>
      <w:r w:rsidR="00225C83">
        <w:rPr>
          <w:noProof/>
        </w:rPr>
        <w:t xml:space="preserve"> </w:t>
      </w:r>
      <w:r w:rsidRPr="00815D99">
        <w:rPr>
          <w:noProof/>
        </w:rPr>
        <w:t>g</w:t>
      </w:r>
      <w:r w:rsidR="00225C83">
        <w:rPr>
          <w:noProof/>
        </w:rPr>
        <w:t>rams</w:t>
      </w:r>
      <w:r w:rsidR="00815D99">
        <w:rPr>
          <w:noProof/>
        </w:rPr>
        <w:t>,</w:t>
      </w:r>
      <w:r w:rsidRPr="005A6150">
        <w:t xml:space="preserve"> and 500</w:t>
      </w:r>
      <w:r w:rsidR="00225C83">
        <w:t xml:space="preserve"> </w:t>
      </w:r>
      <w:r w:rsidRPr="005A6150">
        <w:t>g</w:t>
      </w:r>
      <w:r w:rsidR="00225C83">
        <w:t>rams</w:t>
      </w:r>
      <w:r w:rsidRPr="005A6150">
        <w:t xml:space="preserve">. </w:t>
      </w:r>
      <w:r w:rsidR="001A742B">
        <w:t>MTG</w:t>
      </w:r>
      <w:r w:rsidR="001A742B" w:rsidRPr="006317D3">
        <w:t xml:space="preserve"> use</w:t>
      </w:r>
      <w:r w:rsidR="001A742B">
        <w:t>d</w:t>
      </w:r>
      <w:r w:rsidR="001A742B" w:rsidRPr="006317D3">
        <w:t xml:space="preserve"> paper boxes </w:t>
      </w:r>
      <w:r w:rsidR="001A742B">
        <w:t>that</w:t>
      </w:r>
      <w:r w:rsidR="001A742B" w:rsidRPr="006317D3">
        <w:t xml:space="preserve"> </w:t>
      </w:r>
      <w:r w:rsidR="001A742B">
        <w:t>we</w:t>
      </w:r>
      <w:r w:rsidR="001A742B" w:rsidRPr="006317D3">
        <w:t xml:space="preserve">re </w:t>
      </w:r>
      <w:r w:rsidR="001A742B">
        <w:t xml:space="preserve">environmentally </w:t>
      </w:r>
      <w:r w:rsidR="001A742B" w:rsidRPr="006317D3">
        <w:t>friendly for packaging</w:t>
      </w:r>
      <w:r w:rsidR="001A742B">
        <w:t>.</w:t>
      </w:r>
      <w:r w:rsidR="001A742B" w:rsidRPr="005A6150">
        <w:t xml:space="preserve"> </w:t>
      </w:r>
      <w:r w:rsidRPr="005A6150">
        <w:t>Finally, pack</w:t>
      </w:r>
      <w:r w:rsidR="00225C83">
        <w:t>ag</w:t>
      </w:r>
      <w:r w:rsidRPr="005A6150">
        <w:t xml:space="preserve">ed consignments </w:t>
      </w:r>
      <w:r w:rsidR="00A36E99">
        <w:t>we</w:t>
      </w:r>
      <w:r w:rsidRPr="005A6150">
        <w:t xml:space="preserve">re grouped </w:t>
      </w:r>
      <w:r w:rsidR="001A742B">
        <w:t xml:space="preserve">into lot sizes of 50 to 80 kilograms, </w:t>
      </w:r>
      <w:r w:rsidRPr="005A6150">
        <w:t xml:space="preserve">and distributed to the local markets </w:t>
      </w:r>
      <w:r w:rsidR="00225C83">
        <w:t>and to</w:t>
      </w:r>
      <w:r w:rsidRPr="005A6150">
        <w:t xml:space="preserve"> some other states in the country. </w:t>
      </w:r>
      <w:r w:rsidR="00ED3000">
        <w:rPr>
          <w:noProof/>
        </w:rPr>
        <w:t xml:space="preserve">MTG distributed </w:t>
      </w:r>
      <w:r w:rsidR="00AD51D0" w:rsidRPr="00815D99">
        <w:rPr>
          <w:noProof/>
        </w:rPr>
        <w:t>Urlong</w:t>
      </w:r>
      <w:r w:rsidR="00AD51D0">
        <w:t xml:space="preserve"> </w:t>
      </w:r>
      <w:r w:rsidRPr="005A6150">
        <w:t xml:space="preserve">to the regional markets with little scope </w:t>
      </w:r>
      <w:r w:rsidR="00ED3000">
        <w:t>for</w:t>
      </w:r>
      <w:r w:rsidR="00ED3000" w:rsidRPr="005A6150">
        <w:t xml:space="preserve"> </w:t>
      </w:r>
      <w:r w:rsidRPr="005A6150">
        <w:t xml:space="preserve">export due to low production capacities. As </w:t>
      </w:r>
      <w:r w:rsidR="002765CB">
        <w:t>part of its plan to fully utiliz</w:t>
      </w:r>
      <w:r w:rsidRPr="005A6150">
        <w:t xml:space="preserve">e the infrastructure and cater to the demands of the market, </w:t>
      </w:r>
      <w:r w:rsidR="002A0B56">
        <w:t>MTG</w:t>
      </w:r>
      <w:r w:rsidRPr="005A6150">
        <w:t xml:space="preserve"> planned to expand its cooperative model to other villages and there</w:t>
      </w:r>
      <w:r w:rsidR="00AD51D0">
        <w:t>by</w:t>
      </w:r>
      <w:r w:rsidRPr="005A6150">
        <w:t xml:space="preserve"> meet the demand of tea production in all seasons. </w:t>
      </w:r>
      <w:proofErr w:type="spellStart"/>
      <w:r w:rsidRPr="005A6150">
        <w:t>Nongspung</w:t>
      </w:r>
      <w:proofErr w:type="spellEnd"/>
      <w:r w:rsidRPr="005A6150">
        <w:t xml:space="preserve"> hope</w:t>
      </w:r>
      <w:r w:rsidR="00876AAE">
        <w:t>d</w:t>
      </w:r>
      <w:r w:rsidRPr="005A6150">
        <w:t xml:space="preserve"> to have another processing unit in a neighbouring village in the years to come. </w:t>
      </w:r>
    </w:p>
    <w:p w14:paraId="45A4BDD4" w14:textId="77777777" w:rsidR="00503DBE" w:rsidRDefault="00503DBE" w:rsidP="00EA33C7">
      <w:pPr>
        <w:pStyle w:val="BodyTextMain"/>
      </w:pPr>
    </w:p>
    <w:p w14:paraId="1A999C39" w14:textId="1D8F19EA" w:rsidR="00E03A3B" w:rsidRDefault="00E03A3B" w:rsidP="00EA33C7">
      <w:pPr>
        <w:pStyle w:val="Casehead2"/>
      </w:pPr>
    </w:p>
    <w:p w14:paraId="4A6BCCC5" w14:textId="435856B8" w:rsidR="00EA33C7" w:rsidRDefault="00EA33C7" w:rsidP="001C571B">
      <w:pPr>
        <w:pStyle w:val="Casehead2"/>
        <w:outlineLvl w:val="0"/>
      </w:pPr>
      <w:r w:rsidRPr="005A6150">
        <w:t xml:space="preserve">Pricing, </w:t>
      </w:r>
      <w:r w:rsidRPr="00815D99">
        <w:rPr>
          <w:noProof/>
        </w:rPr>
        <w:t>Distribution</w:t>
      </w:r>
      <w:r w:rsidR="00815D99">
        <w:rPr>
          <w:noProof/>
        </w:rPr>
        <w:t>,</w:t>
      </w:r>
      <w:r w:rsidRPr="005A6150">
        <w:t xml:space="preserve"> and Marketing</w:t>
      </w:r>
    </w:p>
    <w:p w14:paraId="42972561" w14:textId="77777777" w:rsidR="00731F40" w:rsidRPr="005A6150" w:rsidRDefault="00731F40" w:rsidP="00EA33C7">
      <w:pPr>
        <w:pStyle w:val="Casehead2"/>
      </w:pPr>
    </w:p>
    <w:p w14:paraId="6381C74C" w14:textId="592D9ED8" w:rsidR="00E32BA2" w:rsidRPr="00EA33C7" w:rsidRDefault="002A0B56" w:rsidP="00E32BA2">
      <w:pPr>
        <w:pStyle w:val="BodyTextMain"/>
      </w:pPr>
      <w:r>
        <w:t>MTG</w:t>
      </w:r>
      <w:r w:rsidR="00E32BA2">
        <w:t xml:space="preserve"> </w:t>
      </w:r>
      <w:r w:rsidR="00184FA8">
        <w:t xml:space="preserve">set </w:t>
      </w:r>
      <w:r w:rsidR="00E32BA2">
        <w:t>the pric</w:t>
      </w:r>
      <w:r w:rsidR="0013778F">
        <w:t>es for</w:t>
      </w:r>
      <w:r w:rsidR="00EA33C7" w:rsidRPr="00EA33C7">
        <w:t xml:space="preserve"> different </w:t>
      </w:r>
      <w:r w:rsidR="0013778F">
        <w:t xml:space="preserve">variants of </w:t>
      </w:r>
      <w:r w:rsidR="00EA33C7" w:rsidRPr="00EA33C7">
        <w:t xml:space="preserve">tea. </w:t>
      </w:r>
      <w:r w:rsidR="00E32BA2">
        <w:t>Every year</w:t>
      </w:r>
      <w:r w:rsidR="00184FA8">
        <w:t>,</w:t>
      </w:r>
      <w:r w:rsidR="00E32BA2">
        <w:t xml:space="preserve"> the procurement price for the farmers was </w:t>
      </w:r>
      <w:r w:rsidR="00184FA8">
        <w:t xml:space="preserve">set </w:t>
      </w:r>
      <w:r w:rsidR="00E32BA2">
        <w:t>at the beginning of the season</w:t>
      </w:r>
      <w:r w:rsidR="00184FA8">
        <w:t>;</w:t>
      </w:r>
      <w:r w:rsidR="00E32BA2">
        <w:t xml:space="preserve"> the price was stable throughout the year. Over the </w:t>
      </w:r>
      <w:r w:rsidR="006018CE">
        <w:t>previous</w:t>
      </w:r>
      <w:r w:rsidR="00E32BA2">
        <w:t xml:space="preserve"> couple of </w:t>
      </w:r>
      <w:r w:rsidR="00E32BA2" w:rsidRPr="00815D99">
        <w:rPr>
          <w:noProof/>
        </w:rPr>
        <w:t>years</w:t>
      </w:r>
      <w:r w:rsidR="00815D99">
        <w:rPr>
          <w:noProof/>
        </w:rPr>
        <w:t>,</w:t>
      </w:r>
      <w:r w:rsidR="00E32BA2">
        <w:t xml:space="preserve"> the procurement price offered to farmers </w:t>
      </w:r>
      <w:r w:rsidR="00EA33C7" w:rsidRPr="00EA33C7">
        <w:t xml:space="preserve">ranged from </w:t>
      </w:r>
      <w:r w:rsidR="00295359" w:rsidRPr="00E10707">
        <w:rPr>
          <w:rFonts w:ascii="Tahoma" w:hAnsi="Tahoma" w:cs="Tahoma"/>
        </w:rPr>
        <w:t>₹</w:t>
      </w:r>
      <w:r w:rsidR="00EA33C7" w:rsidRPr="00EA33C7">
        <w:t xml:space="preserve">60 to </w:t>
      </w:r>
      <w:r w:rsidR="00295359" w:rsidRPr="00E10707">
        <w:rPr>
          <w:rFonts w:ascii="Tahoma" w:hAnsi="Tahoma" w:cs="Tahoma"/>
        </w:rPr>
        <w:t>₹</w:t>
      </w:r>
      <w:r w:rsidR="00EA33C7" w:rsidRPr="00EA33C7">
        <w:t>90 per k</w:t>
      </w:r>
      <w:r w:rsidR="00F32845">
        <w:t>ilo</w:t>
      </w:r>
      <w:r w:rsidR="00184FA8">
        <w:t>gram</w:t>
      </w:r>
      <w:r w:rsidR="00EA33C7" w:rsidRPr="00EA33C7">
        <w:t xml:space="preserve">. </w:t>
      </w:r>
      <w:r w:rsidR="00184FA8">
        <w:t>The method of setting prices</w:t>
      </w:r>
      <w:r w:rsidR="00E32BA2">
        <w:t xml:space="preserve"> increased </w:t>
      </w:r>
      <w:r w:rsidR="00184FA8">
        <w:t xml:space="preserve">farmers’ </w:t>
      </w:r>
      <w:r w:rsidR="00E32BA2">
        <w:t xml:space="preserve">commitment and loyalty to the cooperative. In </w:t>
      </w:r>
      <w:r w:rsidR="00E32BA2" w:rsidRPr="00815D99">
        <w:rPr>
          <w:noProof/>
        </w:rPr>
        <w:t>turn</w:t>
      </w:r>
      <w:r w:rsidR="00815D99">
        <w:rPr>
          <w:noProof/>
        </w:rPr>
        <w:t>,</w:t>
      </w:r>
      <w:r w:rsidR="00E32BA2">
        <w:t xml:space="preserve"> the cooperative gained by procur</w:t>
      </w:r>
      <w:r w:rsidR="002704A2">
        <w:t>ing</w:t>
      </w:r>
      <w:r w:rsidR="00E32BA2">
        <w:t xml:space="preserve"> </w:t>
      </w:r>
      <w:r w:rsidR="00184FA8">
        <w:lastRenderedPageBreak/>
        <w:t>all the</w:t>
      </w:r>
      <w:r w:rsidR="003764F0">
        <w:t xml:space="preserve"> tea </w:t>
      </w:r>
      <w:r w:rsidR="000C2B28">
        <w:t>grown</w:t>
      </w:r>
      <w:r w:rsidR="003764F0">
        <w:t xml:space="preserve"> and </w:t>
      </w:r>
      <w:r w:rsidR="00184FA8">
        <w:t>improv</w:t>
      </w:r>
      <w:r w:rsidR="00E443EF">
        <w:t>ing</w:t>
      </w:r>
      <w:r w:rsidR="00184FA8">
        <w:t xml:space="preserve"> </w:t>
      </w:r>
      <w:r w:rsidR="003764F0">
        <w:t xml:space="preserve">economies of scale. </w:t>
      </w:r>
      <w:r w:rsidR="00D92428">
        <w:t>Loyalt</w:t>
      </w:r>
      <w:r w:rsidR="006018CE">
        <w:t>y programs like emergency loans and</w:t>
      </w:r>
      <w:r w:rsidR="00D92428">
        <w:t xml:space="preserve"> </w:t>
      </w:r>
      <w:r w:rsidR="00F32845">
        <w:t>Christmas</w:t>
      </w:r>
      <w:r w:rsidR="00D92428">
        <w:t xml:space="preserve"> bonus</w:t>
      </w:r>
      <w:r w:rsidR="006018CE">
        <w:t>es</w:t>
      </w:r>
      <w:r w:rsidR="00D92428">
        <w:t xml:space="preserve"> were key in bind</w:t>
      </w:r>
      <w:r w:rsidR="00F32845">
        <w:t>ing</w:t>
      </w:r>
      <w:r w:rsidR="00D92428">
        <w:t xml:space="preserve"> the farmers </w:t>
      </w:r>
      <w:r w:rsidR="00F32845">
        <w:t>to</w:t>
      </w:r>
      <w:r w:rsidR="00D92428">
        <w:t xml:space="preserve"> the cooperative. </w:t>
      </w:r>
    </w:p>
    <w:p w14:paraId="7745E460" w14:textId="77777777" w:rsidR="00EA33C7" w:rsidRPr="00EA33C7" w:rsidRDefault="00EA33C7" w:rsidP="00EA33C7">
      <w:pPr>
        <w:pStyle w:val="BodyTextMain"/>
      </w:pPr>
    </w:p>
    <w:p w14:paraId="4F572FBC" w14:textId="45B76996" w:rsidR="00EA33C7" w:rsidRDefault="00EA33C7" w:rsidP="00EA33C7">
      <w:pPr>
        <w:pStyle w:val="BodyTextMain"/>
      </w:pPr>
      <w:r w:rsidRPr="00EA33C7">
        <w:t xml:space="preserve">The </w:t>
      </w:r>
      <w:r w:rsidR="00117E26">
        <w:t xml:space="preserve">retail </w:t>
      </w:r>
      <w:r w:rsidRPr="00EA33C7">
        <w:t xml:space="preserve">prices </w:t>
      </w:r>
      <w:r w:rsidR="00117E26">
        <w:t xml:space="preserve">for the tea </w:t>
      </w:r>
      <w:r w:rsidRPr="00EA33C7">
        <w:t xml:space="preserve">were </w:t>
      </w:r>
      <w:r w:rsidR="00295359" w:rsidRPr="00E10707">
        <w:rPr>
          <w:rFonts w:ascii="Tahoma" w:hAnsi="Tahoma" w:cs="Tahoma"/>
        </w:rPr>
        <w:t>₹</w:t>
      </w:r>
      <w:r w:rsidRPr="00EA33C7">
        <w:t xml:space="preserve">150 for a </w:t>
      </w:r>
      <w:r w:rsidR="00450CB8" w:rsidRPr="00EA33C7">
        <w:t>250</w:t>
      </w:r>
      <w:r w:rsidR="00450CB8">
        <w:t>-gram</w:t>
      </w:r>
      <w:r w:rsidRPr="00EA33C7">
        <w:t xml:space="preserve"> pack</w:t>
      </w:r>
      <w:r w:rsidR="00117E26">
        <w:t>age</w:t>
      </w:r>
      <w:r w:rsidRPr="00EA33C7">
        <w:t xml:space="preserve"> and </w:t>
      </w:r>
      <w:r w:rsidR="00B77018" w:rsidRPr="00E10707">
        <w:rPr>
          <w:rFonts w:ascii="Tahoma" w:hAnsi="Tahoma" w:cs="Tahoma"/>
        </w:rPr>
        <w:t>₹</w:t>
      </w:r>
      <w:r w:rsidRPr="00EA33C7">
        <w:t xml:space="preserve">300 for a </w:t>
      </w:r>
      <w:r w:rsidR="001C260F" w:rsidRPr="00EA33C7">
        <w:t>500</w:t>
      </w:r>
      <w:r w:rsidR="001C260F">
        <w:t>-gram</w:t>
      </w:r>
      <w:r w:rsidRPr="00EA33C7">
        <w:t xml:space="preserve"> pack</w:t>
      </w:r>
      <w:r w:rsidR="00117E26">
        <w:t>age</w:t>
      </w:r>
      <w:r w:rsidRPr="00EA33C7">
        <w:t>. The retailers and wholesalers were given a margin of 10</w:t>
      </w:r>
      <w:r w:rsidR="00117E26">
        <w:t>–</w:t>
      </w:r>
      <w:r w:rsidRPr="00EA33C7">
        <w:t>15</w:t>
      </w:r>
      <w:r w:rsidR="006018CE">
        <w:t xml:space="preserve"> per cent</w:t>
      </w:r>
      <w:r w:rsidRPr="00EA33C7">
        <w:t xml:space="preserve">. </w:t>
      </w:r>
      <w:r w:rsidR="00AC36ED">
        <w:t xml:space="preserve">Village youth were encouraged to earn money </w:t>
      </w:r>
      <w:r w:rsidR="00117E26">
        <w:t xml:space="preserve">on a </w:t>
      </w:r>
      <w:r w:rsidR="00AC36ED">
        <w:t>commission</w:t>
      </w:r>
      <w:r w:rsidR="00117E26">
        <w:t xml:space="preserve"> basis</w:t>
      </w:r>
      <w:r w:rsidR="00AC36ED">
        <w:t xml:space="preserve">, </w:t>
      </w:r>
      <w:r w:rsidR="00117E26">
        <w:t xml:space="preserve">paid by the kilogram </w:t>
      </w:r>
      <w:r w:rsidR="001C260F">
        <w:t>of intended stock distributed</w:t>
      </w:r>
      <w:r w:rsidR="00117E26">
        <w:t xml:space="preserve"> </w:t>
      </w:r>
      <w:r w:rsidR="001C260F">
        <w:t>to</w:t>
      </w:r>
      <w:r w:rsidR="00AC36ED">
        <w:t xml:space="preserve"> the wholesalers and retailers. </w:t>
      </w:r>
      <w:r w:rsidR="006018CE">
        <w:t>The c</w:t>
      </w:r>
      <w:r w:rsidRPr="00EA33C7">
        <w:t xml:space="preserve">ooperative also </w:t>
      </w:r>
      <w:r w:rsidR="00AC36ED">
        <w:t xml:space="preserve">sold </w:t>
      </w:r>
      <w:r w:rsidRPr="00EA33C7">
        <w:t xml:space="preserve">tea </w:t>
      </w:r>
      <w:r w:rsidR="00AC36ED">
        <w:t xml:space="preserve">through </w:t>
      </w:r>
      <w:r w:rsidRPr="00EA33C7">
        <w:t xml:space="preserve">auctions and trade fairs that </w:t>
      </w:r>
      <w:r w:rsidR="00AC36ED">
        <w:t>we</w:t>
      </w:r>
      <w:r w:rsidRPr="00EA33C7">
        <w:t>re hosted in other states of the country.</w:t>
      </w:r>
    </w:p>
    <w:p w14:paraId="0AB1D560" w14:textId="77777777" w:rsidR="006018CE" w:rsidRPr="00EA33C7" w:rsidRDefault="006018CE" w:rsidP="00EA33C7">
      <w:pPr>
        <w:pStyle w:val="BodyTextMain"/>
      </w:pPr>
    </w:p>
    <w:p w14:paraId="43EB3011" w14:textId="48758CC2" w:rsidR="00EA33C7" w:rsidRPr="00665D3F" w:rsidRDefault="00DD3F97" w:rsidP="00665D3F">
      <w:pPr>
        <w:pStyle w:val="BodyTextMain"/>
      </w:pPr>
      <w:proofErr w:type="spellStart"/>
      <w:r>
        <w:t>Nongspung</w:t>
      </w:r>
      <w:proofErr w:type="spellEnd"/>
      <w:r>
        <w:t xml:space="preserve"> wanted to </w:t>
      </w:r>
      <w:r w:rsidR="00F32845">
        <w:t>translate</w:t>
      </w:r>
      <w:r>
        <w:t xml:space="preserve"> the cooperative’s commitment to</w:t>
      </w:r>
      <w:r w:rsidR="00815D99">
        <w:t xml:space="preserve"> the</w:t>
      </w:r>
      <w:r>
        <w:t xml:space="preserve"> </w:t>
      </w:r>
      <w:r w:rsidRPr="00815D99">
        <w:rPr>
          <w:noProof/>
        </w:rPr>
        <w:t>sustainable</w:t>
      </w:r>
      <w:r>
        <w:t xml:space="preserve"> production of organic tea into sales and income for farmers. Given that the cooperative was relatively new in the market</w:t>
      </w:r>
      <w:r w:rsidR="006018CE">
        <w:t>,</w:t>
      </w:r>
      <w:r>
        <w:t xml:space="preserve"> the efforts to position </w:t>
      </w:r>
      <w:r w:rsidR="006018CE">
        <w:t xml:space="preserve">the </w:t>
      </w:r>
      <w:r w:rsidRPr="00815D99">
        <w:rPr>
          <w:noProof/>
        </w:rPr>
        <w:t>Urlong</w:t>
      </w:r>
      <w:r w:rsidR="006018CE">
        <w:t xml:space="preserve"> brand were</w:t>
      </w:r>
      <w:r>
        <w:t xml:space="preserve"> challenging. Though </w:t>
      </w:r>
      <w:r w:rsidRPr="00815D99">
        <w:rPr>
          <w:noProof/>
        </w:rPr>
        <w:t>Urlong</w:t>
      </w:r>
      <w:r>
        <w:t xml:space="preserve"> was known for being organic, the consumers and retailers were happier for the ethical position that </w:t>
      </w:r>
      <w:r w:rsidR="002A0B56">
        <w:t>MTG</w:t>
      </w:r>
      <w:r>
        <w:t xml:space="preserve"> </w:t>
      </w:r>
      <w:r w:rsidR="00FD0CAB">
        <w:t>took</w:t>
      </w:r>
      <w:r>
        <w:t xml:space="preserve"> and for the societal contribution that it made. </w:t>
      </w:r>
      <w:proofErr w:type="spellStart"/>
      <w:r>
        <w:t>Nongspung</w:t>
      </w:r>
      <w:proofErr w:type="spellEnd"/>
      <w:r>
        <w:t xml:space="preserve"> </w:t>
      </w:r>
      <w:r w:rsidR="006018CE">
        <w:t>commented</w:t>
      </w:r>
      <w:r w:rsidR="00665D3F">
        <w:t>, “c</w:t>
      </w:r>
      <w:r w:rsidR="00EA33C7" w:rsidRPr="00665D3F">
        <w:t>onsumers aren’t choosing our product because it’s organic</w:t>
      </w:r>
      <w:r w:rsidR="00665D3F">
        <w:t>,</w:t>
      </w:r>
      <w:r w:rsidR="00EA33C7" w:rsidRPr="00665D3F">
        <w:t xml:space="preserve"> but because of our commitment towards sustainability and </w:t>
      </w:r>
      <w:r w:rsidR="00321ACE" w:rsidRPr="00665D3F">
        <w:t>“</w:t>
      </w:r>
      <w:proofErr w:type="spellStart"/>
      <w:r w:rsidR="00EA33C7" w:rsidRPr="00665D3F">
        <w:t>upliftment</w:t>
      </w:r>
      <w:proofErr w:type="spellEnd"/>
      <w:r w:rsidR="00321ACE" w:rsidRPr="00665D3F">
        <w:t>”</w:t>
      </w:r>
      <w:r w:rsidR="00EA33C7" w:rsidRPr="00665D3F">
        <w:t xml:space="preserve"> of the society. This message was aligned with th</w:t>
      </w:r>
      <w:r w:rsidR="006018CE" w:rsidRPr="00665D3F">
        <w:t>eir expectations for our brand.</w:t>
      </w:r>
      <w:r w:rsidR="00665D3F">
        <w:t>”</w:t>
      </w:r>
    </w:p>
    <w:p w14:paraId="309FDD0F" w14:textId="77777777" w:rsidR="00EA33C7" w:rsidRPr="00EA33C7" w:rsidRDefault="00EA33C7" w:rsidP="00EA33C7">
      <w:pPr>
        <w:pStyle w:val="BodyTextMain"/>
      </w:pPr>
    </w:p>
    <w:p w14:paraId="7FF05CF7" w14:textId="092F1FE2" w:rsidR="00EA33C7" w:rsidRPr="00EA33C7" w:rsidRDefault="002A0B56" w:rsidP="00EA33C7">
      <w:pPr>
        <w:pStyle w:val="BodyTextMain"/>
      </w:pPr>
      <w:r>
        <w:t>MTG</w:t>
      </w:r>
      <w:r w:rsidR="002B3EDC">
        <w:t xml:space="preserve"> tried its best to reach as many retail outlets as possible in the state and several adjacent states. </w:t>
      </w:r>
      <w:r w:rsidR="0095679E">
        <w:t xml:space="preserve">Retailers expressed happiness with the tea and </w:t>
      </w:r>
      <w:r>
        <w:t>MTG</w:t>
      </w:r>
      <w:r w:rsidR="0095679E">
        <w:t xml:space="preserve">. </w:t>
      </w:r>
      <w:r w:rsidR="002B3EDC">
        <w:t xml:space="preserve">However, limited production facilities proved to be a </w:t>
      </w:r>
      <w:r w:rsidR="00FD0CAB">
        <w:t>major</w:t>
      </w:r>
      <w:r w:rsidR="002B3EDC">
        <w:t xml:space="preserve"> hindrance in </w:t>
      </w:r>
      <w:r w:rsidR="00321ACE">
        <w:t xml:space="preserve">expanding the </w:t>
      </w:r>
      <w:r w:rsidR="002B3EDC">
        <w:t xml:space="preserve">distribution reach. </w:t>
      </w:r>
      <w:r w:rsidR="002B3EDC" w:rsidRPr="00815D99">
        <w:rPr>
          <w:noProof/>
        </w:rPr>
        <w:t>In</w:t>
      </w:r>
      <w:r w:rsidR="00815D99">
        <w:rPr>
          <w:noProof/>
        </w:rPr>
        <w:t xml:space="preserve"> </w:t>
      </w:r>
      <w:r w:rsidR="002B3EDC" w:rsidRPr="00815D99">
        <w:rPr>
          <w:noProof/>
        </w:rPr>
        <w:t>fact</w:t>
      </w:r>
      <w:r w:rsidR="0095679E">
        <w:t xml:space="preserve">, on several </w:t>
      </w:r>
      <w:r w:rsidR="0095679E" w:rsidRPr="00815D99">
        <w:rPr>
          <w:noProof/>
        </w:rPr>
        <w:t>occasions</w:t>
      </w:r>
      <w:r w:rsidR="00321ACE">
        <w:rPr>
          <w:noProof/>
        </w:rPr>
        <w:t>,</w:t>
      </w:r>
      <w:r w:rsidR="0095679E">
        <w:t xml:space="preserve"> the stock-</w:t>
      </w:r>
      <w:r w:rsidR="002B3EDC">
        <w:t xml:space="preserve">outs at the retail counter resulted in customer dissatisfaction. </w:t>
      </w:r>
    </w:p>
    <w:p w14:paraId="61AF7B6B" w14:textId="77777777" w:rsidR="003178BF" w:rsidRDefault="003178BF" w:rsidP="00EA33C7">
      <w:pPr>
        <w:pStyle w:val="Casehead1"/>
      </w:pPr>
    </w:p>
    <w:p w14:paraId="61CD7177" w14:textId="77777777" w:rsidR="000D0418" w:rsidRDefault="000D0418" w:rsidP="00EA33C7">
      <w:pPr>
        <w:pStyle w:val="Casehead1"/>
      </w:pPr>
    </w:p>
    <w:p w14:paraId="1F73B836" w14:textId="7060ECAD" w:rsidR="00EA33C7" w:rsidRDefault="00EA33C7" w:rsidP="001C571B">
      <w:pPr>
        <w:pStyle w:val="Casehead1"/>
        <w:outlineLvl w:val="0"/>
      </w:pPr>
      <w:r w:rsidRPr="005A6150">
        <w:t>SCALING UP</w:t>
      </w:r>
    </w:p>
    <w:p w14:paraId="3B81C252" w14:textId="77777777" w:rsidR="00731F40" w:rsidRPr="005A6150" w:rsidRDefault="00731F40" w:rsidP="00EA33C7">
      <w:pPr>
        <w:pStyle w:val="Casehead1"/>
      </w:pPr>
    </w:p>
    <w:p w14:paraId="32F7A9F9" w14:textId="6FE6DA32" w:rsidR="00BE670E" w:rsidRDefault="00321ACE" w:rsidP="00EA33C7">
      <w:pPr>
        <w:pStyle w:val="BodyTextMain"/>
      </w:pPr>
      <w:proofErr w:type="spellStart"/>
      <w:r w:rsidRPr="00EA33C7">
        <w:t>Nongspung</w:t>
      </w:r>
      <w:proofErr w:type="spellEnd"/>
      <w:r w:rsidRPr="00EA33C7">
        <w:t xml:space="preserve"> was </w:t>
      </w:r>
      <w:r>
        <w:t xml:space="preserve">considering what </w:t>
      </w:r>
      <w:r w:rsidRPr="00EA33C7">
        <w:t xml:space="preserve">strategies </w:t>
      </w:r>
      <w:r>
        <w:t xml:space="preserve">for positioning </w:t>
      </w:r>
      <w:r w:rsidRPr="00815D99">
        <w:rPr>
          <w:noProof/>
        </w:rPr>
        <w:t>Urlong</w:t>
      </w:r>
      <w:r w:rsidRPr="00EA33C7">
        <w:t xml:space="preserve"> </w:t>
      </w:r>
      <w:r>
        <w:t>and other efforts were required to scale up MTG’s operations. He believed</w:t>
      </w:r>
      <w:r w:rsidR="00C90132">
        <w:t xml:space="preserve"> that tea cultivation ha</w:t>
      </w:r>
      <w:r w:rsidR="006018CE">
        <w:t>d</w:t>
      </w:r>
      <w:r w:rsidR="00C90132">
        <w:t xml:space="preserve"> brought a sea change in Mawlyngot</w:t>
      </w:r>
      <w:r w:rsidR="00FD0CAB">
        <w:t>,</w:t>
      </w:r>
      <w:r w:rsidR="00C90132">
        <w:t xml:space="preserve"> and he wanted the </w:t>
      </w:r>
      <w:r w:rsidR="003A57FC">
        <w:t>neighbouring</w:t>
      </w:r>
      <w:r w:rsidR="00C90132">
        <w:t xml:space="preserve"> villages to reap similar benefits. He wanted to scale up </w:t>
      </w:r>
      <w:r w:rsidR="002A0B56">
        <w:t>MTG</w:t>
      </w:r>
      <w:r w:rsidR="00C90132">
        <w:t xml:space="preserve"> to </w:t>
      </w:r>
      <w:r w:rsidR="003A57FC">
        <w:t xml:space="preserve">incorporate </w:t>
      </w:r>
      <w:r w:rsidR="006018CE">
        <w:t>the</w:t>
      </w:r>
      <w:r w:rsidR="00C90132">
        <w:t xml:space="preserve"> seven villages</w:t>
      </w:r>
      <w:r w:rsidR="006018CE">
        <w:t xml:space="preserve"> nearby</w:t>
      </w:r>
      <w:r w:rsidR="00C90132">
        <w:t xml:space="preserve">, </w:t>
      </w:r>
      <w:r w:rsidR="003A57FC">
        <w:t xml:space="preserve">each </w:t>
      </w:r>
      <w:r w:rsidR="00C90132">
        <w:t>having 45</w:t>
      </w:r>
      <w:r w:rsidR="003A57FC">
        <w:t>–</w:t>
      </w:r>
      <w:r w:rsidR="00C90132">
        <w:t xml:space="preserve">50 households, </w:t>
      </w:r>
      <w:r w:rsidR="00BE670E">
        <w:t>bringing the benefits of</w:t>
      </w:r>
      <w:r w:rsidR="00C90132">
        <w:t xml:space="preserve"> tea cultivation to</w:t>
      </w:r>
      <w:r w:rsidR="00815D99">
        <w:t xml:space="preserve"> </w:t>
      </w:r>
      <w:r w:rsidR="00BE670E">
        <w:t>more</w:t>
      </w:r>
      <w:r w:rsidR="00C90132">
        <w:t xml:space="preserve"> farmers. </w:t>
      </w:r>
      <w:r w:rsidR="00BE670E">
        <w:t>Heads of t</w:t>
      </w:r>
      <w:r w:rsidR="00C90132">
        <w:t>hese village</w:t>
      </w:r>
      <w:r w:rsidR="00FD0CAB">
        <w:t xml:space="preserve">s </w:t>
      </w:r>
      <w:r w:rsidR="00C90132">
        <w:t xml:space="preserve">were invited </w:t>
      </w:r>
      <w:r w:rsidR="00815D99">
        <w:rPr>
          <w:noProof/>
        </w:rPr>
        <w:t>to</w:t>
      </w:r>
      <w:r w:rsidR="00C90132">
        <w:t xml:space="preserve"> meetings and </w:t>
      </w:r>
      <w:r w:rsidR="00BE670E">
        <w:t>asked</w:t>
      </w:r>
      <w:r w:rsidR="00C90132">
        <w:t xml:space="preserve"> to take initiatives for replicating the cooperative model. </w:t>
      </w:r>
      <w:r w:rsidR="00EA33C7" w:rsidRPr="005A6150">
        <w:t>During the</w:t>
      </w:r>
      <w:r w:rsidR="00C90132">
        <w:t>se</w:t>
      </w:r>
      <w:r w:rsidR="00EA33C7" w:rsidRPr="005A6150">
        <w:t xml:space="preserve"> </w:t>
      </w:r>
      <w:r w:rsidR="00EA33C7" w:rsidRPr="00815D99">
        <w:rPr>
          <w:noProof/>
        </w:rPr>
        <w:t>meetings</w:t>
      </w:r>
      <w:r w:rsidR="00815D99">
        <w:rPr>
          <w:noProof/>
        </w:rPr>
        <w:t>,</w:t>
      </w:r>
      <w:r w:rsidR="00EA33C7" w:rsidRPr="005A6150">
        <w:t xml:space="preserve"> </w:t>
      </w:r>
      <w:r w:rsidR="00C90132">
        <w:t xml:space="preserve">village heads </w:t>
      </w:r>
      <w:r w:rsidR="00EA33C7" w:rsidRPr="005A6150">
        <w:t>brainstorm</w:t>
      </w:r>
      <w:r w:rsidR="00E66720">
        <w:t>ed</w:t>
      </w:r>
      <w:r w:rsidR="00C90132">
        <w:t xml:space="preserve"> </w:t>
      </w:r>
      <w:r w:rsidR="00BE670E">
        <w:t>how to</w:t>
      </w:r>
      <w:r w:rsidR="00C90132">
        <w:t xml:space="preserve"> </w:t>
      </w:r>
      <w:r w:rsidR="00BE670E">
        <w:t xml:space="preserve">replicate MTG </w:t>
      </w:r>
      <w:r w:rsidR="00E66720">
        <w:t xml:space="preserve">and </w:t>
      </w:r>
      <w:r w:rsidR="00C90132">
        <w:t xml:space="preserve">decided </w:t>
      </w:r>
      <w:r w:rsidR="00BE670E">
        <w:t>it should be done</w:t>
      </w:r>
      <w:r w:rsidR="00C90132">
        <w:t xml:space="preserve"> in villages where the predominant occupation was agriculture and not tourism. </w:t>
      </w:r>
    </w:p>
    <w:p w14:paraId="60C653CA" w14:textId="77777777" w:rsidR="00BE670E" w:rsidRDefault="00BE670E" w:rsidP="00EA33C7">
      <w:pPr>
        <w:pStyle w:val="BodyTextMain"/>
      </w:pPr>
    </w:p>
    <w:p w14:paraId="3B5F59A0" w14:textId="0B0A0730" w:rsidR="00B30350" w:rsidRDefault="005303C2" w:rsidP="00EA33C7">
      <w:pPr>
        <w:pStyle w:val="BodyTextMain"/>
      </w:pPr>
      <w:proofErr w:type="spellStart"/>
      <w:r>
        <w:t>Nongspung</w:t>
      </w:r>
      <w:proofErr w:type="spellEnd"/>
      <w:r>
        <w:t xml:space="preserve"> was aware of </w:t>
      </w:r>
      <w:r w:rsidR="00BE670E">
        <w:t xml:space="preserve">the </w:t>
      </w:r>
      <w:r>
        <w:t xml:space="preserve">challenges and was </w:t>
      </w:r>
      <w:r w:rsidR="00E66720">
        <w:t xml:space="preserve">contemplating </w:t>
      </w:r>
      <w:r w:rsidR="006018CE">
        <w:t>their</w:t>
      </w:r>
      <w:r w:rsidR="00E66720">
        <w:t xml:space="preserve"> </w:t>
      </w:r>
      <w:r>
        <w:t xml:space="preserve">solutions. </w:t>
      </w:r>
    </w:p>
    <w:p w14:paraId="5CE8539E" w14:textId="77777777" w:rsidR="00EA33C7" w:rsidRDefault="00EA33C7" w:rsidP="00EA33C7">
      <w:pPr>
        <w:pStyle w:val="BodyTextMain"/>
      </w:pPr>
    </w:p>
    <w:p w14:paraId="7C089396" w14:textId="77777777" w:rsidR="00731F40" w:rsidRDefault="00731F40" w:rsidP="00EA33C7">
      <w:pPr>
        <w:pStyle w:val="BodyTextMain"/>
      </w:pPr>
    </w:p>
    <w:p w14:paraId="47A7F0BF" w14:textId="593AD049" w:rsidR="00EA33C7" w:rsidRDefault="005303C2" w:rsidP="001C571B">
      <w:pPr>
        <w:pStyle w:val="Casehead3"/>
        <w:outlineLvl w:val="0"/>
      </w:pPr>
      <w:r w:rsidRPr="005303C2">
        <w:t xml:space="preserve">Challenge 1: </w:t>
      </w:r>
      <w:r w:rsidR="00EA33C7" w:rsidRPr="005303C2">
        <w:t>Collection</w:t>
      </w:r>
    </w:p>
    <w:p w14:paraId="0538FE29" w14:textId="77777777" w:rsidR="00731F40" w:rsidRPr="005303C2" w:rsidRDefault="00731F40" w:rsidP="005303C2">
      <w:pPr>
        <w:pStyle w:val="BodyTextMain"/>
        <w:rPr>
          <w:i/>
        </w:rPr>
      </w:pPr>
    </w:p>
    <w:p w14:paraId="40555617" w14:textId="112C2140" w:rsidR="005303C2" w:rsidRDefault="005303C2" w:rsidP="00EA33C7">
      <w:pPr>
        <w:pStyle w:val="BodyTextMain"/>
      </w:pPr>
      <w:r>
        <w:t xml:space="preserve">As the number of villages </w:t>
      </w:r>
      <w:r w:rsidRPr="00815D99">
        <w:rPr>
          <w:noProof/>
        </w:rPr>
        <w:t>increase</w:t>
      </w:r>
      <w:r w:rsidR="006018CE">
        <w:rPr>
          <w:noProof/>
        </w:rPr>
        <w:t>d</w:t>
      </w:r>
      <w:r>
        <w:t xml:space="preserve"> and the </w:t>
      </w:r>
      <w:r w:rsidR="00BE670E">
        <w:t xml:space="preserve">number of </w:t>
      </w:r>
      <w:r>
        <w:t>farmer members gr</w:t>
      </w:r>
      <w:r w:rsidR="006018CE">
        <w:t>e</w:t>
      </w:r>
      <w:r>
        <w:t>w,</w:t>
      </w:r>
      <w:r w:rsidR="00815D99">
        <w:t xml:space="preserve"> </w:t>
      </w:r>
      <w:r w:rsidRPr="00815D99">
        <w:rPr>
          <w:noProof/>
        </w:rPr>
        <w:t>collectin</w:t>
      </w:r>
      <w:r w:rsidR="00BE670E">
        <w:rPr>
          <w:noProof/>
        </w:rPr>
        <w:t>g the harvested</w:t>
      </w:r>
      <w:r>
        <w:t xml:space="preserve"> tea </w:t>
      </w:r>
      <w:r w:rsidR="006018CE">
        <w:t xml:space="preserve">would </w:t>
      </w:r>
      <w:r>
        <w:t xml:space="preserve">become </w:t>
      </w:r>
      <w:r w:rsidR="00BE670E">
        <w:t>costlier</w:t>
      </w:r>
      <w:r>
        <w:t xml:space="preserve"> and less feasible. </w:t>
      </w:r>
      <w:r w:rsidR="00E66720">
        <w:t xml:space="preserve">Should </w:t>
      </w:r>
      <w:r w:rsidR="00BE670E">
        <w:t xml:space="preserve">they </w:t>
      </w:r>
      <w:r w:rsidR="00E66720">
        <w:t xml:space="preserve">open a </w:t>
      </w:r>
      <w:r>
        <w:t xml:space="preserve">collection </w:t>
      </w:r>
      <w:r w:rsidR="00BE670E">
        <w:t>centre</w:t>
      </w:r>
      <w:r>
        <w:t xml:space="preserve"> </w:t>
      </w:r>
      <w:r w:rsidR="00E66720">
        <w:t xml:space="preserve">in </w:t>
      </w:r>
      <w:r>
        <w:t xml:space="preserve">each village where farmers </w:t>
      </w:r>
      <w:r w:rsidR="00BE670E">
        <w:t>c</w:t>
      </w:r>
      <w:r>
        <w:t>ould bring their tea and receive payments</w:t>
      </w:r>
      <w:r w:rsidR="006018CE">
        <w:t>,</w:t>
      </w:r>
      <w:r w:rsidR="00E66720">
        <w:t xml:space="preserve"> ask the villagers to sell their produce at the </w:t>
      </w:r>
      <w:r w:rsidR="002A0B56">
        <w:t>MTG</w:t>
      </w:r>
      <w:r w:rsidR="00E66720">
        <w:t xml:space="preserve"> production </w:t>
      </w:r>
      <w:r w:rsidR="00BE670E">
        <w:t>centre</w:t>
      </w:r>
      <w:r w:rsidR="006018CE">
        <w:t>,</w:t>
      </w:r>
      <w:r w:rsidR="00E66720">
        <w:t xml:space="preserve"> o</w:t>
      </w:r>
      <w:r w:rsidR="006018CE">
        <w:t xml:space="preserve">r hire an agent </w:t>
      </w:r>
      <w:r w:rsidR="00BE670E">
        <w:t xml:space="preserve">to do </w:t>
      </w:r>
      <w:r w:rsidR="00E66720">
        <w:t>the procurement?</w:t>
      </w:r>
      <w:r>
        <w:t xml:space="preserve"> </w:t>
      </w:r>
    </w:p>
    <w:p w14:paraId="47D9217A" w14:textId="77777777" w:rsidR="00EA33C7" w:rsidRDefault="00EA33C7" w:rsidP="00EA33C7">
      <w:pPr>
        <w:pStyle w:val="BodyTextMain"/>
      </w:pPr>
    </w:p>
    <w:p w14:paraId="767B2290" w14:textId="77777777" w:rsidR="00731F40" w:rsidRDefault="00731F40" w:rsidP="00EA33C7">
      <w:pPr>
        <w:pStyle w:val="BodyTextMain"/>
      </w:pPr>
    </w:p>
    <w:p w14:paraId="4E358EFD" w14:textId="77BB54A7" w:rsidR="00CB01E2" w:rsidRDefault="00CB01E2" w:rsidP="001C571B">
      <w:pPr>
        <w:pStyle w:val="Casehead3"/>
        <w:outlineLvl w:val="0"/>
      </w:pPr>
      <w:r w:rsidRPr="00CB01E2">
        <w:t>Challenge 2: Financial Constraints</w:t>
      </w:r>
    </w:p>
    <w:p w14:paraId="6CE9ECF0" w14:textId="77777777" w:rsidR="00731F40" w:rsidRPr="00CB01E2" w:rsidRDefault="00731F40" w:rsidP="00CB01E2">
      <w:pPr>
        <w:pStyle w:val="BodyTextMain"/>
        <w:jc w:val="left"/>
        <w:rPr>
          <w:i/>
        </w:rPr>
      </w:pPr>
    </w:p>
    <w:p w14:paraId="51135591" w14:textId="48D1268E" w:rsidR="00E66720" w:rsidRDefault="00E66720" w:rsidP="00EA33C7">
      <w:pPr>
        <w:pStyle w:val="BodyTextMain"/>
      </w:pPr>
      <w:r>
        <w:t xml:space="preserve">Scaling up to </w:t>
      </w:r>
      <w:r w:rsidR="00224898">
        <w:t xml:space="preserve">incorporate </w:t>
      </w:r>
      <w:r>
        <w:t xml:space="preserve">seven </w:t>
      </w:r>
      <w:r w:rsidR="00224898">
        <w:t xml:space="preserve">other </w:t>
      </w:r>
      <w:r>
        <w:t>villages require</w:t>
      </w:r>
      <w:r w:rsidR="006018CE">
        <w:t>d</w:t>
      </w:r>
      <w:r>
        <w:t xml:space="preserve"> both capital investments and working capital. Capital expenses </w:t>
      </w:r>
      <w:r w:rsidR="006018CE">
        <w:t>could</w:t>
      </w:r>
      <w:r>
        <w:t xml:space="preserve"> be incurred if the production capacity ha</w:t>
      </w:r>
      <w:r w:rsidR="006018CE">
        <w:t>d</w:t>
      </w:r>
      <w:r>
        <w:t xml:space="preserve"> to be increased. Disbursing the farmers’ procurement price require</w:t>
      </w:r>
      <w:r w:rsidR="006018CE">
        <w:t>d</w:t>
      </w:r>
      <w:r>
        <w:t xml:space="preserve"> working capital. In order to increase the reach and position</w:t>
      </w:r>
      <w:r w:rsidR="009F1020">
        <w:t>ing</w:t>
      </w:r>
      <w:r>
        <w:t xml:space="preserve"> </w:t>
      </w:r>
      <w:r w:rsidR="00BF5271">
        <w:t xml:space="preserve">of </w:t>
      </w:r>
      <w:r w:rsidRPr="00815D99">
        <w:rPr>
          <w:noProof/>
        </w:rPr>
        <w:t>Urlong</w:t>
      </w:r>
      <w:r>
        <w:t xml:space="preserve">, the </w:t>
      </w:r>
      <w:r>
        <w:lastRenderedPageBreak/>
        <w:t xml:space="preserve">marketing expenses </w:t>
      </w:r>
      <w:r w:rsidR="006018CE">
        <w:t xml:space="preserve">would </w:t>
      </w:r>
      <w:r>
        <w:t xml:space="preserve">also grow. </w:t>
      </w:r>
      <w:r w:rsidR="009F1020">
        <w:t xml:space="preserve">Inventory and cash receivables </w:t>
      </w:r>
      <w:r w:rsidR="006018CE">
        <w:t>could</w:t>
      </w:r>
      <w:r w:rsidR="009F1020">
        <w:t xml:space="preserve"> </w:t>
      </w:r>
      <w:r w:rsidR="00BF5271">
        <w:t xml:space="preserve">also </w:t>
      </w:r>
      <w:r w:rsidR="009F1020">
        <w:t xml:space="preserve">grow as </w:t>
      </w:r>
      <w:r w:rsidR="006018CE">
        <w:t xml:space="preserve">a </w:t>
      </w:r>
      <w:r w:rsidR="009F1020">
        <w:t>consequence of expansion</w:t>
      </w:r>
      <w:r w:rsidR="00BF5271">
        <w:t xml:space="preserve"> (see E</w:t>
      </w:r>
      <w:r w:rsidR="00806A28">
        <w:t>xhibit 3</w:t>
      </w:r>
      <w:r w:rsidR="00BF5271">
        <w:t>)</w:t>
      </w:r>
      <w:r w:rsidR="00806A28">
        <w:t xml:space="preserve">. </w:t>
      </w:r>
    </w:p>
    <w:p w14:paraId="0FB31DC5" w14:textId="77777777" w:rsidR="00EA33C7" w:rsidRDefault="00EA33C7" w:rsidP="00EA33C7">
      <w:pPr>
        <w:pStyle w:val="BodyTextMain"/>
      </w:pPr>
    </w:p>
    <w:p w14:paraId="6533B27D" w14:textId="77777777" w:rsidR="00731F40" w:rsidRDefault="00731F40" w:rsidP="00EA33C7">
      <w:pPr>
        <w:pStyle w:val="BodyTextMain"/>
      </w:pPr>
    </w:p>
    <w:p w14:paraId="169BF5FF" w14:textId="77C68848" w:rsidR="009F1020" w:rsidRDefault="009F1020" w:rsidP="001C571B">
      <w:pPr>
        <w:pStyle w:val="Casehead3"/>
        <w:outlineLvl w:val="0"/>
      </w:pPr>
      <w:r w:rsidRPr="009F1020">
        <w:t xml:space="preserve">Challenge 3: Quality </w:t>
      </w:r>
      <w:r w:rsidR="00BF5271">
        <w:t>A</w:t>
      </w:r>
      <w:r w:rsidRPr="009F1020">
        <w:t xml:space="preserve">ssurance with </w:t>
      </w:r>
      <w:r w:rsidR="00BF5271">
        <w:t>O</w:t>
      </w:r>
      <w:r w:rsidRPr="009F1020">
        <w:t xml:space="preserve">rganic </w:t>
      </w:r>
      <w:r w:rsidR="00BF5271">
        <w:t>C</w:t>
      </w:r>
      <w:r w:rsidRPr="009F1020">
        <w:t>haracteristics</w:t>
      </w:r>
    </w:p>
    <w:p w14:paraId="0B5356A1" w14:textId="77777777" w:rsidR="00731F40" w:rsidRPr="009F1020" w:rsidRDefault="00731F40" w:rsidP="00EA33C7">
      <w:pPr>
        <w:pStyle w:val="BodyTextMain"/>
        <w:rPr>
          <w:i/>
        </w:rPr>
      </w:pPr>
    </w:p>
    <w:p w14:paraId="1506B70B" w14:textId="791D6191" w:rsidR="00FF1AA6" w:rsidRDefault="00FF1AA6" w:rsidP="00EA33C7">
      <w:pPr>
        <w:pStyle w:val="BodyTextMain"/>
      </w:pPr>
      <w:r>
        <w:t xml:space="preserve">Maintaining the quality of tea and the brand equity of </w:t>
      </w:r>
      <w:r w:rsidRPr="00815D99">
        <w:rPr>
          <w:noProof/>
        </w:rPr>
        <w:t>Urlong</w:t>
      </w:r>
      <w:r>
        <w:t xml:space="preserve"> would </w:t>
      </w:r>
      <w:r w:rsidR="00BF5271">
        <w:t xml:space="preserve">be </w:t>
      </w:r>
      <w:r>
        <w:t>another challenge. In the initial period of scaling up</w:t>
      </w:r>
      <w:r w:rsidR="006018CE">
        <w:t>,</w:t>
      </w:r>
      <w:r>
        <w:t xml:space="preserve"> managing </w:t>
      </w:r>
      <w:r w:rsidR="006018CE">
        <w:t xml:space="preserve">the </w:t>
      </w:r>
      <w:r>
        <w:t>quality of organic farming require</w:t>
      </w:r>
      <w:r w:rsidR="006018CE">
        <w:t>d</w:t>
      </w:r>
      <w:r>
        <w:t xml:space="preserve"> additional </w:t>
      </w:r>
      <w:r w:rsidR="00FD0CAB">
        <w:t xml:space="preserve">items like </w:t>
      </w:r>
      <w:r>
        <w:t>technical</w:t>
      </w:r>
      <w:r w:rsidR="006018CE">
        <w:t xml:space="preserve"> resources</w:t>
      </w:r>
      <w:r w:rsidR="00FD0CAB">
        <w:t xml:space="preserve"> and </w:t>
      </w:r>
      <w:r w:rsidR="00BF5271">
        <w:t>labour</w:t>
      </w:r>
      <w:r>
        <w:t xml:space="preserve">. How </w:t>
      </w:r>
      <w:proofErr w:type="spellStart"/>
      <w:r>
        <w:t>Nongspung</w:t>
      </w:r>
      <w:proofErr w:type="spellEnd"/>
      <w:r>
        <w:t xml:space="preserve"> </w:t>
      </w:r>
      <w:r w:rsidR="006018CE">
        <w:t xml:space="preserve">would </w:t>
      </w:r>
      <w:r>
        <w:t>ensure quality remain</w:t>
      </w:r>
      <w:r w:rsidR="006018CE">
        <w:t>ed</w:t>
      </w:r>
      <w:r>
        <w:t xml:space="preserve"> another challenge</w:t>
      </w:r>
      <w:r w:rsidR="006018CE">
        <w:t>.</w:t>
      </w:r>
      <w:r>
        <w:t xml:space="preserve"> </w:t>
      </w:r>
    </w:p>
    <w:p w14:paraId="18AAA7C1" w14:textId="77777777" w:rsidR="00FF1AA6" w:rsidRDefault="00FF1AA6" w:rsidP="00EA33C7">
      <w:pPr>
        <w:pStyle w:val="BodyTextMain"/>
      </w:pPr>
    </w:p>
    <w:p w14:paraId="3B4AC238" w14:textId="77777777" w:rsidR="00F7666D" w:rsidRDefault="00F7666D" w:rsidP="00EA33C7">
      <w:pPr>
        <w:pStyle w:val="BodyTextMain"/>
      </w:pPr>
    </w:p>
    <w:p w14:paraId="4366CD0D" w14:textId="77777777" w:rsidR="00F7666D" w:rsidRDefault="00F7666D" w:rsidP="00553D20">
      <w:pPr>
        <w:pStyle w:val="Casehead3"/>
      </w:pPr>
      <w:r>
        <w:t>The Decision</w:t>
      </w:r>
    </w:p>
    <w:p w14:paraId="2B61CF6B" w14:textId="77777777" w:rsidR="00F7666D" w:rsidRDefault="00F7666D" w:rsidP="0059086F">
      <w:pPr>
        <w:pStyle w:val="BodyTextMain"/>
      </w:pPr>
    </w:p>
    <w:p w14:paraId="4F1E4CCE" w14:textId="30262180" w:rsidR="00965064" w:rsidRDefault="006018CE" w:rsidP="0059086F">
      <w:pPr>
        <w:pStyle w:val="BodyTextMain"/>
      </w:pPr>
      <w:proofErr w:type="spellStart"/>
      <w:r>
        <w:t>Nongspung</w:t>
      </w:r>
      <w:proofErr w:type="spellEnd"/>
      <w:r>
        <w:t xml:space="preserve"> had to call </w:t>
      </w:r>
      <w:r w:rsidR="00EA33C7" w:rsidRPr="005A6150">
        <w:t xml:space="preserve">a meeting </w:t>
      </w:r>
      <w:r w:rsidR="00F7666D">
        <w:t>of</w:t>
      </w:r>
      <w:r w:rsidR="00F7666D" w:rsidRPr="005A6150">
        <w:t xml:space="preserve"> </w:t>
      </w:r>
      <w:r w:rsidR="00EA33C7" w:rsidRPr="005A6150">
        <w:t xml:space="preserve">the cooperative members to discuss </w:t>
      </w:r>
      <w:r w:rsidR="005E3015">
        <w:t xml:space="preserve">MTG’s </w:t>
      </w:r>
      <w:r w:rsidR="00EA33C7" w:rsidRPr="005A6150">
        <w:t xml:space="preserve">most viable option to encourage more farmers from the </w:t>
      </w:r>
      <w:r w:rsidR="005E3015" w:rsidRPr="005A6150">
        <w:t>ne</w:t>
      </w:r>
      <w:r w:rsidR="005E3015">
        <w:t>ighbouring</w:t>
      </w:r>
      <w:r w:rsidR="0059086F">
        <w:t xml:space="preserve"> villages </w:t>
      </w:r>
      <w:r w:rsidR="00EA33C7" w:rsidRPr="005A6150">
        <w:t>to join the cooperative</w:t>
      </w:r>
      <w:r w:rsidR="005E3015">
        <w:t xml:space="preserve"> and </w:t>
      </w:r>
      <w:r w:rsidR="005E3015" w:rsidRPr="005A6150">
        <w:t xml:space="preserve">overcome the </w:t>
      </w:r>
      <w:r w:rsidR="005E3015">
        <w:t>related challenges</w:t>
      </w:r>
      <w:r>
        <w:t>.</w:t>
      </w:r>
      <w:r w:rsidR="00EA33C7" w:rsidRPr="005A6150">
        <w:t xml:space="preserve"> </w:t>
      </w:r>
      <w:r w:rsidR="0059086F">
        <w:t xml:space="preserve">He was concerned about the </w:t>
      </w:r>
      <w:r w:rsidR="00965064">
        <w:t xml:space="preserve">effect </w:t>
      </w:r>
      <w:r w:rsidR="0059086F">
        <w:t>scaling</w:t>
      </w:r>
      <w:r w:rsidR="0029187E">
        <w:t>-</w:t>
      </w:r>
      <w:r w:rsidR="0059086F">
        <w:t xml:space="preserve">up operations </w:t>
      </w:r>
      <w:r w:rsidR="00965064">
        <w:t xml:space="preserve">would have </w:t>
      </w:r>
      <w:r w:rsidR="0059086F">
        <w:t xml:space="preserve">on the </w:t>
      </w:r>
      <w:r w:rsidR="0059086F" w:rsidRPr="00815D99">
        <w:rPr>
          <w:noProof/>
        </w:rPr>
        <w:t>long</w:t>
      </w:r>
      <w:r w:rsidR="00815D99">
        <w:rPr>
          <w:noProof/>
        </w:rPr>
        <w:t>-</w:t>
      </w:r>
      <w:r w:rsidR="0059086F" w:rsidRPr="00815D99">
        <w:rPr>
          <w:noProof/>
        </w:rPr>
        <w:t>term</w:t>
      </w:r>
      <w:r w:rsidR="0059086F">
        <w:t xml:space="preserve"> sustainability of the village cooperatives. </w:t>
      </w:r>
    </w:p>
    <w:p w14:paraId="11DB26E5" w14:textId="6B08CEF9" w:rsidR="00A70A5D" w:rsidRDefault="00A70A5D">
      <w:pPr>
        <w:spacing w:after="200" w:line="276" w:lineRule="auto"/>
      </w:pPr>
    </w:p>
    <w:p w14:paraId="40FF3591" w14:textId="77777777" w:rsidR="00A70A5D" w:rsidRDefault="00A70A5D">
      <w:pPr>
        <w:spacing w:after="200" w:line="276" w:lineRule="auto"/>
      </w:pPr>
    </w:p>
    <w:p w14:paraId="1F6FD60B" w14:textId="4BF90B89" w:rsidR="00A70A5D" w:rsidRDefault="00A70A5D">
      <w:pPr>
        <w:spacing w:after="200" w:line="276" w:lineRule="auto"/>
      </w:pPr>
      <w:r>
        <w:rPr>
          <w:noProof/>
        </w:rPr>
        <mc:AlternateContent>
          <mc:Choice Requires="wps">
            <w:drawing>
              <wp:anchor distT="45720" distB="45720" distL="114300" distR="114300" simplePos="0" relativeHeight="251659264" behindDoc="0" locked="0" layoutInCell="1" allowOverlap="1" wp14:anchorId="0CB1A0C0" wp14:editId="7EEC0EC2">
                <wp:simplePos x="0" y="0"/>
                <wp:positionH relativeFrom="column">
                  <wp:posOffset>17145</wp:posOffset>
                </wp:positionH>
                <wp:positionV relativeFrom="paragraph">
                  <wp:posOffset>211455</wp:posOffset>
                </wp:positionV>
                <wp:extent cx="5908675" cy="1404620"/>
                <wp:effectExtent l="0" t="0" r="1587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675" cy="1404620"/>
                        </a:xfrm>
                        <a:prstGeom prst="rect">
                          <a:avLst/>
                        </a:prstGeom>
                        <a:solidFill>
                          <a:srgbClr val="FFFFFF"/>
                        </a:solidFill>
                        <a:ln w="9525">
                          <a:solidFill>
                            <a:srgbClr val="000000"/>
                          </a:solidFill>
                          <a:miter lim="800000"/>
                          <a:headEnd/>
                          <a:tailEnd/>
                        </a:ln>
                      </wps:spPr>
                      <wps:txbx>
                        <w:txbxContent>
                          <w:p w14:paraId="5D6C3C1A" w14:textId="1CF29E3F" w:rsidR="00A70A5D" w:rsidRDefault="00A70A5D" w:rsidP="00A70A5D">
                            <w:pPr>
                              <w:pStyle w:val="Footnote"/>
                              <w:jc w:val="center"/>
                            </w:pPr>
                            <w:r>
                              <w:t xml:space="preserve">The authors would like to thank D.L. </w:t>
                            </w:r>
                            <w:proofErr w:type="spellStart"/>
                            <w:r>
                              <w:t>Nongspung</w:t>
                            </w:r>
                            <w:proofErr w:type="spellEnd"/>
                            <w:r>
                              <w:t xml:space="preserve"> and MTG for providing us with the data and support required for the case. The authors would also like to thank the organizers of the Sustainable Business Models (SMB) forum case competition for financial support and constructive feedback.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B1A0C0" id="_x0000_t202" coordsize="21600,21600" o:spt="202" path="m,l,21600r21600,l21600,xe">
                <v:stroke joinstyle="miter"/>
                <v:path gradientshapeok="t" o:connecttype="rect"/>
              </v:shapetype>
              <v:shape id="Text Box 2" o:spid="_x0000_s1026" type="#_x0000_t202" style="position:absolute;margin-left:1.35pt;margin-top:16.65pt;width:465.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">
                <v:textbox style="mso-fit-shape-to-text:t">
                  <w:txbxContent>
                    <w:p w14:paraId="5D6C3C1A" w14:textId="1CF29E3F" w:rsidR="00A70A5D" w:rsidRDefault="00A70A5D" w:rsidP="00A70A5D">
                      <w:pPr>
                        <w:pStyle w:val="Footnote"/>
                        <w:jc w:val="center"/>
                      </w:pPr>
                      <w:r>
                        <w:t xml:space="preserve">The authors would like to thank D.L. </w:t>
                      </w:r>
                      <w:proofErr w:type="spellStart"/>
                      <w:r>
                        <w:t>Nongspung</w:t>
                      </w:r>
                      <w:proofErr w:type="spellEnd"/>
                      <w:r>
                        <w:t xml:space="preserve"> and MTG for providing us with the data and support required for the case. The authors would also like to thank the organizers of the Sustainable Business Models (SMB) forum case competition for financial support and constructive feedback.</w:t>
                      </w:r>
                    </w:p>
                  </w:txbxContent>
                </v:textbox>
                <w10:wrap type="square"/>
              </v:shape>
            </w:pict>
          </mc:Fallback>
        </mc:AlternateContent>
      </w:r>
    </w:p>
    <w:p w14:paraId="207315FA" w14:textId="77777777" w:rsidR="00A70A5D" w:rsidRDefault="00A70A5D">
      <w:pPr>
        <w:spacing w:after="200" w:line="276" w:lineRule="auto"/>
      </w:pPr>
    </w:p>
    <w:p w14:paraId="0D96EBFC" w14:textId="660972D3" w:rsidR="00965064" w:rsidRDefault="00965064">
      <w:pPr>
        <w:spacing w:after="200" w:line="276" w:lineRule="auto"/>
        <w:rPr>
          <w:sz w:val="22"/>
          <w:szCs w:val="22"/>
        </w:rPr>
      </w:pPr>
      <w:r>
        <w:br w:type="page"/>
      </w:r>
    </w:p>
    <w:p w14:paraId="410125B1" w14:textId="69B54B8F" w:rsidR="00373A38" w:rsidRDefault="002C7F86" w:rsidP="001C571B">
      <w:pPr>
        <w:pStyle w:val="ExhibitHeading"/>
        <w:outlineLvl w:val="0"/>
        <w:rPr>
          <w:lang w:val="en-IN" w:eastAsia="en-IN"/>
        </w:rPr>
      </w:pPr>
      <w:r w:rsidRPr="00885ADA">
        <w:lastRenderedPageBreak/>
        <w:t xml:space="preserve">EXHIBIT </w:t>
      </w:r>
      <w:r w:rsidR="003F53C3">
        <w:t>1</w:t>
      </w:r>
      <w:r w:rsidRPr="00885ADA">
        <w:t xml:space="preserve">: </w:t>
      </w:r>
      <w:r w:rsidRPr="00885ADA">
        <w:rPr>
          <w:lang w:val="en-IN" w:eastAsia="en-IN"/>
        </w:rPr>
        <w:t>PRODUCTION</w:t>
      </w:r>
      <w:r w:rsidR="001C571B">
        <w:rPr>
          <w:lang w:val="en-IN" w:eastAsia="en-IN"/>
        </w:rPr>
        <w:t xml:space="preserve"> </w:t>
      </w:r>
      <w:r w:rsidRPr="00885ADA">
        <w:rPr>
          <w:lang w:val="en-IN" w:eastAsia="en-IN"/>
        </w:rPr>
        <w:t>OF</w:t>
      </w:r>
      <w:r w:rsidR="001C571B">
        <w:rPr>
          <w:lang w:val="en-IN" w:eastAsia="en-IN"/>
        </w:rPr>
        <w:t xml:space="preserve"> </w:t>
      </w:r>
      <w:r w:rsidRPr="00885ADA">
        <w:rPr>
          <w:lang w:val="en-IN" w:eastAsia="en-IN"/>
        </w:rPr>
        <w:t>TEA</w:t>
      </w:r>
      <w:r w:rsidR="001C571B">
        <w:rPr>
          <w:lang w:val="en-IN" w:eastAsia="en-IN"/>
        </w:rPr>
        <w:t xml:space="preserve"> </w:t>
      </w:r>
      <w:r w:rsidRPr="00885ADA">
        <w:rPr>
          <w:lang w:val="en-IN" w:eastAsia="en-IN"/>
        </w:rPr>
        <w:t>IN</w:t>
      </w:r>
      <w:r w:rsidR="001C571B">
        <w:rPr>
          <w:lang w:val="en-IN" w:eastAsia="en-IN"/>
        </w:rPr>
        <w:t xml:space="preserve"> </w:t>
      </w:r>
      <w:r w:rsidRPr="00885ADA">
        <w:rPr>
          <w:lang w:val="en-IN" w:eastAsia="en-IN"/>
        </w:rPr>
        <w:t>INDIA</w:t>
      </w:r>
      <w:r w:rsidR="00965064">
        <w:rPr>
          <w:lang w:val="en-IN" w:eastAsia="en-IN"/>
        </w:rPr>
        <w:t>, 2009 to 201</w:t>
      </w:r>
      <w:r w:rsidR="008E644D">
        <w:rPr>
          <w:lang w:val="en-IN" w:eastAsia="en-IN"/>
        </w:rPr>
        <w:t>4</w:t>
      </w:r>
    </w:p>
    <w:p w14:paraId="088F091B" w14:textId="75C07F72" w:rsidR="006018CE" w:rsidRDefault="00721D3E" w:rsidP="00553D20">
      <w:pPr>
        <w:pStyle w:val="Casehead2"/>
        <w:jc w:val="center"/>
      </w:pPr>
      <w:r w:rsidRPr="00A3355A">
        <w:t>(</w:t>
      </w:r>
      <w:proofErr w:type="gramStart"/>
      <w:r w:rsidRPr="00A3355A">
        <w:t>in</w:t>
      </w:r>
      <w:proofErr w:type="gramEnd"/>
      <w:r>
        <w:t xml:space="preserve"> </w:t>
      </w:r>
      <w:r w:rsidR="0029187E">
        <w:t>m</w:t>
      </w:r>
      <w:r w:rsidRPr="00A3355A">
        <w:t>illion</w:t>
      </w:r>
      <w:r>
        <w:t xml:space="preserve"> </w:t>
      </w:r>
      <w:r w:rsidR="0029187E">
        <w:t>k</w:t>
      </w:r>
      <w:r>
        <w:t>ilo</w:t>
      </w:r>
      <w:r w:rsidRPr="00A3355A">
        <w:t>g</w:t>
      </w:r>
      <w:r>
        <w:t>ram</w:t>
      </w:r>
      <w:r w:rsidRPr="00A3355A">
        <w:t>s)</w:t>
      </w:r>
    </w:p>
    <w:p w14:paraId="5CA21386" w14:textId="77777777" w:rsidR="00721D3E" w:rsidRPr="00885ADA" w:rsidRDefault="00721D3E" w:rsidP="00A3355A">
      <w:pPr>
        <w:pStyle w:val="ExhibitHeading"/>
        <w:rPr>
          <w:lang w:val="en-IN" w:eastAsia="en-IN"/>
        </w:rPr>
      </w:pPr>
    </w:p>
    <w:tbl>
      <w:tblPr>
        <w:tblStyle w:val="TableGrid1"/>
        <w:tblW w:w="3500" w:type="pct"/>
        <w:jc w:val="center"/>
        <w:tblLook w:val="04A0" w:firstRow="1" w:lastRow="0" w:firstColumn="1" w:lastColumn="0" w:noHBand="0" w:noVBand="1"/>
      </w:tblPr>
      <w:tblGrid>
        <w:gridCol w:w="1320"/>
        <w:gridCol w:w="1768"/>
        <w:gridCol w:w="1769"/>
        <w:gridCol w:w="1769"/>
      </w:tblGrid>
      <w:tr w:rsidR="00721D3E" w:rsidRPr="00885ADA" w14:paraId="03DED902" w14:textId="77777777" w:rsidTr="00721D3E">
        <w:trPr>
          <w:trHeight w:val="360"/>
          <w:jc w:val="center"/>
        </w:trPr>
        <w:tc>
          <w:tcPr>
            <w:tcW w:w="1320" w:type="dxa"/>
            <w:vAlign w:val="center"/>
            <w:hideMark/>
          </w:tcPr>
          <w:p w14:paraId="21EC8C9B" w14:textId="77777777" w:rsidR="00373A38" w:rsidRPr="00721D3E" w:rsidRDefault="00373A38" w:rsidP="00297EA3">
            <w:pPr>
              <w:pStyle w:val="ExhibitText"/>
              <w:jc w:val="center"/>
              <w:rPr>
                <w:b/>
              </w:rPr>
            </w:pPr>
            <w:r w:rsidRPr="00721D3E">
              <w:rPr>
                <w:b/>
              </w:rPr>
              <w:t>Years</w:t>
            </w:r>
          </w:p>
        </w:tc>
        <w:tc>
          <w:tcPr>
            <w:tcW w:w="1768" w:type="dxa"/>
            <w:vAlign w:val="center"/>
            <w:hideMark/>
          </w:tcPr>
          <w:p w14:paraId="0ADAD15B" w14:textId="5AF3C3E6" w:rsidR="00373A38" w:rsidRPr="00721D3E" w:rsidRDefault="00373A38" w:rsidP="00721D3E">
            <w:pPr>
              <w:pStyle w:val="ExhibitText"/>
              <w:ind w:right="288"/>
              <w:jc w:val="right"/>
              <w:rPr>
                <w:b/>
              </w:rPr>
            </w:pPr>
            <w:r w:rsidRPr="00721D3E">
              <w:rPr>
                <w:b/>
              </w:rPr>
              <w:t>North</w:t>
            </w:r>
            <w:r w:rsidR="001C571B" w:rsidRPr="00721D3E">
              <w:rPr>
                <w:b/>
              </w:rPr>
              <w:t xml:space="preserve"> </w:t>
            </w:r>
            <w:r w:rsidRPr="00721D3E">
              <w:rPr>
                <w:b/>
              </w:rPr>
              <w:t>India</w:t>
            </w:r>
          </w:p>
        </w:tc>
        <w:tc>
          <w:tcPr>
            <w:tcW w:w="1769" w:type="dxa"/>
            <w:vAlign w:val="center"/>
            <w:hideMark/>
          </w:tcPr>
          <w:p w14:paraId="079E48A2" w14:textId="6364C60B" w:rsidR="00373A38" w:rsidRPr="00721D3E" w:rsidRDefault="00373A38" w:rsidP="00721D3E">
            <w:pPr>
              <w:pStyle w:val="ExhibitText"/>
              <w:ind w:right="288"/>
              <w:jc w:val="right"/>
              <w:rPr>
                <w:b/>
              </w:rPr>
            </w:pPr>
            <w:r w:rsidRPr="00721D3E">
              <w:rPr>
                <w:b/>
              </w:rPr>
              <w:t>South</w:t>
            </w:r>
            <w:r w:rsidR="001C571B" w:rsidRPr="00721D3E">
              <w:rPr>
                <w:b/>
              </w:rPr>
              <w:t xml:space="preserve"> </w:t>
            </w:r>
            <w:r w:rsidRPr="00721D3E">
              <w:rPr>
                <w:b/>
              </w:rPr>
              <w:t>India</w:t>
            </w:r>
          </w:p>
        </w:tc>
        <w:tc>
          <w:tcPr>
            <w:tcW w:w="1769" w:type="dxa"/>
            <w:vAlign w:val="center"/>
            <w:hideMark/>
          </w:tcPr>
          <w:p w14:paraId="5E5527A5" w14:textId="77777777" w:rsidR="00373A38" w:rsidRPr="00721D3E" w:rsidRDefault="00373A38" w:rsidP="00721D3E">
            <w:pPr>
              <w:pStyle w:val="ExhibitText"/>
              <w:ind w:right="288"/>
              <w:jc w:val="right"/>
              <w:rPr>
                <w:b/>
              </w:rPr>
            </w:pPr>
            <w:r w:rsidRPr="00721D3E">
              <w:rPr>
                <w:b/>
              </w:rPr>
              <w:t>Total</w:t>
            </w:r>
          </w:p>
        </w:tc>
      </w:tr>
      <w:tr w:rsidR="00373A38" w:rsidRPr="00885ADA" w14:paraId="766CED6A" w14:textId="77777777" w:rsidTr="00721D3E">
        <w:trPr>
          <w:trHeight w:val="360"/>
          <w:jc w:val="center"/>
        </w:trPr>
        <w:tc>
          <w:tcPr>
            <w:tcW w:w="1320" w:type="dxa"/>
            <w:vAlign w:val="center"/>
            <w:hideMark/>
          </w:tcPr>
          <w:p w14:paraId="1737E311" w14:textId="48AB1C8D" w:rsidR="00373A38" w:rsidRPr="00A3355A" w:rsidRDefault="00373A38" w:rsidP="00965064">
            <w:pPr>
              <w:pStyle w:val="ExhibitText"/>
              <w:jc w:val="left"/>
            </w:pPr>
            <w:r w:rsidRPr="00A3355A">
              <w:t>2009</w:t>
            </w:r>
            <w:r w:rsidR="00721D3E">
              <w:t>/</w:t>
            </w:r>
            <w:r w:rsidRPr="00A3355A">
              <w:t>10</w:t>
            </w:r>
          </w:p>
        </w:tc>
        <w:tc>
          <w:tcPr>
            <w:tcW w:w="1768" w:type="dxa"/>
            <w:vAlign w:val="center"/>
            <w:hideMark/>
          </w:tcPr>
          <w:p w14:paraId="560EC5A3" w14:textId="77777777" w:rsidR="00373A38" w:rsidRPr="00A3355A" w:rsidRDefault="00373A38" w:rsidP="00965064">
            <w:pPr>
              <w:pStyle w:val="ExhibitText"/>
              <w:ind w:right="288"/>
              <w:jc w:val="right"/>
            </w:pPr>
            <w:r w:rsidRPr="00A3355A">
              <w:t>734.38</w:t>
            </w:r>
          </w:p>
        </w:tc>
        <w:tc>
          <w:tcPr>
            <w:tcW w:w="1769" w:type="dxa"/>
            <w:vAlign w:val="center"/>
            <w:hideMark/>
          </w:tcPr>
          <w:p w14:paraId="0FC0DC7A" w14:textId="77777777" w:rsidR="00373A38" w:rsidRPr="00A3355A" w:rsidRDefault="00373A38" w:rsidP="00965064">
            <w:pPr>
              <w:pStyle w:val="ExhibitText"/>
              <w:ind w:right="288"/>
              <w:jc w:val="right"/>
            </w:pPr>
            <w:r w:rsidRPr="00A3355A">
              <w:t>256.80</w:t>
            </w:r>
          </w:p>
        </w:tc>
        <w:tc>
          <w:tcPr>
            <w:tcW w:w="1769" w:type="dxa"/>
            <w:vAlign w:val="center"/>
            <w:hideMark/>
          </w:tcPr>
          <w:p w14:paraId="74D6FB20" w14:textId="77777777" w:rsidR="00373A38" w:rsidRPr="00A3355A" w:rsidRDefault="00373A38" w:rsidP="00965064">
            <w:pPr>
              <w:pStyle w:val="ExhibitText"/>
              <w:ind w:right="288"/>
              <w:jc w:val="right"/>
            </w:pPr>
            <w:r w:rsidRPr="00A3355A">
              <w:t>991.18</w:t>
            </w:r>
          </w:p>
        </w:tc>
      </w:tr>
      <w:tr w:rsidR="00373A38" w:rsidRPr="00885ADA" w14:paraId="3C5D22F6" w14:textId="77777777" w:rsidTr="00721D3E">
        <w:trPr>
          <w:trHeight w:val="360"/>
          <w:jc w:val="center"/>
        </w:trPr>
        <w:tc>
          <w:tcPr>
            <w:tcW w:w="1320" w:type="dxa"/>
            <w:vAlign w:val="center"/>
            <w:hideMark/>
          </w:tcPr>
          <w:p w14:paraId="4BDCDFD6" w14:textId="67733226" w:rsidR="00373A38" w:rsidRPr="00A3355A" w:rsidRDefault="00373A38" w:rsidP="00965064">
            <w:pPr>
              <w:pStyle w:val="ExhibitText"/>
              <w:jc w:val="left"/>
            </w:pPr>
            <w:r w:rsidRPr="00A3355A">
              <w:t>2010</w:t>
            </w:r>
            <w:r w:rsidR="00721D3E">
              <w:t>/</w:t>
            </w:r>
            <w:r w:rsidRPr="00A3355A">
              <w:t>11</w:t>
            </w:r>
          </w:p>
        </w:tc>
        <w:tc>
          <w:tcPr>
            <w:tcW w:w="1768" w:type="dxa"/>
            <w:vAlign w:val="center"/>
            <w:hideMark/>
          </w:tcPr>
          <w:p w14:paraId="7383F6F8" w14:textId="77777777" w:rsidR="00373A38" w:rsidRPr="00A3355A" w:rsidRDefault="00373A38" w:rsidP="00965064">
            <w:pPr>
              <w:pStyle w:val="ExhibitText"/>
              <w:ind w:right="288"/>
              <w:jc w:val="right"/>
            </w:pPr>
            <w:r w:rsidRPr="00A3355A">
              <w:t>728.52</w:t>
            </w:r>
          </w:p>
        </w:tc>
        <w:tc>
          <w:tcPr>
            <w:tcW w:w="1769" w:type="dxa"/>
            <w:vAlign w:val="center"/>
            <w:hideMark/>
          </w:tcPr>
          <w:p w14:paraId="28A68D51" w14:textId="77777777" w:rsidR="00373A38" w:rsidRPr="00A3355A" w:rsidRDefault="00373A38" w:rsidP="00965064">
            <w:pPr>
              <w:pStyle w:val="ExhibitText"/>
              <w:ind w:right="288"/>
              <w:jc w:val="right"/>
            </w:pPr>
            <w:r w:rsidRPr="00A3355A">
              <w:t>238.21</w:t>
            </w:r>
          </w:p>
        </w:tc>
        <w:tc>
          <w:tcPr>
            <w:tcW w:w="1769" w:type="dxa"/>
            <w:vAlign w:val="center"/>
            <w:hideMark/>
          </w:tcPr>
          <w:p w14:paraId="188834C5" w14:textId="77777777" w:rsidR="00373A38" w:rsidRPr="00A3355A" w:rsidRDefault="00373A38" w:rsidP="00965064">
            <w:pPr>
              <w:pStyle w:val="ExhibitText"/>
              <w:ind w:right="288"/>
              <w:jc w:val="right"/>
            </w:pPr>
            <w:r w:rsidRPr="00A3355A">
              <w:t>966.73</w:t>
            </w:r>
          </w:p>
        </w:tc>
      </w:tr>
      <w:tr w:rsidR="00373A38" w:rsidRPr="00885ADA" w14:paraId="00EC91CD" w14:textId="77777777" w:rsidTr="00721D3E">
        <w:trPr>
          <w:trHeight w:val="360"/>
          <w:jc w:val="center"/>
        </w:trPr>
        <w:tc>
          <w:tcPr>
            <w:tcW w:w="1320" w:type="dxa"/>
            <w:vAlign w:val="center"/>
            <w:hideMark/>
          </w:tcPr>
          <w:p w14:paraId="5C131673" w14:textId="4957CF58" w:rsidR="00373A38" w:rsidRPr="00A3355A" w:rsidRDefault="00373A38" w:rsidP="00965064">
            <w:pPr>
              <w:pStyle w:val="ExhibitText"/>
              <w:jc w:val="left"/>
            </w:pPr>
            <w:r w:rsidRPr="00A3355A">
              <w:t>2011</w:t>
            </w:r>
            <w:r w:rsidR="00721D3E">
              <w:t>/</w:t>
            </w:r>
            <w:r w:rsidRPr="00A3355A">
              <w:t>12</w:t>
            </w:r>
          </w:p>
        </w:tc>
        <w:tc>
          <w:tcPr>
            <w:tcW w:w="1768" w:type="dxa"/>
            <w:vAlign w:val="center"/>
            <w:hideMark/>
          </w:tcPr>
          <w:p w14:paraId="635126DF" w14:textId="77777777" w:rsidR="00373A38" w:rsidRPr="00A3355A" w:rsidRDefault="00373A38" w:rsidP="00965064">
            <w:pPr>
              <w:pStyle w:val="ExhibitText"/>
              <w:ind w:right="288"/>
              <w:jc w:val="right"/>
            </w:pPr>
            <w:r w:rsidRPr="00A3355A">
              <w:t>865.59</w:t>
            </w:r>
          </w:p>
        </w:tc>
        <w:tc>
          <w:tcPr>
            <w:tcW w:w="1769" w:type="dxa"/>
            <w:vAlign w:val="center"/>
            <w:hideMark/>
          </w:tcPr>
          <w:p w14:paraId="3B4D24D6" w14:textId="77777777" w:rsidR="00373A38" w:rsidRPr="00A3355A" w:rsidRDefault="00373A38" w:rsidP="00965064">
            <w:pPr>
              <w:pStyle w:val="ExhibitText"/>
              <w:ind w:right="288"/>
              <w:jc w:val="right"/>
            </w:pPr>
            <w:r w:rsidRPr="00A3355A">
              <w:t>229.87</w:t>
            </w:r>
          </w:p>
        </w:tc>
        <w:tc>
          <w:tcPr>
            <w:tcW w:w="1769" w:type="dxa"/>
            <w:vAlign w:val="center"/>
            <w:hideMark/>
          </w:tcPr>
          <w:p w14:paraId="198AE7D5" w14:textId="126E0200" w:rsidR="00373A38" w:rsidRPr="00A3355A" w:rsidRDefault="00373A38" w:rsidP="00965064">
            <w:pPr>
              <w:pStyle w:val="ExhibitText"/>
              <w:ind w:right="288"/>
              <w:jc w:val="right"/>
            </w:pPr>
            <w:r w:rsidRPr="00A3355A">
              <w:t>1</w:t>
            </w:r>
            <w:r w:rsidR="00C81053">
              <w:t>,</w:t>
            </w:r>
            <w:r w:rsidRPr="00A3355A">
              <w:t>095.46</w:t>
            </w:r>
          </w:p>
        </w:tc>
      </w:tr>
      <w:tr w:rsidR="00373A38" w:rsidRPr="00885ADA" w14:paraId="55000AFC" w14:textId="77777777" w:rsidTr="00721D3E">
        <w:trPr>
          <w:trHeight w:val="360"/>
          <w:jc w:val="center"/>
        </w:trPr>
        <w:tc>
          <w:tcPr>
            <w:tcW w:w="1320" w:type="dxa"/>
            <w:vAlign w:val="center"/>
            <w:hideMark/>
          </w:tcPr>
          <w:p w14:paraId="0EA21A86" w14:textId="48BA4041" w:rsidR="00373A38" w:rsidRPr="00A3355A" w:rsidRDefault="00373A38" w:rsidP="00965064">
            <w:pPr>
              <w:pStyle w:val="ExhibitText"/>
              <w:jc w:val="left"/>
            </w:pPr>
            <w:r w:rsidRPr="00A3355A">
              <w:t>2012</w:t>
            </w:r>
            <w:r w:rsidR="00721D3E">
              <w:t>/</w:t>
            </w:r>
            <w:r w:rsidRPr="00A3355A">
              <w:t>13</w:t>
            </w:r>
          </w:p>
        </w:tc>
        <w:tc>
          <w:tcPr>
            <w:tcW w:w="1768" w:type="dxa"/>
            <w:vAlign w:val="center"/>
            <w:hideMark/>
          </w:tcPr>
          <w:p w14:paraId="7BE0513B" w14:textId="77777777" w:rsidR="00373A38" w:rsidRPr="00A3355A" w:rsidRDefault="00373A38" w:rsidP="00965064">
            <w:pPr>
              <w:pStyle w:val="ExhibitText"/>
              <w:ind w:right="288"/>
              <w:jc w:val="right"/>
            </w:pPr>
            <w:r w:rsidRPr="00A3355A">
              <w:t>893.38</w:t>
            </w:r>
          </w:p>
        </w:tc>
        <w:tc>
          <w:tcPr>
            <w:tcW w:w="1769" w:type="dxa"/>
            <w:vAlign w:val="center"/>
            <w:hideMark/>
          </w:tcPr>
          <w:p w14:paraId="679945DF" w14:textId="77777777" w:rsidR="00373A38" w:rsidRPr="00A3355A" w:rsidRDefault="00373A38" w:rsidP="00965064">
            <w:pPr>
              <w:pStyle w:val="ExhibitText"/>
              <w:ind w:right="288"/>
              <w:jc w:val="right"/>
            </w:pPr>
            <w:r w:rsidRPr="00A3355A">
              <w:t>241.69</w:t>
            </w:r>
          </w:p>
        </w:tc>
        <w:tc>
          <w:tcPr>
            <w:tcW w:w="1769" w:type="dxa"/>
            <w:vAlign w:val="center"/>
            <w:hideMark/>
          </w:tcPr>
          <w:p w14:paraId="7E1A60C9" w14:textId="09DA2FF2" w:rsidR="00373A38" w:rsidRPr="00A3355A" w:rsidRDefault="00373A38" w:rsidP="00965064">
            <w:pPr>
              <w:pStyle w:val="ExhibitText"/>
              <w:ind w:right="288"/>
              <w:jc w:val="right"/>
            </w:pPr>
            <w:r w:rsidRPr="00A3355A">
              <w:t>1</w:t>
            </w:r>
            <w:r w:rsidR="00C81053">
              <w:t>,</w:t>
            </w:r>
            <w:r w:rsidRPr="00A3355A">
              <w:t>135.07</w:t>
            </w:r>
          </w:p>
        </w:tc>
      </w:tr>
      <w:tr w:rsidR="00373A38" w:rsidRPr="00885ADA" w14:paraId="42CAF4DE" w14:textId="77777777" w:rsidTr="00721D3E">
        <w:trPr>
          <w:trHeight w:val="360"/>
          <w:jc w:val="center"/>
        </w:trPr>
        <w:tc>
          <w:tcPr>
            <w:tcW w:w="1320" w:type="dxa"/>
            <w:vAlign w:val="center"/>
            <w:hideMark/>
          </w:tcPr>
          <w:p w14:paraId="7DB24B12" w14:textId="2C3FDCEC" w:rsidR="00373A38" w:rsidRPr="00A3355A" w:rsidRDefault="00373A38" w:rsidP="00965064">
            <w:pPr>
              <w:pStyle w:val="ExhibitText"/>
              <w:jc w:val="left"/>
            </w:pPr>
            <w:r w:rsidRPr="00A3355A">
              <w:t>2013</w:t>
            </w:r>
            <w:r w:rsidR="00721D3E">
              <w:t>/</w:t>
            </w:r>
            <w:r w:rsidRPr="00A3355A">
              <w:t>14</w:t>
            </w:r>
          </w:p>
        </w:tc>
        <w:tc>
          <w:tcPr>
            <w:tcW w:w="1768" w:type="dxa"/>
            <w:vAlign w:val="center"/>
            <w:hideMark/>
          </w:tcPr>
          <w:p w14:paraId="3BF6F676" w14:textId="77777777" w:rsidR="00373A38" w:rsidRPr="00A3355A" w:rsidRDefault="00373A38" w:rsidP="00965064">
            <w:pPr>
              <w:pStyle w:val="ExhibitText"/>
              <w:ind w:right="288"/>
              <w:jc w:val="right"/>
            </w:pPr>
            <w:r w:rsidRPr="00A3355A">
              <w:t>965.07</w:t>
            </w:r>
          </w:p>
        </w:tc>
        <w:tc>
          <w:tcPr>
            <w:tcW w:w="1769" w:type="dxa"/>
            <w:vAlign w:val="center"/>
            <w:hideMark/>
          </w:tcPr>
          <w:p w14:paraId="0C59EFB3" w14:textId="77777777" w:rsidR="00373A38" w:rsidRPr="00A3355A" w:rsidRDefault="00373A38" w:rsidP="00965064">
            <w:pPr>
              <w:pStyle w:val="ExhibitText"/>
              <w:ind w:right="288"/>
              <w:jc w:val="right"/>
            </w:pPr>
            <w:r w:rsidRPr="00A3355A">
              <w:t>243.71</w:t>
            </w:r>
          </w:p>
        </w:tc>
        <w:tc>
          <w:tcPr>
            <w:tcW w:w="1769" w:type="dxa"/>
            <w:vAlign w:val="center"/>
            <w:hideMark/>
          </w:tcPr>
          <w:p w14:paraId="714D6FE7" w14:textId="7F340614" w:rsidR="00373A38" w:rsidRPr="00A3355A" w:rsidRDefault="00373A38" w:rsidP="00965064">
            <w:pPr>
              <w:pStyle w:val="ExhibitText"/>
              <w:ind w:right="288"/>
              <w:jc w:val="right"/>
            </w:pPr>
            <w:r w:rsidRPr="00A3355A">
              <w:t>1</w:t>
            </w:r>
            <w:r w:rsidR="00C81053">
              <w:t>,</w:t>
            </w:r>
            <w:r w:rsidRPr="00A3355A">
              <w:t>208.78</w:t>
            </w:r>
          </w:p>
        </w:tc>
      </w:tr>
    </w:tbl>
    <w:p w14:paraId="725D14C4" w14:textId="77777777" w:rsidR="006018CE" w:rsidRDefault="006018CE" w:rsidP="006018CE">
      <w:pPr>
        <w:pStyle w:val="Footnote"/>
      </w:pPr>
    </w:p>
    <w:p w14:paraId="4793E083" w14:textId="25F2B85C" w:rsidR="00373A38" w:rsidRPr="006018CE" w:rsidRDefault="003F53C3" w:rsidP="006018CE">
      <w:pPr>
        <w:pStyle w:val="Footnote"/>
      </w:pPr>
      <w:r w:rsidRPr="006018CE">
        <w:t xml:space="preserve">Source: </w:t>
      </w:r>
      <w:r w:rsidR="00E443EF">
        <w:t xml:space="preserve">“Socio-Economical Statistical Information </w:t>
      </w:r>
      <w:r w:rsidR="009A4A5D">
        <w:t>a</w:t>
      </w:r>
      <w:r w:rsidR="00E443EF">
        <w:t>bout India</w:t>
      </w:r>
      <w:r w:rsidR="00AA2A60">
        <w:t xml:space="preserve">: </w:t>
      </w:r>
      <w:r w:rsidR="00E443EF">
        <w:t xml:space="preserve">Agriculture/Tea,” </w:t>
      </w:r>
      <w:proofErr w:type="spellStart"/>
      <w:r w:rsidR="00E443EF">
        <w:t>India</w:t>
      </w:r>
      <w:r w:rsidR="00AA2A60">
        <w:t>s</w:t>
      </w:r>
      <w:r w:rsidR="00E443EF">
        <w:t>tat</w:t>
      </w:r>
      <w:proofErr w:type="spellEnd"/>
      <w:r w:rsidR="00AA2A60">
        <w:t>: Revealing India….</w:t>
      </w:r>
      <w:r w:rsidR="00297EA3">
        <w:t xml:space="preserve"> </w:t>
      </w:r>
      <w:r w:rsidR="00AA2A60">
        <w:t>Statistically</w:t>
      </w:r>
      <w:r w:rsidR="00E443EF">
        <w:t xml:space="preserve">, accessed January 19, 2016, </w:t>
      </w:r>
      <w:r w:rsidR="00E443EF" w:rsidRPr="00EF1034">
        <w:t>www.indiastat.com/agriculture/2/plantationcrop/963290/tea/17</w:t>
      </w:r>
      <w:bookmarkStart w:id="0" w:name="_GoBack"/>
      <w:bookmarkEnd w:id="0"/>
      <w:r w:rsidR="00E443EF" w:rsidRPr="00EF1034">
        <w:t>582/stats.aspx</w:t>
      </w:r>
      <w:r w:rsidR="00E443EF">
        <w:t>.</w:t>
      </w:r>
      <w:r w:rsidR="00E443EF" w:rsidRPr="006018CE">
        <w:t xml:space="preserve"> </w:t>
      </w:r>
    </w:p>
    <w:p w14:paraId="280126F4" w14:textId="77777777" w:rsidR="00373A38" w:rsidRDefault="00373A38" w:rsidP="00553D20">
      <w:pPr>
        <w:pStyle w:val="ExhibitText"/>
        <w:rPr>
          <w:lang w:val="en-IN" w:eastAsia="en-IN"/>
        </w:rPr>
      </w:pPr>
    </w:p>
    <w:p w14:paraId="442E6354" w14:textId="77777777" w:rsidR="00731F40" w:rsidRDefault="00731F40" w:rsidP="00553D20">
      <w:pPr>
        <w:pStyle w:val="ExhibitText"/>
        <w:rPr>
          <w:lang w:val="en-IN" w:eastAsia="en-IN"/>
        </w:rPr>
      </w:pPr>
    </w:p>
    <w:p w14:paraId="03CA720B" w14:textId="4D6A25F7" w:rsidR="00335730" w:rsidRDefault="002C7F86" w:rsidP="001C571B">
      <w:pPr>
        <w:pStyle w:val="ExhibitHeading"/>
        <w:outlineLvl w:val="0"/>
      </w:pPr>
      <w:r w:rsidRPr="00885ADA">
        <w:t xml:space="preserve">EXHIBIT </w:t>
      </w:r>
      <w:r w:rsidR="009065D5">
        <w:t>2</w:t>
      </w:r>
      <w:r w:rsidRPr="00885ADA">
        <w:t xml:space="preserve">: </w:t>
      </w:r>
      <w:r w:rsidR="00721D3E">
        <w:t xml:space="preserve">Production of Tea </w:t>
      </w:r>
      <w:r w:rsidR="00C81053">
        <w:t>in northeast india</w:t>
      </w:r>
      <w:r w:rsidR="00335730">
        <w:t>, 20</w:t>
      </w:r>
      <w:r w:rsidR="00C81053">
        <w:t>09</w:t>
      </w:r>
      <w:r w:rsidR="00335730">
        <w:t>–201</w:t>
      </w:r>
      <w:r w:rsidR="008E644D">
        <w:t>4</w:t>
      </w:r>
    </w:p>
    <w:p w14:paraId="3D0696D2" w14:textId="28C60009" w:rsidR="00373A38" w:rsidRPr="00885ADA" w:rsidRDefault="00335730" w:rsidP="00335730">
      <w:pPr>
        <w:pStyle w:val="Casehead2"/>
        <w:jc w:val="center"/>
      </w:pPr>
      <w:r>
        <w:t>(</w:t>
      </w:r>
      <w:proofErr w:type="gramStart"/>
      <w:r>
        <w:t>in</w:t>
      </w:r>
      <w:proofErr w:type="gramEnd"/>
      <w:r>
        <w:t xml:space="preserve"> </w:t>
      </w:r>
      <w:r w:rsidR="0029187E">
        <w:t>m</w:t>
      </w:r>
      <w:r>
        <w:t xml:space="preserve">illion </w:t>
      </w:r>
      <w:r w:rsidR="0029187E">
        <w:t>k</w:t>
      </w:r>
      <w:r>
        <w:t>ilograms)</w:t>
      </w:r>
    </w:p>
    <w:p w14:paraId="40D4BD79" w14:textId="77777777" w:rsidR="00373A38" w:rsidRPr="00885ADA" w:rsidRDefault="00373A38" w:rsidP="00A3355A">
      <w:pPr>
        <w:pStyle w:val="ExhibitHeading"/>
      </w:pPr>
    </w:p>
    <w:tbl>
      <w:tblPr>
        <w:tblStyle w:val="TableGrid1"/>
        <w:tblW w:w="3891" w:type="pct"/>
        <w:jc w:val="center"/>
        <w:tblLook w:val="04A0" w:firstRow="1" w:lastRow="0" w:firstColumn="1" w:lastColumn="0" w:noHBand="0" w:noVBand="1"/>
      </w:tblPr>
      <w:tblGrid>
        <w:gridCol w:w="2016"/>
        <w:gridCol w:w="2674"/>
        <w:gridCol w:w="2676"/>
      </w:tblGrid>
      <w:tr w:rsidR="00C81053" w:rsidRPr="00721D3E" w14:paraId="6ED87876" w14:textId="77777777" w:rsidTr="003E26A9">
        <w:trPr>
          <w:trHeight w:val="296"/>
          <w:jc w:val="center"/>
        </w:trPr>
        <w:tc>
          <w:tcPr>
            <w:tcW w:w="1921" w:type="dxa"/>
            <w:vAlign w:val="center"/>
            <w:hideMark/>
          </w:tcPr>
          <w:p w14:paraId="700E2C32" w14:textId="77777777" w:rsidR="00C81053" w:rsidRPr="00721D3E" w:rsidRDefault="00C81053" w:rsidP="003E26A9">
            <w:pPr>
              <w:pStyle w:val="ExhibitText"/>
              <w:jc w:val="center"/>
              <w:rPr>
                <w:b/>
              </w:rPr>
            </w:pPr>
            <w:r w:rsidRPr="00721D3E">
              <w:rPr>
                <w:b/>
              </w:rPr>
              <w:t>Years</w:t>
            </w:r>
          </w:p>
        </w:tc>
        <w:tc>
          <w:tcPr>
            <w:tcW w:w="2547" w:type="dxa"/>
            <w:vAlign w:val="center"/>
            <w:hideMark/>
          </w:tcPr>
          <w:p w14:paraId="6AC27797" w14:textId="33E6D851" w:rsidR="00C81053" w:rsidRPr="00721D3E" w:rsidRDefault="00C81053" w:rsidP="00C81053">
            <w:pPr>
              <w:pStyle w:val="ExhibitText"/>
              <w:ind w:right="288"/>
              <w:jc w:val="right"/>
              <w:rPr>
                <w:b/>
              </w:rPr>
            </w:pPr>
            <w:r w:rsidRPr="00721D3E">
              <w:rPr>
                <w:b/>
              </w:rPr>
              <w:t>North</w:t>
            </w:r>
            <w:r>
              <w:rPr>
                <w:b/>
              </w:rPr>
              <w:t xml:space="preserve">east </w:t>
            </w:r>
            <w:r w:rsidRPr="00721D3E">
              <w:rPr>
                <w:b/>
              </w:rPr>
              <w:t xml:space="preserve"> India</w:t>
            </w:r>
          </w:p>
        </w:tc>
        <w:tc>
          <w:tcPr>
            <w:tcW w:w="2549" w:type="dxa"/>
            <w:vAlign w:val="center"/>
            <w:hideMark/>
          </w:tcPr>
          <w:p w14:paraId="4172DEC1" w14:textId="77777777" w:rsidR="00C81053" w:rsidRPr="00721D3E" w:rsidRDefault="00C81053" w:rsidP="003E26A9">
            <w:pPr>
              <w:pStyle w:val="ExhibitText"/>
              <w:ind w:right="288"/>
              <w:jc w:val="right"/>
              <w:rPr>
                <w:b/>
              </w:rPr>
            </w:pPr>
            <w:r>
              <w:rPr>
                <w:b/>
              </w:rPr>
              <w:t xml:space="preserve">India </w:t>
            </w:r>
          </w:p>
        </w:tc>
      </w:tr>
      <w:tr w:rsidR="00C81053" w:rsidRPr="00A3355A" w14:paraId="4C2690E1" w14:textId="77777777" w:rsidTr="003E26A9">
        <w:trPr>
          <w:trHeight w:val="296"/>
          <w:jc w:val="center"/>
        </w:trPr>
        <w:tc>
          <w:tcPr>
            <w:tcW w:w="1921" w:type="dxa"/>
            <w:vAlign w:val="center"/>
            <w:hideMark/>
          </w:tcPr>
          <w:p w14:paraId="01924BB8" w14:textId="77777777" w:rsidR="00C81053" w:rsidRPr="00A3355A" w:rsidRDefault="00C81053" w:rsidP="003E26A9">
            <w:pPr>
              <w:pStyle w:val="ExhibitText"/>
              <w:jc w:val="left"/>
            </w:pPr>
            <w:r w:rsidRPr="00A3355A">
              <w:t>2009</w:t>
            </w:r>
            <w:r>
              <w:t>/</w:t>
            </w:r>
            <w:r w:rsidRPr="00A3355A">
              <w:t>10</w:t>
            </w:r>
          </w:p>
        </w:tc>
        <w:tc>
          <w:tcPr>
            <w:tcW w:w="2547" w:type="dxa"/>
            <w:vAlign w:val="center"/>
          </w:tcPr>
          <w:p w14:paraId="646F8744" w14:textId="77777777" w:rsidR="00C81053" w:rsidRPr="00A3355A" w:rsidRDefault="00C81053" w:rsidP="003E26A9">
            <w:pPr>
              <w:pStyle w:val="ExhibitText"/>
              <w:ind w:right="288"/>
              <w:jc w:val="right"/>
            </w:pPr>
            <w:r>
              <w:t>499.997</w:t>
            </w:r>
          </w:p>
        </w:tc>
        <w:tc>
          <w:tcPr>
            <w:tcW w:w="2549" w:type="dxa"/>
            <w:vAlign w:val="center"/>
          </w:tcPr>
          <w:p w14:paraId="25A5291A" w14:textId="77777777" w:rsidR="00C81053" w:rsidRPr="00A3355A" w:rsidRDefault="00C81053" w:rsidP="003E26A9">
            <w:pPr>
              <w:pStyle w:val="ExhibitText"/>
              <w:ind w:right="288"/>
              <w:jc w:val="right"/>
            </w:pPr>
            <w:r>
              <w:t>978.999</w:t>
            </w:r>
          </w:p>
        </w:tc>
      </w:tr>
      <w:tr w:rsidR="00C81053" w:rsidRPr="00A3355A" w14:paraId="28E5A878" w14:textId="77777777" w:rsidTr="003E26A9">
        <w:trPr>
          <w:trHeight w:val="296"/>
          <w:jc w:val="center"/>
        </w:trPr>
        <w:tc>
          <w:tcPr>
            <w:tcW w:w="1921" w:type="dxa"/>
            <w:vAlign w:val="center"/>
            <w:hideMark/>
          </w:tcPr>
          <w:p w14:paraId="7E90D7AF" w14:textId="77777777" w:rsidR="00C81053" w:rsidRPr="00A3355A" w:rsidRDefault="00C81053" w:rsidP="003E26A9">
            <w:pPr>
              <w:pStyle w:val="ExhibitText"/>
              <w:jc w:val="left"/>
            </w:pPr>
            <w:r w:rsidRPr="00A3355A">
              <w:t>2010</w:t>
            </w:r>
            <w:r>
              <w:t>/</w:t>
            </w:r>
            <w:r w:rsidRPr="00A3355A">
              <w:t>11</w:t>
            </w:r>
          </w:p>
        </w:tc>
        <w:tc>
          <w:tcPr>
            <w:tcW w:w="2547" w:type="dxa"/>
            <w:vAlign w:val="center"/>
          </w:tcPr>
          <w:p w14:paraId="15AF4D83" w14:textId="77777777" w:rsidR="00C81053" w:rsidRPr="00A3355A" w:rsidRDefault="00C81053" w:rsidP="003E26A9">
            <w:pPr>
              <w:pStyle w:val="ExhibitText"/>
              <w:ind w:right="288"/>
              <w:jc w:val="right"/>
            </w:pPr>
            <w:r>
              <w:t>480.286</w:t>
            </w:r>
          </w:p>
        </w:tc>
        <w:tc>
          <w:tcPr>
            <w:tcW w:w="2549" w:type="dxa"/>
            <w:vAlign w:val="center"/>
          </w:tcPr>
          <w:p w14:paraId="013D54AA" w14:textId="77777777" w:rsidR="00C81053" w:rsidRPr="00A3355A" w:rsidRDefault="00C81053" w:rsidP="003E26A9">
            <w:pPr>
              <w:pStyle w:val="ExhibitText"/>
              <w:ind w:right="288"/>
              <w:jc w:val="right"/>
            </w:pPr>
            <w:r>
              <w:t>966.203</w:t>
            </w:r>
          </w:p>
        </w:tc>
      </w:tr>
      <w:tr w:rsidR="00C81053" w:rsidRPr="00A3355A" w14:paraId="6B5F34B9" w14:textId="77777777" w:rsidTr="003E26A9">
        <w:trPr>
          <w:trHeight w:val="296"/>
          <w:jc w:val="center"/>
        </w:trPr>
        <w:tc>
          <w:tcPr>
            <w:tcW w:w="1921" w:type="dxa"/>
            <w:vAlign w:val="center"/>
            <w:hideMark/>
          </w:tcPr>
          <w:p w14:paraId="0D7CCB9B" w14:textId="77777777" w:rsidR="00C81053" w:rsidRPr="00A3355A" w:rsidRDefault="00C81053" w:rsidP="003E26A9">
            <w:pPr>
              <w:pStyle w:val="ExhibitText"/>
              <w:jc w:val="left"/>
            </w:pPr>
            <w:r w:rsidRPr="00A3355A">
              <w:t>2011</w:t>
            </w:r>
            <w:r>
              <w:t>/</w:t>
            </w:r>
            <w:r w:rsidRPr="00A3355A">
              <w:t>12</w:t>
            </w:r>
          </w:p>
        </w:tc>
        <w:tc>
          <w:tcPr>
            <w:tcW w:w="2547" w:type="dxa"/>
            <w:vAlign w:val="center"/>
          </w:tcPr>
          <w:p w14:paraId="079BA748" w14:textId="77777777" w:rsidR="00C81053" w:rsidRPr="00A3355A" w:rsidRDefault="00C81053" w:rsidP="003E26A9">
            <w:pPr>
              <w:pStyle w:val="ExhibitText"/>
              <w:ind w:right="288"/>
              <w:jc w:val="right"/>
            </w:pPr>
            <w:r>
              <w:t>234.317</w:t>
            </w:r>
          </w:p>
        </w:tc>
        <w:tc>
          <w:tcPr>
            <w:tcW w:w="2549" w:type="dxa"/>
            <w:vAlign w:val="center"/>
          </w:tcPr>
          <w:p w14:paraId="796D2632" w14:textId="77777777" w:rsidR="00C81053" w:rsidRPr="00A3355A" w:rsidRDefault="00C81053" w:rsidP="003E26A9">
            <w:pPr>
              <w:pStyle w:val="ExhibitText"/>
              <w:ind w:right="288"/>
              <w:jc w:val="right"/>
            </w:pPr>
            <w:r>
              <w:t>998.328</w:t>
            </w:r>
          </w:p>
        </w:tc>
      </w:tr>
      <w:tr w:rsidR="00C81053" w:rsidRPr="00A3355A" w14:paraId="304E9E84" w14:textId="77777777" w:rsidTr="003E26A9">
        <w:trPr>
          <w:trHeight w:val="296"/>
          <w:jc w:val="center"/>
        </w:trPr>
        <w:tc>
          <w:tcPr>
            <w:tcW w:w="1921" w:type="dxa"/>
            <w:vAlign w:val="center"/>
            <w:hideMark/>
          </w:tcPr>
          <w:p w14:paraId="3E769CA9" w14:textId="77777777" w:rsidR="00C81053" w:rsidRPr="00A3355A" w:rsidRDefault="00C81053" w:rsidP="003E26A9">
            <w:pPr>
              <w:pStyle w:val="ExhibitText"/>
              <w:jc w:val="left"/>
            </w:pPr>
            <w:r w:rsidRPr="00A3355A">
              <w:t>2012</w:t>
            </w:r>
            <w:r>
              <w:t>/</w:t>
            </w:r>
            <w:r w:rsidRPr="00A3355A">
              <w:t>13</w:t>
            </w:r>
          </w:p>
        </w:tc>
        <w:tc>
          <w:tcPr>
            <w:tcW w:w="2547" w:type="dxa"/>
            <w:vAlign w:val="center"/>
          </w:tcPr>
          <w:p w14:paraId="6764D82F" w14:textId="3A057A5D" w:rsidR="00C81053" w:rsidRPr="00A3355A" w:rsidRDefault="00C81053" w:rsidP="00C81053">
            <w:pPr>
              <w:pStyle w:val="ExhibitText"/>
              <w:ind w:left="720" w:right="288"/>
              <w:jc w:val="right"/>
            </w:pPr>
            <w:r>
              <w:t>−</w:t>
            </w:r>
          </w:p>
        </w:tc>
        <w:tc>
          <w:tcPr>
            <w:tcW w:w="2549" w:type="dxa"/>
            <w:vAlign w:val="center"/>
          </w:tcPr>
          <w:p w14:paraId="22C66648" w14:textId="77777777" w:rsidR="00C81053" w:rsidRPr="00A3355A" w:rsidRDefault="00C81053" w:rsidP="003E26A9">
            <w:pPr>
              <w:pStyle w:val="ExhibitText"/>
              <w:ind w:right="288"/>
              <w:jc w:val="right"/>
            </w:pPr>
            <w:r>
              <w:t>822.940</w:t>
            </w:r>
          </w:p>
        </w:tc>
      </w:tr>
      <w:tr w:rsidR="00C81053" w:rsidRPr="00A3355A" w14:paraId="26367CF2" w14:textId="77777777" w:rsidTr="003E26A9">
        <w:trPr>
          <w:trHeight w:val="296"/>
          <w:jc w:val="center"/>
        </w:trPr>
        <w:tc>
          <w:tcPr>
            <w:tcW w:w="1921" w:type="dxa"/>
            <w:vAlign w:val="center"/>
            <w:hideMark/>
          </w:tcPr>
          <w:p w14:paraId="5323F6EF" w14:textId="77777777" w:rsidR="00C81053" w:rsidRPr="00A3355A" w:rsidRDefault="00C81053" w:rsidP="003E26A9">
            <w:pPr>
              <w:pStyle w:val="ExhibitText"/>
              <w:jc w:val="left"/>
            </w:pPr>
            <w:r w:rsidRPr="00A3355A">
              <w:t>2013</w:t>
            </w:r>
            <w:r>
              <w:t>/</w:t>
            </w:r>
            <w:r w:rsidRPr="00A3355A">
              <w:t>14</w:t>
            </w:r>
          </w:p>
        </w:tc>
        <w:tc>
          <w:tcPr>
            <w:tcW w:w="2547" w:type="dxa"/>
            <w:vAlign w:val="center"/>
          </w:tcPr>
          <w:p w14:paraId="25C50585" w14:textId="77777777" w:rsidR="00C81053" w:rsidRPr="00A3355A" w:rsidRDefault="00C81053" w:rsidP="003E26A9">
            <w:pPr>
              <w:pStyle w:val="ExhibitText"/>
              <w:ind w:right="288"/>
              <w:jc w:val="right"/>
            </w:pPr>
            <w:r>
              <w:t>652.97</w:t>
            </w:r>
          </w:p>
        </w:tc>
        <w:tc>
          <w:tcPr>
            <w:tcW w:w="2549" w:type="dxa"/>
            <w:vAlign w:val="center"/>
          </w:tcPr>
          <w:p w14:paraId="127178DD" w14:textId="214F7E7D" w:rsidR="00C81053" w:rsidRPr="00A3355A" w:rsidRDefault="00C81053" w:rsidP="003E26A9">
            <w:pPr>
              <w:pStyle w:val="ExhibitText"/>
              <w:ind w:right="288"/>
              <w:jc w:val="right"/>
            </w:pPr>
            <w:r>
              <w:t>1,208.780</w:t>
            </w:r>
          </w:p>
        </w:tc>
      </w:tr>
    </w:tbl>
    <w:p w14:paraId="3915E15E" w14:textId="77777777" w:rsidR="00922F96" w:rsidRPr="00922F96" w:rsidRDefault="00922F96" w:rsidP="00922F96">
      <w:pPr>
        <w:pStyle w:val="BodyTextMain"/>
        <w:rPr>
          <w:sz w:val="20"/>
          <w:szCs w:val="20"/>
        </w:rPr>
      </w:pPr>
    </w:p>
    <w:p w14:paraId="6860B1A4" w14:textId="7C795B80" w:rsidR="007728E2" w:rsidRDefault="001D785C" w:rsidP="006018CE">
      <w:pPr>
        <w:pStyle w:val="Footnote"/>
      </w:pPr>
      <w:r w:rsidRPr="001D785C">
        <w:rPr>
          <w:lang w:val="en-IN" w:eastAsia="en-IN"/>
        </w:rPr>
        <w:t xml:space="preserve">Source: </w:t>
      </w:r>
      <w:r w:rsidR="000F6533">
        <w:rPr>
          <w:lang w:val="en-IN" w:eastAsia="en-IN"/>
        </w:rPr>
        <w:t>“</w:t>
      </w:r>
      <w:r w:rsidR="000F6533" w:rsidRPr="000F6533">
        <w:rPr>
          <w:lang w:val="en-US" w:eastAsia="en-IN"/>
        </w:rPr>
        <w:t xml:space="preserve">Selected </w:t>
      </w:r>
      <w:r w:rsidR="00C81053">
        <w:rPr>
          <w:lang w:val="en-US" w:eastAsia="en-IN"/>
        </w:rPr>
        <w:t xml:space="preserve">Production of NE Region and Yield in </w:t>
      </w:r>
      <w:r w:rsidR="000F6533" w:rsidRPr="000F6533">
        <w:rPr>
          <w:lang w:val="en-US" w:eastAsia="en-IN"/>
        </w:rPr>
        <w:t>India</w:t>
      </w:r>
      <w:r w:rsidR="00AA2A60">
        <w:rPr>
          <w:lang w:val="en-US" w:eastAsia="en-IN"/>
        </w:rPr>
        <w:t xml:space="preserve"> (20</w:t>
      </w:r>
      <w:r w:rsidR="00C81053">
        <w:rPr>
          <w:lang w:val="en-US" w:eastAsia="en-IN"/>
        </w:rPr>
        <w:t>09–2</w:t>
      </w:r>
      <w:r w:rsidR="00AA2A60">
        <w:rPr>
          <w:lang w:val="en-US" w:eastAsia="en-IN"/>
        </w:rPr>
        <w:t>014)</w:t>
      </w:r>
      <w:r w:rsidR="000F6533">
        <w:rPr>
          <w:lang w:val="en-US" w:eastAsia="en-IN"/>
        </w:rPr>
        <w:t xml:space="preserve">,” </w:t>
      </w:r>
      <w:proofErr w:type="spellStart"/>
      <w:r w:rsidRPr="001D785C">
        <w:rPr>
          <w:lang w:val="en-IN" w:eastAsia="en-IN"/>
        </w:rPr>
        <w:t>India</w:t>
      </w:r>
      <w:r w:rsidR="00AA2A60">
        <w:rPr>
          <w:lang w:val="en-IN" w:eastAsia="en-IN"/>
        </w:rPr>
        <w:t>s</w:t>
      </w:r>
      <w:r w:rsidRPr="001D785C">
        <w:rPr>
          <w:lang w:val="en-IN" w:eastAsia="en-IN"/>
        </w:rPr>
        <w:t>tat</w:t>
      </w:r>
      <w:proofErr w:type="spellEnd"/>
      <w:r w:rsidR="00AA2A60">
        <w:rPr>
          <w:lang w:val="en-IN" w:eastAsia="en-IN"/>
        </w:rPr>
        <w:t>: Revealing India…</w:t>
      </w:r>
      <w:r w:rsidR="00297EA3">
        <w:rPr>
          <w:lang w:val="en-IN" w:eastAsia="en-IN"/>
        </w:rPr>
        <w:t xml:space="preserve">. </w:t>
      </w:r>
      <w:r w:rsidR="00AA2A60">
        <w:rPr>
          <w:lang w:val="en-IN" w:eastAsia="en-IN"/>
        </w:rPr>
        <w:t>Statistically,</w:t>
      </w:r>
      <w:r w:rsidR="00AA2A60">
        <w:t xml:space="preserve"> </w:t>
      </w:r>
      <w:r w:rsidR="00922F96" w:rsidRPr="001D785C">
        <w:t>accessed Jan</w:t>
      </w:r>
      <w:r w:rsidR="000F6533">
        <w:t>uary</w:t>
      </w:r>
      <w:r w:rsidR="00922F96" w:rsidRPr="001D785C">
        <w:t xml:space="preserve"> 19, 2016, </w:t>
      </w:r>
      <w:r w:rsidRPr="006018CE">
        <w:t>www.indiastat.com/agriculture/2/plantationcrop/963290/tea/17582/stats.aspx</w:t>
      </w:r>
      <w:r w:rsidR="000F6533">
        <w:t>.</w:t>
      </w:r>
    </w:p>
    <w:p w14:paraId="068C9363" w14:textId="77777777" w:rsidR="007728E2" w:rsidRDefault="007728E2">
      <w:pPr>
        <w:spacing w:after="200" w:line="276" w:lineRule="auto"/>
        <w:rPr>
          <w:rFonts w:ascii="Arial" w:hAnsi="Arial" w:cs="Arial"/>
          <w:sz w:val="17"/>
          <w:szCs w:val="17"/>
        </w:rPr>
      </w:pPr>
      <w:r>
        <w:br w:type="page"/>
      </w:r>
    </w:p>
    <w:p w14:paraId="53CBFEB8" w14:textId="07EF3E06" w:rsidR="00885ADA" w:rsidRPr="00CF4C23" w:rsidRDefault="002C7F86" w:rsidP="001C571B">
      <w:pPr>
        <w:pStyle w:val="ExhibitHeading"/>
        <w:outlineLvl w:val="0"/>
        <w:rPr>
          <w:lang w:val="en-IN" w:eastAsia="en-IN"/>
        </w:rPr>
      </w:pPr>
      <w:r w:rsidRPr="00A2128A">
        <w:rPr>
          <w:lang w:val="en-IN" w:eastAsia="en-IN"/>
        </w:rPr>
        <w:lastRenderedPageBreak/>
        <w:t>EXHIBIT</w:t>
      </w:r>
      <w:r w:rsidR="00A3355A">
        <w:rPr>
          <w:lang w:val="en-IN" w:eastAsia="en-IN"/>
        </w:rPr>
        <w:t xml:space="preserve"> </w:t>
      </w:r>
      <w:r w:rsidR="009065D5">
        <w:rPr>
          <w:lang w:val="en-IN" w:eastAsia="en-IN"/>
        </w:rPr>
        <w:t>3</w:t>
      </w:r>
      <w:r w:rsidRPr="00A2128A">
        <w:rPr>
          <w:lang w:val="en-IN" w:eastAsia="en-IN"/>
        </w:rPr>
        <w:t xml:space="preserve">: MAWLYNGOT </w:t>
      </w:r>
      <w:r w:rsidR="00036D0C">
        <w:rPr>
          <w:lang w:val="en-IN" w:eastAsia="en-IN"/>
        </w:rPr>
        <w:t>Tea Growers</w:t>
      </w:r>
      <w:r w:rsidR="007D360E">
        <w:rPr>
          <w:lang w:val="en-IN" w:eastAsia="en-IN"/>
        </w:rPr>
        <w:t>’</w:t>
      </w:r>
      <w:r w:rsidR="00036D0C">
        <w:rPr>
          <w:lang w:val="en-IN" w:eastAsia="en-IN"/>
        </w:rPr>
        <w:t xml:space="preserve"> </w:t>
      </w:r>
      <w:r w:rsidRPr="00A2128A">
        <w:rPr>
          <w:lang w:val="en-IN" w:eastAsia="en-IN"/>
        </w:rPr>
        <w:t>COOPERATIVE</w:t>
      </w:r>
      <w:r w:rsidR="00036D0C">
        <w:rPr>
          <w:lang w:val="en-IN" w:eastAsia="en-IN"/>
        </w:rPr>
        <w:t xml:space="preserve"> Society, statement of Profit and Loss (Fiscal Year 2013/14)</w:t>
      </w:r>
    </w:p>
    <w:p w14:paraId="3E48F590" w14:textId="77777777" w:rsidR="00A16034" w:rsidRPr="00885ADA" w:rsidRDefault="00A16034" w:rsidP="00885ADA">
      <w:pPr>
        <w:jc w:val="center"/>
        <w:rPr>
          <w:rFonts w:ascii="Arial" w:hAnsi="Arial" w:cs="Arial"/>
          <w:b/>
          <w:u w:val="single"/>
        </w:rPr>
      </w:pPr>
    </w:p>
    <w:tbl>
      <w:tblPr>
        <w:tblStyle w:val="TableGrid"/>
        <w:tblW w:w="4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5"/>
        <w:gridCol w:w="1279"/>
        <w:gridCol w:w="2985"/>
        <w:gridCol w:w="1279"/>
      </w:tblGrid>
      <w:tr w:rsidR="00115FC6" w:rsidRPr="00CF4C23" w14:paraId="5AE0AD41" w14:textId="77777777" w:rsidTr="00115FC6">
        <w:trPr>
          <w:trHeight w:val="259"/>
          <w:jc w:val="center"/>
        </w:trPr>
        <w:tc>
          <w:tcPr>
            <w:tcW w:w="2500" w:type="pct"/>
            <w:gridSpan w:val="2"/>
            <w:tcBorders>
              <w:top w:val="single" w:sz="4" w:space="0" w:color="auto"/>
              <w:bottom w:val="single" w:sz="12" w:space="0" w:color="auto"/>
              <w:right w:val="single" w:sz="4" w:space="0" w:color="auto"/>
            </w:tcBorders>
            <w:vAlign w:val="center"/>
          </w:tcPr>
          <w:p w14:paraId="00CA9142" w14:textId="31E72AF1" w:rsidR="00115FC6" w:rsidRPr="00553D20" w:rsidRDefault="00115FC6" w:rsidP="00115FC6">
            <w:pPr>
              <w:pStyle w:val="ExhibitText"/>
              <w:ind w:right="144"/>
              <w:jc w:val="center"/>
              <w:rPr>
                <w:b/>
                <w:sz w:val="18"/>
                <w:szCs w:val="18"/>
              </w:rPr>
            </w:pPr>
            <w:r w:rsidRPr="00553D20">
              <w:rPr>
                <w:b/>
                <w:sz w:val="18"/>
                <w:szCs w:val="18"/>
              </w:rPr>
              <w:t>Profit</w:t>
            </w:r>
            <w:r w:rsidR="00CF4C23" w:rsidRPr="00553D20">
              <w:rPr>
                <w:b/>
                <w:sz w:val="18"/>
                <w:szCs w:val="18"/>
              </w:rPr>
              <w:t xml:space="preserve"> (₹)</w:t>
            </w:r>
          </w:p>
        </w:tc>
        <w:tc>
          <w:tcPr>
            <w:tcW w:w="2500" w:type="pct"/>
            <w:gridSpan w:val="2"/>
            <w:tcBorders>
              <w:top w:val="single" w:sz="4" w:space="0" w:color="auto"/>
              <w:left w:val="single" w:sz="4" w:space="0" w:color="auto"/>
              <w:bottom w:val="single" w:sz="12" w:space="0" w:color="auto"/>
            </w:tcBorders>
            <w:vAlign w:val="center"/>
          </w:tcPr>
          <w:p w14:paraId="619CE916" w14:textId="3739BF1C" w:rsidR="00115FC6" w:rsidRPr="00553D20" w:rsidRDefault="00115FC6" w:rsidP="00CF4C23">
            <w:pPr>
              <w:pStyle w:val="ExhibitText"/>
              <w:ind w:right="144"/>
              <w:jc w:val="center"/>
              <w:rPr>
                <w:b/>
                <w:sz w:val="18"/>
                <w:szCs w:val="18"/>
              </w:rPr>
            </w:pPr>
            <w:r w:rsidRPr="00553D20">
              <w:rPr>
                <w:b/>
                <w:sz w:val="18"/>
                <w:szCs w:val="18"/>
              </w:rPr>
              <w:t>Loss</w:t>
            </w:r>
            <w:r w:rsidR="00CF4C23" w:rsidRPr="00553D20">
              <w:rPr>
                <w:b/>
                <w:sz w:val="18"/>
                <w:szCs w:val="18"/>
              </w:rPr>
              <w:t xml:space="preserve"> (₹)</w:t>
            </w:r>
          </w:p>
        </w:tc>
      </w:tr>
      <w:tr w:rsidR="00036D0C" w:rsidRPr="00036D0C" w14:paraId="55044CD1" w14:textId="77777777" w:rsidTr="00115FC6">
        <w:trPr>
          <w:trHeight w:val="259"/>
          <w:jc w:val="center"/>
        </w:trPr>
        <w:tc>
          <w:tcPr>
            <w:tcW w:w="1750" w:type="pct"/>
            <w:tcBorders>
              <w:top w:val="single" w:sz="12" w:space="0" w:color="auto"/>
            </w:tcBorders>
            <w:vAlign w:val="center"/>
          </w:tcPr>
          <w:p w14:paraId="69E7C450" w14:textId="144600FE" w:rsidR="00036D0C" w:rsidRPr="00036D0C" w:rsidRDefault="00036D0C" w:rsidP="00115FC6">
            <w:pPr>
              <w:pStyle w:val="ExhibitText"/>
              <w:jc w:val="left"/>
              <w:rPr>
                <w:sz w:val="18"/>
                <w:szCs w:val="18"/>
              </w:rPr>
            </w:pPr>
            <w:r w:rsidRPr="00036D0C">
              <w:rPr>
                <w:sz w:val="18"/>
                <w:szCs w:val="18"/>
              </w:rPr>
              <w:t>Gross profit transferred from carriage account</w:t>
            </w:r>
          </w:p>
        </w:tc>
        <w:tc>
          <w:tcPr>
            <w:tcW w:w="750" w:type="pct"/>
            <w:tcBorders>
              <w:top w:val="single" w:sz="12" w:space="0" w:color="auto"/>
              <w:right w:val="single" w:sz="4" w:space="0" w:color="auto"/>
            </w:tcBorders>
            <w:vAlign w:val="center"/>
          </w:tcPr>
          <w:p w14:paraId="2A0F0E35" w14:textId="5D5FDF69" w:rsidR="00036D0C" w:rsidRPr="00036D0C" w:rsidRDefault="00036D0C" w:rsidP="00115FC6">
            <w:pPr>
              <w:pStyle w:val="ExhibitText"/>
              <w:ind w:right="144"/>
              <w:jc w:val="right"/>
              <w:rPr>
                <w:sz w:val="18"/>
                <w:szCs w:val="18"/>
              </w:rPr>
            </w:pPr>
            <w:r w:rsidRPr="00036D0C">
              <w:rPr>
                <w:sz w:val="18"/>
                <w:szCs w:val="18"/>
              </w:rPr>
              <w:t>753,280</w:t>
            </w:r>
          </w:p>
        </w:tc>
        <w:tc>
          <w:tcPr>
            <w:tcW w:w="1750" w:type="pct"/>
            <w:tcBorders>
              <w:top w:val="single" w:sz="12" w:space="0" w:color="auto"/>
              <w:left w:val="single" w:sz="4" w:space="0" w:color="auto"/>
            </w:tcBorders>
            <w:vAlign w:val="center"/>
          </w:tcPr>
          <w:p w14:paraId="03D59A50" w14:textId="76335349" w:rsidR="00036D0C" w:rsidRPr="00036D0C" w:rsidRDefault="00036D0C" w:rsidP="00115FC6">
            <w:pPr>
              <w:pStyle w:val="ExhibitText"/>
              <w:jc w:val="left"/>
              <w:rPr>
                <w:sz w:val="18"/>
                <w:szCs w:val="18"/>
              </w:rPr>
            </w:pPr>
            <w:r w:rsidRPr="00036D0C">
              <w:rPr>
                <w:sz w:val="18"/>
                <w:szCs w:val="18"/>
              </w:rPr>
              <w:t>Cost of firewood</w:t>
            </w:r>
          </w:p>
        </w:tc>
        <w:tc>
          <w:tcPr>
            <w:tcW w:w="750" w:type="pct"/>
            <w:tcBorders>
              <w:top w:val="single" w:sz="12" w:space="0" w:color="auto"/>
            </w:tcBorders>
            <w:vAlign w:val="center"/>
          </w:tcPr>
          <w:p w14:paraId="348DAFD7" w14:textId="77777777" w:rsidR="00036D0C" w:rsidRPr="00036D0C" w:rsidRDefault="00036D0C" w:rsidP="00115FC6">
            <w:pPr>
              <w:pStyle w:val="ExhibitText"/>
              <w:ind w:right="144"/>
              <w:jc w:val="right"/>
              <w:rPr>
                <w:sz w:val="18"/>
                <w:szCs w:val="18"/>
              </w:rPr>
            </w:pPr>
            <w:r w:rsidRPr="00036D0C">
              <w:rPr>
                <w:sz w:val="18"/>
                <w:szCs w:val="18"/>
              </w:rPr>
              <w:t>50,100</w:t>
            </w:r>
          </w:p>
        </w:tc>
      </w:tr>
      <w:tr w:rsidR="00036D0C" w:rsidRPr="00036D0C" w14:paraId="369ADC4D" w14:textId="77777777" w:rsidTr="00115FC6">
        <w:trPr>
          <w:trHeight w:val="259"/>
          <w:jc w:val="center"/>
        </w:trPr>
        <w:tc>
          <w:tcPr>
            <w:tcW w:w="1750" w:type="pct"/>
            <w:vAlign w:val="center"/>
          </w:tcPr>
          <w:p w14:paraId="24637209" w14:textId="5CA0BC68" w:rsidR="00036D0C" w:rsidRPr="00036D0C" w:rsidRDefault="00036D0C" w:rsidP="00115FC6">
            <w:pPr>
              <w:pStyle w:val="ExhibitText"/>
              <w:jc w:val="left"/>
              <w:rPr>
                <w:sz w:val="18"/>
                <w:szCs w:val="18"/>
              </w:rPr>
            </w:pPr>
            <w:r w:rsidRPr="00036D0C">
              <w:rPr>
                <w:sz w:val="18"/>
                <w:szCs w:val="18"/>
              </w:rPr>
              <w:t>Interest on loan (revolving fund)</w:t>
            </w:r>
          </w:p>
        </w:tc>
        <w:tc>
          <w:tcPr>
            <w:tcW w:w="750" w:type="pct"/>
            <w:tcBorders>
              <w:right w:val="single" w:sz="4" w:space="0" w:color="auto"/>
            </w:tcBorders>
            <w:vAlign w:val="center"/>
          </w:tcPr>
          <w:p w14:paraId="1D04E61A" w14:textId="420A9BD5" w:rsidR="00036D0C" w:rsidRPr="00036D0C" w:rsidRDefault="00036D0C" w:rsidP="00115FC6">
            <w:pPr>
              <w:pStyle w:val="ExhibitText"/>
              <w:ind w:right="144"/>
              <w:jc w:val="right"/>
              <w:rPr>
                <w:sz w:val="18"/>
                <w:szCs w:val="18"/>
              </w:rPr>
            </w:pPr>
            <w:r w:rsidRPr="00036D0C">
              <w:rPr>
                <w:sz w:val="18"/>
                <w:szCs w:val="18"/>
              </w:rPr>
              <w:t>4,500</w:t>
            </w:r>
          </w:p>
        </w:tc>
        <w:tc>
          <w:tcPr>
            <w:tcW w:w="1750" w:type="pct"/>
            <w:tcBorders>
              <w:left w:val="single" w:sz="4" w:space="0" w:color="auto"/>
            </w:tcBorders>
            <w:vAlign w:val="center"/>
          </w:tcPr>
          <w:p w14:paraId="2CB6D1FA" w14:textId="1EA0E1D8" w:rsidR="00036D0C" w:rsidRPr="00036D0C" w:rsidRDefault="00036D0C" w:rsidP="00115FC6">
            <w:pPr>
              <w:pStyle w:val="ExhibitText"/>
              <w:jc w:val="left"/>
              <w:rPr>
                <w:sz w:val="18"/>
                <w:szCs w:val="18"/>
              </w:rPr>
            </w:pPr>
            <w:r w:rsidRPr="00036D0C">
              <w:rPr>
                <w:sz w:val="18"/>
                <w:szCs w:val="18"/>
              </w:rPr>
              <w:t>Central tax paid</w:t>
            </w:r>
          </w:p>
        </w:tc>
        <w:tc>
          <w:tcPr>
            <w:tcW w:w="750" w:type="pct"/>
            <w:vAlign w:val="center"/>
          </w:tcPr>
          <w:p w14:paraId="7CA21E56" w14:textId="6DC2D493" w:rsidR="00036D0C" w:rsidRPr="00036D0C" w:rsidRDefault="00036D0C" w:rsidP="00115FC6">
            <w:pPr>
              <w:pStyle w:val="ExhibitText"/>
              <w:ind w:right="144"/>
              <w:jc w:val="right"/>
              <w:rPr>
                <w:sz w:val="18"/>
                <w:szCs w:val="18"/>
              </w:rPr>
            </w:pPr>
            <w:r w:rsidRPr="00036D0C">
              <w:rPr>
                <w:sz w:val="18"/>
                <w:szCs w:val="18"/>
              </w:rPr>
              <w:t>1,630</w:t>
            </w:r>
          </w:p>
        </w:tc>
      </w:tr>
      <w:tr w:rsidR="00036D0C" w:rsidRPr="00036D0C" w14:paraId="17779312" w14:textId="77777777" w:rsidTr="00115FC6">
        <w:trPr>
          <w:trHeight w:val="259"/>
          <w:jc w:val="center"/>
        </w:trPr>
        <w:tc>
          <w:tcPr>
            <w:tcW w:w="1750" w:type="pct"/>
            <w:vAlign w:val="center"/>
          </w:tcPr>
          <w:p w14:paraId="14C81B55" w14:textId="1D68BB19" w:rsidR="00036D0C" w:rsidRPr="00036D0C" w:rsidRDefault="00036D0C" w:rsidP="00115FC6">
            <w:pPr>
              <w:pStyle w:val="ExhibitText"/>
              <w:jc w:val="left"/>
              <w:rPr>
                <w:sz w:val="18"/>
                <w:szCs w:val="18"/>
              </w:rPr>
            </w:pPr>
            <w:r w:rsidRPr="00036D0C">
              <w:rPr>
                <w:sz w:val="18"/>
                <w:szCs w:val="18"/>
              </w:rPr>
              <w:t>Income from guest house</w:t>
            </w:r>
          </w:p>
        </w:tc>
        <w:tc>
          <w:tcPr>
            <w:tcW w:w="750" w:type="pct"/>
            <w:tcBorders>
              <w:right w:val="single" w:sz="4" w:space="0" w:color="auto"/>
            </w:tcBorders>
            <w:vAlign w:val="center"/>
          </w:tcPr>
          <w:p w14:paraId="66EF8318" w14:textId="2C09084E" w:rsidR="00036D0C" w:rsidRPr="00036D0C" w:rsidRDefault="00036D0C" w:rsidP="00115FC6">
            <w:pPr>
              <w:pStyle w:val="ExhibitText"/>
              <w:ind w:right="144"/>
              <w:jc w:val="right"/>
              <w:rPr>
                <w:sz w:val="18"/>
                <w:szCs w:val="18"/>
              </w:rPr>
            </w:pPr>
            <w:r w:rsidRPr="00036D0C">
              <w:rPr>
                <w:sz w:val="18"/>
                <w:szCs w:val="18"/>
              </w:rPr>
              <w:t>86,925</w:t>
            </w:r>
          </w:p>
        </w:tc>
        <w:tc>
          <w:tcPr>
            <w:tcW w:w="1750" w:type="pct"/>
            <w:tcBorders>
              <w:left w:val="single" w:sz="4" w:space="0" w:color="auto"/>
            </w:tcBorders>
            <w:vAlign w:val="center"/>
          </w:tcPr>
          <w:p w14:paraId="69FBED63" w14:textId="5FFC239F" w:rsidR="00036D0C" w:rsidRPr="00036D0C" w:rsidRDefault="00036D0C" w:rsidP="00115FC6">
            <w:pPr>
              <w:pStyle w:val="ExhibitText"/>
              <w:jc w:val="left"/>
              <w:rPr>
                <w:sz w:val="18"/>
                <w:szCs w:val="18"/>
              </w:rPr>
            </w:pPr>
            <w:r w:rsidRPr="00036D0C">
              <w:rPr>
                <w:sz w:val="18"/>
                <w:szCs w:val="18"/>
              </w:rPr>
              <w:t>Gas bill</w:t>
            </w:r>
          </w:p>
        </w:tc>
        <w:tc>
          <w:tcPr>
            <w:tcW w:w="750" w:type="pct"/>
            <w:vAlign w:val="center"/>
          </w:tcPr>
          <w:p w14:paraId="00CEE0C9" w14:textId="77777777" w:rsidR="00036D0C" w:rsidRPr="00036D0C" w:rsidRDefault="00036D0C" w:rsidP="00115FC6">
            <w:pPr>
              <w:pStyle w:val="ExhibitText"/>
              <w:ind w:right="144"/>
              <w:jc w:val="right"/>
              <w:rPr>
                <w:sz w:val="18"/>
                <w:szCs w:val="18"/>
              </w:rPr>
            </w:pPr>
            <w:r w:rsidRPr="00036D0C">
              <w:rPr>
                <w:sz w:val="18"/>
                <w:szCs w:val="18"/>
              </w:rPr>
              <w:t>14,130</w:t>
            </w:r>
          </w:p>
        </w:tc>
      </w:tr>
      <w:tr w:rsidR="00036D0C" w:rsidRPr="00036D0C" w14:paraId="0815DC29" w14:textId="77777777" w:rsidTr="00115FC6">
        <w:trPr>
          <w:trHeight w:val="259"/>
          <w:jc w:val="center"/>
        </w:trPr>
        <w:tc>
          <w:tcPr>
            <w:tcW w:w="1750" w:type="pct"/>
            <w:vAlign w:val="center"/>
          </w:tcPr>
          <w:p w14:paraId="6C21166F" w14:textId="436A1989" w:rsidR="00036D0C" w:rsidRPr="00036D0C" w:rsidRDefault="00036D0C" w:rsidP="00115FC6">
            <w:pPr>
              <w:pStyle w:val="ExhibitText"/>
              <w:jc w:val="left"/>
              <w:rPr>
                <w:sz w:val="18"/>
                <w:szCs w:val="18"/>
              </w:rPr>
            </w:pPr>
            <w:r w:rsidRPr="00036D0C">
              <w:rPr>
                <w:sz w:val="18"/>
                <w:szCs w:val="18"/>
              </w:rPr>
              <w:t>Bank commission</w:t>
            </w:r>
            <w:r w:rsidR="00CF4C23">
              <w:rPr>
                <w:sz w:val="18"/>
                <w:szCs w:val="18"/>
              </w:rPr>
              <w:t xml:space="preserve"> </w:t>
            </w:r>
            <w:r w:rsidRPr="00036D0C">
              <w:rPr>
                <w:sz w:val="18"/>
                <w:szCs w:val="18"/>
              </w:rPr>
              <w:t>(SBI)</w:t>
            </w:r>
          </w:p>
        </w:tc>
        <w:tc>
          <w:tcPr>
            <w:tcW w:w="750" w:type="pct"/>
            <w:tcBorders>
              <w:right w:val="single" w:sz="4" w:space="0" w:color="auto"/>
            </w:tcBorders>
            <w:vAlign w:val="center"/>
          </w:tcPr>
          <w:p w14:paraId="47E8954A" w14:textId="71906E93" w:rsidR="00036D0C" w:rsidRPr="00036D0C" w:rsidRDefault="00036D0C" w:rsidP="00115FC6">
            <w:pPr>
              <w:pStyle w:val="ExhibitText"/>
              <w:ind w:right="144"/>
              <w:jc w:val="right"/>
              <w:rPr>
                <w:sz w:val="18"/>
                <w:szCs w:val="18"/>
              </w:rPr>
            </w:pPr>
            <w:r w:rsidRPr="00036D0C">
              <w:rPr>
                <w:sz w:val="18"/>
                <w:szCs w:val="18"/>
              </w:rPr>
              <w:t>21,345</w:t>
            </w:r>
          </w:p>
        </w:tc>
        <w:tc>
          <w:tcPr>
            <w:tcW w:w="1750" w:type="pct"/>
            <w:tcBorders>
              <w:left w:val="single" w:sz="4" w:space="0" w:color="auto"/>
            </w:tcBorders>
            <w:vAlign w:val="center"/>
          </w:tcPr>
          <w:p w14:paraId="1B4117F9" w14:textId="16807C22" w:rsidR="00036D0C" w:rsidRPr="00036D0C" w:rsidRDefault="00CF4C23" w:rsidP="00115FC6">
            <w:pPr>
              <w:pStyle w:val="ExhibitText"/>
              <w:jc w:val="left"/>
              <w:rPr>
                <w:sz w:val="18"/>
                <w:szCs w:val="18"/>
              </w:rPr>
            </w:pPr>
            <w:r>
              <w:rPr>
                <w:sz w:val="18"/>
                <w:szCs w:val="18"/>
              </w:rPr>
              <w:t>C</w:t>
            </w:r>
            <w:r w:rsidR="00036D0C" w:rsidRPr="00036D0C">
              <w:rPr>
                <w:sz w:val="18"/>
                <w:szCs w:val="18"/>
              </w:rPr>
              <w:t>omputer</w:t>
            </w:r>
            <w:r>
              <w:rPr>
                <w:sz w:val="18"/>
                <w:szCs w:val="18"/>
              </w:rPr>
              <w:t xml:space="preserve"> repair</w:t>
            </w:r>
          </w:p>
        </w:tc>
        <w:tc>
          <w:tcPr>
            <w:tcW w:w="750" w:type="pct"/>
            <w:vAlign w:val="center"/>
          </w:tcPr>
          <w:p w14:paraId="2B415ABD" w14:textId="6662102C" w:rsidR="00036D0C" w:rsidRPr="00036D0C" w:rsidRDefault="00036D0C" w:rsidP="00115FC6">
            <w:pPr>
              <w:pStyle w:val="ExhibitText"/>
              <w:ind w:right="144"/>
              <w:jc w:val="right"/>
              <w:rPr>
                <w:sz w:val="18"/>
                <w:szCs w:val="18"/>
              </w:rPr>
            </w:pPr>
            <w:r w:rsidRPr="00036D0C">
              <w:rPr>
                <w:sz w:val="18"/>
                <w:szCs w:val="18"/>
              </w:rPr>
              <w:t>3,700</w:t>
            </w:r>
          </w:p>
        </w:tc>
      </w:tr>
      <w:tr w:rsidR="00036D0C" w:rsidRPr="00036D0C" w14:paraId="6AD82F26" w14:textId="77777777" w:rsidTr="00115FC6">
        <w:trPr>
          <w:trHeight w:val="259"/>
          <w:jc w:val="center"/>
        </w:trPr>
        <w:tc>
          <w:tcPr>
            <w:tcW w:w="1750" w:type="pct"/>
            <w:vAlign w:val="center"/>
          </w:tcPr>
          <w:p w14:paraId="17AAB27C" w14:textId="55476E47" w:rsidR="00036D0C" w:rsidRPr="00036D0C" w:rsidRDefault="00036D0C" w:rsidP="008062D5">
            <w:pPr>
              <w:pStyle w:val="ExhibitText"/>
              <w:jc w:val="left"/>
              <w:rPr>
                <w:sz w:val="18"/>
                <w:szCs w:val="18"/>
              </w:rPr>
            </w:pPr>
            <w:r w:rsidRPr="00036D0C">
              <w:rPr>
                <w:sz w:val="18"/>
                <w:szCs w:val="18"/>
              </w:rPr>
              <w:t>Interest earned on</w:t>
            </w:r>
            <w:r w:rsidR="008062D5">
              <w:rPr>
                <w:sz w:val="18"/>
                <w:szCs w:val="18"/>
              </w:rPr>
              <w:t xml:space="preserve"> savings bank</w:t>
            </w:r>
            <w:r w:rsidRPr="00036D0C">
              <w:rPr>
                <w:sz w:val="18"/>
                <w:szCs w:val="18"/>
              </w:rPr>
              <w:t xml:space="preserve"> account (MCAB)</w:t>
            </w:r>
          </w:p>
        </w:tc>
        <w:tc>
          <w:tcPr>
            <w:tcW w:w="750" w:type="pct"/>
            <w:tcBorders>
              <w:right w:val="single" w:sz="4" w:space="0" w:color="auto"/>
            </w:tcBorders>
            <w:vAlign w:val="center"/>
          </w:tcPr>
          <w:p w14:paraId="5535CD9B" w14:textId="4CEF003A" w:rsidR="00036D0C" w:rsidRPr="00036D0C" w:rsidRDefault="00036D0C" w:rsidP="00115FC6">
            <w:pPr>
              <w:pStyle w:val="ExhibitText"/>
              <w:ind w:right="144"/>
              <w:jc w:val="right"/>
              <w:rPr>
                <w:sz w:val="18"/>
                <w:szCs w:val="18"/>
              </w:rPr>
            </w:pPr>
            <w:r w:rsidRPr="00036D0C">
              <w:rPr>
                <w:sz w:val="18"/>
                <w:szCs w:val="18"/>
              </w:rPr>
              <w:t>3,966</w:t>
            </w:r>
          </w:p>
        </w:tc>
        <w:tc>
          <w:tcPr>
            <w:tcW w:w="1750" w:type="pct"/>
            <w:tcBorders>
              <w:left w:val="single" w:sz="4" w:space="0" w:color="auto"/>
            </w:tcBorders>
            <w:vAlign w:val="center"/>
          </w:tcPr>
          <w:p w14:paraId="5BFB54CE" w14:textId="40B40522" w:rsidR="00036D0C" w:rsidRPr="00036D0C" w:rsidRDefault="00036D0C" w:rsidP="00115FC6">
            <w:pPr>
              <w:pStyle w:val="ExhibitText"/>
              <w:jc w:val="left"/>
              <w:rPr>
                <w:sz w:val="18"/>
                <w:szCs w:val="18"/>
              </w:rPr>
            </w:pPr>
            <w:r w:rsidRPr="00036D0C">
              <w:rPr>
                <w:sz w:val="18"/>
                <w:szCs w:val="18"/>
              </w:rPr>
              <w:t>Electricity bill</w:t>
            </w:r>
          </w:p>
        </w:tc>
        <w:tc>
          <w:tcPr>
            <w:tcW w:w="750" w:type="pct"/>
            <w:vAlign w:val="center"/>
          </w:tcPr>
          <w:p w14:paraId="53F14E35" w14:textId="5B136317" w:rsidR="00036D0C" w:rsidRPr="00036D0C" w:rsidRDefault="00036D0C" w:rsidP="00115FC6">
            <w:pPr>
              <w:pStyle w:val="ExhibitText"/>
              <w:ind w:right="144"/>
              <w:jc w:val="right"/>
              <w:rPr>
                <w:sz w:val="18"/>
                <w:szCs w:val="18"/>
              </w:rPr>
            </w:pPr>
            <w:r w:rsidRPr="00036D0C">
              <w:rPr>
                <w:sz w:val="18"/>
                <w:szCs w:val="18"/>
              </w:rPr>
              <w:t>14,117</w:t>
            </w:r>
          </w:p>
        </w:tc>
      </w:tr>
      <w:tr w:rsidR="00036D0C" w:rsidRPr="00036D0C" w14:paraId="4B26CA8C" w14:textId="77777777" w:rsidTr="00115FC6">
        <w:trPr>
          <w:trHeight w:val="259"/>
          <w:jc w:val="center"/>
        </w:trPr>
        <w:tc>
          <w:tcPr>
            <w:tcW w:w="1750" w:type="pct"/>
            <w:vAlign w:val="center"/>
          </w:tcPr>
          <w:p w14:paraId="02057736" w14:textId="77777777" w:rsidR="00036D0C" w:rsidRPr="00036D0C" w:rsidRDefault="00036D0C" w:rsidP="00115FC6">
            <w:pPr>
              <w:pStyle w:val="ExhibitText"/>
              <w:jc w:val="left"/>
              <w:rPr>
                <w:sz w:val="18"/>
                <w:szCs w:val="18"/>
              </w:rPr>
            </w:pPr>
          </w:p>
        </w:tc>
        <w:tc>
          <w:tcPr>
            <w:tcW w:w="750" w:type="pct"/>
            <w:tcBorders>
              <w:right w:val="single" w:sz="4" w:space="0" w:color="auto"/>
            </w:tcBorders>
            <w:vAlign w:val="center"/>
          </w:tcPr>
          <w:p w14:paraId="64F07A26" w14:textId="77777777" w:rsidR="00036D0C" w:rsidRPr="00036D0C" w:rsidRDefault="00036D0C" w:rsidP="00115FC6">
            <w:pPr>
              <w:pStyle w:val="ExhibitText"/>
              <w:ind w:right="144"/>
              <w:jc w:val="right"/>
              <w:rPr>
                <w:sz w:val="18"/>
                <w:szCs w:val="18"/>
              </w:rPr>
            </w:pPr>
          </w:p>
        </w:tc>
        <w:tc>
          <w:tcPr>
            <w:tcW w:w="1750" w:type="pct"/>
            <w:tcBorders>
              <w:left w:val="single" w:sz="4" w:space="0" w:color="auto"/>
            </w:tcBorders>
            <w:vAlign w:val="center"/>
          </w:tcPr>
          <w:p w14:paraId="45D37990" w14:textId="0C1D8E80" w:rsidR="00036D0C" w:rsidRPr="00036D0C" w:rsidRDefault="00036D0C" w:rsidP="00115FC6">
            <w:pPr>
              <w:pStyle w:val="ExhibitText"/>
              <w:jc w:val="left"/>
              <w:rPr>
                <w:sz w:val="18"/>
                <w:szCs w:val="18"/>
              </w:rPr>
            </w:pPr>
            <w:r w:rsidRPr="00036D0C">
              <w:rPr>
                <w:sz w:val="18"/>
                <w:szCs w:val="18"/>
              </w:rPr>
              <w:t>Generator</w:t>
            </w:r>
          </w:p>
        </w:tc>
        <w:tc>
          <w:tcPr>
            <w:tcW w:w="750" w:type="pct"/>
            <w:vAlign w:val="center"/>
          </w:tcPr>
          <w:p w14:paraId="5CEB51D8" w14:textId="77777777" w:rsidR="00036D0C" w:rsidRPr="00036D0C" w:rsidRDefault="00036D0C" w:rsidP="00115FC6">
            <w:pPr>
              <w:pStyle w:val="ExhibitText"/>
              <w:ind w:right="144"/>
              <w:jc w:val="right"/>
              <w:rPr>
                <w:sz w:val="18"/>
                <w:szCs w:val="18"/>
              </w:rPr>
            </w:pPr>
            <w:r w:rsidRPr="00036D0C">
              <w:rPr>
                <w:sz w:val="18"/>
                <w:szCs w:val="18"/>
              </w:rPr>
              <w:t>14,250</w:t>
            </w:r>
          </w:p>
        </w:tc>
      </w:tr>
      <w:tr w:rsidR="00036D0C" w:rsidRPr="00036D0C" w14:paraId="616D39A8" w14:textId="77777777" w:rsidTr="00115FC6">
        <w:trPr>
          <w:trHeight w:val="259"/>
          <w:jc w:val="center"/>
        </w:trPr>
        <w:tc>
          <w:tcPr>
            <w:tcW w:w="1750" w:type="pct"/>
            <w:vAlign w:val="center"/>
          </w:tcPr>
          <w:p w14:paraId="6E110D78" w14:textId="77777777" w:rsidR="00036D0C" w:rsidRPr="00036D0C" w:rsidRDefault="00036D0C" w:rsidP="00115FC6">
            <w:pPr>
              <w:pStyle w:val="ExhibitText"/>
              <w:jc w:val="left"/>
              <w:rPr>
                <w:sz w:val="18"/>
                <w:szCs w:val="18"/>
              </w:rPr>
            </w:pPr>
          </w:p>
        </w:tc>
        <w:tc>
          <w:tcPr>
            <w:tcW w:w="750" w:type="pct"/>
            <w:tcBorders>
              <w:right w:val="single" w:sz="4" w:space="0" w:color="auto"/>
            </w:tcBorders>
            <w:vAlign w:val="center"/>
          </w:tcPr>
          <w:p w14:paraId="02B650FF" w14:textId="77777777" w:rsidR="00036D0C" w:rsidRPr="00036D0C" w:rsidRDefault="00036D0C" w:rsidP="00115FC6">
            <w:pPr>
              <w:pStyle w:val="ExhibitText"/>
              <w:ind w:right="144"/>
              <w:jc w:val="right"/>
              <w:rPr>
                <w:sz w:val="18"/>
                <w:szCs w:val="18"/>
              </w:rPr>
            </w:pPr>
          </w:p>
        </w:tc>
        <w:tc>
          <w:tcPr>
            <w:tcW w:w="1750" w:type="pct"/>
            <w:tcBorders>
              <w:left w:val="single" w:sz="4" w:space="0" w:color="auto"/>
            </w:tcBorders>
            <w:vAlign w:val="center"/>
          </w:tcPr>
          <w:p w14:paraId="598B3FA7" w14:textId="788ADFBD" w:rsidR="00036D0C" w:rsidRPr="00036D0C" w:rsidRDefault="00036D0C" w:rsidP="00115FC6">
            <w:pPr>
              <w:pStyle w:val="ExhibitText"/>
              <w:jc w:val="left"/>
              <w:rPr>
                <w:sz w:val="18"/>
                <w:szCs w:val="18"/>
              </w:rPr>
            </w:pPr>
            <w:r w:rsidRPr="00036D0C">
              <w:rPr>
                <w:sz w:val="18"/>
                <w:szCs w:val="18"/>
              </w:rPr>
              <w:t>Salary paid</w:t>
            </w:r>
          </w:p>
        </w:tc>
        <w:tc>
          <w:tcPr>
            <w:tcW w:w="750" w:type="pct"/>
            <w:vAlign w:val="center"/>
          </w:tcPr>
          <w:p w14:paraId="4E15BEC9" w14:textId="7058D56F" w:rsidR="00036D0C" w:rsidRPr="00036D0C" w:rsidRDefault="00036D0C" w:rsidP="00115FC6">
            <w:pPr>
              <w:pStyle w:val="ExhibitText"/>
              <w:ind w:right="144"/>
              <w:jc w:val="right"/>
              <w:rPr>
                <w:sz w:val="18"/>
                <w:szCs w:val="18"/>
              </w:rPr>
            </w:pPr>
            <w:r w:rsidRPr="00036D0C">
              <w:rPr>
                <w:sz w:val="18"/>
                <w:szCs w:val="18"/>
              </w:rPr>
              <w:t>140,000</w:t>
            </w:r>
          </w:p>
        </w:tc>
      </w:tr>
      <w:tr w:rsidR="00036D0C" w:rsidRPr="00036D0C" w14:paraId="36D78513" w14:textId="77777777" w:rsidTr="00115FC6">
        <w:trPr>
          <w:trHeight w:val="259"/>
          <w:jc w:val="center"/>
        </w:trPr>
        <w:tc>
          <w:tcPr>
            <w:tcW w:w="1750" w:type="pct"/>
            <w:vAlign w:val="center"/>
          </w:tcPr>
          <w:p w14:paraId="443A8164" w14:textId="77777777" w:rsidR="00036D0C" w:rsidRPr="00036D0C" w:rsidRDefault="00036D0C" w:rsidP="00115FC6">
            <w:pPr>
              <w:pStyle w:val="ExhibitText"/>
              <w:jc w:val="left"/>
              <w:rPr>
                <w:sz w:val="18"/>
                <w:szCs w:val="18"/>
              </w:rPr>
            </w:pPr>
          </w:p>
        </w:tc>
        <w:tc>
          <w:tcPr>
            <w:tcW w:w="750" w:type="pct"/>
            <w:tcBorders>
              <w:right w:val="single" w:sz="4" w:space="0" w:color="auto"/>
            </w:tcBorders>
            <w:vAlign w:val="center"/>
          </w:tcPr>
          <w:p w14:paraId="7569FD3E" w14:textId="77777777" w:rsidR="00036D0C" w:rsidRPr="00036D0C" w:rsidRDefault="00036D0C" w:rsidP="00115FC6">
            <w:pPr>
              <w:pStyle w:val="ExhibitText"/>
              <w:ind w:right="144"/>
              <w:jc w:val="right"/>
              <w:rPr>
                <w:sz w:val="18"/>
                <w:szCs w:val="18"/>
              </w:rPr>
            </w:pPr>
          </w:p>
        </w:tc>
        <w:tc>
          <w:tcPr>
            <w:tcW w:w="1750" w:type="pct"/>
            <w:tcBorders>
              <w:left w:val="single" w:sz="4" w:space="0" w:color="auto"/>
            </w:tcBorders>
            <w:vAlign w:val="center"/>
          </w:tcPr>
          <w:p w14:paraId="4981E01A" w14:textId="274DF984" w:rsidR="00036D0C" w:rsidRPr="00036D0C" w:rsidRDefault="00036D0C" w:rsidP="00115FC6">
            <w:pPr>
              <w:pStyle w:val="ExhibitText"/>
              <w:jc w:val="left"/>
              <w:rPr>
                <w:sz w:val="18"/>
                <w:szCs w:val="18"/>
              </w:rPr>
            </w:pPr>
            <w:r w:rsidRPr="00036D0C">
              <w:rPr>
                <w:sz w:val="18"/>
                <w:szCs w:val="18"/>
              </w:rPr>
              <w:t>Muster roll</w:t>
            </w:r>
          </w:p>
        </w:tc>
        <w:tc>
          <w:tcPr>
            <w:tcW w:w="750" w:type="pct"/>
            <w:vAlign w:val="center"/>
          </w:tcPr>
          <w:p w14:paraId="167F171F" w14:textId="77777777" w:rsidR="00036D0C" w:rsidRPr="00036D0C" w:rsidRDefault="00036D0C" w:rsidP="00115FC6">
            <w:pPr>
              <w:pStyle w:val="ExhibitText"/>
              <w:ind w:right="144"/>
              <w:jc w:val="right"/>
              <w:rPr>
                <w:sz w:val="18"/>
                <w:szCs w:val="18"/>
              </w:rPr>
            </w:pPr>
            <w:r w:rsidRPr="00036D0C">
              <w:rPr>
                <w:sz w:val="18"/>
                <w:szCs w:val="18"/>
              </w:rPr>
              <w:t>28,850</w:t>
            </w:r>
          </w:p>
        </w:tc>
      </w:tr>
      <w:tr w:rsidR="00036D0C" w:rsidRPr="00036D0C" w14:paraId="09A35453" w14:textId="77777777" w:rsidTr="00115FC6">
        <w:trPr>
          <w:trHeight w:val="259"/>
          <w:jc w:val="center"/>
        </w:trPr>
        <w:tc>
          <w:tcPr>
            <w:tcW w:w="1750" w:type="pct"/>
            <w:vAlign w:val="center"/>
          </w:tcPr>
          <w:p w14:paraId="16F8379E" w14:textId="77777777" w:rsidR="00036D0C" w:rsidRPr="00036D0C" w:rsidRDefault="00036D0C" w:rsidP="00115FC6">
            <w:pPr>
              <w:pStyle w:val="ExhibitText"/>
              <w:jc w:val="left"/>
              <w:rPr>
                <w:sz w:val="18"/>
                <w:szCs w:val="18"/>
              </w:rPr>
            </w:pPr>
          </w:p>
        </w:tc>
        <w:tc>
          <w:tcPr>
            <w:tcW w:w="750" w:type="pct"/>
            <w:tcBorders>
              <w:right w:val="single" w:sz="4" w:space="0" w:color="auto"/>
            </w:tcBorders>
            <w:vAlign w:val="center"/>
          </w:tcPr>
          <w:p w14:paraId="7110BCD7" w14:textId="77777777" w:rsidR="00036D0C" w:rsidRPr="00036D0C" w:rsidRDefault="00036D0C" w:rsidP="00115FC6">
            <w:pPr>
              <w:pStyle w:val="ExhibitText"/>
              <w:ind w:right="144"/>
              <w:jc w:val="right"/>
              <w:rPr>
                <w:sz w:val="18"/>
                <w:szCs w:val="18"/>
              </w:rPr>
            </w:pPr>
          </w:p>
        </w:tc>
        <w:tc>
          <w:tcPr>
            <w:tcW w:w="1750" w:type="pct"/>
            <w:tcBorders>
              <w:left w:val="single" w:sz="4" w:space="0" w:color="auto"/>
            </w:tcBorders>
            <w:vAlign w:val="center"/>
          </w:tcPr>
          <w:p w14:paraId="2CBF958A" w14:textId="20FE9CFF" w:rsidR="00036D0C" w:rsidRPr="00036D0C" w:rsidRDefault="00CF4C23" w:rsidP="00CF4C23">
            <w:pPr>
              <w:pStyle w:val="ExhibitText"/>
              <w:jc w:val="left"/>
              <w:rPr>
                <w:sz w:val="18"/>
                <w:szCs w:val="18"/>
              </w:rPr>
            </w:pPr>
            <w:r>
              <w:rPr>
                <w:sz w:val="18"/>
                <w:szCs w:val="18"/>
              </w:rPr>
              <w:t>Value-added tax (VAT)</w:t>
            </w:r>
            <w:r w:rsidR="00036D0C" w:rsidRPr="00036D0C">
              <w:rPr>
                <w:sz w:val="18"/>
                <w:szCs w:val="18"/>
              </w:rPr>
              <w:t xml:space="preserve"> paid</w:t>
            </w:r>
          </w:p>
        </w:tc>
        <w:tc>
          <w:tcPr>
            <w:tcW w:w="750" w:type="pct"/>
            <w:vAlign w:val="center"/>
          </w:tcPr>
          <w:p w14:paraId="4CD8A4C7" w14:textId="77777777" w:rsidR="00036D0C" w:rsidRPr="00036D0C" w:rsidRDefault="00036D0C" w:rsidP="00115FC6">
            <w:pPr>
              <w:pStyle w:val="ExhibitText"/>
              <w:ind w:right="144"/>
              <w:jc w:val="right"/>
              <w:rPr>
                <w:sz w:val="18"/>
                <w:szCs w:val="18"/>
              </w:rPr>
            </w:pPr>
            <w:r w:rsidRPr="00036D0C">
              <w:rPr>
                <w:sz w:val="18"/>
                <w:szCs w:val="18"/>
              </w:rPr>
              <w:t>26,075</w:t>
            </w:r>
          </w:p>
        </w:tc>
      </w:tr>
      <w:tr w:rsidR="00036D0C" w:rsidRPr="00036D0C" w14:paraId="75B6CA9C" w14:textId="77777777" w:rsidTr="00115FC6">
        <w:trPr>
          <w:trHeight w:val="259"/>
          <w:jc w:val="center"/>
        </w:trPr>
        <w:tc>
          <w:tcPr>
            <w:tcW w:w="1750" w:type="pct"/>
            <w:vAlign w:val="center"/>
          </w:tcPr>
          <w:p w14:paraId="30710E8E" w14:textId="77777777" w:rsidR="00036D0C" w:rsidRPr="00036D0C" w:rsidRDefault="00036D0C" w:rsidP="00115FC6">
            <w:pPr>
              <w:pStyle w:val="ExhibitText"/>
              <w:jc w:val="left"/>
              <w:rPr>
                <w:sz w:val="18"/>
                <w:szCs w:val="18"/>
              </w:rPr>
            </w:pPr>
          </w:p>
        </w:tc>
        <w:tc>
          <w:tcPr>
            <w:tcW w:w="750" w:type="pct"/>
            <w:tcBorders>
              <w:right w:val="single" w:sz="4" w:space="0" w:color="auto"/>
            </w:tcBorders>
            <w:vAlign w:val="center"/>
          </w:tcPr>
          <w:p w14:paraId="1244C4CC" w14:textId="77777777" w:rsidR="00036D0C" w:rsidRPr="00036D0C" w:rsidRDefault="00036D0C" w:rsidP="00115FC6">
            <w:pPr>
              <w:pStyle w:val="ExhibitText"/>
              <w:ind w:right="144"/>
              <w:jc w:val="right"/>
              <w:rPr>
                <w:sz w:val="18"/>
                <w:szCs w:val="18"/>
              </w:rPr>
            </w:pPr>
          </w:p>
        </w:tc>
        <w:tc>
          <w:tcPr>
            <w:tcW w:w="1750" w:type="pct"/>
            <w:tcBorders>
              <w:left w:val="single" w:sz="4" w:space="0" w:color="auto"/>
            </w:tcBorders>
            <w:vAlign w:val="center"/>
          </w:tcPr>
          <w:p w14:paraId="7F18CFE9" w14:textId="2A296CEF" w:rsidR="00036D0C" w:rsidRPr="00036D0C" w:rsidRDefault="00036D0C" w:rsidP="00115FC6">
            <w:pPr>
              <w:pStyle w:val="ExhibitText"/>
              <w:jc w:val="left"/>
              <w:rPr>
                <w:sz w:val="18"/>
                <w:szCs w:val="18"/>
              </w:rPr>
            </w:pPr>
            <w:r w:rsidRPr="00036D0C">
              <w:rPr>
                <w:sz w:val="18"/>
                <w:szCs w:val="18"/>
              </w:rPr>
              <w:t>Travel</w:t>
            </w:r>
          </w:p>
        </w:tc>
        <w:tc>
          <w:tcPr>
            <w:tcW w:w="750" w:type="pct"/>
            <w:vAlign w:val="center"/>
          </w:tcPr>
          <w:p w14:paraId="75ED0D23" w14:textId="77777777" w:rsidR="00036D0C" w:rsidRPr="00036D0C" w:rsidRDefault="00036D0C" w:rsidP="00115FC6">
            <w:pPr>
              <w:pStyle w:val="ExhibitText"/>
              <w:ind w:right="144"/>
              <w:jc w:val="right"/>
              <w:rPr>
                <w:sz w:val="18"/>
                <w:szCs w:val="18"/>
              </w:rPr>
            </w:pPr>
            <w:r w:rsidRPr="00036D0C">
              <w:rPr>
                <w:sz w:val="18"/>
                <w:szCs w:val="18"/>
              </w:rPr>
              <w:t>10,980</w:t>
            </w:r>
          </w:p>
        </w:tc>
      </w:tr>
      <w:tr w:rsidR="00036D0C" w:rsidRPr="00036D0C" w14:paraId="6AAFC410" w14:textId="77777777" w:rsidTr="00115FC6">
        <w:trPr>
          <w:trHeight w:val="259"/>
          <w:jc w:val="center"/>
        </w:trPr>
        <w:tc>
          <w:tcPr>
            <w:tcW w:w="1750" w:type="pct"/>
            <w:vAlign w:val="center"/>
          </w:tcPr>
          <w:p w14:paraId="7A047C72" w14:textId="77777777" w:rsidR="00036D0C" w:rsidRPr="00036D0C" w:rsidRDefault="00036D0C" w:rsidP="00115FC6">
            <w:pPr>
              <w:pStyle w:val="ExhibitText"/>
              <w:jc w:val="left"/>
              <w:rPr>
                <w:sz w:val="18"/>
                <w:szCs w:val="18"/>
              </w:rPr>
            </w:pPr>
          </w:p>
        </w:tc>
        <w:tc>
          <w:tcPr>
            <w:tcW w:w="750" w:type="pct"/>
            <w:tcBorders>
              <w:right w:val="single" w:sz="4" w:space="0" w:color="auto"/>
            </w:tcBorders>
            <w:vAlign w:val="center"/>
          </w:tcPr>
          <w:p w14:paraId="42BC33C5" w14:textId="77777777" w:rsidR="00036D0C" w:rsidRPr="00036D0C" w:rsidRDefault="00036D0C" w:rsidP="00115FC6">
            <w:pPr>
              <w:pStyle w:val="ExhibitText"/>
              <w:ind w:right="144"/>
              <w:jc w:val="right"/>
              <w:rPr>
                <w:sz w:val="18"/>
                <w:szCs w:val="18"/>
              </w:rPr>
            </w:pPr>
          </w:p>
        </w:tc>
        <w:tc>
          <w:tcPr>
            <w:tcW w:w="1750" w:type="pct"/>
            <w:tcBorders>
              <w:left w:val="single" w:sz="4" w:space="0" w:color="auto"/>
            </w:tcBorders>
            <w:vAlign w:val="center"/>
          </w:tcPr>
          <w:p w14:paraId="72128B4A" w14:textId="733E93E2" w:rsidR="00036D0C" w:rsidRPr="00036D0C" w:rsidRDefault="00036D0C" w:rsidP="00115FC6">
            <w:pPr>
              <w:pStyle w:val="ExhibitText"/>
              <w:jc w:val="left"/>
              <w:rPr>
                <w:sz w:val="18"/>
                <w:szCs w:val="18"/>
              </w:rPr>
            </w:pPr>
            <w:r w:rsidRPr="00036D0C">
              <w:rPr>
                <w:sz w:val="18"/>
                <w:szCs w:val="18"/>
              </w:rPr>
              <w:t>Internet</w:t>
            </w:r>
          </w:p>
        </w:tc>
        <w:tc>
          <w:tcPr>
            <w:tcW w:w="750" w:type="pct"/>
            <w:vAlign w:val="center"/>
          </w:tcPr>
          <w:p w14:paraId="4C769869" w14:textId="77777777" w:rsidR="00036D0C" w:rsidRPr="00036D0C" w:rsidRDefault="00036D0C" w:rsidP="00115FC6">
            <w:pPr>
              <w:pStyle w:val="ExhibitText"/>
              <w:ind w:right="144"/>
              <w:jc w:val="right"/>
              <w:rPr>
                <w:sz w:val="18"/>
                <w:szCs w:val="18"/>
              </w:rPr>
            </w:pPr>
            <w:r w:rsidRPr="00036D0C">
              <w:rPr>
                <w:sz w:val="18"/>
                <w:szCs w:val="18"/>
              </w:rPr>
              <w:t>14,475</w:t>
            </w:r>
          </w:p>
        </w:tc>
      </w:tr>
      <w:tr w:rsidR="00036D0C" w:rsidRPr="00036D0C" w14:paraId="1AD63529" w14:textId="77777777" w:rsidTr="00115FC6">
        <w:trPr>
          <w:trHeight w:val="259"/>
          <w:jc w:val="center"/>
        </w:trPr>
        <w:tc>
          <w:tcPr>
            <w:tcW w:w="1750" w:type="pct"/>
            <w:vAlign w:val="center"/>
          </w:tcPr>
          <w:p w14:paraId="0E2771CD" w14:textId="77777777" w:rsidR="00036D0C" w:rsidRPr="00036D0C" w:rsidRDefault="00036D0C" w:rsidP="00115FC6">
            <w:pPr>
              <w:pStyle w:val="ExhibitText"/>
              <w:jc w:val="left"/>
              <w:rPr>
                <w:sz w:val="18"/>
                <w:szCs w:val="18"/>
              </w:rPr>
            </w:pPr>
          </w:p>
        </w:tc>
        <w:tc>
          <w:tcPr>
            <w:tcW w:w="750" w:type="pct"/>
            <w:tcBorders>
              <w:right w:val="single" w:sz="4" w:space="0" w:color="auto"/>
            </w:tcBorders>
            <w:vAlign w:val="center"/>
          </w:tcPr>
          <w:p w14:paraId="29A9A293" w14:textId="77777777" w:rsidR="00036D0C" w:rsidRPr="00036D0C" w:rsidRDefault="00036D0C" w:rsidP="00115FC6">
            <w:pPr>
              <w:pStyle w:val="ExhibitText"/>
              <w:ind w:right="144"/>
              <w:jc w:val="right"/>
              <w:rPr>
                <w:sz w:val="18"/>
                <w:szCs w:val="18"/>
              </w:rPr>
            </w:pPr>
          </w:p>
        </w:tc>
        <w:tc>
          <w:tcPr>
            <w:tcW w:w="1750" w:type="pct"/>
            <w:tcBorders>
              <w:left w:val="single" w:sz="4" w:space="0" w:color="auto"/>
            </w:tcBorders>
            <w:vAlign w:val="center"/>
          </w:tcPr>
          <w:p w14:paraId="7A6D74EB" w14:textId="54FB332F" w:rsidR="00036D0C" w:rsidRPr="00036D0C" w:rsidRDefault="00CF4C23" w:rsidP="00CF4C23">
            <w:pPr>
              <w:pStyle w:val="ExhibitText"/>
              <w:jc w:val="left"/>
              <w:rPr>
                <w:sz w:val="18"/>
                <w:szCs w:val="18"/>
              </w:rPr>
            </w:pPr>
            <w:r>
              <w:rPr>
                <w:sz w:val="18"/>
                <w:szCs w:val="18"/>
              </w:rPr>
              <w:t>M</w:t>
            </w:r>
            <w:r w:rsidR="00036D0C" w:rsidRPr="00036D0C">
              <w:rPr>
                <w:sz w:val="18"/>
                <w:szCs w:val="18"/>
              </w:rPr>
              <w:t>achinery</w:t>
            </w:r>
            <w:r>
              <w:rPr>
                <w:sz w:val="18"/>
                <w:szCs w:val="18"/>
              </w:rPr>
              <w:t xml:space="preserve"> repair</w:t>
            </w:r>
          </w:p>
        </w:tc>
        <w:tc>
          <w:tcPr>
            <w:tcW w:w="750" w:type="pct"/>
            <w:vAlign w:val="center"/>
          </w:tcPr>
          <w:p w14:paraId="542B5248" w14:textId="77777777" w:rsidR="00036D0C" w:rsidRPr="00036D0C" w:rsidRDefault="00036D0C" w:rsidP="00115FC6">
            <w:pPr>
              <w:pStyle w:val="ExhibitText"/>
              <w:ind w:right="144"/>
              <w:jc w:val="right"/>
              <w:rPr>
                <w:sz w:val="18"/>
                <w:szCs w:val="18"/>
              </w:rPr>
            </w:pPr>
            <w:r w:rsidRPr="00036D0C">
              <w:rPr>
                <w:sz w:val="18"/>
                <w:szCs w:val="18"/>
              </w:rPr>
              <w:t>18,500</w:t>
            </w:r>
          </w:p>
        </w:tc>
      </w:tr>
      <w:tr w:rsidR="00036D0C" w:rsidRPr="00036D0C" w14:paraId="2F268ECC" w14:textId="77777777" w:rsidTr="00115FC6">
        <w:trPr>
          <w:trHeight w:val="259"/>
          <w:jc w:val="center"/>
        </w:trPr>
        <w:tc>
          <w:tcPr>
            <w:tcW w:w="1750" w:type="pct"/>
            <w:vAlign w:val="center"/>
          </w:tcPr>
          <w:p w14:paraId="798DCDCB" w14:textId="77777777" w:rsidR="00036D0C" w:rsidRPr="00036D0C" w:rsidRDefault="00036D0C" w:rsidP="00115FC6">
            <w:pPr>
              <w:pStyle w:val="ExhibitText"/>
              <w:jc w:val="left"/>
              <w:rPr>
                <w:sz w:val="18"/>
                <w:szCs w:val="18"/>
              </w:rPr>
            </w:pPr>
          </w:p>
        </w:tc>
        <w:tc>
          <w:tcPr>
            <w:tcW w:w="750" w:type="pct"/>
            <w:tcBorders>
              <w:right w:val="single" w:sz="4" w:space="0" w:color="auto"/>
            </w:tcBorders>
            <w:vAlign w:val="center"/>
          </w:tcPr>
          <w:p w14:paraId="70F2B93C" w14:textId="77777777" w:rsidR="00036D0C" w:rsidRPr="00036D0C" w:rsidRDefault="00036D0C" w:rsidP="00115FC6">
            <w:pPr>
              <w:pStyle w:val="ExhibitText"/>
              <w:ind w:right="144"/>
              <w:jc w:val="right"/>
              <w:rPr>
                <w:sz w:val="18"/>
                <w:szCs w:val="18"/>
              </w:rPr>
            </w:pPr>
          </w:p>
        </w:tc>
        <w:tc>
          <w:tcPr>
            <w:tcW w:w="1750" w:type="pct"/>
            <w:tcBorders>
              <w:left w:val="single" w:sz="4" w:space="0" w:color="auto"/>
            </w:tcBorders>
            <w:vAlign w:val="center"/>
          </w:tcPr>
          <w:p w14:paraId="002E995C" w14:textId="6BCEA091" w:rsidR="00036D0C" w:rsidRPr="00036D0C" w:rsidRDefault="00036D0C" w:rsidP="00115FC6">
            <w:pPr>
              <w:pStyle w:val="ExhibitText"/>
              <w:jc w:val="left"/>
              <w:rPr>
                <w:sz w:val="18"/>
                <w:szCs w:val="18"/>
              </w:rPr>
            </w:pPr>
            <w:r w:rsidRPr="00036D0C">
              <w:rPr>
                <w:sz w:val="18"/>
                <w:szCs w:val="18"/>
              </w:rPr>
              <w:t>Electrical</w:t>
            </w:r>
          </w:p>
        </w:tc>
        <w:tc>
          <w:tcPr>
            <w:tcW w:w="750" w:type="pct"/>
            <w:vAlign w:val="center"/>
          </w:tcPr>
          <w:p w14:paraId="16BE0B28" w14:textId="77777777" w:rsidR="00036D0C" w:rsidRPr="00036D0C" w:rsidRDefault="00036D0C" w:rsidP="00115FC6">
            <w:pPr>
              <w:pStyle w:val="ExhibitText"/>
              <w:ind w:right="144"/>
              <w:jc w:val="right"/>
              <w:rPr>
                <w:sz w:val="18"/>
                <w:szCs w:val="18"/>
              </w:rPr>
            </w:pPr>
            <w:r w:rsidRPr="00036D0C">
              <w:rPr>
                <w:sz w:val="18"/>
                <w:szCs w:val="18"/>
              </w:rPr>
              <w:t>480</w:t>
            </w:r>
          </w:p>
        </w:tc>
      </w:tr>
      <w:tr w:rsidR="00036D0C" w:rsidRPr="00036D0C" w14:paraId="1B1C2BD9" w14:textId="77777777" w:rsidTr="00115FC6">
        <w:trPr>
          <w:trHeight w:val="259"/>
          <w:jc w:val="center"/>
        </w:trPr>
        <w:tc>
          <w:tcPr>
            <w:tcW w:w="1750" w:type="pct"/>
            <w:vAlign w:val="center"/>
          </w:tcPr>
          <w:p w14:paraId="013FDC2B" w14:textId="77777777" w:rsidR="00036D0C" w:rsidRPr="00036D0C" w:rsidRDefault="00036D0C" w:rsidP="00115FC6">
            <w:pPr>
              <w:pStyle w:val="ExhibitText"/>
              <w:jc w:val="left"/>
              <w:rPr>
                <w:sz w:val="18"/>
                <w:szCs w:val="18"/>
              </w:rPr>
            </w:pPr>
          </w:p>
        </w:tc>
        <w:tc>
          <w:tcPr>
            <w:tcW w:w="750" w:type="pct"/>
            <w:tcBorders>
              <w:right w:val="single" w:sz="4" w:space="0" w:color="auto"/>
            </w:tcBorders>
            <w:vAlign w:val="center"/>
          </w:tcPr>
          <w:p w14:paraId="197F8B72" w14:textId="77777777" w:rsidR="00036D0C" w:rsidRPr="00036D0C" w:rsidRDefault="00036D0C" w:rsidP="00115FC6">
            <w:pPr>
              <w:pStyle w:val="ExhibitText"/>
              <w:ind w:right="144"/>
              <w:jc w:val="right"/>
              <w:rPr>
                <w:sz w:val="18"/>
                <w:szCs w:val="18"/>
              </w:rPr>
            </w:pPr>
          </w:p>
        </w:tc>
        <w:tc>
          <w:tcPr>
            <w:tcW w:w="1750" w:type="pct"/>
            <w:tcBorders>
              <w:left w:val="single" w:sz="4" w:space="0" w:color="auto"/>
            </w:tcBorders>
            <w:vAlign w:val="center"/>
          </w:tcPr>
          <w:p w14:paraId="591A22C7" w14:textId="2AB915A1" w:rsidR="00036D0C" w:rsidRPr="00036D0C" w:rsidRDefault="00036D0C" w:rsidP="00115FC6">
            <w:pPr>
              <w:pStyle w:val="ExhibitText"/>
              <w:jc w:val="left"/>
              <w:rPr>
                <w:sz w:val="18"/>
                <w:szCs w:val="18"/>
              </w:rPr>
            </w:pPr>
            <w:r w:rsidRPr="00036D0C">
              <w:rPr>
                <w:sz w:val="18"/>
                <w:szCs w:val="18"/>
              </w:rPr>
              <w:t>Commission paid</w:t>
            </w:r>
          </w:p>
        </w:tc>
        <w:tc>
          <w:tcPr>
            <w:tcW w:w="750" w:type="pct"/>
            <w:vAlign w:val="center"/>
          </w:tcPr>
          <w:p w14:paraId="5AB50C20" w14:textId="77777777" w:rsidR="00036D0C" w:rsidRPr="00036D0C" w:rsidRDefault="00036D0C" w:rsidP="00115FC6">
            <w:pPr>
              <w:pStyle w:val="ExhibitText"/>
              <w:ind w:right="144"/>
              <w:jc w:val="right"/>
              <w:rPr>
                <w:sz w:val="18"/>
                <w:szCs w:val="18"/>
              </w:rPr>
            </w:pPr>
            <w:r w:rsidRPr="00036D0C">
              <w:rPr>
                <w:sz w:val="18"/>
                <w:szCs w:val="18"/>
              </w:rPr>
              <w:t>456</w:t>
            </w:r>
          </w:p>
        </w:tc>
      </w:tr>
      <w:tr w:rsidR="00036D0C" w:rsidRPr="00036D0C" w14:paraId="27F56B72" w14:textId="77777777" w:rsidTr="00115FC6">
        <w:trPr>
          <w:trHeight w:val="259"/>
          <w:jc w:val="center"/>
        </w:trPr>
        <w:tc>
          <w:tcPr>
            <w:tcW w:w="1750" w:type="pct"/>
            <w:vAlign w:val="center"/>
          </w:tcPr>
          <w:p w14:paraId="0A807B60" w14:textId="77777777" w:rsidR="00036D0C" w:rsidRPr="00036D0C" w:rsidRDefault="00036D0C" w:rsidP="00115FC6">
            <w:pPr>
              <w:pStyle w:val="ExhibitText"/>
              <w:jc w:val="left"/>
              <w:rPr>
                <w:sz w:val="18"/>
                <w:szCs w:val="18"/>
              </w:rPr>
            </w:pPr>
          </w:p>
        </w:tc>
        <w:tc>
          <w:tcPr>
            <w:tcW w:w="750" w:type="pct"/>
            <w:tcBorders>
              <w:right w:val="single" w:sz="4" w:space="0" w:color="auto"/>
            </w:tcBorders>
            <w:vAlign w:val="center"/>
          </w:tcPr>
          <w:p w14:paraId="460ED502" w14:textId="77777777" w:rsidR="00036D0C" w:rsidRPr="00036D0C" w:rsidRDefault="00036D0C" w:rsidP="00115FC6">
            <w:pPr>
              <w:pStyle w:val="ExhibitText"/>
              <w:ind w:right="144"/>
              <w:jc w:val="right"/>
              <w:rPr>
                <w:sz w:val="18"/>
                <w:szCs w:val="18"/>
              </w:rPr>
            </w:pPr>
          </w:p>
        </w:tc>
        <w:tc>
          <w:tcPr>
            <w:tcW w:w="1750" w:type="pct"/>
            <w:tcBorders>
              <w:left w:val="single" w:sz="4" w:space="0" w:color="auto"/>
            </w:tcBorders>
            <w:vAlign w:val="center"/>
          </w:tcPr>
          <w:p w14:paraId="5DEE9E20" w14:textId="4D15529B" w:rsidR="00036D0C" w:rsidRPr="00036D0C" w:rsidRDefault="00036D0C" w:rsidP="00115FC6">
            <w:pPr>
              <w:pStyle w:val="ExhibitText"/>
              <w:jc w:val="left"/>
              <w:rPr>
                <w:sz w:val="18"/>
                <w:szCs w:val="18"/>
              </w:rPr>
            </w:pPr>
            <w:r w:rsidRPr="00036D0C">
              <w:rPr>
                <w:sz w:val="18"/>
                <w:szCs w:val="18"/>
              </w:rPr>
              <w:t>Purchase of packaging material</w:t>
            </w:r>
          </w:p>
        </w:tc>
        <w:tc>
          <w:tcPr>
            <w:tcW w:w="750" w:type="pct"/>
            <w:vAlign w:val="center"/>
          </w:tcPr>
          <w:p w14:paraId="26350D6A" w14:textId="350BD8A5" w:rsidR="00036D0C" w:rsidRPr="00036D0C" w:rsidRDefault="00036D0C" w:rsidP="00115FC6">
            <w:pPr>
              <w:pStyle w:val="ExhibitText"/>
              <w:ind w:right="144"/>
              <w:jc w:val="right"/>
              <w:rPr>
                <w:sz w:val="18"/>
                <w:szCs w:val="18"/>
              </w:rPr>
            </w:pPr>
            <w:r w:rsidRPr="00036D0C">
              <w:rPr>
                <w:sz w:val="18"/>
                <w:szCs w:val="18"/>
              </w:rPr>
              <w:t>8,860</w:t>
            </w:r>
          </w:p>
        </w:tc>
      </w:tr>
      <w:tr w:rsidR="00036D0C" w:rsidRPr="00036D0C" w14:paraId="7586A2CC" w14:textId="77777777" w:rsidTr="00115FC6">
        <w:trPr>
          <w:trHeight w:val="259"/>
          <w:jc w:val="center"/>
        </w:trPr>
        <w:tc>
          <w:tcPr>
            <w:tcW w:w="1750" w:type="pct"/>
            <w:vAlign w:val="center"/>
          </w:tcPr>
          <w:p w14:paraId="573F96CD" w14:textId="77777777" w:rsidR="00036D0C" w:rsidRPr="00036D0C" w:rsidRDefault="00036D0C" w:rsidP="00115FC6">
            <w:pPr>
              <w:pStyle w:val="ExhibitText"/>
              <w:jc w:val="left"/>
              <w:rPr>
                <w:sz w:val="18"/>
                <w:szCs w:val="18"/>
              </w:rPr>
            </w:pPr>
          </w:p>
        </w:tc>
        <w:tc>
          <w:tcPr>
            <w:tcW w:w="750" w:type="pct"/>
            <w:tcBorders>
              <w:right w:val="single" w:sz="4" w:space="0" w:color="auto"/>
            </w:tcBorders>
            <w:vAlign w:val="center"/>
          </w:tcPr>
          <w:p w14:paraId="404E900D" w14:textId="77777777" w:rsidR="00036D0C" w:rsidRPr="00036D0C" w:rsidRDefault="00036D0C" w:rsidP="00115FC6">
            <w:pPr>
              <w:pStyle w:val="ExhibitText"/>
              <w:ind w:right="144"/>
              <w:jc w:val="right"/>
              <w:rPr>
                <w:sz w:val="18"/>
                <w:szCs w:val="18"/>
              </w:rPr>
            </w:pPr>
          </w:p>
        </w:tc>
        <w:tc>
          <w:tcPr>
            <w:tcW w:w="1750" w:type="pct"/>
            <w:tcBorders>
              <w:left w:val="single" w:sz="4" w:space="0" w:color="auto"/>
            </w:tcBorders>
            <w:vAlign w:val="center"/>
          </w:tcPr>
          <w:p w14:paraId="49405AE2" w14:textId="420E7941" w:rsidR="00036D0C" w:rsidRPr="00036D0C" w:rsidRDefault="00036D0C" w:rsidP="00115FC6">
            <w:pPr>
              <w:pStyle w:val="ExhibitText"/>
              <w:jc w:val="left"/>
              <w:rPr>
                <w:sz w:val="18"/>
                <w:szCs w:val="18"/>
              </w:rPr>
            </w:pPr>
            <w:r w:rsidRPr="00036D0C">
              <w:rPr>
                <w:sz w:val="18"/>
                <w:szCs w:val="18"/>
              </w:rPr>
              <w:t xml:space="preserve">Refreshments </w:t>
            </w:r>
          </w:p>
        </w:tc>
        <w:tc>
          <w:tcPr>
            <w:tcW w:w="750" w:type="pct"/>
            <w:vAlign w:val="center"/>
          </w:tcPr>
          <w:p w14:paraId="44EB672B" w14:textId="77777777" w:rsidR="00036D0C" w:rsidRPr="00036D0C" w:rsidRDefault="00036D0C" w:rsidP="00115FC6">
            <w:pPr>
              <w:pStyle w:val="ExhibitText"/>
              <w:ind w:right="144"/>
              <w:jc w:val="right"/>
              <w:rPr>
                <w:sz w:val="18"/>
                <w:szCs w:val="18"/>
              </w:rPr>
            </w:pPr>
            <w:r w:rsidRPr="00036D0C">
              <w:rPr>
                <w:sz w:val="18"/>
                <w:szCs w:val="18"/>
              </w:rPr>
              <w:t>910</w:t>
            </w:r>
          </w:p>
        </w:tc>
      </w:tr>
      <w:tr w:rsidR="00036D0C" w:rsidRPr="00036D0C" w14:paraId="43B1385A" w14:textId="77777777" w:rsidTr="00115FC6">
        <w:trPr>
          <w:trHeight w:val="259"/>
          <w:jc w:val="center"/>
        </w:trPr>
        <w:tc>
          <w:tcPr>
            <w:tcW w:w="1750" w:type="pct"/>
            <w:vAlign w:val="center"/>
          </w:tcPr>
          <w:p w14:paraId="521AB281" w14:textId="77777777" w:rsidR="00036D0C" w:rsidRPr="00036D0C" w:rsidRDefault="00036D0C" w:rsidP="00115FC6">
            <w:pPr>
              <w:pStyle w:val="ExhibitText"/>
              <w:jc w:val="left"/>
              <w:rPr>
                <w:sz w:val="18"/>
                <w:szCs w:val="18"/>
              </w:rPr>
            </w:pPr>
          </w:p>
        </w:tc>
        <w:tc>
          <w:tcPr>
            <w:tcW w:w="750" w:type="pct"/>
            <w:tcBorders>
              <w:right w:val="single" w:sz="4" w:space="0" w:color="auto"/>
            </w:tcBorders>
            <w:vAlign w:val="center"/>
          </w:tcPr>
          <w:p w14:paraId="0CF252B5" w14:textId="77777777" w:rsidR="00036D0C" w:rsidRPr="00036D0C" w:rsidRDefault="00036D0C" w:rsidP="00115FC6">
            <w:pPr>
              <w:pStyle w:val="ExhibitText"/>
              <w:ind w:right="144"/>
              <w:jc w:val="right"/>
              <w:rPr>
                <w:sz w:val="18"/>
                <w:szCs w:val="18"/>
              </w:rPr>
            </w:pPr>
          </w:p>
        </w:tc>
        <w:tc>
          <w:tcPr>
            <w:tcW w:w="1750" w:type="pct"/>
            <w:tcBorders>
              <w:left w:val="single" w:sz="4" w:space="0" w:color="auto"/>
            </w:tcBorders>
            <w:vAlign w:val="center"/>
          </w:tcPr>
          <w:p w14:paraId="79196B23" w14:textId="20F9099B" w:rsidR="00036D0C" w:rsidRPr="00036D0C" w:rsidRDefault="00036D0C" w:rsidP="00115FC6">
            <w:pPr>
              <w:pStyle w:val="ExhibitText"/>
              <w:jc w:val="left"/>
              <w:rPr>
                <w:sz w:val="18"/>
                <w:szCs w:val="18"/>
              </w:rPr>
            </w:pPr>
            <w:r w:rsidRPr="00036D0C">
              <w:rPr>
                <w:sz w:val="18"/>
                <w:szCs w:val="18"/>
              </w:rPr>
              <w:t>Diesel for generator</w:t>
            </w:r>
          </w:p>
        </w:tc>
        <w:tc>
          <w:tcPr>
            <w:tcW w:w="750" w:type="pct"/>
            <w:vAlign w:val="center"/>
          </w:tcPr>
          <w:p w14:paraId="5F301EE4" w14:textId="2282EF29" w:rsidR="00036D0C" w:rsidRPr="00036D0C" w:rsidRDefault="00036D0C" w:rsidP="00115FC6">
            <w:pPr>
              <w:pStyle w:val="ExhibitText"/>
              <w:ind w:right="144"/>
              <w:jc w:val="right"/>
              <w:rPr>
                <w:sz w:val="18"/>
                <w:szCs w:val="18"/>
              </w:rPr>
            </w:pPr>
            <w:r w:rsidRPr="00036D0C">
              <w:rPr>
                <w:sz w:val="18"/>
                <w:szCs w:val="18"/>
              </w:rPr>
              <w:t>1,300</w:t>
            </w:r>
          </w:p>
        </w:tc>
      </w:tr>
      <w:tr w:rsidR="00036D0C" w:rsidRPr="00036D0C" w14:paraId="7B93EA5B" w14:textId="77777777" w:rsidTr="00115FC6">
        <w:trPr>
          <w:trHeight w:val="259"/>
          <w:jc w:val="center"/>
        </w:trPr>
        <w:tc>
          <w:tcPr>
            <w:tcW w:w="1750" w:type="pct"/>
            <w:vAlign w:val="center"/>
          </w:tcPr>
          <w:p w14:paraId="387C3282" w14:textId="77777777" w:rsidR="00036D0C" w:rsidRPr="00036D0C" w:rsidRDefault="00036D0C" w:rsidP="00115FC6">
            <w:pPr>
              <w:pStyle w:val="ExhibitText"/>
              <w:jc w:val="left"/>
              <w:rPr>
                <w:sz w:val="18"/>
                <w:szCs w:val="18"/>
              </w:rPr>
            </w:pPr>
          </w:p>
        </w:tc>
        <w:tc>
          <w:tcPr>
            <w:tcW w:w="750" w:type="pct"/>
            <w:tcBorders>
              <w:right w:val="single" w:sz="4" w:space="0" w:color="auto"/>
            </w:tcBorders>
            <w:vAlign w:val="center"/>
          </w:tcPr>
          <w:p w14:paraId="21A0071D" w14:textId="77777777" w:rsidR="00036D0C" w:rsidRPr="00036D0C" w:rsidRDefault="00036D0C" w:rsidP="00115FC6">
            <w:pPr>
              <w:pStyle w:val="ExhibitText"/>
              <w:ind w:right="144"/>
              <w:jc w:val="right"/>
              <w:rPr>
                <w:sz w:val="18"/>
                <w:szCs w:val="18"/>
              </w:rPr>
            </w:pPr>
          </w:p>
        </w:tc>
        <w:tc>
          <w:tcPr>
            <w:tcW w:w="1750" w:type="pct"/>
            <w:tcBorders>
              <w:left w:val="single" w:sz="4" w:space="0" w:color="auto"/>
            </w:tcBorders>
            <w:vAlign w:val="center"/>
          </w:tcPr>
          <w:p w14:paraId="1EF9A634" w14:textId="475BA399" w:rsidR="00036D0C" w:rsidRPr="00036D0C" w:rsidRDefault="00036D0C" w:rsidP="00115FC6">
            <w:pPr>
              <w:pStyle w:val="ExhibitText"/>
              <w:jc w:val="left"/>
              <w:rPr>
                <w:sz w:val="18"/>
                <w:szCs w:val="18"/>
              </w:rPr>
            </w:pPr>
            <w:r w:rsidRPr="00036D0C">
              <w:rPr>
                <w:sz w:val="18"/>
                <w:szCs w:val="18"/>
              </w:rPr>
              <w:t>Carrier expenses</w:t>
            </w:r>
          </w:p>
        </w:tc>
        <w:tc>
          <w:tcPr>
            <w:tcW w:w="750" w:type="pct"/>
            <w:vAlign w:val="center"/>
          </w:tcPr>
          <w:p w14:paraId="6A69EEAF" w14:textId="141DBABC" w:rsidR="00036D0C" w:rsidRPr="00036D0C" w:rsidRDefault="00036D0C" w:rsidP="00115FC6">
            <w:pPr>
              <w:pStyle w:val="ExhibitText"/>
              <w:ind w:right="144"/>
              <w:jc w:val="right"/>
              <w:rPr>
                <w:sz w:val="18"/>
                <w:szCs w:val="18"/>
              </w:rPr>
            </w:pPr>
            <w:r w:rsidRPr="00036D0C">
              <w:rPr>
                <w:sz w:val="18"/>
                <w:szCs w:val="18"/>
              </w:rPr>
              <w:t>7,570</w:t>
            </w:r>
          </w:p>
        </w:tc>
      </w:tr>
      <w:tr w:rsidR="00036D0C" w:rsidRPr="00036D0C" w14:paraId="7532D0A1" w14:textId="77777777" w:rsidTr="00115FC6">
        <w:trPr>
          <w:trHeight w:val="259"/>
          <w:jc w:val="center"/>
        </w:trPr>
        <w:tc>
          <w:tcPr>
            <w:tcW w:w="1750" w:type="pct"/>
            <w:vAlign w:val="center"/>
          </w:tcPr>
          <w:p w14:paraId="1C383113" w14:textId="77777777" w:rsidR="00036D0C" w:rsidRPr="00036D0C" w:rsidRDefault="00036D0C" w:rsidP="00115FC6">
            <w:pPr>
              <w:pStyle w:val="ExhibitText"/>
              <w:jc w:val="left"/>
              <w:rPr>
                <w:sz w:val="18"/>
                <w:szCs w:val="18"/>
              </w:rPr>
            </w:pPr>
          </w:p>
        </w:tc>
        <w:tc>
          <w:tcPr>
            <w:tcW w:w="750" w:type="pct"/>
            <w:tcBorders>
              <w:right w:val="single" w:sz="4" w:space="0" w:color="auto"/>
            </w:tcBorders>
            <w:vAlign w:val="center"/>
          </w:tcPr>
          <w:p w14:paraId="41C506FD" w14:textId="77777777" w:rsidR="00036D0C" w:rsidRPr="00036D0C" w:rsidRDefault="00036D0C" w:rsidP="00115FC6">
            <w:pPr>
              <w:pStyle w:val="ExhibitText"/>
              <w:ind w:right="144"/>
              <w:jc w:val="right"/>
              <w:rPr>
                <w:sz w:val="18"/>
                <w:szCs w:val="18"/>
              </w:rPr>
            </w:pPr>
          </w:p>
        </w:tc>
        <w:tc>
          <w:tcPr>
            <w:tcW w:w="1750" w:type="pct"/>
            <w:tcBorders>
              <w:left w:val="single" w:sz="4" w:space="0" w:color="auto"/>
            </w:tcBorders>
            <w:vAlign w:val="center"/>
          </w:tcPr>
          <w:p w14:paraId="3AC936D8" w14:textId="133DB7E8" w:rsidR="00036D0C" w:rsidRPr="00036D0C" w:rsidRDefault="00036D0C" w:rsidP="00115FC6">
            <w:pPr>
              <w:pStyle w:val="ExhibitText"/>
              <w:jc w:val="left"/>
              <w:rPr>
                <w:sz w:val="18"/>
                <w:szCs w:val="18"/>
              </w:rPr>
            </w:pPr>
            <w:r w:rsidRPr="00036D0C">
              <w:rPr>
                <w:sz w:val="18"/>
                <w:szCs w:val="18"/>
              </w:rPr>
              <w:t>Purchase of gardening tools</w:t>
            </w:r>
          </w:p>
        </w:tc>
        <w:tc>
          <w:tcPr>
            <w:tcW w:w="750" w:type="pct"/>
            <w:vAlign w:val="center"/>
          </w:tcPr>
          <w:p w14:paraId="5449CA9E" w14:textId="77777777" w:rsidR="00036D0C" w:rsidRPr="00036D0C" w:rsidRDefault="00036D0C" w:rsidP="00115FC6">
            <w:pPr>
              <w:pStyle w:val="ExhibitText"/>
              <w:ind w:right="144"/>
              <w:jc w:val="right"/>
              <w:rPr>
                <w:sz w:val="18"/>
                <w:szCs w:val="18"/>
              </w:rPr>
            </w:pPr>
            <w:r w:rsidRPr="00036D0C">
              <w:rPr>
                <w:sz w:val="18"/>
                <w:szCs w:val="18"/>
              </w:rPr>
              <w:t>470</w:t>
            </w:r>
          </w:p>
        </w:tc>
      </w:tr>
      <w:tr w:rsidR="00036D0C" w:rsidRPr="00036D0C" w14:paraId="350E2F56" w14:textId="77777777" w:rsidTr="00115FC6">
        <w:trPr>
          <w:trHeight w:val="259"/>
          <w:jc w:val="center"/>
        </w:trPr>
        <w:tc>
          <w:tcPr>
            <w:tcW w:w="1750" w:type="pct"/>
            <w:vAlign w:val="center"/>
          </w:tcPr>
          <w:p w14:paraId="712837AB" w14:textId="77777777" w:rsidR="00036D0C" w:rsidRPr="00036D0C" w:rsidRDefault="00036D0C" w:rsidP="00115FC6">
            <w:pPr>
              <w:pStyle w:val="ExhibitText"/>
              <w:jc w:val="left"/>
              <w:rPr>
                <w:sz w:val="18"/>
                <w:szCs w:val="18"/>
              </w:rPr>
            </w:pPr>
          </w:p>
        </w:tc>
        <w:tc>
          <w:tcPr>
            <w:tcW w:w="750" w:type="pct"/>
            <w:tcBorders>
              <w:right w:val="single" w:sz="4" w:space="0" w:color="auto"/>
            </w:tcBorders>
            <w:vAlign w:val="center"/>
          </w:tcPr>
          <w:p w14:paraId="17B20FAD" w14:textId="77777777" w:rsidR="00036D0C" w:rsidRPr="00036D0C" w:rsidRDefault="00036D0C" w:rsidP="00115FC6">
            <w:pPr>
              <w:pStyle w:val="ExhibitText"/>
              <w:ind w:right="144"/>
              <w:jc w:val="right"/>
              <w:rPr>
                <w:sz w:val="18"/>
                <w:szCs w:val="18"/>
              </w:rPr>
            </w:pPr>
          </w:p>
        </w:tc>
        <w:tc>
          <w:tcPr>
            <w:tcW w:w="1750" w:type="pct"/>
            <w:tcBorders>
              <w:left w:val="single" w:sz="4" w:space="0" w:color="auto"/>
            </w:tcBorders>
            <w:vAlign w:val="center"/>
          </w:tcPr>
          <w:p w14:paraId="2F91EDD0" w14:textId="3EA9EB3B" w:rsidR="00036D0C" w:rsidRPr="00036D0C" w:rsidRDefault="00036D0C" w:rsidP="00115FC6">
            <w:pPr>
              <w:pStyle w:val="ExhibitText"/>
              <w:jc w:val="left"/>
              <w:rPr>
                <w:sz w:val="18"/>
                <w:szCs w:val="18"/>
              </w:rPr>
            </w:pPr>
            <w:r w:rsidRPr="00036D0C">
              <w:rPr>
                <w:sz w:val="18"/>
                <w:szCs w:val="18"/>
              </w:rPr>
              <w:t>Postal charges</w:t>
            </w:r>
          </w:p>
        </w:tc>
        <w:tc>
          <w:tcPr>
            <w:tcW w:w="750" w:type="pct"/>
            <w:vAlign w:val="center"/>
          </w:tcPr>
          <w:p w14:paraId="0C5D0CA6" w14:textId="77777777" w:rsidR="00036D0C" w:rsidRPr="00036D0C" w:rsidRDefault="00036D0C" w:rsidP="00115FC6">
            <w:pPr>
              <w:pStyle w:val="ExhibitText"/>
              <w:ind w:right="144"/>
              <w:jc w:val="right"/>
              <w:rPr>
                <w:sz w:val="18"/>
                <w:szCs w:val="18"/>
              </w:rPr>
            </w:pPr>
            <w:r w:rsidRPr="00036D0C">
              <w:rPr>
                <w:sz w:val="18"/>
                <w:szCs w:val="18"/>
              </w:rPr>
              <w:t>513</w:t>
            </w:r>
          </w:p>
        </w:tc>
      </w:tr>
      <w:tr w:rsidR="00036D0C" w:rsidRPr="00036D0C" w14:paraId="18163540" w14:textId="77777777" w:rsidTr="00115FC6">
        <w:trPr>
          <w:trHeight w:val="259"/>
          <w:jc w:val="center"/>
        </w:trPr>
        <w:tc>
          <w:tcPr>
            <w:tcW w:w="1750" w:type="pct"/>
            <w:vAlign w:val="center"/>
          </w:tcPr>
          <w:p w14:paraId="42CDF667" w14:textId="77777777" w:rsidR="00036D0C" w:rsidRPr="00036D0C" w:rsidRDefault="00036D0C" w:rsidP="00115FC6">
            <w:pPr>
              <w:pStyle w:val="ExhibitText"/>
              <w:jc w:val="left"/>
              <w:rPr>
                <w:sz w:val="18"/>
                <w:szCs w:val="18"/>
              </w:rPr>
            </w:pPr>
          </w:p>
        </w:tc>
        <w:tc>
          <w:tcPr>
            <w:tcW w:w="750" w:type="pct"/>
            <w:tcBorders>
              <w:right w:val="single" w:sz="4" w:space="0" w:color="auto"/>
            </w:tcBorders>
            <w:vAlign w:val="center"/>
          </w:tcPr>
          <w:p w14:paraId="76ADB2B5" w14:textId="77777777" w:rsidR="00036D0C" w:rsidRPr="00036D0C" w:rsidRDefault="00036D0C" w:rsidP="00115FC6">
            <w:pPr>
              <w:pStyle w:val="ExhibitText"/>
              <w:ind w:right="144"/>
              <w:jc w:val="right"/>
              <w:rPr>
                <w:sz w:val="18"/>
                <w:szCs w:val="18"/>
              </w:rPr>
            </w:pPr>
          </w:p>
        </w:tc>
        <w:tc>
          <w:tcPr>
            <w:tcW w:w="1750" w:type="pct"/>
            <w:tcBorders>
              <w:left w:val="single" w:sz="4" w:space="0" w:color="auto"/>
            </w:tcBorders>
            <w:vAlign w:val="center"/>
          </w:tcPr>
          <w:p w14:paraId="76EBCBB2" w14:textId="25102023" w:rsidR="00036D0C" w:rsidRPr="00036D0C" w:rsidRDefault="00036D0C" w:rsidP="00115FC6">
            <w:pPr>
              <w:pStyle w:val="ExhibitText"/>
              <w:jc w:val="left"/>
              <w:rPr>
                <w:sz w:val="18"/>
                <w:szCs w:val="18"/>
              </w:rPr>
            </w:pPr>
            <w:r w:rsidRPr="00036D0C">
              <w:rPr>
                <w:sz w:val="18"/>
                <w:szCs w:val="18"/>
              </w:rPr>
              <w:t xml:space="preserve">Audit fee </w:t>
            </w:r>
          </w:p>
        </w:tc>
        <w:tc>
          <w:tcPr>
            <w:tcW w:w="750" w:type="pct"/>
            <w:vAlign w:val="center"/>
          </w:tcPr>
          <w:p w14:paraId="4EF25E14" w14:textId="77777777" w:rsidR="00036D0C" w:rsidRPr="00036D0C" w:rsidRDefault="00036D0C" w:rsidP="00115FC6">
            <w:pPr>
              <w:pStyle w:val="ExhibitText"/>
              <w:ind w:right="144"/>
              <w:jc w:val="right"/>
              <w:rPr>
                <w:sz w:val="18"/>
                <w:szCs w:val="18"/>
              </w:rPr>
            </w:pPr>
            <w:r w:rsidRPr="00036D0C">
              <w:rPr>
                <w:sz w:val="18"/>
                <w:szCs w:val="18"/>
              </w:rPr>
              <w:t>500</w:t>
            </w:r>
          </w:p>
        </w:tc>
      </w:tr>
      <w:tr w:rsidR="00036D0C" w:rsidRPr="00036D0C" w14:paraId="1C16EB38" w14:textId="77777777" w:rsidTr="00115FC6">
        <w:trPr>
          <w:trHeight w:val="259"/>
          <w:jc w:val="center"/>
        </w:trPr>
        <w:tc>
          <w:tcPr>
            <w:tcW w:w="1750" w:type="pct"/>
            <w:vAlign w:val="center"/>
          </w:tcPr>
          <w:p w14:paraId="3561AB50" w14:textId="77777777" w:rsidR="00036D0C" w:rsidRPr="00036D0C" w:rsidRDefault="00036D0C" w:rsidP="00115FC6">
            <w:pPr>
              <w:pStyle w:val="ExhibitText"/>
              <w:jc w:val="left"/>
              <w:rPr>
                <w:sz w:val="18"/>
                <w:szCs w:val="18"/>
              </w:rPr>
            </w:pPr>
          </w:p>
        </w:tc>
        <w:tc>
          <w:tcPr>
            <w:tcW w:w="750" w:type="pct"/>
            <w:tcBorders>
              <w:right w:val="single" w:sz="4" w:space="0" w:color="auto"/>
            </w:tcBorders>
            <w:vAlign w:val="center"/>
          </w:tcPr>
          <w:p w14:paraId="23F906E5" w14:textId="77777777" w:rsidR="00036D0C" w:rsidRPr="00036D0C" w:rsidRDefault="00036D0C" w:rsidP="00115FC6">
            <w:pPr>
              <w:pStyle w:val="ExhibitText"/>
              <w:ind w:right="144"/>
              <w:jc w:val="right"/>
              <w:rPr>
                <w:sz w:val="18"/>
                <w:szCs w:val="18"/>
              </w:rPr>
            </w:pPr>
          </w:p>
        </w:tc>
        <w:tc>
          <w:tcPr>
            <w:tcW w:w="1750" w:type="pct"/>
            <w:tcBorders>
              <w:left w:val="single" w:sz="4" w:space="0" w:color="auto"/>
            </w:tcBorders>
            <w:vAlign w:val="center"/>
          </w:tcPr>
          <w:p w14:paraId="1CF6176A" w14:textId="00ADBB59" w:rsidR="00036D0C" w:rsidRPr="00036D0C" w:rsidRDefault="00036D0C" w:rsidP="00115FC6">
            <w:pPr>
              <w:pStyle w:val="ExhibitText"/>
              <w:jc w:val="left"/>
              <w:rPr>
                <w:sz w:val="18"/>
                <w:szCs w:val="18"/>
              </w:rPr>
            </w:pPr>
            <w:r w:rsidRPr="00036D0C">
              <w:rPr>
                <w:sz w:val="18"/>
                <w:szCs w:val="18"/>
              </w:rPr>
              <w:t xml:space="preserve">Stationeries </w:t>
            </w:r>
          </w:p>
        </w:tc>
        <w:tc>
          <w:tcPr>
            <w:tcW w:w="750" w:type="pct"/>
            <w:vAlign w:val="center"/>
          </w:tcPr>
          <w:p w14:paraId="27ECFEEC" w14:textId="539172AC" w:rsidR="00036D0C" w:rsidRPr="00036D0C" w:rsidRDefault="00036D0C" w:rsidP="00115FC6">
            <w:pPr>
              <w:pStyle w:val="ExhibitText"/>
              <w:ind w:right="144"/>
              <w:jc w:val="right"/>
              <w:rPr>
                <w:sz w:val="18"/>
                <w:szCs w:val="18"/>
              </w:rPr>
            </w:pPr>
            <w:r w:rsidRPr="00036D0C">
              <w:rPr>
                <w:sz w:val="18"/>
                <w:szCs w:val="18"/>
              </w:rPr>
              <w:t>8,493</w:t>
            </w:r>
          </w:p>
        </w:tc>
      </w:tr>
      <w:tr w:rsidR="00036D0C" w:rsidRPr="00036D0C" w14:paraId="11DFA1A3" w14:textId="77777777" w:rsidTr="00115FC6">
        <w:trPr>
          <w:trHeight w:val="259"/>
          <w:jc w:val="center"/>
        </w:trPr>
        <w:tc>
          <w:tcPr>
            <w:tcW w:w="1750" w:type="pct"/>
            <w:vAlign w:val="center"/>
          </w:tcPr>
          <w:p w14:paraId="38AEA138" w14:textId="77777777" w:rsidR="00036D0C" w:rsidRPr="00036D0C" w:rsidRDefault="00036D0C" w:rsidP="00115FC6">
            <w:pPr>
              <w:pStyle w:val="ExhibitText"/>
              <w:jc w:val="left"/>
              <w:rPr>
                <w:sz w:val="18"/>
                <w:szCs w:val="18"/>
              </w:rPr>
            </w:pPr>
          </w:p>
        </w:tc>
        <w:tc>
          <w:tcPr>
            <w:tcW w:w="750" w:type="pct"/>
            <w:tcBorders>
              <w:right w:val="single" w:sz="4" w:space="0" w:color="auto"/>
            </w:tcBorders>
            <w:vAlign w:val="center"/>
          </w:tcPr>
          <w:p w14:paraId="0D27895A" w14:textId="77777777" w:rsidR="00036D0C" w:rsidRPr="00036D0C" w:rsidRDefault="00036D0C" w:rsidP="00115FC6">
            <w:pPr>
              <w:pStyle w:val="ExhibitText"/>
              <w:ind w:right="144"/>
              <w:jc w:val="right"/>
              <w:rPr>
                <w:sz w:val="18"/>
                <w:szCs w:val="18"/>
              </w:rPr>
            </w:pPr>
          </w:p>
        </w:tc>
        <w:tc>
          <w:tcPr>
            <w:tcW w:w="1750" w:type="pct"/>
            <w:tcBorders>
              <w:left w:val="single" w:sz="4" w:space="0" w:color="auto"/>
            </w:tcBorders>
            <w:vAlign w:val="center"/>
          </w:tcPr>
          <w:p w14:paraId="624FC15D" w14:textId="5F9FCC06" w:rsidR="00036D0C" w:rsidRPr="00036D0C" w:rsidRDefault="00036D0C" w:rsidP="00115FC6">
            <w:pPr>
              <w:pStyle w:val="ExhibitText"/>
              <w:jc w:val="left"/>
              <w:rPr>
                <w:sz w:val="18"/>
                <w:szCs w:val="18"/>
              </w:rPr>
            </w:pPr>
            <w:r w:rsidRPr="00036D0C">
              <w:rPr>
                <w:sz w:val="18"/>
                <w:szCs w:val="18"/>
              </w:rPr>
              <w:t>Purchase of stamp</w:t>
            </w:r>
            <w:r w:rsidR="00CF4C23">
              <w:rPr>
                <w:sz w:val="18"/>
                <w:szCs w:val="18"/>
              </w:rPr>
              <w:t>s</w:t>
            </w:r>
          </w:p>
        </w:tc>
        <w:tc>
          <w:tcPr>
            <w:tcW w:w="750" w:type="pct"/>
            <w:vAlign w:val="center"/>
          </w:tcPr>
          <w:p w14:paraId="28B9FA2F" w14:textId="0DE9090E" w:rsidR="00036D0C" w:rsidRPr="00036D0C" w:rsidRDefault="00036D0C" w:rsidP="00115FC6">
            <w:pPr>
              <w:pStyle w:val="ExhibitText"/>
              <w:ind w:right="144"/>
              <w:jc w:val="right"/>
              <w:rPr>
                <w:sz w:val="18"/>
                <w:szCs w:val="18"/>
              </w:rPr>
            </w:pPr>
            <w:r w:rsidRPr="00036D0C">
              <w:rPr>
                <w:sz w:val="18"/>
                <w:szCs w:val="18"/>
              </w:rPr>
              <w:t>5,000</w:t>
            </w:r>
          </w:p>
        </w:tc>
      </w:tr>
      <w:tr w:rsidR="00036D0C" w:rsidRPr="00036D0C" w14:paraId="4B44F991" w14:textId="77777777" w:rsidTr="00115FC6">
        <w:trPr>
          <w:trHeight w:val="259"/>
          <w:jc w:val="center"/>
        </w:trPr>
        <w:tc>
          <w:tcPr>
            <w:tcW w:w="1750" w:type="pct"/>
            <w:vAlign w:val="center"/>
          </w:tcPr>
          <w:p w14:paraId="226C749D" w14:textId="77777777" w:rsidR="00036D0C" w:rsidRPr="00036D0C" w:rsidRDefault="00036D0C" w:rsidP="00115FC6">
            <w:pPr>
              <w:pStyle w:val="ExhibitText"/>
              <w:jc w:val="left"/>
              <w:rPr>
                <w:sz w:val="18"/>
                <w:szCs w:val="18"/>
              </w:rPr>
            </w:pPr>
          </w:p>
        </w:tc>
        <w:tc>
          <w:tcPr>
            <w:tcW w:w="750" w:type="pct"/>
            <w:tcBorders>
              <w:right w:val="single" w:sz="4" w:space="0" w:color="auto"/>
            </w:tcBorders>
            <w:vAlign w:val="center"/>
          </w:tcPr>
          <w:p w14:paraId="11696049" w14:textId="77777777" w:rsidR="00036D0C" w:rsidRPr="00036D0C" w:rsidRDefault="00036D0C" w:rsidP="00115FC6">
            <w:pPr>
              <w:pStyle w:val="ExhibitText"/>
              <w:ind w:right="144"/>
              <w:jc w:val="right"/>
              <w:rPr>
                <w:sz w:val="18"/>
                <w:szCs w:val="18"/>
              </w:rPr>
            </w:pPr>
          </w:p>
        </w:tc>
        <w:tc>
          <w:tcPr>
            <w:tcW w:w="1750" w:type="pct"/>
            <w:tcBorders>
              <w:left w:val="single" w:sz="4" w:space="0" w:color="auto"/>
            </w:tcBorders>
            <w:vAlign w:val="center"/>
          </w:tcPr>
          <w:p w14:paraId="3D15729E" w14:textId="40CCF1E9" w:rsidR="00036D0C" w:rsidRPr="00036D0C" w:rsidRDefault="00036D0C" w:rsidP="00115FC6">
            <w:pPr>
              <w:pStyle w:val="ExhibitText"/>
              <w:jc w:val="left"/>
              <w:rPr>
                <w:sz w:val="18"/>
                <w:szCs w:val="18"/>
              </w:rPr>
            </w:pPr>
            <w:r w:rsidRPr="00036D0C">
              <w:rPr>
                <w:sz w:val="18"/>
                <w:szCs w:val="18"/>
              </w:rPr>
              <w:t xml:space="preserve">Printing </w:t>
            </w:r>
          </w:p>
        </w:tc>
        <w:tc>
          <w:tcPr>
            <w:tcW w:w="750" w:type="pct"/>
            <w:vAlign w:val="center"/>
          </w:tcPr>
          <w:p w14:paraId="7ADAF3B5" w14:textId="400D0606" w:rsidR="00036D0C" w:rsidRPr="00036D0C" w:rsidRDefault="00036D0C" w:rsidP="00115FC6">
            <w:pPr>
              <w:pStyle w:val="ExhibitText"/>
              <w:ind w:right="144"/>
              <w:jc w:val="right"/>
              <w:rPr>
                <w:sz w:val="18"/>
                <w:szCs w:val="18"/>
              </w:rPr>
            </w:pPr>
            <w:r w:rsidRPr="00036D0C">
              <w:rPr>
                <w:sz w:val="18"/>
                <w:szCs w:val="18"/>
              </w:rPr>
              <w:t>5,000</w:t>
            </w:r>
          </w:p>
        </w:tc>
      </w:tr>
      <w:tr w:rsidR="00036D0C" w:rsidRPr="00036D0C" w14:paraId="78C8F02F" w14:textId="77777777" w:rsidTr="00115FC6">
        <w:trPr>
          <w:trHeight w:val="259"/>
          <w:jc w:val="center"/>
        </w:trPr>
        <w:tc>
          <w:tcPr>
            <w:tcW w:w="1750" w:type="pct"/>
            <w:vAlign w:val="center"/>
          </w:tcPr>
          <w:p w14:paraId="020E9B73" w14:textId="77777777" w:rsidR="00036D0C" w:rsidRPr="00036D0C" w:rsidRDefault="00036D0C" w:rsidP="00115FC6">
            <w:pPr>
              <w:pStyle w:val="ExhibitText"/>
              <w:jc w:val="left"/>
              <w:rPr>
                <w:sz w:val="18"/>
                <w:szCs w:val="18"/>
              </w:rPr>
            </w:pPr>
          </w:p>
        </w:tc>
        <w:tc>
          <w:tcPr>
            <w:tcW w:w="750" w:type="pct"/>
            <w:tcBorders>
              <w:right w:val="single" w:sz="4" w:space="0" w:color="auto"/>
            </w:tcBorders>
            <w:vAlign w:val="center"/>
          </w:tcPr>
          <w:p w14:paraId="0D863494" w14:textId="77777777" w:rsidR="00036D0C" w:rsidRPr="00036D0C" w:rsidRDefault="00036D0C" w:rsidP="00115FC6">
            <w:pPr>
              <w:pStyle w:val="ExhibitText"/>
              <w:ind w:right="144"/>
              <w:jc w:val="right"/>
              <w:rPr>
                <w:sz w:val="18"/>
                <w:szCs w:val="18"/>
              </w:rPr>
            </w:pPr>
          </w:p>
        </w:tc>
        <w:tc>
          <w:tcPr>
            <w:tcW w:w="1750" w:type="pct"/>
            <w:tcBorders>
              <w:left w:val="single" w:sz="4" w:space="0" w:color="auto"/>
            </w:tcBorders>
            <w:vAlign w:val="center"/>
          </w:tcPr>
          <w:p w14:paraId="6434C3AB" w14:textId="43E769D1" w:rsidR="00036D0C" w:rsidRPr="00036D0C" w:rsidRDefault="00036D0C" w:rsidP="00115FC6">
            <w:pPr>
              <w:pStyle w:val="ExhibitText"/>
              <w:jc w:val="left"/>
              <w:rPr>
                <w:sz w:val="18"/>
                <w:szCs w:val="18"/>
              </w:rPr>
            </w:pPr>
            <w:r w:rsidRPr="00036D0C">
              <w:rPr>
                <w:sz w:val="18"/>
                <w:szCs w:val="18"/>
              </w:rPr>
              <w:t xml:space="preserve">Tea </w:t>
            </w:r>
            <w:r w:rsidR="00CF4C23">
              <w:rPr>
                <w:sz w:val="18"/>
                <w:szCs w:val="18"/>
              </w:rPr>
              <w:t>B</w:t>
            </w:r>
            <w:r w:rsidRPr="00036D0C">
              <w:rPr>
                <w:sz w:val="18"/>
                <w:szCs w:val="18"/>
              </w:rPr>
              <w:t>oard</w:t>
            </w:r>
            <w:r w:rsidR="00CF4C23">
              <w:rPr>
                <w:sz w:val="18"/>
                <w:szCs w:val="18"/>
              </w:rPr>
              <w:t xml:space="preserve"> India</w:t>
            </w:r>
          </w:p>
        </w:tc>
        <w:tc>
          <w:tcPr>
            <w:tcW w:w="750" w:type="pct"/>
            <w:vAlign w:val="center"/>
          </w:tcPr>
          <w:p w14:paraId="574357C7" w14:textId="4EACE6E6" w:rsidR="00036D0C" w:rsidRPr="00036D0C" w:rsidRDefault="00036D0C" w:rsidP="00115FC6">
            <w:pPr>
              <w:pStyle w:val="ExhibitText"/>
              <w:ind w:right="144"/>
              <w:jc w:val="right"/>
              <w:rPr>
                <w:sz w:val="18"/>
                <w:szCs w:val="18"/>
              </w:rPr>
            </w:pPr>
            <w:r w:rsidRPr="00036D0C">
              <w:rPr>
                <w:sz w:val="18"/>
                <w:szCs w:val="18"/>
              </w:rPr>
              <w:t>19,072</w:t>
            </w:r>
          </w:p>
        </w:tc>
      </w:tr>
      <w:tr w:rsidR="00036D0C" w:rsidRPr="00036D0C" w14:paraId="13D34384" w14:textId="77777777" w:rsidTr="00115FC6">
        <w:trPr>
          <w:trHeight w:val="259"/>
          <w:jc w:val="center"/>
        </w:trPr>
        <w:tc>
          <w:tcPr>
            <w:tcW w:w="1750" w:type="pct"/>
            <w:vAlign w:val="center"/>
          </w:tcPr>
          <w:p w14:paraId="6F462D15" w14:textId="77777777" w:rsidR="00036D0C" w:rsidRPr="00036D0C" w:rsidRDefault="00036D0C" w:rsidP="00115FC6">
            <w:pPr>
              <w:pStyle w:val="ExhibitText"/>
              <w:jc w:val="left"/>
              <w:rPr>
                <w:sz w:val="18"/>
                <w:szCs w:val="18"/>
              </w:rPr>
            </w:pPr>
          </w:p>
        </w:tc>
        <w:tc>
          <w:tcPr>
            <w:tcW w:w="750" w:type="pct"/>
            <w:tcBorders>
              <w:right w:val="single" w:sz="4" w:space="0" w:color="auto"/>
            </w:tcBorders>
            <w:vAlign w:val="center"/>
          </w:tcPr>
          <w:p w14:paraId="2355086A" w14:textId="77777777" w:rsidR="00036D0C" w:rsidRPr="00036D0C" w:rsidRDefault="00036D0C" w:rsidP="00115FC6">
            <w:pPr>
              <w:pStyle w:val="ExhibitText"/>
              <w:ind w:right="144"/>
              <w:jc w:val="right"/>
              <w:rPr>
                <w:sz w:val="18"/>
                <w:szCs w:val="18"/>
              </w:rPr>
            </w:pPr>
          </w:p>
        </w:tc>
        <w:tc>
          <w:tcPr>
            <w:tcW w:w="1750" w:type="pct"/>
            <w:tcBorders>
              <w:left w:val="single" w:sz="4" w:space="0" w:color="auto"/>
            </w:tcBorders>
            <w:vAlign w:val="center"/>
          </w:tcPr>
          <w:p w14:paraId="29A2885E" w14:textId="709BC803" w:rsidR="00036D0C" w:rsidRPr="00036D0C" w:rsidRDefault="00036D0C" w:rsidP="00115FC6">
            <w:pPr>
              <w:pStyle w:val="ExhibitText"/>
              <w:jc w:val="left"/>
              <w:rPr>
                <w:sz w:val="18"/>
                <w:szCs w:val="18"/>
              </w:rPr>
            </w:pPr>
            <w:r w:rsidRPr="00036D0C">
              <w:rPr>
                <w:sz w:val="18"/>
                <w:szCs w:val="18"/>
              </w:rPr>
              <w:t>Expenses in organic inspection</w:t>
            </w:r>
          </w:p>
        </w:tc>
        <w:tc>
          <w:tcPr>
            <w:tcW w:w="750" w:type="pct"/>
            <w:vAlign w:val="center"/>
          </w:tcPr>
          <w:p w14:paraId="5B564388" w14:textId="5A22F3C6" w:rsidR="00036D0C" w:rsidRPr="00036D0C" w:rsidRDefault="00036D0C" w:rsidP="00115FC6">
            <w:pPr>
              <w:pStyle w:val="ExhibitText"/>
              <w:ind w:right="144"/>
              <w:jc w:val="right"/>
              <w:rPr>
                <w:sz w:val="18"/>
                <w:szCs w:val="18"/>
              </w:rPr>
            </w:pPr>
            <w:r w:rsidRPr="00036D0C">
              <w:rPr>
                <w:sz w:val="18"/>
                <w:szCs w:val="18"/>
              </w:rPr>
              <w:t>5,200</w:t>
            </w:r>
          </w:p>
        </w:tc>
      </w:tr>
      <w:tr w:rsidR="00036D0C" w:rsidRPr="00036D0C" w14:paraId="1FCBEA8F" w14:textId="77777777" w:rsidTr="00115FC6">
        <w:trPr>
          <w:trHeight w:val="259"/>
          <w:jc w:val="center"/>
        </w:trPr>
        <w:tc>
          <w:tcPr>
            <w:tcW w:w="1750" w:type="pct"/>
            <w:vAlign w:val="center"/>
          </w:tcPr>
          <w:p w14:paraId="1222B200" w14:textId="77777777" w:rsidR="00036D0C" w:rsidRPr="00036D0C" w:rsidRDefault="00036D0C" w:rsidP="00115FC6">
            <w:pPr>
              <w:pStyle w:val="ExhibitText"/>
              <w:jc w:val="left"/>
              <w:rPr>
                <w:sz w:val="18"/>
                <w:szCs w:val="18"/>
              </w:rPr>
            </w:pPr>
          </w:p>
        </w:tc>
        <w:tc>
          <w:tcPr>
            <w:tcW w:w="750" w:type="pct"/>
            <w:tcBorders>
              <w:right w:val="single" w:sz="4" w:space="0" w:color="auto"/>
            </w:tcBorders>
            <w:vAlign w:val="center"/>
          </w:tcPr>
          <w:p w14:paraId="2F74FD2F" w14:textId="77777777" w:rsidR="00036D0C" w:rsidRPr="00036D0C" w:rsidRDefault="00036D0C" w:rsidP="00115FC6">
            <w:pPr>
              <w:pStyle w:val="ExhibitText"/>
              <w:ind w:right="144"/>
              <w:jc w:val="right"/>
              <w:rPr>
                <w:sz w:val="18"/>
                <w:szCs w:val="18"/>
              </w:rPr>
            </w:pPr>
          </w:p>
        </w:tc>
        <w:tc>
          <w:tcPr>
            <w:tcW w:w="1750" w:type="pct"/>
            <w:tcBorders>
              <w:left w:val="single" w:sz="4" w:space="0" w:color="auto"/>
            </w:tcBorders>
            <w:vAlign w:val="center"/>
          </w:tcPr>
          <w:p w14:paraId="50150587" w14:textId="0386617F" w:rsidR="00036D0C" w:rsidRPr="00036D0C" w:rsidRDefault="00036D0C" w:rsidP="00CF4C23">
            <w:pPr>
              <w:pStyle w:val="ExhibitText"/>
              <w:jc w:val="left"/>
              <w:rPr>
                <w:sz w:val="18"/>
                <w:szCs w:val="18"/>
              </w:rPr>
            </w:pPr>
            <w:r w:rsidRPr="00036D0C">
              <w:rPr>
                <w:sz w:val="18"/>
                <w:szCs w:val="18"/>
              </w:rPr>
              <w:t xml:space="preserve">Payment </w:t>
            </w:r>
            <w:r w:rsidR="00CF4C23">
              <w:rPr>
                <w:sz w:val="18"/>
                <w:szCs w:val="18"/>
              </w:rPr>
              <w:t>to</w:t>
            </w:r>
            <w:r w:rsidR="00CF4C23" w:rsidRPr="00036D0C">
              <w:rPr>
                <w:sz w:val="18"/>
                <w:szCs w:val="18"/>
              </w:rPr>
              <w:t xml:space="preserve"> </w:t>
            </w:r>
            <w:r w:rsidR="00CF4C23">
              <w:rPr>
                <w:sz w:val="18"/>
                <w:szCs w:val="18"/>
              </w:rPr>
              <w:t>Central P</w:t>
            </w:r>
            <w:r w:rsidRPr="00036D0C">
              <w:rPr>
                <w:sz w:val="18"/>
                <w:szCs w:val="18"/>
              </w:rPr>
              <w:t xml:space="preserve">ollution </w:t>
            </w:r>
            <w:r w:rsidR="00CF4C23">
              <w:rPr>
                <w:sz w:val="18"/>
                <w:szCs w:val="18"/>
              </w:rPr>
              <w:t>Control B</w:t>
            </w:r>
            <w:r w:rsidRPr="00036D0C">
              <w:rPr>
                <w:sz w:val="18"/>
                <w:szCs w:val="18"/>
              </w:rPr>
              <w:t>oard</w:t>
            </w:r>
          </w:p>
        </w:tc>
        <w:tc>
          <w:tcPr>
            <w:tcW w:w="750" w:type="pct"/>
            <w:vAlign w:val="center"/>
          </w:tcPr>
          <w:p w14:paraId="5181E3EF" w14:textId="77777777" w:rsidR="00036D0C" w:rsidRPr="00036D0C" w:rsidRDefault="00036D0C" w:rsidP="00115FC6">
            <w:pPr>
              <w:pStyle w:val="ExhibitText"/>
              <w:ind w:right="144"/>
              <w:jc w:val="right"/>
              <w:rPr>
                <w:sz w:val="18"/>
                <w:szCs w:val="18"/>
              </w:rPr>
            </w:pPr>
            <w:r w:rsidRPr="00036D0C">
              <w:rPr>
                <w:sz w:val="18"/>
                <w:szCs w:val="18"/>
              </w:rPr>
              <w:t>2525</w:t>
            </w:r>
          </w:p>
        </w:tc>
      </w:tr>
      <w:tr w:rsidR="00036D0C" w:rsidRPr="00036D0C" w14:paraId="2BA35ADB" w14:textId="77777777" w:rsidTr="00115FC6">
        <w:trPr>
          <w:trHeight w:val="259"/>
          <w:jc w:val="center"/>
        </w:trPr>
        <w:tc>
          <w:tcPr>
            <w:tcW w:w="1750" w:type="pct"/>
            <w:vAlign w:val="center"/>
          </w:tcPr>
          <w:p w14:paraId="79212C8F" w14:textId="77777777" w:rsidR="00036D0C" w:rsidRPr="00036D0C" w:rsidRDefault="00036D0C" w:rsidP="00115FC6">
            <w:pPr>
              <w:pStyle w:val="ExhibitText"/>
              <w:jc w:val="left"/>
              <w:rPr>
                <w:sz w:val="18"/>
                <w:szCs w:val="18"/>
              </w:rPr>
            </w:pPr>
          </w:p>
        </w:tc>
        <w:tc>
          <w:tcPr>
            <w:tcW w:w="750" w:type="pct"/>
            <w:tcBorders>
              <w:right w:val="single" w:sz="4" w:space="0" w:color="auto"/>
            </w:tcBorders>
            <w:vAlign w:val="center"/>
          </w:tcPr>
          <w:p w14:paraId="4AA31325" w14:textId="77777777" w:rsidR="00036D0C" w:rsidRPr="00036D0C" w:rsidRDefault="00036D0C" w:rsidP="00115FC6">
            <w:pPr>
              <w:pStyle w:val="ExhibitText"/>
              <w:ind w:right="144"/>
              <w:jc w:val="right"/>
              <w:rPr>
                <w:sz w:val="18"/>
                <w:szCs w:val="18"/>
              </w:rPr>
            </w:pPr>
          </w:p>
        </w:tc>
        <w:tc>
          <w:tcPr>
            <w:tcW w:w="1750" w:type="pct"/>
            <w:tcBorders>
              <w:left w:val="single" w:sz="4" w:space="0" w:color="auto"/>
            </w:tcBorders>
            <w:vAlign w:val="center"/>
          </w:tcPr>
          <w:p w14:paraId="242B5165" w14:textId="55570067" w:rsidR="00036D0C" w:rsidRPr="00036D0C" w:rsidRDefault="00036D0C" w:rsidP="00115FC6">
            <w:pPr>
              <w:pStyle w:val="ExhibitText"/>
              <w:jc w:val="left"/>
              <w:rPr>
                <w:sz w:val="18"/>
                <w:szCs w:val="18"/>
              </w:rPr>
            </w:pPr>
            <w:r w:rsidRPr="00036D0C">
              <w:rPr>
                <w:sz w:val="18"/>
                <w:szCs w:val="18"/>
              </w:rPr>
              <w:t>Renewal of FSSA</w:t>
            </w:r>
            <w:r w:rsidR="008F3930">
              <w:rPr>
                <w:sz w:val="18"/>
                <w:szCs w:val="18"/>
              </w:rPr>
              <w:t>I</w:t>
            </w:r>
            <w:r w:rsidRPr="00036D0C">
              <w:rPr>
                <w:sz w:val="18"/>
                <w:szCs w:val="18"/>
              </w:rPr>
              <w:t xml:space="preserve"> licence</w:t>
            </w:r>
            <w:r w:rsidR="008F3930">
              <w:rPr>
                <w:sz w:val="18"/>
                <w:szCs w:val="18"/>
              </w:rPr>
              <w:t>*</w:t>
            </w:r>
          </w:p>
        </w:tc>
        <w:tc>
          <w:tcPr>
            <w:tcW w:w="750" w:type="pct"/>
            <w:vAlign w:val="center"/>
          </w:tcPr>
          <w:p w14:paraId="2CDE5E98" w14:textId="09EED431" w:rsidR="00036D0C" w:rsidRPr="00036D0C" w:rsidRDefault="00036D0C" w:rsidP="00115FC6">
            <w:pPr>
              <w:pStyle w:val="ExhibitText"/>
              <w:ind w:right="144"/>
              <w:jc w:val="right"/>
              <w:rPr>
                <w:sz w:val="18"/>
                <w:szCs w:val="18"/>
              </w:rPr>
            </w:pPr>
            <w:r w:rsidRPr="00036D0C">
              <w:rPr>
                <w:sz w:val="18"/>
                <w:szCs w:val="18"/>
              </w:rPr>
              <w:t>5,000</w:t>
            </w:r>
          </w:p>
        </w:tc>
      </w:tr>
      <w:tr w:rsidR="00036D0C" w:rsidRPr="00036D0C" w14:paraId="2C248BD7" w14:textId="77777777" w:rsidTr="00115FC6">
        <w:trPr>
          <w:trHeight w:val="259"/>
          <w:jc w:val="center"/>
        </w:trPr>
        <w:tc>
          <w:tcPr>
            <w:tcW w:w="1750" w:type="pct"/>
            <w:vAlign w:val="center"/>
          </w:tcPr>
          <w:p w14:paraId="7F14300D" w14:textId="77777777" w:rsidR="00036D0C" w:rsidRPr="00036D0C" w:rsidRDefault="00036D0C" w:rsidP="00115FC6">
            <w:pPr>
              <w:pStyle w:val="ExhibitText"/>
              <w:jc w:val="left"/>
              <w:rPr>
                <w:sz w:val="18"/>
                <w:szCs w:val="18"/>
              </w:rPr>
            </w:pPr>
          </w:p>
        </w:tc>
        <w:tc>
          <w:tcPr>
            <w:tcW w:w="750" w:type="pct"/>
            <w:tcBorders>
              <w:right w:val="single" w:sz="4" w:space="0" w:color="auto"/>
            </w:tcBorders>
            <w:vAlign w:val="center"/>
          </w:tcPr>
          <w:p w14:paraId="573FBE8D" w14:textId="77777777" w:rsidR="00036D0C" w:rsidRPr="00036D0C" w:rsidRDefault="00036D0C" w:rsidP="00115FC6">
            <w:pPr>
              <w:pStyle w:val="ExhibitText"/>
              <w:ind w:right="144"/>
              <w:jc w:val="right"/>
              <w:rPr>
                <w:sz w:val="18"/>
                <w:szCs w:val="18"/>
              </w:rPr>
            </w:pPr>
          </w:p>
        </w:tc>
        <w:tc>
          <w:tcPr>
            <w:tcW w:w="1750" w:type="pct"/>
            <w:tcBorders>
              <w:left w:val="single" w:sz="4" w:space="0" w:color="auto"/>
            </w:tcBorders>
            <w:vAlign w:val="center"/>
          </w:tcPr>
          <w:p w14:paraId="451F1FD9" w14:textId="05B76343" w:rsidR="00036D0C" w:rsidRPr="00036D0C" w:rsidRDefault="00036D0C" w:rsidP="008F3930">
            <w:pPr>
              <w:pStyle w:val="ExhibitText"/>
              <w:jc w:val="left"/>
              <w:rPr>
                <w:sz w:val="18"/>
                <w:szCs w:val="18"/>
              </w:rPr>
            </w:pPr>
            <w:r w:rsidRPr="00036D0C">
              <w:rPr>
                <w:sz w:val="18"/>
                <w:szCs w:val="18"/>
              </w:rPr>
              <w:t>Boiler</w:t>
            </w:r>
            <w:r w:rsidR="008F3930">
              <w:rPr>
                <w:sz w:val="18"/>
                <w:szCs w:val="18"/>
              </w:rPr>
              <w:t>s Registration, Licence and Renewal</w:t>
            </w:r>
          </w:p>
        </w:tc>
        <w:tc>
          <w:tcPr>
            <w:tcW w:w="750" w:type="pct"/>
            <w:vAlign w:val="center"/>
          </w:tcPr>
          <w:p w14:paraId="561598AE" w14:textId="77777777" w:rsidR="00036D0C" w:rsidRPr="00036D0C" w:rsidRDefault="00036D0C" w:rsidP="00115FC6">
            <w:pPr>
              <w:pStyle w:val="ExhibitText"/>
              <w:ind w:right="144"/>
              <w:jc w:val="right"/>
              <w:rPr>
                <w:sz w:val="18"/>
                <w:szCs w:val="18"/>
              </w:rPr>
            </w:pPr>
            <w:r w:rsidRPr="00036D0C">
              <w:rPr>
                <w:sz w:val="18"/>
                <w:szCs w:val="18"/>
              </w:rPr>
              <w:t>800</w:t>
            </w:r>
          </w:p>
        </w:tc>
      </w:tr>
      <w:tr w:rsidR="00036D0C" w:rsidRPr="00036D0C" w14:paraId="1B41D6E2" w14:textId="77777777" w:rsidTr="00115FC6">
        <w:trPr>
          <w:trHeight w:val="259"/>
          <w:jc w:val="center"/>
        </w:trPr>
        <w:tc>
          <w:tcPr>
            <w:tcW w:w="1750" w:type="pct"/>
            <w:vAlign w:val="center"/>
          </w:tcPr>
          <w:p w14:paraId="239229EA" w14:textId="77777777" w:rsidR="00036D0C" w:rsidRPr="00036D0C" w:rsidRDefault="00036D0C" w:rsidP="00115FC6">
            <w:pPr>
              <w:pStyle w:val="ExhibitText"/>
              <w:jc w:val="left"/>
              <w:rPr>
                <w:sz w:val="18"/>
                <w:szCs w:val="18"/>
              </w:rPr>
            </w:pPr>
          </w:p>
        </w:tc>
        <w:tc>
          <w:tcPr>
            <w:tcW w:w="750" w:type="pct"/>
            <w:tcBorders>
              <w:right w:val="single" w:sz="4" w:space="0" w:color="auto"/>
            </w:tcBorders>
            <w:vAlign w:val="center"/>
          </w:tcPr>
          <w:p w14:paraId="574E6E34" w14:textId="77777777" w:rsidR="00036D0C" w:rsidRPr="00036D0C" w:rsidRDefault="00036D0C" w:rsidP="00115FC6">
            <w:pPr>
              <w:pStyle w:val="ExhibitText"/>
              <w:ind w:right="144"/>
              <w:jc w:val="right"/>
              <w:rPr>
                <w:sz w:val="18"/>
                <w:szCs w:val="18"/>
              </w:rPr>
            </w:pPr>
          </w:p>
        </w:tc>
        <w:tc>
          <w:tcPr>
            <w:tcW w:w="1750" w:type="pct"/>
            <w:tcBorders>
              <w:left w:val="single" w:sz="4" w:space="0" w:color="auto"/>
            </w:tcBorders>
            <w:vAlign w:val="center"/>
          </w:tcPr>
          <w:p w14:paraId="03ED7F83" w14:textId="20D4917D" w:rsidR="00036D0C" w:rsidRPr="00036D0C" w:rsidRDefault="00036D0C" w:rsidP="00115FC6">
            <w:pPr>
              <w:pStyle w:val="ExhibitText"/>
              <w:jc w:val="left"/>
              <w:rPr>
                <w:sz w:val="18"/>
                <w:szCs w:val="18"/>
              </w:rPr>
            </w:pPr>
            <w:r w:rsidRPr="00036D0C">
              <w:rPr>
                <w:sz w:val="18"/>
                <w:szCs w:val="18"/>
              </w:rPr>
              <w:t>Building material</w:t>
            </w:r>
            <w:r w:rsidR="008F3930">
              <w:rPr>
                <w:sz w:val="18"/>
                <w:szCs w:val="18"/>
              </w:rPr>
              <w:t>s</w:t>
            </w:r>
          </w:p>
        </w:tc>
        <w:tc>
          <w:tcPr>
            <w:tcW w:w="750" w:type="pct"/>
            <w:vAlign w:val="center"/>
          </w:tcPr>
          <w:p w14:paraId="494175BE" w14:textId="2092C653" w:rsidR="00036D0C" w:rsidRPr="00036D0C" w:rsidRDefault="00036D0C" w:rsidP="00115FC6">
            <w:pPr>
              <w:pStyle w:val="ExhibitText"/>
              <w:ind w:right="144"/>
              <w:jc w:val="right"/>
              <w:rPr>
                <w:sz w:val="18"/>
                <w:szCs w:val="18"/>
              </w:rPr>
            </w:pPr>
            <w:r w:rsidRPr="00036D0C">
              <w:rPr>
                <w:sz w:val="18"/>
                <w:szCs w:val="18"/>
              </w:rPr>
              <w:t>120,580</w:t>
            </w:r>
          </w:p>
        </w:tc>
      </w:tr>
      <w:tr w:rsidR="00036D0C" w:rsidRPr="00036D0C" w14:paraId="0E109392" w14:textId="77777777" w:rsidTr="00115FC6">
        <w:trPr>
          <w:trHeight w:val="259"/>
          <w:jc w:val="center"/>
        </w:trPr>
        <w:tc>
          <w:tcPr>
            <w:tcW w:w="1750" w:type="pct"/>
            <w:vAlign w:val="center"/>
          </w:tcPr>
          <w:p w14:paraId="05052D42" w14:textId="77777777" w:rsidR="00036D0C" w:rsidRPr="00036D0C" w:rsidRDefault="00036D0C" w:rsidP="00115FC6">
            <w:pPr>
              <w:pStyle w:val="ExhibitText"/>
              <w:jc w:val="left"/>
              <w:rPr>
                <w:sz w:val="18"/>
                <w:szCs w:val="18"/>
              </w:rPr>
            </w:pPr>
          </w:p>
        </w:tc>
        <w:tc>
          <w:tcPr>
            <w:tcW w:w="750" w:type="pct"/>
            <w:tcBorders>
              <w:right w:val="single" w:sz="4" w:space="0" w:color="auto"/>
            </w:tcBorders>
            <w:vAlign w:val="center"/>
          </w:tcPr>
          <w:p w14:paraId="08E47CEF" w14:textId="77777777" w:rsidR="00036D0C" w:rsidRPr="00036D0C" w:rsidRDefault="00036D0C" w:rsidP="00115FC6">
            <w:pPr>
              <w:pStyle w:val="ExhibitText"/>
              <w:ind w:right="144"/>
              <w:jc w:val="right"/>
              <w:rPr>
                <w:sz w:val="18"/>
                <w:szCs w:val="18"/>
              </w:rPr>
            </w:pPr>
          </w:p>
        </w:tc>
        <w:tc>
          <w:tcPr>
            <w:tcW w:w="1750" w:type="pct"/>
            <w:tcBorders>
              <w:left w:val="single" w:sz="4" w:space="0" w:color="auto"/>
            </w:tcBorders>
            <w:vAlign w:val="center"/>
          </w:tcPr>
          <w:p w14:paraId="10AFED87" w14:textId="76E6A212" w:rsidR="00036D0C" w:rsidRPr="00036D0C" w:rsidRDefault="00036D0C" w:rsidP="00115FC6">
            <w:pPr>
              <w:pStyle w:val="ExhibitText"/>
              <w:jc w:val="left"/>
              <w:rPr>
                <w:sz w:val="18"/>
                <w:szCs w:val="18"/>
              </w:rPr>
            </w:pPr>
            <w:r w:rsidRPr="00036D0C">
              <w:rPr>
                <w:sz w:val="18"/>
                <w:szCs w:val="18"/>
              </w:rPr>
              <w:t xml:space="preserve">Food expenses </w:t>
            </w:r>
          </w:p>
        </w:tc>
        <w:tc>
          <w:tcPr>
            <w:tcW w:w="750" w:type="pct"/>
            <w:vAlign w:val="center"/>
          </w:tcPr>
          <w:p w14:paraId="483803EC" w14:textId="77777777" w:rsidR="00036D0C" w:rsidRPr="00036D0C" w:rsidRDefault="00036D0C" w:rsidP="00115FC6">
            <w:pPr>
              <w:pStyle w:val="ExhibitText"/>
              <w:ind w:right="144"/>
              <w:jc w:val="right"/>
              <w:rPr>
                <w:sz w:val="18"/>
                <w:szCs w:val="18"/>
              </w:rPr>
            </w:pPr>
            <w:r w:rsidRPr="00036D0C">
              <w:rPr>
                <w:sz w:val="18"/>
                <w:szCs w:val="18"/>
              </w:rPr>
              <w:t>16,060</w:t>
            </w:r>
          </w:p>
        </w:tc>
      </w:tr>
      <w:tr w:rsidR="00036D0C" w:rsidRPr="00036D0C" w14:paraId="66993958" w14:textId="77777777" w:rsidTr="00115FC6">
        <w:trPr>
          <w:trHeight w:val="259"/>
          <w:jc w:val="center"/>
        </w:trPr>
        <w:tc>
          <w:tcPr>
            <w:tcW w:w="1750" w:type="pct"/>
            <w:vAlign w:val="center"/>
          </w:tcPr>
          <w:p w14:paraId="239EBCF6" w14:textId="77777777" w:rsidR="00036D0C" w:rsidRPr="00036D0C" w:rsidRDefault="00036D0C" w:rsidP="00115FC6">
            <w:pPr>
              <w:pStyle w:val="ExhibitText"/>
              <w:jc w:val="left"/>
              <w:rPr>
                <w:sz w:val="18"/>
                <w:szCs w:val="18"/>
              </w:rPr>
            </w:pPr>
          </w:p>
        </w:tc>
        <w:tc>
          <w:tcPr>
            <w:tcW w:w="750" w:type="pct"/>
            <w:tcBorders>
              <w:right w:val="single" w:sz="4" w:space="0" w:color="auto"/>
            </w:tcBorders>
            <w:vAlign w:val="center"/>
          </w:tcPr>
          <w:p w14:paraId="60E80D1F" w14:textId="77777777" w:rsidR="00036D0C" w:rsidRPr="00036D0C" w:rsidRDefault="00036D0C" w:rsidP="00115FC6">
            <w:pPr>
              <w:pStyle w:val="ExhibitText"/>
              <w:ind w:right="144"/>
              <w:jc w:val="right"/>
              <w:rPr>
                <w:sz w:val="18"/>
                <w:szCs w:val="18"/>
              </w:rPr>
            </w:pPr>
          </w:p>
        </w:tc>
        <w:tc>
          <w:tcPr>
            <w:tcW w:w="1750" w:type="pct"/>
            <w:tcBorders>
              <w:left w:val="single" w:sz="4" w:space="0" w:color="auto"/>
            </w:tcBorders>
            <w:vAlign w:val="center"/>
          </w:tcPr>
          <w:p w14:paraId="0F9CCCD3" w14:textId="4099A1FC" w:rsidR="00036D0C" w:rsidRPr="00036D0C" w:rsidRDefault="00036D0C" w:rsidP="00115FC6">
            <w:pPr>
              <w:pStyle w:val="ExhibitText"/>
              <w:jc w:val="left"/>
              <w:rPr>
                <w:sz w:val="18"/>
                <w:szCs w:val="18"/>
              </w:rPr>
            </w:pPr>
            <w:r w:rsidRPr="00036D0C">
              <w:rPr>
                <w:sz w:val="18"/>
                <w:szCs w:val="18"/>
              </w:rPr>
              <w:t>Registration of land</w:t>
            </w:r>
          </w:p>
        </w:tc>
        <w:tc>
          <w:tcPr>
            <w:tcW w:w="750" w:type="pct"/>
            <w:vAlign w:val="center"/>
          </w:tcPr>
          <w:p w14:paraId="0D6A6A03" w14:textId="77777777" w:rsidR="00036D0C" w:rsidRPr="00036D0C" w:rsidRDefault="00036D0C" w:rsidP="00115FC6">
            <w:pPr>
              <w:pStyle w:val="ExhibitText"/>
              <w:ind w:right="144"/>
              <w:jc w:val="right"/>
              <w:rPr>
                <w:sz w:val="18"/>
                <w:szCs w:val="18"/>
              </w:rPr>
            </w:pPr>
            <w:r w:rsidRPr="00036D0C">
              <w:rPr>
                <w:sz w:val="18"/>
                <w:szCs w:val="18"/>
              </w:rPr>
              <w:t>19,000</w:t>
            </w:r>
          </w:p>
        </w:tc>
      </w:tr>
      <w:tr w:rsidR="00036D0C" w:rsidRPr="00036D0C" w14:paraId="747EE8AB" w14:textId="77777777" w:rsidTr="00115FC6">
        <w:trPr>
          <w:trHeight w:val="259"/>
          <w:jc w:val="center"/>
        </w:trPr>
        <w:tc>
          <w:tcPr>
            <w:tcW w:w="1750" w:type="pct"/>
            <w:vAlign w:val="center"/>
          </w:tcPr>
          <w:p w14:paraId="45AE289D" w14:textId="77777777" w:rsidR="00036D0C" w:rsidRPr="00036D0C" w:rsidRDefault="00036D0C" w:rsidP="00115FC6">
            <w:pPr>
              <w:pStyle w:val="ExhibitText"/>
              <w:jc w:val="left"/>
              <w:rPr>
                <w:sz w:val="18"/>
                <w:szCs w:val="18"/>
              </w:rPr>
            </w:pPr>
          </w:p>
        </w:tc>
        <w:tc>
          <w:tcPr>
            <w:tcW w:w="750" w:type="pct"/>
            <w:tcBorders>
              <w:right w:val="single" w:sz="4" w:space="0" w:color="auto"/>
            </w:tcBorders>
            <w:vAlign w:val="center"/>
          </w:tcPr>
          <w:p w14:paraId="27BA24F5" w14:textId="77777777" w:rsidR="00036D0C" w:rsidRPr="00036D0C" w:rsidRDefault="00036D0C" w:rsidP="00115FC6">
            <w:pPr>
              <w:pStyle w:val="ExhibitText"/>
              <w:ind w:right="144"/>
              <w:jc w:val="right"/>
              <w:rPr>
                <w:sz w:val="18"/>
                <w:szCs w:val="18"/>
              </w:rPr>
            </w:pPr>
          </w:p>
        </w:tc>
        <w:tc>
          <w:tcPr>
            <w:tcW w:w="1750" w:type="pct"/>
            <w:tcBorders>
              <w:left w:val="single" w:sz="4" w:space="0" w:color="auto"/>
            </w:tcBorders>
            <w:vAlign w:val="center"/>
          </w:tcPr>
          <w:p w14:paraId="066250FA" w14:textId="03B2B348" w:rsidR="00036D0C" w:rsidRPr="00036D0C" w:rsidRDefault="00036D0C" w:rsidP="00E443EF">
            <w:pPr>
              <w:pStyle w:val="ExhibitText"/>
              <w:jc w:val="left"/>
              <w:rPr>
                <w:sz w:val="18"/>
                <w:szCs w:val="18"/>
              </w:rPr>
            </w:pPr>
            <w:r w:rsidRPr="00036D0C">
              <w:rPr>
                <w:sz w:val="18"/>
                <w:szCs w:val="18"/>
              </w:rPr>
              <w:t>MVP</w:t>
            </w:r>
            <w:r w:rsidR="00E443EF">
              <w:rPr>
                <w:sz w:val="18"/>
                <w:szCs w:val="18"/>
              </w:rPr>
              <w:t>A</w:t>
            </w:r>
            <w:r w:rsidRPr="00036D0C">
              <w:rPr>
                <w:sz w:val="18"/>
                <w:szCs w:val="18"/>
              </w:rPr>
              <w:t>DTCS paid</w:t>
            </w:r>
            <w:r w:rsidR="008F3930">
              <w:rPr>
                <w:sz w:val="18"/>
                <w:szCs w:val="18"/>
              </w:rPr>
              <w:t>**</w:t>
            </w:r>
          </w:p>
        </w:tc>
        <w:tc>
          <w:tcPr>
            <w:tcW w:w="750" w:type="pct"/>
            <w:vAlign w:val="center"/>
          </w:tcPr>
          <w:p w14:paraId="04C93E59" w14:textId="77777777" w:rsidR="00036D0C" w:rsidRPr="00036D0C" w:rsidRDefault="00036D0C" w:rsidP="00115FC6">
            <w:pPr>
              <w:pStyle w:val="ExhibitText"/>
              <w:ind w:right="144"/>
              <w:jc w:val="right"/>
              <w:rPr>
                <w:sz w:val="18"/>
                <w:szCs w:val="18"/>
              </w:rPr>
            </w:pPr>
            <w:r w:rsidRPr="00036D0C">
              <w:rPr>
                <w:sz w:val="18"/>
                <w:szCs w:val="18"/>
              </w:rPr>
              <w:t>27,500</w:t>
            </w:r>
          </w:p>
        </w:tc>
      </w:tr>
      <w:tr w:rsidR="00036D0C" w:rsidRPr="00036D0C" w14:paraId="5F007B1B" w14:textId="77777777" w:rsidTr="00115FC6">
        <w:trPr>
          <w:trHeight w:val="259"/>
          <w:jc w:val="center"/>
        </w:trPr>
        <w:tc>
          <w:tcPr>
            <w:tcW w:w="1750" w:type="pct"/>
            <w:tcBorders>
              <w:bottom w:val="single" w:sz="4" w:space="0" w:color="auto"/>
            </w:tcBorders>
            <w:vAlign w:val="center"/>
          </w:tcPr>
          <w:p w14:paraId="7D949A6F" w14:textId="77777777" w:rsidR="00036D0C" w:rsidRPr="00036D0C" w:rsidRDefault="00036D0C" w:rsidP="00115FC6">
            <w:pPr>
              <w:pStyle w:val="ExhibitText"/>
              <w:jc w:val="left"/>
              <w:rPr>
                <w:sz w:val="18"/>
                <w:szCs w:val="18"/>
              </w:rPr>
            </w:pPr>
          </w:p>
        </w:tc>
        <w:tc>
          <w:tcPr>
            <w:tcW w:w="750" w:type="pct"/>
            <w:tcBorders>
              <w:bottom w:val="single" w:sz="4" w:space="0" w:color="auto"/>
              <w:right w:val="single" w:sz="4" w:space="0" w:color="auto"/>
            </w:tcBorders>
            <w:vAlign w:val="center"/>
          </w:tcPr>
          <w:p w14:paraId="511AC636" w14:textId="77777777" w:rsidR="00036D0C" w:rsidRPr="00036D0C" w:rsidRDefault="00036D0C" w:rsidP="00115FC6">
            <w:pPr>
              <w:pStyle w:val="ExhibitText"/>
              <w:ind w:right="144"/>
              <w:jc w:val="right"/>
              <w:rPr>
                <w:sz w:val="18"/>
                <w:szCs w:val="18"/>
              </w:rPr>
            </w:pPr>
          </w:p>
        </w:tc>
        <w:tc>
          <w:tcPr>
            <w:tcW w:w="1750" w:type="pct"/>
            <w:tcBorders>
              <w:left w:val="single" w:sz="4" w:space="0" w:color="auto"/>
              <w:bottom w:val="single" w:sz="4" w:space="0" w:color="auto"/>
            </w:tcBorders>
            <w:vAlign w:val="center"/>
          </w:tcPr>
          <w:p w14:paraId="345F7685" w14:textId="5DE45CC9" w:rsidR="00036D0C" w:rsidRPr="00036D0C" w:rsidRDefault="00036D0C" w:rsidP="008F3930">
            <w:pPr>
              <w:pStyle w:val="ExhibitText"/>
              <w:jc w:val="left"/>
              <w:rPr>
                <w:sz w:val="18"/>
                <w:szCs w:val="18"/>
              </w:rPr>
            </w:pPr>
            <w:r w:rsidRPr="00036D0C">
              <w:rPr>
                <w:sz w:val="18"/>
                <w:szCs w:val="18"/>
              </w:rPr>
              <w:t xml:space="preserve">Depreciation (generator, scale, sealing machine, polytope, </w:t>
            </w:r>
            <w:r w:rsidR="008F3930">
              <w:rPr>
                <w:sz w:val="18"/>
                <w:szCs w:val="18"/>
              </w:rPr>
              <w:t>liquefied petroleum</w:t>
            </w:r>
            <w:r w:rsidR="008F3930" w:rsidRPr="00036D0C">
              <w:rPr>
                <w:sz w:val="18"/>
                <w:szCs w:val="18"/>
              </w:rPr>
              <w:t xml:space="preserve"> </w:t>
            </w:r>
            <w:r w:rsidRPr="00036D0C">
              <w:rPr>
                <w:sz w:val="18"/>
                <w:szCs w:val="18"/>
              </w:rPr>
              <w:t>gas, factory building, processing machinery)</w:t>
            </w:r>
          </w:p>
        </w:tc>
        <w:tc>
          <w:tcPr>
            <w:tcW w:w="750" w:type="pct"/>
            <w:tcBorders>
              <w:bottom w:val="single" w:sz="4" w:space="0" w:color="auto"/>
            </w:tcBorders>
            <w:vAlign w:val="center"/>
          </w:tcPr>
          <w:p w14:paraId="4D52A57B" w14:textId="77777777" w:rsidR="00036D0C" w:rsidRPr="00036D0C" w:rsidRDefault="00036D0C" w:rsidP="00115FC6">
            <w:pPr>
              <w:pStyle w:val="ExhibitText"/>
              <w:ind w:right="144"/>
              <w:jc w:val="right"/>
              <w:rPr>
                <w:sz w:val="18"/>
                <w:szCs w:val="18"/>
              </w:rPr>
            </w:pPr>
            <w:r w:rsidRPr="00036D0C">
              <w:rPr>
                <w:sz w:val="18"/>
                <w:szCs w:val="18"/>
              </w:rPr>
              <w:t>97,518</w:t>
            </w:r>
          </w:p>
        </w:tc>
      </w:tr>
      <w:tr w:rsidR="00115FC6" w:rsidRPr="00036D0C" w14:paraId="2374E034" w14:textId="77777777" w:rsidTr="00115FC6">
        <w:trPr>
          <w:trHeight w:val="259"/>
          <w:jc w:val="center"/>
        </w:trPr>
        <w:tc>
          <w:tcPr>
            <w:tcW w:w="1750" w:type="pct"/>
            <w:tcBorders>
              <w:top w:val="single" w:sz="4" w:space="0" w:color="auto"/>
            </w:tcBorders>
          </w:tcPr>
          <w:p w14:paraId="0EFF8000" w14:textId="22C01A2B" w:rsidR="00115FC6" w:rsidRPr="00036D0C" w:rsidRDefault="00115FC6" w:rsidP="00115FC6">
            <w:pPr>
              <w:pStyle w:val="ExhibitText"/>
              <w:jc w:val="left"/>
              <w:rPr>
                <w:sz w:val="18"/>
                <w:szCs w:val="18"/>
              </w:rPr>
            </w:pPr>
            <w:r w:rsidRPr="00A3355A">
              <w:rPr>
                <w:sz w:val="18"/>
                <w:szCs w:val="18"/>
              </w:rPr>
              <w:t xml:space="preserve">Total </w:t>
            </w:r>
          </w:p>
        </w:tc>
        <w:tc>
          <w:tcPr>
            <w:tcW w:w="750" w:type="pct"/>
            <w:tcBorders>
              <w:top w:val="single" w:sz="4" w:space="0" w:color="auto"/>
              <w:right w:val="single" w:sz="4" w:space="0" w:color="auto"/>
            </w:tcBorders>
          </w:tcPr>
          <w:p w14:paraId="38043093" w14:textId="61619D73" w:rsidR="00115FC6" w:rsidRPr="00036D0C" w:rsidRDefault="00115FC6" w:rsidP="00115FC6">
            <w:pPr>
              <w:pStyle w:val="ExhibitText"/>
              <w:ind w:right="144"/>
              <w:jc w:val="right"/>
              <w:rPr>
                <w:sz w:val="18"/>
                <w:szCs w:val="18"/>
              </w:rPr>
            </w:pPr>
            <w:r w:rsidRPr="00A3355A">
              <w:rPr>
                <w:sz w:val="18"/>
                <w:szCs w:val="18"/>
              </w:rPr>
              <w:t>870,016</w:t>
            </w:r>
          </w:p>
        </w:tc>
        <w:tc>
          <w:tcPr>
            <w:tcW w:w="1750" w:type="pct"/>
            <w:tcBorders>
              <w:top w:val="single" w:sz="4" w:space="0" w:color="auto"/>
              <w:left w:val="single" w:sz="4" w:space="0" w:color="auto"/>
            </w:tcBorders>
            <w:vAlign w:val="center"/>
          </w:tcPr>
          <w:p w14:paraId="2D396AA7" w14:textId="0B32D438" w:rsidR="00115FC6" w:rsidRPr="00036D0C" w:rsidRDefault="00115FC6" w:rsidP="00115FC6">
            <w:pPr>
              <w:pStyle w:val="ExhibitText"/>
              <w:jc w:val="left"/>
              <w:rPr>
                <w:sz w:val="18"/>
                <w:szCs w:val="18"/>
              </w:rPr>
            </w:pPr>
            <w:r w:rsidRPr="00036D0C">
              <w:rPr>
                <w:sz w:val="18"/>
                <w:szCs w:val="18"/>
              </w:rPr>
              <w:t xml:space="preserve">Total </w:t>
            </w:r>
          </w:p>
        </w:tc>
        <w:tc>
          <w:tcPr>
            <w:tcW w:w="750" w:type="pct"/>
            <w:tcBorders>
              <w:top w:val="single" w:sz="4" w:space="0" w:color="auto"/>
            </w:tcBorders>
            <w:vAlign w:val="center"/>
          </w:tcPr>
          <w:p w14:paraId="0EBD6296" w14:textId="21BE1813" w:rsidR="00115FC6" w:rsidRPr="00036D0C" w:rsidRDefault="00115FC6" w:rsidP="00115FC6">
            <w:pPr>
              <w:pStyle w:val="ExhibitText"/>
              <w:ind w:right="144"/>
              <w:jc w:val="right"/>
              <w:rPr>
                <w:sz w:val="18"/>
                <w:szCs w:val="18"/>
              </w:rPr>
            </w:pPr>
            <w:r w:rsidRPr="00036D0C">
              <w:rPr>
                <w:sz w:val="18"/>
                <w:szCs w:val="18"/>
              </w:rPr>
              <w:t>689,596</w:t>
            </w:r>
          </w:p>
        </w:tc>
      </w:tr>
      <w:tr w:rsidR="00115FC6" w:rsidRPr="00036D0C" w14:paraId="00432776" w14:textId="77777777" w:rsidTr="00115FC6">
        <w:trPr>
          <w:trHeight w:val="259"/>
          <w:jc w:val="center"/>
        </w:trPr>
        <w:tc>
          <w:tcPr>
            <w:tcW w:w="1750" w:type="pct"/>
          </w:tcPr>
          <w:p w14:paraId="38F3C64C" w14:textId="3EB8991F" w:rsidR="00115FC6" w:rsidRPr="00036D0C" w:rsidRDefault="00115FC6" w:rsidP="00115FC6">
            <w:pPr>
              <w:pStyle w:val="ExhibitText"/>
              <w:jc w:val="left"/>
              <w:rPr>
                <w:sz w:val="18"/>
                <w:szCs w:val="18"/>
              </w:rPr>
            </w:pPr>
            <w:r w:rsidRPr="00A3355A">
              <w:rPr>
                <w:sz w:val="18"/>
                <w:szCs w:val="18"/>
              </w:rPr>
              <w:t>Net Loss</w:t>
            </w:r>
          </w:p>
        </w:tc>
        <w:tc>
          <w:tcPr>
            <w:tcW w:w="750" w:type="pct"/>
            <w:tcBorders>
              <w:right w:val="single" w:sz="4" w:space="0" w:color="auto"/>
            </w:tcBorders>
          </w:tcPr>
          <w:p w14:paraId="07770279" w14:textId="78E2389D" w:rsidR="00115FC6" w:rsidRPr="00036D0C" w:rsidRDefault="00115FC6" w:rsidP="00115FC6">
            <w:pPr>
              <w:pStyle w:val="ExhibitText"/>
              <w:ind w:right="144"/>
              <w:jc w:val="right"/>
              <w:rPr>
                <w:sz w:val="18"/>
                <w:szCs w:val="18"/>
              </w:rPr>
            </w:pPr>
            <w:r w:rsidRPr="00A3355A">
              <w:rPr>
                <w:sz w:val="18"/>
                <w:szCs w:val="18"/>
              </w:rPr>
              <w:t>nil</w:t>
            </w:r>
          </w:p>
        </w:tc>
        <w:tc>
          <w:tcPr>
            <w:tcW w:w="1750" w:type="pct"/>
            <w:tcBorders>
              <w:left w:val="single" w:sz="4" w:space="0" w:color="auto"/>
            </w:tcBorders>
            <w:vAlign w:val="center"/>
          </w:tcPr>
          <w:p w14:paraId="3CFA0719" w14:textId="13C85524" w:rsidR="00115FC6" w:rsidRPr="00036D0C" w:rsidRDefault="00115FC6" w:rsidP="00115FC6">
            <w:pPr>
              <w:pStyle w:val="ExhibitText"/>
              <w:jc w:val="left"/>
              <w:rPr>
                <w:sz w:val="18"/>
                <w:szCs w:val="18"/>
              </w:rPr>
            </w:pPr>
            <w:r w:rsidRPr="00036D0C">
              <w:rPr>
                <w:sz w:val="18"/>
                <w:szCs w:val="18"/>
              </w:rPr>
              <w:t>Net Profit</w:t>
            </w:r>
          </w:p>
        </w:tc>
        <w:tc>
          <w:tcPr>
            <w:tcW w:w="750" w:type="pct"/>
            <w:vAlign w:val="center"/>
          </w:tcPr>
          <w:p w14:paraId="5EEF0CFE" w14:textId="00CEFD62" w:rsidR="00115FC6" w:rsidRPr="00036D0C" w:rsidRDefault="00115FC6" w:rsidP="00115FC6">
            <w:pPr>
              <w:pStyle w:val="ExhibitText"/>
              <w:ind w:right="144"/>
              <w:jc w:val="right"/>
              <w:rPr>
                <w:sz w:val="18"/>
                <w:szCs w:val="18"/>
              </w:rPr>
            </w:pPr>
            <w:r w:rsidRPr="00036D0C">
              <w:rPr>
                <w:sz w:val="18"/>
                <w:szCs w:val="18"/>
              </w:rPr>
              <w:t>180,420</w:t>
            </w:r>
          </w:p>
        </w:tc>
      </w:tr>
      <w:tr w:rsidR="00115FC6" w:rsidRPr="0029187E" w14:paraId="6D9F061C" w14:textId="77777777" w:rsidTr="00115FC6">
        <w:trPr>
          <w:trHeight w:val="259"/>
          <w:jc w:val="center"/>
        </w:trPr>
        <w:tc>
          <w:tcPr>
            <w:tcW w:w="1750" w:type="pct"/>
            <w:tcBorders>
              <w:bottom w:val="single" w:sz="4" w:space="0" w:color="auto"/>
            </w:tcBorders>
          </w:tcPr>
          <w:p w14:paraId="7313948A" w14:textId="4AD70843" w:rsidR="00115FC6" w:rsidRPr="00297EA3" w:rsidRDefault="00115FC6" w:rsidP="00115FC6">
            <w:pPr>
              <w:pStyle w:val="ExhibitText"/>
              <w:jc w:val="left"/>
              <w:rPr>
                <w:b/>
                <w:sz w:val="18"/>
                <w:szCs w:val="18"/>
              </w:rPr>
            </w:pPr>
            <w:r w:rsidRPr="00297EA3">
              <w:rPr>
                <w:b/>
                <w:sz w:val="18"/>
                <w:szCs w:val="18"/>
              </w:rPr>
              <w:t xml:space="preserve">Grand Total </w:t>
            </w:r>
          </w:p>
        </w:tc>
        <w:tc>
          <w:tcPr>
            <w:tcW w:w="750" w:type="pct"/>
            <w:tcBorders>
              <w:bottom w:val="single" w:sz="4" w:space="0" w:color="auto"/>
              <w:right w:val="single" w:sz="4" w:space="0" w:color="auto"/>
            </w:tcBorders>
          </w:tcPr>
          <w:p w14:paraId="42298C5B" w14:textId="19A2D832" w:rsidR="00115FC6" w:rsidRPr="00297EA3" w:rsidRDefault="00115FC6" w:rsidP="00115FC6">
            <w:pPr>
              <w:pStyle w:val="ExhibitText"/>
              <w:ind w:right="144"/>
              <w:jc w:val="right"/>
              <w:rPr>
                <w:b/>
                <w:sz w:val="18"/>
                <w:szCs w:val="18"/>
              </w:rPr>
            </w:pPr>
            <w:r w:rsidRPr="00297EA3">
              <w:rPr>
                <w:b/>
                <w:sz w:val="18"/>
                <w:szCs w:val="18"/>
              </w:rPr>
              <w:t>870,016</w:t>
            </w:r>
          </w:p>
        </w:tc>
        <w:tc>
          <w:tcPr>
            <w:tcW w:w="1750" w:type="pct"/>
            <w:tcBorders>
              <w:left w:val="single" w:sz="4" w:space="0" w:color="auto"/>
              <w:bottom w:val="single" w:sz="4" w:space="0" w:color="auto"/>
            </w:tcBorders>
            <w:vAlign w:val="center"/>
          </w:tcPr>
          <w:p w14:paraId="592B9B07" w14:textId="7BA69EDD" w:rsidR="00115FC6" w:rsidRPr="00297EA3" w:rsidRDefault="00115FC6" w:rsidP="00115FC6">
            <w:pPr>
              <w:pStyle w:val="ExhibitText"/>
              <w:jc w:val="left"/>
              <w:rPr>
                <w:b/>
                <w:sz w:val="18"/>
                <w:szCs w:val="18"/>
              </w:rPr>
            </w:pPr>
            <w:r w:rsidRPr="00297EA3">
              <w:rPr>
                <w:b/>
                <w:sz w:val="18"/>
                <w:szCs w:val="18"/>
              </w:rPr>
              <w:t>Grand Total</w:t>
            </w:r>
          </w:p>
        </w:tc>
        <w:tc>
          <w:tcPr>
            <w:tcW w:w="750" w:type="pct"/>
            <w:tcBorders>
              <w:bottom w:val="single" w:sz="4" w:space="0" w:color="auto"/>
            </w:tcBorders>
            <w:vAlign w:val="center"/>
          </w:tcPr>
          <w:p w14:paraId="78E74FAE" w14:textId="52678A81" w:rsidR="00115FC6" w:rsidRPr="00297EA3" w:rsidRDefault="00115FC6" w:rsidP="00115FC6">
            <w:pPr>
              <w:pStyle w:val="ExhibitText"/>
              <w:ind w:right="144"/>
              <w:jc w:val="right"/>
              <w:rPr>
                <w:b/>
                <w:sz w:val="18"/>
                <w:szCs w:val="18"/>
              </w:rPr>
            </w:pPr>
            <w:r w:rsidRPr="00297EA3">
              <w:rPr>
                <w:b/>
                <w:sz w:val="18"/>
                <w:szCs w:val="18"/>
              </w:rPr>
              <w:t>870,016</w:t>
            </w:r>
          </w:p>
        </w:tc>
      </w:tr>
    </w:tbl>
    <w:p w14:paraId="63F688DD" w14:textId="77777777" w:rsidR="00014AEA" w:rsidRDefault="00014AEA" w:rsidP="00014AEA">
      <w:pPr>
        <w:pStyle w:val="Footnote"/>
      </w:pPr>
    </w:p>
    <w:p w14:paraId="42F26084" w14:textId="559C26DB" w:rsidR="008F3930" w:rsidRDefault="008F3930" w:rsidP="00014AEA">
      <w:pPr>
        <w:pStyle w:val="Footnote"/>
      </w:pPr>
      <w:r>
        <w:t xml:space="preserve">Note: </w:t>
      </w:r>
      <w:r w:rsidR="008062D5">
        <w:t xml:space="preserve">SBI = State Bank of India; MCAB = Meghalaya Cooperative Apex Bank; </w:t>
      </w:r>
      <w:r>
        <w:t xml:space="preserve">* FSSAI = Food Safety and Standards Authority of India; ** MVPDPTCS = </w:t>
      </w:r>
      <w:r w:rsidR="00E443EF">
        <w:t>Meghalaya Village Promotion and Development Tourism Cooperative Society</w:t>
      </w:r>
    </w:p>
    <w:p w14:paraId="131146DE" w14:textId="04097CB7" w:rsidR="00A3355A" w:rsidRDefault="00014AEA" w:rsidP="00014AEA">
      <w:pPr>
        <w:pStyle w:val="Footnote"/>
      </w:pPr>
      <w:r>
        <w:t xml:space="preserve">Source: Mawlyngot </w:t>
      </w:r>
      <w:r w:rsidR="00A463D6">
        <w:t>Tea Growers</w:t>
      </w:r>
      <w:r w:rsidR="007D360E">
        <w:t>’</w:t>
      </w:r>
      <w:r w:rsidR="00A463D6">
        <w:t xml:space="preserve"> </w:t>
      </w:r>
      <w:r>
        <w:t>Cooperative</w:t>
      </w:r>
      <w:r w:rsidR="00A463D6">
        <w:t xml:space="preserve"> Society</w:t>
      </w:r>
      <w:r>
        <w:t>.</w:t>
      </w:r>
    </w:p>
    <w:sectPr w:rsidR="00A3355A" w:rsidSect="001432D4">
      <w:headerReference w:type="default" r:id="rId10"/>
      <w:endnotePr>
        <w:numFmt w:val="decimal"/>
      </w:endnotePr>
      <w:pgSz w:w="12240" w:h="15840"/>
      <w:pgMar w:top="1080" w:right="1325"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8013ED" w14:textId="77777777" w:rsidR="0070147F" w:rsidRDefault="0070147F" w:rsidP="00D75295">
      <w:r>
        <w:separator/>
      </w:r>
    </w:p>
  </w:endnote>
  <w:endnote w:type="continuationSeparator" w:id="0">
    <w:p w14:paraId="0C97715E" w14:textId="77777777" w:rsidR="0070147F" w:rsidRDefault="0070147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1C807" w14:textId="77777777" w:rsidR="0070147F" w:rsidRDefault="0070147F" w:rsidP="00D75295">
      <w:r>
        <w:separator/>
      </w:r>
    </w:p>
  </w:footnote>
  <w:footnote w:type="continuationSeparator" w:id="0">
    <w:p w14:paraId="63E590C1" w14:textId="77777777" w:rsidR="0070147F" w:rsidRDefault="0070147F" w:rsidP="00D75295">
      <w:r>
        <w:continuationSeparator/>
      </w:r>
    </w:p>
  </w:footnote>
  <w:footnote w:id="1">
    <w:p w14:paraId="442A94F0" w14:textId="7EB4989E" w:rsidR="0020609E" w:rsidRPr="00000738" w:rsidRDefault="0020609E" w:rsidP="00FB1DB1">
      <w:pPr>
        <w:pStyle w:val="Footnote"/>
      </w:pPr>
      <w:r w:rsidRPr="00000738">
        <w:rPr>
          <w:rStyle w:val="FootnoteReference"/>
        </w:rPr>
        <w:footnoteRef/>
      </w:r>
      <w:r>
        <w:rPr>
          <w:bCs/>
        </w:rPr>
        <w:t xml:space="preserve"> </w:t>
      </w:r>
      <w:proofErr w:type="spellStart"/>
      <w:r w:rsidRPr="00000738">
        <w:rPr>
          <w:bCs/>
        </w:rPr>
        <w:t>Jhum</w:t>
      </w:r>
      <w:proofErr w:type="spellEnd"/>
      <w:r w:rsidRPr="00000738">
        <w:rPr>
          <w:bCs/>
        </w:rPr>
        <w:t xml:space="preserve"> cultivation</w:t>
      </w:r>
      <w:r w:rsidRPr="00000738">
        <w:t xml:space="preserve"> </w:t>
      </w:r>
      <w:r>
        <w:t>was</w:t>
      </w:r>
      <w:r w:rsidRPr="00000738">
        <w:t xml:space="preserve"> </w:t>
      </w:r>
      <w:r>
        <w:t xml:space="preserve">an agricultural method of </w:t>
      </w:r>
      <w:r w:rsidRPr="00000738">
        <w:t>slash and burn</w:t>
      </w:r>
      <w:r>
        <w:t>: land for crops was created by first slashing the trees and vegetation on the land, then burning the slashed</w:t>
      </w:r>
      <w:r w:rsidRPr="00000738">
        <w:t xml:space="preserve"> </w:t>
      </w:r>
      <w:r>
        <w:t>growth</w:t>
      </w:r>
      <w:r w:rsidRPr="00000738">
        <w:t>.</w:t>
      </w:r>
    </w:p>
  </w:footnote>
  <w:footnote w:id="2">
    <w:p w14:paraId="4530006B" w14:textId="30F111AD" w:rsidR="0020609E" w:rsidRPr="00000738" w:rsidRDefault="0020609E" w:rsidP="00CA428A">
      <w:pPr>
        <w:pStyle w:val="FootnoteText"/>
        <w:rPr>
          <w:rFonts w:ascii="Arial" w:hAnsi="Arial" w:cs="Arial"/>
          <w:sz w:val="17"/>
          <w:szCs w:val="17"/>
        </w:rPr>
      </w:pPr>
      <w:r w:rsidRPr="00000738">
        <w:rPr>
          <w:rStyle w:val="FootnoteReference"/>
          <w:rFonts w:ascii="Arial" w:hAnsi="Arial" w:cs="Arial"/>
          <w:sz w:val="17"/>
          <w:szCs w:val="17"/>
        </w:rPr>
        <w:footnoteRef/>
      </w:r>
      <w:r w:rsidRPr="00000738">
        <w:rPr>
          <w:rFonts w:ascii="Arial" w:hAnsi="Arial" w:cs="Arial"/>
          <w:sz w:val="17"/>
          <w:szCs w:val="17"/>
        </w:rPr>
        <w:t xml:space="preserve"> </w:t>
      </w:r>
      <w:r w:rsidRPr="000A4B3F">
        <w:rPr>
          <w:rFonts w:ascii="Arial" w:hAnsi="Arial" w:cs="Arial"/>
          <w:sz w:val="17"/>
          <w:szCs w:val="17"/>
          <w:lang w:val="en-US"/>
        </w:rPr>
        <w:t>₹ = INR = Indian rupee</w:t>
      </w:r>
      <w:r>
        <w:rPr>
          <w:rFonts w:ascii="Arial" w:hAnsi="Arial" w:cs="Arial"/>
          <w:sz w:val="17"/>
          <w:szCs w:val="17"/>
          <w:lang w:val="en-US"/>
        </w:rPr>
        <w:t xml:space="preserve">; </w:t>
      </w:r>
      <w:r w:rsidR="004D6F98">
        <w:rPr>
          <w:rFonts w:ascii="Arial" w:hAnsi="Arial" w:cs="Arial"/>
          <w:sz w:val="17"/>
          <w:szCs w:val="17"/>
          <w:lang w:val="en-US"/>
        </w:rPr>
        <w:t xml:space="preserve">all currency amounts are in </w:t>
      </w:r>
      <w:r w:rsidR="004D6F98" w:rsidRPr="000A4B3F">
        <w:rPr>
          <w:rFonts w:ascii="Arial" w:hAnsi="Arial" w:cs="Arial"/>
          <w:sz w:val="17"/>
          <w:szCs w:val="17"/>
          <w:lang w:val="en-US"/>
        </w:rPr>
        <w:t>₹</w:t>
      </w:r>
      <w:r w:rsidR="004D6F98">
        <w:rPr>
          <w:rFonts w:ascii="Arial" w:hAnsi="Arial" w:cs="Arial"/>
          <w:sz w:val="17"/>
          <w:szCs w:val="17"/>
          <w:lang w:val="en-US"/>
        </w:rPr>
        <w:t xml:space="preserve"> unless otherwise specified; </w:t>
      </w:r>
      <w:r w:rsidRPr="00000738">
        <w:rPr>
          <w:rFonts w:ascii="Arial" w:hAnsi="Arial" w:cs="Arial"/>
          <w:sz w:val="17"/>
          <w:szCs w:val="17"/>
        </w:rPr>
        <w:t>US$</w:t>
      </w:r>
      <w:r>
        <w:rPr>
          <w:rFonts w:ascii="Arial" w:hAnsi="Arial" w:cs="Arial"/>
          <w:sz w:val="17"/>
          <w:szCs w:val="17"/>
        </w:rPr>
        <w:t>1</w:t>
      </w:r>
      <w:r w:rsidRPr="00000738">
        <w:rPr>
          <w:rFonts w:ascii="Arial" w:hAnsi="Arial" w:cs="Arial"/>
          <w:sz w:val="17"/>
          <w:szCs w:val="17"/>
        </w:rPr>
        <w:t xml:space="preserve"> = ₹</w:t>
      </w:r>
      <w:r>
        <w:rPr>
          <w:rFonts w:ascii="Arial" w:hAnsi="Arial" w:cs="Arial"/>
          <w:sz w:val="17"/>
          <w:szCs w:val="17"/>
        </w:rPr>
        <w:t>63.189</w:t>
      </w:r>
      <w:r w:rsidRPr="00000738">
        <w:rPr>
          <w:rFonts w:ascii="Arial" w:hAnsi="Arial" w:cs="Arial"/>
          <w:sz w:val="17"/>
          <w:szCs w:val="17"/>
        </w:rPr>
        <w:t xml:space="preserve"> </w:t>
      </w:r>
      <w:r>
        <w:rPr>
          <w:rFonts w:ascii="Arial" w:hAnsi="Arial" w:cs="Arial"/>
          <w:sz w:val="17"/>
          <w:szCs w:val="17"/>
        </w:rPr>
        <w:t>on</w:t>
      </w:r>
      <w:r w:rsidRPr="00000738">
        <w:rPr>
          <w:rFonts w:ascii="Arial" w:hAnsi="Arial" w:cs="Arial"/>
          <w:sz w:val="17"/>
          <w:szCs w:val="17"/>
        </w:rPr>
        <w:t xml:space="preserve"> </w:t>
      </w:r>
      <w:r>
        <w:rPr>
          <w:rFonts w:ascii="Arial" w:hAnsi="Arial" w:cs="Arial"/>
          <w:sz w:val="17"/>
          <w:szCs w:val="17"/>
        </w:rPr>
        <w:t xml:space="preserve">December 31, </w:t>
      </w:r>
      <w:r w:rsidRPr="00000738">
        <w:rPr>
          <w:rFonts w:ascii="Arial" w:hAnsi="Arial" w:cs="Arial"/>
          <w:sz w:val="17"/>
          <w:szCs w:val="17"/>
        </w:rPr>
        <w:t>201</w:t>
      </w:r>
      <w:r>
        <w:rPr>
          <w:rFonts w:ascii="Arial" w:hAnsi="Arial" w:cs="Arial"/>
          <w:sz w:val="17"/>
          <w:szCs w:val="17"/>
        </w:rPr>
        <w:t>4.</w:t>
      </w:r>
    </w:p>
  </w:footnote>
  <w:footnote w:id="3">
    <w:p w14:paraId="71A3DCBD" w14:textId="766D656B" w:rsidR="0020609E" w:rsidRPr="00731F40" w:rsidRDefault="0020609E" w:rsidP="005F188C">
      <w:pPr>
        <w:pStyle w:val="Footnote"/>
        <w:rPr>
          <w:color w:val="0070C0"/>
          <w:u w:val="single"/>
        </w:rPr>
      </w:pPr>
      <w:r w:rsidRPr="00000738">
        <w:rPr>
          <w:rStyle w:val="FootnoteReference"/>
        </w:rPr>
        <w:footnoteRef/>
      </w:r>
      <w:r w:rsidRPr="00000738">
        <w:t xml:space="preserve"> </w:t>
      </w:r>
      <w:r>
        <w:t>“</w:t>
      </w:r>
      <w:r w:rsidR="008268FC">
        <w:t>Statistics:</w:t>
      </w:r>
      <w:r>
        <w:t xml:space="preserve"> Estimated Production,” </w:t>
      </w:r>
      <w:r w:rsidRPr="00000738">
        <w:t xml:space="preserve">Tea </w:t>
      </w:r>
      <w:r>
        <w:t xml:space="preserve">Board India, </w:t>
      </w:r>
      <w:r w:rsidRPr="00000738">
        <w:t>accessed Jan</w:t>
      </w:r>
      <w:r>
        <w:t>uary</w:t>
      </w:r>
      <w:r w:rsidRPr="00000738">
        <w:t xml:space="preserve"> 19, 2016,</w:t>
      </w:r>
      <w:r w:rsidR="008268FC">
        <w:rPr>
          <w:rStyle w:val="FootnoteChar"/>
        </w:rPr>
        <w:t xml:space="preserve"> </w:t>
      </w:r>
      <w:r w:rsidR="008268FC" w:rsidRPr="008268FC">
        <w:rPr>
          <w:rStyle w:val="FootnoteChar"/>
        </w:rPr>
        <w:t>www.teaboard.gov.in/TEABOARDCSM/MTU=</w:t>
      </w:r>
      <w:r w:rsidR="008268FC">
        <w:rPr>
          <w:rStyle w:val="FootnoteChar"/>
        </w:rPr>
        <w:t>;</w:t>
      </w:r>
      <w:r w:rsidRPr="00000738">
        <w:t xml:space="preserve"> </w:t>
      </w:r>
      <w:r w:rsidR="00157509">
        <w:t>“Estimated Production for December 2014,” Tea Board</w:t>
      </w:r>
      <w:r w:rsidR="008268FC">
        <w:t>, accessed January 19, 2016,</w:t>
      </w:r>
      <w:r w:rsidR="008268FC">
        <w:rPr>
          <w:rStyle w:val="FootnoteChar"/>
        </w:rPr>
        <w:t xml:space="preserve"> </w:t>
      </w:r>
      <w:r w:rsidR="00157509" w:rsidRPr="00157509">
        <w:rPr>
          <w:rStyle w:val="FootnoteChar"/>
        </w:rPr>
        <w:t>www.teaboard.gov.in/pdf/bulletin/Estimated_production_for_December_2014.pdf</w:t>
      </w:r>
      <w:r w:rsidR="00152DA0">
        <w:rPr>
          <w:rStyle w:val="FootnoteChar"/>
        </w:rPr>
        <w:t>.</w:t>
      </w:r>
    </w:p>
  </w:footnote>
  <w:footnote w:id="4">
    <w:p w14:paraId="335F4CAF" w14:textId="5DD89F8C" w:rsidR="0020609E" w:rsidRPr="00731F40" w:rsidRDefault="0020609E" w:rsidP="0020609E">
      <w:pPr>
        <w:pStyle w:val="Footnote"/>
      </w:pPr>
      <w:r w:rsidRPr="00000738">
        <w:rPr>
          <w:rStyle w:val="FootnoteReference"/>
        </w:rPr>
        <w:footnoteRef/>
      </w:r>
      <w:r w:rsidRPr="00000738">
        <w:t xml:space="preserve"> </w:t>
      </w:r>
      <w:r w:rsidR="00152DA0">
        <w:t>“</w:t>
      </w:r>
      <w:proofErr w:type="spellStart"/>
      <w:r>
        <w:t>NE</w:t>
      </w:r>
      <w:r w:rsidR="008268FC">
        <w:t>DFi</w:t>
      </w:r>
      <w:proofErr w:type="spellEnd"/>
      <w:r>
        <w:t xml:space="preserve"> Databank: North East India,” </w:t>
      </w:r>
      <w:proofErr w:type="spellStart"/>
      <w:r>
        <w:t>NEDFi</w:t>
      </w:r>
      <w:proofErr w:type="spellEnd"/>
      <w:r>
        <w:t xml:space="preserve"> Databank, </w:t>
      </w:r>
      <w:r w:rsidRPr="00000738">
        <w:t>accessed Jan</w:t>
      </w:r>
      <w:r>
        <w:t>uary</w:t>
      </w:r>
      <w:r w:rsidRPr="00000738">
        <w:t xml:space="preserve"> 19, 2016</w:t>
      </w:r>
      <w:r w:rsidRPr="00503246">
        <w:rPr>
          <w:rStyle w:val="FootnoteChar"/>
        </w:rPr>
        <w:t>, http://databank.nedfi.com/content/tea</w:t>
      </w:r>
      <w:r>
        <w:rPr>
          <w:rStyle w:val="FootnoteChar"/>
        </w:rPr>
        <w:t>.</w:t>
      </w:r>
    </w:p>
  </w:footnote>
  <w:footnote w:id="5">
    <w:p w14:paraId="76D99451" w14:textId="1D303816" w:rsidR="0020609E" w:rsidRPr="00503246" w:rsidRDefault="0020609E" w:rsidP="00503246">
      <w:pPr>
        <w:pStyle w:val="Footnote"/>
        <w:rPr>
          <w:lang w:val="en-IN"/>
        </w:rPr>
      </w:pPr>
      <w:r>
        <w:rPr>
          <w:rStyle w:val="FootnoteReference"/>
        </w:rPr>
        <w:footnoteRef/>
      </w:r>
      <w:r>
        <w:t xml:space="preserve"> “Socio-Economical Statistical Information About India</w:t>
      </w:r>
      <w:r w:rsidR="00DD25CF">
        <w:t xml:space="preserve">: </w:t>
      </w:r>
      <w:r>
        <w:t>Agriculture,” India Stat</w:t>
      </w:r>
      <w:r w:rsidR="00DD25CF">
        <w:t>: Revealing India ….Statistically</w:t>
      </w:r>
      <w:r>
        <w:t xml:space="preserve">, accessed January 19, 2016, </w:t>
      </w:r>
      <w:r w:rsidRPr="00EF1034">
        <w:t>www.indiastat.com/agriculture/2/plantationcrop/963290/tea/17582/stats.aspx</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6203E" w14:textId="5392BD1D" w:rsidR="00AD3FEE" w:rsidRPr="00AD3FEE" w:rsidRDefault="0020609E" w:rsidP="006A58A9">
    <w:pPr>
      <w:pBdr>
        <w:bottom w:val="single" w:sz="18" w:space="1" w:color="auto"/>
      </w:pBdr>
      <w:tabs>
        <w:tab w:val="left" w:pos="-1440"/>
        <w:tab w:val="left" w:pos="-720"/>
        <w:tab w:val="right" w:pos="9360"/>
        <w:tab w:val="right" w:pos="10800"/>
      </w:tabs>
      <w:rPr>
        <w:rFonts w:ascii="Arial" w:hAnsi="Arial"/>
        <w:b/>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34A3C">
      <w:rPr>
        <w:rFonts w:ascii="Arial" w:hAnsi="Arial"/>
        <w:b/>
        <w:noProof/>
      </w:rPr>
      <w:t>7</w:t>
    </w:r>
    <w:r>
      <w:rPr>
        <w:rFonts w:ascii="Arial" w:hAnsi="Arial"/>
        <w:b/>
      </w:rPr>
      <w:fldChar w:fldCharType="end"/>
    </w:r>
    <w:r w:rsidR="00AD3FEE">
      <w:rPr>
        <w:rFonts w:ascii="Arial" w:hAnsi="Arial"/>
        <w:b/>
      </w:rPr>
      <w:t xml:space="preserve">                                                                                                                                             </w:t>
    </w:r>
    <w:r w:rsidR="00AD3FEE">
      <w:rPr>
        <w:rFonts w:ascii="Arial" w:hAnsi="Arial"/>
        <w:b/>
      </w:rPr>
      <w:tab/>
      <w:t>9B17A016</w:t>
    </w:r>
  </w:p>
  <w:p w14:paraId="5EF2BB5B" w14:textId="77777777" w:rsidR="0020609E" w:rsidRPr="00C92CC4" w:rsidRDefault="0020609E">
    <w:pPr>
      <w:pStyle w:val="Header"/>
      <w:rPr>
        <w:sz w:val="18"/>
        <w:szCs w:val="18"/>
      </w:rPr>
    </w:pPr>
  </w:p>
  <w:p w14:paraId="210A82C1" w14:textId="77777777" w:rsidR="0020609E" w:rsidRPr="00C92CC4" w:rsidRDefault="0020609E">
    <w:pPr>
      <w:pStyle w:val="Header"/>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xMbWwtDAyMjM3NzZQ0lEKTi0uzszPAykwNKgFACocmU0tAAAA"/>
  </w:docVars>
  <w:rsids>
    <w:rsidRoot w:val="008A4DC4"/>
    <w:rsid w:val="00000738"/>
    <w:rsid w:val="0000085A"/>
    <w:rsid w:val="00006452"/>
    <w:rsid w:val="00013360"/>
    <w:rsid w:val="00014AEA"/>
    <w:rsid w:val="00017AC6"/>
    <w:rsid w:val="0002022D"/>
    <w:rsid w:val="00020E91"/>
    <w:rsid w:val="000216CE"/>
    <w:rsid w:val="00025DC7"/>
    <w:rsid w:val="00026486"/>
    <w:rsid w:val="0003549E"/>
    <w:rsid w:val="00036D0C"/>
    <w:rsid w:val="00044D2E"/>
    <w:rsid w:val="00044ECC"/>
    <w:rsid w:val="000453D9"/>
    <w:rsid w:val="000529F7"/>
    <w:rsid w:val="00052D5F"/>
    <w:rsid w:val="000531D3"/>
    <w:rsid w:val="0005646B"/>
    <w:rsid w:val="0006076D"/>
    <w:rsid w:val="00064A48"/>
    <w:rsid w:val="000660E0"/>
    <w:rsid w:val="0007232D"/>
    <w:rsid w:val="0008102D"/>
    <w:rsid w:val="00081D47"/>
    <w:rsid w:val="00094C0E"/>
    <w:rsid w:val="000A42EE"/>
    <w:rsid w:val="000A4B3F"/>
    <w:rsid w:val="000B21BB"/>
    <w:rsid w:val="000B666B"/>
    <w:rsid w:val="000C2B28"/>
    <w:rsid w:val="000D0418"/>
    <w:rsid w:val="000D101C"/>
    <w:rsid w:val="000E240D"/>
    <w:rsid w:val="000F0165"/>
    <w:rsid w:val="000F0C22"/>
    <w:rsid w:val="000F2338"/>
    <w:rsid w:val="000F5C96"/>
    <w:rsid w:val="000F6533"/>
    <w:rsid w:val="000F6B09"/>
    <w:rsid w:val="000F6FDC"/>
    <w:rsid w:val="00100B39"/>
    <w:rsid w:val="00101A4F"/>
    <w:rsid w:val="00104567"/>
    <w:rsid w:val="00115FC6"/>
    <w:rsid w:val="00116212"/>
    <w:rsid w:val="00117E26"/>
    <w:rsid w:val="0012732D"/>
    <w:rsid w:val="001307A1"/>
    <w:rsid w:val="00131C15"/>
    <w:rsid w:val="00135E9A"/>
    <w:rsid w:val="00136331"/>
    <w:rsid w:val="0013778F"/>
    <w:rsid w:val="001432D4"/>
    <w:rsid w:val="00143F2B"/>
    <w:rsid w:val="00145E87"/>
    <w:rsid w:val="00146005"/>
    <w:rsid w:val="001503E6"/>
    <w:rsid w:val="00152DA0"/>
    <w:rsid w:val="00154FC9"/>
    <w:rsid w:val="00155F43"/>
    <w:rsid w:val="00157509"/>
    <w:rsid w:val="00161EC3"/>
    <w:rsid w:val="00163922"/>
    <w:rsid w:val="001744DB"/>
    <w:rsid w:val="00177231"/>
    <w:rsid w:val="00184DC3"/>
    <w:rsid w:val="00184FA8"/>
    <w:rsid w:val="001909C1"/>
    <w:rsid w:val="0019241A"/>
    <w:rsid w:val="0019443C"/>
    <w:rsid w:val="001A5335"/>
    <w:rsid w:val="001A73E7"/>
    <w:rsid w:val="001A742B"/>
    <w:rsid w:val="001A752D"/>
    <w:rsid w:val="001B4E8C"/>
    <w:rsid w:val="001B518C"/>
    <w:rsid w:val="001B554D"/>
    <w:rsid w:val="001C260F"/>
    <w:rsid w:val="001C3261"/>
    <w:rsid w:val="001C571B"/>
    <w:rsid w:val="001C60B2"/>
    <w:rsid w:val="001D03CC"/>
    <w:rsid w:val="001D785C"/>
    <w:rsid w:val="001F337F"/>
    <w:rsid w:val="001F38F1"/>
    <w:rsid w:val="001F4D08"/>
    <w:rsid w:val="001F5473"/>
    <w:rsid w:val="001F7004"/>
    <w:rsid w:val="00200D62"/>
    <w:rsid w:val="00201511"/>
    <w:rsid w:val="00203AA1"/>
    <w:rsid w:val="0020609E"/>
    <w:rsid w:val="00206A61"/>
    <w:rsid w:val="00207F1B"/>
    <w:rsid w:val="00213E98"/>
    <w:rsid w:val="002178F3"/>
    <w:rsid w:val="00222152"/>
    <w:rsid w:val="002228F8"/>
    <w:rsid w:val="00224898"/>
    <w:rsid w:val="00225C83"/>
    <w:rsid w:val="00247DF4"/>
    <w:rsid w:val="00250E52"/>
    <w:rsid w:val="00256E04"/>
    <w:rsid w:val="002571B0"/>
    <w:rsid w:val="00267384"/>
    <w:rsid w:val="002704A2"/>
    <w:rsid w:val="0027079C"/>
    <w:rsid w:val="002765CB"/>
    <w:rsid w:val="0029187E"/>
    <w:rsid w:val="00295359"/>
    <w:rsid w:val="00297EA3"/>
    <w:rsid w:val="002A0B56"/>
    <w:rsid w:val="002B3EDC"/>
    <w:rsid w:val="002B4EDC"/>
    <w:rsid w:val="002C1843"/>
    <w:rsid w:val="002C7F86"/>
    <w:rsid w:val="002D466A"/>
    <w:rsid w:val="002D4998"/>
    <w:rsid w:val="002D509A"/>
    <w:rsid w:val="002D7F23"/>
    <w:rsid w:val="002E1A6B"/>
    <w:rsid w:val="002E2255"/>
    <w:rsid w:val="002E2D92"/>
    <w:rsid w:val="002E32F0"/>
    <w:rsid w:val="002F460C"/>
    <w:rsid w:val="002F48D6"/>
    <w:rsid w:val="003141B9"/>
    <w:rsid w:val="00315C8C"/>
    <w:rsid w:val="00315ED6"/>
    <w:rsid w:val="003178BF"/>
    <w:rsid w:val="00321ACE"/>
    <w:rsid w:val="00323C02"/>
    <w:rsid w:val="00335730"/>
    <w:rsid w:val="00341E77"/>
    <w:rsid w:val="00343565"/>
    <w:rsid w:val="00347C00"/>
    <w:rsid w:val="003509CA"/>
    <w:rsid w:val="00351DC8"/>
    <w:rsid w:val="00354899"/>
    <w:rsid w:val="00355FD6"/>
    <w:rsid w:val="00361C8E"/>
    <w:rsid w:val="00362A93"/>
    <w:rsid w:val="00364A5C"/>
    <w:rsid w:val="00365D08"/>
    <w:rsid w:val="00373A38"/>
    <w:rsid w:val="00373FB1"/>
    <w:rsid w:val="00375967"/>
    <w:rsid w:val="003764F0"/>
    <w:rsid w:val="00381482"/>
    <w:rsid w:val="003817C5"/>
    <w:rsid w:val="0038678B"/>
    <w:rsid w:val="003877E0"/>
    <w:rsid w:val="00393C76"/>
    <w:rsid w:val="00397FBA"/>
    <w:rsid w:val="003A18A7"/>
    <w:rsid w:val="003A57FC"/>
    <w:rsid w:val="003B30D8"/>
    <w:rsid w:val="003B7EF2"/>
    <w:rsid w:val="003C39DB"/>
    <w:rsid w:val="003C3FA4"/>
    <w:rsid w:val="003D01D3"/>
    <w:rsid w:val="003D2066"/>
    <w:rsid w:val="003D5C9D"/>
    <w:rsid w:val="003F2B0C"/>
    <w:rsid w:val="003F3A38"/>
    <w:rsid w:val="003F53C3"/>
    <w:rsid w:val="003F6FD7"/>
    <w:rsid w:val="003F708E"/>
    <w:rsid w:val="00400436"/>
    <w:rsid w:val="0040156B"/>
    <w:rsid w:val="004042BB"/>
    <w:rsid w:val="004160A9"/>
    <w:rsid w:val="00421461"/>
    <w:rsid w:val="004221E4"/>
    <w:rsid w:val="00430B97"/>
    <w:rsid w:val="004338F0"/>
    <w:rsid w:val="00445DC2"/>
    <w:rsid w:val="00446AD0"/>
    <w:rsid w:val="00450CB8"/>
    <w:rsid w:val="00452DD5"/>
    <w:rsid w:val="00462D92"/>
    <w:rsid w:val="00471088"/>
    <w:rsid w:val="00473FB4"/>
    <w:rsid w:val="004812D8"/>
    <w:rsid w:val="00483AF9"/>
    <w:rsid w:val="00490DB5"/>
    <w:rsid w:val="004A16C0"/>
    <w:rsid w:val="004A46B9"/>
    <w:rsid w:val="004A682B"/>
    <w:rsid w:val="004B14C7"/>
    <w:rsid w:val="004B1CCB"/>
    <w:rsid w:val="004B66C5"/>
    <w:rsid w:val="004C224F"/>
    <w:rsid w:val="004C36DC"/>
    <w:rsid w:val="004D24AF"/>
    <w:rsid w:val="004D331D"/>
    <w:rsid w:val="004D469E"/>
    <w:rsid w:val="004D6031"/>
    <w:rsid w:val="004D6F98"/>
    <w:rsid w:val="004D73A5"/>
    <w:rsid w:val="004E3E1B"/>
    <w:rsid w:val="004E4018"/>
    <w:rsid w:val="004F0F14"/>
    <w:rsid w:val="004F6B80"/>
    <w:rsid w:val="00503246"/>
    <w:rsid w:val="00503DBE"/>
    <w:rsid w:val="00507000"/>
    <w:rsid w:val="00513E05"/>
    <w:rsid w:val="005277BA"/>
    <w:rsid w:val="005303C2"/>
    <w:rsid w:val="00532005"/>
    <w:rsid w:val="00532CF5"/>
    <w:rsid w:val="00533390"/>
    <w:rsid w:val="005528CB"/>
    <w:rsid w:val="00553D20"/>
    <w:rsid w:val="00554CC1"/>
    <w:rsid w:val="00555C6D"/>
    <w:rsid w:val="005648A9"/>
    <w:rsid w:val="00566771"/>
    <w:rsid w:val="00571899"/>
    <w:rsid w:val="00573B53"/>
    <w:rsid w:val="00581E2E"/>
    <w:rsid w:val="00582604"/>
    <w:rsid w:val="0058409C"/>
    <w:rsid w:val="00584F15"/>
    <w:rsid w:val="00586AE3"/>
    <w:rsid w:val="00587A5A"/>
    <w:rsid w:val="0059086F"/>
    <w:rsid w:val="0059237A"/>
    <w:rsid w:val="005A2F89"/>
    <w:rsid w:val="005A58A8"/>
    <w:rsid w:val="005A6DD2"/>
    <w:rsid w:val="005A762F"/>
    <w:rsid w:val="005B1A51"/>
    <w:rsid w:val="005B34E1"/>
    <w:rsid w:val="005D0435"/>
    <w:rsid w:val="005D25BC"/>
    <w:rsid w:val="005E3015"/>
    <w:rsid w:val="005E5F4B"/>
    <w:rsid w:val="005F188C"/>
    <w:rsid w:val="006018CE"/>
    <w:rsid w:val="00606E35"/>
    <w:rsid w:val="0061108A"/>
    <w:rsid w:val="0061448F"/>
    <w:rsid w:val="006163F7"/>
    <w:rsid w:val="00627A01"/>
    <w:rsid w:val="00635837"/>
    <w:rsid w:val="00642766"/>
    <w:rsid w:val="00652606"/>
    <w:rsid w:val="00652873"/>
    <w:rsid w:val="00653E3C"/>
    <w:rsid w:val="006552FC"/>
    <w:rsid w:val="00655A4E"/>
    <w:rsid w:val="00665D3F"/>
    <w:rsid w:val="006745FB"/>
    <w:rsid w:val="00676603"/>
    <w:rsid w:val="00677749"/>
    <w:rsid w:val="00680782"/>
    <w:rsid w:val="00682754"/>
    <w:rsid w:val="006860DB"/>
    <w:rsid w:val="006862E8"/>
    <w:rsid w:val="00687DD1"/>
    <w:rsid w:val="00694B34"/>
    <w:rsid w:val="006A58A9"/>
    <w:rsid w:val="006A606D"/>
    <w:rsid w:val="006B503A"/>
    <w:rsid w:val="006B7F7A"/>
    <w:rsid w:val="006C00F2"/>
    <w:rsid w:val="006C0371"/>
    <w:rsid w:val="006C08B6"/>
    <w:rsid w:val="006C0B1A"/>
    <w:rsid w:val="006C4384"/>
    <w:rsid w:val="006C5A68"/>
    <w:rsid w:val="006C6065"/>
    <w:rsid w:val="006C7164"/>
    <w:rsid w:val="006C7F9F"/>
    <w:rsid w:val="006D3A62"/>
    <w:rsid w:val="006E0CA8"/>
    <w:rsid w:val="006E2F6D"/>
    <w:rsid w:val="006E58F6"/>
    <w:rsid w:val="006E724C"/>
    <w:rsid w:val="006E7510"/>
    <w:rsid w:val="006E77E1"/>
    <w:rsid w:val="006F131D"/>
    <w:rsid w:val="006F41F5"/>
    <w:rsid w:val="006F4431"/>
    <w:rsid w:val="0070147F"/>
    <w:rsid w:val="00702B0A"/>
    <w:rsid w:val="007068BE"/>
    <w:rsid w:val="00710751"/>
    <w:rsid w:val="00711DA5"/>
    <w:rsid w:val="00712E3F"/>
    <w:rsid w:val="00721D3E"/>
    <w:rsid w:val="00722563"/>
    <w:rsid w:val="007264B5"/>
    <w:rsid w:val="00731F40"/>
    <w:rsid w:val="00731FA0"/>
    <w:rsid w:val="0074665A"/>
    <w:rsid w:val="0074733E"/>
    <w:rsid w:val="00752BCD"/>
    <w:rsid w:val="007612AB"/>
    <w:rsid w:val="00766DA1"/>
    <w:rsid w:val="00770534"/>
    <w:rsid w:val="00771927"/>
    <w:rsid w:val="007728E2"/>
    <w:rsid w:val="0077621E"/>
    <w:rsid w:val="007866A6"/>
    <w:rsid w:val="00787039"/>
    <w:rsid w:val="007A130D"/>
    <w:rsid w:val="007A1C0E"/>
    <w:rsid w:val="007A3D80"/>
    <w:rsid w:val="007A6A7F"/>
    <w:rsid w:val="007A74D3"/>
    <w:rsid w:val="007A7781"/>
    <w:rsid w:val="007B1543"/>
    <w:rsid w:val="007B37AA"/>
    <w:rsid w:val="007C30FC"/>
    <w:rsid w:val="007C608B"/>
    <w:rsid w:val="007C6817"/>
    <w:rsid w:val="007C6AD2"/>
    <w:rsid w:val="007D360E"/>
    <w:rsid w:val="007D4102"/>
    <w:rsid w:val="007E13E6"/>
    <w:rsid w:val="007E5921"/>
    <w:rsid w:val="007E65B3"/>
    <w:rsid w:val="007F3ADF"/>
    <w:rsid w:val="0080028B"/>
    <w:rsid w:val="008002F7"/>
    <w:rsid w:val="00800773"/>
    <w:rsid w:val="00800EE7"/>
    <w:rsid w:val="008062D5"/>
    <w:rsid w:val="008068A2"/>
    <w:rsid w:val="00806A28"/>
    <w:rsid w:val="008073C5"/>
    <w:rsid w:val="00807B4A"/>
    <w:rsid w:val="008128D5"/>
    <w:rsid w:val="00812D0F"/>
    <w:rsid w:val="00815D99"/>
    <w:rsid w:val="00821FFC"/>
    <w:rsid w:val="0082677D"/>
    <w:rsid w:val="008268FC"/>
    <w:rsid w:val="008271CA"/>
    <w:rsid w:val="0082788C"/>
    <w:rsid w:val="008342F3"/>
    <w:rsid w:val="00842021"/>
    <w:rsid w:val="00845F27"/>
    <w:rsid w:val="008467D5"/>
    <w:rsid w:val="008559FC"/>
    <w:rsid w:val="00856D9F"/>
    <w:rsid w:val="008575B3"/>
    <w:rsid w:val="00866F6D"/>
    <w:rsid w:val="00872039"/>
    <w:rsid w:val="00872231"/>
    <w:rsid w:val="00873EDA"/>
    <w:rsid w:val="00876AAE"/>
    <w:rsid w:val="008822F0"/>
    <w:rsid w:val="00885ADA"/>
    <w:rsid w:val="008938C5"/>
    <w:rsid w:val="00893DA2"/>
    <w:rsid w:val="00894A19"/>
    <w:rsid w:val="008A4DC4"/>
    <w:rsid w:val="008B07D8"/>
    <w:rsid w:val="008D1225"/>
    <w:rsid w:val="008E5571"/>
    <w:rsid w:val="008E644D"/>
    <w:rsid w:val="008E6918"/>
    <w:rsid w:val="008F2858"/>
    <w:rsid w:val="008F3930"/>
    <w:rsid w:val="00905597"/>
    <w:rsid w:val="009065D5"/>
    <w:rsid w:val="009067A4"/>
    <w:rsid w:val="0090722E"/>
    <w:rsid w:val="00922F96"/>
    <w:rsid w:val="009245A9"/>
    <w:rsid w:val="0092483C"/>
    <w:rsid w:val="009340DB"/>
    <w:rsid w:val="009370F1"/>
    <w:rsid w:val="00940C23"/>
    <w:rsid w:val="009507C9"/>
    <w:rsid w:val="009550CD"/>
    <w:rsid w:val="0095679E"/>
    <w:rsid w:val="0096277B"/>
    <w:rsid w:val="009627D8"/>
    <w:rsid w:val="00965064"/>
    <w:rsid w:val="00972498"/>
    <w:rsid w:val="0097301A"/>
    <w:rsid w:val="00974CC6"/>
    <w:rsid w:val="0097642A"/>
    <w:rsid w:val="00976AD4"/>
    <w:rsid w:val="00995731"/>
    <w:rsid w:val="0099579D"/>
    <w:rsid w:val="009A312F"/>
    <w:rsid w:val="009A4A5D"/>
    <w:rsid w:val="009A4ED8"/>
    <w:rsid w:val="009A5348"/>
    <w:rsid w:val="009A67BB"/>
    <w:rsid w:val="009A68E0"/>
    <w:rsid w:val="009B4723"/>
    <w:rsid w:val="009C17B3"/>
    <w:rsid w:val="009C4285"/>
    <w:rsid w:val="009C76D5"/>
    <w:rsid w:val="009C798B"/>
    <w:rsid w:val="009F021B"/>
    <w:rsid w:val="009F1020"/>
    <w:rsid w:val="009F11A0"/>
    <w:rsid w:val="009F600E"/>
    <w:rsid w:val="009F7AA4"/>
    <w:rsid w:val="00A025EE"/>
    <w:rsid w:val="00A057A4"/>
    <w:rsid w:val="00A05D2D"/>
    <w:rsid w:val="00A16034"/>
    <w:rsid w:val="00A2128A"/>
    <w:rsid w:val="00A26A6C"/>
    <w:rsid w:val="00A3355A"/>
    <w:rsid w:val="00A3506A"/>
    <w:rsid w:val="00A36E99"/>
    <w:rsid w:val="00A463D6"/>
    <w:rsid w:val="00A471E0"/>
    <w:rsid w:val="00A559DB"/>
    <w:rsid w:val="00A57503"/>
    <w:rsid w:val="00A6050B"/>
    <w:rsid w:val="00A6075B"/>
    <w:rsid w:val="00A61B5B"/>
    <w:rsid w:val="00A65A77"/>
    <w:rsid w:val="00A70A5D"/>
    <w:rsid w:val="00A71BE6"/>
    <w:rsid w:val="00A81664"/>
    <w:rsid w:val="00A85C72"/>
    <w:rsid w:val="00A8742B"/>
    <w:rsid w:val="00A921EE"/>
    <w:rsid w:val="00A954B6"/>
    <w:rsid w:val="00A95634"/>
    <w:rsid w:val="00A97460"/>
    <w:rsid w:val="00AA2A60"/>
    <w:rsid w:val="00AA4368"/>
    <w:rsid w:val="00AB7E3E"/>
    <w:rsid w:val="00AC36ED"/>
    <w:rsid w:val="00AD1F66"/>
    <w:rsid w:val="00AD3FEE"/>
    <w:rsid w:val="00AD51D0"/>
    <w:rsid w:val="00AD78AB"/>
    <w:rsid w:val="00AF35FC"/>
    <w:rsid w:val="00AF49E9"/>
    <w:rsid w:val="00B0107D"/>
    <w:rsid w:val="00B03639"/>
    <w:rsid w:val="00B0652A"/>
    <w:rsid w:val="00B24352"/>
    <w:rsid w:val="00B2702D"/>
    <w:rsid w:val="00B30350"/>
    <w:rsid w:val="00B33B91"/>
    <w:rsid w:val="00B3757D"/>
    <w:rsid w:val="00B40743"/>
    <w:rsid w:val="00B40937"/>
    <w:rsid w:val="00B423EF"/>
    <w:rsid w:val="00B453DE"/>
    <w:rsid w:val="00B4742F"/>
    <w:rsid w:val="00B52613"/>
    <w:rsid w:val="00B57392"/>
    <w:rsid w:val="00B60EAB"/>
    <w:rsid w:val="00B61D1B"/>
    <w:rsid w:val="00B6202B"/>
    <w:rsid w:val="00B74055"/>
    <w:rsid w:val="00B77018"/>
    <w:rsid w:val="00B804D6"/>
    <w:rsid w:val="00B8620C"/>
    <w:rsid w:val="00B901F9"/>
    <w:rsid w:val="00B91C2E"/>
    <w:rsid w:val="00BA355B"/>
    <w:rsid w:val="00BA5CA0"/>
    <w:rsid w:val="00BA73CF"/>
    <w:rsid w:val="00BB2030"/>
    <w:rsid w:val="00BC322B"/>
    <w:rsid w:val="00BD6EFB"/>
    <w:rsid w:val="00BE38E3"/>
    <w:rsid w:val="00BE670E"/>
    <w:rsid w:val="00BF5271"/>
    <w:rsid w:val="00C05CEF"/>
    <w:rsid w:val="00C11DF6"/>
    <w:rsid w:val="00C15BE2"/>
    <w:rsid w:val="00C1631C"/>
    <w:rsid w:val="00C21BB2"/>
    <w:rsid w:val="00C22219"/>
    <w:rsid w:val="00C27862"/>
    <w:rsid w:val="00C3447F"/>
    <w:rsid w:val="00C40911"/>
    <w:rsid w:val="00C41817"/>
    <w:rsid w:val="00C5550C"/>
    <w:rsid w:val="00C5767A"/>
    <w:rsid w:val="00C64A4A"/>
    <w:rsid w:val="00C81053"/>
    <w:rsid w:val="00C81491"/>
    <w:rsid w:val="00C81676"/>
    <w:rsid w:val="00C83758"/>
    <w:rsid w:val="00C90132"/>
    <w:rsid w:val="00C92CC4"/>
    <w:rsid w:val="00C93794"/>
    <w:rsid w:val="00CA0AFB"/>
    <w:rsid w:val="00CA2CE1"/>
    <w:rsid w:val="00CA3976"/>
    <w:rsid w:val="00CA428A"/>
    <w:rsid w:val="00CA757B"/>
    <w:rsid w:val="00CB01E2"/>
    <w:rsid w:val="00CB482A"/>
    <w:rsid w:val="00CB4B68"/>
    <w:rsid w:val="00CB73FD"/>
    <w:rsid w:val="00CC0886"/>
    <w:rsid w:val="00CC100C"/>
    <w:rsid w:val="00CC1787"/>
    <w:rsid w:val="00CC182C"/>
    <w:rsid w:val="00CC2802"/>
    <w:rsid w:val="00CC37FD"/>
    <w:rsid w:val="00CD0824"/>
    <w:rsid w:val="00CD2908"/>
    <w:rsid w:val="00CD75D8"/>
    <w:rsid w:val="00CE43FF"/>
    <w:rsid w:val="00CE46CA"/>
    <w:rsid w:val="00CF3B17"/>
    <w:rsid w:val="00CF4C23"/>
    <w:rsid w:val="00D0153A"/>
    <w:rsid w:val="00D03A82"/>
    <w:rsid w:val="00D1465F"/>
    <w:rsid w:val="00D15344"/>
    <w:rsid w:val="00D20254"/>
    <w:rsid w:val="00D31BEC"/>
    <w:rsid w:val="00D32D16"/>
    <w:rsid w:val="00D34A3C"/>
    <w:rsid w:val="00D3664E"/>
    <w:rsid w:val="00D40DD8"/>
    <w:rsid w:val="00D41C4D"/>
    <w:rsid w:val="00D52E79"/>
    <w:rsid w:val="00D56B5C"/>
    <w:rsid w:val="00D60D08"/>
    <w:rsid w:val="00D60F92"/>
    <w:rsid w:val="00D63150"/>
    <w:rsid w:val="00D64A32"/>
    <w:rsid w:val="00D64EFC"/>
    <w:rsid w:val="00D75295"/>
    <w:rsid w:val="00D76CE9"/>
    <w:rsid w:val="00D82FC7"/>
    <w:rsid w:val="00D92428"/>
    <w:rsid w:val="00D95FFB"/>
    <w:rsid w:val="00D97F12"/>
    <w:rsid w:val="00DA0C30"/>
    <w:rsid w:val="00DA2B39"/>
    <w:rsid w:val="00DB1605"/>
    <w:rsid w:val="00DB42E7"/>
    <w:rsid w:val="00DB6052"/>
    <w:rsid w:val="00DB77EA"/>
    <w:rsid w:val="00DD25CA"/>
    <w:rsid w:val="00DD25CF"/>
    <w:rsid w:val="00DD3A2B"/>
    <w:rsid w:val="00DD3F97"/>
    <w:rsid w:val="00DF32C2"/>
    <w:rsid w:val="00E00E81"/>
    <w:rsid w:val="00E03A3B"/>
    <w:rsid w:val="00E17789"/>
    <w:rsid w:val="00E32BA2"/>
    <w:rsid w:val="00E358BA"/>
    <w:rsid w:val="00E40907"/>
    <w:rsid w:val="00E41575"/>
    <w:rsid w:val="00E443EF"/>
    <w:rsid w:val="00E471A7"/>
    <w:rsid w:val="00E5141F"/>
    <w:rsid w:val="00E55A07"/>
    <w:rsid w:val="00E57F0D"/>
    <w:rsid w:val="00E635CF"/>
    <w:rsid w:val="00E65F9F"/>
    <w:rsid w:val="00E66720"/>
    <w:rsid w:val="00E730D4"/>
    <w:rsid w:val="00E735AD"/>
    <w:rsid w:val="00E74693"/>
    <w:rsid w:val="00E757C5"/>
    <w:rsid w:val="00E8337C"/>
    <w:rsid w:val="00E83FA6"/>
    <w:rsid w:val="00E85022"/>
    <w:rsid w:val="00E869E0"/>
    <w:rsid w:val="00EA33C7"/>
    <w:rsid w:val="00EB5410"/>
    <w:rsid w:val="00EB75E1"/>
    <w:rsid w:val="00EC6E0A"/>
    <w:rsid w:val="00ED2FDC"/>
    <w:rsid w:val="00ED3000"/>
    <w:rsid w:val="00ED4E18"/>
    <w:rsid w:val="00EE1F37"/>
    <w:rsid w:val="00EF1034"/>
    <w:rsid w:val="00EF495F"/>
    <w:rsid w:val="00EF4D93"/>
    <w:rsid w:val="00EF5212"/>
    <w:rsid w:val="00EF6C86"/>
    <w:rsid w:val="00F0159C"/>
    <w:rsid w:val="00F105B7"/>
    <w:rsid w:val="00F11A59"/>
    <w:rsid w:val="00F17A21"/>
    <w:rsid w:val="00F22B05"/>
    <w:rsid w:val="00F32845"/>
    <w:rsid w:val="00F33442"/>
    <w:rsid w:val="00F368CD"/>
    <w:rsid w:val="00F50E91"/>
    <w:rsid w:val="00F57D29"/>
    <w:rsid w:val="00F7474C"/>
    <w:rsid w:val="00F7666D"/>
    <w:rsid w:val="00F82140"/>
    <w:rsid w:val="00F84AB1"/>
    <w:rsid w:val="00F84ED9"/>
    <w:rsid w:val="00F92A99"/>
    <w:rsid w:val="00F96201"/>
    <w:rsid w:val="00FA7D61"/>
    <w:rsid w:val="00FB1DB1"/>
    <w:rsid w:val="00FB20C1"/>
    <w:rsid w:val="00FB335D"/>
    <w:rsid w:val="00FB703D"/>
    <w:rsid w:val="00FC013A"/>
    <w:rsid w:val="00FC1A7C"/>
    <w:rsid w:val="00FC30E9"/>
    <w:rsid w:val="00FD0B18"/>
    <w:rsid w:val="00FD0CAB"/>
    <w:rsid w:val="00FD0F82"/>
    <w:rsid w:val="00FD14BC"/>
    <w:rsid w:val="00FD27A6"/>
    <w:rsid w:val="00FD4791"/>
    <w:rsid w:val="00FE714F"/>
    <w:rsid w:val="00FF1AA6"/>
    <w:rsid w:val="00FF3C8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AD8146E"/>
  <w15:docId w15:val="{752716DB-B505-409F-A34B-EBAB7243E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C571B"/>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rsid w:val="00EA33C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IN" w:eastAsia="en-IN"/>
    </w:rPr>
  </w:style>
  <w:style w:type="paragraph" w:styleId="Heading4">
    <w:name w:val="heading 4"/>
    <w:basedOn w:val="Normal"/>
    <w:link w:val="Heading4Char"/>
    <w:uiPriority w:val="9"/>
    <w:rsid w:val="00EA33C7"/>
    <w:pPr>
      <w:spacing w:before="100" w:beforeAutospacing="1" w:after="100" w:afterAutospacing="1"/>
      <w:outlineLvl w:val="3"/>
    </w:pPr>
    <w:rPr>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200D62"/>
    <w:rPr>
      <w:rFonts w:ascii="Times New Roman" w:hAnsi="Times New Roman"/>
      <w:color w:val="auto"/>
      <w:vertAlign w:val="superscript"/>
    </w:rPr>
  </w:style>
  <w:style w:type="paragraph" w:customStyle="1" w:styleId="Footnote">
    <w:name w:val="Footnote"/>
    <w:basedOn w:val="FootnoteText"/>
    <w:link w:val="FootnoteChar"/>
    <w:qFormat/>
    <w:rsid w:val="001C571B"/>
    <w:pPr>
      <w:jc w:val="both"/>
    </w:pPr>
    <w:rPr>
      <w:rFonts w:ascii="Arial" w:hAnsi="Arial" w:cs="Arial"/>
      <w:sz w:val="17"/>
      <w:szCs w:val="17"/>
    </w:rPr>
  </w:style>
  <w:style w:type="character" w:customStyle="1" w:styleId="FootnoteChar">
    <w:name w:val="Footnote Char"/>
    <w:basedOn w:val="FootnoteTextChar"/>
    <w:link w:val="Footnote"/>
    <w:rsid w:val="001C571B"/>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EA33C7"/>
    <w:rPr>
      <w:rFonts w:asciiTheme="majorHAnsi" w:eastAsiaTheme="majorEastAsia" w:hAnsiTheme="majorHAnsi" w:cstheme="majorBidi"/>
      <w:b/>
      <w:bCs/>
      <w:color w:val="365F91" w:themeColor="accent1" w:themeShade="BF"/>
      <w:sz w:val="28"/>
      <w:szCs w:val="28"/>
      <w:lang w:val="en-IN" w:eastAsia="en-IN"/>
    </w:rPr>
  </w:style>
  <w:style w:type="character" w:customStyle="1" w:styleId="Heading4Char">
    <w:name w:val="Heading 4 Char"/>
    <w:basedOn w:val="DefaultParagraphFont"/>
    <w:link w:val="Heading4"/>
    <w:uiPriority w:val="9"/>
    <w:rsid w:val="00EA33C7"/>
    <w:rPr>
      <w:rFonts w:ascii="Times New Roman" w:eastAsia="Times New Roman" w:hAnsi="Times New Roman" w:cs="Times New Roman"/>
      <w:b/>
      <w:bCs/>
      <w:sz w:val="24"/>
      <w:szCs w:val="24"/>
      <w:lang w:val="en-IN" w:eastAsia="en-IN"/>
    </w:rPr>
  </w:style>
  <w:style w:type="table" w:customStyle="1" w:styleId="LightGrid1">
    <w:name w:val="Light Grid1"/>
    <w:basedOn w:val="TableNormal"/>
    <w:uiPriority w:val="62"/>
    <w:rsid w:val="00EA33C7"/>
    <w:pPr>
      <w:spacing w:after="0" w:line="240" w:lineRule="auto"/>
    </w:pPr>
    <w:rPr>
      <w:rFonts w:eastAsiaTheme="minorEastAsia"/>
      <w:lang w:val="en-IN" w:eastAsia="en-I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Fusszeile2">
    <w:name w:val="Fusszeile2"/>
    <w:basedOn w:val="Normal"/>
    <w:uiPriority w:val="99"/>
    <w:rsid w:val="00EA33C7"/>
    <w:pPr>
      <w:pBdr>
        <w:top w:val="single" w:sz="4" w:space="1" w:color="auto"/>
      </w:pBdr>
      <w:spacing w:after="120" w:line="280" w:lineRule="atLeast"/>
      <w:ind w:right="74"/>
      <w:jc w:val="both"/>
    </w:pPr>
    <w:rPr>
      <w:sz w:val="22"/>
      <w:szCs w:val="22"/>
      <w:lang w:eastAsia="de-DE"/>
    </w:rPr>
  </w:style>
  <w:style w:type="paragraph" w:customStyle="1" w:styleId="Default">
    <w:name w:val="Default"/>
    <w:rsid w:val="00EA33C7"/>
    <w:pPr>
      <w:autoSpaceDE w:val="0"/>
      <w:autoSpaceDN w:val="0"/>
      <w:adjustRightInd w:val="0"/>
      <w:spacing w:after="0" w:line="240" w:lineRule="auto"/>
    </w:pPr>
    <w:rPr>
      <w:rFonts w:ascii="Times New Roman" w:eastAsiaTheme="minorEastAsia" w:hAnsi="Times New Roman" w:cs="Times New Roman"/>
      <w:color w:val="000000"/>
      <w:sz w:val="24"/>
      <w:szCs w:val="24"/>
      <w:lang w:val="en-IN" w:eastAsia="en-IN"/>
    </w:rPr>
  </w:style>
  <w:style w:type="table" w:customStyle="1" w:styleId="PlainTable11">
    <w:name w:val="Plain Table 11"/>
    <w:basedOn w:val="TableNormal"/>
    <w:uiPriority w:val="41"/>
    <w:rsid w:val="00EA33C7"/>
    <w:pPr>
      <w:spacing w:after="0" w:line="240" w:lineRule="auto"/>
    </w:pPr>
    <w:rPr>
      <w:rFonts w:eastAsiaTheme="minorEastAsia"/>
      <w:lang w:val="en-IN" w:eastAsia="en-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1">
    <w:name w:val="Grid Table 1 Light - Accent 11"/>
    <w:basedOn w:val="TableNormal"/>
    <w:uiPriority w:val="46"/>
    <w:rsid w:val="00EA33C7"/>
    <w:pPr>
      <w:spacing w:after="0" w:line="240" w:lineRule="auto"/>
    </w:pPr>
    <w:rPr>
      <w:rFonts w:eastAsiaTheme="minorEastAsia"/>
      <w:lang w:val="en-IN" w:eastAsia="en-IN"/>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59"/>
    <w:rsid w:val="00EA33C7"/>
    <w:pPr>
      <w:spacing w:after="0" w:line="240" w:lineRule="auto"/>
    </w:pPr>
    <w:rPr>
      <w:rFonts w:eastAsia="Times New Roman"/>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1C571B"/>
    <w:rPr>
      <w:sz w:val="24"/>
      <w:szCs w:val="24"/>
    </w:rPr>
  </w:style>
  <w:style w:type="character" w:customStyle="1" w:styleId="DocumentMapChar">
    <w:name w:val="Document Map Char"/>
    <w:basedOn w:val="DefaultParagraphFont"/>
    <w:link w:val="DocumentMap"/>
    <w:uiPriority w:val="99"/>
    <w:semiHidden/>
    <w:rsid w:val="001C571B"/>
    <w:rPr>
      <w:rFonts w:ascii="Times New Roman" w:eastAsia="Times New Roman" w:hAnsi="Times New Roman" w:cs="Times New Roman"/>
      <w:sz w:val="24"/>
      <w:szCs w:val="24"/>
      <w:lang w:val="en-GB"/>
    </w:rPr>
  </w:style>
  <w:style w:type="character" w:styleId="FollowedHyperlink">
    <w:name w:val="FollowedHyperlink"/>
    <w:basedOn w:val="DefaultParagraphFont"/>
    <w:uiPriority w:val="99"/>
    <w:semiHidden/>
    <w:unhideWhenUsed/>
    <w:rsid w:val="00721D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381316">
      <w:bodyDiv w:val="1"/>
      <w:marLeft w:val="0"/>
      <w:marRight w:val="0"/>
      <w:marTop w:val="0"/>
      <w:marBottom w:val="0"/>
      <w:divBdr>
        <w:top w:val="none" w:sz="0" w:space="0" w:color="auto"/>
        <w:left w:val="none" w:sz="0" w:space="0" w:color="auto"/>
        <w:bottom w:val="none" w:sz="0" w:space="0" w:color="auto"/>
        <w:right w:val="none" w:sz="0" w:space="0" w:color="auto"/>
      </w:divBdr>
    </w:div>
    <w:div w:id="1097751749">
      <w:bodyDiv w:val="1"/>
      <w:marLeft w:val="0"/>
      <w:marRight w:val="0"/>
      <w:marTop w:val="0"/>
      <w:marBottom w:val="0"/>
      <w:divBdr>
        <w:top w:val="none" w:sz="0" w:space="0" w:color="auto"/>
        <w:left w:val="none" w:sz="0" w:space="0" w:color="auto"/>
        <w:bottom w:val="none" w:sz="0" w:space="0" w:color="auto"/>
        <w:right w:val="none" w:sz="0" w:space="0" w:color="auto"/>
      </w:divBdr>
    </w:div>
    <w:div w:id="1131827638">
      <w:bodyDiv w:val="1"/>
      <w:marLeft w:val="0"/>
      <w:marRight w:val="0"/>
      <w:marTop w:val="0"/>
      <w:marBottom w:val="0"/>
      <w:divBdr>
        <w:top w:val="none" w:sz="0" w:space="0" w:color="auto"/>
        <w:left w:val="none" w:sz="0" w:space="0" w:color="auto"/>
        <w:bottom w:val="none" w:sz="0" w:space="0" w:color="auto"/>
        <w:right w:val="none" w:sz="0" w:space="0" w:color="auto"/>
      </w:divBdr>
    </w:div>
    <w:div w:id="189978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ses@ivey.c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iveycas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DEB3B-289B-454C-A2A4-4CB2D7923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3464</Words>
  <Characters>19746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Downey, Elizabeth</cp:lastModifiedBy>
  <cp:revision>6</cp:revision>
  <cp:lastPrinted>2017-03-23T17:51:00Z</cp:lastPrinted>
  <dcterms:created xsi:type="dcterms:W3CDTF">2017-03-14T12:53:00Z</dcterms:created>
  <dcterms:modified xsi:type="dcterms:W3CDTF">2017-03-23T17:53:00Z</dcterms:modified>
</cp:coreProperties>
</file>