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2FF0A" w14:textId="77777777" w:rsidR="008467D5" w:rsidRPr="003753CF" w:rsidRDefault="00E5372F" w:rsidP="00013360">
      <w:pPr>
        <w:tabs>
          <w:tab w:val="left" w:pos="-1440"/>
          <w:tab w:val="left" w:pos="-720"/>
          <w:tab w:val="left" w:pos="1"/>
          <w:tab w:val="right" w:pos="9360"/>
        </w:tabs>
        <w:jc w:val="both"/>
        <w:rPr>
          <w:rFonts w:ascii="Arial" w:hAnsi="Arial"/>
          <w:sz w:val="24"/>
        </w:rPr>
      </w:pPr>
      <w:r w:rsidRPr="00E5372F">
        <w:rPr>
          <w:rFonts w:ascii="Arial" w:hAnsi="Arial"/>
          <w:b/>
          <w:noProof/>
          <w:sz w:val="24"/>
          <w:lang w:eastAsia="en-GB"/>
        </w:rPr>
        <w:drawing>
          <wp:inline distT="0" distB="0" distL="0" distR="0" wp14:anchorId="662C6DB9" wp14:editId="517A38DC">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D1EF846" w14:textId="77777777" w:rsidR="00856D9F" w:rsidRPr="003753CF" w:rsidRDefault="00856D9F" w:rsidP="008467D5">
      <w:pPr>
        <w:pBdr>
          <w:bottom w:val="single" w:sz="18" w:space="1" w:color="auto"/>
        </w:pBdr>
        <w:tabs>
          <w:tab w:val="left" w:pos="-1440"/>
          <w:tab w:val="left" w:pos="-720"/>
          <w:tab w:val="left" w:pos="1"/>
        </w:tabs>
        <w:jc w:val="both"/>
        <w:rPr>
          <w:rFonts w:ascii="Arial" w:hAnsi="Arial"/>
          <w:b/>
          <w:sz w:val="24"/>
        </w:rPr>
      </w:pPr>
    </w:p>
    <w:p w14:paraId="582786DF" w14:textId="2ED0F72A" w:rsidR="00D75295" w:rsidRPr="003753CF" w:rsidRDefault="00E5372F" w:rsidP="001348F0">
      <w:pPr>
        <w:pStyle w:val="ProductNumber"/>
        <w:outlineLvl w:val="0"/>
      </w:pPr>
      <w:r>
        <w:t>9B17A</w:t>
      </w:r>
      <w:r w:rsidR="00436E0F">
        <w:t>021</w:t>
      </w:r>
    </w:p>
    <w:p w14:paraId="7F6DF326" w14:textId="77777777" w:rsidR="00D75295" w:rsidRPr="003753CF" w:rsidRDefault="00D75295" w:rsidP="00D75295">
      <w:pPr>
        <w:jc w:val="right"/>
        <w:rPr>
          <w:rFonts w:ascii="Arial" w:hAnsi="Arial"/>
          <w:b/>
          <w:sz w:val="28"/>
          <w:szCs w:val="28"/>
        </w:rPr>
      </w:pPr>
    </w:p>
    <w:p w14:paraId="3815E65A" w14:textId="77777777" w:rsidR="00866F6D" w:rsidRPr="003753CF" w:rsidRDefault="00866F6D" w:rsidP="00D75295">
      <w:pPr>
        <w:jc w:val="right"/>
        <w:rPr>
          <w:rFonts w:ascii="Arial" w:hAnsi="Arial"/>
          <w:b/>
          <w:sz w:val="28"/>
          <w:szCs w:val="28"/>
        </w:rPr>
      </w:pPr>
    </w:p>
    <w:p w14:paraId="3B32D3C0" w14:textId="77777777" w:rsidR="00013360" w:rsidRPr="003753CF" w:rsidRDefault="00AD6CBA" w:rsidP="001348F0">
      <w:pPr>
        <w:pStyle w:val="CaseTitle"/>
        <w:spacing w:after="0" w:line="240" w:lineRule="auto"/>
        <w:outlineLvl w:val="0"/>
        <w:rPr>
          <w:color w:val="auto"/>
        </w:rPr>
      </w:pPr>
      <w:r w:rsidRPr="003753CF">
        <w:rPr>
          <w:color w:val="auto"/>
        </w:rPr>
        <w:t xml:space="preserve">MTS India: </w:t>
      </w:r>
      <w:r w:rsidR="008D1F60">
        <w:rPr>
          <w:color w:val="auto"/>
        </w:rPr>
        <w:t>Organic Growth, Partnership, or exit?</w:t>
      </w:r>
    </w:p>
    <w:p w14:paraId="27F24A6A" w14:textId="77777777" w:rsidR="00013360" w:rsidRPr="003753CF" w:rsidRDefault="00013360" w:rsidP="00013360">
      <w:pPr>
        <w:pStyle w:val="CaseTitle"/>
        <w:spacing w:after="0" w:line="240" w:lineRule="auto"/>
        <w:rPr>
          <w:color w:val="auto"/>
          <w:sz w:val="20"/>
          <w:szCs w:val="20"/>
        </w:rPr>
      </w:pPr>
    </w:p>
    <w:p w14:paraId="151D79EF" w14:textId="77777777" w:rsidR="00CA3976" w:rsidRPr="003753CF" w:rsidRDefault="00CA3976" w:rsidP="00013360">
      <w:pPr>
        <w:pStyle w:val="CaseTitle"/>
        <w:spacing w:after="0" w:line="240" w:lineRule="auto"/>
        <w:rPr>
          <w:color w:val="auto"/>
          <w:sz w:val="20"/>
          <w:szCs w:val="20"/>
        </w:rPr>
      </w:pPr>
    </w:p>
    <w:p w14:paraId="26DB8CDC" w14:textId="77777777" w:rsidR="00013360" w:rsidRPr="003753CF" w:rsidRDefault="00013360" w:rsidP="00013360">
      <w:pPr>
        <w:pStyle w:val="CaseTitle"/>
        <w:spacing w:after="0" w:line="240" w:lineRule="auto"/>
        <w:rPr>
          <w:color w:val="auto"/>
          <w:sz w:val="20"/>
          <w:szCs w:val="20"/>
        </w:rPr>
      </w:pPr>
    </w:p>
    <w:p w14:paraId="4FB78EE4" w14:textId="77777777" w:rsidR="00013360" w:rsidRPr="003753CF" w:rsidRDefault="00343FD7" w:rsidP="00104567">
      <w:pPr>
        <w:pStyle w:val="StyleCopyrightStatementAfter0ptBottomSinglesolidline1"/>
        <w:rPr>
          <w:color w:val="auto"/>
        </w:rPr>
      </w:pPr>
      <w:r>
        <w:rPr>
          <w:color w:val="auto"/>
        </w:rPr>
        <w:t xml:space="preserve">Professor </w:t>
      </w:r>
      <w:r w:rsidR="00AD6CBA" w:rsidRPr="003753CF">
        <w:rPr>
          <w:color w:val="auto"/>
        </w:rPr>
        <w:t>Somnath Chakrabarti and Shubhendu Dutta</w:t>
      </w:r>
      <w:r w:rsidR="007E5921" w:rsidRPr="003753CF">
        <w:rPr>
          <w:color w:val="auto"/>
        </w:rPr>
        <w:t xml:space="preserve"> wrote this case sol</w:t>
      </w:r>
      <w:r w:rsidR="00D75295" w:rsidRPr="003753CF">
        <w:rPr>
          <w:color w:val="auto"/>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4FF198CB" w14:textId="77777777" w:rsidR="00013360" w:rsidRPr="003753CF" w:rsidRDefault="00013360" w:rsidP="00104567">
      <w:pPr>
        <w:pStyle w:val="StyleCopyrightStatementAfter0ptBottomSinglesolidline1"/>
        <w:rPr>
          <w:color w:val="auto"/>
        </w:rPr>
      </w:pPr>
    </w:p>
    <w:p w14:paraId="027F8708" w14:textId="77777777" w:rsidR="00E5372F" w:rsidRDefault="00E5372F" w:rsidP="00E5372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16BE4DE" w14:textId="77777777" w:rsidR="00E5372F" w:rsidRDefault="00E5372F" w:rsidP="00E5372F">
      <w:pPr>
        <w:pStyle w:val="StyleCopyrightStatementAfter0ptBottomSinglesolidline1"/>
        <w:pBdr>
          <w:top w:val="none" w:sz="0" w:space="0" w:color="auto"/>
        </w:pBdr>
      </w:pPr>
    </w:p>
    <w:p w14:paraId="533803DF" w14:textId="3D216B46" w:rsidR="003B7EF2" w:rsidRPr="003753CF" w:rsidRDefault="00E5372F" w:rsidP="003B7EF2">
      <w:pPr>
        <w:pStyle w:val="StyleStyleCopyrightStatementAfter0ptBottomSinglesolid"/>
        <w:rPr>
          <w:color w:val="auto"/>
        </w:rPr>
      </w:pPr>
      <w:r>
        <w:t>Copyright © 2017, Richard Ivey School of Business Foundation</w:t>
      </w:r>
      <w:r w:rsidR="003B7EF2" w:rsidRPr="003753CF">
        <w:rPr>
          <w:color w:val="auto"/>
        </w:rPr>
        <w:tab/>
        <w:t xml:space="preserve">Version: </w:t>
      </w:r>
      <w:r w:rsidR="00361C8E" w:rsidRPr="003753CF">
        <w:rPr>
          <w:color w:val="auto"/>
        </w:rPr>
        <w:t>201</w:t>
      </w:r>
      <w:r w:rsidR="00175F84">
        <w:rPr>
          <w:color w:val="auto"/>
        </w:rPr>
        <w:t>7</w:t>
      </w:r>
      <w:r w:rsidR="00361C8E" w:rsidRPr="003753CF">
        <w:rPr>
          <w:color w:val="auto"/>
        </w:rPr>
        <w:t>-</w:t>
      </w:r>
      <w:r w:rsidR="00436E0F">
        <w:rPr>
          <w:color w:val="auto"/>
        </w:rPr>
        <w:t>04</w:t>
      </w:r>
      <w:r w:rsidR="00E235BB">
        <w:rPr>
          <w:color w:val="auto"/>
        </w:rPr>
        <w:t>-</w:t>
      </w:r>
      <w:r w:rsidR="000700C7">
        <w:rPr>
          <w:color w:val="auto"/>
        </w:rPr>
        <w:t>20</w:t>
      </w:r>
    </w:p>
    <w:p w14:paraId="26F97015" w14:textId="77777777" w:rsidR="003B7EF2" w:rsidRPr="003753CF" w:rsidRDefault="003B7EF2" w:rsidP="00104567">
      <w:pPr>
        <w:pStyle w:val="StyleCopyrightStatementAfter0ptBottomSinglesolidline1"/>
        <w:rPr>
          <w:rFonts w:ascii="Times New Roman" w:hAnsi="Times New Roman"/>
          <w:color w:val="auto"/>
          <w:sz w:val="20"/>
        </w:rPr>
      </w:pPr>
    </w:p>
    <w:p w14:paraId="4A4DA8F3" w14:textId="77777777" w:rsidR="003B7EF2" w:rsidRPr="003753CF" w:rsidRDefault="003B7EF2" w:rsidP="002004F3">
      <w:pPr>
        <w:pStyle w:val="BodyTextMain"/>
      </w:pPr>
    </w:p>
    <w:p w14:paraId="20574B85" w14:textId="211CF0A8" w:rsidR="001907E3" w:rsidRDefault="00664471" w:rsidP="00F32C5B">
      <w:pPr>
        <w:pStyle w:val="BodyTextMain"/>
        <w:rPr>
          <w:lang w:eastAsia="en-IN"/>
        </w:rPr>
      </w:pPr>
      <w:r>
        <w:t xml:space="preserve">On </w:t>
      </w:r>
      <w:r w:rsidR="00F32C5B" w:rsidRPr="003753CF">
        <w:t>June 11, 2015</w:t>
      </w:r>
      <w:r>
        <w:t xml:space="preserve">, </w:t>
      </w:r>
      <w:r w:rsidR="00F32C5B" w:rsidRPr="003753CF">
        <w:t xml:space="preserve">Dmitry Shukov, </w:t>
      </w:r>
      <w:r w:rsidR="00FA14C9">
        <w:t>chief executive officer (</w:t>
      </w:r>
      <w:r w:rsidR="00F32C5B" w:rsidRPr="003753CF">
        <w:t>CEO</w:t>
      </w:r>
      <w:r w:rsidR="00FA14C9">
        <w:t>)</w:t>
      </w:r>
      <w:r w:rsidR="00F32C5B" w:rsidRPr="003753CF">
        <w:t xml:space="preserve"> of </w:t>
      </w:r>
      <w:r w:rsidR="003F6BD0">
        <w:t xml:space="preserve">Mobile TeleSystems </w:t>
      </w:r>
      <w:r w:rsidR="00F94A0C">
        <w:t>(</w:t>
      </w:r>
      <w:r w:rsidR="00F32C5B" w:rsidRPr="003753CF">
        <w:t>MTS</w:t>
      </w:r>
      <w:r w:rsidR="003F6BD0">
        <w:t>)</w:t>
      </w:r>
      <w:r w:rsidR="00F32C5B" w:rsidRPr="003753CF">
        <w:t xml:space="preserve"> India</w:t>
      </w:r>
      <w:r w:rsidR="00D04178">
        <w:t>,</w:t>
      </w:r>
      <w:r w:rsidR="00743B00">
        <w:t xml:space="preserve"> </w:t>
      </w:r>
      <w:r w:rsidR="00490F7C">
        <w:t xml:space="preserve">sat in his </w:t>
      </w:r>
      <w:r w:rsidR="001348F0">
        <w:t xml:space="preserve">office in </w:t>
      </w:r>
      <w:r w:rsidR="00490F7C">
        <w:t xml:space="preserve">Gurgaon, India, </w:t>
      </w:r>
      <w:r w:rsidR="00F32C5B" w:rsidRPr="003753CF">
        <w:t>deep in</w:t>
      </w:r>
      <w:r w:rsidR="00743B00">
        <w:t xml:space="preserve"> </w:t>
      </w:r>
      <w:r w:rsidR="00F32C5B" w:rsidRPr="003753CF">
        <w:t>thought</w:t>
      </w:r>
      <w:r w:rsidR="00743B00">
        <w:t xml:space="preserve"> </w:t>
      </w:r>
      <w:r w:rsidR="00F32C5B" w:rsidRPr="003753CF">
        <w:t xml:space="preserve">about the </w:t>
      </w:r>
      <w:r w:rsidR="00BD74B2">
        <w:t xml:space="preserve">company’s </w:t>
      </w:r>
      <w:r w:rsidR="00F32C5B" w:rsidRPr="003753CF">
        <w:t>future</w:t>
      </w:r>
      <w:r w:rsidR="00743B00">
        <w:t xml:space="preserve"> </w:t>
      </w:r>
      <w:r w:rsidR="00F910DF">
        <w:t>in the Indian telecommunications (</w:t>
      </w:r>
      <w:r w:rsidR="00F32C5B" w:rsidRPr="003753CF">
        <w:t>telecom</w:t>
      </w:r>
      <w:r w:rsidR="00F910DF">
        <w:t>)</w:t>
      </w:r>
      <w:r w:rsidR="008D04DF">
        <w:t xml:space="preserve"> market</w:t>
      </w:r>
      <w:r w:rsidR="00B32E14">
        <w:t xml:space="preserve">. </w:t>
      </w:r>
      <w:r w:rsidR="00490F7C">
        <w:t xml:space="preserve">He was thinking </w:t>
      </w:r>
      <w:r w:rsidR="00CA3650">
        <w:t xml:space="preserve">specifically </w:t>
      </w:r>
      <w:r w:rsidR="00490F7C">
        <w:t xml:space="preserve">about </w:t>
      </w:r>
      <w:r w:rsidR="00F32C5B" w:rsidRPr="003753CF">
        <w:t xml:space="preserve">MTS India’s pursuit of </w:t>
      </w:r>
      <w:r w:rsidR="00BD74B2">
        <w:t>a</w:t>
      </w:r>
      <w:r w:rsidR="00743B00">
        <w:t xml:space="preserve"> </w:t>
      </w:r>
      <w:r w:rsidR="00F32C5B" w:rsidRPr="003753CF">
        <w:t>data</w:t>
      </w:r>
      <w:r w:rsidR="003F6BD0">
        <w:t>-</w:t>
      </w:r>
      <w:r w:rsidR="00F32C5B" w:rsidRPr="003753CF">
        <w:t>centric</w:t>
      </w:r>
      <w:r w:rsidR="00F910DF">
        <w:t>,</w:t>
      </w:r>
      <w:r w:rsidR="00F32C5B" w:rsidRPr="003753CF">
        <w:t xml:space="preserve"> voice</w:t>
      </w:r>
      <w:r w:rsidR="00490F7C">
        <w:t>-</w:t>
      </w:r>
      <w:r w:rsidR="00F32C5B" w:rsidRPr="003753CF">
        <w:t xml:space="preserve">enabled strategy. </w:t>
      </w:r>
      <w:r w:rsidR="00F94A0C">
        <w:t xml:space="preserve">The </w:t>
      </w:r>
      <w:r w:rsidR="00F32C5B" w:rsidRPr="003753CF">
        <w:t>Indian telecom market was witnessing a second wave of growth driven by high</w:t>
      </w:r>
      <w:r w:rsidR="003D688D">
        <w:t>-</w:t>
      </w:r>
      <w:r w:rsidR="00F32C5B" w:rsidRPr="003753CF">
        <w:t xml:space="preserve">speed data. </w:t>
      </w:r>
      <w:r w:rsidR="00F32C5B" w:rsidRPr="003753CF">
        <w:rPr>
          <w:lang w:eastAsia="en-IN"/>
        </w:rPr>
        <w:t>One of the biggest trends during the year was the rampant growth in the data services market</w:t>
      </w:r>
      <w:r w:rsidR="00BC0FA9">
        <w:rPr>
          <w:lang w:eastAsia="en-IN"/>
        </w:rPr>
        <w:t xml:space="preserve"> </w:t>
      </w:r>
      <w:r w:rsidR="00F32C5B" w:rsidRPr="003753CF">
        <w:rPr>
          <w:lang w:eastAsia="en-IN"/>
        </w:rPr>
        <w:t>across the 2G, 3G, fixed broadband</w:t>
      </w:r>
      <w:r w:rsidR="00F94A0C">
        <w:rPr>
          <w:lang w:eastAsia="en-IN"/>
        </w:rPr>
        <w:t>,</w:t>
      </w:r>
      <w:r w:rsidR="00F32C5B" w:rsidRPr="003753CF">
        <w:rPr>
          <w:lang w:eastAsia="en-IN"/>
        </w:rPr>
        <w:t xml:space="preserve"> and 4G segments.</w:t>
      </w:r>
      <w:r w:rsidR="001907E3" w:rsidRPr="003753CF">
        <w:rPr>
          <w:rStyle w:val="EndnoteReference"/>
        </w:rPr>
        <w:endnoteReference w:id="1"/>
      </w:r>
    </w:p>
    <w:p w14:paraId="4FF8ED9B" w14:textId="77777777" w:rsidR="001907E3" w:rsidRDefault="001907E3" w:rsidP="00F32C5B">
      <w:pPr>
        <w:pStyle w:val="BodyTextMain"/>
        <w:rPr>
          <w:lang w:eastAsia="en-IN"/>
        </w:rPr>
      </w:pPr>
    </w:p>
    <w:p w14:paraId="1BC0274E" w14:textId="7652D9F5" w:rsidR="001907E3" w:rsidRPr="003753CF" w:rsidRDefault="001907E3" w:rsidP="00F32C5B">
      <w:pPr>
        <w:pStyle w:val="BodyTextMain"/>
        <w:rPr>
          <w:lang w:eastAsia="en-IN"/>
        </w:rPr>
      </w:pPr>
      <w:r w:rsidRPr="003753CF">
        <w:rPr>
          <w:lang w:eastAsia="en-IN"/>
        </w:rPr>
        <w:t xml:space="preserve">The rise of social </w:t>
      </w:r>
      <w:r>
        <w:rPr>
          <w:lang w:eastAsia="en-IN"/>
        </w:rPr>
        <w:t>media</w:t>
      </w:r>
      <w:r w:rsidRPr="003753CF">
        <w:rPr>
          <w:lang w:eastAsia="en-IN"/>
        </w:rPr>
        <w:t xml:space="preserve"> in India </w:t>
      </w:r>
      <w:r>
        <w:rPr>
          <w:lang w:eastAsia="en-IN"/>
        </w:rPr>
        <w:t xml:space="preserve">had </w:t>
      </w:r>
      <w:r w:rsidRPr="003753CF">
        <w:rPr>
          <w:lang w:eastAsia="en-IN"/>
        </w:rPr>
        <w:t>greatly</w:t>
      </w:r>
      <w:r>
        <w:rPr>
          <w:lang w:eastAsia="en-IN"/>
        </w:rPr>
        <w:t xml:space="preserve"> </w:t>
      </w:r>
      <w:r w:rsidRPr="003753CF">
        <w:rPr>
          <w:lang w:eastAsia="en-IN"/>
        </w:rPr>
        <w:t>accelerated</w:t>
      </w:r>
      <w:r w:rsidR="000700C7">
        <w:rPr>
          <w:lang w:eastAsia="en-IN"/>
        </w:rPr>
        <w:t xml:space="preserve"> the country’s</w:t>
      </w:r>
      <w:r w:rsidRPr="003753CF">
        <w:rPr>
          <w:lang w:eastAsia="en-IN"/>
        </w:rPr>
        <w:t xml:space="preserve"> data consumption. Outside the U</w:t>
      </w:r>
      <w:r>
        <w:rPr>
          <w:lang w:eastAsia="en-IN"/>
        </w:rPr>
        <w:t>nited States</w:t>
      </w:r>
      <w:r w:rsidRPr="003753CF">
        <w:rPr>
          <w:lang w:eastAsia="en-IN"/>
        </w:rPr>
        <w:t xml:space="preserve">, Indians </w:t>
      </w:r>
      <w:r>
        <w:rPr>
          <w:lang w:eastAsia="en-IN"/>
        </w:rPr>
        <w:t>were</w:t>
      </w:r>
      <w:r w:rsidRPr="003753CF">
        <w:rPr>
          <w:lang w:eastAsia="en-IN"/>
        </w:rPr>
        <w:t xml:space="preserve"> the biggest users of Facebook, Twitter</w:t>
      </w:r>
      <w:r>
        <w:rPr>
          <w:lang w:eastAsia="en-IN"/>
        </w:rPr>
        <w:t>,</w:t>
      </w:r>
      <w:r w:rsidRPr="003753CF">
        <w:rPr>
          <w:lang w:eastAsia="en-IN"/>
        </w:rPr>
        <w:t xml:space="preserve"> and WhatsApp, especially on mobile</w:t>
      </w:r>
      <w:r w:rsidR="000700C7">
        <w:rPr>
          <w:lang w:eastAsia="en-IN"/>
        </w:rPr>
        <w:t xml:space="preserve"> phones</w:t>
      </w:r>
      <w:r w:rsidRPr="003753CF">
        <w:rPr>
          <w:lang w:eastAsia="en-IN"/>
        </w:rPr>
        <w:t xml:space="preserve">, </w:t>
      </w:r>
      <w:r>
        <w:rPr>
          <w:lang w:eastAsia="en-IN"/>
        </w:rPr>
        <w:t>which</w:t>
      </w:r>
      <w:r w:rsidRPr="003753CF">
        <w:rPr>
          <w:lang w:eastAsia="en-IN"/>
        </w:rPr>
        <w:t xml:space="preserve"> provided a great boost to data usage. Data revenues experienced a near 100 </w:t>
      </w:r>
      <w:r>
        <w:rPr>
          <w:lang w:eastAsia="en-IN"/>
        </w:rPr>
        <w:t>per cent</w:t>
      </w:r>
      <w:r w:rsidRPr="003753CF">
        <w:rPr>
          <w:lang w:eastAsia="en-IN"/>
        </w:rPr>
        <w:t xml:space="preserve"> growth in </w:t>
      </w:r>
      <w:r>
        <w:rPr>
          <w:lang w:eastAsia="en-IN"/>
        </w:rPr>
        <w:t>fiscal year (FY) </w:t>
      </w:r>
      <w:r w:rsidRPr="003753CF">
        <w:rPr>
          <w:lang w:eastAsia="en-IN"/>
        </w:rPr>
        <w:t>2014</w:t>
      </w:r>
      <w:r>
        <w:rPr>
          <w:lang w:eastAsia="en-IN"/>
        </w:rPr>
        <w:t>–</w:t>
      </w:r>
      <w:r w:rsidRPr="003753CF">
        <w:rPr>
          <w:lang w:eastAsia="en-IN"/>
        </w:rPr>
        <w:t>15, increasing</w:t>
      </w:r>
      <w:r>
        <w:rPr>
          <w:lang w:eastAsia="en-IN"/>
        </w:rPr>
        <w:t xml:space="preserve"> telecom players’ </w:t>
      </w:r>
      <w:r w:rsidRPr="003753CF">
        <w:rPr>
          <w:lang w:eastAsia="en-IN"/>
        </w:rPr>
        <w:t xml:space="preserve">overall revenues. However, </w:t>
      </w:r>
      <w:r w:rsidRPr="003753CF">
        <w:t>MTS India</w:t>
      </w:r>
      <w:r>
        <w:t xml:space="preserve">, with </w:t>
      </w:r>
      <w:r w:rsidRPr="00E5372F">
        <w:rPr>
          <w:rFonts w:ascii="Arial" w:hAnsi="Arial" w:cs="Arial"/>
        </w:rPr>
        <w:t>₹</w:t>
      </w:r>
      <w:r w:rsidRPr="003753CF">
        <w:t>13.852 billi</w:t>
      </w:r>
      <w:r>
        <w:t>on</w:t>
      </w:r>
      <w:r>
        <w:rPr>
          <w:lang w:eastAsia="en-IN"/>
        </w:rPr>
        <w:t xml:space="preserve"> (</w:t>
      </w:r>
      <w:r w:rsidRPr="00343FD7">
        <w:rPr>
          <w:lang w:eastAsia="en-IN"/>
        </w:rPr>
        <w:t>US$22</w:t>
      </w:r>
      <w:r>
        <w:rPr>
          <w:lang w:eastAsia="en-IN"/>
        </w:rPr>
        <w:t>1</w:t>
      </w:r>
      <w:r w:rsidRPr="00343FD7">
        <w:rPr>
          <w:lang w:eastAsia="en-IN"/>
        </w:rPr>
        <w:t>.</w:t>
      </w:r>
      <w:r>
        <w:rPr>
          <w:lang w:eastAsia="en-IN"/>
        </w:rPr>
        <w:t>31</w:t>
      </w:r>
      <w:r w:rsidRPr="00343FD7">
        <w:rPr>
          <w:lang w:eastAsia="en-IN"/>
        </w:rPr>
        <w:t xml:space="preserve"> million)</w:t>
      </w:r>
      <w:r>
        <w:rPr>
          <w:rStyle w:val="EndnoteReference"/>
        </w:rPr>
        <w:endnoteReference w:id="2"/>
      </w:r>
      <w:r>
        <w:rPr>
          <w:lang w:eastAsia="en-IN"/>
        </w:rPr>
        <w:t xml:space="preserve"> </w:t>
      </w:r>
      <w:r>
        <w:t>in revenue at the end of March 2015</w:t>
      </w:r>
      <w:r w:rsidR="000700C7">
        <w:t>,</w:t>
      </w:r>
      <w:r>
        <w:t xml:space="preserve"> </w:t>
      </w:r>
      <w:r w:rsidRPr="003753CF">
        <w:t xml:space="preserve">was finding it difficult to maintain momentum in </w:t>
      </w:r>
      <w:r>
        <w:t>the</w:t>
      </w:r>
      <w:r w:rsidRPr="003753CF">
        <w:t xml:space="preserve"> cut-throat</w:t>
      </w:r>
      <w:r>
        <w:t xml:space="preserve">, high-growth </w:t>
      </w:r>
      <w:r w:rsidRPr="003753CF">
        <w:t>market</w:t>
      </w:r>
      <w:r>
        <w:t>,</w:t>
      </w:r>
      <w:r w:rsidRPr="003753CF">
        <w:t xml:space="preserve"> despite being the first mover in mobile data</w:t>
      </w:r>
      <w:r>
        <w:t xml:space="preserve"> (see Exhibit 1).</w:t>
      </w:r>
      <w:r w:rsidRPr="003753CF">
        <w:t xml:space="preserve"> The company understood that </w:t>
      </w:r>
      <w:r w:rsidRPr="003753CF">
        <w:rPr>
          <w:lang w:eastAsia="en-IN"/>
        </w:rPr>
        <w:t xml:space="preserve">to grab </w:t>
      </w:r>
      <w:r>
        <w:rPr>
          <w:lang w:eastAsia="en-IN"/>
        </w:rPr>
        <w:t xml:space="preserve">a </w:t>
      </w:r>
      <w:r w:rsidRPr="003753CF">
        <w:rPr>
          <w:lang w:eastAsia="en-IN"/>
        </w:rPr>
        <w:t>shar</w:t>
      </w:r>
      <w:r>
        <w:rPr>
          <w:lang w:eastAsia="en-IN"/>
        </w:rPr>
        <w:t xml:space="preserve">e of the </w:t>
      </w:r>
      <w:r w:rsidRPr="003753CF">
        <w:rPr>
          <w:lang w:eastAsia="en-IN"/>
        </w:rPr>
        <w:t>market</w:t>
      </w:r>
      <w:r>
        <w:rPr>
          <w:lang w:eastAsia="en-IN"/>
        </w:rPr>
        <w:t xml:space="preserve">, </w:t>
      </w:r>
      <w:r w:rsidRPr="003753CF">
        <w:t xml:space="preserve">it </w:t>
      </w:r>
      <w:r w:rsidRPr="003753CF">
        <w:rPr>
          <w:lang w:eastAsia="en-IN"/>
        </w:rPr>
        <w:t>needed to focus on offering voice users competitive pricing, affordable smartphones</w:t>
      </w:r>
      <w:r>
        <w:rPr>
          <w:lang w:eastAsia="en-IN"/>
        </w:rPr>
        <w:t>,</w:t>
      </w:r>
      <w:r w:rsidRPr="003753CF">
        <w:rPr>
          <w:lang w:eastAsia="en-IN"/>
        </w:rPr>
        <w:t xml:space="preserve"> and a superior and differentiated network experience</w:t>
      </w:r>
      <w:r>
        <w:rPr>
          <w:lang w:eastAsia="en-IN"/>
        </w:rPr>
        <w:t>.</w:t>
      </w:r>
    </w:p>
    <w:p w14:paraId="35B0A691" w14:textId="77777777" w:rsidR="001907E3" w:rsidRPr="003753CF" w:rsidRDefault="001907E3" w:rsidP="00F32C5B">
      <w:pPr>
        <w:pStyle w:val="BodyTextMain"/>
      </w:pPr>
    </w:p>
    <w:p w14:paraId="54F2CA3D" w14:textId="31D94853" w:rsidR="001907E3" w:rsidRPr="00E5372F" w:rsidRDefault="001907E3" w:rsidP="00F32C5B">
      <w:pPr>
        <w:pStyle w:val="BodyTextMain"/>
        <w:rPr>
          <w:spacing w:val="-4"/>
          <w:kern w:val="22"/>
        </w:rPr>
      </w:pPr>
      <w:r w:rsidRPr="00E5372F">
        <w:rPr>
          <w:spacing w:val="-4"/>
          <w:kern w:val="22"/>
        </w:rPr>
        <w:t>MTS India did not want to lose the opportunity presented by India’s high-speed data market. However, Russia’s looming financial crisis was creating constraints for any further investment in India by Sistema JFSC</w:t>
      </w:r>
      <w:r w:rsidR="000700C7">
        <w:rPr>
          <w:spacing w:val="-4"/>
          <w:kern w:val="22"/>
        </w:rPr>
        <w:t xml:space="preserve"> (Sistema)</w:t>
      </w:r>
      <w:r w:rsidRPr="00E5372F">
        <w:rPr>
          <w:spacing w:val="-4"/>
          <w:kern w:val="22"/>
        </w:rPr>
        <w:t>, MTS India’s parent company in Russia. MTS India’s financial performance was not encouraging given consistent losses in operating income before depreciation and amortization (OIBDA) (see Exhibit 1).</w:t>
      </w:r>
      <w:r w:rsidRPr="00E5372F">
        <w:rPr>
          <w:rStyle w:val="EndnoteReference"/>
          <w:spacing w:val="-4"/>
          <w:kern w:val="22"/>
        </w:rPr>
        <w:endnoteReference w:id="3"/>
      </w:r>
      <w:r w:rsidRPr="00E5372F">
        <w:rPr>
          <w:spacing w:val="-4"/>
          <w:kern w:val="22"/>
        </w:rPr>
        <w:t xml:space="preserve"> It was struggling to break even in most service areas. Large incumbents like Bharti Airtel Limited (Bharti Airtel), Vodafone Group Plc. (Vodafone), and Idea Cellular Limited</w:t>
      </w:r>
      <w:r>
        <w:rPr>
          <w:spacing w:val="-4"/>
          <w:kern w:val="22"/>
        </w:rPr>
        <w:t xml:space="preserve"> </w:t>
      </w:r>
      <w:r w:rsidRPr="00E5372F">
        <w:rPr>
          <w:spacing w:val="-4"/>
          <w:kern w:val="22"/>
        </w:rPr>
        <w:t>(Idea) had launched their high speed data services ahead of an expected major market disruption. With so many large players setting their eyes on the high-speed data market, competition would surely intensify. Shukov needed to make difficult yet strategic decisions, especially given the anticipated consolidation in the industry, which was likely to be facilitated by regulatory issues. Key catalysts were the expected guidelines on spectrum sharing and trading from the government of India.</w:t>
      </w:r>
      <w:r w:rsidRPr="00E5372F">
        <w:rPr>
          <w:rStyle w:val="EndnoteReference"/>
          <w:spacing w:val="-4"/>
          <w:kern w:val="22"/>
        </w:rPr>
        <w:endnoteReference w:id="4"/>
      </w:r>
      <w:r>
        <w:rPr>
          <w:spacing w:val="-4"/>
          <w:kern w:val="22"/>
        </w:rPr>
        <w:t xml:space="preserve"> </w:t>
      </w:r>
      <w:r w:rsidRPr="00E5372F">
        <w:rPr>
          <w:spacing w:val="-4"/>
          <w:kern w:val="22"/>
        </w:rPr>
        <w:t xml:space="preserve">Shukov had to make these decisions while maintaining the business momentum. </w:t>
      </w:r>
    </w:p>
    <w:p w14:paraId="01455D88" w14:textId="77777777" w:rsidR="001907E3" w:rsidRDefault="001907E3" w:rsidP="00F32C5B">
      <w:pPr>
        <w:pStyle w:val="BodyTextMain"/>
      </w:pPr>
    </w:p>
    <w:p w14:paraId="5D21D5F0" w14:textId="277E42E6" w:rsidR="001907E3" w:rsidRPr="003753CF" w:rsidRDefault="001907E3" w:rsidP="00F32C5B">
      <w:pPr>
        <w:pStyle w:val="BodyTextMain"/>
      </w:pPr>
      <w:r w:rsidRPr="003753CF">
        <w:t xml:space="preserve">The </w:t>
      </w:r>
      <w:r>
        <w:t xml:space="preserve">company’s </w:t>
      </w:r>
      <w:r w:rsidRPr="003753CF">
        <w:t>problem</w:t>
      </w:r>
      <w:r w:rsidR="000700C7">
        <w:t>s</w:t>
      </w:r>
      <w:r>
        <w:t xml:space="preserve"> began on February 2, 2012, when </w:t>
      </w:r>
      <w:r w:rsidRPr="003753CF">
        <w:t>the Supreme Court of India cancelled 122 unified telecom licen</w:t>
      </w:r>
      <w:r>
        <w:t>c</w:t>
      </w:r>
      <w:r w:rsidRPr="003753CF">
        <w:t xml:space="preserve">es of 22 mobile operators across the country, </w:t>
      </w:r>
      <w:r w:rsidR="000700C7">
        <w:t>that</w:t>
      </w:r>
      <w:r w:rsidRPr="003753CF">
        <w:t xml:space="preserve"> </w:t>
      </w:r>
      <w:r>
        <w:t>had been</w:t>
      </w:r>
      <w:r w:rsidRPr="003753CF">
        <w:t xml:space="preserve"> granted on or after January </w:t>
      </w:r>
      <w:r w:rsidRPr="003753CF">
        <w:lastRenderedPageBreak/>
        <w:t>10, 2008. Vsevolod</w:t>
      </w:r>
      <w:r>
        <w:t xml:space="preserve"> </w:t>
      </w:r>
      <w:r w:rsidRPr="003753CF">
        <w:t xml:space="preserve">Rozanov, the then </w:t>
      </w:r>
      <w:r>
        <w:t>p</w:t>
      </w:r>
      <w:r w:rsidRPr="003753CF">
        <w:t>resident and CEO of Sistema Shyam Tele</w:t>
      </w:r>
      <w:r>
        <w:t>S</w:t>
      </w:r>
      <w:r w:rsidRPr="003753CF">
        <w:t>ervices L</w:t>
      </w:r>
      <w:r>
        <w:t>imited</w:t>
      </w:r>
      <w:r w:rsidRPr="003753CF">
        <w:t xml:space="preserve"> (SSTL), which operate</w:t>
      </w:r>
      <w:r>
        <w:t>d</w:t>
      </w:r>
      <w:r w:rsidRPr="003753CF">
        <w:t xml:space="preserve"> its telecom services under the MTS brand in India, was deeply disappointed with this decision. He felt it was completely arbitrary and against the principles of fair business practice.</w:t>
      </w:r>
      <w:r w:rsidRPr="003753CF">
        <w:rPr>
          <w:rStyle w:val="EndnoteReference"/>
        </w:rPr>
        <w:endnoteReference w:id="5"/>
      </w:r>
      <w:r w:rsidRPr="003753CF">
        <w:t xml:space="preserve"> At </w:t>
      </w:r>
      <w:r w:rsidR="000700C7">
        <w:t>an open house</w:t>
      </w:r>
      <w:r w:rsidRPr="003753CF">
        <w:t xml:space="preserve"> held for employees, </w:t>
      </w:r>
      <w:r>
        <w:t>Rozanov</w:t>
      </w:r>
      <w:r w:rsidRPr="003753CF">
        <w:t xml:space="preserve"> had the tough task of </w:t>
      </w:r>
      <w:r>
        <w:t xml:space="preserve">using his address to </w:t>
      </w:r>
      <w:r w:rsidRPr="003753CF">
        <w:t xml:space="preserve">allay </w:t>
      </w:r>
      <w:r>
        <w:t>employees’</w:t>
      </w:r>
      <w:r w:rsidRPr="003753CF">
        <w:t xml:space="preserve"> fears and assur</w:t>
      </w:r>
      <w:r>
        <w:t>e</w:t>
      </w:r>
      <w:r w:rsidRPr="003753CF">
        <w:t xml:space="preserve"> them that</w:t>
      </w:r>
      <w:r>
        <w:t>,</w:t>
      </w:r>
      <w:r w:rsidRPr="003753CF">
        <w:t xml:space="preserve"> no matter what, the organization would take all necessary measures to ensure the continuity of its business in India. </w:t>
      </w:r>
    </w:p>
    <w:p w14:paraId="7619467B" w14:textId="77777777" w:rsidR="001907E3" w:rsidRPr="003753CF" w:rsidRDefault="001907E3" w:rsidP="00F32C5B">
      <w:pPr>
        <w:pStyle w:val="BodyTextMain"/>
      </w:pPr>
    </w:p>
    <w:p w14:paraId="42B1D05F" w14:textId="77777777" w:rsidR="001907E3" w:rsidRPr="003753CF" w:rsidRDefault="001907E3" w:rsidP="00F32C5B">
      <w:pPr>
        <w:pStyle w:val="BodyTextMain"/>
      </w:pPr>
    </w:p>
    <w:p w14:paraId="3A93B7BC" w14:textId="77777777" w:rsidR="001907E3" w:rsidRPr="003753CF" w:rsidRDefault="001907E3" w:rsidP="001348F0">
      <w:pPr>
        <w:pStyle w:val="Casehead1"/>
        <w:outlineLvl w:val="0"/>
      </w:pPr>
      <w:r w:rsidRPr="003753CF">
        <w:t xml:space="preserve">Early Days of </w:t>
      </w:r>
      <w:r>
        <w:t xml:space="preserve">the </w:t>
      </w:r>
      <w:r w:rsidRPr="003753CF">
        <w:t>Telecom Revolution</w:t>
      </w:r>
    </w:p>
    <w:p w14:paraId="4FFC7E5D" w14:textId="77777777" w:rsidR="001907E3" w:rsidRPr="003753CF" w:rsidRDefault="001907E3" w:rsidP="00F32C5B">
      <w:pPr>
        <w:pStyle w:val="BodyTextMain"/>
      </w:pPr>
    </w:p>
    <w:p w14:paraId="2488922C" w14:textId="4606583C" w:rsidR="001907E3" w:rsidRPr="00436E0F" w:rsidRDefault="001907E3">
      <w:pPr>
        <w:pStyle w:val="BodyTextMain"/>
        <w:rPr>
          <w:spacing w:val="-4"/>
          <w:kern w:val="22"/>
        </w:rPr>
      </w:pPr>
      <w:r w:rsidRPr="00436E0F">
        <w:rPr>
          <w:spacing w:val="-4"/>
          <w:kern w:val="22"/>
        </w:rPr>
        <w:t>The total number of telephone subscribers in India grew phenomenally at a compound annual growth rate of 35 per cent between 2001 and 2011, compared to 9 per cent and 22 per cent in the 1980s and 1990s, respectively.</w:t>
      </w:r>
      <w:r w:rsidRPr="00436E0F">
        <w:rPr>
          <w:rStyle w:val="EndnoteReference"/>
          <w:spacing w:val="-4"/>
          <w:kern w:val="22"/>
        </w:rPr>
        <w:endnoteReference w:id="6"/>
      </w:r>
      <w:r w:rsidRPr="00436E0F">
        <w:rPr>
          <w:spacing w:val="-4"/>
          <w:kern w:val="22"/>
        </w:rPr>
        <w:t xml:space="preserve"> The majority of this growth between 2001 and 2011 came from mobile subscribers. Also, teledensity in the country was up from a meagre 18.23 per cent in March 2007 to 78.66 per cent in March 2012 (see Exhibit 2). As of FY 2011/12, there were eight major access telecom players in the market: Aircel Limited (Aircel), Bharat Sanchar Nigam Limited (BSNL), Reliance Communications Limited (RCom), Tata Teleservices Limited (Tata), Mahanagar Telephone Nigam Limited (MTNL), Bharti Airtel, Vodafone, and Idea (see Exhibit 3). Besides these national operators, there were some strong regional mobile operators such as Spice Telecom and BPL Telecom Pvt. Ltd. Some new telecom players, along with their foreign (international) partners, applied for licences in 2008, which were allotted to them on a first-come, first-serve basis.</w:t>
      </w:r>
    </w:p>
    <w:p w14:paraId="265C7A67" w14:textId="77777777" w:rsidR="001907E3" w:rsidRPr="003753CF" w:rsidRDefault="001907E3" w:rsidP="00F32C5B">
      <w:pPr>
        <w:pStyle w:val="BodyTextMain"/>
      </w:pPr>
    </w:p>
    <w:p w14:paraId="44D081C8" w14:textId="0EE8AC11" w:rsidR="001907E3" w:rsidRPr="003753CF" w:rsidRDefault="001907E3" w:rsidP="00F32C5B">
      <w:pPr>
        <w:pStyle w:val="BodyTextMain"/>
      </w:pPr>
      <w:r w:rsidRPr="003753CF">
        <w:t>Sensing some gross violation of licen</w:t>
      </w:r>
      <w:r>
        <w:t>c</w:t>
      </w:r>
      <w:r w:rsidRPr="003753CF">
        <w:t xml:space="preserve">e allotment norms, public interest litigations were filed </w:t>
      </w:r>
      <w:r>
        <w:t>with the Supreme Court of India</w:t>
      </w:r>
      <w:r w:rsidRPr="003753CF">
        <w:t xml:space="preserve"> to investigate</w:t>
      </w:r>
      <w:r>
        <w:t>. F</w:t>
      </w:r>
      <w:r w:rsidRPr="003753CF">
        <w:t>our years</w:t>
      </w:r>
      <w:r>
        <w:t xml:space="preserve"> later</w:t>
      </w:r>
      <w:r w:rsidRPr="003753CF">
        <w:t>, the telecom licen</w:t>
      </w:r>
      <w:r>
        <w:t>c</w:t>
      </w:r>
      <w:r w:rsidRPr="003753CF">
        <w:t xml:space="preserve">es were ordered to be cancelled. The Supreme Court’s decision in February 2012 was based on </w:t>
      </w:r>
      <w:r>
        <w:t>a</w:t>
      </w:r>
      <w:r w:rsidRPr="003753CF">
        <w:t xml:space="preserve"> plea of malpractice in awarding the earlier licen</w:t>
      </w:r>
      <w:r>
        <w:t>c</w:t>
      </w:r>
      <w:r w:rsidRPr="003753CF">
        <w:t>es to telecom operators in January 2008. The industry viewe</w:t>
      </w:r>
      <w:r>
        <w:t xml:space="preserve">d this judgment as a roadblock to realizing its true market potential. </w:t>
      </w:r>
      <w:r w:rsidRPr="003753CF">
        <w:t>Telecom operators such as MTS India, Telenor</w:t>
      </w:r>
      <w:r>
        <w:t xml:space="preserve"> India</w:t>
      </w:r>
      <w:r w:rsidRPr="003753CF">
        <w:t>, Videocon</w:t>
      </w:r>
      <w:r>
        <w:t xml:space="preserve"> Telecommunications Limited, </w:t>
      </w:r>
      <w:r w:rsidRPr="003753CF">
        <w:t>and other smaller players had paid huge sums of money to get the licen</w:t>
      </w:r>
      <w:r>
        <w:t>c</w:t>
      </w:r>
      <w:r w:rsidRPr="003753CF">
        <w:t>e to run their mobile service operations. The cancellation of their licen</w:t>
      </w:r>
      <w:r>
        <w:t>c</w:t>
      </w:r>
      <w:r w:rsidRPr="003753CF">
        <w:t xml:space="preserve">es (including </w:t>
      </w:r>
      <w:r>
        <w:t xml:space="preserve">the </w:t>
      </w:r>
      <w:r w:rsidRPr="003753CF">
        <w:t>cancellation of 21 out of 22 licen</w:t>
      </w:r>
      <w:r>
        <w:t>c</w:t>
      </w:r>
      <w:r w:rsidRPr="003753CF">
        <w:t>es for SSTL) meant that they had to revisit their business case and the decision to continue in the business. The incumbents</w:t>
      </w:r>
      <w:r>
        <w:t>—</w:t>
      </w:r>
      <w:r w:rsidRPr="003753CF">
        <w:t>Bharti Airtel, Vodafone, Idea</w:t>
      </w:r>
      <w:r>
        <w:t>,</w:t>
      </w:r>
      <w:r w:rsidRPr="003753CF">
        <w:t xml:space="preserve"> and R</w:t>
      </w:r>
      <w:r>
        <w:t>Com—</w:t>
      </w:r>
      <w:r w:rsidRPr="003753CF">
        <w:t>were not</w:t>
      </w:r>
      <w:r>
        <w:t xml:space="preserve"> affected</w:t>
      </w:r>
      <w:r w:rsidRPr="003753CF">
        <w:t xml:space="preserve"> by the Supreme Court decision since most of their licen</w:t>
      </w:r>
      <w:r>
        <w:t>c</w:t>
      </w:r>
      <w:r w:rsidRPr="003753CF">
        <w:t xml:space="preserve">es </w:t>
      </w:r>
      <w:r>
        <w:t>were awarded before</w:t>
      </w:r>
      <w:r w:rsidRPr="003753CF">
        <w:t xml:space="preserve"> 2008. </w:t>
      </w:r>
    </w:p>
    <w:p w14:paraId="0E0FB09F" w14:textId="77777777" w:rsidR="001907E3" w:rsidRPr="003753CF" w:rsidRDefault="001907E3" w:rsidP="00F32C5B">
      <w:pPr>
        <w:pStyle w:val="BodyTextMain"/>
      </w:pPr>
    </w:p>
    <w:p w14:paraId="0AF78ADF" w14:textId="77777777" w:rsidR="001907E3" w:rsidRPr="003753CF" w:rsidRDefault="001907E3" w:rsidP="00F32C5B">
      <w:pPr>
        <w:pStyle w:val="BodyTextMain"/>
      </w:pPr>
    </w:p>
    <w:p w14:paraId="55974EF3" w14:textId="77777777" w:rsidR="001907E3" w:rsidRPr="003753CF" w:rsidRDefault="001907E3" w:rsidP="001348F0">
      <w:pPr>
        <w:pStyle w:val="Casehead1"/>
        <w:outlineLvl w:val="0"/>
      </w:pPr>
      <w:r w:rsidRPr="003753CF">
        <w:t>MTS Story in India</w:t>
      </w:r>
    </w:p>
    <w:p w14:paraId="28BC9420" w14:textId="77777777" w:rsidR="001907E3" w:rsidRPr="003753CF" w:rsidRDefault="001907E3" w:rsidP="00F32C5B">
      <w:pPr>
        <w:pStyle w:val="BodyTextMain"/>
      </w:pPr>
    </w:p>
    <w:p w14:paraId="658B4CEA" w14:textId="77777777" w:rsidR="001907E3" w:rsidRPr="00E5372F" w:rsidRDefault="001907E3" w:rsidP="00F32C5B">
      <w:pPr>
        <w:pStyle w:val="BodyTextMain"/>
        <w:rPr>
          <w:spacing w:val="-2"/>
          <w:kern w:val="22"/>
        </w:rPr>
      </w:pPr>
      <w:r w:rsidRPr="00E5372F">
        <w:rPr>
          <w:spacing w:val="-2"/>
          <w:kern w:val="22"/>
        </w:rPr>
        <w:t>SSTL was a joint venture between Russian conglomerate Sistema and Indian partner Shyam TeleLink Ltd., operating in India under the MTS brand. Sistema held a 56.68 per cent stake in the organization, while the Russian government held 17.14 per cent.</w:t>
      </w:r>
      <w:r w:rsidRPr="00E5372F">
        <w:rPr>
          <w:rStyle w:val="EndnoteReference"/>
          <w:spacing w:val="-2"/>
          <w:kern w:val="22"/>
        </w:rPr>
        <w:endnoteReference w:id="7"/>
      </w:r>
      <w:r>
        <w:rPr>
          <w:spacing w:val="-2"/>
          <w:kern w:val="22"/>
        </w:rPr>
        <w:t xml:space="preserve"> </w:t>
      </w:r>
      <w:r w:rsidRPr="00E5372F">
        <w:rPr>
          <w:spacing w:val="-2"/>
          <w:kern w:val="22"/>
        </w:rPr>
        <w:t xml:space="preserve">The remainder was held by the Shyam Group (24 per cent)—an Indian business with interests in various industry sectors—and minority shareholders (2.2 per cent). </w:t>
      </w:r>
    </w:p>
    <w:p w14:paraId="2C129D2D" w14:textId="77777777" w:rsidR="001907E3" w:rsidRPr="003753CF" w:rsidRDefault="001907E3" w:rsidP="00F32C5B">
      <w:pPr>
        <w:pStyle w:val="BodyTextMain"/>
      </w:pPr>
    </w:p>
    <w:p w14:paraId="61249DF7" w14:textId="4F975195" w:rsidR="001907E3" w:rsidRDefault="001907E3" w:rsidP="00F32C5B">
      <w:pPr>
        <w:pStyle w:val="BodyTextMain"/>
      </w:pPr>
      <w:r w:rsidRPr="003753CF">
        <w:t xml:space="preserve">MTS </w:t>
      </w:r>
      <w:r>
        <w:t xml:space="preserve">was </w:t>
      </w:r>
      <w:r w:rsidRPr="003753CF">
        <w:t>a recognized global brand</w:t>
      </w:r>
      <w:r>
        <w:t>, ranking</w:t>
      </w:r>
      <w:r w:rsidRPr="003753CF">
        <w:t xml:space="preserve"> 82nd </w:t>
      </w:r>
      <w:r>
        <w:t>overall and nin</w:t>
      </w:r>
      <w:r w:rsidRPr="003753CF">
        <w:t xml:space="preserve">th among telecom providers in </w:t>
      </w:r>
      <w:r>
        <w:t xml:space="preserve">the </w:t>
      </w:r>
      <w:r w:rsidRPr="003753CF">
        <w:t xml:space="preserve">2013 </w:t>
      </w:r>
      <w:r w:rsidRPr="003753CF">
        <w:rPr>
          <w:rStyle w:val="Strong"/>
          <w:b w:val="0"/>
          <w:shd w:val="clear" w:color="auto" w:fill="FEFEFE"/>
        </w:rPr>
        <w:t xml:space="preserve">BrandZ Top 100 Most Valuable Global Brands survey carried out by </w:t>
      </w:r>
      <w:r>
        <w:rPr>
          <w:rStyle w:val="Strong"/>
          <w:b w:val="0"/>
          <w:shd w:val="clear" w:color="auto" w:fill="FEFEFE"/>
        </w:rPr>
        <w:t xml:space="preserve">the </w:t>
      </w:r>
      <w:r w:rsidRPr="003753CF">
        <w:rPr>
          <w:rStyle w:val="Strong"/>
          <w:b w:val="0"/>
          <w:shd w:val="clear" w:color="auto" w:fill="FEFEFE"/>
        </w:rPr>
        <w:t xml:space="preserve">WPP </w:t>
      </w:r>
      <w:r>
        <w:rPr>
          <w:rStyle w:val="Strong"/>
          <w:b w:val="0"/>
          <w:shd w:val="clear" w:color="auto" w:fill="FEFEFE"/>
        </w:rPr>
        <w:t>G</w:t>
      </w:r>
      <w:r w:rsidRPr="003753CF">
        <w:rPr>
          <w:rStyle w:val="Strong"/>
          <w:b w:val="0"/>
          <w:shd w:val="clear" w:color="auto" w:fill="FEFEFE"/>
        </w:rPr>
        <w:t>roup and Millward Brown International.</w:t>
      </w:r>
      <w:r w:rsidRPr="003753CF">
        <w:rPr>
          <w:rStyle w:val="EndnoteReference"/>
        </w:rPr>
        <w:endnoteReference w:id="8"/>
      </w:r>
      <w:r>
        <w:rPr>
          <w:rStyle w:val="Strong"/>
          <w:b w:val="0"/>
          <w:shd w:val="clear" w:color="auto" w:fill="FEFEFE"/>
        </w:rPr>
        <w:t xml:space="preserve"> </w:t>
      </w:r>
      <w:r w:rsidRPr="003753CF">
        <w:t>The company began operations in India in March 2009 after being awarded its licen</w:t>
      </w:r>
      <w:r>
        <w:t>c</w:t>
      </w:r>
      <w:r w:rsidRPr="003753CF">
        <w:t>es in 2008.</w:t>
      </w:r>
      <w:r w:rsidRPr="003753CF">
        <w:rPr>
          <w:rStyle w:val="EndnoteReference"/>
        </w:rPr>
        <w:endnoteReference w:id="9"/>
      </w:r>
      <w:r w:rsidRPr="003753CF">
        <w:t xml:space="preserve"> At that time, there were more than a dozen players vying for a piece of the rapidly expanding telecom </w:t>
      </w:r>
      <w:r>
        <w:t>market</w:t>
      </w:r>
      <w:r w:rsidRPr="003753CF">
        <w:t xml:space="preserve">. Several foreign players had also invested in the market by then, </w:t>
      </w:r>
      <w:r>
        <w:t>since</w:t>
      </w:r>
      <w:r w:rsidRPr="003753CF">
        <w:t xml:space="preserve"> the government had increased the </w:t>
      </w:r>
      <w:r>
        <w:t xml:space="preserve">foreign direct investment </w:t>
      </w:r>
      <w:r w:rsidRPr="003753CF">
        <w:t xml:space="preserve">limit in many </w:t>
      </w:r>
      <w:r>
        <w:t xml:space="preserve">telecom sector </w:t>
      </w:r>
      <w:r w:rsidRPr="003753CF">
        <w:t xml:space="preserve">services from 49 </w:t>
      </w:r>
      <w:r>
        <w:t>per cent</w:t>
      </w:r>
      <w:r w:rsidRPr="003753CF">
        <w:t xml:space="preserve"> to 74 </w:t>
      </w:r>
      <w:r>
        <w:t>per cent</w:t>
      </w:r>
      <w:r w:rsidRPr="003753CF">
        <w:t xml:space="preserve"> in </w:t>
      </w:r>
      <w:r>
        <w:t xml:space="preserve">the FY </w:t>
      </w:r>
      <w:r w:rsidRPr="003753CF">
        <w:t>2004</w:t>
      </w:r>
      <w:r>
        <w:t>–</w:t>
      </w:r>
      <w:r w:rsidRPr="003753CF">
        <w:t xml:space="preserve">05 budget </w:t>
      </w:r>
      <w:r>
        <w:t>(</w:t>
      </w:r>
      <w:r w:rsidRPr="003753CF">
        <w:t>in February 2005</w:t>
      </w:r>
      <w:r>
        <w:t>)</w:t>
      </w:r>
      <w:r w:rsidRPr="003753CF">
        <w:t>.</w:t>
      </w:r>
      <w:r w:rsidRPr="003753CF">
        <w:rPr>
          <w:rStyle w:val="EndnoteReference"/>
        </w:rPr>
        <w:endnoteReference w:id="10"/>
      </w:r>
    </w:p>
    <w:p w14:paraId="16E6C64C" w14:textId="77777777" w:rsidR="001907E3" w:rsidRDefault="001907E3" w:rsidP="00F32C5B">
      <w:pPr>
        <w:pStyle w:val="BodyTextMain"/>
      </w:pPr>
    </w:p>
    <w:p w14:paraId="2E52175E" w14:textId="77777777" w:rsidR="001907E3" w:rsidRPr="003753CF" w:rsidRDefault="001907E3" w:rsidP="00F32C5B">
      <w:pPr>
        <w:pStyle w:val="BodyTextMain"/>
      </w:pPr>
    </w:p>
    <w:p w14:paraId="54CCE5AB" w14:textId="77777777" w:rsidR="001907E3" w:rsidRPr="003753CF" w:rsidRDefault="001907E3" w:rsidP="001348F0">
      <w:pPr>
        <w:pStyle w:val="Casehead1"/>
        <w:keepNext/>
        <w:outlineLvl w:val="0"/>
      </w:pPr>
      <w:r w:rsidRPr="003753CF">
        <w:lastRenderedPageBreak/>
        <w:t xml:space="preserve">Structure of the Indian telecom industry </w:t>
      </w:r>
    </w:p>
    <w:p w14:paraId="5393C243" w14:textId="77777777" w:rsidR="001907E3" w:rsidRPr="003753CF" w:rsidRDefault="001907E3" w:rsidP="009A0639">
      <w:pPr>
        <w:pStyle w:val="BodyTextMain"/>
        <w:keepNext/>
      </w:pPr>
    </w:p>
    <w:p w14:paraId="669068D1" w14:textId="77777777" w:rsidR="001907E3" w:rsidRPr="00436E0F" w:rsidRDefault="001907E3" w:rsidP="009A0639">
      <w:pPr>
        <w:pStyle w:val="BodyTextMain"/>
        <w:keepNext/>
        <w:rPr>
          <w:spacing w:val="-2"/>
          <w:kern w:val="22"/>
        </w:rPr>
      </w:pPr>
      <w:r w:rsidRPr="00436E0F">
        <w:rPr>
          <w:spacing w:val="-2"/>
          <w:kern w:val="22"/>
        </w:rPr>
        <w:t>In fiscal 2006, the telecom density in India was still low at around 13 per cent, compared to 60 per cent in the United States and 102 per cent in the United Kingdom.</w:t>
      </w:r>
      <w:r w:rsidRPr="00436E0F">
        <w:rPr>
          <w:rStyle w:val="EndnoteReference"/>
          <w:spacing w:val="-2"/>
          <w:kern w:val="22"/>
        </w:rPr>
        <w:endnoteReference w:id="11"/>
      </w:r>
      <w:r w:rsidRPr="00436E0F">
        <w:rPr>
          <w:spacing w:val="-2"/>
          <w:kern w:val="22"/>
        </w:rPr>
        <w:t xml:space="preserve"> Sensing the huge market potential, global telecom operators such as Telenor and the Etisalat Group entered the market by partnering with domestic businesses. Another global telecom player, Vodafone, entered the market through the acquisition of the Hutch brand.</w:t>
      </w:r>
    </w:p>
    <w:p w14:paraId="4D120A05" w14:textId="77777777" w:rsidR="001907E3" w:rsidRPr="003753CF" w:rsidRDefault="001907E3" w:rsidP="00F32C5B">
      <w:pPr>
        <w:pStyle w:val="BodyTextMain"/>
        <w:rPr>
          <w:lang w:eastAsia="en-IN"/>
        </w:rPr>
      </w:pPr>
    </w:p>
    <w:p w14:paraId="48173177" w14:textId="762E5AA8" w:rsidR="001907E3" w:rsidRPr="003753CF" w:rsidRDefault="001907E3" w:rsidP="00F32C5B">
      <w:pPr>
        <w:pStyle w:val="BodyTextMain"/>
      </w:pPr>
      <w:r w:rsidRPr="003753CF">
        <w:rPr>
          <w:lang w:eastAsia="en-IN"/>
        </w:rPr>
        <w:t xml:space="preserve">The total subscriber base of </w:t>
      </w:r>
      <w:r>
        <w:rPr>
          <w:lang w:eastAsia="en-IN"/>
        </w:rPr>
        <w:t xml:space="preserve">the </w:t>
      </w:r>
      <w:r w:rsidRPr="003753CF">
        <w:rPr>
          <w:lang w:eastAsia="en-IN"/>
        </w:rPr>
        <w:t>telecom sector (both wireless and wireline)</w:t>
      </w:r>
      <w:r>
        <w:rPr>
          <w:lang w:eastAsia="en-IN"/>
        </w:rPr>
        <w:t xml:space="preserve"> </w:t>
      </w:r>
      <w:r w:rsidRPr="003753CF">
        <w:rPr>
          <w:lang w:eastAsia="en-IN"/>
        </w:rPr>
        <w:t xml:space="preserve">in India during </w:t>
      </w:r>
      <w:r>
        <w:rPr>
          <w:lang w:eastAsia="en-IN"/>
        </w:rPr>
        <w:t xml:space="preserve">FY </w:t>
      </w:r>
      <w:r w:rsidRPr="003753CF">
        <w:rPr>
          <w:lang w:eastAsia="en-IN"/>
        </w:rPr>
        <w:t>2008</w:t>
      </w:r>
      <w:r>
        <w:rPr>
          <w:lang w:eastAsia="en-IN"/>
        </w:rPr>
        <w:t>–</w:t>
      </w:r>
      <w:r w:rsidRPr="003753CF">
        <w:rPr>
          <w:lang w:eastAsia="en-IN"/>
        </w:rPr>
        <w:t>09 crossed</w:t>
      </w:r>
      <w:r>
        <w:rPr>
          <w:lang w:eastAsia="en-IN"/>
        </w:rPr>
        <w:t xml:space="preserve"> the</w:t>
      </w:r>
      <w:r w:rsidRPr="003753CF">
        <w:rPr>
          <w:lang w:eastAsia="en-IN"/>
        </w:rPr>
        <w:t xml:space="preserve"> 400 million mark</w:t>
      </w:r>
      <w:r>
        <w:rPr>
          <w:lang w:eastAsia="en-IN"/>
        </w:rPr>
        <w:t>. A</w:t>
      </w:r>
      <w:r w:rsidRPr="003753CF">
        <w:rPr>
          <w:lang w:eastAsia="en-IN"/>
        </w:rPr>
        <w:t>s o</w:t>
      </w:r>
      <w:r>
        <w:rPr>
          <w:lang w:eastAsia="en-IN"/>
        </w:rPr>
        <w:t xml:space="preserve">f </w:t>
      </w:r>
      <w:r w:rsidRPr="003753CF">
        <w:rPr>
          <w:lang w:eastAsia="en-IN"/>
        </w:rPr>
        <w:t>March</w:t>
      </w:r>
      <w:r>
        <w:rPr>
          <w:lang w:eastAsia="en-IN"/>
        </w:rPr>
        <w:t xml:space="preserve"> 31, 2009, there were </w:t>
      </w:r>
      <w:r w:rsidRPr="003753CF">
        <w:rPr>
          <w:lang w:eastAsia="en-IN"/>
        </w:rPr>
        <w:t>429.72 million subscriber</w:t>
      </w:r>
      <w:r>
        <w:rPr>
          <w:lang w:eastAsia="en-IN"/>
        </w:rPr>
        <w:t>s.</w:t>
      </w:r>
      <w:r w:rsidRPr="003753CF">
        <w:rPr>
          <w:lang w:eastAsia="en-IN"/>
        </w:rPr>
        <w:t xml:space="preserve"> Th</w:t>
      </w:r>
      <w:r>
        <w:rPr>
          <w:lang w:eastAsia="en-IN"/>
        </w:rPr>
        <w:t xml:space="preserve">e total wireless subscriber base—global system for mobile communication (GSM), code division multiple access (CDMA), and wireless local loop (fixed wireless)—was </w:t>
      </w:r>
      <w:r w:rsidRPr="003753CF">
        <w:rPr>
          <w:lang w:eastAsia="en-IN"/>
        </w:rPr>
        <w:t>391.76 million</w:t>
      </w:r>
      <w:r>
        <w:rPr>
          <w:lang w:eastAsia="en-IN"/>
        </w:rPr>
        <w:t>, and the total</w:t>
      </w:r>
      <w:r w:rsidRPr="003753CF">
        <w:rPr>
          <w:lang w:eastAsia="en-IN"/>
        </w:rPr>
        <w:t xml:space="preserve"> wireline subscriber</w:t>
      </w:r>
      <w:r>
        <w:rPr>
          <w:lang w:eastAsia="en-IN"/>
        </w:rPr>
        <w:t xml:space="preserve"> base was</w:t>
      </w:r>
      <w:r w:rsidRPr="003753CF">
        <w:rPr>
          <w:lang w:eastAsia="en-IN"/>
        </w:rPr>
        <w:t xml:space="preserve"> 37.96 million.</w:t>
      </w:r>
      <w:r w:rsidRPr="003753CF">
        <w:rPr>
          <w:rStyle w:val="EndnoteReference"/>
        </w:rPr>
        <w:endnoteReference w:id="12"/>
      </w:r>
      <w:r>
        <w:rPr>
          <w:lang w:eastAsia="en-IN"/>
        </w:rPr>
        <w:t xml:space="preserve"> </w:t>
      </w:r>
      <w:r w:rsidRPr="003753CF">
        <w:t>The market was dominated by voice services.</w:t>
      </w:r>
      <w:r w:rsidR="000700C7">
        <w:t xml:space="preserve"> The e</w:t>
      </w:r>
      <w:r w:rsidRPr="003753CF">
        <w:t>ntry of new players triggered a price war</w:t>
      </w:r>
      <w:r>
        <w:t>,</w:t>
      </w:r>
      <w:r w:rsidRPr="003753CF">
        <w:t xml:space="preserve"> which caused mobile voice service</w:t>
      </w:r>
      <w:r>
        <w:t xml:space="preserve"> rates</w:t>
      </w:r>
      <w:r w:rsidRPr="003753CF">
        <w:t xml:space="preserve"> to plunge to levels </w:t>
      </w:r>
      <w:r>
        <w:t xml:space="preserve">that </w:t>
      </w:r>
      <w:r w:rsidRPr="003753CF">
        <w:t>were among the lowest in the BRIC (Brazil, Russia, India</w:t>
      </w:r>
      <w:r>
        <w:t>,</w:t>
      </w:r>
      <w:r w:rsidRPr="003753CF">
        <w:t xml:space="preserve"> and China) nations. The mobile cellular average pre-paid revenue per user wa</w:t>
      </w:r>
      <w:r>
        <w:t>s US$</w:t>
      </w:r>
      <w:r w:rsidRPr="003753CF">
        <w:t>1.6</w:t>
      </w:r>
      <w:r>
        <w:t>0</w:t>
      </w:r>
      <w:r w:rsidRPr="003753CF">
        <w:t xml:space="preserve"> per month in India in 2008, the second lowest in the world after Bangladesh, wh</w:t>
      </w:r>
      <w:r>
        <w:t>ereas the world average was US$</w:t>
      </w:r>
      <w:r w:rsidRPr="003753CF">
        <w:t>10.1</w:t>
      </w:r>
      <w:r>
        <w:t>0</w:t>
      </w:r>
      <w:r w:rsidRPr="003753CF">
        <w:t xml:space="preserve"> per month. This particular</w:t>
      </w:r>
      <w:r>
        <w:t>ly</w:t>
      </w:r>
      <w:r w:rsidRPr="003753CF">
        <w:t xml:space="preserve"> low tariff in South Asia was an innovation driven by intense competition, low purchasing power</w:t>
      </w:r>
      <w:r>
        <w:t>,</w:t>
      </w:r>
      <w:r w:rsidRPr="003753CF">
        <w:t xml:space="preserve"> and strict regulatory environments.</w:t>
      </w:r>
      <w:r w:rsidRPr="003753CF">
        <w:rPr>
          <w:rStyle w:val="EndnoteReference"/>
        </w:rPr>
        <w:endnoteReference w:id="13"/>
      </w:r>
    </w:p>
    <w:p w14:paraId="3CD17F4B" w14:textId="77777777" w:rsidR="001907E3" w:rsidRPr="003753CF" w:rsidRDefault="001907E3" w:rsidP="00F32C5B">
      <w:pPr>
        <w:pStyle w:val="BodyTextMain"/>
        <w:rPr>
          <w:lang w:eastAsia="en-IN"/>
        </w:rPr>
      </w:pPr>
    </w:p>
    <w:p w14:paraId="4C0D2AA6" w14:textId="6B58C442" w:rsidR="001907E3" w:rsidRPr="003753CF" w:rsidRDefault="001907E3" w:rsidP="00F32C5B">
      <w:pPr>
        <w:pStyle w:val="BodyTextMain"/>
      </w:pPr>
      <w:r w:rsidRPr="003753CF">
        <w:t xml:space="preserve">Rozanov, a 39-year-old finance veteran with the Sistema </w:t>
      </w:r>
      <w:r>
        <w:t>conglomerate</w:t>
      </w:r>
      <w:r w:rsidRPr="003753CF">
        <w:t xml:space="preserve"> in Russia, </w:t>
      </w:r>
      <w:r>
        <w:t>took</w:t>
      </w:r>
      <w:r w:rsidRPr="003753CF">
        <w:t xml:space="preserve"> the helm of MTS India as its first CEO in October 2008.</w:t>
      </w:r>
      <w:r w:rsidRPr="003753CF">
        <w:rPr>
          <w:rStyle w:val="EndnoteReference"/>
        </w:rPr>
        <w:endnoteReference w:id="14"/>
      </w:r>
      <w:r w:rsidRPr="003753CF">
        <w:t xml:space="preserve"> As he confessed later, his introduction to India came through the tales </w:t>
      </w:r>
      <w:r>
        <w:t>about</w:t>
      </w:r>
      <w:r w:rsidRPr="003753CF">
        <w:t xml:space="preserve"> Lord Hanuman, </w:t>
      </w:r>
      <w:r w:rsidR="000700C7">
        <w:t xml:space="preserve">the monkey god, </w:t>
      </w:r>
      <w:r w:rsidRPr="003753CF">
        <w:t xml:space="preserve">which </w:t>
      </w:r>
      <w:r>
        <w:t xml:space="preserve">roused </w:t>
      </w:r>
      <w:r w:rsidRPr="003753CF">
        <w:t xml:space="preserve">in </w:t>
      </w:r>
      <w:r>
        <w:t>Rozanov</w:t>
      </w:r>
      <w:r w:rsidRPr="003753CF">
        <w:t xml:space="preserve"> an eagerness and curiosity about the country and its culture. </w:t>
      </w:r>
      <w:r>
        <w:t>He</w:t>
      </w:r>
      <w:r w:rsidRPr="003753CF">
        <w:t xml:space="preserve"> was quick to realize that the Indian telecom market was very price sensitive given the intense competition</w:t>
      </w:r>
      <w:r>
        <w:t xml:space="preserve">; </w:t>
      </w:r>
      <w:r w:rsidRPr="003753CF">
        <w:t xml:space="preserve">hence, </w:t>
      </w:r>
      <w:r>
        <w:t xml:space="preserve">he </w:t>
      </w:r>
      <w:r w:rsidRPr="003753CF">
        <w:t xml:space="preserve">positioned the MTS India brand as value for money. </w:t>
      </w:r>
    </w:p>
    <w:p w14:paraId="302A0A4E" w14:textId="77777777" w:rsidR="001907E3" w:rsidRPr="003753CF" w:rsidRDefault="001907E3" w:rsidP="00F32C5B">
      <w:pPr>
        <w:pStyle w:val="BodyTextMain"/>
      </w:pPr>
    </w:p>
    <w:p w14:paraId="57DA30AB" w14:textId="3379C0E1" w:rsidR="001907E3" w:rsidRPr="00E5372F" w:rsidRDefault="001907E3" w:rsidP="00F32C5B">
      <w:pPr>
        <w:pStyle w:val="BodyTextMain"/>
        <w:rPr>
          <w:spacing w:val="-2"/>
          <w:kern w:val="22"/>
        </w:rPr>
      </w:pPr>
      <w:r w:rsidRPr="00E5372F">
        <w:rPr>
          <w:spacing w:val="-2"/>
          <w:kern w:val="22"/>
        </w:rPr>
        <w:t>Recognizing that the high price of mobile handsets was creating an entry barrier for first-time mobile users, Rozanov took two major initiatives to penetrate the cost-conscious Indian market. To begin, he forged strategic partnerships with mobile handset makers such as Samsung Electronics Co. Ltd. (Samsung), ZTE Corporation, and Huawei Technologies Co. Ltd. (Huawei) to offer low-priced handsets for the mass market. These handsets were offered at discounted price</w:t>
      </w:r>
      <w:r>
        <w:rPr>
          <w:spacing w:val="-2"/>
          <w:kern w:val="22"/>
        </w:rPr>
        <w:t>s</w:t>
      </w:r>
      <w:r w:rsidRPr="00E5372F">
        <w:rPr>
          <w:spacing w:val="-2"/>
          <w:kern w:val="22"/>
        </w:rPr>
        <w:t xml:space="preserve"> to spur sales in the mass market. This strategy helped the company build a substantial market share in the voice segment, although at a high subscriber acquisition cost. Later, to reduce this cost, the company followed an open market handset strategy by offering phones from companies like Spice Telecom, ZTE</w:t>
      </w:r>
      <w:r w:rsidR="000700C7">
        <w:rPr>
          <w:spacing w:val="-2"/>
          <w:kern w:val="22"/>
        </w:rPr>
        <w:t xml:space="preserve"> corporation</w:t>
      </w:r>
      <w:r w:rsidRPr="00E5372F">
        <w:rPr>
          <w:spacing w:val="-2"/>
          <w:kern w:val="22"/>
        </w:rPr>
        <w:t>, Samsung, Fly</w:t>
      </w:r>
      <w:r w:rsidR="000700C7">
        <w:rPr>
          <w:spacing w:val="-2"/>
          <w:kern w:val="22"/>
        </w:rPr>
        <w:t xml:space="preserve"> Mobile Phones</w:t>
      </w:r>
      <w:r w:rsidRPr="00E5372F">
        <w:rPr>
          <w:spacing w:val="-2"/>
          <w:kern w:val="22"/>
        </w:rPr>
        <w:t xml:space="preserve">, and Huawei. </w:t>
      </w:r>
    </w:p>
    <w:p w14:paraId="688A0442" w14:textId="77777777" w:rsidR="001907E3" w:rsidRPr="003753CF" w:rsidRDefault="001907E3" w:rsidP="00F32C5B">
      <w:pPr>
        <w:pStyle w:val="BodyTextMain"/>
      </w:pPr>
    </w:p>
    <w:p w14:paraId="11D246A6" w14:textId="3FF7D280" w:rsidR="001907E3" w:rsidRPr="003753CF" w:rsidRDefault="001907E3" w:rsidP="00F32C5B">
      <w:pPr>
        <w:pStyle w:val="BodyTextMain"/>
      </w:pPr>
      <w:r w:rsidRPr="003753CF">
        <w:t>Rozanov also introduced lucrative tariff plans to offer the best value to customers.</w:t>
      </w:r>
      <w:r>
        <w:t xml:space="preserve"> Sistema’s launch in March 2009</w:t>
      </w:r>
      <w:r w:rsidRPr="003753CF">
        <w:t xml:space="preserve"> of </w:t>
      </w:r>
      <w:r>
        <w:t xml:space="preserve">a </w:t>
      </w:r>
      <w:r w:rsidRPr="003753CF">
        <w:t>million minutes of free talk time</w:t>
      </w:r>
      <w:r>
        <w:rPr>
          <w:rStyle w:val="EndnoteReference"/>
        </w:rPr>
        <w:endnoteReference w:id="15"/>
      </w:r>
      <w:r>
        <w:t xml:space="preserve"> for </w:t>
      </w:r>
      <w:r w:rsidRPr="00E5372F">
        <w:rPr>
          <w:rFonts w:ascii="Arial" w:hAnsi="Arial"/>
        </w:rPr>
        <w:t>₹</w:t>
      </w:r>
      <w:r w:rsidRPr="003753CF">
        <w:t>499 (life</w:t>
      </w:r>
      <w:r>
        <w:t>-</w:t>
      </w:r>
      <w:r w:rsidRPr="003753CF">
        <w:t xml:space="preserve">time offer) intensified the tariff war among telecom operators. In September 2009, MTS India launched the revolutionary </w:t>
      </w:r>
      <w:r>
        <w:t>“</w:t>
      </w:r>
      <w:r w:rsidRPr="003753CF">
        <w:t>per second</w:t>
      </w:r>
      <w:r>
        <w:t>”</w:t>
      </w:r>
      <w:r w:rsidRPr="003753CF">
        <w:t xml:space="preserve"> bill plan</w:t>
      </w:r>
      <w:r>
        <w:t>—</w:t>
      </w:r>
      <w:r w:rsidRPr="003753CF">
        <w:t>christened “MTalk”</w:t>
      </w:r>
      <w:r>
        <w:t>—</w:t>
      </w:r>
      <w:r w:rsidRPr="003753CF">
        <w:t>which offered consumers full talk time, life</w:t>
      </w:r>
      <w:r>
        <w:t>-</w:t>
      </w:r>
      <w:r w:rsidRPr="003753CF">
        <w:t>time validity</w:t>
      </w:r>
      <w:r>
        <w:t>,</w:t>
      </w:r>
      <w:r w:rsidRPr="003753CF">
        <w:t xml:space="preserve"> and no hidden costs.</w:t>
      </w:r>
      <w:r w:rsidRPr="003753CF">
        <w:rPr>
          <w:rStyle w:val="EndnoteReference"/>
        </w:rPr>
        <w:endnoteReference w:id="16"/>
      </w:r>
      <w:r w:rsidRPr="003753CF">
        <w:t xml:space="preserve"> The tariff plans offered by other operators in the market were too complicated and had several price components</w:t>
      </w:r>
      <w:r>
        <w:t>,</w:t>
      </w:r>
      <w:r w:rsidRPr="003753CF">
        <w:t xml:space="preserve"> including the activation fee</w:t>
      </w:r>
      <w:r>
        <w:t>,</w:t>
      </w:r>
      <w:r w:rsidRPr="003753CF">
        <w:t xml:space="preserve"> which customers found difficult to </w:t>
      </w:r>
      <w:r>
        <w:t>understand</w:t>
      </w:r>
      <w:r w:rsidRPr="003753CF">
        <w:t xml:space="preserve">. </w:t>
      </w:r>
    </w:p>
    <w:p w14:paraId="4AED0CA5" w14:textId="77777777" w:rsidR="001907E3" w:rsidRPr="003753CF" w:rsidRDefault="001907E3" w:rsidP="00F32C5B">
      <w:pPr>
        <w:pStyle w:val="BodyTextMain"/>
      </w:pPr>
    </w:p>
    <w:p w14:paraId="030AF494" w14:textId="77777777" w:rsidR="001907E3" w:rsidRPr="003753CF" w:rsidRDefault="001907E3" w:rsidP="00F32C5B">
      <w:pPr>
        <w:pStyle w:val="BodyTextMain"/>
      </w:pPr>
      <w:r w:rsidRPr="003753CF">
        <w:t>MTS India</w:t>
      </w:r>
      <w:r>
        <w:t>’s marketing director</w:t>
      </w:r>
      <w:r w:rsidRPr="003753CF">
        <w:t xml:space="preserve"> commented at that time that the company had indeed introduced a new concept in the Indian market by looking at all the elements that</w:t>
      </w:r>
      <w:r>
        <w:t xml:space="preserve"> brought</w:t>
      </w:r>
      <w:r w:rsidRPr="003753CF">
        <w:t xml:space="preserve"> true value and</w:t>
      </w:r>
      <w:r>
        <w:t xml:space="preserve"> </w:t>
      </w:r>
      <w:r w:rsidRPr="003753CF">
        <w:t xml:space="preserve">giving </w:t>
      </w:r>
      <w:r>
        <w:t>them</w:t>
      </w:r>
      <w:r w:rsidRPr="003753CF">
        <w:t xml:space="preserve"> to </w:t>
      </w:r>
      <w:r>
        <w:t xml:space="preserve">customers on their own terms. </w:t>
      </w:r>
      <w:r w:rsidRPr="003753CF">
        <w:t>Using this low</w:t>
      </w:r>
      <w:r>
        <w:t>-</w:t>
      </w:r>
      <w:r w:rsidRPr="003753CF">
        <w:t>cost service model, MTS India was able to garner two million subscribers by September 2009 in just six months of becoming operational in India</w:t>
      </w:r>
      <w:r>
        <w:t>.</w:t>
      </w:r>
      <w:r>
        <w:rPr>
          <w:rStyle w:val="EndnoteReference"/>
        </w:rPr>
        <w:endnoteReference w:id="17"/>
      </w:r>
    </w:p>
    <w:p w14:paraId="5655950D" w14:textId="77777777" w:rsidR="001907E3" w:rsidRPr="00436E0F" w:rsidRDefault="001907E3" w:rsidP="00F32C5B">
      <w:pPr>
        <w:pStyle w:val="BodyTextMain"/>
        <w:rPr>
          <w:spacing w:val="-2"/>
          <w:kern w:val="22"/>
        </w:rPr>
      </w:pPr>
    </w:p>
    <w:p w14:paraId="2C43F1E9" w14:textId="1C73A86C" w:rsidR="001907E3" w:rsidRPr="00436E0F" w:rsidRDefault="001907E3" w:rsidP="00F32C5B">
      <w:pPr>
        <w:pStyle w:val="BodyTextMain"/>
        <w:rPr>
          <w:spacing w:val="-2"/>
          <w:kern w:val="22"/>
        </w:rPr>
      </w:pPr>
      <w:r w:rsidRPr="00436E0F">
        <w:rPr>
          <w:spacing w:val="-2"/>
          <w:kern w:val="22"/>
        </w:rPr>
        <w:t>By the end of 2009, the Indian mobile broadband market had begun to slowly pick up. In November 2009, MTS India was among the first to launch the mobile broadband service M-Blaze, the data adapter that ran on CDMA technology from Qualcomm Incorporated as opposed to the prevailing GSM technology.</w:t>
      </w:r>
      <w:r w:rsidRPr="00436E0F">
        <w:rPr>
          <w:rStyle w:val="EndnoteReference"/>
          <w:spacing w:val="-2"/>
          <w:kern w:val="22"/>
        </w:rPr>
        <w:endnoteReference w:id="18"/>
      </w:r>
      <w:r w:rsidRPr="00436E0F">
        <w:rPr>
          <w:spacing w:val="-2"/>
          <w:kern w:val="22"/>
        </w:rPr>
        <w:t xml:space="preserve"> Rozanov, along with the Sistema leadership, was convinced that CDMA technology was best suited for broadband data. </w:t>
      </w:r>
      <w:r w:rsidRPr="00436E0F">
        <w:rPr>
          <w:spacing w:val="-2"/>
          <w:kern w:val="22"/>
        </w:rPr>
        <w:lastRenderedPageBreak/>
        <w:t xml:space="preserve">MTS India therefore decided to operate data services using CDMA technology in the 800 megahertz (MHz) spectrum. This allowed data transmission at a faster speed of up to two megabits per second (Mbps). </w:t>
      </w:r>
    </w:p>
    <w:p w14:paraId="45A44E7D" w14:textId="77777777" w:rsidR="001907E3" w:rsidRDefault="001907E3" w:rsidP="00F32C5B">
      <w:pPr>
        <w:pStyle w:val="BodyTextMain"/>
      </w:pPr>
    </w:p>
    <w:p w14:paraId="4B63D8E4" w14:textId="0EF703FB" w:rsidR="001907E3" w:rsidRPr="003753CF" w:rsidRDefault="001907E3" w:rsidP="00F32C5B">
      <w:pPr>
        <w:pStyle w:val="BodyTextMain"/>
        <w:rPr>
          <w:lang w:eastAsia="en-IN"/>
        </w:rPr>
      </w:pPr>
      <w:r w:rsidRPr="003753CF">
        <w:t>During the early years of MTS India</w:t>
      </w:r>
      <w:r>
        <w:t>’s</w:t>
      </w:r>
      <w:r w:rsidRPr="003753CF">
        <w:t xml:space="preserve"> launch</w:t>
      </w:r>
      <w:r>
        <w:t xml:space="preserve"> (as of March 2011)</w:t>
      </w:r>
      <w:r w:rsidRPr="003753CF">
        <w:t>, CDMA-based technology had about</w:t>
      </w:r>
      <w:r>
        <w:t xml:space="preserve"> a</w:t>
      </w:r>
      <w:r w:rsidRPr="003753CF">
        <w:t xml:space="preserve"> 15 </w:t>
      </w:r>
      <w:r>
        <w:t>per cent</w:t>
      </w:r>
      <w:r w:rsidRPr="003753CF">
        <w:t xml:space="preserve"> market share in India among</w:t>
      </w:r>
      <w:r>
        <w:t xml:space="preserve"> </w:t>
      </w:r>
      <w:r w:rsidRPr="003753CF">
        <w:t>wireless subscribers</w:t>
      </w:r>
      <w:r>
        <w:t>,</w:t>
      </w:r>
      <w:r w:rsidRPr="003753CF">
        <w:t xml:space="preserve"> R</w:t>
      </w:r>
      <w:r>
        <w:t>Com</w:t>
      </w:r>
      <w:r w:rsidRPr="003753CF">
        <w:t xml:space="preserve"> and Tata being the two domina</w:t>
      </w:r>
      <w:r>
        <w:t xml:space="preserve">nt players in the CDMA segment </w:t>
      </w:r>
      <w:r w:rsidRPr="003753CF">
        <w:t>(</w:t>
      </w:r>
      <w:r>
        <w:t xml:space="preserve">see </w:t>
      </w:r>
      <w:r w:rsidRPr="003753CF">
        <w:t>Exhibit 2)</w:t>
      </w:r>
      <w:r>
        <w:t xml:space="preserve">. The </w:t>
      </w:r>
      <w:r w:rsidRPr="003753CF">
        <w:rPr>
          <w:lang w:eastAsia="en-IN"/>
        </w:rPr>
        <w:t xml:space="preserve">Indian telecom network had 787.29 million connections as </w:t>
      </w:r>
      <w:r>
        <w:rPr>
          <w:lang w:eastAsia="en-IN"/>
        </w:rPr>
        <w:t xml:space="preserve">of </w:t>
      </w:r>
      <w:r w:rsidRPr="003753CF">
        <w:rPr>
          <w:lang w:eastAsia="en-IN"/>
        </w:rPr>
        <w:t xml:space="preserve">December </w:t>
      </w:r>
      <w:r>
        <w:rPr>
          <w:lang w:eastAsia="en-IN"/>
        </w:rPr>
        <w:t xml:space="preserve">31, </w:t>
      </w:r>
      <w:r w:rsidRPr="003753CF">
        <w:rPr>
          <w:lang w:eastAsia="en-IN"/>
        </w:rPr>
        <w:t>2010</w:t>
      </w:r>
      <w:r>
        <w:rPr>
          <w:lang w:eastAsia="en-IN"/>
        </w:rPr>
        <w:t>,</w:t>
      </w:r>
      <w:r w:rsidRPr="003753CF">
        <w:rPr>
          <w:lang w:eastAsia="en-IN"/>
        </w:rPr>
        <w:t xml:space="preserve"> and with 752.20 million wireless connections, </w:t>
      </w:r>
      <w:r>
        <w:rPr>
          <w:lang w:eastAsia="en-IN"/>
        </w:rPr>
        <w:t xml:space="preserve">it </w:t>
      </w:r>
      <w:r w:rsidRPr="003753CF">
        <w:rPr>
          <w:lang w:eastAsia="en-IN"/>
        </w:rPr>
        <w:t>became the second largest wireless network in the world after China.</w:t>
      </w:r>
      <w:r w:rsidRPr="003753CF">
        <w:rPr>
          <w:rStyle w:val="EndnoteReference"/>
        </w:rPr>
        <w:endnoteReference w:id="19"/>
      </w:r>
      <w:r w:rsidRPr="003753CF">
        <w:t xml:space="preserve"> The growth of the Indian CDMA market was attributed to the low</w:t>
      </w:r>
      <w:r>
        <w:t>-</w:t>
      </w:r>
      <w:r w:rsidRPr="003753CF">
        <w:t xml:space="preserve">priced bundled services (with handset) offered by operators. During </w:t>
      </w:r>
      <w:r>
        <w:t xml:space="preserve">FY </w:t>
      </w:r>
      <w:r w:rsidRPr="003753CF">
        <w:t>2010</w:t>
      </w:r>
      <w:r>
        <w:t>–</w:t>
      </w:r>
      <w:r w:rsidRPr="003753CF">
        <w:t xml:space="preserve">11, most of the incumbents in India were </w:t>
      </w:r>
      <w:r>
        <w:t>using</w:t>
      </w:r>
      <w:r w:rsidRPr="003753CF">
        <w:t xml:space="preserve"> GSM</w:t>
      </w:r>
      <w:r>
        <w:t>-</w:t>
      </w:r>
      <w:r w:rsidRPr="003753CF">
        <w:t>based telecom technology (</w:t>
      </w:r>
      <w:r>
        <w:t xml:space="preserve">see </w:t>
      </w:r>
      <w:r w:rsidRPr="003753CF">
        <w:t>Exhibit</w:t>
      </w:r>
      <w:r>
        <w:t xml:space="preserve"> </w:t>
      </w:r>
      <w:r w:rsidRPr="003753CF">
        <w:t>2</w:t>
      </w:r>
      <w:r>
        <w:t>). T</w:t>
      </w:r>
      <w:r w:rsidRPr="003753CF">
        <w:t xml:space="preserve">here were only three important players that had any meaningful presence in the CDMA segment. </w:t>
      </w:r>
    </w:p>
    <w:p w14:paraId="5084879B" w14:textId="77777777" w:rsidR="001907E3" w:rsidRPr="003753CF" w:rsidRDefault="001907E3" w:rsidP="00F32C5B">
      <w:pPr>
        <w:pStyle w:val="BodyTextMain"/>
      </w:pPr>
    </w:p>
    <w:p w14:paraId="07532AEA" w14:textId="77777777" w:rsidR="001907E3" w:rsidRDefault="001907E3" w:rsidP="00F32C5B">
      <w:pPr>
        <w:pStyle w:val="BodyTextMain"/>
      </w:pPr>
      <w:r w:rsidRPr="003753CF">
        <w:rPr>
          <w:lang w:eastAsia="en-IN"/>
        </w:rPr>
        <w:t xml:space="preserve">As of December 2011, GSM continued to be the dominant technology for wireless phones with </w:t>
      </w:r>
      <w:r>
        <w:rPr>
          <w:lang w:eastAsia="en-IN"/>
        </w:rPr>
        <w:t xml:space="preserve">an </w:t>
      </w:r>
      <w:r w:rsidRPr="003753CF">
        <w:rPr>
          <w:lang w:eastAsia="en-IN"/>
        </w:rPr>
        <w:t>87.9 per cent share.</w:t>
      </w:r>
      <w:r w:rsidRPr="003753CF">
        <w:rPr>
          <w:rStyle w:val="EndnoteReference"/>
        </w:rPr>
        <w:endnoteReference w:id="20"/>
      </w:r>
      <w:r w:rsidRPr="003753CF">
        <w:rPr>
          <w:lang w:eastAsia="en-IN"/>
        </w:rPr>
        <w:t xml:space="preserve"> Bharti Airtel was the dominant player in </w:t>
      </w:r>
      <w:r>
        <w:rPr>
          <w:lang w:eastAsia="en-IN"/>
        </w:rPr>
        <w:t xml:space="preserve">the </w:t>
      </w:r>
      <w:r w:rsidRPr="003753CF">
        <w:rPr>
          <w:lang w:eastAsia="en-IN"/>
        </w:rPr>
        <w:t>GSM segment</w:t>
      </w:r>
      <w:r>
        <w:rPr>
          <w:lang w:eastAsia="en-IN"/>
        </w:rPr>
        <w:t>,</w:t>
      </w:r>
      <w:r w:rsidRPr="003753CF">
        <w:rPr>
          <w:lang w:eastAsia="en-IN"/>
        </w:rPr>
        <w:t xml:space="preserve"> accounting for 22.35 per cent of the market in terms of market subscriptions</w:t>
      </w:r>
      <w:r>
        <w:rPr>
          <w:lang w:eastAsia="en-IN"/>
        </w:rPr>
        <w:t xml:space="preserve">. It was </w:t>
      </w:r>
      <w:r w:rsidRPr="003753CF">
        <w:rPr>
          <w:lang w:eastAsia="en-IN"/>
        </w:rPr>
        <w:t xml:space="preserve">followed by Vodafone (18.80 per cent), Idea (13.53 </w:t>
      </w:r>
      <w:r>
        <w:rPr>
          <w:lang w:eastAsia="en-IN"/>
        </w:rPr>
        <w:t>per cent</w:t>
      </w:r>
      <w:r w:rsidRPr="003753CF">
        <w:rPr>
          <w:lang w:eastAsia="en-IN"/>
        </w:rPr>
        <w:t>)</w:t>
      </w:r>
      <w:r>
        <w:rPr>
          <w:lang w:eastAsia="en-IN"/>
        </w:rPr>
        <w:t>,</w:t>
      </w:r>
      <w:r w:rsidRPr="003753CF">
        <w:rPr>
          <w:lang w:eastAsia="en-IN"/>
        </w:rPr>
        <w:t xml:space="preserve"> and R</w:t>
      </w:r>
      <w:r>
        <w:rPr>
          <w:lang w:eastAsia="en-IN"/>
        </w:rPr>
        <w:t>Com</w:t>
      </w:r>
      <w:r w:rsidRPr="003753CF">
        <w:rPr>
          <w:lang w:eastAsia="en-IN"/>
        </w:rPr>
        <w:t xml:space="preserve"> (12.05 per cent). There were as many as 14 operators using GSM technology</w:t>
      </w:r>
      <w:r>
        <w:rPr>
          <w:lang w:eastAsia="en-IN"/>
        </w:rPr>
        <w:t xml:space="preserve">, but </w:t>
      </w:r>
      <w:r w:rsidRPr="003753CF">
        <w:rPr>
          <w:lang w:eastAsia="en-IN"/>
        </w:rPr>
        <w:t xml:space="preserve">just six </w:t>
      </w:r>
      <w:r>
        <w:rPr>
          <w:lang w:eastAsia="en-IN"/>
        </w:rPr>
        <w:t xml:space="preserve">operators </w:t>
      </w:r>
      <w:r w:rsidRPr="003753CF">
        <w:rPr>
          <w:lang w:eastAsia="en-IN"/>
        </w:rPr>
        <w:t>using CDMA. R</w:t>
      </w:r>
      <w:r>
        <w:rPr>
          <w:lang w:eastAsia="en-IN"/>
        </w:rPr>
        <w:t>Com</w:t>
      </w:r>
      <w:r w:rsidRPr="003753CF">
        <w:rPr>
          <w:lang w:eastAsia="en-IN"/>
        </w:rPr>
        <w:t xml:space="preserve"> was the leading player in the CDMA market with </w:t>
      </w:r>
      <w:r>
        <w:rPr>
          <w:lang w:eastAsia="en-IN"/>
        </w:rPr>
        <w:t xml:space="preserve">a </w:t>
      </w:r>
      <w:r w:rsidRPr="003753CF">
        <w:rPr>
          <w:lang w:eastAsia="en-IN"/>
        </w:rPr>
        <w:t>51.32 per cent share. Tata was the next big</w:t>
      </w:r>
      <w:r>
        <w:rPr>
          <w:lang w:eastAsia="en-IN"/>
        </w:rPr>
        <w:t>gest</w:t>
      </w:r>
      <w:r w:rsidRPr="003753CF">
        <w:rPr>
          <w:lang w:eastAsia="en-IN"/>
        </w:rPr>
        <w:t xml:space="preserve"> player in this market.</w:t>
      </w:r>
    </w:p>
    <w:p w14:paraId="1CA2122D" w14:textId="77777777" w:rsidR="001907E3" w:rsidRPr="003753CF" w:rsidRDefault="001907E3" w:rsidP="00F32C5B">
      <w:pPr>
        <w:pStyle w:val="BodyTextMain"/>
      </w:pPr>
    </w:p>
    <w:p w14:paraId="10A0008C" w14:textId="77777777" w:rsidR="001907E3" w:rsidRPr="003753CF" w:rsidRDefault="001907E3" w:rsidP="00F32C5B">
      <w:pPr>
        <w:pStyle w:val="BodyTextMain"/>
      </w:pPr>
      <w:r w:rsidRPr="003753CF">
        <w:t>On the data front, by March 31, 2012, MTS India’s</w:t>
      </w:r>
      <w:r>
        <w:t xml:space="preserve"> h</w:t>
      </w:r>
      <w:r w:rsidRPr="003753CF">
        <w:t>igh</w:t>
      </w:r>
      <w:r>
        <w:t xml:space="preserve"> s</w:t>
      </w:r>
      <w:r w:rsidRPr="003753CF">
        <w:t xml:space="preserve">peed </w:t>
      </w:r>
      <w:r>
        <w:t>d</w:t>
      </w:r>
      <w:r w:rsidRPr="003753CF">
        <w:t>ata</w:t>
      </w:r>
      <w:r>
        <w:t xml:space="preserve"> </w:t>
      </w:r>
      <w:r w:rsidRPr="003753CF">
        <w:t xml:space="preserve">services were actively present in over 400 towns across the country and had garnered 15.82 million mobile subscribers (voice </w:t>
      </w:r>
      <w:r>
        <w:t>and</w:t>
      </w:r>
      <w:r w:rsidRPr="003753CF">
        <w:t xml:space="preserve"> data). Of these, 1.54 million were data subscribers.</w:t>
      </w:r>
      <w:r w:rsidRPr="003753CF">
        <w:rPr>
          <w:rStyle w:val="EndnoteReference"/>
        </w:rPr>
        <w:endnoteReference w:id="21"/>
      </w:r>
      <w:r w:rsidRPr="003753CF">
        <w:t xml:space="preserve"> In those days, India was a fiercely competitive market. As many as 14 operators were trying to win customers in India, of which nine had nationwide coverage.</w:t>
      </w:r>
      <w:r>
        <w:t xml:space="preserve"> </w:t>
      </w:r>
      <w:r w:rsidRPr="003753CF">
        <w:t xml:space="preserve">Hence, Rozanov </w:t>
      </w:r>
      <w:r>
        <w:t>believed</w:t>
      </w:r>
      <w:r w:rsidRPr="003753CF">
        <w:t xml:space="preserve"> India was probably the most competitive market in the world. </w:t>
      </w:r>
    </w:p>
    <w:p w14:paraId="6541B72D" w14:textId="77777777" w:rsidR="001907E3" w:rsidRPr="003753CF" w:rsidRDefault="001907E3" w:rsidP="00F32C5B">
      <w:pPr>
        <w:pStyle w:val="BodyTextMain"/>
      </w:pPr>
    </w:p>
    <w:p w14:paraId="251D1BA8" w14:textId="77777777" w:rsidR="001907E3" w:rsidRPr="003753CF" w:rsidRDefault="001907E3" w:rsidP="00F32C5B">
      <w:pPr>
        <w:pStyle w:val="BodyTextMain"/>
      </w:pPr>
    </w:p>
    <w:p w14:paraId="68BABB7E" w14:textId="77777777" w:rsidR="001907E3" w:rsidRPr="003753CF" w:rsidRDefault="001907E3" w:rsidP="001348F0">
      <w:pPr>
        <w:pStyle w:val="Casehead1"/>
        <w:outlineLvl w:val="0"/>
      </w:pPr>
      <w:r w:rsidRPr="003753CF">
        <w:t>The Spectrum Conundrum</w:t>
      </w:r>
    </w:p>
    <w:p w14:paraId="5EB7CB34" w14:textId="77777777" w:rsidR="001907E3" w:rsidRPr="003753CF" w:rsidRDefault="001907E3" w:rsidP="00F32C5B">
      <w:pPr>
        <w:pStyle w:val="BodyTextMain"/>
      </w:pPr>
    </w:p>
    <w:p w14:paraId="4BFB8273" w14:textId="60E957A5" w:rsidR="001907E3" w:rsidRPr="000700C7" w:rsidRDefault="001907E3">
      <w:pPr>
        <w:pStyle w:val="BodyTextMain"/>
        <w:rPr>
          <w:spacing w:val="2"/>
          <w:kern w:val="22"/>
        </w:rPr>
      </w:pPr>
      <w:r w:rsidRPr="000700C7">
        <w:rPr>
          <w:spacing w:val="2"/>
          <w:kern w:val="22"/>
        </w:rPr>
        <w:t>When the Supreme Court of India cancelled MTS India’s licence in February 2012, the company was allowed to operate in India until the next round of spectrum auctions, which was to be held in early 2013. The exorbitant base price of spectrum during the March 2013 auction was a major disappointment for MTS India, since the business appeared to be unviable at this price. Finally, after comprehensive due diligence, the company acquired spectrum in eight circles for US$600 million (for a licence period of 20-year validity) in March 2013, by carefully assessing the potential of the voice and data market to reach an early break</w:t>
      </w:r>
      <w:r w:rsidR="000700C7" w:rsidRPr="000700C7">
        <w:rPr>
          <w:spacing w:val="2"/>
          <w:kern w:val="22"/>
        </w:rPr>
        <w:t>-</w:t>
      </w:r>
      <w:r w:rsidRPr="000700C7">
        <w:rPr>
          <w:spacing w:val="2"/>
          <w:kern w:val="22"/>
        </w:rPr>
        <w:t>even point, while forgoing the operations of the remaining circles. Thus the company reduced its footprint in the Indian market to just nine circles (including Rajasthan, which was an existing circle).</w:t>
      </w:r>
      <w:r w:rsidRPr="000700C7">
        <w:rPr>
          <w:rStyle w:val="EndnoteReference"/>
          <w:spacing w:val="2"/>
          <w:kern w:val="22"/>
        </w:rPr>
        <w:endnoteReference w:id="22"/>
      </w:r>
      <w:r w:rsidRPr="000700C7">
        <w:rPr>
          <w:spacing w:val="2"/>
          <w:kern w:val="22"/>
        </w:rPr>
        <w:t xml:space="preserve"> However, this win allowed MTS India to serve 40 per cent of India’s population (through a total of nine circles), address over 60 per cent of the data business population, and safeguard 75 per cent of existing revenues. It would enable the company to focus more on its data-centric, voice-enabled strategy. However, it also involved a painful optimization process, resulting in a major reduction in labour and a significant hit on MTS India’s brand value.</w:t>
      </w:r>
      <w:r w:rsidRPr="000700C7">
        <w:rPr>
          <w:rStyle w:val="EndnoteReference"/>
          <w:spacing w:val="2"/>
          <w:kern w:val="22"/>
        </w:rPr>
        <w:endnoteReference w:id="23"/>
      </w:r>
    </w:p>
    <w:p w14:paraId="0AC85996" w14:textId="77777777" w:rsidR="001907E3" w:rsidRPr="003753CF" w:rsidRDefault="001907E3" w:rsidP="00F32C5B">
      <w:pPr>
        <w:pStyle w:val="BodyTextMain"/>
        <w:rPr>
          <w:spacing w:val="-2"/>
          <w:kern w:val="22"/>
        </w:rPr>
      </w:pPr>
    </w:p>
    <w:p w14:paraId="432180DF" w14:textId="77777777" w:rsidR="001907E3" w:rsidRDefault="001907E3" w:rsidP="002004F3">
      <w:pPr>
        <w:pStyle w:val="BodyTextMain"/>
      </w:pPr>
    </w:p>
    <w:p w14:paraId="7759B962" w14:textId="77777777" w:rsidR="001907E3" w:rsidRPr="003753CF" w:rsidRDefault="001907E3" w:rsidP="001348F0">
      <w:pPr>
        <w:pStyle w:val="Casehead1"/>
        <w:outlineLvl w:val="0"/>
      </w:pPr>
      <w:r w:rsidRPr="003753CF">
        <w:t>Business Resurrection</w:t>
      </w:r>
    </w:p>
    <w:p w14:paraId="4829E4A7" w14:textId="77777777" w:rsidR="001907E3" w:rsidRPr="003753CF" w:rsidRDefault="001907E3" w:rsidP="00F32C5B">
      <w:pPr>
        <w:pStyle w:val="BodyTextMain"/>
      </w:pPr>
    </w:p>
    <w:p w14:paraId="0A35C4D8" w14:textId="23C9670A" w:rsidR="001907E3" w:rsidRDefault="001907E3" w:rsidP="00F32C5B">
      <w:pPr>
        <w:pStyle w:val="BodyTextMain"/>
      </w:pPr>
      <w:r>
        <w:t>T</w:t>
      </w:r>
      <w:r w:rsidRPr="003753CF">
        <w:t>he resurrection of the licen</w:t>
      </w:r>
      <w:r>
        <w:t>c</w:t>
      </w:r>
      <w:r w:rsidRPr="003753CF">
        <w:t>e</w:t>
      </w:r>
      <w:r>
        <w:t xml:space="preserve"> brought </w:t>
      </w:r>
      <w:r w:rsidRPr="003753CF">
        <w:t>new vigour</w:t>
      </w:r>
      <w:r>
        <w:t xml:space="preserve"> to</w:t>
      </w:r>
      <w:r w:rsidRPr="003753CF">
        <w:t xml:space="preserve"> MTS</w:t>
      </w:r>
      <w:r>
        <w:t xml:space="preserve"> India’s</w:t>
      </w:r>
      <w:r w:rsidRPr="003753CF">
        <w:t xml:space="preserve"> operations</w:t>
      </w:r>
      <w:r>
        <w:t>,</w:t>
      </w:r>
      <w:r w:rsidRPr="003753CF">
        <w:t xml:space="preserve"> and </w:t>
      </w:r>
      <w:r>
        <w:t>the company</w:t>
      </w:r>
      <w:r w:rsidRPr="003753CF">
        <w:t xml:space="preserve"> decided to lead the growing wireless data market in the country. During </w:t>
      </w:r>
      <w:r>
        <w:t xml:space="preserve">the March 2013 </w:t>
      </w:r>
      <w:r w:rsidRPr="003753CF">
        <w:t>auction</w:t>
      </w:r>
      <w:r>
        <w:t>, MTS India</w:t>
      </w:r>
      <w:r w:rsidRPr="003753CF">
        <w:t xml:space="preserve"> received 3.75 MHz of spectrum in each of the eight circles</w:t>
      </w:r>
      <w:r>
        <w:t>,</w:t>
      </w:r>
      <w:r w:rsidRPr="003753CF">
        <w:t xml:space="preserve"> which could be used to offer both voice and data services.</w:t>
      </w:r>
      <w:r w:rsidRPr="003753CF">
        <w:rPr>
          <w:rStyle w:val="EndnoteReference"/>
        </w:rPr>
        <w:endnoteReference w:id="24"/>
      </w:r>
      <w:r>
        <w:t xml:space="preserve"> With</w:t>
      </w:r>
      <w:r w:rsidRPr="003753CF">
        <w:t xml:space="preserve"> this spectrum, the company planned more extensive us</w:t>
      </w:r>
      <w:r>
        <w:t>e</w:t>
      </w:r>
      <w:r w:rsidRPr="003753CF">
        <w:t xml:space="preserve"> of </w:t>
      </w:r>
      <w:r>
        <w:t xml:space="preserve">its </w:t>
      </w:r>
      <w:r w:rsidRPr="003753CF">
        <w:t>advanced</w:t>
      </w:r>
      <w:r>
        <w:t xml:space="preserve"> </w:t>
      </w:r>
      <w:r w:rsidRPr="003753CF">
        <w:t>high</w:t>
      </w:r>
      <w:r>
        <w:t xml:space="preserve"> </w:t>
      </w:r>
      <w:r w:rsidRPr="003753CF">
        <w:t>speed CDMA</w:t>
      </w:r>
      <w:r>
        <w:t xml:space="preserve">, </w:t>
      </w:r>
      <w:r>
        <w:lastRenderedPageBreak/>
        <w:t>e</w:t>
      </w:r>
      <w:r w:rsidRPr="003753CF">
        <w:t xml:space="preserve">volution </w:t>
      </w:r>
      <w:r>
        <w:t>d</w:t>
      </w:r>
      <w:r w:rsidRPr="003753CF">
        <w:t>ata</w:t>
      </w:r>
      <w:r>
        <w:t>-o</w:t>
      </w:r>
      <w:r w:rsidRPr="003753CF">
        <w:t>ptimi</w:t>
      </w:r>
      <w:r>
        <w:t>z</w:t>
      </w:r>
      <w:r w:rsidRPr="003753CF">
        <w:t>ed</w:t>
      </w:r>
      <w:r>
        <w:t xml:space="preserve"> (EVDO)</w:t>
      </w:r>
      <w:r w:rsidRPr="003753CF">
        <w:t xml:space="preserve"> Rev</w:t>
      </w:r>
      <w:r>
        <w:t xml:space="preserve">. </w:t>
      </w:r>
      <w:r w:rsidRPr="003753CF">
        <w:t xml:space="preserve">B </w:t>
      </w:r>
      <w:r>
        <w:t>p</w:t>
      </w:r>
      <w:r w:rsidRPr="003753CF">
        <w:t>hase II network</w:t>
      </w:r>
      <w:r>
        <w:t>—</w:t>
      </w:r>
      <w:r w:rsidRPr="003753CF">
        <w:t>offer</w:t>
      </w:r>
      <w:r>
        <w:t>ing</w:t>
      </w:r>
      <w:r w:rsidRPr="003753CF">
        <w:t xml:space="preserve"> 9.8 Mbps </w:t>
      </w:r>
      <w:r>
        <w:t xml:space="preserve">of </w:t>
      </w:r>
      <w:r w:rsidRPr="003753CF">
        <w:t>data speed</w:t>
      </w:r>
      <w:r>
        <w:t>. The network was</w:t>
      </w:r>
      <w:r w:rsidRPr="003753CF">
        <w:t xml:space="preserve"> launched through </w:t>
      </w:r>
      <w:r>
        <w:t xml:space="preserve">a </w:t>
      </w:r>
      <w:r w:rsidRPr="003753CF">
        <w:t xml:space="preserve">phased rollout </w:t>
      </w:r>
      <w:r>
        <w:t xml:space="preserve">starting </w:t>
      </w:r>
      <w:r w:rsidR="000700C7">
        <w:t>in September 2013</w:t>
      </w:r>
      <w:r w:rsidRPr="003753CF">
        <w:t>.</w:t>
      </w:r>
      <w:r w:rsidRPr="003753CF">
        <w:rPr>
          <w:rStyle w:val="EndnoteReference"/>
        </w:rPr>
        <w:endnoteReference w:id="25"/>
      </w:r>
    </w:p>
    <w:p w14:paraId="53818C5F" w14:textId="77777777" w:rsidR="000700C7" w:rsidRPr="003753CF" w:rsidRDefault="000700C7" w:rsidP="00F32C5B">
      <w:pPr>
        <w:pStyle w:val="BodyTextMain"/>
      </w:pPr>
    </w:p>
    <w:p w14:paraId="1F376D1C" w14:textId="31624288" w:rsidR="001907E3" w:rsidRPr="003753CF" w:rsidRDefault="001907E3" w:rsidP="00F32C5B">
      <w:pPr>
        <w:pStyle w:val="BodyTextMain"/>
      </w:pPr>
      <w:r>
        <w:t xml:space="preserve">After the March 2013 auction, </w:t>
      </w:r>
      <w:r w:rsidRPr="003753CF">
        <w:t xml:space="preserve">MTS </w:t>
      </w:r>
      <w:r>
        <w:t>India leaders made</w:t>
      </w:r>
      <w:r w:rsidRPr="003753CF">
        <w:t xml:space="preserve"> a conscious decision to pursue a data-centric</w:t>
      </w:r>
      <w:r>
        <w:t>,</w:t>
      </w:r>
      <w:r w:rsidRPr="003753CF">
        <w:t xml:space="preserve"> voice-enabled strategy. On acquiring the spectrum, Rozanov outlined the company’s road ahead, which he said would be focused on developing a stronger data franchise, restarting the smartphone business</w:t>
      </w:r>
      <w:r>
        <w:t>,</w:t>
      </w:r>
      <w:r w:rsidRPr="003753CF">
        <w:t xml:space="preserve"> and harvesting the voice opportunity. OIBDA break</w:t>
      </w:r>
      <w:r w:rsidR="000700C7">
        <w:t>-</w:t>
      </w:r>
      <w:r w:rsidRPr="003753CF">
        <w:t>even was set as a key objective for the company in the immediate term. The advancement of CDMA technology from EVDO Rev</w:t>
      </w:r>
      <w:r>
        <w:t>.</w:t>
      </w:r>
      <w:r w:rsidRPr="003753CF">
        <w:t xml:space="preserve"> A to Rev</w:t>
      </w:r>
      <w:r>
        <w:t>.</w:t>
      </w:r>
      <w:r w:rsidRPr="003753CF">
        <w:t xml:space="preserve"> B was a major enabler </w:t>
      </w:r>
      <w:r>
        <w:t>of</w:t>
      </w:r>
      <w:r w:rsidRPr="003753CF">
        <w:t xml:space="preserve"> this strategy. With this advanced CDMA technology, MTS India was able to offer mobile broadband at a speed</w:t>
      </w:r>
      <w:r w:rsidR="000700C7">
        <w:t xml:space="preserve"> of</w:t>
      </w:r>
      <w:r w:rsidRPr="003753CF">
        <w:t xml:space="preserve"> up to 9.8 Mbps, which was much higher than that offered by any other operators in India. Rozanov, who believed in the importance of high</w:t>
      </w:r>
      <w:r>
        <w:t xml:space="preserve"> </w:t>
      </w:r>
      <w:r w:rsidRPr="003753CF">
        <w:t xml:space="preserve">quality talent, invited 15 senior telecom professionals from Russia to become part of </w:t>
      </w:r>
      <w:r>
        <w:t xml:space="preserve">the </w:t>
      </w:r>
      <w:r w:rsidRPr="003753CF">
        <w:t xml:space="preserve">MTS India team. </w:t>
      </w:r>
    </w:p>
    <w:p w14:paraId="2C619E58" w14:textId="77777777" w:rsidR="001907E3" w:rsidRPr="003753CF" w:rsidRDefault="001907E3" w:rsidP="005D4ECC">
      <w:pPr>
        <w:pStyle w:val="BodyTextMain"/>
      </w:pPr>
    </w:p>
    <w:p w14:paraId="38046146" w14:textId="77777777" w:rsidR="001907E3" w:rsidRPr="003753CF" w:rsidRDefault="001907E3" w:rsidP="005D4ECC">
      <w:pPr>
        <w:pStyle w:val="BodyTextMain"/>
      </w:pPr>
    </w:p>
    <w:p w14:paraId="1B1482F6" w14:textId="77777777" w:rsidR="001907E3" w:rsidRPr="003753CF" w:rsidRDefault="001907E3" w:rsidP="001348F0">
      <w:pPr>
        <w:pStyle w:val="Casehead1"/>
        <w:outlineLvl w:val="0"/>
      </w:pPr>
      <w:r w:rsidRPr="003753CF">
        <w:t>New Leadership</w:t>
      </w:r>
    </w:p>
    <w:p w14:paraId="7CF0EA9C" w14:textId="77777777" w:rsidR="001907E3" w:rsidRPr="003753CF" w:rsidRDefault="001907E3" w:rsidP="00F32C5B">
      <w:pPr>
        <w:pStyle w:val="BodyTextMain"/>
      </w:pPr>
    </w:p>
    <w:p w14:paraId="41655B4F" w14:textId="2EE87EA1" w:rsidR="001907E3" w:rsidRPr="003753CF" w:rsidRDefault="001907E3" w:rsidP="00F32C5B">
      <w:pPr>
        <w:pStyle w:val="BodyTextMain"/>
      </w:pPr>
      <w:r>
        <w:t xml:space="preserve">On June </w:t>
      </w:r>
      <w:r w:rsidRPr="003753CF">
        <w:t>1, 2013, following the return of Rozanov to the Sistema group in Russia, Dmitry Shukov was brought in from Russia to lead the next phase of growth at MTS India.</w:t>
      </w:r>
      <w:r w:rsidRPr="003753CF">
        <w:rPr>
          <w:rStyle w:val="EndnoteReference"/>
        </w:rPr>
        <w:endnoteReference w:id="26"/>
      </w:r>
      <w:r>
        <w:t xml:space="preserve"> </w:t>
      </w:r>
      <w:r w:rsidRPr="003753CF">
        <w:t>Shukov was earlier the CEO of MTS Turkmenistan and MTS Uzbekistan</w:t>
      </w:r>
      <w:r>
        <w:t>,</w:t>
      </w:r>
      <w:r w:rsidRPr="003753CF">
        <w:t xml:space="preserve"> and had a long experience in the telecom industry. He carried forward the MTS India growth story by accelerating momentum across all business segments</w:t>
      </w:r>
      <w:r>
        <w:t>—</w:t>
      </w:r>
      <w:r w:rsidRPr="003753CF">
        <w:t>voice, smartphones</w:t>
      </w:r>
      <w:r>
        <w:t>,</w:t>
      </w:r>
      <w:r w:rsidRPr="003753CF">
        <w:t xml:space="preserve"> and data. </w:t>
      </w:r>
    </w:p>
    <w:p w14:paraId="686CAA42" w14:textId="77777777" w:rsidR="001907E3" w:rsidRPr="003753CF" w:rsidRDefault="001907E3" w:rsidP="00F32C5B">
      <w:pPr>
        <w:pStyle w:val="BodyTextMain"/>
      </w:pPr>
    </w:p>
    <w:p w14:paraId="0405CFB7" w14:textId="4988B4E3" w:rsidR="001907E3" w:rsidRPr="003753CF" w:rsidRDefault="001907E3" w:rsidP="00F32C5B">
      <w:pPr>
        <w:pStyle w:val="BodyTextMain"/>
      </w:pPr>
      <w:r w:rsidRPr="00E5372F">
        <w:rPr>
          <w:spacing w:val="-2"/>
          <w:kern w:val="22"/>
        </w:rPr>
        <w:t>To harness the voice business, MTS India launched several innovative products such as the Always Talk (voice) plan in June 2013.</w:t>
      </w:r>
      <w:r w:rsidRPr="00E5372F">
        <w:rPr>
          <w:rStyle w:val="EndnoteReference"/>
          <w:spacing w:val="-2"/>
          <w:kern w:val="22"/>
        </w:rPr>
        <w:endnoteReference w:id="27"/>
      </w:r>
      <w:r w:rsidRPr="00E5372F">
        <w:rPr>
          <w:spacing w:val="-2"/>
          <w:kern w:val="22"/>
        </w:rPr>
        <w:t xml:space="preserve"> With this plan, customers could get unlimited calling on the MTS India network by paying just </w:t>
      </w:r>
      <w:r w:rsidRPr="00E5372F">
        <w:rPr>
          <w:rFonts w:ascii="Arial" w:hAnsi="Arial"/>
          <w:spacing w:val="-2"/>
          <w:kern w:val="22"/>
        </w:rPr>
        <w:t>₹</w:t>
      </w:r>
      <w:r w:rsidRPr="00E5372F">
        <w:rPr>
          <w:spacing w:val="-2"/>
          <w:kern w:val="22"/>
        </w:rPr>
        <w:t xml:space="preserve">199. This was the cheapest voice plan ever launched in the Indian telecom market. </w:t>
      </w:r>
      <w:r w:rsidRPr="003753CF">
        <w:t xml:space="preserve">In the smartphone segment, the company </w:t>
      </w:r>
      <w:r>
        <w:t>partnered</w:t>
      </w:r>
      <w:r w:rsidRPr="003753CF">
        <w:t xml:space="preserve"> with CDMA phone manufacturer</w:t>
      </w:r>
      <w:r>
        <w:t>s—such as</w:t>
      </w:r>
      <w:r w:rsidRPr="003753CF">
        <w:t xml:space="preserve"> Micromax </w:t>
      </w:r>
      <w:r>
        <w:t xml:space="preserve">Informatics Limited (on the </w:t>
      </w:r>
      <w:r w:rsidRPr="003753CF">
        <w:t xml:space="preserve">MTS Micromax Blaze </w:t>
      </w:r>
      <w:r>
        <w:t>s</w:t>
      </w:r>
      <w:r w:rsidRPr="003753CF">
        <w:t>martphone launch campaign)</w:t>
      </w:r>
      <w:r>
        <w:t xml:space="preserve"> </w:t>
      </w:r>
      <w:r w:rsidRPr="003753CF">
        <w:t xml:space="preserve">and ZTE </w:t>
      </w:r>
      <w:r>
        <w:t>Corporation—</w:t>
      </w:r>
      <w:r w:rsidRPr="003753CF">
        <w:t xml:space="preserve">to offer affordable yet attractive handsets. </w:t>
      </w:r>
    </w:p>
    <w:p w14:paraId="6DFE4791" w14:textId="77777777" w:rsidR="001907E3" w:rsidRPr="003753CF" w:rsidRDefault="001907E3" w:rsidP="00F32C5B">
      <w:pPr>
        <w:pStyle w:val="BodyTextMain"/>
      </w:pPr>
    </w:p>
    <w:p w14:paraId="4F0C6655" w14:textId="444ACA6E" w:rsidR="001907E3" w:rsidRPr="003753CF" w:rsidRDefault="001907E3" w:rsidP="00F32C5B">
      <w:pPr>
        <w:pStyle w:val="BodyTextMain"/>
      </w:pPr>
      <w:r>
        <w:t xml:space="preserve">MTS India also </w:t>
      </w:r>
      <w:r w:rsidRPr="003753CF">
        <w:t>expanded its footprint in the high</w:t>
      </w:r>
      <w:r>
        <w:t xml:space="preserve"> </w:t>
      </w:r>
      <w:r w:rsidRPr="003753CF">
        <w:t>speed data market. As of July 2013,</w:t>
      </w:r>
      <w:r>
        <w:t xml:space="preserve"> it </w:t>
      </w:r>
      <w:r w:rsidRPr="003753CF">
        <w:t>provided high</w:t>
      </w:r>
      <w:r>
        <w:t xml:space="preserve"> </w:t>
      </w:r>
      <w:r w:rsidRPr="003753CF">
        <w:t xml:space="preserve">speed mobile broadband services in over 450 towns across </w:t>
      </w:r>
      <w:r>
        <w:t>India</w:t>
      </w:r>
      <w:r w:rsidRPr="003753CF">
        <w:t>.</w:t>
      </w:r>
      <w:r w:rsidRPr="003753CF">
        <w:rPr>
          <w:rStyle w:val="EndnoteReference"/>
        </w:rPr>
        <w:endnoteReference w:id="28"/>
      </w:r>
      <w:r w:rsidRPr="003753CF">
        <w:t xml:space="preserve"> The company was rapidly expanding its high</w:t>
      </w:r>
      <w:r>
        <w:t xml:space="preserve"> </w:t>
      </w:r>
      <w:r w:rsidRPr="003753CF">
        <w:t>speed data network and</w:t>
      </w:r>
      <w:r>
        <w:t>,</w:t>
      </w:r>
      <w:r w:rsidRPr="003753CF">
        <w:t xml:space="preserve"> at the time</w:t>
      </w:r>
      <w:r>
        <w:t>,</w:t>
      </w:r>
      <w:r w:rsidRPr="003753CF">
        <w:t xml:space="preserve"> addressed over 60</w:t>
      </w:r>
      <w:r>
        <w:t xml:space="preserve"> per cent</w:t>
      </w:r>
      <w:r w:rsidRPr="003753CF">
        <w:t xml:space="preserve"> of data potential across </w:t>
      </w:r>
      <w:r>
        <w:t>the country</w:t>
      </w:r>
      <w:r w:rsidRPr="003753CF">
        <w:t xml:space="preserve">. </w:t>
      </w:r>
      <w:r>
        <w:t>It carried out the 3G Plus/</w:t>
      </w:r>
      <w:r w:rsidRPr="003753CF">
        <w:t xml:space="preserve">MBlaze Ultra data campaign to launch </w:t>
      </w:r>
      <w:r>
        <w:t xml:space="preserve">the </w:t>
      </w:r>
      <w:r w:rsidRPr="003753CF">
        <w:t>Rev.</w:t>
      </w:r>
      <w:r>
        <w:t xml:space="preserve"> </w:t>
      </w:r>
      <w:r w:rsidRPr="003753CF">
        <w:t xml:space="preserve">B network. </w:t>
      </w:r>
      <w:r>
        <w:t xml:space="preserve">This </w:t>
      </w:r>
      <w:r w:rsidRPr="003753CF">
        <w:t>campaign</w:t>
      </w:r>
      <w:r>
        <w:t>—</w:t>
      </w:r>
      <w:r w:rsidRPr="003753CF">
        <w:t xml:space="preserve">targeting heavy </w:t>
      </w:r>
      <w:r>
        <w:t xml:space="preserve">Internet </w:t>
      </w:r>
      <w:r w:rsidRPr="003753CF">
        <w:t>users</w:t>
      </w:r>
      <w:r>
        <w:t>—</w:t>
      </w:r>
      <w:r w:rsidRPr="003753CF">
        <w:t>was instrumental in leveraging Rev.</w:t>
      </w:r>
      <w:r>
        <w:t xml:space="preserve"> </w:t>
      </w:r>
      <w:r w:rsidRPr="003753CF">
        <w:t>B technology</w:t>
      </w:r>
      <w:r>
        <w:t xml:space="preserve">, which </w:t>
      </w:r>
      <w:r w:rsidRPr="003753CF">
        <w:t>reposition</w:t>
      </w:r>
      <w:r>
        <w:t>ed</w:t>
      </w:r>
      <w:r w:rsidRPr="003753CF">
        <w:t xml:space="preserve"> MTS </w:t>
      </w:r>
      <w:r>
        <w:t>India in the face of</w:t>
      </w:r>
      <w:r w:rsidRPr="003753CF">
        <w:t xml:space="preserve"> competing 3G brands</w:t>
      </w:r>
      <w:r>
        <w:t>. The r</w:t>
      </w:r>
      <w:r w:rsidRPr="003753CF">
        <w:t>esult</w:t>
      </w:r>
      <w:r>
        <w:t xml:space="preserve"> was</w:t>
      </w:r>
      <w:r w:rsidRPr="003753CF">
        <w:t xml:space="preserve"> improved average revenue per user</w:t>
      </w:r>
      <w:r>
        <w:t xml:space="preserve"> </w:t>
      </w:r>
      <w:r w:rsidRPr="003753CF">
        <w:t xml:space="preserve">and retention. MBlaze, </w:t>
      </w:r>
      <w:r>
        <w:t xml:space="preserve">MTS India’s </w:t>
      </w:r>
      <w:r w:rsidRPr="003753CF">
        <w:t>data dongle (Internet access device)</w:t>
      </w:r>
      <w:r>
        <w:t xml:space="preserve">, </w:t>
      </w:r>
      <w:r w:rsidRPr="003753CF">
        <w:t xml:space="preserve">earned an enviable position in the most competitive market. </w:t>
      </w:r>
    </w:p>
    <w:p w14:paraId="29BEB102" w14:textId="77777777" w:rsidR="001907E3" w:rsidRPr="003753CF" w:rsidRDefault="001907E3" w:rsidP="00F32C5B">
      <w:pPr>
        <w:pStyle w:val="BodyTextMain"/>
      </w:pPr>
    </w:p>
    <w:p w14:paraId="1399634F" w14:textId="57FA627D" w:rsidR="001907E3" w:rsidRPr="003753CF" w:rsidRDefault="001907E3" w:rsidP="00F32C5B">
      <w:pPr>
        <w:pStyle w:val="BodyTextMain"/>
      </w:pPr>
      <w:r w:rsidRPr="003753CF">
        <w:t>The MTS India brand had a new them</w:t>
      </w:r>
      <w:r>
        <w:t xml:space="preserve">e, </w:t>
      </w:r>
      <w:r w:rsidRPr="003753CF">
        <w:t xml:space="preserve">centred on data services. </w:t>
      </w:r>
      <w:r>
        <w:t>In March 2014, t</w:t>
      </w:r>
      <w:r w:rsidRPr="003753CF">
        <w:t xml:space="preserve">he company launched its famous Internet </w:t>
      </w:r>
      <w:r>
        <w:t>B</w:t>
      </w:r>
      <w:r w:rsidRPr="003753CF">
        <w:t>aby campaign (</w:t>
      </w:r>
      <w:r>
        <w:t>a c</w:t>
      </w:r>
      <w:r w:rsidRPr="003753CF">
        <w:t>orporate</w:t>
      </w:r>
      <w:r>
        <w:t xml:space="preserve"> b</w:t>
      </w:r>
      <w:r w:rsidRPr="003753CF">
        <w:t>rand campaign to underline network superiority)</w:t>
      </w:r>
      <w:r>
        <w:t>.</w:t>
      </w:r>
      <w:r w:rsidRPr="003753CF">
        <w:rPr>
          <w:rStyle w:val="EndnoteReference"/>
        </w:rPr>
        <w:endnoteReference w:id="29"/>
      </w:r>
      <w:r>
        <w:t xml:space="preserve"> It</w:t>
      </w:r>
      <w:r w:rsidRPr="003753CF">
        <w:t xml:space="preserve"> wanted to capture the attention of Gen</w:t>
      </w:r>
      <w:r>
        <w:t xml:space="preserve">eration </w:t>
      </w:r>
      <w:r w:rsidRPr="003753CF">
        <w:t>Y, which craved faster Internet service. The</w:t>
      </w:r>
      <w:r>
        <w:t xml:space="preserve"> </w:t>
      </w:r>
      <w:r w:rsidRPr="003753CF">
        <w:t xml:space="preserve">Internet Baby campaign </w:t>
      </w:r>
      <w:r>
        <w:t xml:space="preserve">brought </w:t>
      </w:r>
      <w:r w:rsidRPr="003753CF">
        <w:t>MTS</w:t>
      </w:r>
      <w:r>
        <w:t xml:space="preserve"> India to the attention of </w:t>
      </w:r>
      <w:r w:rsidRPr="003753CF">
        <w:t xml:space="preserve">3G users </w:t>
      </w:r>
      <w:r>
        <w:t xml:space="preserve">and </w:t>
      </w:r>
      <w:r w:rsidRPr="003753CF">
        <w:t xml:space="preserve">created history </w:t>
      </w:r>
      <w:r>
        <w:t xml:space="preserve">for </w:t>
      </w:r>
      <w:r w:rsidRPr="003753CF">
        <w:t xml:space="preserve">being the only advertisement in India with video views in excess of 28 million on the </w:t>
      </w:r>
      <w:r>
        <w:t>I</w:t>
      </w:r>
      <w:r w:rsidRPr="003753CF">
        <w:t>nternet.</w:t>
      </w:r>
      <w:r w:rsidRPr="003753CF">
        <w:rPr>
          <w:rStyle w:val="EndnoteReference"/>
        </w:rPr>
        <w:endnoteReference w:id="30"/>
      </w:r>
      <w:r>
        <w:t xml:space="preserve"> O</w:t>
      </w:r>
      <w:r w:rsidRPr="003753CF">
        <w:t>ther key achievements for th</w:t>
      </w:r>
      <w:r>
        <w:t>e</w:t>
      </w:r>
      <w:r w:rsidRPr="003753CF">
        <w:t xml:space="preserve"> campaign included being seen in 206 countries</w:t>
      </w:r>
      <w:r>
        <w:t xml:space="preserve">; covered by over </w:t>
      </w:r>
      <w:r w:rsidRPr="003753CF">
        <w:t>2</w:t>
      </w:r>
      <w:r>
        <w:t>,</w:t>
      </w:r>
      <w:r w:rsidRPr="003753CF">
        <w:t>400</w:t>
      </w:r>
      <w:r>
        <w:t xml:space="preserve"> </w:t>
      </w:r>
      <w:r w:rsidRPr="003753CF">
        <w:t xml:space="preserve">websites, </w:t>
      </w:r>
      <w:r>
        <w:t>b</w:t>
      </w:r>
      <w:r w:rsidRPr="003753CF">
        <w:t>logs in 11 languages,</w:t>
      </w:r>
      <w:r>
        <w:t xml:space="preserve"> and over </w:t>
      </w:r>
      <w:r w:rsidRPr="003753CF">
        <w:t>35 global news portals</w:t>
      </w:r>
      <w:r>
        <w:t>;</w:t>
      </w:r>
      <w:r w:rsidRPr="003753CF">
        <w:t xml:space="preserve"> and </w:t>
      </w:r>
      <w:r>
        <w:t>delivered on more than five</w:t>
      </w:r>
      <w:r w:rsidRPr="003753CF">
        <w:t xml:space="preserve"> million Twitter timeline</w:t>
      </w:r>
      <w:r>
        <w:t>s</w:t>
      </w:r>
      <w:r w:rsidRPr="003753CF">
        <w:t xml:space="preserve">. Several other campaigns were </w:t>
      </w:r>
      <w:r>
        <w:t xml:space="preserve">also </w:t>
      </w:r>
      <w:r w:rsidRPr="003753CF">
        <w:t>launched to build visibility in the market.</w:t>
      </w:r>
    </w:p>
    <w:p w14:paraId="7E838F68" w14:textId="77777777" w:rsidR="001907E3" w:rsidRPr="003753CF" w:rsidRDefault="001907E3" w:rsidP="00F32C5B">
      <w:pPr>
        <w:pStyle w:val="BodyTextMain"/>
      </w:pPr>
    </w:p>
    <w:p w14:paraId="18219473" w14:textId="664970A0" w:rsidR="001907E3" w:rsidRPr="003753CF" w:rsidRDefault="001907E3" w:rsidP="00F32C5B">
      <w:pPr>
        <w:pStyle w:val="BodyTextMain"/>
      </w:pPr>
      <w:r w:rsidRPr="003753CF">
        <w:t>However, in order to ensure the sustained success of its data</w:t>
      </w:r>
      <w:r>
        <w:t>-</w:t>
      </w:r>
      <w:r w:rsidRPr="003753CF">
        <w:t xml:space="preserve">focused strategy, MTS India required additional spectrum at a reasonable price. </w:t>
      </w:r>
      <w:r>
        <w:t>It</w:t>
      </w:r>
      <w:r w:rsidRPr="003753CF">
        <w:t xml:space="preserve"> therefore made a representation to the </w:t>
      </w:r>
      <w:r>
        <w:t>g</w:t>
      </w:r>
      <w:r w:rsidRPr="003753CF">
        <w:t>overnment of India</w:t>
      </w:r>
      <w:r>
        <w:t xml:space="preserve"> </w:t>
      </w:r>
      <w:r w:rsidRPr="003753CF">
        <w:t xml:space="preserve">to </w:t>
      </w:r>
      <w:r w:rsidRPr="003753CF">
        <w:lastRenderedPageBreak/>
        <w:t xml:space="preserve">reconsider its demand of lowering the spectrum price in the 800 MHz band and bringing it </w:t>
      </w:r>
      <w:r>
        <w:t>to</w:t>
      </w:r>
      <w:r w:rsidRPr="003753CF">
        <w:t xml:space="preserve"> par with the 1</w:t>
      </w:r>
      <w:r>
        <w:t>,</w:t>
      </w:r>
      <w:r w:rsidRPr="003753CF">
        <w:t>800 MHz band. During this time, it became clear to MTS</w:t>
      </w:r>
      <w:r>
        <w:t xml:space="preserve"> India</w:t>
      </w:r>
      <w:r w:rsidRPr="003753CF">
        <w:t xml:space="preserve"> that it could not ignore the voice market</w:t>
      </w:r>
      <w:r>
        <w:t>,</w:t>
      </w:r>
      <w:r w:rsidRPr="003753CF">
        <w:t xml:space="preserve"> as it accounted for more than 50 </w:t>
      </w:r>
      <w:r>
        <w:t>per cent</w:t>
      </w:r>
      <w:r w:rsidRPr="003753CF">
        <w:t xml:space="preserve"> of revenue. </w:t>
      </w:r>
      <w:r>
        <w:t>T</w:t>
      </w:r>
      <w:r w:rsidRPr="003753CF">
        <w:t>he major barrier was the handset p</w:t>
      </w:r>
      <w:r>
        <w:t xml:space="preserve">rice, which was still in the </w:t>
      </w:r>
      <w:r w:rsidRPr="00E5372F">
        <w:rPr>
          <w:rFonts w:ascii="Arial" w:hAnsi="Arial"/>
        </w:rPr>
        <w:t>₹</w:t>
      </w:r>
      <w:r w:rsidRPr="003753CF">
        <w:t>1</w:t>
      </w:r>
      <w:r>
        <w:t>,</w:t>
      </w:r>
      <w:r w:rsidRPr="003753CF">
        <w:t>000</w:t>
      </w:r>
      <w:r>
        <w:t>+</w:t>
      </w:r>
      <w:r w:rsidRPr="003753CF">
        <w:t xml:space="preserve"> range. Shukov focused on the lower income group in India for the company’s voice service and made it affordable by introducing low</w:t>
      </w:r>
      <w:r>
        <w:t>-</w:t>
      </w:r>
      <w:r w:rsidRPr="003753CF">
        <w:t xml:space="preserve">cost handsets. This </w:t>
      </w:r>
      <w:r>
        <w:t xml:space="preserve">strategy </w:t>
      </w:r>
      <w:r w:rsidRPr="003753CF">
        <w:t>reduced the entry barrier in the voice market and helped the company increase its market shar</w:t>
      </w:r>
      <w:r>
        <w:t>e</w:t>
      </w:r>
      <w:r w:rsidRPr="003753CF">
        <w:t xml:space="preserve">. </w:t>
      </w:r>
      <w:r>
        <w:t>MTS India</w:t>
      </w:r>
      <w:r w:rsidRPr="003753CF">
        <w:t xml:space="preserve"> had nearly 6,000 base transceiver station </w:t>
      </w:r>
      <w:r>
        <w:t>(BTS) facilitated</w:t>
      </w:r>
      <w:r w:rsidRPr="003753CF">
        <w:t xml:space="preserve"> EVDO services</w:t>
      </w:r>
      <w:r>
        <w:t>,</w:t>
      </w:r>
      <w:r w:rsidRPr="003753CF">
        <w:t xml:space="preserve"> which were offered in 700 towns. </w:t>
      </w:r>
    </w:p>
    <w:p w14:paraId="5B48C96E" w14:textId="77777777" w:rsidR="001907E3" w:rsidRPr="003753CF" w:rsidRDefault="001907E3" w:rsidP="00F32C5B">
      <w:pPr>
        <w:pStyle w:val="BodyTextMain"/>
      </w:pPr>
    </w:p>
    <w:p w14:paraId="12647002" w14:textId="6FF37B49" w:rsidR="001907E3" w:rsidRDefault="001907E3" w:rsidP="002004F3">
      <w:pPr>
        <w:pStyle w:val="BodyTextMain"/>
      </w:pPr>
      <w:r w:rsidRPr="00977916">
        <w:t xml:space="preserve">On the data front, smartphone penetration was growing at a phenomenal pace. </w:t>
      </w:r>
      <w:r>
        <w:t xml:space="preserve">In the first quarter of 2014, </w:t>
      </w:r>
      <w:r w:rsidRPr="00977916">
        <w:t xml:space="preserve">India emerged as one of the fastest growing smartphone markets in </w:t>
      </w:r>
      <w:r>
        <w:t xml:space="preserve">the </w:t>
      </w:r>
      <w:r w:rsidRPr="00977916">
        <w:t>Asia</w:t>
      </w:r>
      <w:r>
        <w:t xml:space="preserve"> Pacific</w:t>
      </w:r>
      <w:r w:rsidR="000700C7">
        <w:t xml:space="preserve"> region</w:t>
      </w:r>
      <w:r w:rsidRPr="00977916">
        <w:t>. According to</w:t>
      </w:r>
      <w:r>
        <w:t xml:space="preserve"> the International Data Corporation’s r</w:t>
      </w:r>
      <w:r w:rsidRPr="00977916">
        <w:t>eport</w:t>
      </w:r>
      <w:r>
        <w:t>,</w:t>
      </w:r>
      <w:r w:rsidRPr="00977916">
        <w:t xml:space="preserve"> in 2014, India was the highest growing market in </w:t>
      </w:r>
      <w:r>
        <w:t xml:space="preserve">the </w:t>
      </w:r>
      <w:r w:rsidRPr="00977916">
        <w:t xml:space="preserve">Asia Pacific </w:t>
      </w:r>
      <w:r w:rsidR="000700C7">
        <w:t xml:space="preserve">region </w:t>
      </w:r>
      <w:r w:rsidRPr="00977916">
        <w:t>with year-on-year smartphone shipment growth of over 186 per cent in</w:t>
      </w:r>
      <w:r>
        <w:t xml:space="preserve"> the</w:t>
      </w:r>
      <w:r w:rsidRPr="00977916">
        <w:t xml:space="preserve"> first quarter. The vast majority of the country</w:t>
      </w:r>
      <w:r>
        <w:t>’</w:t>
      </w:r>
      <w:r w:rsidRPr="00977916">
        <w:t>s user base migrated to smartphones from feature phones. As a result</w:t>
      </w:r>
      <w:r>
        <w:t>, the</w:t>
      </w:r>
      <w:r w:rsidRPr="00977916">
        <w:t xml:space="preserve"> Indian smartphone market outshone other emerging markets. </w:t>
      </w:r>
    </w:p>
    <w:p w14:paraId="3229B78C" w14:textId="77777777" w:rsidR="001907E3" w:rsidRDefault="001907E3" w:rsidP="002004F3">
      <w:pPr>
        <w:pStyle w:val="BodyTextMain"/>
      </w:pPr>
    </w:p>
    <w:p w14:paraId="05733FE4" w14:textId="77777777" w:rsidR="001907E3" w:rsidRPr="00977916" w:rsidRDefault="001907E3" w:rsidP="002004F3">
      <w:pPr>
        <w:pStyle w:val="BodyTextMain"/>
      </w:pPr>
      <w:r w:rsidRPr="00977916">
        <w:t xml:space="preserve">The smartphone penetration in India still hovered at 10 per cent. It was expected to grow due to </w:t>
      </w:r>
      <w:r>
        <w:t>such</w:t>
      </w:r>
      <w:r w:rsidRPr="00977916">
        <w:t xml:space="preserve"> factors </w:t>
      </w:r>
      <w:r>
        <w:t>as</w:t>
      </w:r>
      <w:r w:rsidRPr="00977916">
        <w:t xml:space="preserve"> greater availability of low-cost devices and additional sales emphasis by top flight vendors on less populous parts of the country.</w:t>
      </w:r>
      <w:r w:rsidRPr="00977916">
        <w:rPr>
          <w:rStyle w:val="EndnoteReference"/>
        </w:rPr>
        <w:endnoteReference w:id="31"/>
      </w:r>
      <w:r>
        <w:t xml:space="preserve"> </w:t>
      </w:r>
      <w:r w:rsidRPr="00977916">
        <w:t xml:space="preserve">Most handsets were based on GSM technology, </w:t>
      </w:r>
      <w:r>
        <w:t xml:space="preserve">and </w:t>
      </w:r>
      <w:r w:rsidRPr="00977916">
        <w:t xml:space="preserve">few </w:t>
      </w:r>
      <w:r>
        <w:t xml:space="preserve">were </w:t>
      </w:r>
      <w:r w:rsidRPr="00977916">
        <w:t>compatible with CDMA technology. This posed a serious business challenge for MTS</w:t>
      </w:r>
      <w:r>
        <w:t xml:space="preserve"> India</w:t>
      </w:r>
      <w:r w:rsidRPr="00977916">
        <w:t xml:space="preserve">, which found it difficult to execute its smartphone strategy and achieve </w:t>
      </w:r>
      <w:r>
        <w:t xml:space="preserve">a </w:t>
      </w:r>
      <w:r w:rsidRPr="00977916">
        <w:t>sales target of over 50,000 smartphones per month.</w:t>
      </w:r>
      <w:r>
        <w:t xml:space="preserve"> S</w:t>
      </w:r>
      <w:r w:rsidRPr="00977916">
        <w:t>martphone manufacturers were reluctant to go for CDMA</w:t>
      </w:r>
      <w:r>
        <w:t>-</w:t>
      </w:r>
      <w:r w:rsidRPr="00977916">
        <w:t xml:space="preserve">based devices </w:t>
      </w:r>
      <w:r>
        <w:t>because</w:t>
      </w:r>
      <w:r w:rsidRPr="00977916">
        <w:t xml:space="preserve"> the ecosystem was largely dominated by GSM technology. </w:t>
      </w:r>
    </w:p>
    <w:p w14:paraId="3166D2FD" w14:textId="77777777" w:rsidR="001907E3" w:rsidRPr="003753CF" w:rsidRDefault="001907E3" w:rsidP="00F32C5B">
      <w:pPr>
        <w:pStyle w:val="BodyTextMain"/>
      </w:pPr>
    </w:p>
    <w:p w14:paraId="50B9007C" w14:textId="04D1DADA" w:rsidR="001907E3" w:rsidRDefault="001907E3" w:rsidP="002B6FC7">
      <w:pPr>
        <w:pStyle w:val="BodyTextMain"/>
      </w:pPr>
      <w:r w:rsidRPr="003753CF">
        <w:t>FY 2013</w:t>
      </w:r>
      <w:r>
        <w:t>–</w:t>
      </w:r>
      <w:r w:rsidRPr="003753CF">
        <w:t xml:space="preserve">14 also saw </w:t>
      </w:r>
      <w:r>
        <w:t xml:space="preserve">the </w:t>
      </w:r>
      <w:r w:rsidRPr="003753CF">
        <w:t xml:space="preserve">MTS </w:t>
      </w:r>
      <w:r>
        <w:t xml:space="preserve">brand </w:t>
      </w:r>
      <w:r w:rsidRPr="003753CF">
        <w:t xml:space="preserve">make dramatic strides forward in its digital presence through a </w:t>
      </w:r>
      <w:r>
        <w:t xml:space="preserve">host </w:t>
      </w:r>
      <w:r w:rsidRPr="003753CF">
        <w:t>of social media, paid media</w:t>
      </w:r>
      <w:r>
        <w:t>,</w:t>
      </w:r>
      <w:r w:rsidRPr="003753CF">
        <w:t xml:space="preserve"> and e-commerce initiatives. </w:t>
      </w:r>
      <w:r>
        <w:t>T</w:t>
      </w:r>
      <w:r w:rsidRPr="003753CF">
        <w:t>he brand leveraged properties like MTS Rising</w:t>
      </w:r>
      <w:r>
        <w:t>—</w:t>
      </w:r>
      <w:r w:rsidRPr="003753CF">
        <w:t>a college activation program that reached over a million students across 56 colleges</w:t>
      </w:r>
      <w:r>
        <w:t>;</w:t>
      </w:r>
      <w:r w:rsidRPr="003753CF">
        <w:t xml:space="preserve"> NH7 Weekender</w:t>
      </w:r>
      <w:r>
        <w:t>—</w:t>
      </w:r>
      <w:r w:rsidRPr="003753CF">
        <w:t>India’s premier music festival held across four cities</w:t>
      </w:r>
      <w:r>
        <w:t>;</w:t>
      </w:r>
      <w:r w:rsidRPr="003753CF">
        <w:t xml:space="preserve"> and MTS Discover</w:t>
      </w:r>
      <w:r>
        <w:t>—</w:t>
      </w:r>
      <w:r w:rsidRPr="003753CF">
        <w:t xml:space="preserve">a platform for upcoming musicians and bands hosted on www.mtsdiscover.com. </w:t>
      </w:r>
      <w:r>
        <w:t>The company</w:t>
      </w:r>
      <w:r w:rsidRPr="003753CF">
        <w:t xml:space="preserve"> also participated in</w:t>
      </w:r>
      <w:r>
        <w:t xml:space="preserve"> the</w:t>
      </w:r>
      <w:r w:rsidRPr="003753CF">
        <w:t xml:space="preserve"> MTS Durga Puja festival in Kolkata, </w:t>
      </w:r>
      <w:r>
        <w:t xml:space="preserve">the </w:t>
      </w:r>
      <w:r w:rsidRPr="003753CF">
        <w:t>MTS Onam program in Kerala</w:t>
      </w:r>
      <w:r>
        <w:t>,</w:t>
      </w:r>
      <w:r w:rsidRPr="003753CF">
        <w:t xml:space="preserve"> and several others. </w:t>
      </w:r>
      <w:r>
        <w:t xml:space="preserve">The brand </w:t>
      </w:r>
      <w:r w:rsidRPr="003753CF">
        <w:t>attain</w:t>
      </w:r>
      <w:r>
        <w:t>ed</w:t>
      </w:r>
      <w:r w:rsidRPr="003753CF">
        <w:t xml:space="preserve"> its highest ever spontaneous awareness score of 56 by the end of</w:t>
      </w:r>
      <w:r>
        <w:t xml:space="preserve"> the fourth quarter in</w:t>
      </w:r>
      <w:r w:rsidRPr="003753CF">
        <w:t xml:space="preserve"> 2013. The positive trend was visible through several other brand health parameters</w:t>
      </w:r>
      <w:r>
        <w:t>,</w:t>
      </w:r>
      <w:r w:rsidRPr="003753CF">
        <w:t xml:space="preserve"> including significantly improved consideration and intention-to-purchase scores, and</w:t>
      </w:r>
      <w:r>
        <w:t xml:space="preserve"> </w:t>
      </w:r>
      <w:r w:rsidRPr="003753CF">
        <w:t>key image parameters.</w:t>
      </w:r>
      <w:r w:rsidRPr="003753CF">
        <w:rPr>
          <w:rStyle w:val="EndnoteReference"/>
        </w:rPr>
        <w:endnoteReference w:id="32"/>
      </w:r>
    </w:p>
    <w:p w14:paraId="64548750" w14:textId="77777777" w:rsidR="001907E3" w:rsidRDefault="001907E3" w:rsidP="002B6FC7">
      <w:pPr>
        <w:pStyle w:val="BodyTextMain"/>
      </w:pPr>
    </w:p>
    <w:p w14:paraId="19D7E1FB" w14:textId="1570EF75" w:rsidR="001907E3" w:rsidRPr="003753CF" w:rsidRDefault="001907E3" w:rsidP="002B6FC7">
      <w:pPr>
        <w:pStyle w:val="BodyTextMain"/>
      </w:pPr>
      <w:r>
        <w:t>I</w:t>
      </w:r>
      <w:r w:rsidRPr="003753CF">
        <w:t xml:space="preserve">n the data card category, the equity of </w:t>
      </w:r>
      <w:r>
        <w:t xml:space="preserve">the MTS </w:t>
      </w:r>
      <w:r w:rsidRPr="003753CF">
        <w:t>brand</w:t>
      </w:r>
      <w:r>
        <w:t xml:space="preserve"> f</w:t>
      </w:r>
      <w:r w:rsidRPr="003753CF">
        <w:t xml:space="preserve">urther improved and stood in second position in the industry, only behind </w:t>
      </w:r>
      <w:r>
        <w:t xml:space="preserve">Bharti </w:t>
      </w:r>
      <w:r w:rsidRPr="003753CF">
        <w:t xml:space="preserve">Airtel. The consolidation of </w:t>
      </w:r>
      <w:r>
        <w:t xml:space="preserve">the </w:t>
      </w:r>
      <w:r w:rsidRPr="003753CF">
        <w:t>brand</w:t>
      </w:r>
      <w:r>
        <w:t xml:space="preserve"> </w:t>
      </w:r>
      <w:r w:rsidRPr="003753CF">
        <w:t xml:space="preserve">in India was </w:t>
      </w:r>
      <w:r>
        <w:t>shown</w:t>
      </w:r>
      <w:r w:rsidRPr="003753CF">
        <w:t xml:space="preserve"> through several industry awards and market recognitions. One of the most significant was that</w:t>
      </w:r>
      <w:r>
        <w:t xml:space="preserve"> it</w:t>
      </w:r>
      <w:r w:rsidRPr="003753CF">
        <w:t xml:space="preserve"> remained </w:t>
      </w:r>
      <w:r>
        <w:t xml:space="preserve">on the </w:t>
      </w:r>
      <w:r w:rsidRPr="00343FD7">
        <w:rPr>
          <w:i/>
        </w:rPr>
        <w:t>Economic Times’</w:t>
      </w:r>
      <w:r w:rsidRPr="003753CF">
        <w:t xml:space="preserve"> prestigious </w:t>
      </w:r>
      <w:r>
        <w:t>b</w:t>
      </w:r>
      <w:r w:rsidRPr="003753CF">
        <w:t xml:space="preserve">rand </w:t>
      </w:r>
      <w:r>
        <w:t>e</w:t>
      </w:r>
      <w:r w:rsidRPr="003753CF">
        <w:t xml:space="preserve">quity </w:t>
      </w:r>
      <w:r>
        <w:t xml:space="preserve">list of </w:t>
      </w:r>
      <w:r w:rsidRPr="003753CF">
        <w:t>50 Most Trusted Service Brands in India</w:t>
      </w:r>
      <w:r>
        <w:t>, r</w:t>
      </w:r>
      <w:r w:rsidRPr="003753CF">
        <w:t>ank</w:t>
      </w:r>
      <w:r>
        <w:t>ed</w:t>
      </w:r>
      <w:r w:rsidRPr="003753CF">
        <w:t xml:space="preserve"> 36 in 2012 and 37 in 2013</w:t>
      </w:r>
      <w:r>
        <w:t xml:space="preserve">. This was a </w:t>
      </w:r>
      <w:r w:rsidRPr="003753CF">
        <w:t xml:space="preserve">remarkable achievement in </w:t>
      </w:r>
      <w:r>
        <w:t>light</w:t>
      </w:r>
      <w:r w:rsidRPr="003753CF">
        <w:t xml:space="preserve"> of a reduced geographical footprint </w:t>
      </w:r>
      <w:r>
        <w:t>that meant</w:t>
      </w:r>
      <w:r w:rsidRPr="003753CF">
        <w:t xml:space="preserve"> MTS </w:t>
      </w:r>
      <w:r>
        <w:t xml:space="preserve">India </w:t>
      </w:r>
      <w:r w:rsidRPr="003753CF">
        <w:t>was not operational in over half the survey centres.</w:t>
      </w:r>
      <w:r w:rsidRPr="003753CF">
        <w:rPr>
          <w:rStyle w:val="EndnoteReference"/>
        </w:rPr>
        <w:endnoteReference w:id="33"/>
      </w:r>
    </w:p>
    <w:p w14:paraId="0A050C77" w14:textId="77777777" w:rsidR="001907E3" w:rsidRDefault="001907E3" w:rsidP="002004F3">
      <w:pPr>
        <w:pStyle w:val="BodyTextMain"/>
      </w:pPr>
    </w:p>
    <w:p w14:paraId="7EBBE022" w14:textId="77777777" w:rsidR="001907E3" w:rsidRDefault="001907E3" w:rsidP="002004F3">
      <w:pPr>
        <w:pStyle w:val="BodyTextMain"/>
      </w:pPr>
    </w:p>
    <w:p w14:paraId="08926D51" w14:textId="77777777" w:rsidR="001907E3" w:rsidRPr="003753CF" w:rsidRDefault="001907E3" w:rsidP="001348F0">
      <w:pPr>
        <w:pStyle w:val="Casehead1"/>
        <w:outlineLvl w:val="0"/>
      </w:pPr>
      <w:r w:rsidRPr="003753CF">
        <w:t>Change in India’s political climate</w:t>
      </w:r>
    </w:p>
    <w:p w14:paraId="747884BB" w14:textId="77777777" w:rsidR="001907E3" w:rsidRPr="003753CF" w:rsidRDefault="001907E3" w:rsidP="00F32C5B">
      <w:pPr>
        <w:pStyle w:val="BodyTextMain"/>
      </w:pPr>
    </w:p>
    <w:p w14:paraId="4E88DEA3" w14:textId="289F210B" w:rsidR="001907E3" w:rsidRDefault="001907E3">
      <w:pPr>
        <w:pStyle w:val="BodyTextMain"/>
      </w:pPr>
      <w:r>
        <w:t xml:space="preserve">India’s </w:t>
      </w:r>
      <w:r w:rsidRPr="003753CF">
        <w:t xml:space="preserve">political climate saw a dramatic change in May 2014 when the </w:t>
      </w:r>
      <w:r>
        <w:t>Bharatiya Janata Party</w:t>
      </w:r>
      <w:r w:rsidRPr="003753CF">
        <w:t xml:space="preserve"> </w:t>
      </w:r>
      <w:r>
        <w:t xml:space="preserve">(BJP) </w:t>
      </w:r>
      <w:r w:rsidRPr="003753CF">
        <w:t xml:space="preserve">came to power with an overwhelming majority. With the change of </w:t>
      </w:r>
      <w:r>
        <w:t>government</w:t>
      </w:r>
      <w:r w:rsidRPr="003753CF">
        <w:t xml:space="preserve"> in the country, there was renewed hope in the business environment.</w:t>
      </w:r>
      <w:r w:rsidRPr="003753CF">
        <w:rPr>
          <w:rStyle w:val="EndnoteReference"/>
        </w:rPr>
        <w:endnoteReference w:id="34"/>
      </w:r>
      <w:r w:rsidRPr="003753CF">
        <w:t xml:space="preserve"> Recognizing the problems faced by the country’s telecom sector, the new government announced the next round of spectrum auctions. The aim was to make additional resources </w:t>
      </w:r>
      <w:r>
        <w:t xml:space="preserve">available </w:t>
      </w:r>
      <w:r w:rsidRPr="003753CF">
        <w:t xml:space="preserve">to operators so that wireless broadband services would receive a </w:t>
      </w:r>
      <w:r>
        <w:t>boost</w:t>
      </w:r>
      <w:r w:rsidRPr="003753CF">
        <w:t>. Th</w:t>
      </w:r>
      <w:r>
        <w:t>ese resources were</w:t>
      </w:r>
      <w:r w:rsidRPr="003753CF">
        <w:t xml:space="preserve"> also </w:t>
      </w:r>
      <w:r w:rsidRPr="003753CF">
        <w:lastRenderedPageBreak/>
        <w:t xml:space="preserve">required to meet the broader goals of ambitious projects (campaigns) planned by </w:t>
      </w:r>
      <w:r>
        <w:t>the g</w:t>
      </w:r>
      <w:r w:rsidRPr="003753CF">
        <w:t>overnment of India</w:t>
      </w:r>
      <w:r>
        <w:t>,</w:t>
      </w:r>
      <w:r w:rsidRPr="003753CF">
        <w:t xml:space="preserve"> including Digital India and Smart Cities</w:t>
      </w:r>
      <w:r>
        <w:t>.</w:t>
      </w:r>
      <w:r w:rsidRPr="003753CF">
        <w:rPr>
          <w:rStyle w:val="EndnoteReference"/>
        </w:rPr>
        <w:endnoteReference w:id="35"/>
      </w:r>
    </w:p>
    <w:p w14:paraId="73D1F1D9" w14:textId="77777777" w:rsidR="001907E3" w:rsidRDefault="001907E3" w:rsidP="00F32C5B">
      <w:pPr>
        <w:pStyle w:val="BodyTextMain"/>
      </w:pPr>
    </w:p>
    <w:p w14:paraId="5837FB7B" w14:textId="77777777" w:rsidR="001907E3" w:rsidRPr="003753CF" w:rsidRDefault="001907E3" w:rsidP="00F32C5B">
      <w:pPr>
        <w:pStyle w:val="BodyTextMain"/>
      </w:pPr>
      <w:r w:rsidRPr="003753CF">
        <w:t>In March 2015, the government completed the auction of spectrum in bands of 800 MHz, 900 MHz, 1800 MHz</w:t>
      </w:r>
      <w:r>
        <w:t>,</w:t>
      </w:r>
      <w:r w:rsidRPr="003753CF">
        <w:t xml:space="preserve"> and 2100 MHz. Much to the dismay of MTS India, this time the spectrum base price was set higher than the </w:t>
      </w:r>
      <w:r>
        <w:t xml:space="preserve">March 2013 </w:t>
      </w:r>
      <w:r w:rsidRPr="003753CF">
        <w:t>auction price. The company therefore decided against participating in the auction.</w:t>
      </w:r>
      <w:r w:rsidRPr="003753CF">
        <w:rPr>
          <w:rStyle w:val="EndnoteReference"/>
        </w:rPr>
        <w:endnoteReference w:id="36"/>
      </w:r>
      <w:r>
        <w:t xml:space="preserve"> I</w:t>
      </w:r>
      <w:r w:rsidRPr="003753CF">
        <w:t>ncumbents such as Bharti Airtel, Vodafone</w:t>
      </w:r>
      <w:r>
        <w:t>,</w:t>
      </w:r>
      <w:r w:rsidRPr="003753CF">
        <w:t xml:space="preserve"> and Idea managed to wrest a larger </w:t>
      </w:r>
      <w:r>
        <w:t>piece</w:t>
      </w:r>
      <w:r w:rsidRPr="003753CF">
        <w:t xml:space="preserve"> of the spectrum </w:t>
      </w:r>
      <w:r>
        <w:t xml:space="preserve">pie </w:t>
      </w:r>
      <w:r w:rsidRPr="003753CF">
        <w:t>through this auction.</w:t>
      </w:r>
      <w:r w:rsidRPr="003753CF">
        <w:rPr>
          <w:rStyle w:val="EndnoteReference"/>
        </w:rPr>
        <w:endnoteReference w:id="37"/>
      </w:r>
      <w:r>
        <w:t xml:space="preserve"> This helped augment</w:t>
      </w:r>
      <w:r w:rsidRPr="003753CF">
        <w:t xml:space="preserve"> their spectrum resource pool and enabled them to launch high</w:t>
      </w:r>
      <w:r>
        <w:t xml:space="preserve"> </w:t>
      </w:r>
      <w:r w:rsidRPr="003753CF">
        <w:t xml:space="preserve">speed broadband in </w:t>
      </w:r>
      <w:r>
        <w:t xml:space="preserve">the </w:t>
      </w:r>
      <w:r w:rsidRPr="003753CF">
        <w:t>subsequent period.</w:t>
      </w:r>
    </w:p>
    <w:p w14:paraId="76B77C04" w14:textId="77777777" w:rsidR="001907E3" w:rsidRPr="003753CF" w:rsidRDefault="001907E3" w:rsidP="00F32C5B">
      <w:pPr>
        <w:pStyle w:val="BodyTextMain"/>
      </w:pPr>
    </w:p>
    <w:p w14:paraId="781D9997" w14:textId="10C7C6E6" w:rsidR="001907E3" w:rsidRPr="003753CF" w:rsidRDefault="001907E3" w:rsidP="00F32C5B">
      <w:pPr>
        <w:pStyle w:val="BodyTextMain"/>
      </w:pPr>
      <w:r w:rsidRPr="003753CF">
        <w:t xml:space="preserve">To stay relevant in the Indian market, MTS </w:t>
      </w:r>
      <w:r>
        <w:t xml:space="preserve">India </w:t>
      </w:r>
      <w:r w:rsidRPr="003753CF">
        <w:t xml:space="preserve">began evaluating various options in 2015 that went beyond the organic growth route. It began to explore mergers and acquisitions with established players such as Tata and Aircel. However, </w:t>
      </w:r>
      <w:r>
        <w:t>because of</w:t>
      </w:r>
      <w:r w:rsidRPr="003753CF">
        <w:t xml:space="preserve"> the </w:t>
      </w:r>
      <w:r>
        <w:t>customary</w:t>
      </w:r>
      <w:r w:rsidRPr="003753CF">
        <w:t xml:space="preserve"> ambiguity </w:t>
      </w:r>
      <w:r>
        <w:t xml:space="preserve">about </w:t>
      </w:r>
      <w:r w:rsidRPr="003753CF">
        <w:t xml:space="preserve">government policy, </w:t>
      </w:r>
      <w:r>
        <w:t xml:space="preserve">such options were </w:t>
      </w:r>
      <w:r w:rsidRPr="003753CF">
        <w:t>not</w:t>
      </w:r>
      <w:r>
        <w:t xml:space="preserve"> </w:t>
      </w:r>
      <w:r w:rsidRPr="003753CF">
        <w:t>worth</w:t>
      </w:r>
      <w:r>
        <w:t>while</w:t>
      </w:r>
      <w:r w:rsidRPr="003753CF">
        <w:t xml:space="preserve"> at that time. Left behind its competitors, MTS </w:t>
      </w:r>
      <w:r>
        <w:t xml:space="preserve">India </w:t>
      </w:r>
      <w:r w:rsidRPr="003753CF">
        <w:t>now banked on the government’s</w:t>
      </w:r>
      <w:r>
        <w:t xml:space="preserve"> </w:t>
      </w:r>
      <w:r w:rsidRPr="003753CF">
        <w:t>spectrum</w:t>
      </w:r>
      <w:r>
        <w:t>-</w:t>
      </w:r>
      <w:r w:rsidRPr="003753CF">
        <w:t>sharing</w:t>
      </w:r>
      <w:r>
        <w:t xml:space="preserve"> policy</w:t>
      </w:r>
      <w:r w:rsidRPr="003753CF">
        <w:t xml:space="preserve">, </w:t>
      </w:r>
      <w:r>
        <w:t>which</w:t>
      </w:r>
      <w:r w:rsidRPr="003753CF">
        <w:t xml:space="preserve"> </w:t>
      </w:r>
      <w:r>
        <w:t>the company</w:t>
      </w:r>
      <w:r w:rsidRPr="003753CF">
        <w:t xml:space="preserve"> felt could provide another opportunity to acquire spectrum from the market and accelerate the growth of its high</w:t>
      </w:r>
      <w:r>
        <w:t xml:space="preserve"> </w:t>
      </w:r>
      <w:r w:rsidRPr="003753CF">
        <w:t>speed broadband.</w:t>
      </w:r>
    </w:p>
    <w:p w14:paraId="229A24AD" w14:textId="77777777" w:rsidR="001907E3" w:rsidRPr="003753CF" w:rsidRDefault="001907E3" w:rsidP="00F32C5B">
      <w:pPr>
        <w:pStyle w:val="BodyTextMain"/>
      </w:pPr>
    </w:p>
    <w:p w14:paraId="0E7DCD34" w14:textId="77777777" w:rsidR="001907E3" w:rsidRPr="003753CF" w:rsidRDefault="001907E3" w:rsidP="00F32C5B">
      <w:pPr>
        <w:pStyle w:val="BodyTextMain"/>
      </w:pPr>
    </w:p>
    <w:p w14:paraId="0B35FAE4" w14:textId="77777777" w:rsidR="001907E3" w:rsidRPr="003753CF" w:rsidRDefault="001907E3" w:rsidP="001348F0">
      <w:pPr>
        <w:pStyle w:val="Casehead1"/>
        <w:outlineLvl w:val="0"/>
      </w:pPr>
      <w:r w:rsidRPr="003753CF">
        <w:t>Geopolitical upheavals and the emerging business scenario</w:t>
      </w:r>
    </w:p>
    <w:p w14:paraId="30E6BCBE" w14:textId="77777777" w:rsidR="001907E3" w:rsidRPr="003753CF" w:rsidRDefault="001907E3" w:rsidP="00F32C5B">
      <w:pPr>
        <w:pStyle w:val="BodyTextMain"/>
      </w:pPr>
    </w:p>
    <w:p w14:paraId="1EE39C8B" w14:textId="5B261BE0" w:rsidR="001907E3" w:rsidRPr="003753CF" w:rsidRDefault="001907E3" w:rsidP="00F32C5B">
      <w:pPr>
        <w:pStyle w:val="BodyTextMain"/>
      </w:pPr>
      <w:r>
        <w:t xml:space="preserve">There was </w:t>
      </w:r>
      <w:r w:rsidRPr="003753CF">
        <w:t>major turbulence in the global political environment</w:t>
      </w:r>
      <w:r>
        <w:t xml:space="preserve"> in 2014 and early 2015</w:t>
      </w:r>
      <w:r w:rsidRPr="003753CF">
        <w:t xml:space="preserve">. </w:t>
      </w:r>
      <w:r>
        <w:t>C</w:t>
      </w:r>
      <w:r w:rsidRPr="003753CF">
        <w:t>onfrontation erupted between Russia and the West over the former’s aggression in Crimea and Ukraine.</w:t>
      </w:r>
      <w:r w:rsidRPr="003753CF">
        <w:rPr>
          <w:rStyle w:val="EndnoteReference"/>
        </w:rPr>
        <w:endnoteReference w:id="38"/>
      </w:r>
      <w:r w:rsidRPr="003753CF">
        <w:t xml:space="preserve"> The West </w:t>
      </w:r>
      <w:r>
        <w:t xml:space="preserve">then </w:t>
      </w:r>
      <w:r w:rsidRPr="003753CF">
        <w:t>imposed economic sanctions on Russia. The</w:t>
      </w:r>
      <w:r>
        <w:t xml:space="preserve"> </w:t>
      </w:r>
      <w:r w:rsidRPr="003753CF">
        <w:t xml:space="preserve">sharp fall in oil prices added to the country’s woes, leading to the collapse of the Russian </w:t>
      </w:r>
      <w:r>
        <w:t>r</w:t>
      </w:r>
      <w:r w:rsidRPr="003753CF">
        <w:t>uble in the second half of 2014.</w:t>
      </w:r>
      <w:r w:rsidRPr="003753CF">
        <w:rPr>
          <w:rStyle w:val="EndnoteReference"/>
        </w:rPr>
        <w:endnoteReference w:id="39"/>
      </w:r>
      <w:r w:rsidRPr="003753CF">
        <w:t xml:space="preserve"> This financial crisis </w:t>
      </w:r>
      <w:r>
        <w:t>affected</w:t>
      </w:r>
      <w:r w:rsidRPr="003753CF">
        <w:t xml:space="preserve"> both consumers </w:t>
      </w:r>
      <w:r>
        <w:t>and</w:t>
      </w:r>
      <w:r w:rsidRPr="003753CF">
        <w:t xml:space="preserve"> companies in Russia. The Russian stock market</w:t>
      </w:r>
      <w:r>
        <w:t>,</w:t>
      </w:r>
      <w:r w:rsidRPr="003753CF">
        <w:t xml:space="preserve"> in particular, experienced sharp declines. </w:t>
      </w:r>
      <w:r>
        <w:t>In</w:t>
      </w:r>
      <w:r w:rsidRPr="003753CF">
        <w:t xml:space="preserve"> the last part of 2014, the dollar</w:t>
      </w:r>
      <w:r>
        <w:t>-</w:t>
      </w:r>
      <w:r w:rsidRPr="003753CF">
        <w:t xml:space="preserve">denominated RTS </w:t>
      </w:r>
      <w:r>
        <w:t xml:space="preserve">(Russian Trading System) </w:t>
      </w:r>
      <w:r w:rsidRPr="003753CF">
        <w:t xml:space="preserve">share index fell to </w:t>
      </w:r>
      <w:r>
        <w:t>its</w:t>
      </w:r>
      <w:r w:rsidRPr="003753CF">
        <w:t xml:space="preserve"> lowest value since July 2009.</w:t>
      </w:r>
      <w:r w:rsidRPr="003753CF">
        <w:rPr>
          <w:rStyle w:val="EndnoteReference"/>
        </w:rPr>
        <w:endnoteReference w:id="40"/>
      </w:r>
      <w:r w:rsidRPr="003753CF">
        <w:t xml:space="preserve"> Due to this devaluation of the </w:t>
      </w:r>
      <w:r>
        <w:t>r</w:t>
      </w:r>
      <w:r w:rsidRPr="003753CF">
        <w:t>uble, the foreign</w:t>
      </w:r>
      <w:r>
        <w:t>-</w:t>
      </w:r>
      <w:r w:rsidRPr="003753CF">
        <w:t>currency</w:t>
      </w:r>
      <w:r>
        <w:t>-</w:t>
      </w:r>
      <w:r w:rsidRPr="003753CF">
        <w:t>denominated debt for Russian firms also increased to alarming levels. Under these stressed financial conditions, Sistema, the parent group of MTS India</w:t>
      </w:r>
      <w:r>
        <w:t>,</w:t>
      </w:r>
      <w:r w:rsidRPr="003753CF">
        <w:t xml:space="preserve"> remained cautious about making any large investment in India.</w:t>
      </w:r>
    </w:p>
    <w:p w14:paraId="1CF939F8" w14:textId="77777777" w:rsidR="001907E3" w:rsidRPr="003753CF" w:rsidRDefault="001907E3" w:rsidP="00F32C5B">
      <w:pPr>
        <w:pStyle w:val="BodyTextMain"/>
      </w:pPr>
    </w:p>
    <w:p w14:paraId="20319EC9" w14:textId="3081CEF1" w:rsidR="001907E3" w:rsidRPr="007937B1" w:rsidRDefault="001907E3">
      <w:pPr>
        <w:pStyle w:val="BodyTextMain"/>
        <w:rPr>
          <w:shd w:val="clear" w:color="auto" w:fill="FFFFFF"/>
        </w:rPr>
      </w:pPr>
      <w:r w:rsidRPr="007937B1">
        <w:t xml:space="preserve">The Indian wireless market, though, continued to witness robust growth. Around 5.5 million active wireless subscribers were being added each month in </w:t>
      </w:r>
      <w:r>
        <w:t>FY</w:t>
      </w:r>
      <w:r w:rsidRPr="007937B1">
        <w:t xml:space="preserve"> 2014–15 (see Exhibit 2).</w:t>
      </w:r>
      <w:r w:rsidRPr="002004F3">
        <w:t xml:space="preserve"> </w:t>
      </w:r>
      <w:r w:rsidRPr="007937B1">
        <w:t>Also, a continuous drop in smartphone and tablet prices was expected to result in higher penetration by these devices, which increased the demand for data on small-screen devices. There was growing interest in Wi</w:t>
      </w:r>
      <w:r w:rsidRPr="007937B1">
        <w:noBreakHyphen/>
        <w:t>Fi services at home and in public places. Sensing this new business opportunity, Shukov announced the launch of several home Wi-Fi products in early 2015.</w:t>
      </w:r>
      <w:r w:rsidRPr="007937B1">
        <w:rPr>
          <w:rStyle w:val="EndnoteReference"/>
          <w:spacing w:val="-4"/>
          <w:kern w:val="22"/>
        </w:rPr>
        <w:endnoteReference w:id="41"/>
      </w:r>
      <w:r>
        <w:t xml:space="preserve"> </w:t>
      </w:r>
      <w:r w:rsidRPr="007937B1">
        <w:rPr>
          <w:shd w:val="clear" w:color="auto" w:fill="FFFFFF"/>
        </w:rPr>
        <w:t>With this new solution, the company was also reaching out to Tier 2 and Tier 3 customers. The proposition (which MTS India claimed was value for money) was naturally skewed toward those areas where fixed line connectivity was either limited or did</w:t>
      </w:r>
      <w:r w:rsidR="000700C7">
        <w:rPr>
          <w:shd w:val="clear" w:color="auto" w:fill="FFFFFF"/>
        </w:rPr>
        <w:t xml:space="preserve"> no</w:t>
      </w:r>
      <w:r w:rsidRPr="007937B1">
        <w:rPr>
          <w:shd w:val="clear" w:color="auto" w:fill="FFFFFF"/>
        </w:rPr>
        <w:t xml:space="preserve">t exist. </w:t>
      </w:r>
    </w:p>
    <w:p w14:paraId="2AA547A2" w14:textId="77777777" w:rsidR="001907E3" w:rsidRDefault="001907E3" w:rsidP="00F32C5B">
      <w:pPr>
        <w:pStyle w:val="BodyTextMain"/>
        <w:rPr>
          <w:shd w:val="clear" w:color="auto" w:fill="FFFFFF"/>
        </w:rPr>
      </w:pPr>
    </w:p>
    <w:p w14:paraId="21B9D7B0" w14:textId="77777777" w:rsidR="001907E3" w:rsidRPr="003753CF" w:rsidRDefault="001907E3" w:rsidP="00F32C5B">
      <w:pPr>
        <w:pStyle w:val="BodyTextMain"/>
      </w:pPr>
      <w:r w:rsidRPr="003753CF">
        <w:rPr>
          <w:shd w:val="clear" w:color="auto" w:fill="FFFFFF"/>
        </w:rPr>
        <w:t xml:space="preserve">As of </w:t>
      </w:r>
      <w:r>
        <w:rPr>
          <w:shd w:val="clear" w:color="auto" w:fill="FFFFFF"/>
        </w:rPr>
        <w:t xml:space="preserve">the </w:t>
      </w:r>
      <w:r w:rsidRPr="003753CF">
        <w:rPr>
          <w:shd w:val="clear" w:color="auto" w:fill="FFFFFF"/>
        </w:rPr>
        <w:t xml:space="preserve">end </w:t>
      </w:r>
      <w:r>
        <w:rPr>
          <w:shd w:val="clear" w:color="auto" w:fill="FFFFFF"/>
        </w:rPr>
        <w:t xml:space="preserve">of </w:t>
      </w:r>
      <w:r w:rsidRPr="003753CF">
        <w:rPr>
          <w:shd w:val="clear" w:color="auto" w:fill="FFFFFF"/>
        </w:rPr>
        <w:t>November 2014, t</w:t>
      </w:r>
      <w:r w:rsidRPr="003753CF">
        <w:t>here was also a partnership with Indian Railways to provide Wi-Fi services on six railway stations and the Gurgaon Rapid Metro.</w:t>
      </w:r>
      <w:r w:rsidRPr="003753CF">
        <w:rPr>
          <w:rStyle w:val="EndnoteReference"/>
        </w:rPr>
        <w:endnoteReference w:id="42"/>
      </w:r>
      <w:r w:rsidRPr="003753CF">
        <w:t xml:space="preserve"> There was robust growth in </w:t>
      </w:r>
      <w:r>
        <w:t>I</w:t>
      </w:r>
      <w:r w:rsidRPr="003753CF">
        <w:t>nternet subscribers (</w:t>
      </w:r>
      <w:r>
        <w:t xml:space="preserve">see </w:t>
      </w:r>
      <w:r w:rsidRPr="003753CF">
        <w:t xml:space="preserve">Exhibit 4). </w:t>
      </w:r>
      <w:r>
        <w:t xml:space="preserve">The </w:t>
      </w:r>
      <w:r w:rsidRPr="003753CF">
        <w:t xml:space="preserve">MTS </w:t>
      </w:r>
      <w:r>
        <w:t>India o</w:t>
      </w:r>
      <w:r w:rsidRPr="003753CF">
        <w:t xml:space="preserve">nline </w:t>
      </w:r>
      <w:r>
        <w:t>c</w:t>
      </w:r>
      <w:r w:rsidRPr="003753CF">
        <w:t>hannel emerged as a strategic channel for acquisitions</w:t>
      </w:r>
      <w:r>
        <w:t>. It r</w:t>
      </w:r>
      <w:r w:rsidRPr="003753CF">
        <w:t>egistered 300</w:t>
      </w:r>
      <w:r>
        <w:t xml:space="preserve"> per cent</w:t>
      </w:r>
      <w:r w:rsidRPr="003753CF">
        <w:t xml:space="preserve"> growth in overall online channel volume </w:t>
      </w:r>
      <w:r>
        <w:t>from</w:t>
      </w:r>
      <w:r w:rsidRPr="003753CF">
        <w:t xml:space="preserve"> October to December 2014. </w:t>
      </w:r>
      <w:r>
        <w:t>Finally, d</w:t>
      </w:r>
      <w:r w:rsidRPr="003753CF">
        <w:t>ata card</w:t>
      </w:r>
      <w:r>
        <w:t xml:space="preserve"> </w:t>
      </w:r>
      <w:r w:rsidRPr="003753CF">
        <w:t xml:space="preserve">volume on </w:t>
      </w:r>
      <w:r>
        <w:t xml:space="preserve">the </w:t>
      </w:r>
      <w:r w:rsidRPr="003753CF">
        <w:t xml:space="preserve">MTS </w:t>
      </w:r>
      <w:r>
        <w:t xml:space="preserve">India </w:t>
      </w:r>
      <w:r w:rsidRPr="003753CF">
        <w:t>e</w:t>
      </w:r>
      <w:r>
        <w:noBreakHyphen/>
      </w:r>
      <w:r w:rsidRPr="003753CF">
        <w:t>shop jumped 350</w:t>
      </w:r>
      <w:r>
        <w:t xml:space="preserve"> per cent</w:t>
      </w:r>
      <w:r w:rsidRPr="003753CF">
        <w:t xml:space="preserve">. </w:t>
      </w:r>
    </w:p>
    <w:p w14:paraId="71943980" w14:textId="77777777" w:rsidR="001907E3" w:rsidRPr="003753CF" w:rsidRDefault="001907E3" w:rsidP="00F32C5B">
      <w:pPr>
        <w:pStyle w:val="BodyTextMain"/>
      </w:pPr>
    </w:p>
    <w:p w14:paraId="5E6ED70A" w14:textId="77777777" w:rsidR="001907E3" w:rsidRDefault="001907E3" w:rsidP="00F32C5B">
      <w:pPr>
        <w:pStyle w:val="BodyTextMain"/>
      </w:pPr>
      <w:r>
        <w:t>Despite</w:t>
      </w:r>
      <w:r w:rsidRPr="003753CF">
        <w:t xml:space="preserve"> the growth achieved in the data market, where it had expanded i</w:t>
      </w:r>
      <w:r>
        <w:t>ts</w:t>
      </w:r>
      <w:r w:rsidRPr="003753CF">
        <w:t xml:space="preserve"> share, sustained business momentum </w:t>
      </w:r>
      <w:r>
        <w:t xml:space="preserve">for </w:t>
      </w:r>
      <w:r w:rsidRPr="003753CF">
        <w:t>MTS India depended on the availability of additional spectrum to launch long</w:t>
      </w:r>
      <w:r>
        <w:t>-</w:t>
      </w:r>
      <w:r w:rsidRPr="003753CF">
        <w:t>term evolution</w:t>
      </w:r>
      <w:r>
        <w:t xml:space="preserve">-based </w:t>
      </w:r>
      <w:r w:rsidRPr="003753CF">
        <w:t>(LTE) high</w:t>
      </w:r>
      <w:r>
        <w:t xml:space="preserve"> </w:t>
      </w:r>
      <w:r w:rsidRPr="003753CF">
        <w:t xml:space="preserve">speed data services. </w:t>
      </w:r>
      <w:r>
        <w:t xml:space="preserve">After </w:t>
      </w:r>
      <w:r w:rsidRPr="003753CF">
        <w:t xml:space="preserve">the March 2015 auction, there was still </w:t>
      </w:r>
      <w:r>
        <w:t xml:space="preserve">a </w:t>
      </w:r>
      <w:r w:rsidRPr="003753CF">
        <w:t>lack of clarity on the future roadmap of spectrum auction</w:t>
      </w:r>
      <w:r>
        <w:t>s</w:t>
      </w:r>
      <w:r w:rsidRPr="003753CF">
        <w:t xml:space="preserve"> in the 850 MHz band. The March auction changed the </w:t>
      </w:r>
      <w:r w:rsidRPr="003753CF">
        <w:lastRenderedPageBreak/>
        <w:t>competitive landscape in favour of the incumbents. These companies managed to garner a larger share of spectrum for launching their high</w:t>
      </w:r>
      <w:r>
        <w:t xml:space="preserve"> </w:t>
      </w:r>
      <w:r w:rsidRPr="003753CF">
        <w:t xml:space="preserve">speed data services based on LTE technology. Under this changed competitive environment, the </w:t>
      </w:r>
      <w:r>
        <w:t xml:space="preserve">MTS India </w:t>
      </w:r>
      <w:r w:rsidRPr="003753CF">
        <w:t>leadership team began evaluating potential growth options</w:t>
      </w:r>
      <w:r>
        <w:t xml:space="preserve">. </w:t>
      </w:r>
    </w:p>
    <w:p w14:paraId="5C3196C7" w14:textId="77777777" w:rsidR="000700C7" w:rsidRDefault="000700C7" w:rsidP="00F32C5B">
      <w:pPr>
        <w:pStyle w:val="BodyTextMain"/>
      </w:pPr>
    </w:p>
    <w:p w14:paraId="73D7116B" w14:textId="7EECC43F" w:rsidR="00F32C5B" w:rsidRPr="003753CF" w:rsidRDefault="001907E3">
      <w:pPr>
        <w:pStyle w:val="BodyTextMain"/>
      </w:pPr>
      <w:r>
        <w:t xml:space="preserve">To grow </w:t>
      </w:r>
      <w:r w:rsidRPr="003753CF">
        <w:t>organic</w:t>
      </w:r>
      <w:r>
        <w:t xml:space="preserve">ally, </w:t>
      </w:r>
      <w:r w:rsidRPr="003753CF">
        <w:t>the company</w:t>
      </w:r>
      <w:r>
        <w:t xml:space="preserve"> </w:t>
      </w:r>
      <w:r w:rsidRPr="003753CF">
        <w:t>needed to have more spectrum in the 850 MHz band. It needed to</w:t>
      </w:r>
      <w:r>
        <w:t xml:space="preserve"> obtain spectrum </w:t>
      </w:r>
      <w:r w:rsidRPr="003753CF">
        <w:t xml:space="preserve">by either participating </w:t>
      </w:r>
      <w:r>
        <w:t>in</w:t>
      </w:r>
      <w:r w:rsidRPr="003753CF">
        <w:t xml:space="preserve"> auctions or entering into a spectrum</w:t>
      </w:r>
      <w:r>
        <w:t>-</w:t>
      </w:r>
      <w:r w:rsidRPr="003753CF">
        <w:t>trading arrangement with existing operators, where it could acquire 5 MHz spectrum suitable for LTE services. The second option w</w:t>
      </w:r>
      <w:r>
        <w:t>as</w:t>
      </w:r>
      <w:r w:rsidRPr="003753CF">
        <w:t xml:space="preserve"> partnering (</w:t>
      </w:r>
      <w:r>
        <w:t xml:space="preserve">through </w:t>
      </w:r>
      <w:r w:rsidR="000700C7">
        <w:t xml:space="preserve">a </w:t>
      </w:r>
      <w:r w:rsidRPr="003753CF">
        <w:t>merger) with RCom, the fourth largest operator in India in terms of active mobile connections.</w:t>
      </w:r>
      <w:r w:rsidRPr="003753CF">
        <w:rPr>
          <w:rStyle w:val="EndnoteReference"/>
        </w:rPr>
        <w:endnoteReference w:id="43"/>
      </w:r>
      <w:r>
        <w:t xml:space="preserve"> </w:t>
      </w:r>
      <w:r w:rsidR="00F32C5B" w:rsidRPr="003753CF">
        <w:t xml:space="preserve">This </w:t>
      </w:r>
      <w:r w:rsidR="00BB2989">
        <w:t xml:space="preserve">partnership </w:t>
      </w:r>
      <w:r w:rsidR="00F32C5B" w:rsidRPr="003753CF">
        <w:t>could help MTS India</w:t>
      </w:r>
      <w:r w:rsidR="00BB2989">
        <w:t xml:space="preserve"> change</w:t>
      </w:r>
      <w:r w:rsidR="00F32C5B" w:rsidRPr="003753CF">
        <w:t xml:space="preserve"> its focus from being a dongle</w:t>
      </w:r>
      <w:r w:rsidR="00BB2989">
        <w:t>-</w:t>
      </w:r>
      <w:r w:rsidR="00F32C5B" w:rsidRPr="003753CF">
        <w:t xml:space="preserve">driven data company to </w:t>
      </w:r>
      <w:r w:rsidR="00BB2989">
        <w:t xml:space="preserve">being </w:t>
      </w:r>
      <w:r w:rsidR="00F32C5B" w:rsidRPr="003753CF">
        <w:t xml:space="preserve">a Wi-Fi solutions provider. RCom had </w:t>
      </w:r>
      <w:r w:rsidR="00BB2989">
        <w:t xml:space="preserve">an </w:t>
      </w:r>
      <w:r w:rsidR="00F32C5B" w:rsidRPr="003753CF">
        <w:t>850 MHz band spectrum, which could help MTS India launch LTE services by liberalizing the combined spectrum to make it 5 MHz. A third option was to partner with state-owned B</w:t>
      </w:r>
      <w:r w:rsidR="00517BDF">
        <w:t>SNL</w:t>
      </w:r>
      <w:r w:rsidR="00F32C5B" w:rsidRPr="003753CF">
        <w:t xml:space="preserve"> to launch </w:t>
      </w:r>
      <w:r w:rsidR="00BB2989">
        <w:t>m</w:t>
      </w:r>
      <w:r w:rsidR="00F32C5B" w:rsidRPr="003753CF">
        <w:t xml:space="preserve">obile </w:t>
      </w:r>
      <w:r w:rsidR="00BB2989">
        <w:t>v</w:t>
      </w:r>
      <w:r w:rsidR="00F32C5B" w:rsidRPr="003753CF">
        <w:t xml:space="preserve">irtual </w:t>
      </w:r>
      <w:r w:rsidR="00BB2989">
        <w:t>n</w:t>
      </w:r>
      <w:r w:rsidR="00F32C5B" w:rsidRPr="003753CF">
        <w:t xml:space="preserve">etwork </w:t>
      </w:r>
      <w:r w:rsidR="00BB2989">
        <w:t>o</w:t>
      </w:r>
      <w:r w:rsidR="00F32C5B" w:rsidRPr="003753CF">
        <w:t xml:space="preserve">perator services. </w:t>
      </w:r>
    </w:p>
    <w:p w14:paraId="1CC42FA2" w14:textId="77777777" w:rsidR="00F32C5B" w:rsidRPr="003753CF" w:rsidRDefault="00F32C5B" w:rsidP="00F32C5B">
      <w:pPr>
        <w:pStyle w:val="BodyTextMain"/>
      </w:pPr>
    </w:p>
    <w:p w14:paraId="2D6413C6" w14:textId="77777777" w:rsidR="008D1F60" w:rsidRPr="00436E0F" w:rsidRDefault="00F32C5B">
      <w:pPr>
        <w:pStyle w:val="BodyTextMain"/>
        <w:rPr>
          <w:spacing w:val="-2"/>
          <w:kern w:val="22"/>
        </w:rPr>
      </w:pPr>
      <w:r w:rsidRPr="00436E0F">
        <w:rPr>
          <w:spacing w:val="-2"/>
          <w:kern w:val="22"/>
        </w:rPr>
        <w:t>However, to proceed with any of these strategic options, the company had to wait for the government’s</w:t>
      </w:r>
      <w:r w:rsidR="0090010A" w:rsidRPr="00436E0F">
        <w:rPr>
          <w:spacing w:val="-2"/>
          <w:kern w:val="22"/>
        </w:rPr>
        <w:t xml:space="preserve"> policy on</w:t>
      </w:r>
      <w:r w:rsidRPr="00436E0F">
        <w:rPr>
          <w:spacing w:val="-2"/>
          <w:kern w:val="22"/>
        </w:rPr>
        <w:t xml:space="preserve"> spectrum sharing and trading. </w:t>
      </w:r>
      <w:r w:rsidR="00BB2989" w:rsidRPr="00436E0F">
        <w:rPr>
          <w:spacing w:val="-2"/>
          <w:kern w:val="22"/>
        </w:rPr>
        <w:t xml:space="preserve">To grow </w:t>
      </w:r>
      <w:r w:rsidRPr="00436E0F">
        <w:rPr>
          <w:spacing w:val="-2"/>
          <w:kern w:val="22"/>
        </w:rPr>
        <w:t>organic</w:t>
      </w:r>
      <w:r w:rsidR="00BB2989" w:rsidRPr="00436E0F">
        <w:rPr>
          <w:spacing w:val="-2"/>
          <w:kern w:val="22"/>
        </w:rPr>
        <w:t>ally,</w:t>
      </w:r>
      <w:r w:rsidRPr="00436E0F">
        <w:rPr>
          <w:spacing w:val="-2"/>
          <w:kern w:val="22"/>
        </w:rPr>
        <w:t xml:space="preserve"> the company would require additional capital investment</w:t>
      </w:r>
      <w:r w:rsidR="00BB2989" w:rsidRPr="00436E0F">
        <w:rPr>
          <w:spacing w:val="-2"/>
          <w:kern w:val="22"/>
        </w:rPr>
        <w:t>. On the other hand, growing i</w:t>
      </w:r>
      <w:r w:rsidRPr="00436E0F">
        <w:rPr>
          <w:spacing w:val="-2"/>
          <w:kern w:val="22"/>
        </w:rPr>
        <w:t>norganic</w:t>
      </w:r>
      <w:r w:rsidR="00BB2989" w:rsidRPr="00436E0F">
        <w:rPr>
          <w:spacing w:val="-2"/>
          <w:kern w:val="22"/>
        </w:rPr>
        <w:t>ally</w:t>
      </w:r>
      <w:r w:rsidRPr="00436E0F">
        <w:rPr>
          <w:spacing w:val="-2"/>
          <w:kern w:val="22"/>
        </w:rPr>
        <w:t xml:space="preserve"> would depend on the availability of spectrum resources from other operators and government regulation in this respect. The inorganic growth option would also require substantial investment since most of the potential telecom service providers were highly indebted. </w:t>
      </w:r>
    </w:p>
    <w:p w14:paraId="73575610" w14:textId="77777777" w:rsidR="008D1F60" w:rsidRDefault="008D1F60" w:rsidP="00F32C5B">
      <w:pPr>
        <w:pStyle w:val="BodyTextMain"/>
      </w:pPr>
    </w:p>
    <w:p w14:paraId="788D9A6C" w14:textId="3AA4D400" w:rsidR="002B6FC7" w:rsidRPr="003753CF" w:rsidRDefault="00F32C5B" w:rsidP="00F32C5B">
      <w:pPr>
        <w:pStyle w:val="BodyTextMain"/>
      </w:pPr>
      <w:r w:rsidRPr="003753CF">
        <w:t>The last option was to exit the market by selling off</w:t>
      </w:r>
      <w:r w:rsidR="008D3B23">
        <w:t xml:space="preserve"> </w:t>
      </w:r>
      <w:r w:rsidR="0090010A">
        <w:t>the spectrum</w:t>
      </w:r>
      <w:r w:rsidR="008D3B23">
        <w:t xml:space="preserve"> </w:t>
      </w:r>
      <w:r w:rsidRPr="003753CF">
        <w:t xml:space="preserve">to an interested buyer to offset </w:t>
      </w:r>
      <w:r w:rsidR="00BB2989">
        <w:t>the</w:t>
      </w:r>
      <w:r w:rsidRPr="003753CF">
        <w:t xml:space="preserve"> initial investment. </w:t>
      </w:r>
      <w:r w:rsidR="0090010A">
        <w:t xml:space="preserve">A </w:t>
      </w:r>
      <w:r w:rsidRPr="003753CF">
        <w:t xml:space="preserve">positive </w:t>
      </w:r>
      <w:r w:rsidR="0090010A">
        <w:t xml:space="preserve">point </w:t>
      </w:r>
      <w:r w:rsidRPr="003753CF">
        <w:t>for MTS India was that the value of the spectrum it held had grown 2.25 times the base price of</w:t>
      </w:r>
      <w:r w:rsidR="00260135">
        <w:t xml:space="preserve"> </w:t>
      </w:r>
      <w:r w:rsidRPr="003753CF">
        <w:t>2015. This made the company an attractive acquisition target by incumbent operators.</w:t>
      </w:r>
      <w:r w:rsidR="00F437EE">
        <w:t xml:space="preserve"> </w:t>
      </w:r>
      <w:r w:rsidRPr="003753CF">
        <w:t xml:space="preserve">June 2015 was proving to be a testing moment for MTS India’s operational and customer management capabilities. In its more than </w:t>
      </w:r>
      <w:r w:rsidR="00880342">
        <w:t>six</w:t>
      </w:r>
      <w:r w:rsidRPr="003753CF">
        <w:t xml:space="preserve"> years of operations,</w:t>
      </w:r>
      <w:r w:rsidR="0090010A">
        <w:t xml:space="preserve"> it</w:t>
      </w:r>
      <w:r w:rsidRPr="003753CF">
        <w:t xml:space="preserve"> had proved many of its detractors wrong. </w:t>
      </w:r>
      <w:r w:rsidR="00BB2989">
        <w:t>However,</w:t>
      </w:r>
      <w:r w:rsidRPr="003753CF">
        <w:t xml:space="preserve"> Shukov knew that overcoming </w:t>
      </w:r>
      <w:r w:rsidR="00880342">
        <w:t xml:space="preserve">the </w:t>
      </w:r>
      <w:r w:rsidRPr="003753CF">
        <w:t xml:space="preserve">challenges </w:t>
      </w:r>
      <w:r w:rsidR="00880342">
        <w:t xml:space="preserve">and making strategic decisions </w:t>
      </w:r>
      <w:r w:rsidRPr="003753CF">
        <w:t xml:space="preserve">would require great resolve. </w:t>
      </w:r>
    </w:p>
    <w:p w14:paraId="6B6A0FC0" w14:textId="65E0959E" w:rsidR="002B6FC7" w:rsidRPr="003753CF" w:rsidRDefault="00B30CA2">
      <w:pPr>
        <w:spacing w:after="200" w:line="276" w:lineRule="auto"/>
      </w:pPr>
      <w:r>
        <w:rPr>
          <w:noProof/>
          <w:lang w:eastAsia="en-GB"/>
        </w:rPr>
        <mc:AlternateContent>
          <mc:Choice Requires="wps">
            <w:drawing>
              <wp:anchor distT="45720" distB="45720" distL="114300" distR="114300" simplePos="0" relativeHeight="251661312" behindDoc="0" locked="0" layoutInCell="1" allowOverlap="1" wp14:anchorId="73D8C7C8" wp14:editId="34785AE6">
                <wp:simplePos x="0" y="0"/>
                <wp:positionH relativeFrom="margin">
                  <wp:align>center</wp:align>
                </wp:positionH>
                <wp:positionV relativeFrom="paragraph">
                  <wp:posOffset>537845</wp:posOffset>
                </wp:positionV>
                <wp:extent cx="3406775" cy="1404620"/>
                <wp:effectExtent l="0" t="0" r="222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775" cy="1404620"/>
                        </a:xfrm>
                        <a:prstGeom prst="rect">
                          <a:avLst/>
                        </a:prstGeom>
                        <a:solidFill>
                          <a:srgbClr val="FFFFFF"/>
                        </a:solidFill>
                        <a:ln w="9525">
                          <a:solidFill>
                            <a:srgbClr val="000000"/>
                          </a:solidFill>
                          <a:miter lim="800000"/>
                          <a:headEnd/>
                          <a:tailEnd/>
                        </a:ln>
                      </wps:spPr>
                      <wps:txbx>
                        <w:txbxContent>
                          <w:p w14:paraId="7FDFA2E6" w14:textId="3C3501B4" w:rsidR="00B30CA2" w:rsidRDefault="00B30CA2" w:rsidP="00B30CA2">
                            <w:pPr>
                              <w:pStyle w:val="Footnote"/>
                            </w:pPr>
                            <w:r>
                              <w:t xml:space="preserve">Professor Somnath Chakrabarti is an associate professor in marketing at the Indian Institute of Management, Kashipur. Shubhendu Dutta is a doctoral candidate and director of information technology at Sistema Shyam Teleservices Ltd (MTS), India.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D8C7C8" id="_x0000_t202" coordsize="21600,21600" o:spt="202" path="m,l,21600r21600,l21600,xe">
                <v:stroke joinstyle="miter"/>
                <v:path gradientshapeok="t" o:connecttype="rect"/>
              </v:shapetype>
              <v:shape id="Text Box 2" o:spid="_x0000_s1026" type="#_x0000_t202" style="position:absolute;margin-left:0;margin-top:42.35pt;width:268.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">
                <v:textbox style="mso-fit-shape-to-text:t">
                  <w:txbxContent>
                    <w:p w14:paraId="7FDFA2E6" w14:textId="3C3501B4" w:rsidR="00B30CA2" w:rsidRDefault="00B30CA2" w:rsidP="00B30CA2">
                      <w:pPr>
                        <w:pStyle w:val="Footnote"/>
                      </w:pPr>
                      <w:r>
                        <w:t xml:space="preserve">Professor Somnath Chakrabarti is an associate professor in marketing at the Indian Institute of Management, Kashipur. Shubhendu Dutta is a doctoral candidate and director of information technology at Sistema Shyam Teleservices Ltd (MTS), India. </w:t>
                      </w:r>
                    </w:p>
                  </w:txbxContent>
                </v:textbox>
                <w10:wrap type="square" anchorx="margin"/>
              </v:shape>
            </w:pict>
          </mc:Fallback>
        </mc:AlternateContent>
      </w:r>
      <w:r w:rsidR="002B6FC7" w:rsidRPr="003753CF">
        <w:br w:type="page"/>
      </w:r>
      <w:bookmarkStart w:id="0" w:name="_GoBack"/>
      <w:bookmarkEnd w:id="0"/>
    </w:p>
    <w:p w14:paraId="5EEB35F4" w14:textId="3F60EE40" w:rsidR="00602E50" w:rsidRPr="007937B1" w:rsidRDefault="001F0949" w:rsidP="001348F0">
      <w:pPr>
        <w:pStyle w:val="ExhibitHeading"/>
        <w:outlineLvl w:val="0"/>
        <w:rPr>
          <w:spacing w:val="-2"/>
          <w:kern w:val="20"/>
        </w:rPr>
      </w:pPr>
      <w:r w:rsidRPr="007937B1">
        <w:rPr>
          <w:spacing w:val="-2"/>
          <w:kern w:val="20"/>
        </w:rPr>
        <w:lastRenderedPageBreak/>
        <w:t>Exhibit</w:t>
      </w:r>
      <w:r w:rsidR="00283E9B" w:rsidRPr="007937B1">
        <w:rPr>
          <w:spacing w:val="-2"/>
          <w:kern w:val="20"/>
        </w:rPr>
        <w:t xml:space="preserve"> 1:</w:t>
      </w:r>
      <w:r w:rsidR="00B609B7" w:rsidRPr="007937B1">
        <w:rPr>
          <w:spacing w:val="-2"/>
          <w:kern w:val="20"/>
        </w:rPr>
        <w:t xml:space="preserve"> MTS India</w:t>
      </w:r>
      <w:r w:rsidR="00283E9B" w:rsidRPr="007937B1">
        <w:rPr>
          <w:spacing w:val="-2"/>
          <w:kern w:val="20"/>
        </w:rPr>
        <w:t xml:space="preserve"> Financial summary</w:t>
      </w:r>
      <w:r w:rsidR="007937B1" w:rsidRPr="007937B1">
        <w:rPr>
          <w:spacing w:val="-2"/>
          <w:kern w:val="20"/>
        </w:rPr>
        <w:t xml:space="preserve"> </w:t>
      </w:r>
      <w:r w:rsidR="00602E50" w:rsidRPr="007937B1">
        <w:rPr>
          <w:spacing w:val="-2"/>
          <w:kern w:val="20"/>
        </w:rPr>
        <w:t xml:space="preserve">(in </w:t>
      </w:r>
      <w:r w:rsidR="00E5372F" w:rsidRPr="007937B1">
        <w:rPr>
          <w:spacing w:val="-2"/>
          <w:kern w:val="20"/>
        </w:rPr>
        <w:t>₹</w:t>
      </w:r>
      <w:r w:rsidR="00602E50" w:rsidRPr="007937B1">
        <w:rPr>
          <w:spacing w:val="-2"/>
          <w:kern w:val="20"/>
        </w:rPr>
        <w:t xml:space="preserve"> Million)</w:t>
      </w:r>
    </w:p>
    <w:p w14:paraId="0081BF91" w14:textId="77777777" w:rsidR="003F5067" w:rsidRPr="000700C7" w:rsidRDefault="003F5067" w:rsidP="002004F3">
      <w:pPr>
        <w:pStyle w:val="ExhibitText"/>
        <w:rPr>
          <w:sz w:val="16"/>
        </w:rPr>
      </w:pPr>
    </w:p>
    <w:tbl>
      <w:tblPr>
        <w:tblW w:w="6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1007"/>
        <w:gridCol w:w="992"/>
        <w:gridCol w:w="992"/>
      </w:tblGrid>
      <w:tr w:rsidR="00283E9B" w:rsidRPr="003753CF" w14:paraId="42352315" w14:textId="77777777" w:rsidTr="00436E0F">
        <w:trPr>
          <w:trHeight w:val="288"/>
          <w:jc w:val="center"/>
        </w:trPr>
        <w:tc>
          <w:tcPr>
            <w:tcW w:w="3260" w:type="dxa"/>
            <w:shd w:val="clear" w:color="auto" w:fill="auto"/>
            <w:vAlign w:val="center"/>
            <w:hideMark/>
          </w:tcPr>
          <w:p w14:paraId="0C9EBCB3" w14:textId="2E896C11" w:rsidR="00283E9B" w:rsidRPr="002004F3" w:rsidRDefault="00D03245" w:rsidP="00436E0F">
            <w:pPr>
              <w:jc w:val="center"/>
              <w:rPr>
                <w:rFonts w:ascii="Arial" w:hAnsi="Arial" w:cs="Arial"/>
                <w:bCs/>
                <w:i/>
                <w:color w:val="000000"/>
                <w:sz w:val="18"/>
                <w:szCs w:val="18"/>
                <w:lang w:eastAsia="en-IN"/>
              </w:rPr>
            </w:pPr>
            <w:r w:rsidRPr="002004F3">
              <w:rPr>
                <w:rFonts w:ascii="Arial" w:hAnsi="Arial" w:cs="Arial"/>
                <w:bCs/>
                <w:i/>
                <w:color w:val="000000"/>
                <w:sz w:val="18"/>
                <w:szCs w:val="18"/>
                <w:lang w:eastAsia="en-IN"/>
              </w:rPr>
              <w:t>Financial year ending March 31</w:t>
            </w:r>
          </w:p>
        </w:tc>
        <w:tc>
          <w:tcPr>
            <w:tcW w:w="1007" w:type="dxa"/>
            <w:shd w:val="clear" w:color="auto" w:fill="auto"/>
            <w:vAlign w:val="center"/>
            <w:hideMark/>
          </w:tcPr>
          <w:p w14:paraId="40B9DA26" w14:textId="77777777" w:rsidR="00283E9B" w:rsidRPr="003753CF" w:rsidRDefault="00283E9B" w:rsidP="00436E0F">
            <w:pPr>
              <w:jc w:val="center"/>
              <w:rPr>
                <w:rFonts w:ascii="Arial" w:hAnsi="Arial" w:cs="Arial"/>
                <w:b/>
                <w:bCs/>
                <w:color w:val="000000"/>
                <w:lang w:eastAsia="en-IN"/>
              </w:rPr>
            </w:pPr>
            <w:r w:rsidRPr="003753CF">
              <w:rPr>
                <w:rFonts w:ascii="Arial" w:hAnsi="Arial" w:cs="Arial"/>
                <w:b/>
                <w:bCs/>
                <w:color w:val="000000"/>
                <w:lang w:eastAsia="en-IN"/>
              </w:rPr>
              <w:t>2015</w:t>
            </w:r>
          </w:p>
        </w:tc>
        <w:tc>
          <w:tcPr>
            <w:tcW w:w="992" w:type="dxa"/>
            <w:shd w:val="clear" w:color="auto" w:fill="auto"/>
            <w:vAlign w:val="center"/>
            <w:hideMark/>
          </w:tcPr>
          <w:p w14:paraId="34F2AED9" w14:textId="77777777" w:rsidR="00283E9B" w:rsidRPr="003753CF" w:rsidRDefault="00283E9B" w:rsidP="00436E0F">
            <w:pPr>
              <w:jc w:val="center"/>
              <w:rPr>
                <w:rFonts w:ascii="Arial" w:hAnsi="Arial" w:cs="Arial"/>
                <w:b/>
                <w:bCs/>
                <w:color w:val="000000"/>
                <w:lang w:eastAsia="en-IN"/>
              </w:rPr>
            </w:pPr>
            <w:r w:rsidRPr="003753CF">
              <w:rPr>
                <w:rFonts w:ascii="Arial" w:hAnsi="Arial" w:cs="Arial"/>
                <w:b/>
                <w:bCs/>
                <w:color w:val="000000"/>
                <w:lang w:eastAsia="en-IN"/>
              </w:rPr>
              <w:t>2014</w:t>
            </w:r>
          </w:p>
        </w:tc>
        <w:tc>
          <w:tcPr>
            <w:tcW w:w="992" w:type="dxa"/>
            <w:shd w:val="clear" w:color="auto" w:fill="auto"/>
            <w:vAlign w:val="center"/>
            <w:hideMark/>
          </w:tcPr>
          <w:p w14:paraId="5D2A7E1E" w14:textId="77777777" w:rsidR="00283E9B" w:rsidRPr="003753CF" w:rsidRDefault="00283E9B" w:rsidP="00436E0F">
            <w:pPr>
              <w:jc w:val="center"/>
              <w:rPr>
                <w:rFonts w:ascii="Arial" w:hAnsi="Arial" w:cs="Arial"/>
                <w:b/>
                <w:bCs/>
                <w:color w:val="000000"/>
                <w:lang w:eastAsia="en-IN"/>
              </w:rPr>
            </w:pPr>
            <w:r w:rsidRPr="003753CF">
              <w:rPr>
                <w:rFonts w:ascii="Arial" w:hAnsi="Arial" w:cs="Arial"/>
                <w:b/>
                <w:bCs/>
                <w:color w:val="000000"/>
                <w:lang w:eastAsia="en-IN"/>
              </w:rPr>
              <w:t>2013</w:t>
            </w:r>
          </w:p>
        </w:tc>
      </w:tr>
      <w:tr w:rsidR="00283E9B" w:rsidRPr="003753CF" w14:paraId="73BD5E8C" w14:textId="77777777" w:rsidTr="00436E0F">
        <w:trPr>
          <w:trHeight w:val="288"/>
          <w:jc w:val="center"/>
        </w:trPr>
        <w:tc>
          <w:tcPr>
            <w:tcW w:w="3260" w:type="dxa"/>
            <w:shd w:val="clear" w:color="auto" w:fill="auto"/>
            <w:vAlign w:val="center"/>
            <w:hideMark/>
          </w:tcPr>
          <w:p w14:paraId="0B8FC2D6" w14:textId="77777777" w:rsidR="00283E9B" w:rsidRPr="003753CF" w:rsidRDefault="00283E9B" w:rsidP="00436E0F">
            <w:pPr>
              <w:rPr>
                <w:rFonts w:ascii="Arial" w:hAnsi="Arial" w:cs="Arial"/>
                <w:color w:val="000000"/>
                <w:sz w:val="18"/>
                <w:lang w:eastAsia="en-IN"/>
              </w:rPr>
            </w:pPr>
            <w:r w:rsidRPr="003753CF">
              <w:rPr>
                <w:rFonts w:ascii="Arial" w:hAnsi="Arial" w:cs="Arial"/>
                <w:color w:val="000000"/>
                <w:sz w:val="18"/>
                <w:lang w:eastAsia="en-IN"/>
              </w:rPr>
              <w:t>Revenue (</w:t>
            </w:r>
            <w:r w:rsidR="00B2437A">
              <w:rPr>
                <w:rFonts w:ascii="Arial" w:hAnsi="Arial" w:cs="Arial"/>
                <w:color w:val="000000"/>
                <w:sz w:val="18"/>
                <w:lang w:eastAsia="en-IN"/>
              </w:rPr>
              <w:t>s</w:t>
            </w:r>
            <w:r w:rsidRPr="003753CF">
              <w:rPr>
                <w:rFonts w:ascii="Arial" w:hAnsi="Arial" w:cs="Arial"/>
                <w:color w:val="000000"/>
                <w:sz w:val="18"/>
                <w:lang w:eastAsia="en-IN"/>
              </w:rPr>
              <w:t>ervice and sale of goods)</w:t>
            </w:r>
          </w:p>
        </w:tc>
        <w:tc>
          <w:tcPr>
            <w:tcW w:w="1007" w:type="dxa"/>
            <w:shd w:val="clear" w:color="auto" w:fill="auto"/>
            <w:vAlign w:val="center"/>
            <w:hideMark/>
          </w:tcPr>
          <w:p w14:paraId="253235EE"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13</w:t>
            </w:r>
            <w:r w:rsidR="00A43584" w:rsidRPr="009F294F">
              <w:rPr>
                <w:rFonts w:ascii="Arial" w:hAnsi="Arial" w:cs="Arial"/>
                <w:color w:val="000000"/>
                <w:sz w:val="18"/>
                <w:lang w:eastAsia="en-IN"/>
              </w:rPr>
              <w:t>,</w:t>
            </w:r>
            <w:r w:rsidRPr="009F294F">
              <w:rPr>
                <w:rFonts w:ascii="Arial" w:hAnsi="Arial" w:cs="Arial"/>
                <w:color w:val="000000"/>
                <w:sz w:val="18"/>
                <w:lang w:eastAsia="en-IN"/>
              </w:rPr>
              <w:t>852</w:t>
            </w:r>
          </w:p>
        </w:tc>
        <w:tc>
          <w:tcPr>
            <w:tcW w:w="992" w:type="dxa"/>
            <w:shd w:val="clear" w:color="auto" w:fill="auto"/>
            <w:vAlign w:val="center"/>
            <w:hideMark/>
          </w:tcPr>
          <w:p w14:paraId="124BA90E"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11</w:t>
            </w:r>
            <w:r w:rsidR="00A43584" w:rsidRPr="009F294F">
              <w:rPr>
                <w:rFonts w:ascii="Arial" w:hAnsi="Arial" w:cs="Arial"/>
                <w:color w:val="000000"/>
                <w:sz w:val="18"/>
                <w:lang w:eastAsia="en-IN"/>
              </w:rPr>
              <w:t>,</w:t>
            </w:r>
            <w:r w:rsidRPr="009F294F">
              <w:rPr>
                <w:rFonts w:ascii="Arial" w:hAnsi="Arial" w:cs="Arial"/>
                <w:color w:val="000000"/>
                <w:sz w:val="18"/>
                <w:lang w:eastAsia="en-IN"/>
              </w:rPr>
              <w:t>876</w:t>
            </w:r>
          </w:p>
        </w:tc>
        <w:tc>
          <w:tcPr>
            <w:tcW w:w="992" w:type="dxa"/>
            <w:shd w:val="clear" w:color="auto" w:fill="auto"/>
            <w:noWrap/>
            <w:vAlign w:val="center"/>
            <w:hideMark/>
          </w:tcPr>
          <w:p w14:paraId="7BA13D66"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12</w:t>
            </w:r>
            <w:r w:rsidR="00A43584" w:rsidRPr="009F294F">
              <w:rPr>
                <w:rFonts w:ascii="Arial" w:hAnsi="Arial" w:cs="Arial"/>
                <w:color w:val="000000"/>
                <w:sz w:val="18"/>
                <w:lang w:eastAsia="en-IN"/>
              </w:rPr>
              <w:t>,</w:t>
            </w:r>
            <w:r w:rsidRPr="009F294F">
              <w:rPr>
                <w:rFonts w:ascii="Arial" w:hAnsi="Arial" w:cs="Arial"/>
                <w:color w:val="000000"/>
                <w:sz w:val="18"/>
                <w:lang w:eastAsia="en-IN"/>
              </w:rPr>
              <w:t>043</w:t>
            </w:r>
          </w:p>
        </w:tc>
      </w:tr>
      <w:tr w:rsidR="00283E9B" w:rsidRPr="003753CF" w14:paraId="30C0C7FE" w14:textId="77777777" w:rsidTr="00436E0F">
        <w:trPr>
          <w:trHeight w:val="288"/>
          <w:jc w:val="center"/>
        </w:trPr>
        <w:tc>
          <w:tcPr>
            <w:tcW w:w="3260" w:type="dxa"/>
            <w:shd w:val="clear" w:color="auto" w:fill="auto"/>
            <w:vAlign w:val="center"/>
            <w:hideMark/>
          </w:tcPr>
          <w:p w14:paraId="42E121A9" w14:textId="77777777" w:rsidR="00283E9B" w:rsidRPr="003753CF" w:rsidRDefault="00283E9B" w:rsidP="00436E0F">
            <w:pPr>
              <w:rPr>
                <w:rFonts w:ascii="Arial" w:hAnsi="Arial" w:cs="Arial"/>
                <w:color w:val="000000"/>
                <w:sz w:val="18"/>
                <w:lang w:eastAsia="en-IN"/>
              </w:rPr>
            </w:pPr>
            <w:r w:rsidRPr="003753CF">
              <w:rPr>
                <w:rFonts w:ascii="Arial" w:hAnsi="Arial" w:cs="Arial"/>
                <w:color w:val="000000"/>
                <w:sz w:val="18"/>
                <w:lang w:eastAsia="en-IN"/>
              </w:rPr>
              <w:t>Other income</w:t>
            </w:r>
          </w:p>
        </w:tc>
        <w:tc>
          <w:tcPr>
            <w:tcW w:w="1007" w:type="dxa"/>
            <w:shd w:val="clear" w:color="auto" w:fill="auto"/>
            <w:vAlign w:val="center"/>
            <w:hideMark/>
          </w:tcPr>
          <w:p w14:paraId="51D53386"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435</w:t>
            </w:r>
          </w:p>
        </w:tc>
        <w:tc>
          <w:tcPr>
            <w:tcW w:w="992" w:type="dxa"/>
            <w:shd w:val="clear" w:color="auto" w:fill="auto"/>
            <w:vAlign w:val="center"/>
            <w:hideMark/>
          </w:tcPr>
          <w:p w14:paraId="7B26816E"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576</w:t>
            </w:r>
          </w:p>
        </w:tc>
        <w:tc>
          <w:tcPr>
            <w:tcW w:w="992" w:type="dxa"/>
            <w:shd w:val="clear" w:color="auto" w:fill="auto"/>
            <w:noWrap/>
            <w:vAlign w:val="center"/>
            <w:hideMark/>
          </w:tcPr>
          <w:p w14:paraId="0F404C6E"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264</w:t>
            </w:r>
          </w:p>
        </w:tc>
      </w:tr>
      <w:tr w:rsidR="00283E9B" w:rsidRPr="003753CF" w14:paraId="3744EFE3" w14:textId="77777777" w:rsidTr="00436E0F">
        <w:trPr>
          <w:trHeight w:val="288"/>
          <w:jc w:val="center"/>
        </w:trPr>
        <w:tc>
          <w:tcPr>
            <w:tcW w:w="3260" w:type="dxa"/>
            <w:shd w:val="clear" w:color="auto" w:fill="auto"/>
            <w:vAlign w:val="center"/>
            <w:hideMark/>
          </w:tcPr>
          <w:p w14:paraId="6EC51F4E" w14:textId="77777777" w:rsidR="00283E9B" w:rsidRPr="003753CF" w:rsidRDefault="00283E9B" w:rsidP="00436E0F">
            <w:pPr>
              <w:rPr>
                <w:rFonts w:ascii="Arial" w:hAnsi="Arial" w:cs="Arial"/>
                <w:color w:val="000000"/>
                <w:sz w:val="18"/>
                <w:lang w:eastAsia="en-IN"/>
              </w:rPr>
            </w:pPr>
            <w:r w:rsidRPr="003753CF">
              <w:rPr>
                <w:rFonts w:ascii="Arial" w:hAnsi="Arial" w:cs="Arial"/>
                <w:color w:val="000000"/>
                <w:sz w:val="18"/>
                <w:lang w:eastAsia="en-IN"/>
              </w:rPr>
              <w:t xml:space="preserve">Total </w:t>
            </w:r>
            <w:r w:rsidR="00B2437A">
              <w:rPr>
                <w:rFonts w:ascii="Arial" w:hAnsi="Arial" w:cs="Arial"/>
                <w:color w:val="000000"/>
                <w:sz w:val="18"/>
                <w:lang w:eastAsia="en-IN"/>
              </w:rPr>
              <w:t>i</w:t>
            </w:r>
            <w:r w:rsidRPr="003753CF">
              <w:rPr>
                <w:rFonts w:ascii="Arial" w:hAnsi="Arial" w:cs="Arial"/>
                <w:color w:val="000000"/>
                <w:sz w:val="18"/>
                <w:lang w:eastAsia="en-IN"/>
              </w:rPr>
              <w:t>ncome</w:t>
            </w:r>
          </w:p>
        </w:tc>
        <w:tc>
          <w:tcPr>
            <w:tcW w:w="1007" w:type="dxa"/>
            <w:shd w:val="clear" w:color="auto" w:fill="auto"/>
            <w:vAlign w:val="center"/>
            <w:hideMark/>
          </w:tcPr>
          <w:p w14:paraId="1B4EF0D8"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14</w:t>
            </w:r>
            <w:r w:rsidR="00A43584" w:rsidRPr="009F294F">
              <w:rPr>
                <w:rFonts w:ascii="Arial" w:hAnsi="Arial" w:cs="Arial"/>
                <w:color w:val="000000"/>
                <w:sz w:val="18"/>
                <w:lang w:eastAsia="en-IN"/>
              </w:rPr>
              <w:t>,</w:t>
            </w:r>
            <w:r w:rsidRPr="009F294F">
              <w:rPr>
                <w:rFonts w:ascii="Arial" w:hAnsi="Arial" w:cs="Arial"/>
                <w:color w:val="000000"/>
                <w:sz w:val="18"/>
                <w:lang w:eastAsia="en-IN"/>
              </w:rPr>
              <w:t>287</w:t>
            </w:r>
          </w:p>
        </w:tc>
        <w:tc>
          <w:tcPr>
            <w:tcW w:w="992" w:type="dxa"/>
            <w:shd w:val="clear" w:color="auto" w:fill="auto"/>
            <w:vAlign w:val="center"/>
            <w:hideMark/>
          </w:tcPr>
          <w:p w14:paraId="3E7A4B89"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12</w:t>
            </w:r>
            <w:r w:rsidR="00A43584" w:rsidRPr="009F294F">
              <w:rPr>
                <w:rFonts w:ascii="Arial" w:hAnsi="Arial" w:cs="Arial"/>
                <w:color w:val="000000"/>
                <w:sz w:val="18"/>
                <w:lang w:eastAsia="en-IN"/>
              </w:rPr>
              <w:t>,</w:t>
            </w:r>
            <w:r w:rsidRPr="009F294F">
              <w:rPr>
                <w:rFonts w:ascii="Arial" w:hAnsi="Arial" w:cs="Arial"/>
                <w:color w:val="000000"/>
                <w:sz w:val="18"/>
                <w:lang w:eastAsia="en-IN"/>
              </w:rPr>
              <w:t>452</w:t>
            </w:r>
          </w:p>
        </w:tc>
        <w:tc>
          <w:tcPr>
            <w:tcW w:w="992" w:type="dxa"/>
            <w:shd w:val="clear" w:color="auto" w:fill="auto"/>
            <w:noWrap/>
            <w:vAlign w:val="center"/>
            <w:hideMark/>
          </w:tcPr>
          <w:p w14:paraId="74B0A208"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12</w:t>
            </w:r>
            <w:r w:rsidR="00A43584" w:rsidRPr="009F294F">
              <w:rPr>
                <w:rFonts w:ascii="Arial" w:hAnsi="Arial" w:cs="Arial"/>
                <w:color w:val="000000"/>
                <w:sz w:val="18"/>
                <w:lang w:eastAsia="en-IN"/>
              </w:rPr>
              <w:t>,</w:t>
            </w:r>
            <w:r w:rsidRPr="009F294F">
              <w:rPr>
                <w:rFonts w:ascii="Arial" w:hAnsi="Arial" w:cs="Arial"/>
                <w:color w:val="000000"/>
                <w:sz w:val="18"/>
                <w:lang w:eastAsia="en-IN"/>
              </w:rPr>
              <w:t>307</w:t>
            </w:r>
          </w:p>
        </w:tc>
      </w:tr>
      <w:tr w:rsidR="00283E9B" w:rsidRPr="003753CF" w14:paraId="7DC891C8" w14:textId="77777777" w:rsidTr="00436E0F">
        <w:trPr>
          <w:trHeight w:val="288"/>
          <w:jc w:val="center"/>
        </w:trPr>
        <w:tc>
          <w:tcPr>
            <w:tcW w:w="3260" w:type="dxa"/>
            <w:shd w:val="clear" w:color="auto" w:fill="auto"/>
            <w:vAlign w:val="center"/>
            <w:hideMark/>
          </w:tcPr>
          <w:p w14:paraId="6AB3AF5A" w14:textId="77777777" w:rsidR="00283E9B" w:rsidRPr="003753CF" w:rsidRDefault="00283E9B" w:rsidP="00436E0F">
            <w:pPr>
              <w:rPr>
                <w:rFonts w:ascii="Arial" w:hAnsi="Arial" w:cs="Arial"/>
                <w:color w:val="000000"/>
                <w:sz w:val="18"/>
                <w:lang w:eastAsia="en-IN"/>
              </w:rPr>
            </w:pPr>
            <w:r w:rsidRPr="003753CF">
              <w:rPr>
                <w:rFonts w:ascii="Arial" w:hAnsi="Arial" w:cs="Arial"/>
                <w:color w:val="000000"/>
                <w:sz w:val="18"/>
                <w:lang w:eastAsia="en-IN"/>
              </w:rPr>
              <w:t xml:space="preserve">Total </w:t>
            </w:r>
            <w:r w:rsidR="00B2437A">
              <w:rPr>
                <w:rFonts w:ascii="Arial" w:hAnsi="Arial" w:cs="Arial"/>
                <w:color w:val="000000"/>
                <w:sz w:val="18"/>
                <w:lang w:eastAsia="en-IN"/>
              </w:rPr>
              <w:t>o</w:t>
            </w:r>
            <w:r w:rsidRPr="003753CF">
              <w:rPr>
                <w:rFonts w:ascii="Arial" w:hAnsi="Arial" w:cs="Arial"/>
                <w:color w:val="000000"/>
                <w:sz w:val="18"/>
                <w:lang w:eastAsia="en-IN"/>
              </w:rPr>
              <w:t>perating expenditure</w:t>
            </w:r>
          </w:p>
        </w:tc>
        <w:tc>
          <w:tcPr>
            <w:tcW w:w="1007" w:type="dxa"/>
            <w:shd w:val="clear" w:color="auto" w:fill="auto"/>
            <w:vAlign w:val="center"/>
            <w:hideMark/>
          </w:tcPr>
          <w:p w14:paraId="0A5B1260"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18</w:t>
            </w:r>
            <w:r w:rsidR="00A43584" w:rsidRPr="009F294F">
              <w:rPr>
                <w:rFonts w:ascii="Arial" w:hAnsi="Arial" w:cs="Arial"/>
                <w:color w:val="000000"/>
                <w:sz w:val="18"/>
                <w:lang w:eastAsia="en-IN"/>
              </w:rPr>
              <w:t>,</w:t>
            </w:r>
            <w:r w:rsidRPr="009F294F">
              <w:rPr>
                <w:rFonts w:ascii="Arial" w:hAnsi="Arial" w:cs="Arial"/>
                <w:color w:val="000000"/>
                <w:sz w:val="18"/>
                <w:lang w:eastAsia="en-IN"/>
              </w:rPr>
              <w:t>863</w:t>
            </w:r>
          </w:p>
        </w:tc>
        <w:tc>
          <w:tcPr>
            <w:tcW w:w="992" w:type="dxa"/>
            <w:shd w:val="clear" w:color="auto" w:fill="auto"/>
            <w:vAlign w:val="center"/>
            <w:hideMark/>
          </w:tcPr>
          <w:p w14:paraId="62DC97F5"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20,040</w:t>
            </w:r>
          </w:p>
        </w:tc>
        <w:tc>
          <w:tcPr>
            <w:tcW w:w="992" w:type="dxa"/>
            <w:shd w:val="clear" w:color="auto" w:fill="auto"/>
            <w:noWrap/>
            <w:vAlign w:val="center"/>
            <w:hideMark/>
          </w:tcPr>
          <w:p w14:paraId="43BE7CDA"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21</w:t>
            </w:r>
            <w:r w:rsidR="00A43584" w:rsidRPr="009F294F">
              <w:rPr>
                <w:rFonts w:ascii="Arial" w:hAnsi="Arial" w:cs="Arial"/>
                <w:color w:val="000000"/>
                <w:sz w:val="18"/>
                <w:lang w:eastAsia="en-IN"/>
              </w:rPr>
              <w:t>,</w:t>
            </w:r>
            <w:r w:rsidRPr="009F294F">
              <w:rPr>
                <w:rFonts w:ascii="Arial" w:hAnsi="Arial" w:cs="Arial"/>
                <w:color w:val="000000"/>
                <w:sz w:val="18"/>
                <w:lang w:eastAsia="en-IN"/>
              </w:rPr>
              <w:t>752</w:t>
            </w:r>
          </w:p>
        </w:tc>
      </w:tr>
      <w:tr w:rsidR="00283E9B" w:rsidRPr="003753CF" w14:paraId="4BA97367" w14:textId="77777777" w:rsidTr="00436E0F">
        <w:trPr>
          <w:trHeight w:val="288"/>
          <w:jc w:val="center"/>
        </w:trPr>
        <w:tc>
          <w:tcPr>
            <w:tcW w:w="3260" w:type="dxa"/>
            <w:shd w:val="clear" w:color="auto" w:fill="auto"/>
            <w:vAlign w:val="center"/>
            <w:hideMark/>
          </w:tcPr>
          <w:p w14:paraId="128D96A7" w14:textId="77777777" w:rsidR="00283E9B" w:rsidRPr="003753CF" w:rsidRDefault="00283E9B" w:rsidP="00436E0F">
            <w:pPr>
              <w:rPr>
                <w:rFonts w:ascii="Arial" w:hAnsi="Arial" w:cs="Arial"/>
                <w:color w:val="000000"/>
                <w:sz w:val="18"/>
                <w:lang w:eastAsia="en-IN"/>
              </w:rPr>
            </w:pPr>
            <w:r w:rsidRPr="003753CF">
              <w:rPr>
                <w:rFonts w:ascii="Arial" w:hAnsi="Arial" w:cs="Arial"/>
                <w:color w:val="000000"/>
                <w:sz w:val="18"/>
                <w:lang w:eastAsia="en-IN"/>
              </w:rPr>
              <w:t>Operating loss</w:t>
            </w:r>
          </w:p>
        </w:tc>
        <w:tc>
          <w:tcPr>
            <w:tcW w:w="1007" w:type="dxa"/>
            <w:shd w:val="clear" w:color="auto" w:fill="auto"/>
            <w:vAlign w:val="center"/>
            <w:hideMark/>
          </w:tcPr>
          <w:p w14:paraId="5CD934D8"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4,576</w:t>
            </w:r>
          </w:p>
        </w:tc>
        <w:tc>
          <w:tcPr>
            <w:tcW w:w="992" w:type="dxa"/>
            <w:shd w:val="clear" w:color="auto" w:fill="auto"/>
            <w:vAlign w:val="center"/>
            <w:hideMark/>
          </w:tcPr>
          <w:p w14:paraId="13CD3ACE"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7,588</w:t>
            </w:r>
          </w:p>
        </w:tc>
        <w:tc>
          <w:tcPr>
            <w:tcW w:w="992" w:type="dxa"/>
            <w:shd w:val="clear" w:color="auto" w:fill="auto"/>
            <w:noWrap/>
            <w:vAlign w:val="center"/>
            <w:hideMark/>
          </w:tcPr>
          <w:p w14:paraId="4355BFBC"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9</w:t>
            </w:r>
            <w:r w:rsidR="00A43584" w:rsidRPr="009F294F">
              <w:rPr>
                <w:rFonts w:ascii="Arial" w:hAnsi="Arial" w:cs="Arial"/>
                <w:color w:val="000000"/>
                <w:sz w:val="18"/>
                <w:lang w:eastAsia="en-IN"/>
              </w:rPr>
              <w:t>,</w:t>
            </w:r>
            <w:r w:rsidRPr="009F294F">
              <w:rPr>
                <w:rFonts w:ascii="Arial" w:hAnsi="Arial" w:cs="Arial"/>
                <w:color w:val="000000"/>
                <w:sz w:val="18"/>
                <w:lang w:eastAsia="en-IN"/>
              </w:rPr>
              <w:t>445</w:t>
            </w:r>
          </w:p>
        </w:tc>
      </w:tr>
      <w:tr w:rsidR="00283E9B" w:rsidRPr="003753CF" w14:paraId="69EEAC75" w14:textId="77777777" w:rsidTr="00436E0F">
        <w:trPr>
          <w:trHeight w:val="288"/>
          <w:jc w:val="center"/>
        </w:trPr>
        <w:tc>
          <w:tcPr>
            <w:tcW w:w="3260" w:type="dxa"/>
            <w:shd w:val="clear" w:color="auto" w:fill="auto"/>
            <w:vAlign w:val="center"/>
            <w:hideMark/>
          </w:tcPr>
          <w:p w14:paraId="3EBD03AB" w14:textId="77777777" w:rsidR="00283E9B" w:rsidRPr="003753CF" w:rsidRDefault="00283E9B" w:rsidP="00436E0F">
            <w:pPr>
              <w:rPr>
                <w:rFonts w:ascii="Arial" w:hAnsi="Arial" w:cs="Arial"/>
                <w:color w:val="000000"/>
                <w:sz w:val="18"/>
                <w:lang w:eastAsia="en-IN"/>
              </w:rPr>
            </w:pPr>
            <w:r w:rsidRPr="003753CF">
              <w:rPr>
                <w:rFonts w:ascii="Arial" w:hAnsi="Arial" w:cs="Arial"/>
                <w:color w:val="000000"/>
                <w:sz w:val="18"/>
                <w:lang w:eastAsia="en-IN"/>
              </w:rPr>
              <w:t>Net loss</w:t>
            </w:r>
          </w:p>
        </w:tc>
        <w:tc>
          <w:tcPr>
            <w:tcW w:w="1007" w:type="dxa"/>
            <w:shd w:val="clear" w:color="auto" w:fill="auto"/>
            <w:vAlign w:val="center"/>
            <w:hideMark/>
          </w:tcPr>
          <w:p w14:paraId="74429B5F"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17,173</w:t>
            </w:r>
          </w:p>
        </w:tc>
        <w:tc>
          <w:tcPr>
            <w:tcW w:w="992" w:type="dxa"/>
            <w:shd w:val="clear" w:color="auto" w:fill="auto"/>
            <w:vAlign w:val="center"/>
            <w:hideMark/>
          </w:tcPr>
          <w:p w14:paraId="3A4F8D10"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20,728</w:t>
            </w:r>
          </w:p>
        </w:tc>
        <w:tc>
          <w:tcPr>
            <w:tcW w:w="992" w:type="dxa"/>
            <w:shd w:val="clear" w:color="auto" w:fill="auto"/>
            <w:noWrap/>
            <w:vAlign w:val="center"/>
            <w:hideMark/>
          </w:tcPr>
          <w:p w14:paraId="18E37AE7" w14:textId="77777777" w:rsidR="00283E9B" w:rsidRPr="009F294F" w:rsidRDefault="00283E9B" w:rsidP="00436E0F">
            <w:pPr>
              <w:jc w:val="right"/>
              <w:rPr>
                <w:rFonts w:ascii="Arial" w:hAnsi="Arial" w:cs="Arial"/>
                <w:color w:val="000000"/>
                <w:sz w:val="18"/>
                <w:lang w:eastAsia="en-IN"/>
              </w:rPr>
            </w:pPr>
            <w:r w:rsidRPr="009F294F">
              <w:rPr>
                <w:rFonts w:ascii="Arial" w:hAnsi="Arial" w:cs="Arial"/>
                <w:color w:val="000000"/>
                <w:sz w:val="18"/>
                <w:lang w:eastAsia="en-IN"/>
              </w:rPr>
              <w:t>28</w:t>
            </w:r>
            <w:r w:rsidR="00A43584" w:rsidRPr="009F294F">
              <w:rPr>
                <w:rFonts w:ascii="Arial" w:hAnsi="Arial" w:cs="Arial"/>
                <w:color w:val="000000"/>
                <w:sz w:val="18"/>
                <w:lang w:eastAsia="en-IN"/>
              </w:rPr>
              <w:t>,</w:t>
            </w:r>
            <w:r w:rsidRPr="009F294F">
              <w:rPr>
                <w:rFonts w:ascii="Arial" w:hAnsi="Arial" w:cs="Arial"/>
                <w:color w:val="000000"/>
                <w:sz w:val="18"/>
                <w:lang w:eastAsia="en-IN"/>
              </w:rPr>
              <w:t>817</w:t>
            </w:r>
          </w:p>
        </w:tc>
      </w:tr>
    </w:tbl>
    <w:p w14:paraId="045AFBB8" w14:textId="77777777" w:rsidR="003F5067" w:rsidRPr="003753CF" w:rsidRDefault="003F5067" w:rsidP="002004F3">
      <w:pPr>
        <w:pStyle w:val="ExhibitText"/>
      </w:pPr>
    </w:p>
    <w:p w14:paraId="317774F2" w14:textId="69CA8A69" w:rsidR="007937B1" w:rsidRDefault="00283E9B" w:rsidP="003F5067">
      <w:pPr>
        <w:pStyle w:val="Footnote"/>
      </w:pPr>
      <w:r w:rsidRPr="007953F9">
        <w:t xml:space="preserve">Source: </w:t>
      </w:r>
      <w:r w:rsidR="000700C7" w:rsidRPr="007937B1">
        <w:rPr>
          <w:spacing w:val="-2"/>
          <w:kern w:val="20"/>
        </w:rPr>
        <w:t>₹</w:t>
      </w:r>
      <w:r w:rsidR="000700C7">
        <w:rPr>
          <w:spacing w:val="-2"/>
          <w:kern w:val="20"/>
        </w:rPr>
        <w:t xml:space="preserve"> = INR = Indian rupees; </w:t>
      </w:r>
      <w:r w:rsidR="000700C7" w:rsidRPr="007937B1">
        <w:rPr>
          <w:spacing w:val="-2"/>
          <w:kern w:val="20"/>
        </w:rPr>
        <w:t>₹</w:t>
      </w:r>
      <w:r w:rsidR="000700C7">
        <w:rPr>
          <w:spacing w:val="-2"/>
          <w:kern w:val="20"/>
        </w:rPr>
        <w:t xml:space="preserve">1.00 = US$0.02 on March 31, 2015; </w:t>
      </w:r>
      <w:r w:rsidR="008D1BC1" w:rsidRPr="007953F9">
        <w:t>Sistema Shyam</w:t>
      </w:r>
      <w:r w:rsidR="007A4322">
        <w:t xml:space="preserve"> </w:t>
      </w:r>
      <w:r w:rsidR="008D1BC1" w:rsidRPr="007953F9">
        <w:t>TeleServices L</w:t>
      </w:r>
      <w:r w:rsidR="00CA0BD3">
        <w:t>imited</w:t>
      </w:r>
      <w:r w:rsidR="008D1BC1" w:rsidRPr="007953F9">
        <w:t xml:space="preserve">, </w:t>
      </w:r>
      <w:r w:rsidR="008D1BC1" w:rsidRPr="007953F9">
        <w:rPr>
          <w:i/>
        </w:rPr>
        <w:t>Annual Report 2014</w:t>
      </w:r>
      <w:r w:rsidR="00FF5531">
        <w:rPr>
          <w:i/>
        </w:rPr>
        <w:t>–</w:t>
      </w:r>
      <w:r w:rsidR="008D1BC1" w:rsidRPr="007953F9">
        <w:rPr>
          <w:i/>
        </w:rPr>
        <w:t>15</w:t>
      </w:r>
      <w:r w:rsidR="008D1BC1" w:rsidRPr="007953F9">
        <w:t>, 2, accessed August 27, 2016, www.mtsindia.in/corporate/downloads/SSTL%20Annual%20Report%202014-15.pdf</w:t>
      </w:r>
      <w:r w:rsidR="00665606" w:rsidRPr="007953F9">
        <w:t xml:space="preserve">; </w:t>
      </w:r>
      <w:r w:rsidR="001146E8" w:rsidRPr="007953F9">
        <w:t>Sistema Shyam</w:t>
      </w:r>
      <w:r w:rsidR="007A4322">
        <w:t xml:space="preserve"> </w:t>
      </w:r>
      <w:r w:rsidR="001146E8" w:rsidRPr="007953F9">
        <w:t>TeleServices L</w:t>
      </w:r>
      <w:r w:rsidR="00CA0BD3">
        <w:t>imited,</w:t>
      </w:r>
      <w:r w:rsidR="00400860">
        <w:t xml:space="preserve"> </w:t>
      </w:r>
      <w:r w:rsidR="001146E8" w:rsidRPr="007953F9">
        <w:rPr>
          <w:i/>
        </w:rPr>
        <w:t>Annual Report 2013</w:t>
      </w:r>
      <w:r w:rsidR="00FF5531">
        <w:rPr>
          <w:i/>
        </w:rPr>
        <w:t>–</w:t>
      </w:r>
      <w:r w:rsidR="001146E8" w:rsidRPr="007953F9">
        <w:rPr>
          <w:i/>
        </w:rPr>
        <w:t>14</w:t>
      </w:r>
      <w:r w:rsidR="001146E8" w:rsidRPr="008F0007">
        <w:rPr>
          <w:i/>
        </w:rPr>
        <w:t>,</w:t>
      </w:r>
      <w:r w:rsidR="007A4322">
        <w:rPr>
          <w:i/>
        </w:rPr>
        <w:t xml:space="preserve"> </w:t>
      </w:r>
      <w:r w:rsidR="001146E8" w:rsidRPr="007953F9">
        <w:t xml:space="preserve">accessed August 25, 2016, </w:t>
      </w:r>
      <w:r w:rsidR="007937B1" w:rsidRPr="007937B1">
        <w:t>www.mtsindia.in/corporate/downloads/19th%20Annual</w:t>
      </w:r>
    </w:p>
    <w:p w14:paraId="4ECE3D1B" w14:textId="77777777" w:rsidR="00283E9B" w:rsidRPr="007953F9" w:rsidRDefault="001146E8" w:rsidP="003F5067">
      <w:pPr>
        <w:pStyle w:val="Footnote"/>
      </w:pPr>
      <w:r w:rsidRPr="007953F9">
        <w:t>%20Report%20for%202013-14.pdf</w:t>
      </w:r>
      <w:r w:rsidR="00CA0BD3">
        <w:t>.</w:t>
      </w:r>
    </w:p>
    <w:p w14:paraId="590B22CD" w14:textId="77777777" w:rsidR="00283E9B" w:rsidRPr="000700C7" w:rsidRDefault="00283E9B" w:rsidP="002004F3">
      <w:pPr>
        <w:pStyle w:val="ExhibitText"/>
        <w:rPr>
          <w:sz w:val="14"/>
        </w:rPr>
      </w:pPr>
    </w:p>
    <w:p w14:paraId="1B430531" w14:textId="77777777" w:rsidR="00283E9B" w:rsidRPr="003753CF" w:rsidRDefault="00283E9B" w:rsidP="002004F3">
      <w:pPr>
        <w:pStyle w:val="ExhibitText"/>
      </w:pPr>
    </w:p>
    <w:p w14:paraId="752ADFCC" w14:textId="061D5E25" w:rsidR="00995E8D" w:rsidRPr="003753CF" w:rsidRDefault="00990C6E" w:rsidP="001348F0">
      <w:pPr>
        <w:pStyle w:val="ExhibitHeading"/>
        <w:outlineLvl w:val="0"/>
        <w:rPr>
          <w:lang w:eastAsia="en-IN"/>
        </w:rPr>
      </w:pPr>
      <w:r w:rsidRPr="003753CF">
        <w:rPr>
          <w:lang w:eastAsia="en-IN"/>
        </w:rPr>
        <w:t>exhibit</w:t>
      </w:r>
      <w:r w:rsidR="00283E9B" w:rsidRPr="003753CF">
        <w:rPr>
          <w:lang w:eastAsia="en-IN"/>
        </w:rPr>
        <w:t xml:space="preserve"> 2: Subscriber base of wireless operators</w:t>
      </w:r>
      <w:r w:rsidR="00D03245">
        <w:rPr>
          <w:lang w:eastAsia="en-IN"/>
        </w:rPr>
        <w:t>,</w:t>
      </w:r>
      <w:r w:rsidR="00995E8D">
        <w:rPr>
          <w:lang w:eastAsia="en-IN"/>
        </w:rPr>
        <w:t xml:space="preserve"> </w:t>
      </w:r>
      <w:r w:rsidR="00283E9B" w:rsidRPr="003753CF">
        <w:rPr>
          <w:lang w:eastAsia="en-IN"/>
        </w:rPr>
        <w:t>2007</w:t>
      </w:r>
      <w:r w:rsidR="00CA0BD3">
        <w:rPr>
          <w:lang w:eastAsia="en-IN"/>
        </w:rPr>
        <w:t>–</w:t>
      </w:r>
      <w:r w:rsidR="00283E9B" w:rsidRPr="003753CF">
        <w:rPr>
          <w:lang w:eastAsia="en-IN"/>
        </w:rPr>
        <w:t>2015</w:t>
      </w:r>
      <w:r w:rsidR="007937B1">
        <w:rPr>
          <w:lang w:eastAsia="en-IN"/>
        </w:rPr>
        <w:t xml:space="preserve"> </w:t>
      </w:r>
      <w:r w:rsidR="00995E8D" w:rsidRPr="003753CF">
        <w:rPr>
          <w:lang w:eastAsia="en-IN"/>
        </w:rPr>
        <w:t>(in million</w:t>
      </w:r>
      <w:r w:rsidR="00995E8D">
        <w:rPr>
          <w:lang w:eastAsia="en-IN"/>
        </w:rPr>
        <w:t>s</w:t>
      </w:r>
      <w:r w:rsidR="00995E8D" w:rsidRPr="003753CF">
        <w:rPr>
          <w:lang w:eastAsia="en-IN"/>
        </w:rPr>
        <w:t>)</w:t>
      </w:r>
    </w:p>
    <w:p w14:paraId="08D87B64" w14:textId="77777777" w:rsidR="00283E9B" w:rsidRPr="003753CF" w:rsidRDefault="00283E9B" w:rsidP="002004F3">
      <w:pPr>
        <w:pStyle w:val="ExhibitText"/>
        <w:rPr>
          <w:lang w:eastAsia="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8"/>
        <w:gridCol w:w="871"/>
        <w:gridCol w:w="871"/>
        <w:gridCol w:w="872"/>
        <w:gridCol w:w="871"/>
        <w:gridCol w:w="871"/>
        <w:gridCol w:w="872"/>
        <w:gridCol w:w="871"/>
        <w:gridCol w:w="871"/>
        <w:gridCol w:w="872"/>
      </w:tblGrid>
      <w:tr w:rsidR="00D03245" w:rsidRPr="007937B1" w14:paraId="5949AFB8" w14:textId="77777777" w:rsidTr="00436E0F">
        <w:trPr>
          <w:trHeight w:val="288"/>
          <w:jc w:val="center"/>
        </w:trPr>
        <w:tc>
          <w:tcPr>
            <w:tcW w:w="1508" w:type="dxa"/>
            <w:shd w:val="clear" w:color="auto" w:fill="auto"/>
            <w:noWrap/>
            <w:vAlign w:val="center"/>
            <w:hideMark/>
          </w:tcPr>
          <w:p w14:paraId="74025C8E" w14:textId="257C089B" w:rsidR="00283E9B" w:rsidRPr="002004F3" w:rsidRDefault="007937B1" w:rsidP="00436E0F">
            <w:pPr>
              <w:jc w:val="center"/>
              <w:rPr>
                <w:rFonts w:ascii="Arial" w:hAnsi="Arial" w:cs="Arial"/>
                <w:i/>
                <w:color w:val="000000"/>
                <w:sz w:val="18"/>
                <w:szCs w:val="18"/>
                <w:lang w:eastAsia="en-IN"/>
              </w:rPr>
            </w:pPr>
            <w:r w:rsidRPr="002004F3">
              <w:rPr>
                <w:rFonts w:ascii="Arial" w:hAnsi="Arial" w:cs="Arial"/>
                <w:i/>
                <w:color w:val="000000"/>
                <w:sz w:val="18"/>
                <w:szCs w:val="18"/>
                <w:lang w:eastAsia="en-IN"/>
              </w:rPr>
              <w:t>March</w:t>
            </w:r>
          </w:p>
        </w:tc>
        <w:tc>
          <w:tcPr>
            <w:tcW w:w="871" w:type="dxa"/>
            <w:shd w:val="clear" w:color="auto" w:fill="auto"/>
            <w:noWrap/>
            <w:vAlign w:val="center"/>
            <w:hideMark/>
          </w:tcPr>
          <w:p w14:paraId="19A59A64" w14:textId="3BC44D14"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7937B1" w:rsidRPr="007937B1">
              <w:rPr>
                <w:rFonts w:ascii="Arial" w:hAnsi="Arial" w:cs="Arial"/>
                <w:b/>
                <w:color w:val="000000"/>
                <w:sz w:val="18"/>
                <w:szCs w:val="18"/>
                <w:lang w:eastAsia="en-IN"/>
              </w:rPr>
              <w:t>07</w:t>
            </w:r>
          </w:p>
        </w:tc>
        <w:tc>
          <w:tcPr>
            <w:tcW w:w="871" w:type="dxa"/>
            <w:shd w:val="clear" w:color="auto" w:fill="auto"/>
            <w:noWrap/>
            <w:vAlign w:val="center"/>
            <w:hideMark/>
          </w:tcPr>
          <w:p w14:paraId="0120A9E6" w14:textId="74CDBCD2"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7937B1" w:rsidRPr="007937B1">
              <w:rPr>
                <w:rFonts w:ascii="Arial" w:hAnsi="Arial" w:cs="Arial"/>
                <w:b/>
                <w:color w:val="000000"/>
                <w:sz w:val="18"/>
                <w:szCs w:val="18"/>
                <w:lang w:eastAsia="en-IN"/>
              </w:rPr>
              <w:t>08</w:t>
            </w:r>
          </w:p>
        </w:tc>
        <w:tc>
          <w:tcPr>
            <w:tcW w:w="872" w:type="dxa"/>
            <w:shd w:val="clear" w:color="auto" w:fill="auto"/>
            <w:noWrap/>
            <w:vAlign w:val="center"/>
            <w:hideMark/>
          </w:tcPr>
          <w:p w14:paraId="5D229F8A" w14:textId="13D1CC36"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7937B1" w:rsidRPr="007937B1">
              <w:rPr>
                <w:rFonts w:ascii="Arial" w:hAnsi="Arial" w:cs="Arial"/>
                <w:b/>
                <w:color w:val="000000"/>
                <w:sz w:val="18"/>
                <w:szCs w:val="18"/>
                <w:lang w:eastAsia="en-IN"/>
              </w:rPr>
              <w:t>09</w:t>
            </w:r>
          </w:p>
        </w:tc>
        <w:tc>
          <w:tcPr>
            <w:tcW w:w="871" w:type="dxa"/>
            <w:shd w:val="clear" w:color="auto" w:fill="auto"/>
            <w:noWrap/>
            <w:vAlign w:val="center"/>
            <w:hideMark/>
          </w:tcPr>
          <w:p w14:paraId="144F59D0" w14:textId="7293FA46"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283E9B" w:rsidRPr="007937B1">
              <w:rPr>
                <w:rFonts w:ascii="Arial" w:hAnsi="Arial" w:cs="Arial"/>
                <w:b/>
                <w:color w:val="000000"/>
                <w:sz w:val="18"/>
                <w:szCs w:val="18"/>
                <w:lang w:eastAsia="en-IN"/>
              </w:rPr>
              <w:t>10</w:t>
            </w:r>
          </w:p>
        </w:tc>
        <w:tc>
          <w:tcPr>
            <w:tcW w:w="871" w:type="dxa"/>
            <w:shd w:val="clear" w:color="auto" w:fill="auto"/>
            <w:noWrap/>
            <w:vAlign w:val="center"/>
            <w:hideMark/>
          </w:tcPr>
          <w:p w14:paraId="433535FD" w14:textId="31F53449"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283E9B" w:rsidRPr="007937B1">
              <w:rPr>
                <w:rFonts w:ascii="Arial" w:hAnsi="Arial" w:cs="Arial"/>
                <w:b/>
                <w:color w:val="000000"/>
                <w:sz w:val="18"/>
                <w:szCs w:val="18"/>
                <w:lang w:eastAsia="en-IN"/>
              </w:rPr>
              <w:t>11</w:t>
            </w:r>
          </w:p>
        </w:tc>
        <w:tc>
          <w:tcPr>
            <w:tcW w:w="872" w:type="dxa"/>
            <w:shd w:val="clear" w:color="auto" w:fill="auto"/>
            <w:noWrap/>
            <w:vAlign w:val="center"/>
            <w:hideMark/>
          </w:tcPr>
          <w:p w14:paraId="6B64F1F1" w14:textId="26E39AE1"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283E9B" w:rsidRPr="007937B1">
              <w:rPr>
                <w:rFonts w:ascii="Arial" w:hAnsi="Arial" w:cs="Arial"/>
                <w:b/>
                <w:color w:val="000000"/>
                <w:sz w:val="18"/>
                <w:szCs w:val="18"/>
                <w:lang w:eastAsia="en-IN"/>
              </w:rPr>
              <w:t>12</w:t>
            </w:r>
          </w:p>
        </w:tc>
        <w:tc>
          <w:tcPr>
            <w:tcW w:w="871" w:type="dxa"/>
            <w:shd w:val="clear" w:color="auto" w:fill="auto"/>
            <w:noWrap/>
            <w:vAlign w:val="center"/>
            <w:hideMark/>
          </w:tcPr>
          <w:p w14:paraId="1AA28BE3" w14:textId="04B972B9"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283E9B" w:rsidRPr="007937B1">
              <w:rPr>
                <w:rFonts w:ascii="Arial" w:hAnsi="Arial" w:cs="Arial"/>
                <w:b/>
                <w:color w:val="000000"/>
                <w:sz w:val="18"/>
                <w:szCs w:val="18"/>
                <w:lang w:eastAsia="en-IN"/>
              </w:rPr>
              <w:t>13</w:t>
            </w:r>
          </w:p>
        </w:tc>
        <w:tc>
          <w:tcPr>
            <w:tcW w:w="871" w:type="dxa"/>
            <w:shd w:val="clear" w:color="auto" w:fill="auto"/>
            <w:noWrap/>
            <w:vAlign w:val="center"/>
            <w:hideMark/>
          </w:tcPr>
          <w:p w14:paraId="68DD3524" w14:textId="5972D389"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283E9B" w:rsidRPr="007937B1">
              <w:rPr>
                <w:rFonts w:ascii="Arial" w:hAnsi="Arial" w:cs="Arial"/>
                <w:b/>
                <w:color w:val="000000"/>
                <w:sz w:val="18"/>
                <w:szCs w:val="18"/>
                <w:lang w:eastAsia="en-IN"/>
              </w:rPr>
              <w:t>14</w:t>
            </w:r>
          </w:p>
        </w:tc>
        <w:tc>
          <w:tcPr>
            <w:tcW w:w="872" w:type="dxa"/>
            <w:shd w:val="clear" w:color="auto" w:fill="auto"/>
            <w:noWrap/>
            <w:vAlign w:val="center"/>
            <w:hideMark/>
          </w:tcPr>
          <w:p w14:paraId="094C9055" w14:textId="252A0EAE" w:rsidR="00283E9B" w:rsidRPr="007937B1" w:rsidRDefault="00D03245" w:rsidP="00CA79F8">
            <w:pPr>
              <w:jc w:val="center"/>
              <w:rPr>
                <w:rFonts w:ascii="Arial" w:hAnsi="Arial" w:cs="Arial"/>
                <w:b/>
                <w:color w:val="000000"/>
                <w:sz w:val="18"/>
                <w:szCs w:val="18"/>
                <w:lang w:eastAsia="en-IN"/>
              </w:rPr>
            </w:pPr>
            <w:r>
              <w:rPr>
                <w:rFonts w:ascii="Arial" w:hAnsi="Arial" w:cs="Arial"/>
                <w:b/>
                <w:color w:val="000000"/>
                <w:sz w:val="18"/>
                <w:szCs w:val="18"/>
                <w:lang w:eastAsia="en-IN"/>
              </w:rPr>
              <w:t>20</w:t>
            </w:r>
            <w:r w:rsidR="00283E9B" w:rsidRPr="007937B1">
              <w:rPr>
                <w:rFonts w:ascii="Arial" w:hAnsi="Arial" w:cs="Arial"/>
                <w:b/>
                <w:color w:val="000000"/>
                <w:sz w:val="18"/>
                <w:szCs w:val="18"/>
                <w:lang w:eastAsia="en-IN"/>
              </w:rPr>
              <w:t>15</w:t>
            </w:r>
          </w:p>
        </w:tc>
      </w:tr>
      <w:tr w:rsidR="00D03245" w:rsidRPr="007937B1" w14:paraId="55E392DE" w14:textId="77777777" w:rsidTr="00CA79F8">
        <w:trPr>
          <w:trHeight w:val="288"/>
          <w:jc w:val="center"/>
        </w:trPr>
        <w:tc>
          <w:tcPr>
            <w:tcW w:w="1508" w:type="dxa"/>
            <w:shd w:val="clear" w:color="auto" w:fill="auto"/>
            <w:noWrap/>
            <w:vAlign w:val="center"/>
            <w:hideMark/>
          </w:tcPr>
          <w:p w14:paraId="7AE71170" w14:textId="77777777" w:rsidR="00283E9B" w:rsidRPr="007937B1" w:rsidRDefault="00283E9B" w:rsidP="00CA79F8">
            <w:pPr>
              <w:rPr>
                <w:rFonts w:ascii="Arial" w:hAnsi="Arial" w:cs="Arial"/>
                <w:color w:val="000000"/>
                <w:sz w:val="18"/>
                <w:szCs w:val="18"/>
                <w:lang w:eastAsia="en-IN"/>
              </w:rPr>
            </w:pPr>
            <w:r w:rsidRPr="007937B1">
              <w:rPr>
                <w:rFonts w:ascii="Arial" w:hAnsi="Arial" w:cs="Arial"/>
                <w:color w:val="000000"/>
                <w:sz w:val="18"/>
                <w:szCs w:val="18"/>
                <w:lang w:eastAsia="en-IN"/>
              </w:rPr>
              <w:t>Total GSM</w:t>
            </w:r>
          </w:p>
        </w:tc>
        <w:tc>
          <w:tcPr>
            <w:tcW w:w="871" w:type="dxa"/>
            <w:shd w:val="clear" w:color="auto" w:fill="auto"/>
            <w:noWrap/>
            <w:vAlign w:val="center"/>
            <w:hideMark/>
          </w:tcPr>
          <w:p w14:paraId="0D94EF9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120.47</w:t>
            </w:r>
          </w:p>
        </w:tc>
        <w:tc>
          <w:tcPr>
            <w:tcW w:w="871" w:type="dxa"/>
            <w:shd w:val="clear" w:color="auto" w:fill="auto"/>
            <w:noWrap/>
            <w:vAlign w:val="center"/>
            <w:hideMark/>
          </w:tcPr>
          <w:p w14:paraId="25B88871"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192.7</w:t>
            </w:r>
            <w:r w:rsidR="006537CF" w:rsidRPr="007937B1">
              <w:rPr>
                <w:rFonts w:ascii="Arial" w:hAnsi="Arial" w:cs="Arial"/>
                <w:color w:val="000000"/>
                <w:sz w:val="18"/>
                <w:szCs w:val="18"/>
                <w:lang w:eastAsia="en-IN"/>
              </w:rPr>
              <w:t>0</w:t>
            </w:r>
          </w:p>
        </w:tc>
        <w:tc>
          <w:tcPr>
            <w:tcW w:w="872" w:type="dxa"/>
            <w:shd w:val="clear" w:color="auto" w:fill="auto"/>
            <w:noWrap/>
            <w:vAlign w:val="center"/>
            <w:hideMark/>
          </w:tcPr>
          <w:p w14:paraId="335711F2"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297.26</w:t>
            </w:r>
          </w:p>
        </w:tc>
        <w:tc>
          <w:tcPr>
            <w:tcW w:w="871" w:type="dxa"/>
            <w:shd w:val="clear" w:color="auto" w:fill="auto"/>
            <w:noWrap/>
            <w:vAlign w:val="center"/>
            <w:hideMark/>
          </w:tcPr>
          <w:p w14:paraId="2E5841EA"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478.68</w:t>
            </w:r>
          </w:p>
        </w:tc>
        <w:tc>
          <w:tcPr>
            <w:tcW w:w="871" w:type="dxa"/>
            <w:shd w:val="clear" w:color="auto" w:fill="auto"/>
            <w:noWrap/>
            <w:vAlign w:val="center"/>
            <w:hideMark/>
          </w:tcPr>
          <w:p w14:paraId="0AE56F0D"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698.37</w:t>
            </w:r>
          </w:p>
        </w:tc>
        <w:tc>
          <w:tcPr>
            <w:tcW w:w="872" w:type="dxa"/>
            <w:shd w:val="clear" w:color="auto" w:fill="auto"/>
            <w:noWrap/>
            <w:vAlign w:val="center"/>
            <w:hideMark/>
          </w:tcPr>
          <w:p w14:paraId="1EE1EC50"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814.06</w:t>
            </w:r>
          </w:p>
        </w:tc>
        <w:tc>
          <w:tcPr>
            <w:tcW w:w="871" w:type="dxa"/>
            <w:shd w:val="clear" w:color="auto" w:fill="auto"/>
            <w:noWrap/>
            <w:vAlign w:val="center"/>
            <w:hideMark/>
          </w:tcPr>
          <w:p w14:paraId="5C338171"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794.03</w:t>
            </w:r>
          </w:p>
        </w:tc>
        <w:tc>
          <w:tcPr>
            <w:tcW w:w="871" w:type="dxa"/>
            <w:shd w:val="clear" w:color="auto" w:fill="auto"/>
            <w:noWrap/>
            <w:vAlign w:val="center"/>
            <w:hideMark/>
          </w:tcPr>
          <w:p w14:paraId="3EF9B7B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847.41</w:t>
            </w:r>
          </w:p>
        </w:tc>
        <w:tc>
          <w:tcPr>
            <w:tcW w:w="872" w:type="dxa"/>
            <w:shd w:val="clear" w:color="auto" w:fill="auto"/>
            <w:noWrap/>
            <w:vAlign w:val="center"/>
            <w:hideMark/>
          </w:tcPr>
          <w:p w14:paraId="0D0A0EB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917.73</w:t>
            </w:r>
          </w:p>
        </w:tc>
      </w:tr>
      <w:tr w:rsidR="00D03245" w:rsidRPr="007937B1" w14:paraId="4A00633C" w14:textId="77777777" w:rsidTr="00CA79F8">
        <w:trPr>
          <w:trHeight w:val="288"/>
          <w:jc w:val="center"/>
        </w:trPr>
        <w:tc>
          <w:tcPr>
            <w:tcW w:w="1508" w:type="dxa"/>
            <w:shd w:val="clear" w:color="auto" w:fill="auto"/>
            <w:noWrap/>
            <w:vAlign w:val="center"/>
            <w:hideMark/>
          </w:tcPr>
          <w:p w14:paraId="16862951" w14:textId="77777777" w:rsidR="00283E9B" w:rsidRPr="007937B1" w:rsidRDefault="00283E9B" w:rsidP="00CA79F8">
            <w:pPr>
              <w:rPr>
                <w:rFonts w:ascii="Arial" w:hAnsi="Arial" w:cs="Arial"/>
                <w:color w:val="000000"/>
                <w:sz w:val="18"/>
                <w:szCs w:val="18"/>
                <w:lang w:eastAsia="en-IN"/>
              </w:rPr>
            </w:pPr>
            <w:r w:rsidRPr="007937B1">
              <w:rPr>
                <w:rFonts w:ascii="Arial" w:hAnsi="Arial" w:cs="Arial"/>
                <w:color w:val="000000"/>
                <w:sz w:val="18"/>
                <w:szCs w:val="18"/>
                <w:lang w:eastAsia="en-IN"/>
              </w:rPr>
              <w:t>Total CDMA</w:t>
            </w:r>
          </w:p>
        </w:tc>
        <w:tc>
          <w:tcPr>
            <w:tcW w:w="871" w:type="dxa"/>
            <w:shd w:val="clear" w:color="auto" w:fill="auto"/>
            <w:noWrap/>
            <w:vAlign w:val="center"/>
            <w:hideMark/>
          </w:tcPr>
          <w:p w14:paraId="33EBB3A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44.64</w:t>
            </w:r>
          </w:p>
        </w:tc>
        <w:tc>
          <w:tcPr>
            <w:tcW w:w="871" w:type="dxa"/>
            <w:shd w:val="clear" w:color="auto" w:fill="auto"/>
            <w:noWrap/>
            <w:vAlign w:val="center"/>
            <w:hideMark/>
          </w:tcPr>
          <w:p w14:paraId="74582CD0"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68.37</w:t>
            </w:r>
          </w:p>
        </w:tc>
        <w:tc>
          <w:tcPr>
            <w:tcW w:w="872" w:type="dxa"/>
            <w:shd w:val="clear" w:color="auto" w:fill="auto"/>
            <w:noWrap/>
            <w:vAlign w:val="center"/>
            <w:hideMark/>
          </w:tcPr>
          <w:p w14:paraId="75BC2045"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94.5</w:t>
            </w:r>
            <w:r w:rsidR="006537CF" w:rsidRPr="007937B1">
              <w:rPr>
                <w:rFonts w:ascii="Arial" w:hAnsi="Arial" w:cs="Arial"/>
                <w:color w:val="000000"/>
                <w:sz w:val="18"/>
                <w:szCs w:val="18"/>
                <w:lang w:eastAsia="en-IN"/>
              </w:rPr>
              <w:t>0</w:t>
            </w:r>
          </w:p>
        </w:tc>
        <w:tc>
          <w:tcPr>
            <w:tcW w:w="871" w:type="dxa"/>
            <w:shd w:val="clear" w:color="auto" w:fill="auto"/>
            <w:noWrap/>
            <w:vAlign w:val="center"/>
            <w:hideMark/>
          </w:tcPr>
          <w:p w14:paraId="4D2EE8E2"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105.64</w:t>
            </w:r>
          </w:p>
        </w:tc>
        <w:tc>
          <w:tcPr>
            <w:tcW w:w="871" w:type="dxa"/>
            <w:shd w:val="clear" w:color="auto" w:fill="auto"/>
            <w:noWrap/>
            <w:vAlign w:val="center"/>
            <w:hideMark/>
          </w:tcPr>
          <w:p w14:paraId="1BA8FCA5"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113.22</w:t>
            </w:r>
          </w:p>
        </w:tc>
        <w:tc>
          <w:tcPr>
            <w:tcW w:w="872" w:type="dxa"/>
            <w:shd w:val="clear" w:color="auto" w:fill="auto"/>
            <w:noWrap/>
            <w:vAlign w:val="center"/>
            <w:hideMark/>
          </w:tcPr>
          <w:p w14:paraId="3CF117EA"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105.11</w:t>
            </w:r>
          </w:p>
        </w:tc>
        <w:tc>
          <w:tcPr>
            <w:tcW w:w="871" w:type="dxa"/>
            <w:shd w:val="clear" w:color="auto" w:fill="auto"/>
            <w:noWrap/>
            <w:vAlign w:val="center"/>
            <w:hideMark/>
          </w:tcPr>
          <w:p w14:paraId="082F3AE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73.77</w:t>
            </w:r>
          </w:p>
        </w:tc>
        <w:tc>
          <w:tcPr>
            <w:tcW w:w="871" w:type="dxa"/>
            <w:shd w:val="clear" w:color="auto" w:fill="auto"/>
            <w:noWrap/>
            <w:vAlign w:val="center"/>
            <w:hideMark/>
          </w:tcPr>
          <w:p w14:paraId="16F3BA63"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57.1</w:t>
            </w:r>
            <w:r w:rsidR="006537CF" w:rsidRPr="007937B1">
              <w:rPr>
                <w:rFonts w:ascii="Arial" w:hAnsi="Arial" w:cs="Arial"/>
                <w:color w:val="000000"/>
                <w:sz w:val="18"/>
                <w:szCs w:val="18"/>
                <w:lang w:eastAsia="en-IN"/>
              </w:rPr>
              <w:t>0</w:t>
            </w:r>
          </w:p>
        </w:tc>
        <w:tc>
          <w:tcPr>
            <w:tcW w:w="872" w:type="dxa"/>
            <w:shd w:val="clear" w:color="auto" w:fill="auto"/>
            <w:noWrap/>
            <w:vAlign w:val="center"/>
            <w:hideMark/>
          </w:tcPr>
          <w:p w14:paraId="1F423538"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52.16</w:t>
            </w:r>
          </w:p>
        </w:tc>
      </w:tr>
      <w:tr w:rsidR="00D03245" w:rsidRPr="007937B1" w14:paraId="6F58DA04" w14:textId="77777777" w:rsidTr="00CA79F8">
        <w:trPr>
          <w:trHeight w:val="288"/>
          <w:jc w:val="center"/>
        </w:trPr>
        <w:tc>
          <w:tcPr>
            <w:tcW w:w="1508" w:type="dxa"/>
            <w:shd w:val="clear" w:color="auto" w:fill="auto"/>
            <w:noWrap/>
            <w:vAlign w:val="center"/>
            <w:hideMark/>
          </w:tcPr>
          <w:p w14:paraId="0BEBCFFD" w14:textId="2FB15EC6" w:rsidR="00283E9B" w:rsidRPr="007937B1" w:rsidRDefault="00283E9B" w:rsidP="00CA79F8">
            <w:pPr>
              <w:rPr>
                <w:rFonts w:ascii="Arial" w:hAnsi="Arial" w:cs="Arial"/>
                <w:color w:val="000000"/>
                <w:sz w:val="18"/>
                <w:szCs w:val="18"/>
                <w:lang w:eastAsia="en-IN"/>
              </w:rPr>
            </w:pPr>
            <w:r w:rsidRPr="007937B1">
              <w:rPr>
                <w:rFonts w:ascii="Arial" w:hAnsi="Arial" w:cs="Arial"/>
                <w:color w:val="000000"/>
                <w:sz w:val="18"/>
                <w:szCs w:val="18"/>
                <w:lang w:eastAsia="en-IN"/>
              </w:rPr>
              <w:t xml:space="preserve">Total </w:t>
            </w:r>
            <w:r w:rsidR="00CA79F8">
              <w:rPr>
                <w:rFonts w:ascii="Arial" w:hAnsi="Arial" w:cs="Arial"/>
                <w:color w:val="000000"/>
                <w:sz w:val="18"/>
                <w:szCs w:val="18"/>
                <w:lang w:eastAsia="en-IN"/>
              </w:rPr>
              <w:t>w</w:t>
            </w:r>
            <w:r w:rsidRPr="007937B1">
              <w:rPr>
                <w:rFonts w:ascii="Arial" w:hAnsi="Arial" w:cs="Arial"/>
                <w:color w:val="000000"/>
                <w:sz w:val="18"/>
                <w:szCs w:val="18"/>
                <w:lang w:eastAsia="en-IN"/>
              </w:rPr>
              <w:t>ireless</w:t>
            </w:r>
          </w:p>
        </w:tc>
        <w:tc>
          <w:tcPr>
            <w:tcW w:w="871" w:type="dxa"/>
            <w:shd w:val="clear" w:color="auto" w:fill="auto"/>
            <w:noWrap/>
            <w:vAlign w:val="center"/>
            <w:hideMark/>
          </w:tcPr>
          <w:p w14:paraId="7096D28E"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165.11</w:t>
            </w:r>
          </w:p>
        </w:tc>
        <w:tc>
          <w:tcPr>
            <w:tcW w:w="871" w:type="dxa"/>
            <w:shd w:val="clear" w:color="auto" w:fill="auto"/>
            <w:noWrap/>
            <w:vAlign w:val="center"/>
            <w:hideMark/>
          </w:tcPr>
          <w:p w14:paraId="651893E2"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261.07</w:t>
            </w:r>
          </w:p>
        </w:tc>
        <w:tc>
          <w:tcPr>
            <w:tcW w:w="872" w:type="dxa"/>
            <w:shd w:val="clear" w:color="auto" w:fill="auto"/>
            <w:noWrap/>
            <w:vAlign w:val="center"/>
            <w:hideMark/>
          </w:tcPr>
          <w:p w14:paraId="7AEE4081"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391.76</w:t>
            </w:r>
          </w:p>
        </w:tc>
        <w:tc>
          <w:tcPr>
            <w:tcW w:w="871" w:type="dxa"/>
            <w:shd w:val="clear" w:color="auto" w:fill="auto"/>
            <w:noWrap/>
            <w:vAlign w:val="center"/>
            <w:hideMark/>
          </w:tcPr>
          <w:p w14:paraId="212D9B4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584.32</w:t>
            </w:r>
          </w:p>
        </w:tc>
        <w:tc>
          <w:tcPr>
            <w:tcW w:w="871" w:type="dxa"/>
            <w:shd w:val="clear" w:color="auto" w:fill="auto"/>
            <w:noWrap/>
            <w:vAlign w:val="center"/>
            <w:hideMark/>
          </w:tcPr>
          <w:p w14:paraId="6DAB1443"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811.59</w:t>
            </w:r>
          </w:p>
        </w:tc>
        <w:tc>
          <w:tcPr>
            <w:tcW w:w="872" w:type="dxa"/>
            <w:shd w:val="clear" w:color="auto" w:fill="auto"/>
            <w:noWrap/>
            <w:vAlign w:val="center"/>
            <w:hideMark/>
          </w:tcPr>
          <w:p w14:paraId="573538E3"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919.17</w:t>
            </w:r>
          </w:p>
        </w:tc>
        <w:tc>
          <w:tcPr>
            <w:tcW w:w="871" w:type="dxa"/>
            <w:shd w:val="clear" w:color="auto" w:fill="auto"/>
            <w:noWrap/>
            <w:vAlign w:val="center"/>
            <w:hideMark/>
          </w:tcPr>
          <w:p w14:paraId="2FD441B2"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867.8</w:t>
            </w:r>
            <w:r w:rsidR="006537CF" w:rsidRPr="007937B1">
              <w:rPr>
                <w:rFonts w:ascii="Arial" w:hAnsi="Arial" w:cs="Arial"/>
                <w:color w:val="000000"/>
                <w:sz w:val="18"/>
                <w:szCs w:val="18"/>
                <w:lang w:eastAsia="en-IN"/>
              </w:rPr>
              <w:t>0</w:t>
            </w:r>
          </w:p>
        </w:tc>
        <w:tc>
          <w:tcPr>
            <w:tcW w:w="871" w:type="dxa"/>
            <w:shd w:val="clear" w:color="auto" w:fill="auto"/>
            <w:noWrap/>
            <w:vAlign w:val="center"/>
            <w:hideMark/>
          </w:tcPr>
          <w:p w14:paraId="7CE90C59"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904.51</w:t>
            </w:r>
          </w:p>
        </w:tc>
        <w:tc>
          <w:tcPr>
            <w:tcW w:w="872" w:type="dxa"/>
            <w:shd w:val="clear" w:color="auto" w:fill="auto"/>
            <w:noWrap/>
            <w:vAlign w:val="center"/>
            <w:hideMark/>
          </w:tcPr>
          <w:p w14:paraId="138BA580"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969.89</w:t>
            </w:r>
          </w:p>
        </w:tc>
      </w:tr>
      <w:tr w:rsidR="00D03245" w:rsidRPr="007937B1" w14:paraId="2D9C023A" w14:textId="77777777" w:rsidTr="00CA79F8">
        <w:trPr>
          <w:trHeight w:val="288"/>
          <w:jc w:val="center"/>
        </w:trPr>
        <w:tc>
          <w:tcPr>
            <w:tcW w:w="1508" w:type="dxa"/>
            <w:shd w:val="clear" w:color="auto" w:fill="auto"/>
            <w:noWrap/>
            <w:vAlign w:val="center"/>
            <w:hideMark/>
          </w:tcPr>
          <w:p w14:paraId="3EB0C656" w14:textId="77777777" w:rsidR="00283E9B" w:rsidRPr="007937B1" w:rsidRDefault="00283E9B" w:rsidP="00CA79F8">
            <w:pPr>
              <w:rPr>
                <w:rFonts w:ascii="Arial" w:hAnsi="Arial" w:cs="Arial"/>
                <w:color w:val="000000"/>
                <w:sz w:val="18"/>
                <w:szCs w:val="18"/>
                <w:lang w:eastAsia="en-IN"/>
              </w:rPr>
            </w:pPr>
            <w:r w:rsidRPr="007937B1">
              <w:rPr>
                <w:rFonts w:ascii="Arial" w:hAnsi="Arial" w:cs="Arial"/>
                <w:color w:val="000000"/>
                <w:sz w:val="18"/>
                <w:szCs w:val="18"/>
                <w:lang w:eastAsia="en-IN"/>
              </w:rPr>
              <w:t>Teledensity</w:t>
            </w:r>
            <w:r w:rsidR="007937B1" w:rsidRPr="007937B1">
              <w:rPr>
                <w:rFonts w:ascii="Arial" w:hAnsi="Arial" w:cs="Arial"/>
                <w:color w:val="000000"/>
                <w:sz w:val="18"/>
                <w:szCs w:val="18"/>
                <w:lang w:eastAsia="en-IN"/>
              </w:rPr>
              <w:t xml:space="preserve"> (%</w:t>
            </w:r>
            <w:r w:rsidRPr="007937B1">
              <w:rPr>
                <w:rFonts w:ascii="Arial" w:hAnsi="Arial" w:cs="Arial"/>
                <w:color w:val="000000"/>
                <w:sz w:val="18"/>
                <w:szCs w:val="18"/>
                <w:lang w:eastAsia="en-IN"/>
              </w:rPr>
              <w:t>)</w:t>
            </w:r>
          </w:p>
        </w:tc>
        <w:tc>
          <w:tcPr>
            <w:tcW w:w="871" w:type="dxa"/>
            <w:shd w:val="clear" w:color="auto" w:fill="auto"/>
            <w:noWrap/>
            <w:vAlign w:val="center"/>
            <w:hideMark/>
          </w:tcPr>
          <w:p w14:paraId="1EB5A6E3"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18.23</w:t>
            </w:r>
          </w:p>
        </w:tc>
        <w:tc>
          <w:tcPr>
            <w:tcW w:w="871" w:type="dxa"/>
            <w:shd w:val="clear" w:color="auto" w:fill="auto"/>
            <w:noWrap/>
            <w:vAlign w:val="center"/>
            <w:hideMark/>
          </w:tcPr>
          <w:p w14:paraId="39D01D8B"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26.22</w:t>
            </w:r>
          </w:p>
        </w:tc>
        <w:tc>
          <w:tcPr>
            <w:tcW w:w="872" w:type="dxa"/>
            <w:shd w:val="clear" w:color="auto" w:fill="auto"/>
            <w:noWrap/>
            <w:vAlign w:val="center"/>
            <w:hideMark/>
          </w:tcPr>
          <w:p w14:paraId="000A377D"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36.98</w:t>
            </w:r>
          </w:p>
        </w:tc>
        <w:tc>
          <w:tcPr>
            <w:tcW w:w="871" w:type="dxa"/>
            <w:shd w:val="clear" w:color="auto" w:fill="auto"/>
            <w:noWrap/>
            <w:vAlign w:val="center"/>
            <w:hideMark/>
          </w:tcPr>
          <w:p w14:paraId="22FF6FA8"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52.74</w:t>
            </w:r>
          </w:p>
        </w:tc>
        <w:tc>
          <w:tcPr>
            <w:tcW w:w="871" w:type="dxa"/>
            <w:shd w:val="clear" w:color="auto" w:fill="auto"/>
            <w:noWrap/>
            <w:vAlign w:val="center"/>
            <w:hideMark/>
          </w:tcPr>
          <w:p w14:paraId="3C6B512E"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70.89</w:t>
            </w:r>
          </w:p>
        </w:tc>
        <w:tc>
          <w:tcPr>
            <w:tcW w:w="872" w:type="dxa"/>
            <w:shd w:val="clear" w:color="auto" w:fill="auto"/>
            <w:noWrap/>
            <w:vAlign w:val="center"/>
            <w:hideMark/>
          </w:tcPr>
          <w:p w14:paraId="7C162E52"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78.66</w:t>
            </w:r>
          </w:p>
        </w:tc>
        <w:tc>
          <w:tcPr>
            <w:tcW w:w="871" w:type="dxa"/>
            <w:shd w:val="clear" w:color="auto" w:fill="auto"/>
            <w:noWrap/>
            <w:vAlign w:val="center"/>
            <w:hideMark/>
          </w:tcPr>
          <w:p w14:paraId="79FBED1B"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73.32</w:t>
            </w:r>
          </w:p>
        </w:tc>
        <w:tc>
          <w:tcPr>
            <w:tcW w:w="871" w:type="dxa"/>
            <w:shd w:val="clear" w:color="auto" w:fill="auto"/>
            <w:noWrap/>
            <w:vAlign w:val="center"/>
            <w:hideMark/>
          </w:tcPr>
          <w:p w14:paraId="50C4259C"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75.23</w:t>
            </w:r>
          </w:p>
        </w:tc>
        <w:tc>
          <w:tcPr>
            <w:tcW w:w="872" w:type="dxa"/>
            <w:shd w:val="clear" w:color="auto" w:fill="auto"/>
            <w:noWrap/>
            <w:vAlign w:val="center"/>
            <w:hideMark/>
          </w:tcPr>
          <w:p w14:paraId="0FE3B4CE"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79.38</w:t>
            </w:r>
          </w:p>
        </w:tc>
      </w:tr>
      <w:tr w:rsidR="00D03245" w:rsidRPr="007937B1" w14:paraId="243AE7B5" w14:textId="77777777" w:rsidTr="00CA79F8">
        <w:trPr>
          <w:trHeight w:val="288"/>
          <w:jc w:val="center"/>
        </w:trPr>
        <w:tc>
          <w:tcPr>
            <w:tcW w:w="1508" w:type="dxa"/>
            <w:shd w:val="clear" w:color="auto" w:fill="auto"/>
            <w:vAlign w:val="center"/>
            <w:hideMark/>
          </w:tcPr>
          <w:p w14:paraId="550E382C" w14:textId="77777777" w:rsidR="00283E9B" w:rsidRPr="007937B1" w:rsidRDefault="00283E9B" w:rsidP="00CA79F8">
            <w:pPr>
              <w:rPr>
                <w:rFonts w:ascii="Arial" w:hAnsi="Arial" w:cs="Arial"/>
                <w:color w:val="000000"/>
                <w:sz w:val="18"/>
                <w:szCs w:val="18"/>
                <w:lang w:eastAsia="en-IN"/>
              </w:rPr>
            </w:pPr>
            <w:r w:rsidRPr="007937B1">
              <w:rPr>
                <w:rFonts w:ascii="Arial" w:hAnsi="Arial" w:cs="Arial"/>
                <w:color w:val="000000"/>
                <w:sz w:val="18"/>
                <w:szCs w:val="18"/>
                <w:lang w:eastAsia="en-IN"/>
              </w:rPr>
              <w:t xml:space="preserve">Total </w:t>
            </w:r>
            <w:r w:rsidR="0056566B" w:rsidRPr="007937B1">
              <w:rPr>
                <w:rFonts w:ascii="Arial" w:hAnsi="Arial" w:cs="Arial"/>
                <w:color w:val="000000"/>
                <w:sz w:val="18"/>
                <w:szCs w:val="18"/>
                <w:lang w:eastAsia="en-IN"/>
              </w:rPr>
              <w:t>b</w:t>
            </w:r>
            <w:r w:rsidRPr="007937B1">
              <w:rPr>
                <w:rFonts w:ascii="Arial" w:hAnsi="Arial" w:cs="Arial"/>
                <w:color w:val="000000"/>
                <w:sz w:val="18"/>
                <w:szCs w:val="18"/>
                <w:lang w:eastAsia="en-IN"/>
              </w:rPr>
              <w:t xml:space="preserve">roadband subscription </w:t>
            </w:r>
          </w:p>
        </w:tc>
        <w:tc>
          <w:tcPr>
            <w:tcW w:w="871" w:type="dxa"/>
            <w:shd w:val="clear" w:color="auto" w:fill="auto"/>
            <w:vAlign w:val="center"/>
            <w:hideMark/>
          </w:tcPr>
          <w:p w14:paraId="1D8DC64E"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2.34</w:t>
            </w:r>
          </w:p>
        </w:tc>
        <w:tc>
          <w:tcPr>
            <w:tcW w:w="871" w:type="dxa"/>
            <w:shd w:val="clear" w:color="auto" w:fill="auto"/>
            <w:vAlign w:val="center"/>
            <w:hideMark/>
          </w:tcPr>
          <w:p w14:paraId="62FD5B67"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3.87</w:t>
            </w:r>
          </w:p>
        </w:tc>
        <w:tc>
          <w:tcPr>
            <w:tcW w:w="872" w:type="dxa"/>
            <w:shd w:val="clear" w:color="auto" w:fill="auto"/>
            <w:vAlign w:val="center"/>
            <w:hideMark/>
          </w:tcPr>
          <w:p w14:paraId="2CA859AF"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6.22</w:t>
            </w:r>
          </w:p>
        </w:tc>
        <w:tc>
          <w:tcPr>
            <w:tcW w:w="871" w:type="dxa"/>
            <w:shd w:val="clear" w:color="auto" w:fill="auto"/>
            <w:vAlign w:val="center"/>
            <w:hideMark/>
          </w:tcPr>
          <w:p w14:paraId="51854B31"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8.77</w:t>
            </w:r>
          </w:p>
        </w:tc>
        <w:tc>
          <w:tcPr>
            <w:tcW w:w="871" w:type="dxa"/>
            <w:shd w:val="clear" w:color="auto" w:fill="auto"/>
            <w:vAlign w:val="center"/>
            <w:hideMark/>
          </w:tcPr>
          <w:p w14:paraId="01A26E9F"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11.89</w:t>
            </w:r>
          </w:p>
        </w:tc>
        <w:tc>
          <w:tcPr>
            <w:tcW w:w="872" w:type="dxa"/>
            <w:shd w:val="clear" w:color="auto" w:fill="auto"/>
            <w:vAlign w:val="center"/>
            <w:hideMark/>
          </w:tcPr>
          <w:p w14:paraId="4F7A78BE"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13.8</w:t>
            </w:r>
            <w:r w:rsidR="006537CF" w:rsidRPr="007937B1">
              <w:rPr>
                <w:rFonts w:ascii="Arial" w:hAnsi="Arial" w:cs="Arial"/>
                <w:color w:val="000000"/>
                <w:sz w:val="18"/>
                <w:szCs w:val="18"/>
                <w:lang w:eastAsia="en-IN"/>
              </w:rPr>
              <w:t>0</w:t>
            </w:r>
          </w:p>
        </w:tc>
        <w:tc>
          <w:tcPr>
            <w:tcW w:w="871" w:type="dxa"/>
            <w:shd w:val="clear" w:color="auto" w:fill="auto"/>
            <w:vAlign w:val="center"/>
            <w:hideMark/>
          </w:tcPr>
          <w:p w14:paraId="2876E698"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15.05</w:t>
            </w:r>
          </w:p>
        </w:tc>
        <w:tc>
          <w:tcPr>
            <w:tcW w:w="871" w:type="dxa"/>
            <w:shd w:val="clear" w:color="auto" w:fill="auto"/>
            <w:vAlign w:val="center"/>
            <w:hideMark/>
          </w:tcPr>
          <w:p w14:paraId="747924CA"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60.87</w:t>
            </w:r>
          </w:p>
        </w:tc>
        <w:tc>
          <w:tcPr>
            <w:tcW w:w="872" w:type="dxa"/>
            <w:shd w:val="clear" w:color="auto" w:fill="auto"/>
            <w:vAlign w:val="center"/>
            <w:hideMark/>
          </w:tcPr>
          <w:p w14:paraId="668555D6" w14:textId="77777777" w:rsidR="00283E9B" w:rsidRPr="007937B1" w:rsidRDefault="00283E9B" w:rsidP="00CA79F8">
            <w:pPr>
              <w:jc w:val="right"/>
              <w:rPr>
                <w:rFonts w:ascii="Arial" w:hAnsi="Arial" w:cs="Arial"/>
                <w:color w:val="000000"/>
                <w:sz w:val="18"/>
                <w:szCs w:val="18"/>
                <w:lang w:eastAsia="en-IN"/>
              </w:rPr>
            </w:pPr>
            <w:r w:rsidRPr="007937B1">
              <w:rPr>
                <w:rFonts w:ascii="Arial" w:hAnsi="Arial" w:cs="Arial"/>
                <w:color w:val="000000"/>
                <w:sz w:val="18"/>
                <w:szCs w:val="18"/>
                <w:lang w:eastAsia="en-IN"/>
              </w:rPr>
              <w:t>99.2</w:t>
            </w:r>
            <w:r w:rsidR="006537CF" w:rsidRPr="007937B1">
              <w:rPr>
                <w:rFonts w:ascii="Arial" w:hAnsi="Arial" w:cs="Arial"/>
                <w:color w:val="000000"/>
                <w:sz w:val="18"/>
                <w:szCs w:val="18"/>
                <w:lang w:eastAsia="en-IN"/>
              </w:rPr>
              <w:t>0</w:t>
            </w:r>
          </w:p>
        </w:tc>
      </w:tr>
    </w:tbl>
    <w:p w14:paraId="02D7D2FD" w14:textId="77777777" w:rsidR="00283E9B" w:rsidRPr="003753CF" w:rsidRDefault="00283E9B" w:rsidP="002004F3">
      <w:pPr>
        <w:pStyle w:val="ExhibitText"/>
      </w:pPr>
    </w:p>
    <w:p w14:paraId="2CC5EB49" w14:textId="428DA7A6" w:rsidR="007937B1" w:rsidRDefault="00283E9B" w:rsidP="00EC62F1">
      <w:pPr>
        <w:pStyle w:val="Footnote"/>
      </w:pPr>
      <w:r w:rsidRPr="003753CF">
        <w:t>Source:</w:t>
      </w:r>
      <w:r w:rsidR="005211A4">
        <w:t xml:space="preserve"> </w:t>
      </w:r>
      <w:r w:rsidR="00FD4A54" w:rsidRPr="003753CF">
        <w:t>T</w:t>
      </w:r>
      <w:r w:rsidR="00FD4A54">
        <w:t>elecom Regulatory Authority of India,</w:t>
      </w:r>
      <w:r w:rsidR="00F219D5">
        <w:t xml:space="preserve"> </w:t>
      </w:r>
      <w:r w:rsidR="008272C8" w:rsidRPr="002004F3">
        <w:rPr>
          <w:i/>
        </w:rPr>
        <w:t>A</w:t>
      </w:r>
      <w:r w:rsidR="0056145F" w:rsidRPr="002004F3">
        <w:rPr>
          <w:i/>
        </w:rPr>
        <w:t>nnual Report 2014-15</w:t>
      </w:r>
      <w:r w:rsidR="0056145F">
        <w:t>, 18 and 32</w:t>
      </w:r>
      <w:r w:rsidR="00F97F9B">
        <w:t>,</w:t>
      </w:r>
      <w:r w:rsidR="005211A4">
        <w:t xml:space="preserve"> </w:t>
      </w:r>
      <w:r w:rsidR="00C260DB" w:rsidRPr="003753CF">
        <w:t xml:space="preserve">accessed </w:t>
      </w:r>
      <w:r w:rsidR="0056145F">
        <w:t xml:space="preserve">February </w:t>
      </w:r>
      <w:r w:rsidR="00C260DB" w:rsidRPr="003753CF">
        <w:t>2</w:t>
      </w:r>
      <w:r w:rsidR="0056145F">
        <w:t>8</w:t>
      </w:r>
      <w:r w:rsidR="00C260DB" w:rsidRPr="003753CF">
        <w:t>, 201</w:t>
      </w:r>
      <w:r w:rsidR="00A072A3">
        <w:t>7</w:t>
      </w:r>
      <w:r w:rsidR="00484AB5">
        <w:t xml:space="preserve">, </w:t>
      </w:r>
      <w:r w:rsidR="007937B1" w:rsidRPr="007937B1">
        <w:t>www.trai.gov.in/sites/default/files/TRAI_Annual_Report_English_16052016.pdf</w:t>
      </w:r>
      <w:r w:rsidR="007937B1">
        <w:t xml:space="preserve">; </w:t>
      </w:r>
      <w:r w:rsidR="00FD4A54" w:rsidRPr="003753CF">
        <w:t>T</w:t>
      </w:r>
      <w:r w:rsidR="00FD4A54">
        <w:t>elecom Regulatory Authority of India,</w:t>
      </w:r>
      <w:r w:rsidR="00F16D7E">
        <w:t xml:space="preserve"> </w:t>
      </w:r>
      <w:r w:rsidRPr="007953F9">
        <w:rPr>
          <w:i/>
        </w:rPr>
        <w:t>Annual Report 2011</w:t>
      </w:r>
      <w:r w:rsidR="00FF5531">
        <w:rPr>
          <w:i/>
        </w:rPr>
        <w:t>–</w:t>
      </w:r>
      <w:r w:rsidRPr="007953F9">
        <w:rPr>
          <w:i/>
        </w:rPr>
        <w:t>12</w:t>
      </w:r>
      <w:r w:rsidRPr="003753CF">
        <w:t xml:space="preserve">, </w:t>
      </w:r>
      <w:r w:rsidR="00FD4A54">
        <w:t>10</w:t>
      </w:r>
      <w:r w:rsidR="00B609B7">
        <w:t xml:space="preserve"> and</w:t>
      </w:r>
      <w:r w:rsidR="00FD4A54">
        <w:t xml:space="preserve"> 20, accessed </w:t>
      </w:r>
      <w:r w:rsidR="00484AB5">
        <w:t>February 28, 2017</w:t>
      </w:r>
      <w:r w:rsidR="00FD4A54">
        <w:t>,</w:t>
      </w:r>
      <w:r w:rsidR="00484AB5" w:rsidRPr="00484AB5">
        <w:t xml:space="preserve"> </w:t>
      </w:r>
      <w:r w:rsidR="007937B1" w:rsidRPr="007937B1">
        <w:t>www.trai.gov.in/sites/default/files/2013011503183867800</w:t>
      </w:r>
    </w:p>
    <w:p w14:paraId="3FE00BEA" w14:textId="1A2CDEF3" w:rsidR="00EC62F1" w:rsidRPr="007937B1" w:rsidRDefault="007937B1" w:rsidP="00EC62F1">
      <w:pPr>
        <w:pStyle w:val="Footnote"/>
        <w:rPr>
          <w:highlight w:val="yellow"/>
        </w:rPr>
      </w:pPr>
      <w:r w:rsidRPr="007937B1">
        <w:t>62Annual%20Report%20English%202012.pdf</w:t>
      </w:r>
      <w:r>
        <w:t xml:space="preserve">; </w:t>
      </w:r>
      <w:r w:rsidR="00EC62F1" w:rsidRPr="008272C8">
        <w:t>Telecom Regulatory Authority of India,</w:t>
      </w:r>
      <w:r w:rsidR="00F16D7E">
        <w:t xml:space="preserve"> </w:t>
      </w:r>
      <w:r w:rsidR="00EC62F1" w:rsidRPr="009F294F">
        <w:rPr>
          <w:i/>
        </w:rPr>
        <w:t>Annual Report 2008</w:t>
      </w:r>
      <w:r w:rsidR="00EC62F1">
        <w:rPr>
          <w:i/>
        </w:rPr>
        <w:t>–</w:t>
      </w:r>
      <w:r w:rsidR="00EC62F1" w:rsidRPr="009F294F">
        <w:rPr>
          <w:i/>
        </w:rPr>
        <w:t>09</w:t>
      </w:r>
      <w:r w:rsidR="00EC62F1" w:rsidRPr="009F294F">
        <w:t>, 31</w:t>
      </w:r>
      <w:r w:rsidR="00EC62F1">
        <w:t>–</w:t>
      </w:r>
      <w:r w:rsidR="00EC62F1" w:rsidRPr="009F294F">
        <w:t xml:space="preserve">32, </w:t>
      </w:r>
      <w:r w:rsidR="00EC62F1">
        <w:t xml:space="preserve">accessed February 28, 2017, </w:t>
      </w:r>
      <w:r w:rsidR="00EC62F1" w:rsidRPr="0042361C">
        <w:t>www.trai.gov.in/sites/default/files/ar_08_09.pdf</w:t>
      </w:r>
      <w:r>
        <w:t>.</w:t>
      </w:r>
    </w:p>
    <w:p w14:paraId="1135E9ED" w14:textId="77777777" w:rsidR="007937B1" w:rsidRDefault="007937B1" w:rsidP="002004F3">
      <w:pPr>
        <w:pStyle w:val="ExhibitText"/>
      </w:pPr>
    </w:p>
    <w:p w14:paraId="5C5BDB60" w14:textId="77777777" w:rsidR="007937B1" w:rsidRPr="000700C7" w:rsidRDefault="007937B1" w:rsidP="002004F3">
      <w:pPr>
        <w:pStyle w:val="ExhibitText"/>
        <w:rPr>
          <w:sz w:val="14"/>
        </w:rPr>
      </w:pPr>
    </w:p>
    <w:p w14:paraId="4AFBC725" w14:textId="77777777" w:rsidR="00283E9B" w:rsidRPr="003753CF" w:rsidRDefault="00ED0195" w:rsidP="001348F0">
      <w:pPr>
        <w:pStyle w:val="ExhibitHeading"/>
        <w:outlineLvl w:val="0"/>
      </w:pPr>
      <w:r w:rsidRPr="003753CF">
        <w:t xml:space="preserve">Exhibit </w:t>
      </w:r>
      <w:r w:rsidR="00283E9B" w:rsidRPr="003753CF">
        <w:t xml:space="preserve">3: Revenue of Key Operators (in </w:t>
      </w:r>
      <w:r w:rsidR="00E5372F" w:rsidRPr="00E5372F">
        <w:t>₹</w:t>
      </w:r>
      <w:r w:rsidR="00264268">
        <w:t xml:space="preserve"> </w:t>
      </w:r>
      <w:r w:rsidR="00283E9B" w:rsidRPr="003753CF">
        <w:t>Billion)</w:t>
      </w:r>
    </w:p>
    <w:p w14:paraId="3813A50B" w14:textId="77777777" w:rsidR="00283E9B" w:rsidRPr="003753CF" w:rsidRDefault="00283E9B" w:rsidP="002004F3">
      <w:pPr>
        <w:pStyle w:val="ExhibitText"/>
      </w:pPr>
    </w:p>
    <w:tbl>
      <w:tblPr>
        <w:tblW w:w="6020" w:type="dxa"/>
        <w:jc w:val="center"/>
        <w:tblLook w:val="04A0" w:firstRow="1" w:lastRow="0" w:firstColumn="1" w:lastColumn="0" w:noHBand="0" w:noVBand="1"/>
      </w:tblPr>
      <w:tblGrid>
        <w:gridCol w:w="1400"/>
        <w:gridCol w:w="1470"/>
        <w:gridCol w:w="1620"/>
        <w:gridCol w:w="1530"/>
      </w:tblGrid>
      <w:tr w:rsidR="00283E9B" w:rsidRPr="003753CF" w14:paraId="6A0FD3B1" w14:textId="77777777" w:rsidTr="00CA79F8">
        <w:trPr>
          <w:trHeight w:val="288"/>
          <w:jc w:val="center"/>
        </w:trPr>
        <w:tc>
          <w:tcPr>
            <w:tcW w:w="14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4AF5F3A" w14:textId="77777777" w:rsidR="00283E9B" w:rsidRPr="00343FD7" w:rsidRDefault="00283E9B" w:rsidP="00E235BB">
            <w:pPr>
              <w:jc w:val="center"/>
              <w:rPr>
                <w:rFonts w:ascii="Arial" w:hAnsi="Arial" w:cs="Arial"/>
                <w:b/>
                <w:color w:val="000000"/>
                <w:lang w:eastAsia="en-IN"/>
              </w:rPr>
            </w:pPr>
            <w:r w:rsidRPr="00343FD7">
              <w:rPr>
                <w:rFonts w:ascii="Arial" w:hAnsi="Arial" w:cs="Arial"/>
                <w:b/>
                <w:color w:val="000000"/>
                <w:lang w:eastAsia="en-IN"/>
              </w:rPr>
              <w:t>Company</w:t>
            </w:r>
          </w:p>
        </w:tc>
        <w:tc>
          <w:tcPr>
            <w:tcW w:w="1470" w:type="dxa"/>
            <w:tcBorders>
              <w:top w:val="single" w:sz="8" w:space="0" w:color="auto"/>
              <w:left w:val="nil"/>
              <w:bottom w:val="single" w:sz="8" w:space="0" w:color="auto"/>
              <w:right w:val="single" w:sz="8" w:space="0" w:color="auto"/>
            </w:tcBorders>
            <w:shd w:val="clear" w:color="auto" w:fill="auto"/>
            <w:noWrap/>
            <w:vAlign w:val="bottom"/>
            <w:hideMark/>
          </w:tcPr>
          <w:p w14:paraId="36E511CE" w14:textId="6C638563" w:rsidR="00283E9B" w:rsidRPr="00343FD7" w:rsidRDefault="00CA79F8" w:rsidP="00E235BB">
            <w:pPr>
              <w:jc w:val="center"/>
              <w:rPr>
                <w:rFonts w:ascii="Arial" w:hAnsi="Arial" w:cs="Arial"/>
                <w:b/>
                <w:color w:val="000000"/>
                <w:lang w:eastAsia="en-IN"/>
              </w:rPr>
            </w:pPr>
            <w:r>
              <w:rPr>
                <w:rFonts w:ascii="Arial" w:hAnsi="Arial" w:cs="Arial"/>
                <w:b/>
                <w:color w:val="000000"/>
                <w:lang w:eastAsia="en-IN"/>
              </w:rPr>
              <w:t xml:space="preserve">FY </w:t>
            </w:r>
            <w:r w:rsidR="00283E9B" w:rsidRPr="00343FD7">
              <w:rPr>
                <w:rFonts w:ascii="Arial" w:hAnsi="Arial" w:cs="Arial"/>
                <w:b/>
                <w:color w:val="000000"/>
                <w:lang w:eastAsia="en-IN"/>
              </w:rPr>
              <w:t>2010</w:t>
            </w:r>
            <w:r w:rsidR="00ED67B8">
              <w:rPr>
                <w:rFonts w:ascii="Arial" w:hAnsi="Arial" w:cs="Arial"/>
                <w:b/>
                <w:color w:val="000000"/>
                <w:lang w:eastAsia="en-IN"/>
              </w:rPr>
              <w:t>–</w:t>
            </w:r>
            <w:r w:rsidR="00283E9B" w:rsidRPr="00343FD7">
              <w:rPr>
                <w:rFonts w:ascii="Arial" w:hAnsi="Arial" w:cs="Arial"/>
                <w:b/>
                <w:color w:val="000000"/>
                <w:lang w:eastAsia="en-IN"/>
              </w:rPr>
              <w:t>11</w:t>
            </w:r>
          </w:p>
        </w:tc>
        <w:tc>
          <w:tcPr>
            <w:tcW w:w="1620" w:type="dxa"/>
            <w:tcBorders>
              <w:top w:val="single" w:sz="8" w:space="0" w:color="auto"/>
              <w:left w:val="nil"/>
              <w:bottom w:val="single" w:sz="8" w:space="0" w:color="auto"/>
              <w:right w:val="single" w:sz="8" w:space="0" w:color="auto"/>
            </w:tcBorders>
            <w:shd w:val="clear" w:color="auto" w:fill="auto"/>
            <w:noWrap/>
            <w:vAlign w:val="bottom"/>
            <w:hideMark/>
          </w:tcPr>
          <w:p w14:paraId="0CE8EE98" w14:textId="41011436" w:rsidR="00283E9B" w:rsidRPr="00343FD7" w:rsidRDefault="00CA79F8" w:rsidP="00E235BB">
            <w:pPr>
              <w:jc w:val="center"/>
              <w:rPr>
                <w:rFonts w:ascii="Arial" w:hAnsi="Arial" w:cs="Arial"/>
                <w:b/>
                <w:color w:val="000000"/>
                <w:lang w:eastAsia="en-IN"/>
              </w:rPr>
            </w:pPr>
            <w:r>
              <w:rPr>
                <w:rFonts w:ascii="Arial" w:hAnsi="Arial" w:cs="Arial"/>
                <w:b/>
                <w:color w:val="000000"/>
                <w:lang w:eastAsia="en-IN"/>
              </w:rPr>
              <w:t xml:space="preserve">FY </w:t>
            </w:r>
            <w:r w:rsidR="00283E9B" w:rsidRPr="00343FD7">
              <w:rPr>
                <w:rFonts w:ascii="Arial" w:hAnsi="Arial" w:cs="Arial"/>
                <w:b/>
                <w:color w:val="000000"/>
                <w:lang w:eastAsia="en-IN"/>
              </w:rPr>
              <w:t>2011</w:t>
            </w:r>
            <w:r w:rsidR="00ED67B8">
              <w:rPr>
                <w:rFonts w:ascii="Arial" w:hAnsi="Arial" w:cs="Arial"/>
                <w:b/>
                <w:color w:val="000000"/>
                <w:lang w:eastAsia="en-IN"/>
              </w:rPr>
              <w:t>–</w:t>
            </w:r>
            <w:r w:rsidR="00283E9B" w:rsidRPr="00343FD7">
              <w:rPr>
                <w:rFonts w:ascii="Arial" w:hAnsi="Arial" w:cs="Arial"/>
                <w:b/>
                <w:color w:val="000000"/>
                <w:lang w:eastAsia="en-IN"/>
              </w:rPr>
              <w:t>12</w:t>
            </w:r>
          </w:p>
        </w:tc>
        <w:tc>
          <w:tcPr>
            <w:tcW w:w="1530" w:type="dxa"/>
            <w:tcBorders>
              <w:top w:val="single" w:sz="8" w:space="0" w:color="auto"/>
              <w:left w:val="nil"/>
              <w:bottom w:val="single" w:sz="8" w:space="0" w:color="auto"/>
              <w:right w:val="single" w:sz="8" w:space="0" w:color="auto"/>
            </w:tcBorders>
            <w:shd w:val="clear" w:color="auto" w:fill="auto"/>
            <w:noWrap/>
            <w:vAlign w:val="bottom"/>
            <w:hideMark/>
          </w:tcPr>
          <w:p w14:paraId="5F160021" w14:textId="61712F29" w:rsidR="00283E9B" w:rsidRPr="00343FD7" w:rsidRDefault="00CA79F8" w:rsidP="00E235BB">
            <w:pPr>
              <w:jc w:val="center"/>
              <w:rPr>
                <w:rFonts w:ascii="Arial" w:hAnsi="Arial" w:cs="Arial"/>
                <w:b/>
                <w:color w:val="000000"/>
                <w:lang w:eastAsia="en-IN"/>
              </w:rPr>
            </w:pPr>
            <w:r>
              <w:rPr>
                <w:rFonts w:ascii="Arial" w:hAnsi="Arial" w:cs="Arial"/>
                <w:b/>
                <w:color w:val="000000"/>
                <w:lang w:eastAsia="en-IN"/>
              </w:rPr>
              <w:t xml:space="preserve">FY </w:t>
            </w:r>
            <w:r w:rsidR="00283E9B" w:rsidRPr="00343FD7">
              <w:rPr>
                <w:rFonts w:ascii="Arial" w:hAnsi="Arial" w:cs="Arial"/>
                <w:b/>
                <w:color w:val="000000"/>
                <w:lang w:eastAsia="en-IN"/>
              </w:rPr>
              <w:t>2014</w:t>
            </w:r>
            <w:r w:rsidR="00ED67B8">
              <w:rPr>
                <w:rFonts w:ascii="Arial" w:hAnsi="Arial" w:cs="Arial"/>
                <w:b/>
                <w:color w:val="000000"/>
                <w:lang w:eastAsia="en-IN"/>
              </w:rPr>
              <w:t>–</w:t>
            </w:r>
            <w:r w:rsidR="00283E9B" w:rsidRPr="00343FD7">
              <w:rPr>
                <w:rFonts w:ascii="Arial" w:hAnsi="Arial" w:cs="Arial"/>
                <w:b/>
                <w:color w:val="000000"/>
                <w:lang w:eastAsia="en-IN"/>
              </w:rPr>
              <w:t>15</w:t>
            </w:r>
          </w:p>
        </w:tc>
      </w:tr>
      <w:tr w:rsidR="00283E9B" w:rsidRPr="003753CF" w14:paraId="14419D3B"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7C39281B"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Aircel</w:t>
            </w:r>
          </w:p>
        </w:tc>
        <w:tc>
          <w:tcPr>
            <w:tcW w:w="1470" w:type="dxa"/>
            <w:tcBorders>
              <w:top w:val="nil"/>
              <w:left w:val="nil"/>
              <w:bottom w:val="nil"/>
              <w:right w:val="single" w:sz="8" w:space="0" w:color="auto"/>
            </w:tcBorders>
            <w:shd w:val="clear" w:color="auto" w:fill="auto"/>
            <w:noWrap/>
            <w:vAlign w:val="bottom"/>
            <w:hideMark/>
          </w:tcPr>
          <w:p w14:paraId="37C488D9"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82.64</w:t>
            </w:r>
          </w:p>
        </w:tc>
        <w:tc>
          <w:tcPr>
            <w:tcW w:w="1620" w:type="dxa"/>
            <w:tcBorders>
              <w:top w:val="nil"/>
              <w:left w:val="nil"/>
              <w:bottom w:val="nil"/>
              <w:right w:val="single" w:sz="8" w:space="0" w:color="auto"/>
            </w:tcBorders>
            <w:shd w:val="clear" w:color="auto" w:fill="auto"/>
            <w:noWrap/>
            <w:vAlign w:val="bottom"/>
            <w:hideMark/>
          </w:tcPr>
          <w:p w14:paraId="09C2BC2F"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71.96</w:t>
            </w:r>
          </w:p>
        </w:tc>
        <w:tc>
          <w:tcPr>
            <w:tcW w:w="1530" w:type="dxa"/>
            <w:tcBorders>
              <w:top w:val="nil"/>
              <w:left w:val="nil"/>
              <w:bottom w:val="nil"/>
              <w:right w:val="single" w:sz="8" w:space="0" w:color="auto"/>
            </w:tcBorders>
            <w:shd w:val="clear" w:color="auto" w:fill="auto"/>
            <w:noWrap/>
            <w:vAlign w:val="bottom"/>
            <w:hideMark/>
          </w:tcPr>
          <w:p w14:paraId="0EBA1844"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119.81</w:t>
            </w:r>
          </w:p>
        </w:tc>
      </w:tr>
      <w:tr w:rsidR="00283E9B" w:rsidRPr="003753CF" w14:paraId="17A6FC49"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3439A093"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Bharti Airtel</w:t>
            </w:r>
          </w:p>
        </w:tc>
        <w:tc>
          <w:tcPr>
            <w:tcW w:w="1470" w:type="dxa"/>
            <w:tcBorders>
              <w:top w:val="nil"/>
              <w:left w:val="nil"/>
              <w:bottom w:val="nil"/>
              <w:right w:val="single" w:sz="8" w:space="0" w:color="auto"/>
            </w:tcBorders>
            <w:shd w:val="clear" w:color="auto" w:fill="auto"/>
            <w:noWrap/>
            <w:vAlign w:val="bottom"/>
            <w:hideMark/>
          </w:tcPr>
          <w:p w14:paraId="21D1ED76"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411.38</w:t>
            </w:r>
          </w:p>
        </w:tc>
        <w:tc>
          <w:tcPr>
            <w:tcW w:w="1620" w:type="dxa"/>
            <w:tcBorders>
              <w:top w:val="nil"/>
              <w:left w:val="nil"/>
              <w:bottom w:val="nil"/>
              <w:right w:val="single" w:sz="8" w:space="0" w:color="auto"/>
            </w:tcBorders>
            <w:shd w:val="clear" w:color="auto" w:fill="auto"/>
            <w:noWrap/>
            <w:vAlign w:val="bottom"/>
            <w:hideMark/>
          </w:tcPr>
          <w:p w14:paraId="0D8F9B57"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458.69</w:t>
            </w:r>
          </w:p>
        </w:tc>
        <w:tc>
          <w:tcPr>
            <w:tcW w:w="1530" w:type="dxa"/>
            <w:tcBorders>
              <w:top w:val="nil"/>
              <w:left w:val="nil"/>
              <w:bottom w:val="nil"/>
              <w:right w:val="single" w:sz="8" w:space="0" w:color="auto"/>
            </w:tcBorders>
            <w:shd w:val="clear" w:color="auto" w:fill="auto"/>
            <w:noWrap/>
            <w:vAlign w:val="bottom"/>
            <w:hideMark/>
          </w:tcPr>
          <w:p w14:paraId="5947196B"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657.71</w:t>
            </w:r>
          </w:p>
        </w:tc>
      </w:tr>
      <w:tr w:rsidR="00283E9B" w:rsidRPr="003753CF" w14:paraId="1177B593"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7C292AE6"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BSNL</w:t>
            </w:r>
          </w:p>
        </w:tc>
        <w:tc>
          <w:tcPr>
            <w:tcW w:w="1470" w:type="dxa"/>
            <w:tcBorders>
              <w:top w:val="nil"/>
              <w:left w:val="nil"/>
              <w:bottom w:val="nil"/>
              <w:right w:val="single" w:sz="8" w:space="0" w:color="auto"/>
            </w:tcBorders>
            <w:shd w:val="clear" w:color="auto" w:fill="auto"/>
            <w:noWrap/>
            <w:vAlign w:val="bottom"/>
            <w:hideMark/>
          </w:tcPr>
          <w:p w14:paraId="525FA41A"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296.88</w:t>
            </w:r>
          </w:p>
        </w:tc>
        <w:tc>
          <w:tcPr>
            <w:tcW w:w="1620" w:type="dxa"/>
            <w:tcBorders>
              <w:top w:val="nil"/>
              <w:left w:val="nil"/>
              <w:bottom w:val="nil"/>
              <w:right w:val="single" w:sz="8" w:space="0" w:color="auto"/>
            </w:tcBorders>
            <w:shd w:val="clear" w:color="auto" w:fill="auto"/>
            <w:noWrap/>
            <w:vAlign w:val="bottom"/>
            <w:hideMark/>
          </w:tcPr>
          <w:p w14:paraId="3A275EAD"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279.34</w:t>
            </w:r>
          </w:p>
        </w:tc>
        <w:tc>
          <w:tcPr>
            <w:tcW w:w="1530" w:type="dxa"/>
            <w:tcBorders>
              <w:top w:val="nil"/>
              <w:left w:val="nil"/>
              <w:bottom w:val="nil"/>
              <w:right w:val="single" w:sz="8" w:space="0" w:color="auto"/>
            </w:tcBorders>
            <w:shd w:val="clear" w:color="auto" w:fill="auto"/>
            <w:noWrap/>
            <w:vAlign w:val="bottom"/>
            <w:hideMark/>
          </w:tcPr>
          <w:p w14:paraId="1367D589"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286.45</w:t>
            </w:r>
          </w:p>
        </w:tc>
      </w:tr>
      <w:tr w:rsidR="00283E9B" w:rsidRPr="003753CF" w14:paraId="28AC35B5"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387D82D9"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Idea</w:t>
            </w:r>
          </w:p>
        </w:tc>
        <w:tc>
          <w:tcPr>
            <w:tcW w:w="1470" w:type="dxa"/>
            <w:tcBorders>
              <w:top w:val="nil"/>
              <w:left w:val="nil"/>
              <w:bottom w:val="nil"/>
              <w:right w:val="single" w:sz="8" w:space="0" w:color="auto"/>
            </w:tcBorders>
            <w:shd w:val="clear" w:color="auto" w:fill="auto"/>
            <w:noWrap/>
            <w:vAlign w:val="bottom"/>
            <w:hideMark/>
          </w:tcPr>
          <w:p w14:paraId="42118C62"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153.89</w:t>
            </w:r>
          </w:p>
        </w:tc>
        <w:tc>
          <w:tcPr>
            <w:tcW w:w="1620" w:type="dxa"/>
            <w:tcBorders>
              <w:top w:val="nil"/>
              <w:left w:val="nil"/>
              <w:bottom w:val="nil"/>
              <w:right w:val="single" w:sz="8" w:space="0" w:color="auto"/>
            </w:tcBorders>
            <w:shd w:val="clear" w:color="auto" w:fill="auto"/>
            <w:noWrap/>
            <w:vAlign w:val="bottom"/>
            <w:hideMark/>
          </w:tcPr>
          <w:p w14:paraId="3643655E"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193.22</w:t>
            </w:r>
          </w:p>
        </w:tc>
        <w:tc>
          <w:tcPr>
            <w:tcW w:w="1530" w:type="dxa"/>
            <w:tcBorders>
              <w:top w:val="nil"/>
              <w:left w:val="nil"/>
              <w:bottom w:val="nil"/>
              <w:right w:val="single" w:sz="8" w:space="0" w:color="auto"/>
            </w:tcBorders>
            <w:shd w:val="clear" w:color="auto" w:fill="auto"/>
            <w:noWrap/>
            <w:vAlign w:val="bottom"/>
            <w:hideMark/>
          </w:tcPr>
          <w:p w14:paraId="529491DA"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317.32</w:t>
            </w:r>
          </w:p>
        </w:tc>
      </w:tr>
      <w:tr w:rsidR="00283E9B" w:rsidRPr="003753CF" w14:paraId="7CC29C9C"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71952E9A"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MTNL</w:t>
            </w:r>
          </w:p>
        </w:tc>
        <w:tc>
          <w:tcPr>
            <w:tcW w:w="1470" w:type="dxa"/>
            <w:tcBorders>
              <w:top w:val="nil"/>
              <w:left w:val="nil"/>
              <w:bottom w:val="nil"/>
              <w:right w:val="single" w:sz="8" w:space="0" w:color="auto"/>
            </w:tcBorders>
            <w:shd w:val="clear" w:color="auto" w:fill="auto"/>
            <w:noWrap/>
            <w:vAlign w:val="bottom"/>
            <w:hideMark/>
          </w:tcPr>
          <w:p w14:paraId="0329BF96"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39.92</w:t>
            </w:r>
          </w:p>
        </w:tc>
        <w:tc>
          <w:tcPr>
            <w:tcW w:w="1620" w:type="dxa"/>
            <w:tcBorders>
              <w:top w:val="nil"/>
              <w:left w:val="nil"/>
              <w:bottom w:val="nil"/>
              <w:right w:val="single" w:sz="8" w:space="0" w:color="auto"/>
            </w:tcBorders>
            <w:shd w:val="clear" w:color="auto" w:fill="auto"/>
            <w:noWrap/>
            <w:vAlign w:val="bottom"/>
            <w:hideMark/>
          </w:tcPr>
          <w:p w14:paraId="73A797DC"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36.24</w:t>
            </w:r>
          </w:p>
        </w:tc>
        <w:tc>
          <w:tcPr>
            <w:tcW w:w="1530" w:type="dxa"/>
            <w:tcBorders>
              <w:top w:val="nil"/>
              <w:left w:val="nil"/>
              <w:bottom w:val="nil"/>
              <w:right w:val="single" w:sz="8" w:space="0" w:color="auto"/>
            </w:tcBorders>
            <w:shd w:val="clear" w:color="auto" w:fill="auto"/>
            <w:noWrap/>
            <w:vAlign w:val="bottom"/>
            <w:hideMark/>
          </w:tcPr>
          <w:p w14:paraId="7F79BFDE"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38.21</w:t>
            </w:r>
          </w:p>
        </w:tc>
      </w:tr>
      <w:tr w:rsidR="00283E9B" w:rsidRPr="003753CF" w14:paraId="5F03656E"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50FEFB57" w14:textId="77777777" w:rsidR="00283E9B" w:rsidRPr="003753CF" w:rsidRDefault="00132C2F" w:rsidP="00343FD7">
            <w:pPr>
              <w:rPr>
                <w:rFonts w:ascii="Arial" w:hAnsi="Arial" w:cs="Arial"/>
                <w:color w:val="000000"/>
                <w:lang w:eastAsia="en-IN"/>
              </w:rPr>
            </w:pPr>
            <w:r>
              <w:rPr>
                <w:rFonts w:ascii="Arial" w:hAnsi="Arial" w:cs="Arial"/>
                <w:color w:val="000000"/>
                <w:lang w:eastAsia="en-IN"/>
              </w:rPr>
              <w:t>RCom</w:t>
            </w:r>
          </w:p>
        </w:tc>
        <w:tc>
          <w:tcPr>
            <w:tcW w:w="1470" w:type="dxa"/>
            <w:tcBorders>
              <w:top w:val="nil"/>
              <w:left w:val="nil"/>
              <w:bottom w:val="nil"/>
              <w:right w:val="single" w:sz="8" w:space="0" w:color="auto"/>
            </w:tcBorders>
            <w:shd w:val="clear" w:color="auto" w:fill="auto"/>
            <w:noWrap/>
            <w:vAlign w:val="bottom"/>
            <w:hideMark/>
          </w:tcPr>
          <w:p w14:paraId="60FD1D62"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150.02</w:t>
            </w:r>
          </w:p>
        </w:tc>
        <w:tc>
          <w:tcPr>
            <w:tcW w:w="1620" w:type="dxa"/>
            <w:tcBorders>
              <w:top w:val="nil"/>
              <w:left w:val="nil"/>
              <w:bottom w:val="nil"/>
              <w:right w:val="single" w:sz="8" w:space="0" w:color="auto"/>
            </w:tcBorders>
            <w:shd w:val="clear" w:color="auto" w:fill="auto"/>
            <w:noWrap/>
            <w:vAlign w:val="bottom"/>
            <w:hideMark/>
          </w:tcPr>
          <w:p w14:paraId="695D1E34"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145.07</w:t>
            </w:r>
          </w:p>
        </w:tc>
        <w:tc>
          <w:tcPr>
            <w:tcW w:w="1530" w:type="dxa"/>
            <w:tcBorders>
              <w:top w:val="nil"/>
              <w:left w:val="nil"/>
              <w:bottom w:val="nil"/>
              <w:right w:val="single" w:sz="8" w:space="0" w:color="auto"/>
            </w:tcBorders>
            <w:shd w:val="clear" w:color="auto" w:fill="auto"/>
            <w:noWrap/>
            <w:vAlign w:val="bottom"/>
            <w:hideMark/>
          </w:tcPr>
          <w:p w14:paraId="345C966B"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146.22</w:t>
            </w:r>
          </w:p>
        </w:tc>
      </w:tr>
      <w:tr w:rsidR="00283E9B" w:rsidRPr="003753CF" w14:paraId="11609C9B" w14:textId="77777777" w:rsidTr="00CA79F8">
        <w:trPr>
          <w:trHeight w:val="288"/>
          <w:jc w:val="center"/>
        </w:trPr>
        <w:tc>
          <w:tcPr>
            <w:tcW w:w="1400" w:type="dxa"/>
            <w:tcBorders>
              <w:top w:val="nil"/>
              <w:left w:val="single" w:sz="8" w:space="0" w:color="auto"/>
              <w:bottom w:val="nil"/>
              <w:right w:val="single" w:sz="8" w:space="0" w:color="auto"/>
            </w:tcBorders>
            <w:shd w:val="clear" w:color="auto" w:fill="auto"/>
            <w:noWrap/>
            <w:vAlign w:val="bottom"/>
            <w:hideMark/>
          </w:tcPr>
          <w:p w14:paraId="20570FA5"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Tata</w:t>
            </w:r>
          </w:p>
        </w:tc>
        <w:tc>
          <w:tcPr>
            <w:tcW w:w="1470" w:type="dxa"/>
            <w:tcBorders>
              <w:top w:val="nil"/>
              <w:left w:val="nil"/>
              <w:bottom w:val="nil"/>
              <w:right w:val="single" w:sz="8" w:space="0" w:color="auto"/>
            </w:tcBorders>
            <w:shd w:val="clear" w:color="auto" w:fill="auto"/>
            <w:noWrap/>
            <w:vAlign w:val="bottom"/>
            <w:hideMark/>
          </w:tcPr>
          <w:p w14:paraId="46FFE8E2"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115.08</w:t>
            </w:r>
          </w:p>
        </w:tc>
        <w:tc>
          <w:tcPr>
            <w:tcW w:w="1620" w:type="dxa"/>
            <w:tcBorders>
              <w:top w:val="nil"/>
              <w:left w:val="nil"/>
              <w:bottom w:val="nil"/>
              <w:right w:val="single" w:sz="8" w:space="0" w:color="auto"/>
            </w:tcBorders>
            <w:shd w:val="clear" w:color="auto" w:fill="auto"/>
            <w:noWrap/>
            <w:vAlign w:val="bottom"/>
            <w:hideMark/>
          </w:tcPr>
          <w:p w14:paraId="62960BED"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126.21</w:t>
            </w:r>
          </w:p>
        </w:tc>
        <w:tc>
          <w:tcPr>
            <w:tcW w:w="1530" w:type="dxa"/>
            <w:tcBorders>
              <w:top w:val="nil"/>
              <w:left w:val="nil"/>
              <w:bottom w:val="nil"/>
              <w:right w:val="single" w:sz="8" w:space="0" w:color="auto"/>
            </w:tcBorders>
            <w:shd w:val="clear" w:color="auto" w:fill="auto"/>
            <w:noWrap/>
            <w:vAlign w:val="bottom"/>
            <w:hideMark/>
          </w:tcPr>
          <w:p w14:paraId="31547D88"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139.05</w:t>
            </w:r>
          </w:p>
        </w:tc>
      </w:tr>
      <w:tr w:rsidR="00283E9B" w:rsidRPr="003753CF" w14:paraId="35859EDF" w14:textId="77777777" w:rsidTr="00CA79F8">
        <w:trPr>
          <w:trHeight w:val="288"/>
          <w:jc w:val="center"/>
        </w:trPr>
        <w:tc>
          <w:tcPr>
            <w:tcW w:w="1400" w:type="dxa"/>
            <w:tcBorders>
              <w:top w:val="nil"/>
              <w:left w:val="single" w:sz="8" w:space="0" w:color="auto"/>
              <w:bottom w:val="single" w:sz="8" w:space="0" w:color="auto"/>
              <w:right w:val="single" w:sz="8" w:space="0" w:color="auto"/>
            </w:tcBorders>
            <w:shd w:val="clear" w:color="auto" w:fill="auto"/>
            <w:noWrap/>
            <w:vAlign w:val="bottom"/>
            <w:hideMark/>
          </w:tcPr>
          <w:p w14:paraId="4264A3C0" w14:textId="77777777" w:rsidR="00283E9B" w:rsidRPr="003753CF" w:rsidRDefault="00283E9B" w:rsidP="00343FD7">
            <w:pPr>
              <w:rPr>
                <w:rFonts w:ascii="Arial" w:hAnsi="Arial" w:cs="Arial"/>
                <w:color w:val="000000"/>
                <w:lang w:eastAsia="en-IN"/>
              </w:rPr>
            </w:pPr>
            <w:r w:rsidRPr="003753CF">
              <w:rPr>
                <w:rFonts w:ascii="Arial" w:hAnsi="Arial" w:cs="Arial"/>
                <w:color w:val="000000"/>
                <w:lang w:eastAsia="en-IN"/>
              </w:rPr>
              <w:t>Vodafone</w:t>
            </w:r>
          </w:p>
        </w:tc>
        <w:tc>
          <w:tcPr>
            <w:tcW w:w="1470" w:type="dxa"/>
            <w:tcBorders>
              <w:top w:val="nil"/>
              <w:left w:val="nil"/>
              <w:bottom w:val="single" w:sz="8" w:space="0" w:color="auto"/>
              <w:right w:val="single" w:sz="8" w:space="0" w:color="auto"/>
            </w:tcBorders>
            <w:shd w:val="clear" w:color="auto" w:fill="auto"/>
            <w:noWrap/>
            <w:vAlign w:val="bottom"/>
            <w:hideMark/>
          </w:tcPr>
          <w:p w14:paraId="29EAD47E"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301.23</w:t>
            </w:r>
          </w:p>
        </w:tc>
        <w:tc>
          <w:tcPr>
            <w:tcW w:w="1620" w:type="dxa"/>
            <w:tcBorders>
              <w:top w:val="nil"/>
              <w:left w:val="nil"/>
              <w:bottom w:val="single" w:sz="8" w:space="0" w:color="auto"/>
              <w:right w:val="single" w:sz="8" w:space="0" w:color="auto"/>
            </w:tcBorders>
            <w:shd w:val="clear" w:color="auto" w:fill="auto"/>
            <w:noWrap/>
            <w:vAlign w:val="bottom"/>
            <w:hideMark/>
          </w:tcPr>
          <w:p w14:paraId="30E6B426"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320.21</w:t>
            </w:r>
          </w:p>
        </w:tc>
        <w:tc>
          <w:tcPr>
            <w:tcW w:w="1530" w:type="dxa"/>
            <w:tcBorders>
              <w:top w:val="nil"/>
              <w:left w:val="nil"/>
              <w:bottom w:val="single" w:sz="8" w:space="0" w:color="auto"/>
              <w:right w:val="single" w:sz="8" w:space="0" w:color="auto"/>
            </w:tcBorders>
            <w:shd w:val="clear" w:color="auto" w:fill="auto"/>
            <w:noWrap/>
            <w:vAlign w:val="bottom"/>
            <w:hideMark/>
          </w:tcPr>
          <w:p w14:paraId="1D99EF7F" w14:textId="77777777" w:rsidR="00283E9B" w:rsidRPr="003753CF" w:rsidRDefault="00283E9B" w:rsidP="00343FD7">
            <w:pPr>
              <w:jc w:val="right"/>
              <w:rPr>
                <w:rFonts w:ascii="Arial" w:hAnsi="Arial" w:cs="Arial"/>
                <w:color w:val="000000"/>
                <w:lang w:eastAsia="en-IN"/>
              </w:rPr>
            </w:pPr>
            <w:r w:rsidRPr="003753CF">
              <w:rPr>
                <w:rFonts w:ascii="Arial" w:hAnsi="Arial" w:cs="Arial"/>
                <w:color w:val="000000"/>
                <w:lang w:eastAsia="en-IN"/>
              </w:rPr>
              <w:t>531.47</w:t>
            </w:r>
          </w:p>
        </w:tc>
      </w:tr>
    </w:tbl>
    <w:p w14:paraId="622CB2A4" w14:textId="77777777" w:rsidR="00C16F30" w:rsidRPr="000700C7" w:rsidRDefault="00C16F30" w:rsidP="002004F3">
      <w:pPr>
        <w:pStyle w:val="ExhibitText"/>
        <w:rPr>
          <w:sz w:val="14"/>
        </w:rPr>
      </w:pPr>
    </w:p>
    <w:p w14:paraId="4E2B260A" w14:textId="77777777" w:rsidR="00CA79F8" w:rsidRDefault="00CA79F8" w:rsidP="00BB3AC2">
      <w:pPr>
        <w:pStyle w:val="Footnote"/>
      </w:pPr>
      <w:r>
        <w:t>Note: FY = fiscal year.</w:t>
      </w:r>
    </w:p>
    <w:p w14:paraId="67CE316A" w14:textId="4671CCF8" w:rsidR="007937B1" w:rsidRDefault="00283E9B" w:rsidP="00BB3AC2">
      <w:pPr>
        <w:pStyle w:val="Footnote"/>
      </w:pPr>
      <w:r w:rsidRPr="003753CF">
        <w:t xml:space="preserve">Source: </w:t>
      </w:r>
      <w:r w:rsidR="0074221E" w:rsidRPr="007953F9">
        <w:t>Sistema Shyam</w:t>
      </w:r>
      <w:r w:rsidR="00507E8E">
        <w:t xml:space="preserve"> </w:t>
      </w:r>
      <w:r w:rsidR="0074221E" w:rsidRPr="007953F9">
        <w:t>TeleServices L</w:t>
      </w:r>
      <w:r w:rsidR="003A7FC0">
        <w:t>imited</w:t>
      </w:r>
      <w:r w:rsidR="0074221E" w:rsidRPr="007953F9">
        <w:t xml:space="preserve">, </w:t>
      </w:r>
      <w:r w:rsidR="0074221E" w:rsidRPr="007953F9">
        <w:rPr>
          <w:i/>
        </w:rPr>
        <w:t>A</w:t>
      </w:r>
      <w:r w:rsidR="0074221E" w:rsidRPr="001E527A">
        <w:rPr>
          <w:i/>
        </w:rPr>
        <w:t>nnual Report 2014</w:t>
      </w:r>
      <w:r w:rsidR="00EF62B0">
        <w:rPr>
          <w:i/>
        </w:rPr>
        <w:t>–</w:t>
      </w:r>
      <w:r w:rsidR="0074221E" w:rsidRPr="001E527A">
        <w:rPr>
          <w:i/>
        </w:rPr>
        <w:t>15</w:t>
      </w:r>
      <w:r w:rsidR="0074221E">
        <w:t>, 2</w:t>
      </w:r>
      <w:r w:rsidR="0074221E" w:rsidRPr="00BC3852">
        <w:t>2</w:t>
      </w:r>
      <w:r w:rsidR="0074221E">
        <w:t>,</w:t>
      </w:r>
      <w:r w:rsidR="005211A4">
        <w:t xml:space="preserve"> </w:t>
      </w:r>
      <w:r w:rsidR="0074221E" w:rsidRPr="00BC3852">
        <w:t>accessed August 27, 2016</w:t>
      </w:r>
      <w:r w:rsidR="0074221E">
        <w:t xml:space="preserve">, </w:t>
      </w:r>
      <w:r w:rsidR="0074221E" w:rsidRPr="00DB7810">
        <w:t>www.mtsindia.in/corporate/downloads/SSTL%20Annual%20Report%202014-15.pdf</w:t>
      </w:r>
      <w:r w:rsidR="00C16F30" w:rsidRPr="003753CF">
        <w:t xml:space="preserve">; </w:t>
      </w:r>
      <w:r w:rsidR="00A91C49" w:rsidRPr="003753CF">
        <w:t>T</w:t>
      </w:r>
      <w:r w:rsidR="004E531A">
        <w:t xml:space="preserve">elecom Regulatory Authority of India, </w:t>
      </w:r>
      <w:r w:rsidR="004E531A" w:rsidRPr="004E531A">
        <w:rPr>
          <w:i/>
        </w:rPr>
        <w:t>A</w:t>
      </w:r>
      <w:r w:rsidR="00A91C49" w:rsidRPr="004E531A">
        <w:rPr>
          <w:i/>
        </w:rPr>
        <w:t>nnual Report 2011</w:t>
      </w:r>
      <w:r w:rsidR="00EF62B0">
        <w:rPr>
          <w:i/>
        </w:rPr>
        <w:t>–</w:t>
      </w:r>
      <w:r w:rsidR="00A91C49" w:rsidRPr="004E531A">
        <w:rPr>
          <w:i/>
        </w:rPr>
        <w:t>12</w:t>
      </w:r>
      <w:r w:rsidR="00A91C49" w:rsidRPr="003753CF">
        <w:t>,</w:t>
      </w:r>
      <w:r w:rsidR="005211A4">
        <w:t xml:space="preserve"> </w:t>
      </w:r>
      <w:r w:rsidR="004E531A" w:rsidRPr="003753CF">
        <w:t>13</w:t>
      </w:r>
      <w:r w:rsidR="004E531A">
        <w:t>,</w:t>
      </w:r>
      <w:r w:rsidR="007937B1">
        <w:t xml:space="preserve"> </w:t>
      </w:r>
      <w:r w:rsidR="00A91C49" w:rsidRPr="003753CF">
        <w:t xml:space="preserve">accessed </w:t>
      </w:r>
      <w:r w:rsidR="00F16D7E">
        <w:t>February 28, 2017,</w:t>
      </w:r>
      <w:r w:rsidR="00F16D7E" w:rsidRPr="00484AB5">
        <w:t xml:space="preserve"> </w:t>
      </w:r>
      <w:r w:rsidR="007937B1" w:rsidRPr="007937B1">
        <w:t>www.trai.gov.in/sites/default/files/2013011503183867</w:t>
      </w:r>
      <w:r w:rsidR="00F16D7E" w:rsidRPr="00484AB5">
        <w:t>80062</w:t>
      </w:r>
    </w:p>
    <w:p w14:paraId="2920FF0D" w14:textId="6B1D434B" w:rsidR="007937B1" w:rsidRDefault="00F16D7E" w:rsidP="002004F3">
      <w:pPr>
        <w:pStyle w:val="Footnote"/>
      </w:pPr>
      <w:r w:rsidRPr="00484AB5">
        <w:t>Annual%20Report%20English%202012.pdf</w:t>
      </w:r>
      <w:r w:rsidR="007937B1">
        <w:t>.</w:t>
      </w:r>
      <w:r w:rsidR="007937B1">
        <w:br w:type="page"/>
      </w:r>
    </w:p>
    <w:p w14:paraId="71E56718" w14:textId="77777777" w:rsidR="00283E9B" w:rsidRPr="003753CF" w:rsidRDefault="00EE6424" w:rsidP="002004F3">
      <w:pPr>
        <w:pStyle w:val="ExhibitHeading"/>
        <w:keepNext/>
        <w:outlineLvl w:val="0"/>
      </w:pPr>
      <w:r w:rsidRPr="003753CF">
        <w:lastRenderedPageBreak/>
        <w:t xml:space="preserve">exhibit </w:t>
      </w:r>
      <w:r w:rsidR="00283E9B" w:rsidRPr="003753CF">
        <w:t>4: Internet Subscribers (in Millions)</w:t>
      </w:r>
    </w:p>
    <w:p w14:paraId="08B0E79A" w14:textId="77777777" w:rsidR="00885C61" w:rsidRPr="003753CF" w:rsidRDefault="00885C61" w:rsidP="002004F3">
      <w:pPr>
        <w:pStyle w:val="ExhibitText"/>
        <w:keepNext/>
      </w:pPr>
    </w:p>
    <w:tbl>
      <w:tblPr>
        <w:tblW w:w="9089" w:type="dxa"/>
        <w:jc w:val="center"/>
        <w:tblLayout w:type="fixed"/>
        <w:tblLook w:val="04A0" w:firstRow="1" w:lastRow="0" w:firstColumn="1" w:lastColumn="0" w:noHBand="0" w:noVBand="1"/>
      </w:tblPr>
      <w:tblGrid>
        <w:gridCol w:w="2879"/>
        <w:gridCol w:w="1710"/>
        <w:gridCol w:w="1586"/>
        <w:gridCol w:w="1587"/>
        <w:gridCol w:w="1327"/>
      </w:tblGrid>
      <w:tr w:rsidR="003D1E6C" w:rsidRPr="003753CF" w14:paraId="6671B774" w14:textId="77777777" w:rsidTr="002004F3">
        <w:trPr>
          <w:trHeight w:val="317"/>
          <w:jc w:val="center"/>
        </w:trPr>
        <w:tc>
          <w:tcPr>
            <w:tcW w:w="2879" w:type="dxa"/>
            <w:vMerge w:val="restart"/>
            <w:tcBorders>
              <w:top w:val="single" w:sz="4" w:space="0" w:color="auto"/>
              <w:left w:val="single" w:sz="4" w:space="0" w:color="auto"/>
              <w:right w:val="single" w:sz="4" w:space="0" w:color="auto"/>
            </w:tcBorders>
            <w:shd w:val="clear" w:color="auto" w:fill="auto"/>
            <w:noWrap/>
            <w:vAlign w:val="center"/>
          </w:tcPr>
          <w:p w14:paraId="484A21B2" w14:textId="42717B8B" w:rsidR="003D1E6C" w:rsidRPr="00343FD7" w:rsidRDefault="003D1E6C" w:rsidP="002004F3">
            <w:pPr>
              <w:keepNext/>
              <w:rPr>
                <w:rFonts w:ascii="Arial" w:hAnsi="Arial" w:cs="Arial"/>
                <w:b/>
                <w:color w:val="000000"/>
                <w:lang w:eastAsia="en-IN"/>
              </w:rPr>
            </w:pPr>
            <w:r w:rsidRPr="00343FD7">
              <w:rPr>
                <w:rFonts w:ascii="Arial" w:hAnsi="Arial" w:cs="Arial"/>
                <w:b/>
                <w:color w:val="000000"/>
                <w:lang w:eastAsia="en-IN"/>
              </w:rPr>
              <w:t>Segment</w:t>
            </w:r>
          </w:p>
        </w:tc>
        <w:tc>
          <w:tcPr>
            <w:tcW w:w="1710" w:type="dxa"/>
            <w:vMerge w:val="restart"/>
            <w:tcBorders>
              <w:top w:val="single" w:sz="4" w:space="0" w:color="auto"/>
              <w:left w:val="single" w:sz="4" w:space="0" w:color="auto"/>
              <w:right w:val="single" w:sz="4" w:space="0" w:color="auto"/>
            </w:tcBorders>
            <w:shd w:val="clear" w:color="auto" w:fill="auto"/>
            <w:noWrap/>
            <w:vAlign w:val="center"/>
          </w:tcPr>
          <w:p w14:paraId="5EFB85AD" w14:textId="5EA19328" w:rsidR="003D1E6C" w:rsidRPr="00343FD7" w:rsidRDefault="003D1E6C" w:rsidP="002004F3">
            <w:pPr>
              <w:keepNext/>
              <w:rPr>
                <w:rFonts w:ascii="Arial" w:hAnsi="Arial" w:cs="Arial"/>
                <w:b/>
                <w:color w:val="000000"/>
                <w:lang w:eastAsia="en-IN"/>
              </w:rPr>
            </w:pPr>
            <w:r w:rsidRPr="00343FD7">
              <w:rPr>
                <w:rFonts w:ascii="Arial" w:hAnsi="Arial" w:cs="Arial"/>
                <w:b/>
                <w:color w:val="000000"/>
                <w:lang w:eastAsia="en-IN"/>
              </w:rPr>
              <w:t>Category</w:t>
            </w:r>
          </w:p>
        </w:tc>
        <w:tc>
          <w:tcPr>
            <w:tcW w:w="3173" w:type="dxa"/>
            <w:gridSpan w:val="2"/>
            <w:tcBorders>
              <w:top w:val="single" w:sz="4" w:space="0" w:color="auto"/>
              <w:left w:val="single" w:sz="4" w:space="0" w:color="auto"/>
              <w:right w:val="single" w:sz="4" w:space="0" w:color="auto"/>
            </w:tcBorders>
            <w:shd w:val="clear" w:color="auto" w:fill="auto"/>
            <w:noWrap/>
            <w:vAlign w:val="center"/>
          </w:tcPr>
          <w:p w14:paraId="399E08FD" w14:textId="789E7B7F" w:rsidR="003D1E6C" w:rsidRPr="00343FD7" w:rsidRDefault="003D1E6C" w:rsidP="002004F3">
            <w:pPr>
              <w:keepNext/>
              <w:jc w:val="center"/>
              <w:rPr>
                <w:rFonts w:ascii="Arial" w:hAnsi="Arial" w:cs="Arial"/>
                <w:b/>
                <w:color w:val="000000"/>
                <w:lang w:eastAsia="en-IN"/>
              </w:rPr>
            </w:pPr>
            <w:r>
              <w:rPr>
                <w:rFonts w:ascii="Arial" w:hAnsi="Arial" w:cs="Arial"/>
                <w:b/>
                <w:color w:val="000000"/>
                <w:lang w:eastAsia="en-IN"/>
              </w:rPr>
              <w:t>Internet Subscribers</w:t>
            </w:r>
          </w:p>
        </w:tc>
        <w:tc>
          <w:tcPr>
            <w:tcW w:w="1327" w:type="dxa"/>
            <w:vMerge w:val="restart"/>
            <w:tcBorders>
              <w:top w:val="single" w:sz="4" w:space="0" w:color="auto"/>
              <w:left w:val="single" w:sz="4" w:space="0" w:color="auto"/>
              <w:right w:val="single" w:sz="4" w:space="0" w:color="auto"/>
            </w:tcBorders>
            <w:shd w:val="clear" w:color="auto" w:fill="auto"/>
            <w:noWrap/>
            <w:vAlign w:val="center"/>
          </w:tcPr>
          <w:p w14:paraId="7ECBAB25" w14:textId="12970D2D" w:rsidR="003D1E6C" w:rsidRPr="00343FD7" w:rsidRDefault="003D1E6C" w:rsidP="002004F3">
            <w:pPr>
              <w:keepNext/>
              <w:jc w:val="center"/>
              <w:rPr>
                <w:rFonts w:ascii="Arial" w:hAnsi="Arial" w:cs="Arial"/>
                <w:b/>
                <w:color w:val="000000"/>
                <w:lang w:eastAsia="en-IN"/>
              </w:rPr>
            </w:pPr>
            <w:r w:rsidRPr="00343FD7">
              <w:rPr>
                <w:rFonts w:ascii="Arial" w:hAnsi="Arial" w:cs="Arial"/>
                <w:b/>
                <w:color w:val="000000"/>
                <w:lang w:eastAsia="en-IN"/>
              </w:rPr>
              <w:t>% Growth</w:t>
            </w:r>
          </w:p>
        </w:tc>
      </w:tr>
      <w:tr w:rsidR="003D1E6C" w:rsidRPr="003753CF" w14:paraId="7DAAB2D0" w14:textId="77777777" w:rsidTr="002004F3">
        <w:trPr>
          <w:trHeight w:val="317"/>
          <w:jc w:val="center"/>
        </w:trPr>
        <w:tc>
          <w:tcPr>
            <w:tcW w:w="2879" w:type="dxa"/>
            <w:vMerge/>
            <w:tcBorders>
              <w:left w:val="single" w:sz="4" w:space="0" w:color="auto"/>
              <w:right w:val="single" w:sz="4" w:space="0" w:color="auto"/>
            </w:tcBorders>
            <w:shd w:val="clear" w:color="auto" w:fill="auto"/>
            <w:noWrap/>
            <w:vAlign w:val="center"/>
            <w:hideMark/>
          </w:tcPr>
          <w:p w14:paraId="05B1B75F" w14:textId="25B240ED" w:rsidR="003D1E6C" w:rsidRPr="003753CF" w:rsidRDefault="003D1E6C" w:rsidP="002004F3">
            <w:pPr>
              <w:keepNext/>
              <w:rPr>
                <w:rFonts w:ascii="Arial" w:hAnsi="Arial" w:cs="Arial"/>
                <w:color w:val="000000"/>
                <w:lang w:eastAsia="en-IN"/>
              </w:rPr>
            </w:pPr>
          </w:p>
        </w:tc>
        <w:tc>
          <w:tcPr>
            <w:tcW w:w="1710" w:type="dxa"/>
            <w:vMerge/>
            <w:tcBorders>
              <w:left w:val="single" w:sz="4" w:space="0" w:color="auto"/>
              <w:right w:val="single" w:sz="4" w:space="0" w:color="auto"/>
            </w:tcBorders>
            <w:shd w:val="clear" w:color="auto" w:fill="auto"/>
            <w:noWrap/>
            <w:vAlign w:val="center"/>
            <w:hideMark/>
          </w:tcPr>
          <w:p w14:paraId="0DD46260" w14:textId="2FE42664" w:rsidR="003D1E6C" w:rsidRPr="003753CF" w:rsidRDefault="003D1E6C" w:rsidP="002004F3">
            <w:pPr>
              <w:keepNext/>
              <w:rPr>
                <w:rFonts w:ascii="Arial" w:hAnsi="Arial" w:cs="Arial"/>
                <w:color w:val="000000"/>
                <w:lang w:eastAsia="en-IN"/>
              </w:rPr>
            </w:pPr>
          </w:p>
        </w:tc>
        <w:tc>
          <w:tcPr>
            <w:tcW w:w="1586" w:type="dxa"/>
            <w:tcBorders>
              <w:top w:val="single" w:sz="4" w:space="0" w:color="auto"/>
              <w:left w:val="single" w:sz="4" w:space="0" w:color="auto"/>
              <w:right w:val="single" w:sz="4" w:space="0" w:color="auto"/>
            </w:tcBorders>
            <w:shd w:val="clear" w:color="auto" w:fill="auto"/>
            <w:noWrap/>
            <w:vAlign w:val="center"/>
            <w:hideMark/>
          </w:tcPr>
          <w:p w14:paraId="27CEAC75" w14:textId="7D65DFBF" w:rsidR="003D1E6C" w:rsidRPr="00343FD7" w:rsidRDefault="003D1E6C" w:rsidP="002004F3">
            <w:pPr>
              <w:keepNext/>
              <w:jc w:val="center"/>
              <w:rPr>
                <w:rFonts w:ascii="Arial" w:hAnsi="Arial" w:cs="Arial"/>
                <w:b/>
                <w:color w:val="000000"/>
                <w:lang w:eastAsia="en-IN"/>
              </w:rPr>
            </w:pPr>
            <w:r w:rsidRPr="00343FD7">
              <w:rPr>
                <w:rFonts w:ascii="Arial" w:hAnsi="Arial" w:cs="Arial"/>
                <w:b/>
                <w:color w:val="000000"/>
                <w:lang w:eastAsia="en-IN"/>
              </w:rPr>
              <w:t>Mar</w:t>
            </w:r>
            <w:r>
              <w:rPr>
                <w:rFonts w:ascii="Arial" w:hAnsi="Arial" w:cs="Arial"/>
                <w:b/>
                <w:color w:val="000000"/>
                <w:lang w:eastAsia="en-IN"/>
              </w:rPr>
              <w:t>ch 20</w:t>
            </w:r>
            <w:r w:rsidRPr="00343FD7">
              <w:rPr>
                <w:rFonts w:ascii="Arial" w:hAnsi="Arial" w:cs="Arial"/>
                <w:b/>
                <w:color w:val="000000"/>
                <w:lang w:eastAsia="en-IN"/>
              </w:rPr>
              <w:t>14</w:t>
            </w:r>
          </w:p>
        </w:tc>
        <w:tc>
          <w:tcPr>
            <w:tcW w:w="1587" w:type="dxa"/>
            <w:tcBorders>
              <w:top w:val="single" w:sz="4" w:space="0" w:color="auto"/>
              <w:left w:val="single" w:sz="4" w:space="0" w:color="auto"/>
              <w:right w:val="single" w:sz="4" w:space="0" w:color="auto"/>
            </w:tcBorders>
            <w:shd w:val="clear" w:color="auto" w:fill="auto"/>
            <w:noWrap/>
            <w:vAlign w:val="center"/>
            <w:hideMark/>
          </w:tcPr>
          <w:p w14:paraId="3EBAC518" w14:textId="785037DD" w:rsidR="003D1E6C" w:rsidRPr="00343FD7" w:rsidRDefault="003D1E6C" w:rsidP="002004F3">
            <w:pPr>
              <w:keepNext/>
              <w:jc w:val="center"/>
              <w:rPr>
                <w:rFonts w:ascii="Arial" w:hAnsi="Arial" w:cs="Arial"/>
                <w:b/>
                <w:color w:val="000000"/>
                <w:lang w:eastAsia="en-IN"/>
              </w:rPr>
            </w:pPr>
            <w:r w:rsidRPr="00343FD7">
              <w:rPr>
                <w:rFonts w:ascii="Arial" w:hAnsi="Arial" w:cs="Arial"/>
                <w:b/>
                <w:color w:val="000000"/>
                <w:lang w:eastAsia="en-IN"/>
              </w:rPr>
              <w:t>Mar</w:t>
            </w:r>
            <w:r>
              <w:rPr>
                <w:rFonts w:ascii="Arial" w:hAnsi="Arial" w:cs="Arial"/>
                <w:b/>
                <w:color w:val="000000"/>
                <w:lang w:eastAsia="en-IN"/>
              </w:rPr>
              <w:t>ch 20</w:t>
            </w:r>
            <w:r w:rsidRPr="00343FD7">
              <w:rPr>
                <w:rFonts w:ascii="Arial" w:hAnsi="Arial" w:cs="Arial"/>
                <w:b/>
                <w:color w:val="000000"/>
                <w:lang w:eastAsia="en-IN"/>
              </w:rPr>
              <w:t>15</w:t>
            </w:r>
          </w:p>
        </w:tc>
        <w:tc>
          <w:tcPr>
            <w:tcW w:w="1327" w:type="dxa"/>
            <w:vMerge/>
            <w:tcBorders>
              <w:left w:val="single" w:sz="4" w:space="0" w:color="auto"/>
              <w:right w:val="single" w:sz="4" w:space="0" w:color="auto"/>
            </w:tcBorders>
            <w:shd w:val="clear" w:color="auto" w:fill="auto"/>
            <w:noWrap/>
            <w:vAlign w:val="center"/>
            <w:hideMark/>
          </w:tcPr>
          <w:p w14:paraId="1E27F33A" w14:textId="75B74320" w:rsidR="003D1E6C" w:rsidRPr="003753CF" w:rsidRDefault="003D1E6C" w:rsidP="002004F3">
            <w:pPr>
              <w:keepNext/>
              <w:jc w:val="center"/>
              <w:rPr>
                <w:rFonts w:ascii="Arial" w:hAnsi="Arial" w:cs="Arial"/>
                <w:color w:val="000000"/>
                <w:lang w:eastAsia="en-IN"/>
              </w:rPr>
            </w:pPr>
          </w:p>
        </w:tc>
      </w:tr>
      <w:tr w:rsidR="00CA79F8" w:rsidRPr="003753CF" w14:paraId="76192F44" w14:textId="77777777" w:rsidTr="00CA79F8">
        <w:trPr>
          <w:trHeight w:val="300"/>
          <w:jc w:val="center"/>
        </w:trPr>
        <w:tc>
          <w:tcPr>
            <w:tcW w:w="2879" w:type="dxa"/>
            <w:vMerge w:val="restart"/>
            <w:tcBorders>
              <w:top w:val="single" w:sz="4" w:space="0" w:color="auto"/>
              <w:left w:val="single" w:sz="4" w:space="0" w:color="auto"/>
              <w:right w:val="single" w:sz="4" w:space="0" w:color="auto"/>
            </w:tcBorders>
            <w:shd w:val="clear" w:color="auto" w:fill="auto"/>
            <w:noWrap/>
            <w:vAlign w:val="center"/>
            <w:hideMark/>
          </w:tcPr>
          <w:p w14:paraId="189ABEFD"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Wired</w:t>
            </w:r>
          </w:p>
        </w:tc>
        <w:tc>
          <w:tcPr>
            <w:tcW w:w="1710" w:type="dxa"/>
            <w:tcBorders>
              <w:top w:val="single" w:sz="4" w:space="0" w:color="auto"/>
              <w:left w:val="single" w:sz="4" w:space="0" w:color="auto"/>
              <w:bottom w:val="nil"/>
              <w:right w:val="single" w:sz="4" w:space="0" w:color="auto"/>
            </w:tcBorders>
            <w:shd w:val="clear" w:color="auto" w:fill="auto"/>
            <w:noWrap/>
            <w:vAlign w:val="bottom"/>
            <w:hideMark/>
          </w:tcPr>
          <w:p w14:paraId="039DB945"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Broadband</w:t>
            </w:r>
          </w:p>
        </w:tc>
        <w:tc>
          <w:tcPr>
            <w:tcW w:w="1586" w:type="dxa"/>
            <w:tcBorders>
              <w:top w:val="single" w:sz="4" w:space="0" w:color="auto"/>
              <w:left w:val="single" w:sz="4" w:space="0" w:color="auto"/>
              <w:bottom w:val="nil"/>
              <w:right w:val="single" w:sz="4" w:space="0" w:color="auto"/>
            </w:tcBorders>
            <w:shd w:val="clear" w:color="auto" w:fill="auto"/>
            <w:noWrap/>
            <w:vAlign w:val="bottom"/>
            <w:hideMark/>
          </w:tcPr>
          <w:p w14:paraId="54D938DF"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14.86</w:t>
            </w:r>
          </w:p>
        </w:tc>
        <w:tc>
          <w:tcPr>
            <w:tcW w:w="1587" w:type="dxa"/>
            <w:tcBorders>
              <w:top w:val="single" w:sz="4" w:space="0" w:color="auto"/>
              <w:left w:val="single" w:sz="4" w:space="0" w:color="auto"/>
              <w:bottom w:val="nil"/>
              <w:right w:val="single" w:sz="4" w:space="0" w:color="auto"/>
            </w:tcBorders>
            <w:shd w:val="clear" w:color="auto" w:fill="auto"/>
            <w:noWrap/>
            <w:vAlign w:val="bottom"/>
            <w:hideMark/>
          </w:tcPr>
          <w:p w14:paraId="2C67B4AE"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15.52</w:t>
            </w:r>
          </w:p>
        </w:tc>
        <w:tc>
          <w:tcPr>
            <w:tcW w:w="1327" w:type="dxa"/>
            <w:tcBorders>
              <w:top w:val="single" w:sz="4" w:space="0" w:color="auto"/>
              <w:left w:val="single" w:sz="4" w:space="0" w:color="auto"/>
              <w:bottom w:val="nil"/>
              <w:right w:val="single" w:sz="4" w:space="0" w:color="auto"/>
            </w:tcBorders>
            <w:shd w:val="clear" w:color="auto" w:fill="auto"/>
            <w:noWrap/>
            <w:vAlign w:val="bottom"/>
            <w:hideMark/>
          </w:tcPr>
          <w:p w14:paraId="218B3FBE" w14:textId="77777777" w:rsidR="00FB4324" w:rsidRPr="003753CF" w:rsidRDefault="00FB4324" w:rsidP="002004F3">
            <w:pPr>
              <w:keepNext/>
              <w:jc w:val="right"/>
              <w:rPr>
                <w:rFonts w:ascii="Arial" w:hAnsi="Arial" w:cs="Arial"/>
                <w:color w:val="000000"/>
                <w:lang w:eastAsia="en-IN"/>
              </w:rPr>
            </w:pPr>
            <w:r>
              <w:rPr>
                <w:rFonts w:ascii="Arial" w:hAnsi="Arial" w:cs="Arial"/>
                <w:color w:val="000000"/>
                <w:lang w:eastAsia="en-IN"/>
              </w:rPr>
              <w:t>4.40</w:t>
            </w:r>
          </w:p>
        </w:tc>
      </w:tr>
      <w:tr w:rsidR="00CA79F8" w:rsidRPr="003753CF" w14:paraId="06005BD9" w14:textId="77777777" w:rsidTr="00CA79F8">
        <w:trPr>
          <w:trHeight w:val="300"/>
          <w:jc w:val="center"/>
        </w:trPr>
        <w:tc>
          <w:tcPr>
            <w:tcW w:w="2879" w:type="dxa"/>
            <w:vMerge/>
            <w:tcBorders>
              <w:left w:val="single" w:sz="4" w:space="0" w:color="auto"/>
              <w:right w:val="single" w:sz="4" w:space="0" w:color="auto"/>
            </w:tcBorders>
            <w:shd w:val="clear" w:color="auto" w:fill="auto"/>
            <w:noWrap/>
            <w:vAlign w:val="center"/>
            <w:hideMark/>
          </w:tcPr>
          <w:p w14:paraId="3F373C57"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nil"/>
              <w:right w:val="single" w:sz="4" w:space="0" w:color="auto"/>
            </w:tcBorders>
            <w:shd w:val="clear" w:color="auto" w:fill="auto"/>
            <w:noWrap/>
            <w:vAlign w:val="bottom"/>
            <w:hideMark/>
          </w:tcPr>
          <w:p w14:paraId="45129A2A"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Narrowband</w:t>
            </w:r>
          </w:p>
        </w:tc>
        <w:tc>
          <w:tcPr>
            <w:tcW w:w="1586" w:type="dxa"/>
            <w:tcBorders>
              <w:top w:val="nil"/>
              <w:left w:val="single" w:sz="4" w:space="0" w:color="auto"/>
              <w:bottom w:val="nil"/>
              <w:right w:val="single" w:sz="4" w:space="0" w:color="auto"/>
            </w:tcBorders>
            <w:shd w:val="clear" w:color="auto" w:fill="auto"/>
            <w:noWrap/>
            <w:vAlign w:val="bottom"/>
            <w:hideMark/>
          </w:tcPr>
          <w:p w14:paraId="75B11ED0"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3.64</w:t>
            </w:r>
          </w:p>
        </w:tc>
        <w:tc>
          <w:tcPr>
            <w:tcW w:w="1587" w:type="dxa"/>
            <w:tcBorders>
              <w:top w:val="nil"/>
              <w:left w:val="single" w:sz="4" w:space="0" w:color="auto"/>
              <w:bottom w:val="nil"/>
              <w:right w:val="single" w:sz="4" w:space="0" w:color="auto"/>
            </w:tcBorders>
            <w:shd w:val="clear" w:color="auto" w:fill="auto"/>
            <w:noWrap/>
            <w:vAlign w:val="bottom"/>
            <w:hideMark/>
          </w:tcPr>
          <w:p w14:paraId="26F7FE6F"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3.55</w:t>
            </w:r>
          </w:p>
        </w:tc>
        <w:tc>
          <w:tcPr>
            <w:tcW w:w="1327" w:type="dxa"/>
            <w:tcBorders>
              <w:top w:val="nil"/>
              <w:left w:val="single" w:sz="4" w:space="0" w:color="auto"/>
              <w:bottom w:val="nil"/>
              <w:right w:val="single" w:sz="4" w:space="0" w:color="auto"/>
            </w:tcBorders>
            <w:shd w:val="clear" w:color="auto" w:fill="auto"/>
            <w:noWrap/>
            <w:vAlign w:val="bottom"/>
            <w:hideMark/>
          </w:tcPr>
          <w:p w14:paraId="12E8BF52" w14:textId="77777777" w:rsidR="00FB4324" w:rsidRPr="003753CF" w:rsidRDefault="00FB4324" w:rsidP="002004F3">
            <w:pPr>
              <w:keepNext/>
              <w:jc w:val="right"/>
              <w:rPr>
                <w:rFonts w:ascii="Arial" w:hAnsi="Arial" w:cs="Arial"/>
                <w:color w:val="000000"/>
                <w:lang w:eastAsia="en-IN"/>
              </w:rPr>
            </w:pPr>
            <w:r>
              <w:rPr>
                <w:rFonts w:ascii="Arial" w:hAnsi="Arial" w:cs="Arial"/>
                <w:color w:val="000000"/>
                <w:lang w:eastAsia="en-IN"/>
              </w:rPr>
              <w:t>–</w:t>
            </w:r>
            <w:r w:rsidRPr="003753CF">
              <w:rPr>
                <w:rFonts w:ascii="Arial" w:hAnsi="Arial" w:cs="Arial"/>
                <w:color w:val="000000"/>
                <w:lang w:eastAsia="en-IN"/>
              </w:rPr>
              <w:t>2.46</w:t>
            </w:r>
          </w:p>
        </w:tc>
      </w:tr>
      <w:tr w:rsidR="00CA79F8" w:rsidRPr="003753CF" w14:paraId="659F65C5" w14:textId="77777777" w:rsidTr="00CA79F8">
        <w:trPr>
          <w:trHeight w:val="315"/>
          <w:jc w:val="center"/>
        </w:trPr>
        <w:tc>
          <w:tcPr>
            <w:tcW w:w="2879" w:type="dxa"/>
            <w:vMerge/>
            <w:tcBorders>
              <w:left w:val="single" w:sz="4" w:space="0" w:color="auto"/>
              <w:bottom w:val="single" w:sz="4" w:space="0" w:color="auto"/>
              <w:right w:val="single" w:sz="4" w:space="0" w:color="auto"/>
            </w:tcBorders>
            <w:shd w:val="clear" w:color="auto" w:fill="auto"/>
            <w:noWrap/>
            <w:vAlign w:val="center"/>
            <w:hideMark/>
          </w:tcPr>
          <w:p w14:paraId="56D04A01"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0FB3EEB8"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Total</w:t>
            </w:r>
          </w:p>
        </w:tc>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04D9C0F8"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18.50</w:t>
            </w:r>
          </w:p>
        </w:tc>
        <w:tc>
          <w:tcPr>
            <w:tcW w:w="1587" w:type="dxa"/>
            <w:tcBorders>
              <w:top w:val="nil"/>
              <w:left w:val="single" w:sz="4" w:space="0" w:color="auto"/>
              <w:bottom w:val="single" w:sz="4" w:space="0" w:color="auto"/>
              <w:right w:val="single" w:sz="4" w:space="0" w:color="auto"/>
            </w:tcBorders>
            <w:shd w:val="clear" w:color="auto" w:fill="auto"/>
            <w:noWrap/>
            <w:vAlign w:val="bottom"/>
            <w:hideMark/>
          </w:tcPr>
          <w:p w14:paraId="30CC9F72"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19.07</w:t>
            </w:r>
          </w:p>
        </w:tc>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350D987B"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3.09</w:t>
            </w:r>
          </w:p>
        </w:tc>
      </w:tr>
      <w:tr w:rsidR="00CA79F8" w:rsidRPr="003753CF" w14:paraId="74D2ECD9" w14:textId="77777777" w:rsidTr="00CA79F8">
        <w:trPr>
          <w:trHeight w:val="300"/>
          <w:jc w:val="center"/>
        </w:trPr>
        <w:tc>
          <w:tcPr>
            <w:tcW w:w="2879" w:type="dxa"/>
            <w:vMerge w:val="restart"/>
            <w:tcBorders>
              <w:top w:val="single" w:sz="4" w:space="0" w:color="auto"/>
              <w:left w:val="single" w:sz="4" w:space="0" w:color="auto"/>
              <w:right w:val="single" w:sz="4" w:space="0" w:color="auto"/>
            </w:tcBorders>
            <w:shd w:val="clear" w:color="auto" w:fill="auto"/>
            <w:noWrap/>
            <w:vAlign w:val="center"/>
            <w:hideMark/>
          </w:tcPr>
          <w:p w14:paraId="1BBBB91F" w14:textId="11125F50" w:rsidR="00FB4324" w:rsidRPr="003753CF" w:rsidRDefault="00FB4324" w:rsidP="000700C7">
            <w:pPr>
              <w:keepNext/>
              <w:rPr>
                <w:rFonts w:ascii="Arial" w:hAnsi="Arial" w:cs="Arial"/>
                <w:color w:val="000000"/>
                <w:lang w:eastAsia="en-IN"/>
              </w:rPr>
            </w:pPr>
            <w:r w:rsidRPr="003753CF">
              <w:rPr>
                <w:rFonts w:ascii="Arial" w:hAnsi="Arial" w:cs="Arial"/>
                <w:color w:val="000000"/>
                <w:lang w:eastAsia="en-IN"/>
              </w:rPr>
              <w:t>Wireless</w:t>
            </w:r>
            <w:r>
              <w:rPr>
                <w:rFonts w:ascii="Arial" w:hAnsi="Arial" w:cs="Arial"/>
                <w:color w:val="000000"/>
                <w:lang w:eastAsia="en-IN"/>
              </w:rPr>
              <w:t xml:space="preserve">: </w:t>
            </w:r>
            <w:r w:rsidRPr="003753CF">
              <w:rPr>
                <w:rFonts w:ascii="Arial" w:hAnsi="Arial" w:cs="Arial"/>
                <w:color w:val="000000"/>
                <w:lang w:eastAsia="en-IN"/>
              </w:rPr>
              <w:t xml:space="preserve">Fixed </w:t>
            </w:r>
            <w:r>
              <w:rPr>
                <w:rFonts w:ascii="Arial" w:hAnsi="Arial" w:cs="Arial"/>
                <w:color w:val="000000"/>
                <w:lang w:eastAsia="en-IN"/>
              </w:rPr>
              <w:t>w</w:t>
            </w:r>
            <w:r w:rsidRPr="003753CF">
              <w:rPr>
                <w:rFonts w:ascii="Arial" w:hAnsi="Arial" w:cs="Arial"/>
                <w:color w:val="000000"/>
                <w:lang w:eastAsia="en-IN"/>
              </w:rPr>
              <w:t>ireless (Wi-Fi,</w:t>
            </w:r>
            <w:r w:rsidR="00CA79F8">
              <w:rPr>
                <w:rFonts w:ascii="Arial" w:hAnsi="Arial" w:cs="Arial"/>
                <w:color w:val="000000"/>
                <w:lang w:eastAsia="en-IN"/>
              </w:rPr>
              <w:t xml:space="preserve"> </w:t>
            </w:r>
            <w:r w:rsidRPr="003753CF">
              <w:rPr>
                <w:rFonts w:ascii="Arial" w:hAnsi="Arial" w:cs="Arial"/>
                <w:color w:val="000000"/>
                <w:lang w:eastAsia="en-IN"/>
              </w:rPr>
              <w:t>Wi-Max, Radio</w:t>
            </w:r>
            <w:r>
              <w:rPr>
                <w:rFonts w:ascii="Arial" w:hAnsi="Arial" w:cs="Arial"/>
                <w:color w:val="000000"/>
                <w:lang w:eastAsia="en-IN"/>
              </w:rPr>
              <w:t>,</w:t>
            </w:r>
            <w:r w:rsidR="003D1E6C">
              <w:rPr>
                <w:rFonts w:ascii="Arial" w:hAnsi="Arial" w:cs="Arial"/>
                <w:color w:val="000000"/>
                <w:lang w:eastAsia="en-IN"/>
              </w:rPr>
              <w:t xml:space="preserve"> </w:t>
            </w:r>
            <w:r>
              <w:rPr>
                <w:rFonts w:ascii="Arial" w:hAnsi="Arial" w:cs="Arial"/>
                <w:color w:val="000000"/>
                <w:lang w:eastAsia="en-IN"/>
              </w:rPr>
              <w:t>and</w:t>
            </w:r>
            <w:r w:rsidRPr="003753CF">
              <w:rPr>
                <w:rFonts w:ascii="Arial" w:hAnsi="Arial" w:cs="Arial"/>
                <w:color w:val="000000"/>
                <w:lang w:eastAsia="en-IN"/>
              </w:rPr>
              <w:t xml:space="preserve"> V</w:t>
            </w:r>
            <w:r w:rsidR="000700C7">
              <w:rPr>
                <w:rFonts w:ascii="Arial" w:hAnsi="Arial" w:cs="Arial"/>
                <w:color w:val="000000"/>
                <w:lang w:eastAsia="en-IN"/>
              </w:rPr>
              <w:t>ery Small Aperture System (VSAT)</w:t>
            </w:r>
            <w:r w:rsidRPr="003753CF">
              <w:rPr>
                <w:rFonts w:ascii="Arial" w:hAnsi="Arial" w:cs="Arial"/>
                <w:color w:val="000000"/>
                <w:lang w:eastAsia="en-IN"/>
              </w:rPr>
              <w:t xml:space="preserve">) </w:t>
            </w:r>
          </w:p>
        </w:tc>
        <w:tc>
          <w:tcPr>
            <w:tcW w:w="1710" w:type="dxa"/>
            <w:tcBorders>
              <w:top w:val="single" w:sz="4" w:space="0" w:color="auto"/>
              <w:left w:val="single" w:sz="4" w:space="0" w:color="auto"/>
              <w:bottom w:val="nil"/>
              <w:right w:val="single" w:sz="4" w:space="0" w:color="auto"/>
            </w:tcBorders>
            <w:shd w:val="clear" w:color="auto" w:fill="auto"/>
            <w:noWrap/>
            <w:vAlign w:val="bottom"/>
            <w:hideMark/>
          </w:tcPr>
          <w:p w14:paraId="0BB995D5"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Broadband</w:t>
            </w:r>
          </w:p>
        </w:tc>
        <w:tc>
          <w:tcPr>
            <w:tcW w:w="1586" w:type="dxa"/>
            <w:tcBorders>
              <w:top w:val="single" w:sz="4" w:space="0" w:color="auto"/>
              <w:left w:val="single" w:sz="4" w:space="0" w:color="auto"/>
              <w:bottom w:val="nil"/>
              <w:right w:val="single" w:sz="4" w:space="0" w:color="auto"/>
            </w:tcBorders>
            <w:shd w:val="clear" w:color="auto" w:fill="auto"/>
            <w:noWrap/>
            <w:vAlign w:val="bottom"/>
            <w:hideMark/>
          </w:tcPr>
          <w:p w14:paraId="69B5CF5D"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0.4</w:t>
            </w:r>
            <w:r>
              <w:rPr>
                <w:rFonts w:ascii="Arial" w:hAnsi="Arial" w:cs="Arial"/>
                <w:color w:val="000000"/>
                <w:lang w:eastAsia="en-IN"/>
              </w:rPr>
              <w:t>0</w:t>
            </w:r>
          </w:p>
        </w:tc>
        <w:tc>
          <w:tcPr>
            <w:tcW w:w="1587" w:type="dxa"/>
            <w:tcBorders>
              <w:top w:val="single" w:sz="4" w:space="0" w:color="auto"/>
              <w:left w:val="single" w:sz="4" w:space="0" w:color="auto"/>
              <w:bottom w:val="nil"/>
              <w:right w:val="single" w:sz="4" w:space="0" w:color="auto"/>
            </w:tcBorders>
            <w:shd w:val="clear" w:color="auto" w:fill="auto"/>
            <w:noWrap/>
            <w:vAlign w:val="bottom"/>
            <w:hideMark/>
          </w:tcPr>
          <w:p w14:paraId="7EE10B75"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0.44</w:t>
            </w:r>
          </w:p>
        </w:tc>
        <w:tc>
          <w:tcPr>
            <w:tcW w:w="1327" w:type="dxa"/>
            <w:tcBorders>
              <w:top w:val="single" w:sz="4" w:space="0" w:color="auto"/>
              <w:left w:val="single" w:sz="4" w:space="0" w:color="auto"/>
              <w:bottom w:val="nil"/>
              <w:right w:val="single" w:sz="4" w:space="0" w:color="auto"/>
            </w:tcBorders>
            <w:shd w:val="clear" w:color="auto" w:fill="auto"/>
            <w:noWrap/>
            <w:vAlign w:val="bottom"/>
            <w:hideMark/>
          </w:tcPr>
          <w:p w14:paraId="1A817E31"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11.00</w:t>
            </w:r>
          </w:p>
        </w:tc>
      </w:tr>
      <w:tr w:rsidR="00CA79F8" w:rsidRPr="003753CF" w14:paraId="276C0FC2" w14:textId="77777777" w:rsidTr="00CA79F8">
        <w:trPr>
          <w:trHeight w:val="300"/>
          <w:jc w:val="center"/>
        </w:trPr>
        <w:tc>
          <w:tcPr>
            <w:tcW w:w="2879" w:type="dxa"/>
            <w:vMerge/>
            <w:tcBorders>
              <w:left w:val="single" w:sz="4" w:space="0" w:color="auto"/>
              <w:right w:val="single" w:sz="4" w:space="0" w:color="auto"/>
            </w:tcBorders>
            <w:shd w:val="clear" w:color="auto" w:fill="auto"/>
            <w:noWrap/>
            <w:vAlign w:val="center"/>
            <w:hideMark/>
          </w:tcPr>
          <w:p w14:paraId="5AD532DF"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nil"/>
              <w:right w:val="single" w:sz="4" w:space="0" w:color="auto"/>
            </w:tcBorders>
            <w:shd w:val="clear" w:color="auto" w:fill="auto"/>
            <w:noWrap/>
            <w:vAlign w:val="bottom"/>
            <w:hideMark/>
          </w:tcPr>
          <w:p w14:paraId="400D8089"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Narrowband</w:t>
            </w:r>
          </w:p>
        </w:tc>
        <w:tc>
          <w:tcPr>
            <w:tcW w:w="1586" w:type="dxa"/>
            <w:tcBorders>
              <w:top w:val="nil"/>
              <w:left w:val="single" w:sz="4" w:space="0" w:color="auto"/>
              <w:bottom w:val="nil"/>
              <w:right w:val="single" w:sz="4" w:space="0" w:color="auto"/>
            </w:tcBorders>
            <w:shd w:val="clear" w:color="auto" w:fill="auto"/>
            <w:noWrap/>
            <w:vAlign w:val="bottom"/>
            <w:hideMark/>
          </w:tcPr>
          <w:p w14:paraId="6108D458"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0.04</w:t>
            </w:r>
          </w:p>
        </w:tc>
        <w:tc>
          <w:tcPr>
            <w:tcW w:w="1587" w:type="dxa"/>
            <w:tcBorders>
              <w:top w:val="nil"/>
              <w:left w:val="single" w:sz="4" w:space="0" w:color="auto"/>
              <w:bottom w:val="nil"/>
              <w:right w:val="single" w:sz="4" w:space="0" w:color="auto"/>
            </w:tcBorders>
            <w:shd w:val="clear" w:color="auto" w:fill="auto"/>
            <w:noWrap/>
            <w:vAlign w:val="bottom"/>
            <w:hideMark/>
          </w:tcPr>
          <w:p w14:paraId="2AC7263C"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0.03</w:t>
            </w:r>
          </w:p>
        </w:tc>
        <w:tc>
          <w:tcPr>
            <w:tcW w:w="1327" w:type="dxa"/>
            <w:tcBorders>
              <w:top w:val="nil"/>
              <w:left w:val="single" w:sz="4" w:space="0" w:color="auto"/>
              <w:bottom w:val="nil"/>
              <w:right w:val="single" w:sz="4" w:space="0" w:color="auto"/>
            </w:tcBorders>
            <w:shd w:val="clear" w:color="auto" w:fill="auto"/>
            <w:noWrap/>
            <w:vAlign w:val="bottom"/>
            <w:hideMark/>
          </w:tcPr>
          <w:p w14:paraId="3512A5B6" w14:textId="77777777" w:rsidR="00FB4324" w:rsidRPr="003753CF" w:rsidRDefault="00FB4324" w:rsidP="002004F3">
            <w:pPr>
              <w:keepNext/>
              <w:jc w:val="right"/>
              <w:rPr>
                <w:rFonts w:ascii="Arial" w:hAnsi="Arial" w:cs="Arial"/>
                <w:color w:val="000000"/>
                <w:lang w:eastAsia="en-IN"/>
              </w:rPr>
            </w:pPr>
            <w:r>
              <w:rPr>
                <w:rFonts w:ascii="Arial" w:hAnsi="Arial" w:cs="Arial"/>
                <w:color w:val="000000"/>
                <w:lang w:eastAsia="en-IN"/>
              </w:rPr>
              <w:t>–</w:t>
            </w:r>
            <w:r w:rsidRPr="003753CF">
              <w:rPr>
                <w:rFonts w:ascii="Arial" w:hAnsi="Arial" w:cs="Arial"/>
                <w:color w:val="000000"/>
                <w:lang w:eastAsia="en-IN"/>
              </w:rPr>
              <w:t>15.82</w:t>
            </w:r>
          </w:p>
        </w:tc>
      </w:tr>
      <w:tr w:rsidR="00CA79F8" w:rsidRPr="003753CF" w14:paraId="30710DFB" w14:textId="77777777" w:rsidTr="00CA79F8">
        <w:trPr>
          <w:trHeight w:val="315"/>
          <w:jc w:val="center"/>
        </w:trPr>
        <w:tc>
          <w:tcPr>
            <w:tcW w:w="2879" w:type="dxa"/>
            <w:vMerge/>
            <w:tcBorders>
              <w:left w:val="single" w:sz="4" w:space="0" w:color="auto"/>
              <w:bottom w:val="single" w:sz="4" w:space="0" w:color="auto"/>
              <w:right w:val="single" w:sz="4" w:space="0" w:color="auto"/>
            </w:tcBorders>
            <w:shd w:val="clear" w:color="auto" w:fill="auto"/>
            <w:noWrap/>
            <w:vAlign w:val="center"/>
            <w:hideMark/>
          </w:tcPr>
          <w:p w14:paraId="77A55ABE"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1D971FFD"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Total</w:t>
            </w:r>
          </w:p>
        </w:tc>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9B2F537"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0.44</w:t>
            </w:r>
          </w:p>
        </w:tc>
        <w:tc>
          <w:tcPr>
            <w:tcW w:w="1587" w:type="dxa"/>
            <w:tcBorders>
              <w:top w:val="nil"/>
              <w:left w:val="single" w:sz="4" w:space="0" w:color="auto"/>
              <w:bottom w:val="single" w:sz="4" w:space="0" w:color="auto"/>
              <w:right w:val="single" w:sz="4" w:space="0" w:color="auto"/>
            </w:tcBorders>
            <w:shd w:val="clear" w:color="auto" w:fill="auto"/>
            <w:noWrap/>
            <w:vAlign w:val="bottom"/>
            <w:hideMark/>
          </w:tcPr>
          <w:p w14:paraId="717623AE"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0.48</w:t>
            </w:r>
          </w:p>
        </w:tc>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5C43CF35"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8.55</w:t>
            </w:r>
          </w:p>
        </w:tc>
      </w:tr>
      <w:tr w:rsidR="00CA79F8" w:rsidRPr="003753CF" w14:paraId="453A7871" w14:textId="77777777" w:rsidTr="00CA79F8">
        <w:trPr>
          <w:trHeight w:val="300"/>
          <w:jc w:val="center"/>
        </w:trPr>
        <w:tc>
          <w:tcPr>
            <w:tcW w:w="2879" w:type="dxa"/>
            <w:vMerge w:val="restart"/>
            <w:tcBorders>
              <w:top w:val="single" w:sz="4" w:space="0" w:color="auto"/>
              <w:left w:val="single" w:sz="4" w:space="0" w:color="auto"/>
              <w:right w:val="single" w:sz="4" w:space="0" w:color="auto"/>
            </w:tcBorders>
            <w:shd w:val="clear" w:color="auto" w:fill="auto"/>
            <w:noWrap/>
            <w:vAlign w:val="center"/>
            <w:hideMark/>
          </w:tcPr>
          <w:p w14:paraId="7C3214F8"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Wireless</w:t>
            </w:r>
            <w:r>
              <w:rPr>
                <w:rFonts w:ascii="Arial" w:hAnsi="Arial" w:cs="Arial"/>
                <w:color w:val="000000"/>
                <w:lang w:eastAsia="en-IN"/>
              </w:rPr>
              <w:t>:</w:t>
            </w:r>
            <w:r w:rsidRPr="003753CF">
              <w:rPr>
                <w:rFonts w:ascii="Arial" w:hAnsi="Arial" w:cs="Arial"/>
                <w:color w:val="000000"/>
                <w:lang w:eastAsia="en-IN"/>
              </w:rPr>
              <w:t xml:space="preserve"> Mobile </w:t>
            </w:r>
            <w:r>
              <w:rPr>
                <w:rFonts w:ascii="Arial" w:hAnsi="Arial" w:cs="Arial"/>
                <w:color w:val="000000"/>
                <w:lang w:eastAsia="en-IN"/>
              </w:rPr>
              <w:t>w</w:t>
            </w:r>
            <w:r w:rsidRPr="003753CF">
              <w:rPr>
                <w:rFonts w:ascii="Arial" w:hAnsi="Arial" w:cs="Arial"/>
                <w:color w:val="000000"/>
                <w:lang w:eastAsia="en-IN"/>
              </w:rPr>
              <w:t xml:space="preserve">ireless </w:t>
            </w:r>
          </w:p>
          <w:p w14:paraId="285B768A" w14:textId="0E78D2ED"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w:t>
            </w:r>
            <w:r>
              <w:rPr>
                <w:rFonts w:ascii="Arial" w:hAnsi="Arial" w:cs="Arial"/>
                <w:color w:val="000000"/>
                <w:lang w:eastAsia="en-IN"/>
              </w:rPr>
              <w:t>p</w:t>
            </w:r>
            <w:r w:rsidRPr="003753CF">
              <w:rPr>
                <w:rFonts w:ascii="Arial" w:hAnsi="Arial" w:cs="Arial"/>
                <w:color w:val="000000"/>
                <w:lang w:eastAsia="en-IN"/>
              </w:rPr>
              <w:t xml:space="preserve">hone </w:t>
            </w:r>
            <w:r>
              <w:rPr>
                <w:rFonts w:ascii="Arial" w:hAnsi="Arial" w:cs="Arial"/>
                <w:color w:val="000000"/>
                <w:lang w:eastAsia="en-IN"/>
              </w:rPr>
              <w:t>and</w:t>
            </w:r>
            <w:r w:rsidR="003D1E6C">
              <w:rPr>
                <w:rFonts w:ascii="Arial" w:hAnsi="Arial" w:cs="Arial"/>
                <w:color w:val="000000"/>
                <w:lang w:eastAsia="en-IN"/>
              </w:rPr>
              <w:t xml:space="preserve"> </w:t>
            </w:r>
            <w:r>
              <w:rPr>
                <w:rFonts w:ascii="Arial" w:hAnsi="Arial" w:cs="Arial"/>
                <w:color w:val="000000"/>
                <w:lang w:eastAsia="en-IN"/>
              </w:rPr>
              <w:t>d</w:t>
            </w:r>
            <w:r w:rsidRPr="003753CF">
              <w:rPr>
                <w:rFonts w:ascii="Arial" w:hAnsi="Arial" w:cs="Arial"/>
                <w:color w:val="000000"/>
                <w:lang w:eastAsia="en-IN"/>
              </w:rPr>
              <w:t xml:space="preserve">ongle) </w:t>
            </w:r>
          </w:p>
        </w:tc>
        <w:tc>
          <w:tcPr>
            <w:tcW w:w="1710" w:type="dxa"/>
            <w:tcBorders>
              <w:top w:val="single" w:sz="4" w:space="0" w:color="auto"/>
              <w:left w:val="single" w:sz="4" w:space="0" w:color="auto"/>
              <w:bottom w:val="nil"/>
              <w:right w:val="single" w:sz="4" w:space="0" w:color="auto"/>
            </w:tcBorders>
            <w:shd w:val="clear" w:color="auto" w:fill="auto"/>
            <w:noWrap/>
            <w:vAlign w:val="bottom"/>
            <w:hideMark/>
          </w:tcPr>
          <w:p w14:paraId="57DF5D21"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Broadband</w:t>
            </w:r>
          </w:p>
        </w:tc>
        <w:tc>
          <w:tcPr>
            <w:tcW w:w="1586" w:type="dxa"/>
            <w:tcBorders>
              <w:top w:val="single" w:sz="4" w:space="0" w:color="auto"/>
              <w:left w:val="single" w:sz="4" w:space="0" w:color="auto"/>
              <w:bottom w:val="nil"/>
              <w:right w:val="single" w:sz="4" w:space="0" w:color="auto"/>
            </w:tcBorders>
            <w:shd w:val="clear" w:color="auto" w:fill="auto"/>
            <w:noWrap/>
            <w:vAlign w:val="bottom"/>
            <w:hideMark/>
          </w:tcPr>
          <w:p w14:paraId="2F04A264"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45.61</w:t>
            </w:r>
          </w:p>
        </w:tc>
        <w:tc>
          <w:tcPr>
            <w:tcW w:w="1587" w:type="dxa"/>
            <w:tcBorders>
              <w:top w:val="single" w:sz="4" w:space="0" w:color="auto"/>
              <w:left w:val="single" w:sz="4" w:space="0" w:color="auto"/>
              <w:bottom w:val="nil"/>
              <w:right w:val="single" w:sz="4" w:space="0" w:color="auto"/>
            </w:tcBorders>
            <w:shd w:val="clear" w:color="auto" w:fill="auto"/>
            <w:noWrap/>
            <w:vAlign w:val="bottom"/>
            <w:hideMark/>
          </w:tcPr>
          <w:p w14:paraId="5FD6A347"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83.24</w:t>
            </w:r>
          </w:p>
        </w:tc>
        <w:tc>
          <w:tcPr>
            <w:tcW w:w="1327" w:type="dxa"/>
            <w:tcBorders>
              <w:top w:val="single" w:sz="4" w:space="0" w:color="auto"/>
              <w:left w:val="single" w:sz="4" w:space="0" w:color="auto"/>
              <w:bottom w:val="nil"/>
              <w:right w:val="single" w:sz="4" w:space="0" w:color="auto"/>
            </w:tcBorders>
            <w:shd w:val="clear" w:color="auto" w:fill="auto"/>
            <w:noWrap/>
            <w:vAlign w:val="bottom"/>
            <w:hideMark/>
          </w:tcPr>
          <w:p w14:paraId="4842C989"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82.48</w:t>
            </w:r>
          </w:p>
        </w:tc>
      </w:tr>
      <w:tr w:rsidR="00CA79F8" w:rsidRPr="003753CF" w14:paraId="5FCF2C55" w14:textId="77777777" w:rsidTr="00CA79F8">
        <w:trPr>
          <w:trHeight w:val="300"/>
          <w:jc w:val="center"/>
        </w:trPr>
        <w:tc>
          <w:tcPr>
            <w:tcW w:w="2879" w:type="dxa"/>
            <w:vMerge/>
            <w:tcBorders>
              <w:left w:val="single" w:sz="4" w:space="0" w:color="auto"/>
              <w:right w:val="single" w:sz="4" w:space="0" w:color="auto"/>
            </w:tcBorders>
            <w:shd w:val="clear" w:color="auto" w:fill="auto"/>
            <w:noWrap/>
            <w:vAlign w:val="center"/>
            <w:hideMark/>
          </w:tcPr>
          <w:p w14:paraId="6F2B6190"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nil"/>
              <w:right w:val="single" w:sz="4" w:space="0" w:color="auto"/>
            </w:tcBorders>
            <w:shd w:val="clear" w:color="auto" w:fill="auto"/>
            <w:noWrap/>
            <w:vAlign w:val="bottom"/>
            <w:hideMark/>
          </w:tcPr>
          <w:p w14:paraId="6E4ABB55"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Narrowband</w:t>
            </w:r>
          </w:p>
        </w:tc>
        <w:tc>
          <w:tcPr>
            <w:tcW w:w="1586" w:type="dxa"/>
            <w:tcBorders>
              <w:top w:val="nil"/>
              <w:left w:val="single" w:sz="4" w:space="0" w:color="auto"/>
              <w:bottom w:val="nil"/>
              <w:right w:val="single" w:sz="4" w:space="0" w:color="auto"/>
            </w:tcBorders>
            <w:shd w:val="clear" w:color="auto" w:fill="auto"/>
            <w:noWrap/>
            <w:vAlign w:val="bottom"/>
            <w:hideMark/>
          </w:tcPr>
          <w:p w14:paraId="4401ACFB"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187.04</w:t>
            </w:r>
          </w:p>
        </w:tc>
        <w:tc>
          <w:tcPr>
            <w:tcW w:w="1587" w:type="dxa"/>
            <w:tcBorders>
              <w:top w:val="nil"/>
              <w:left w:val="single" w:sz="4" w:space="0" w:color="auto"/>
              <w:bottom w:val="nil"/>
              <w:right w:val="single" w:sz="4" w:space="0" w:color="auto"/>
            </w:tcBorders>
            <w:shd w:val="clear" w:color="auto" w:fill="auto"/>
            <w:noWrap/>
            <w:vAlign w:val="bottom"/>
            <w:hideMark/>
          </w:tcPr>
          <w:p w14:paraId="0F55F1D4"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199.57</w:t>
            </w:r>
          </w:p>
        </w:tc>
        <w:tc>
          <w:tcPr>
            <w:tcW w:w="1327" w:type="dxa"/>
            <w:tcBorders>
              <w:top w:val="nil"/>
              <w:left w:val="single" w:sz="4" w:space="0" w:color="auto"/>
              <w:bottom w:val="nil"/>
              <w:right w:val="single" w:sz="4" w:space="0" w:color="auto"/>
            </w:tcBorders>
            <w:shd w:val="clear" w:color="auto" w:fill="auto"/>
            <w:noWrap/>
            <w:vAlign w:val="bottom"/>
            <w:hideMark/>
          </w:tcPr>
          <w:p w14:paraId="6F2B00EB"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6.70</w:t>
            </w:r>
          </w:p>
        </w:tc>
      </w:tr>
      <w:tr w:rsidR="00CA79F8" w:rsidRPr="003753CF" w14:paraId="11D39158" w14:textId="77777777" w:rsidTr="00CA79F8">
        <w:trPr>
          <w:trHeight w:val="315"/>
          <w:jc w:val="center"/>
        </w:trPr>
        <w:tc>
          <w:tcPr>
            <w:tcW w:w="2879" w:type="dxa"/>
            <w:vMerge/>
            <w:tcBorders>
              <w:left w:val="single" w:sz="4" w:space="0" w:color="auto"/>
              <w:bottom w:val="single" w:sz="4" w:space="0" w:color="auto"/>
              <w:right w:val="single" w:sz="4" w:space="0" w:color="auto"/>
            </w:tcBorders>
            <w:shd w:val="clear" w:color="auto" w:fill="auto"/>
            <w:noWrap/>
            <w:vAlign w:val="center"/>
            <w:hideMark/>
          </w:tcPr>
          <w:p w14:paraId="29E4A78D"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3FC8A90"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Total</w:t>
            </w:r>
          </w:p>
        </w:tc>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4A5C94F2"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232.65</w:t>
            </w:r>
          </w:p>
        </w:tc>
        <w:tc>
          <w:tcPr>
            <w:tcW w:w="1587" w:type="dxa"/>
            <w:tcBorders>
              <w:top w:val="nil"/>
              <w:left w:val="single" w:sz="4" w:space="0" w:color="auto"/>
              <w:bottom w:val="single" w:sz="4" w:space="0" w:color="auto"/>
              <w:right w:val="single" w:sz="4" w:space="0" w:color="auto"/>
            </w:tcBorders>
            <w:shd w:val="clear" w:color="auto" w:fill="auto"/>
            <w:noWrap/>
            <w:vAlign w:val="bottom"/>
            <w:hideMark/>
          </w:tcPr>
          <w:p w14:paraId="5CCAF190"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282.81</w:t>
            </w:r>
          </w:p>
        </w:tc>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70A1FF7F"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21.56</w:t>
            </w:r>
          </w:p>
        </w:tc>
      </w:tr>
      <w:tr w:rsidR="00CA79F8" w:rsidRPr="003753CF" w14:paraId="6E609E8C" w14:textId="77777777" w:rsidTr="00CA79F8">
        <w:trPr>
          <w:trHeight w:val="300"/>
          <w:jc w:val="center"/>
        </w:trPr>
        <w:tc>
          <w:tcPr>
            <w:tcW w:w="2879" w:type="dxa"/>
            <w:vMerge w:val="restart"/>
            <w:tcBorders>
              <w:top w:val="single" w:sz="4" w:space="0" w:color="auto"/>
              <w:left w:val="single" w:sz="4" w:space="0" w:color="auto"/>
              <w:right w:val="single" w:sz="4" w:space="0" w:color="auto"/>
            </w:tcBorders>
            <w:shd w:val="clear" w:color="auto" w:fill="auto"/>
            <w:noWrap/>
            <w:vAlign w:val="center"/>
            <w:hideMark/>
          </w:tcPr>
          <w:p w14:paraId="7C7B8726"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 xml:space="preserve">Total Internet </w:t>
            </w:r>
            <w:r>
              <w:rPr>
                <w:rFonts w:ascii="Arial" w:hAnsi="Arial" w:cs="Arial"/>
                <w:color w:val="000000"/>
                <w:lang w:eastAsia="en-IN"/>
              </w:rPr>
              <w:t>s</w:t>
            </w:r>
            <w:r w:rsidRPr="003753CF">
              <w:rPr>
                <w:rFonts w:ascii="Arial" w:hAnsi="Arial" w:cs="Arial"/>
                <w:color w:val="000000"/>
                <w:lang w:eastAsia="en-IN"/>
              </w:rPr>
              <w:t xml:space="preserve">ubscribers </w:t>
            </w:r>
          </w:p>
        </w:tc>
        <w:tc>
          <w:tcPr>
            <w:tcW w:w="1710" w:type="dxa"/>
            <w:tcBorders>
              <w:top w:val="single" w:sz="4" w:space="0" w:color="auto"/>
              <w:left w:val="single" w:sz="4" w:space="0" w:color="auto"/>
              <w:bottom w:val="nil"/>
              <w:right w:val="single" w:sz="4" w:space="0" w:color="auto"/>
            </w:tcBorders>
            <w:shd w:val="clear" w:color="auto" w:fill="auto"/>
            <w:noWrap/>
            <w:vAlign w:val="bottom"/>
            <w:hideMark/>
          </w:tcPr>
          <w:p w14:paraId="29FCC720"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Broadband</w:t>
            </w:r>
          </w:p>
        </w:tc>
        <w:tc>
          <w:tcPr>
            <w:tcW w:w="1586" w:type="dxa"/>
            <w:tcBorders>
              <w:top w:val="single" w:sz="4" w:space="0" w:color="auto"/>
              <w:left w:val="single" w:sz="4" w:space="0" w:color="auto"/>
              <w:bottom w:val="nil"/>
              <w:right w:val="single" w:sz="4" w:space="0" w:color="auto"/>
            </w:tcBorders>
            <w:shd w:val="clear" w:color="auto" w:fill="auto"/>
            <w:noWrap/>
            <w:vAlign w:val="bottom"/>
            <w:hideMark/>
          </w:tcPr>
          <w:p w14:paraId="616FD616"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60.87</w:t>
            </w:r>
          </w:p>
        </w:tc>
        <w:tc>
          <w:tcPr>
            <w:tcW w:w="1587" w:type="dxa"/>
            <w:tcBorders>
              <w:top w:val="single" w:sz="4" w:space="0" w:color="auto"/>
              <w:left w:val="single" w:sz="4" w:space="0" w:color="auto"/>
              <w:bottom w:val="nil"/>
              <w:right w:val="single" w:sz="4" w:space="0" w:color="auto"/>
            </w:tcBorders>
            <w:shd w:val="clear" w:color="auto" w:fill="auto"/>
            <w:noWrap/>
            <w:vAlign w:val="bottom"/>
            <w:hideMark/>
          </w:tcPr>
          <w:p w14:paraId="1A75046D"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99.20</w:t>
            </w:r>
          </w:p>
        </w:tc>
        <w:tc>
          <w:tcPr>
            <w:tcW w:w="1327" w:type="dxa"/>
            <w:tcBorders>
              <w:top w:val="single" w:sz="4" w:space="0" w:color="auto"/>
              <w:left w:val="single" w:sz="4" w:space="0" w:color="auto"/>
              <w:bottom w:val="nil"/>
              <w:right w:val="single" w:sz="4" w:space="0" w:color="auto"/>
            </w:tcBorders>
            <w:shd w:val="clear" w:color="auto" w:fill="auto"/>
            <w:noWrap/>
            <w:vAlign w:val="bottom"/>
            <w:hideMark/>
          </w:tcPr>
          <w:p w14:paraId="16379BCC"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62.96</w:t>
            </w:r>
          </w:p>
        </w:tc>
      </w:tr>
      <w:tr w:rsidR="00CA79F8" w:rsidRPr="003753CF" w14:paraId="1E5216CF" w14:textId="77777777" w:rsidTr="00CA79F8">
        <w:trPr>
          <w:trHeight w:val="300"/>
          <w:jc w:val="center"/>
        </w:trPr>
        <w:tc>
          <w:tcPr>
            <w:tcW w:w="2879" w:type="dxa"/>
            <w:vMerge/>
            <w:tcBorders>
              <w:left w:val="single" w:sz="4" w:space="0" w:color="auto"/>
              <w:right w:val="single" w:sz="4" w:space="0" w:color="auto"/>
            </w:tcBorders>
            <w:shd w:val="clear" w:color="auto" w:fill="auto"/>
            <w:noWrap/>
            <w:vAlign w:val="bottom"/>
            <w:hideMark/>
          </w:tcPr>
          <w:p w14:paraId="0BAF5EF8"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nil"/>
              <w:right w:val="single" w:sz="4" w:space="0" w:color="auto"/>
            </w:tcBorders>
            <w:shd w:val="clear" w:color="auto" w:fill="auto"/>
            <w:noWrap/>
            <w:vAlign w:val="bottom"/>
            <w:hideMark/>
          </w:tcPr>
          <w:p w14:paraId="61DAF82E"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Narrowband</w:t>
            </w:r>
          </w:p>
        </w:tc>
        <w:tc>
          <w:tcPr>
            <w:tcW w:w="1586" w:type="dxa"/>
            <w:tcBorders>
              <w:top w:val="nil"/>
              <w:left w:val="single" w:sz="4" w:space="0" w:color="auto"/>
              <w:bottom w:val="nil"/>
              <w:right w:val="single" w:sz="4" w:space="0" w:color="auto"/>
            </w:tcBorders>
            <w:shd w:val="clear" w:color="auto" w:fill="auto"/>
            <w:noWrap/>
            <w:vAlign w:val="bottom"/>
            <w:hideMark/>
          </w:tcPr>
          <w:p w14:paraId="286FDD5F"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190.72</w:t>
            </w:r>
          </w:p>
        </w:tc>
        <w:tc>
          <w:tcPr>
            <w:tcW w:w="1587" w:type="dxa"/>
            <w:tcBorders>
              <w:top w:val="nil"/>
              <w:left w:val="single" w:sz="4" w:space="0" w:color="auto"/>
              <w:bottom w:val="nil"/>
              <w:right w:val="single" w:sz="4" w:space="0" w:color="auto"/>
            </w:tcBorders>
            <w:shd w:val="clear" w:color="auto" w:fill="auto"/>
            <w:noWrap/>
            <w:vAlign w:val="bottom"/>
            <w:hideMark/>
          </w:tcPr>
          <w:p w14:paraId="668C4520"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203.15</w:t>
            </w:r>
          </w:p>
        </w:tc>
        <w:tc>
          <w:tcPr>
            <w:tcW w:w="1327" w:type="dxa"/>
            <w:tcBorders>
              <w:top w:val="nil"/>
              <w:left w:val="single" w:sz="4" w:space="0" w:color="auto"/>
              <w:bottom w:val="nil"/>
              <w:right w:val="single" w:sz="4" w:space="0" w:color="auto"/>
            </w:tcBorders>
            <w:shd w:val="clear" w:color="auto" w:fill="auto"/>
            <w:noWrap/>
            <w:vAlign w:val="bottom"/>
            <w:hideMark/>
          </w:tcPr>
          <w:p w14:paraId="2E44BEA2"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6.52</w:t>
            </w:r>
          </w:p>
        </w:tc>
      </w:tr>
      <w:tr w:rsidR="00CA79F8" w:rsidRPr="003753CF" w14:paraId="1A0E7ECA" w14:textId="77777777" w:rsidTr="00CA79F8">
        <w:trPr>
          <w:trHeight w:val="315"/>
          <w:jc w:val="center"/>
        </w:trPr>
        <w:tc>
          <w:tcPr>
            <w:tcW w:w="2879" w:type="dxa"/>
            <w:vMerge/>
            <w:tcBorders>
              <w:left w:val="single" w:sz="4" w:space="0" w:color="auto"/>
              <w:bottom w:val="single" w:sz="4" w:space="0" w:color="auto"/>
              <w:right w:val="single" w:sz="4" w:space="0" w:color="auto"/>
            </w:tcBorders>
            <w:shd w:val="clear" w:color="auto" w:fill="auto"/>
            <w:noWrap/>
            <w:vAlign w:val="bottom"/>
            <w:hideMark/>
          </w:tcPr>
          <w:p w14:paraId="4E41C164" w14:textId="77777777" w:rsidR="00FB4324" w:rsidRPr="003753CF" w:rsidRDefault="00FB4324" w:rsidP="002004F3">
            <w:pPr>
              <w:keepNext/>
              <w:rPr>
                <w:rFonts w:ascii="Arial" w:hAnsi="Arial" w:cs="Arial"/>
                <w:color w:val="000000"/>
                <w:lang w:eastAsia="en-IN"/>
              </w:rPr>
            </w:pPr>
          </w:p>
        </w:tc>
        <w:tc>
          <w:tcPr>
            <w:tcW w:w="1710" w:type="dxa"/>
            <w:tcBorders>
              <w:top w:val="nil"/>
              <w:left w:val="single" w:sz="4" w:space="0" w:color="auto"/>
              <w:bottom w:val="single" w:sz="4" w:space="0" w:color="auto"/>
              <w:right w:val="single" w:sz="4" w:space="0" w:color="auto"/>
            </w:tcBorders>
            <w:shd w:val="clear" w:color="auto" w:fill="auto"/>
            <w:noWrap/>
            <w:vAlign w:val="bottom"/>
            <w:hideMark/>
          </w:tcPr>
          <w:p w14:paraId="4BA4EA07" w14:textId="77777777" w:rsidR="00FB4324" w:rsidRPr="003753CF" w:rsidRDefault="00FB4324" w:rsidP="002004F3">
            <w:pPr>
              <w:keepNext/>
              <w:rPr>
                <w:rFonts w:ascii="Arial" w:hAnsi="Arial" w:cs="Arial"/>
                <w:color w:val="000000"/>
                <w:lang w:eastAsia="en-IN"/>
              </w:rPr>
            </w:pPr>
            <w:r w:rsidRPr="003753CF">
              <w:rPr>
                <w:rFonts w:ascii="Arial" w:hAnsi="Arial" w:cs="Arial"/>
                <w:color w:val="000000"/>
                <w:lang w:eastAsia="en-IN"/>
              </w:rPr>
              <w:t>Total</w:t>
            </w:r>
          </w:p>
        </w:tc>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B2DA13"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251.59</w:t>
            </w:r>
          </w:p>
        </w:tc>
        <w:tc>
          <w:tcPr>
            <w:tcW w:w="1587" w:type="dxa"/>
            <w:tcBorders>
              <w:top w:val="nil"/>
              <w:left w:val="single" w:sz="4" w:space="0" w:color="auto"/>
              <w:bottom w:val="single" w:sz="4" w:space="0" w:color="auto"/>
              <w:right w:val="single" w:sz="4" w:space="0" w:color="auto"/>
            </w:tcBorders>
            <w:shd w:val="clear" w:color="auto" w:fill="auto"/>
            <w:noWrap/>
            <w:vAlign w:val="bottom"/>
            <w:hideMark/>
          </w:tcPr>
          <w:p w14:paraId="3864C1FA"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302.35</w:t>
            </w:r>
          </w:p>
        </w:tc>
        <w:tc>
          <w:tcPr>
            <w:tcW w:w="1327" w:type="dxa"/>
            <w:tcBorders>
              <w:top w:val="nil"/>
              <w:left w:val="single" w:sz="4" w:space="0" w:color="auto"/>
              <w:bottom w:val="single" w:sz="4" w:space="0" w:color="auto"/>
              <w:right w:val="single" w:sz="4" w:space="0" w:color="auto"/>
            </w:tcBorders>
            <w:shd w:val="clear" w:color="auto" w:fill="auto"/>
            <w:noWrap/>
            <w:vAlign w:val="bottom"/>
            <w:hideMark/>
          </w:tcPr>
          <w:p w14:paraId="0C725AB5" w14:textId="77777777" w:rsidR="00FB4324" w:rsidRPr="003753CF" w:rsidRDefault="00FB4324" w:rsidP="002004F3">
            <w:pPr>
              <w:keepNext/>
              <w:jc w:val="right"/>
              <w:rPr>
                <w:rFonts w:ascii="Arial" w:hAnsi="Arial" w:cs="Arial"/>
                <w:color w:val="000000"/>
                <w:lang w:eastAsia="en-IN"/>
              </w:rPr>
            </w:pPr>
            <w:r w:rsidRPr="003753CF">
              <w:rPr>
                <w:rFonts w:ascii="Arial" w:hAnsi="Arial" w:cs="Arial"/>
                <w:color w:val="000000"/>
                <w:lang w:eastAsia="en-IN"/>
              </w:rPr>
              <w:t>20.18</w:t>
            </w:r>
          </w:p>
        </w:tc>
      </w:tr>
    </w:tbl>
    <w:p w14:paraId="3922C53A" w14:textId="77777777" w:rsidR="00095AA7" w:rsidRPr="003753CF" w:rsidRDefault="00095AA7" w:rsidP="002004F3">
      <w:pPr>
        <w:pStyle w:val="ExhibitText"/>
        <w:keepNext/>
      </w:pPr>
    </w:p>
    <w:p w14:paraId="05F5249B" w14:textId="387C0B40" w:rsidR="00283E9B" w:rsidRPr="007953F9" w:rsidRDefault="00283E9B" w:rsidP="00095AA7">
      <w:pPr>
        <w:pStyle w:val="Footnote"/>
      </w:pPr>
      <w:r w:rsidRPr="007953F9">
        <w:t xml:space="preserve">Source: </w:t>
      </w:r>
      <w:r w:rsidR="008276E8" w:rsidRPr="007953F9">
        <w:t>Sistema Shyam</w:t>
      </w:r>
      <w:r w:rsidR="00507E8E">
        <w:t xml:space="preserve"> </w:t>
      </w:r>
      <w:r w:rsidR="008276E8" w:rsidRPr="007953F9">
        <w:t>TeleServices L</w:t>
      </w:r>
      <w:r w:rsidR="003A7FC0">
        <w:t>imited</w:t>
      </w:r>
      <w:r w:rsidR="008276E8" w:rsidRPr="007953F9">
        <w:t xml:space="preserve">, </w:t>
      </w:r>
      <w:r w:rsidR="008276E8" w:rsidRPr="007953F9">
        <w:rPr>
          <w:i/>
        </w:rPr>
        <w:t>Annual Report 2014</w:t>
      </w:r>
      <w:r w:rsidR="00EF62B0">
        <w:rPr>
          <w:i/>
        </w:rPr>
        <w:t>–</w:t>
      </w:r>
      <w:r w:rsidR="008276E8" w:rsidRPr="007953F9">
        <w:rPr>
          <w:i/>
        </w:rPr>
        <w:t>15</w:t>
      </w:r>
      <w:r w:rsidR="008276E8" w:rsidRPr="007953F9">
        <w:t>, 18,</w:t>
      </w:r>
      <w:r w:rsidR="005211A4">
        <w:t xml:space="preserve"> </w:t>
      </w:r>
      <w:r w:rsidR="008276E8" w:rsidRPr="007953F9">
        <w:t>accessed August 27, 2016, www.mtsindia.in/corporate/downloads/SSTL%20Annual%20Report%202014-15.pdf</w:t>
      </w:r>
      <w:r w:rsidR="005211A4">
        <w:t>.</w:t>
      </w:r>
    </w:p>
    <w:p w14:paraId="2889FC51" w14:textId="77777777" w:rsidR="00283E9B" w:rsidRPr="003753CF" w:rsidRDefault="003166E2" w:rsidP="002004F3">
      <w:pPr>
        <w:pStyle w:val="ExhibitText"/>
      </w:pPr>
      <w:r>
        <w:rPr>
          <w:noProof/>
          <w:lang w:eastAsia="en-GB"/>
        </w:rPr>
        <mc:AlternateContent>
          <mc:Choice Requires="wps">
            <w:drawing>
              <wp:anchor distT="0" distB="0" distL="114300" distR="114300" simplePos="0" relativeHeight="251659264" behindDoc="0" locked="0" layoutInCell="1" allowOverlap="1" wp14:anchorId="2A5F881D" wp14:editId="2DF577FC">
                <wp:simplePos x="0" y="0"/>
                <wp:positionH relativeFrom="column">
                  <wp:posOffset>172720</wp:posOffset>
                </wp:positionH>
                <wp:positionV relativeFrom="paragraph">
                  <wp:posOffset>7386955</wp:posOffset>
                </wp:positionV>
                <wp:extent cx="114935" cy="212725"/>
                <wp:effectExtent l="0" t="0" r="0" b="0"/>
                <wp:wrapNone/>
                <wp:docPr id="91" name="Rectangle 9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114935" cy="212725"/>
                        </a:xfrm>
                        <a:prstGeom prst="rect">
                          <a:avLst/>
                        </a:prstGeom>
                        <a:noFill/>
                        <a:extLst>
                          <a:ext uri="{909E8E84-426E-40DD-AFC4-6F175D3DCCD1}">
                            <a14:hiddenFill xmlns:a14="http://schemas.microsoft.com/office/drawing/2010/main">
                              <a:solidFill>
                                <a:scrgbClr r="0" g="0" b="0"/>
                              </a:solidFill>
                            </a14:hiddenFill>
                          </a:ext>
                        </a:extLst>
                      </wps:spPr>
                      <wps:txbx>
                        <w:txbxContent>
                          <w:p w14:paraId="3F74E764" w14:textId="77777777" w:rsidR="002004F3" w:rsidRDefault="002004F3" w:rsidP="00283E9B">
                            <w:pPr>
                              <w:pStyle w:val="NormalWeb"/>
                              <w:spacing w:before="0" w:beforeAutospacing="0" w:after="0" w:afterAutospacing="0"/>
                              <w:jc w:val="right"/>
                            </w:pPr>
                          </w:p>
                        </w:txbxContent>
                      </wps:txbx>
                      <wps:bodyPr vert="horz" wrap="none" lIns="0" tIns="0" rIns="0" bIns="0" numCol="1" spcCol="0" rtlCol="0" anchor="ctr" anchorCtr="0">
                        <a:noAutofit/>
                      </wps:bodyPr>
                    </wps:wsp>
                  </a:graphicData>
                </a:graphic>
                <wp14:sizeRelH relativeFrom="page">
                  <wp14:pctWidth>0</wp14:pctWidth>
                </wp14:sizeRelH>
                <wp14:sizeRelV relativeFrom="page">
                  <wp14:pctHeight>0</wp14:pctHeight>
                </wp14:sizeRelV>
              </wp:anchor>
            </w:drawing>
          </mc:Choice>
          <mc:Fallback>
            <w:pict>
              <v:rect w14:anchorId="2A5F881D" id="Rectangle 91" o:spid="_x0000_s1026" style="position:absolute;left:0;text-align:left;margin-left:13.6pt;margin-top:581.65pt;width:9.05pt;height:16.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" filled="f" fillcolor="black" stroked="f">
                <v:path arrowok="t"/>
                <o:lock v:ext="edit" grouping="t"/>
                <v:textbox inset="0,0,0,0">
                  <w:txbxContent>
                    <w:p w14:paraId="3F74E764" w14:textId="77777777" w:rsidR="002004F3" w:rsidRDefault="002004F3" w:rsidP="00283E9B">
                      <w:pPr>
                        <w:pStyle w:val="NormalWeb"/>
                        <w:spacing w:before="0" w:beforeAutospacing="0" w:after="0" w:afterAutospacing="0"/>
                        <w:jc w:val="right"/>
                      </w:pPr>
                    </w:p>
                  </w:txbxContent>
                </v:textbox>
              </v:rect>
            </w:pict>
          </mc:Fallback>
        </mc:AlternateContent>
      </w:r>
    </w:p>
    <w:p w14:paraId="50A17722" w14:textId="77777777" w:rsidR="00283E9B" w:rsidRPr="003753CF" w:rsidRDefault="00283E9B">
      <w:pPr>
        <w:spacing w:after="200" w:line="276" w:lineRule="auto"/>
        <w:rPr>
          <w:sz w:val="22"/>
          <w:szCs w:val="22"/>
        </w:rPr>
      </w:pPr>
      <w:r w:rsidRPr="003753CF">
        <w:rPr>
          <w:sz w:val="22"/>
          <w:szCs w:val="22"/>
        </w:rPr>
        <w:br w:type="page"/>
      </w:r>
    </w:p>
    <w:p w14:paraId="5D6426AC" w14:textId="77777777" w:rsidR="00B66FDF" w:rsidRPr="003753CF" w:rsidRDefault="006F4C88" w:rsidP="001348F0">
      <w:pPr>
        <w:pStyle w:val="Casehead1"/>
        <w:outlineLvl w:val="0"/>
      </w:pPr>
      <w:r w:rsidRPr="003753CF">
        <w:lastRenderedPageBreak/>
        <w:t>Endnotes</w:t>
      </w:r>
    </w:p>
    <w:sectPr w:rsidR="00B66FDF" w:rsidRPr="003753CF"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89295" w14:textId="77777777" w:rsidR="002004F3" w:rsidRDefault="002004F3" w:rsidP="00D75295">
      <w:r>
        <w:separator/>
      </w:r>
    </w:p>
  </w:endnote>
  <w:endnote w:type="continuationSeparator" w:id="0">
    <w:p w14:paraId="66A37842" w14:textId="77777777" w:rsidR="002004F3" w:rsidRDefault="002004F3" w:rsidP="00D75295">
      <w:r>
        <w:continuationSeparator/>
      </w:r>
    </w:p>
  </w:endnote>
  <w:endnote w:id="1">
    <w:p w14:paraId="35A0463C" w14:textId="4A5BF062" w:rsidR="002004F3" w:rsidRPr="00436E0F" w:rsidRDefault="002004F3" w:rsidP="00DB7810">
      <w:pPr>
        <w:pStyle w:val="Footnote"/>
        <w:rPr>
          <w:spacing w:val="-4"/>
          <w:kern w:val="17"/>
        </w:rPr>
      </w:pPr>
      <w:r w:rsidRPr="00FB4324">
        <w:rPr>
          <w:rStyle w:val="EndnoteReference"/>
          <w:spacing w:val="-4"/>
          <w:kern w:val="17"/>
        </w:rPr>
        <w:endnoteRef/>
      </w:r>
      <w:r w:rsidRPr="00FB4324">
        <w:rPr>
          <w:spacing w:val="-4"/>
          <w:kern w:val="17"/>
        </w:rPr>
        <w:t xml:space="preserve"> Sistema Shyam</w:t>
      </w:r>
      <w:r>
        <w:rPr>
          <w:spacing w:val="-4"/>
          <w:kern w:val="17"/>
        </w:rPr>
        <w:t xml:space="preserve"> </w:t>
      </w:r>
      <w:r w:rsidRPr="00FB4324">
        <w:rPr>
          <w:spacing w:val="-4"/>
          <w:kern w:val="17"/>
        </w:rPr>
        <w:t xml:space="preserve">TeleServices Limited, </w:t>
      </w:r>
      <w:r w:rsidRPr="00FB4324">
        <w:rPr>
          <w:i/>
          <w:spacing w:val="-4"/>
          <w:kern w:val="17"/>
        </w:rPr>
        <w:t>Annual Report 2014–15</w:t>
      </w:r>
      <w:r w:rsidRPr="00FB4324">
        <w:rPr>
          <w:spacing w:val="-4"/>
          <w:kern w:val="17"/>
        </w:rPr>
        <w:t>, 2, accessed August 27, 2016, www.mtsindia.in/corporate/downloads/SSTL%20Annual%20Report%202014-15.pdf.</w:t>
      </w:r>
    </w:p>
  </w:endnote>
  <w:endnote w:id="2">
    <w:p w14:paraId="60B32C3C" w14:textId="69F2E0EA" w:rsidR="002004F3" w:rsidRPr="00FB4324" w:rsidRDefault="002004F3" w:rsidP="002004F3">
      <w:pPr>
        <w:pStyle w:val="Footnote"/>
      </w:pPr>
      <w:r w:rsidRPr="00FB4324">
        <w:rPr>
          <w:rStyle w:val="EndnoteReference"/>
          <w:spacing w:val="-4"/>
          <w:kern w:val="17"/>
        </w:rPr>
        <w:endnoteRef/>
      </w:r>
      <w:r w:rsidRPr="00FB4324">
        <w:t xml:space="preserve"> ₹ = INR = Indian rupee; all currency amounts are in ₹ unless otherwise specified; US$1 = ₹62.59 at the end year of </w:t>
      </w:r>
      <w:r>
        <w:t xml:space="preserve">fiscal year </w:t>
      </w:r>
      <w:r w:rsidRPr="00FB4324">
        <w:t>2014</w:t>
      </w:r>
      <w:r>
        <w:t>–</w:t>
      </w:r>
      <w:r w:rsidRPr="00FB4324">
        <w:t>15.</w:t>
      </w:r>
    </w:p>
  </w:endnote>
  <w:endnote w:id="3">
    <w:p w14:paraId="735FBB0B" w14:textId="0203D393" w:rsidR="002004F3" w:rsidRPr="009F294F" w:rsidRDefault="002004F3" w:rsidP="00E5372F">
      <w:pPr>
        <w:pStyle w:val="Footnote"/>
        <w:rPr>
          <w:lang w:val="en-IN"/>
        </w:rPr>
      </w:pPr>
      <w:r w:rsidRPr="00E5372F">
        <w:rPr>
          <w:rStyle w:val="EndnoteReference"/>
        </w:rPr>
        <w:endnoteRef/>
      </w:r>
      <w:r w:rsidRPr="00E5372F">
        <w:t xml:space="preserve"> Sistema Shyam</w:t>
      </w:r>
      <w:r>
        <w:t xml:space="preserve"> </w:t>
      </w:r>
      <w:r w:rsidRPr="00E5372F">
        <w:t xml:space="preserve">TeleServices Limited, </w:t>
      </w:r>
      <w:r w:rsidRPr="00E5372F">
        <w:rPr>
          <w:i/>
        </w:rPr>
        <w:t>Annual Report 2014–15</w:t>
      </w:r>
      <w:r w:rsidRPr="00E5372F">
        <w:t xml:space="preserve">, </w:t>
      </w:r>
      <w:r>
        <w:t>op. cit., 5.</w:t>
      </w:r>
    </w:p>
  </w:endnote>
  <w:endnote w:id="4">
    <w:p w14:paraId="62D6879F" w14:textId="537B33F4" w:rsidR="002004F3" w:rsidRPr="00520B5E" w:rsidRDefault="002004F3" w:rsidP="00DB7810">
      <w:pPr>
        <w:pStyle w:val="Footnote"/>
        <w:rPr>
          <w:spacing w:val="-4"/>
          <w:kern w:val="17"/>
        </w:rPr>
      </w:pPr>
      <w:r w:rsidRPr="00FB4324">
        <w:rPr>
          <w:rStyle w:val="EndnoteReference"/>
          <w:spacing w:val="-4"/>
          <w:kern w:val="17"/>
        </w:rPr>
        <w:endnoteRef/>
      </w:r>
      <w:r w:rsidRPr="00FB4324">
        <w:rPr>
          <w:spacing w:val="-4"/>
          <w:kern w:val="17"/>
        </w:rPr>
        <w:t xml:space="preserve"> Sistema Shyam</w:t>
      </w:r>
      <w:r>
        <w:rPr>
          <w:spacing w:val="-4"/>
          <w:kern w:val="17"/>
        </w:rPr>
        <w:t xml:space="preserve"> </w:t>
      </w:r>
      <w:r w:rsidRPr="00FB4324">
        <w:rPr>
          <w:spacing w:val="-4"/>
          <w:kern w:val="17"/>
        </w:rPr>
        <w:t xml:space="preserve">TeleServices Limited, </w:t>
      </w:r>
      <w:r>
        <w:rPr>
          <w:spacing w:val="-4"/>
          <w:kern w:val="17"/>
        </w:rPr>
        <w:t>“</w:t>
      </w:r>
      <w:r w:rsidRPr="002004F3">
        <w:rPr>
          <w:spacing w:val="-4"/>
          <w:kern w:val="17"/>
        </w:rPr>
        <w:t>Sistema Shyam TeleServices Ltd. Announces Unaudited Financial Results for the First Quarter Ended March 31</w:t>
      </w:r>
      <w:r w:rsidRPr="0019166A">
        <w:rPr>
          <w:spacing w:val="-4"/>
          <w:kern w:val="17"/>
        </w:rPr>
        <w:t xml:space="preserve">, </w:t>
      </w:r>
      <w:r w:rsidRPr="002004F3">
        <w:rPr>
          <w:spacing w:val="-4"/>
          <w:kern w:val="17"/>
        </w:rPr>
        <w:t>2015</w:t>
      </w:r>
      <w:r w:rsidRPr="00FB4324">
        <w:rPr>
          <w:i/>
          <w:spacing w:val="-4"/>
          <w:kern w:val="17"/>
        </w:rPr>
        <w:t>,</w:t>
      </w:r>
      <w:r w:rsidRPr="002004F3">
        <w:rPr>
          <w:spacing w:val="-4"/>
          <w:kern w:val="17"/>
        </w:rPr>
        <w:t>”</w:t>
      </w:r>
      <w:r>
        <w:rPr>
          <w:i/>
          <w:spacing w:val="-4"/>
          <w:kern w:val="17"/>
        </w:rPr>
        <w:t xml:space="preserve"> </w:t>
      </w:r>
      <w:r>
        <w:rPr>
          <w:spacing w:val="-4"/>
          <w:kern w:val="17"/>
        </w:rPr>
        <w:t>press release,</w:t>
      </w:r>
      <w:r w:rsidRPr="00FB4324">
        <w:rPr>
          <w:spacing w:val="-4"/>
          <w:kern w:val="17"/>
        </w:rPr>
        <w:t xml:space="preserve"> June 2, 2015, accessed September 5, 2016, www.mtsindia.in/corporate/downloads/SSTL</w:t>
      </w:r>
      <w:r w:rsidRPr="009F294F">
        <w:t>%20Q1%202015%20Result%20Release_2nd%20June%202015.pdf</w:t>
      </w:r>
      <w:r>
        <w:t>.</w:t>
      </w:r>
    </w:p>
  </w:endnote>
  <w:endnote w:id="5">
    <w:p w14:paraId="5B1DD0CD" w14:textId="77777777" w:rsidR="002004F3" w:rsidRPr="009F294F" w:rsidRDefault="002004F3" w:rsidP="00DB7810">
      <w:pPr>
        <w:pStyle w:val="Footnote"/>
        <w:rPr>
          <w:lang w:val="en-IN"/>
        </w:rPr>
      </w:pPr>
      <w:r w:rsidRPr="009F294F">
        <w:rPr>
          <w:rStyle w:val="EndnoteReference"/>
        </w:rPr>
        <w:endnoteRef/>
      </w:r>
      <w:r>
        <w:t xml:space="preserve"> </w:t>
      </w:r>
      <w:r w:rsidRPr="009F294F">
        <w:t xml:space="preserve">Shauvik Ghosh, </w:t>
      </w:r>
      <w:r>
        <w:t>“</w:t>
      </w:r>
      <w:r w:rsidRPr="00343FD7">
        <w:t xml:space="preserve">2G Licences | Sistema </w:t>
      </w:r>
      <w:r>
        <w:t>S</w:t>
      </w:r>
      <w:r w:rsidRPr="00343FD7">
        <w:t xml:space="preserve">ends </w:t>
      </w:r>
      <w:r>
        <w:t>N</w:t>
      </w:r>
      <w:r w:rsidRPr="00343FD7">
        <w:t xml:space="preserve">otice to </w:t>
      </w:r>
      <w:r>
        <w:t>G</w:t>
      </w:r>
      <w:r w:rsidRPr="00343FD7">
        <w:t>ovt</w:t>
      </w:r>
      <w:r w:rsidRPr="003A7FC0">
        <w:t>,</w:t>
      </w:r>
      <w:r>
        <w:t xml:space="preserve">” </w:t>
      </w:r>
      <w:r>
        <w:rPr>
          <w:i/>
        </w:rPr>
        <w:t>Livem</w:t>
      </w:r>
      <w:r w:rsidRPr="00343FD7">
        <w:rPr>
          <w:i/>
        </w:rPr>
        <w:t>int,</w:t>
      </w:r>
      <w:r>
        <w:rPr>
          <w:i/>
        </w:rPr>
        <w:t xml:space="preserve"> </w:t>
      </w:r>
      <w:r w:rsidRPr="009F294F">
        <w:t>February 29, 2012, accessed September 6, 2016, www.livemint.com/Home-Page/Z1vlvjEkWXCj52YBjRapQJ/2G-Licences--Sistema-sends-notice-to-govt.html</w:t>
      </w:r>
      <w:r>
        <w:t>.</w:t>
      </w:r>
    </w:p>
  </w:endnote>
  <w:endnote w:id="6">
    <w:p w14:paraId="21E033D9" w14:textId="42FBBE2F" w:rsidR="002004F3" w:rsidRDefault="002004F3" w:rsidP="00DB7810">
      <w:pPr>
        <w:pStyle w:val="Footnote"/>
      </w:pPr>
      <w:r w:rsidRPr="00AD6D96">
        <w:rPr>
          <w:rStyle w:val="EndnoteReference"/>
        </w:rPr>
        <w:endnoteRef/>
      </w:r>
      <w:r w:rsidRPr="00AD6D96">
        <w:t xml:space="preserve"> Telecom Regulatory Authority of India</w:t>
      </w:r>
      <w:r w:rsidRPr="009F294F">
        <w:t xml:space="preserve">, </w:t>
      </w:r>
      <w:r w:rsidRPr="009F294F">
        <w:rPr>
          <w:i/>
        </w:rPr>
        <w:t>Telecom Sector in India: A Decadal Profile,</w:t>
      </w:r>
      <w:r w:rsidRPr="009F294F">
        <w:t xml:space="preserve"> </w:t>
      </w:r>
      <w:r>
        <w:t xml:space="preserve">2012, </w:t>
      </w:r>
      <w:r w:rsidRPr="009F294F">
        <w:t>9</w:t>
      </w:r>
      <w:r>
        <w:t>–</w:t>
      </w:r>
      <w:r w:rsidRPr="009F294F">
        <w:t xml:space="preserve">10, accessed </w:t>
      </w:r>
      <w:r>
        <w:t>February 28</w:t>
      </w:r>
      <w:r w:rsidRPr="009F294F">
        <w:t>, 201</w:t>
      </w:r>
      <w:r>
        <w:t>7</w:t>
      </w:r>
      <w:r w:rsidRPr="009F294F">
        <w:t xml:space="preserve">, </w:t>
      </w:r>
    </w:p>
    <w:p w14:paraId="3131CA79" w14:textId="65CB3ABE" w:rsidR="002004F3" w:rsidRPr="009F294F" w:rsidRDefault="002004F3" w:rsidP="00DB7810">
      <w:pPr>
        <w:pStyle w:val="Footnote"/>
        <w:rPr>
          <w:lang w:val="en-IN"/>
        </w:rPr>
      </w:pPr>
      <w:r w:rsidRPr="00DB53A6">
        <w:rPr>
          <w:lang w:val="en-IN"/>
        </w:rPr>
        <w:t>www.trai.gov.in/sites/default/files/NCAER--Report08june12.pdf</w:t>
      </w:r>
      <w:r>
        <w:rPr>
          <w:lang w:val="en-IN"/>
        </w:rPr>
        <w:t>.</w:t>
      </w:r>
    </w:p>
  </w:endnote>
  <w:endnote w:id="7">
    <w:p w14:paraId="5E31581A" w14:textId="55D96A78" w:rsidR="002004F3" w:rsidRPr="009F294F" w:rsidRDefault="002004F3" w:rsidP="00DB7810">
      <w:pPr>
        <w:pStyle w:val="Footnote"/>
        <w:rPr>
          <w:lang w:val="en-IN"/>
        </w:rPr>
      </w:pPr>
      <w:r w:rsidRPr="009F294F">
        <w:rPr>
          <w:rStyle w:val="EndnoteReference"/>
        </w:rPr>
        <w:endnoteRef/>
      </w:r>
      <w:r>
        <w:t xml:space="preserve"> </w:t>
      </w:r>
      <w:r w:rsidRPr="009F294F">
        <w:t xml:space="preserve">Ghosh, </w:t>
      </w:r>
      <w:r w:rsidRPr="00AD6D96">
        <w:t>op. cit.</w:t>
      </w:r>
      <w:r>
        <w:rPr>
          <w:i/>
        </w:rPr>
        <w:t xml:space="preserve"> </w:t>
      </w:r>
    </w:p>
  </w:endnote>
  <w:endnote w:id="8">
    <w:p w14:paraId="260DB69D" w14:textId="794830F3" w:rsidR="002004F3" w:rsidRPr="009F294F" w:rsidRDefault="002004F3" w:rsidP="00DB7810">
      <w:pPr>
        <w:pStyle w:val="Footnote"/>
      </w:pPr>
      <w:r w:rsidRPr="009F294F">
        <w:rPr>
          <w:rStyle w:val="EndnoteReference"/>
        </w:rPr>
        <w:endnoteRef/>
      </w:r>
      <w:r>
        <w:t xml:space="preserve"> In 2014, </w:t>
      </w:r>
      <w:r w:rsidRPr="009F294F">
        <w:t xml:space="preserve">Vodafone had </w:t>
      </w:r>
      <w:r>
        <w:t xml:space="preserve">an </w:t>
      </w:r>
      <w:r w:rsidRPr="009F294F">
        <w:t>overall rank of 20</w:t>
      </w:r>
      <w:r>
        <w:t xml:space="preserve"> </w:t>
      </w:r>
      <w:r w:rsidRPr="009F294F">
        <w:t xml:space="preserve">and MTS had </w:t>
      </w:r>
      <w:r>
        <w:t xml:space="preserve">an </w:t>
      </w:r>
      <w:r w:rsidRPr="009F294F">
        <w:t>overall rank of 80</w:t>
      </w:r>
      <w:r>
        <w:t xml:space="preserve">; </w:t>
      </w:r>
      <w:r w:rsidRPr="009F294F">
        <w:t xml:space="preserve">Bharti Airtel </w:t>
      </w:r>
      <w:r>
        <w:t xml:space="preserve">was </w:t>
      </w:r>
      <w:r w:rsidRPr="009F294F">
        <w:t>not in</w:t>
      </w:r>
      <w:r>
        <w:t xml:space="preserve"> the top 100. Millward Brown Optimor and WPP Group, </w:t>
      </w:r>
      <w:r w:rsidRPr="00AD6D96">
        <w:t>“BrandZ™ Top 100 Most Valuable Global Brands 2014,”</w:t>
      </w:r>
      <w:r w:rsidRPr="009F294F">
        <w:rPr>
          <w:i/>
        </w:rPr>
        <w:t xml:space="preserve"> </w:t>
      </w:r>
      <w:r w:rsidRPr="009F294F">
        <w:t>accessed September</w:t>
      </w:r>
      <w:r>
        <w:t xml:space="preserve"> </w:t>
      </w:r>
      <w:r w:rsidRPr="009F294F">
        <w:t>28, 2016, www.millwardbrown.com/brandz/2014/Top100/Doc</w:t>
      </w:r>
      <w:r>
        <w:t>s/2014_BrandZ_Top100_Report.pdf.</w:t>
      </w:r>
    </w:p>
  </w:endnote>
  <w:endnote w:id="9">
    <w:p w14:paraId="77235E5A" w14:textId="618AD8AE" w:rsidR="002004F3" w:rsidRPr="009F294F" w:rsidRDefault="002004F3" w:rsidP="00E5372F">
      <w:pPr>
        <w:pStyle w:val="Footnote"/>
        <w:rPr>
          <w:lang w:val="en-IN"/>
        </w:rPr>
      </w:pPr>
      <w:r w:rsidRPr="009F294F">
        <w:rPr>
          <w:rStyle w:val="EndnoteReference"/>
        </w:rPr>
        <w:endnoteRef/>
      </w:r>
      <w:r>
        <w:t xml:space="preserve"> </w:t>
      </w:r>
      <w:r w:rsidRPr="009F294F">
        <w:t>Sistema Shyam</w:t>
      </w:r>
      <w:r>
        <w:t xml:space="preserve"> </w:t>
      </w:r>
      <w:r w:rsidRPr="009F294F">
        <w:t>TeleServices L</w:t>
      </w:r>
      <w:r>
        <w:t>imited</w:t>
      </w:r>
      <w:r w:rsidRPr="009F294F">
        <w:t xml:space="preserve">, </w:t>
      </w:r>
      <w:r>
        <w:t>“</w:t>
      </w:r>
      <w:r w:rsidRPr="002004F3">
        <w:t>Sistema Shyam TeleServices Launches MTS Brand in India,</w:t>
      </w:r>
      <w:r>
        <w:t>”</w:t>
      </w:r>
      <w:r w:rsidRPr="009F294F">
        <w:t xml:space="preserve"> </w:t>
      </w:r>
      <w:r>
        <w:t xml:space="preserve">press release, </w:t>
      </w:r>
      <w:r w:rsidRPr="009F294F">
        <w:t>March 26, 2009, accessed September 2, 2016, www.mtsindia.in/corporate/downloads/MTS%20NATIONAL%20LAUNCH.pdf</w:t>
      </w:r>
      <w:r>
        <w:t>.</w:t>
      </w:r>
    </w:p>
  </w:endnote>
  <w:endnote w:id="10">
    <w:p w14:paraId="22E7A12D" w14:textId="77777777" w:rsidR="002004F3" w:rsidRPr="00AD6D96" w:rsidRDefault="002004F3" w:rsidP="0019166A">
      <w:pPr>
        <w:pStyle w:val="Footnote"/>
        <w:rPr>
          <w:lang w:val="en-IN"/>
        </w:rPr>
      </w:pPr>
      <w:r w:rsidRPr="00AD6D96">
        <w:rPr>
          <w:rStyle w:val="EndnoteReference"/>
          <w:spacing w:val="-10"/>
          <w:kern w:val="17"/>
        </w:rPr>
        <w:endnoteRef/>
      </w:r>
      <w:r w:rsidRPr="00AD6D96">
        <w:rPr>
          <w:i/>
        </w:rPr>
        <w:t xml:space="preserve"> </w:t>
      </w:r>
      <w:r w:rsidRPr="00AD6D96">
        <w:t>Government of India</w:t>
      </w:r>
      <w:r w:rsidRPr="00AD6D96">
        <w:rPr>
          <w:i/>
        </w:rPr>
        <w:t>, Economic Survey 2004–05,</w:t>
      </w:r>
      <w:r w:rsidRPr="00AD6D96">
        <w:t xml:space="preserve"> accessed September 4, 2016, http://indiabudget.nic.in/es2004-05/chapt2005/chap76.pdf.</w:t>
      </w:r>
    </w:p>
  </w:endnote>
  <w:endnote w:id="11">
    <w:p w14:paraId="2B1F0634" w14:textId="512D2FE4" w:rsidR="002004F3" w:rsidRPr="00AD6D96" w:rsidRDefault="002004F3" w:rsidP="002004F3">
      <w:pPr>
        <w:pStyle w:val="Footnote"/>
        <w:rPr>
          <w:spacing w:val="-6"/>
        </w:rPr>
      </w:pPr>
      <w:r w:rsidRPr="00AD6D96">
        <w:rPr>
          <w:rStyle w:val="EndnoteReference"/>
          <w:b/>
          <w:spacing w:val="-6"/>
        </w:rPr>
        <w:endnoteRef/>
      </w:r>
      <w:r w:rsidRPr="00AD6D96">
        <w:rPr>
          <w:b/>
          <w:spacing w:val="-6"/>
        </w:rPr>
        <w:t xml:space="preserve"> </w:t>
      </w:r>
      <w:r w:rsidRPr="002004F3">
        <w:t xml:space="preserve">“Teledensity Growth Enters Double Digits,” </w:t>
      </w:r>
      <w:r w:rsidRPr="002004F3">
        <w:rPr>
          <w:i/>
        </w:rPr>
        <w:t>Economic Times</w:t>
      </w:r>
      <w:r w:rsidRPr="002004F3">
        <w:t>, April 14, 2006, accessed September 25, 2016, http://articles.economictimes.indiatimes.com/2006-04-14/news/27466710_1_user-base-subscriber-base-number-of-new-connections.</w:t>
      </w:r>
    </w:p>
  </w:endnote>
  <w:endnote w:id="12">
    <w:p w14:paraId="603DBDF9" w14:textId="77777777" w:rsidR="002004F3" w:rsidRPr="00AD6D96" w:rsidRDefault="002004F3" w:rsidP="00DB7810">
      <w:pPr>
        <w:pStyle w:val="Footnote"/>
      </w:pPr>
      <w:r w:rsidRPr="009F294F">
        <w:rPr>
          <w:rStyle w:val="EndnoteReference"/>
        </w:rPr>
        <w:endnoteRef/>
      </w:r>
      <w:r>
        <w:t xml:space="preserve"> </w:t>
      </w:r>
      <w:r w:rsidRPr="00AD6D96">
        <w:t>Telecom Regulatory Authority of India,</w:t>
      </w:r>
      <w:r>
        <w:t xml:space="preserve"> </w:t>
      </w:r>
      <w:r w:rsidRPr="009F294F">
        <w:rPr>
          <w:i/>
        </w:rPr>
        <w:t>Annual Report 2008</w:t>
      </w:r>
      <w:r>
        <w:rPr>
          <w:i/>
        </w:rPr>
        <w:t>–</w:t>
      </w:r>
      <w:r w:rsidRPr="009F294F">
        <w:rPr>
          <w:i/>
        </w:rPr>
        <w:t>09</w:t>
      </w:r>
      <w:r w:rsidRPr="009F294F">
        <w:t>, 31</w:t>
      </w:r>
      <w:r>
        <w:t>–36</w:t>
      </w:r>
      <w:r w:rsidRPr="009F294F">
        <w:t xml:space="preserve">, </w:t>
      </w:r>
      <w:r>
        <w:t xml:space="preserve">accessed February 28, 2017, </w:t>
      </w:r>
      <w:r w:rsidRPr="00E5372F">
        <w:t>www.trai.gov.in/sites/default/files/ar_08_09.pdf</w:t>
      </w:r>
      <w:r>
        <w:t>.</w:t>
      </w:r>
    </w:p>
  </w:endnote>
  <w:endnote w:id="13">
    <w:p w14:paraId="19477CFD" w14:textId="18615834" w:rsidR="002004F3" w:rsidRPr="009F294F" w:rsidRDefault="002004F3" w:rsidP="0019166A">
      <w:pPr>
        <w:pStyle w:val="Footnote"/>
        <w:rPr>
          <w:lang w:val="en-IN"/>
        </w:rPr>
      </w:pPr>
      <w:r w:rsidRPr="009F294F">
        <w:rPr>
          <w:rStyle w:val="EndnoteReference"/>
        </w:rPr>
        <w:endnoteRef/>
      </w:r>
      <w:r>
        <w:t xml:space="preserve"> </w:t>
      </w:r>
      <w:r w:rsidRPr="00AD6D96">
        <w:t>Telecom Regulatory Authority of India,</w:t>
      </w:r>
      <w:r w:rsidRPr="009F294F">
        <w:t xml:space="preserve"> </w:t>
      </w:r>
      <w:r w:rsidRPr="009F294F">
        <w:rPr>
          <w:i/>
        </w:rPr>
        <w:t>Telecom Sector in India: A Decadal Profile,</w:t>
      </w:r>
      <w:r w:rsidRPr="009F294F">
        <w:t xml:space="preserve"> </w:t>
      </w:r>
      <w:r>
        <w:t xml:space="preserve">op. cit., </w:t>
      </w:r>
      <w:r w:rsidRPr="009F294F">
        <w:t>6</w:t>
      </w:r>
      <w:r>
        <w:t>–</w:t>
      </w:r>
      <w:r w:rsidRPr="009F294F">
        <w:t>7</w:t>
      </w:r>
      <w:r>
        <w:t>.</w:t>
      </w:r>
    </w:p>
  </w:endnote>
  <w:endnote w:id="14">
    <w:p w14:paraId="6692A916" w14:textId="69816FB2" w:rsidR="002004F3" w:rsidRPr="009F294F" w:rsidRDefault="002004F3" w:rsidP="002004F3">
      <w:pPr>
        <w:pStyle w:val="Footnote"/>
      </w:pPr>
      <w:r w:rsidRPr="009F294F">
        <w:rPr>
          <w:rStyle w:val="EndnoteReference"/>
          <w:b/>
        </w:rPr>
        <w:endnoteRef/>
      </w:r>
      <w:r>
        <w:t xml:space="preserve"> “</w:t>
      </w:r>
      <w:r w:rsidRPr="00343FD7">
        <w:t xml:space="preserve">Dmitry Shukov to </w:t>
      </w:r>
      <w:r>
        <w:t>T</w:t>
      </w:r>
      <w:r w:rsidRPr="00343FD7">
        <w:t xml:space="preserve">ake </w:t>
      </w:r>
      <w:r>
        <w:t>O</w:t>
      </w:r>
      <w:r w:rsidRPr="00343FD7">
        <w:t>ver as CEO of Sistema Shyam from 1 June,</w:t>
      </w:r>
      <w:r>
        <w:t xml:space="preserve">” </w:t>
      </w:r>
      <w:r>
        <w:rPr>
          <w:i/>
        </w:rPr>
        <w:t>Livemint</w:t>
      </w:r>
      <w:r w:rsidRPr="002004F3">
        <w:t>, April 24, 2013</w:t>
      </w:r>
      <w:r w:rsidRPr="0019166A">
        <w:t>,</w:t>
      </w:r>
      <w:r w:rsidRPr="009F294F">
        <w:t xml:space="preserve"> accessed September 2, 2016, www.livemint.com/Companies/rmJOAMOIwHjMod36KLj9RP/Dmitry-Shukov-to-take-over-as-CEO-of-Sistema-Shyam-from-1-Ju.html</w:t>
      </w:r>
      <w:r>
        <w:t>.</w:t>
      </w:r>
    </w:p>
  </w:endnote>
  <w:endnote w:id="15">
    <w:p w14:paraId="236D8D28" w14:textId="77777777" w:rsidR="002004F3" w:rsidRPr="009F294F" w:rsidRDefault="002004F3" w:rsidP="002004F3">
      <w:pPr>
        <w:pStyle w:val="Footnote"/>
      </w:pPr>
      <w:r w:rsidRPr="009F294F">
        <w:rPr>
          <w:rStyle w:val="EndnoteReference"/>
        </w:rPr>
        <w:endnoteRef/>
      </w:r>
      <w:r>
        <w:t xml:space="preserve"> “</w:t>
      </w:r>
      <w:r w:rsidRPr="009F294F">
        <w:t xml:space="preserve">Sistema </w:t>
      </w:r>
      <w:r>
        <w:t>O</w:t>
      </w:r>
      <w:r w:rsidRPr="009F294F">
        <w:t xml:space="preserve">ffers </w:t>
      </w:r>
      <w:r>
        <w:t>M</w:t>
      </w:r>
      <w:r w:rsidRPr="009F294F">
        <w:t xml:space="preserve">illion </w:t>
      </w:r>
      <w:r>
        <w:t>M</w:t>
      </w:r>
      <w:r w:rsidRPr="009F294F">
        <w:t xml:space="preserve">inutes </w:t>
      </w:r>
      <w:r>
        <w:t>F</w:t>
      </w:r>
      <w:r w:rsidRPr="009F294F">
        <w:t xml:space="preserve">ree </w:t>
      </w:r>
      <w:r>
        <w:t>T</w:t>
      </w:r>
      <w:r w:rsidRPr="009F294F">
        <w:t xml:space="preserve">alk </w:t>
      </w:r>
      <w:r>
        <w:t>T</w:t>
      </w:r>
      <w:r w:rsidRPr="009F294F">
        <w:t>ime,</w:t>
      </w:r>
      <w:r>
        <w:t xml:space="preserve">” </w:t>
      </w:r>
      <w:r>
        <w:rPr>
          <w:i/>
        </w:rPr>
        <w:t xml:space="preserve">Hindu Business Line, </w:t>
      </w:r>
      <w:r w:rsidRPr="009F294F">
        <w:t>March 27, 2009, accessed August 24, 2016, www.thehindubusinessline.com/todays-paper/sistema-offers-million-minutes-free-talk-time/article1045391.ece</w:t>
      </w:r>
      <w:r>
        <w:t>.</w:t>
      </w:r>
    </w:p>
  </w:endnote>
  <w:endnote w:id="16">
    <w:p w14:paraId="3CCCFB0B" w14:textId="77777777" w:rsidR="002004F3" w:rsidRPr="009F294F" w:rsidRDefault="002004F3" w:rsidP="00DB7810">
      <w:pPr>
        <w:pStyle w:val="Footnote"/>
        <w:rPr>
          <w:lang w:val="en-IN"/>
        </w:rPr>
      </w:pPr>
      <w:r w:rsidRPr="009F294F">
        <w:rPr>
          <w:rStyle w:val="EndnoteReference"/>
        </w:rPr>
        <w:endnoteRef/>
      </w:r>
      <w:r>
        <w:t xml:space="preserve"> Vinayak Pai, “</w:t>
      </w:r>
      <w:r w:rsidRPr="009F294F">
        <w:t xml:space="preserve">MTS Introduces MTALK, </w:t>
      </w:r>
      <w:r>
        <w:t>t</w:t>
      </w:r>
      <w:r w:rsidRPr="009F294F">
        <w:t>he Best ‘Total-Value’ Service,</w:t>
      </w:r>
      <w:r>
        <w:t xml:space="preserve">” Reliance Mobile Discussion Forum, </w:t>
      </w:r>
      <w:r w:rsidRPr="009F294F">
        <w:br/>
        <w:t>September 7, 2009, accessed August 24, 2016, www.buysellweb.in/forums/topic/20424-mts-launches-1-sec-pulse-90-sec-pulse-using-msavers/page-2</w:t>
      </w:r>
      <w:r>
        <w:t>.</w:t>
      </w:r>
    </w:p>
  </w:endnote>
  <w:endnote w:id="17">
    <w:p w14:paraId="1EC7A1BA" w14:textId="25A6F155" w:rsidR="002004F3" w:rsidRPr="00343FD7" w:rsidRDefault="002004F3" w:rsidP="002004F3">
      <w:pPr>
        <w:pStyle w:val="Footnote"/>
      </w:pPr>
      <w:r w:rsidRPr="00343FD7">
        <w:rPr>
          <w:rStyle w:val="EndnoteReference"/>
        </w:rPr>
        <w:endnoteRef/>
      </w:r>
      <w:r>
        <w:t xml:space="preserve"> Sanjay Bafna, “</w:t>
      </w:r>
      <w:r w:rsidRPr="00343FD7">
        <w:t>MTS India Touches 2 Million Subscriber Mark,</w:t>
      </w:r>
      <w:r>
        <w:t>” TelecomTalk,</w:t>
      </w:r>
      <w:r w:rsidRPr="00343FD7">
        <w:t xml:space="preserve"> September 25, 2009, accessed August 26, 2016, http://telecomtalk.info/mts-india-reaches-2-million-subscriber-mark/10103</w:t>
      </w:r>
      <w:r>
        <w:t>.</w:t>
      </w:r>
    </w:p>
  </w:endnote>
  <w:endnote w:id="18">
    <w:p w14:paraId="6B94100B" w14:textId="1085126A" w:rsidR="002004F3" w:rsidRPr="009F294F" w:rsidRDefault="002004F3" w:rsidP="002004F3">
      <w:pPr>
        <w:pStyle w:val="Footnote"/>
      </w:pPr>
      <w:r w:rsidRPr="009F294F">
        <w:rPr>
          <w:rStyle w:val="EndnoteReference"/>
          <w:b/>
        </w:rPr>
        <w:endnoteRef/>
      </w:r>
      <w:r w:rsidRPr="009F294F">
        <w:t xml:space="preserve"> Sanjay Bafna, </w:t>
      </w:r>
      <w:r>
        <w:t>“</w:t>
      </w:r>
      <w:r w:rsidRPr="00343FD7">
        <w:t xml:space="preserve">MTS India’s MBlaze Mobile Broadband Plan </w:t>
      </w:r>
      <w:r>
        <w:t>i</w:t>
      </w:r>
      <w:r w:rsidRPr="00343FD7">
        <w:t>n Details</w:t>
      </w:r>
      <w:r w:rsidRPr="00CF5880">
        <w:t>,</w:t>
      </w:r>
      <w:r>
        <w:t xml:space="preserve">” TelecomTalk, </w:t>
      </w:r>
      <w:r w:rsidRPr="009F294F">
        <w:t>November 7, 2009, accessed August</w:t>
      </w:r>
      <w:r>
        <w:t xml:space="preserve"> </w:t>
      </w:r>
      <w:r w:rsidRPr="009F294F">
        <w:t>30, 2016, http://telecomtalk.info/mts-india-s-mblaze-mobile-broadband-plan-in-details/12415</w:t>
      </w:r>
      <w:r>
        <w:t>.</w:t>
      </w:r>
    </w:p>
  </w:endnote>
  <w:endnote w:id="19">
    <w:p w14:paraId="2A386E08" w14:textId="615AB865" w:rsidR="002004F3" w:rsidRPr="009F294F" w:rsidRDefault="002004F3" w:rsidP="00DB7810">
      <w:pPr>
        <w:pStyle w:val="Footnote"/>
        <w:rPr>
          <w:lang w:val="en-IN"/>
        </w:rPr>
      </w:pPr>
      <w:r w:rsidRPr="009F294F">
        <w:rPr>
          <w:rStyle w:val="EndnoteReference"/>
        </w:rPr>
        <w:endnoteRef/>
      </w:r>
      <w:r>
        <w:t xml:space="preserve"> </w:t>
      </w:r>
      <w:r w:rsidRPr="009F294F">
        <w:t>Department of Telecom</w:t>
      </w:r>
      <w:r>
        <w:t>munications</w:t>
      </w:r>
      <w:r w:rsidRPr="009F294F">
        <w:t xml:space="preserve">, </w:t>
      </w:r>
      <w:r>
        <w:t xml:space="preserve">Ministry of Communications &amp; Information Technology, Government of India, </w:t>
      </w:r>
      <w:r w:rsidRPr="009F294F">
        <w:rPr>
          <w:i/>
        </w:rPr>
        <w:t>Annual Report 2010</w:t>
      </w:r>
      <w:r>
        <w:rPr>
          <w:i/>
        </w:rPr>
        <w:t>–</w:t>
      </w:r>
      <w:r w:rsidRPr="009F294F">
        <w:rPr>
          <w:i/>
        </w:rPr>
        <w:t>11,</w:t>
      </w:r>
      <w:r>
        <w:rPr>
          <w:i/>
        </w:rPr>
        <w:t xml:space="preserve"> </w:t>
      </w:r>
      <w:r w:rsidRPr="00343FD7">
        <w:t>1,</w:t>
      </w:r>
      <w:r>
        <w:t xml:space="preserve"> </w:t>
      </w:r>
      <w:r w:rsidRPr="009F294F">
        <w:t xml:space="preserve">accessed September 1, 2016, </w:t>
      </w:r>
      <w:r w:rsidRPr="002004F3">
        <w:t>www.dot.gov.in/sites/default/files/English%20AR%202010-11_1.pdf</w:t>
      </w:r>
      <w:r>
        <w:rPr>
          <w:rStyle w:val="Hyperlink"/>
          <w:color w:val="auto"/>
          <w:u w:val="none"/>
        </w:rPr>
        <w:t>.</w:t>
      </w:r>
    </w:p>
  </w:endnote>
  <w:endnote w:id="20">
    <w:p w14:paraId="51E20272" w14:textId="567AE399" w:rsidR="002004F3" w:rsidRPr="009F294F" w:rsidRDefault="002004F3" w:rsidP="00DB7810">
      <w:pPr>
        <w:pStyle w:val="Footnote"/>
        <w:rPr>
          <w:lang w:val="en-IN"/>
        </w:rPr>
      </w:pPr>
      <w:r w:rsidRPr="009F294F">
        <w:rPr>
          <w:rStyle w:val="EndnoteReference"/>
        </w:rPr>
        <w:endnoteRef/>
      </w:r>
      <w:r w:rsidRPr="009F294F">
        <w:t xml:space="preserve"> Telecom Regulatory Authority of India, </w:t>
      </w:r>
      <w:r w:rsidRPr="009F294F">
        <w:rPr>
          <w:i/>
        </w:rPr>
        <w:t>Telecom Sector in India: A Decadal Profile,</w:t>
      </w:r>
      <w:r w:rsidRPr="009F294F">
        <w:t xml:space="preserve"> </w:t>
      </w:r>
      <w:r>
        <w:t xml:space="preserve">op. cit., </w:t>
      </w:r>
      <w:r w:rsidRPr="009F294F">
        <w:t>23</w:t>
      </w:r>
      <w:r>
        <w:t>.</w:t>
      </w:r>
    </w:p>
  </w:endnote>
  <w:endnote w:id="21">
    <w:p w14:paraId="6684AB93" w14:textId="437A4F5B" w:rsidR="002004F3" w:rsidRPr="009F294F" w:rsidRDefault="002004F3" w:rsidP="00DB7810">
      <w:pPr>
        <w:pStyle w:val="Footnote"/>
      </w:pPr>
      <w:r w:rsidRPr="009F294F">
        <w:rPr>
          <w:rStyle w:val="EndnoteReference"/>
        </w:rPr>
        <w:endnoteRef/>
      </w:r>
      <w:r w:rsidRPr="009F294F">
        <w:t xml:space="preserve"> Sistema Shyam</w:t>
      </w:r>
      <w:r>
        <w:t xml:space="preserve"> </w:t>
      </w:r>
      <w:r w:rsidRPr="009F294F">
        <w:t>TeleServices L</w:t>
      </w:r>
      <w:r>
        <w:t>imited</w:t>
      </w:r>
      <w:r w:rsidRPr="0019166A">
        <w:t xml:space="preserve">, </w:t>
      </w:r>
      <w:r>
        <w:t>“</w:t>
      </w:r>
      <w:r w:rsidRPr="002004F3">
        <w:t>Sistema Shyam TeleServices Ltd. Announces Financial Results for the First Quarter Ended March 31, 2012</w:t>
      </w:r>
      <w:r w:rsidRPr="0019166A">
        <w:t>,</w:t>
      </w:r>
      <w:r>
        <w:t>” press release,</w:t>
      </w:r>
      <w:r w:rsidRPr="0019166A">
        <w:t xml:space="preserve"> May 29, 2012, accessed</w:t>
      </w:r>
      <w:r w:rsidRPr="009F294F">
        <w:t xml:space="preserve"> September 04, 2016, www.mtsindia.in/corporate/downloads/Sistema%20Shyam%20TeleServices%20Ltd%20Announces%20Financial%20Results%20for%20the%20First%20Quarter%20Ended%20March%2031,%202012.pdf</w:t>
      </w:r>
      <w:r>
        <w:t>.</w:t>
      </w:r>
    </w:p>
  </w:endnote>
  <w:endnote w:id="22">
    <w:p w14:paraId="0AB71048" w14:textId="621148E3" w:rsidR="002004F3" w:rsidRPr="003166E2" w:rsidRDefault="002004F3" w:rsidP="00DB7810">
      <w:pPr>
        <w:pStyle w:val="Footnote"/>
      </w:pPr>
      <w:r w:rsidRPr="009F294F">
        <w:rPr>
          <w:rStyle w:val="EndnoteReference"/>
        </w:rPr>
        <w:endnoteRef/>
      </w:r>
      <w:r>
        <w:t xml:space="preserve"> “</w:t>
      </w:r>
      <w:r w:rsidRPr="002004F3">
        <w:t>Sistema Shyam Wins Spectrum</w:t>
      </w:r>
      <w:r w:rsidRPr="009F294F">
        <w:rPr>
          <w:i/>
        </w:rPr>
        <w:t xml:space="preserve"> </w:t>
      </w:r>
      <w:r>
        <w:t xml:space="preserve">for Rs 3,639 cr,” </w:t>
      </w:r>
      <w:r w:rsidRPr="002004F3">
        <w:rPr>
          <w:i/>
        </w:rPr>
        <w:t>Financial Express</w:t>
      </w:r>
      <w:r>
        <w:t>, March 12, 2013</w:t>
      </w:r>
      <w:r w:rsidRPr="009F294F">
        <w:t>, accessed</w:t>
      </w:r>
      <w:r>
        <w:t xml:space="preserve"> February 28, 2017</w:t>
      </w:r>
      <w:r w:rsidRPr="009F294F">
        <w:t xml:space="preserve">, </w:t>
      </w:r>
      <w:r w:rsidRPr="000422A5">
        <w:rPr>
          <w:lang w:val="en-IN"/>
        </w:rPr>
        <w:t>www.financialexpress.com/archive/sistema-shyam-wins-spectrum-for-rs3639-cr/1086674</w:t>
      </w:r>
      <w:r>
        <w:rPr>
          <w:lang w:val="en-IN"/>
        </w:rPr>
        <w:t>.</w:t>
      </w:r>
    </w:p>
  </w:endnote>
  <w:endnote w:id="23">
    <w:p w14:paraId="2BF84085" w14:textId="4847C527" w:rsidR="002004F3" w:rsidRPr="003166E2" w:rsidRDefault="002004F3" w:rsidP="00DB7810">
      <w:pPr>
        <w:pStyle w:val="Footnote"/>
      </w:pPr>
      <w:r w:rsidRPr="009F294F">
        <w:rPr>
          <w:rStyle w:val="EndnoteReference"/>
        </w:rPr>
        <w:endnoteRef/>
      </w:r>
      <w:r>
        <w:t xml:space="preserve"> “</w:t>
      </w:r>
      <w:r w:rsidRPr="00D91B24">
        <w:t>Sistema Shyam Wins Spectrum</w:t>
      </w:r>
      <w:r w:rsidRPr="009F294F">
        <w:rPr>
          <w:i/>
        </w:rPr>
        <w:t xml:space="preserve"> </w:t>
      </w:r>
      <w:r>
        <w:t>for Rs 3,639 cr,” op. cit.</w:t>
      </w:r>
    </w:p>
  </w:endnote>
  <w:endnote w:id="24">
    <w:p w14:paraId="6DD00827" w14:textId="196FC433" w:rsidR="002004F3" w:rsidRPr="009F294F" w:rsidRDefault="002004F3" w:rsidP="00DB7810">
      <w:pPr>
        <w:pStyle w:val="Footnote"/>
        <w:rPr>
          <w:lang w:val="en-IN"/>
        </w:rPr>
      </w:pPr>
      <w:r w:rsidRPr="009F294F">
        <w:rPr>
          <w:rStyle w:val="EndnoteReference"/>
        </w:rPr>
        <w:endnoteRef/>
      </w:r>
      <w:r w:rsidRPr="003166E2">
        <w:t xml:space="preserve"> </w:t>
      </w:r>
      <w:r w:rsidR="00F42613">
        <w:t>Ibid.</w:t>
      </w:r>
    </w:p>
  </w:endnote>
  <w:endnote w:id="25">
    <w:p w14:paraId="60D5B834" w14:textId="4843EF7F" w:rsidR="002004F3" w:rsidRPr="009F294F" w:rsidRDefault="002004F3" w:rsidP="002004F3">
      <w:pPr>
        <w:pStyle w:val="Footnote"/>
      </w:pPr>
      <w:r w:rsidRPr="009F294F">
        <w:rPr>
          <w:rStyle w:val="EndnoteReference"/>
          <w:b/>
        </w:rPr>
        <w:endnoteRef/>
      </w:r>
      <w:r w:rsidRPr="009F294F">
        <w:t xml:space="preserve"> Sanjay Bafna, </w:t>
      </w:r>
      <w:r>
        <w:t>“</w:t>
      </w:r>
      <w:r w:rsidRPr="00343FD7">
        <w:t>MTS Intros MBlaze Ultra World’s First EVDO Rev B Phase 2 Network,</w:t>
      </w:r>
      <w:r>
        <w:t xml:space="preserve">” TelecomTalk, </w:t>
      </w:r>
      <w:r w:rsidRPr="00343FD7">
        <w:t>September 1, 2011</w:t>
      </w:r>
      <w:r w:rsidRPr="00CC5D11">
        <w:t>,</w:t>
      </w:r>
      <w:r w:rsidRPr="009F294F">
        <w:t xml:space="preserve"> accessed September 17, 2016, http://telecomtalk.info/mts-mblaze-ultra-evdo-revb-phase-2network/75834</w:t>
      </w:r>
      <w:r>
        <w:t>.</w:t>
      </w:r>
    </w:p>
  </w:endnote>
  <w:endnote w:id="26">
    <w:p w14:paraId="02087C6F" w14:textId="2C1947CD" w:rsidR="002004F3" w:rsidRPr="009F294F" w:rsidRDefault="002004F3" w:rsidP="00BA3142">
      <w:pPr>
        <w:pStyle w:val="Footnote"/>
        <w:rPr>
          <w:lang w:val="en-IN"/>
        </w:rPr>
      </w:pPr>
      <w:r w:rsidRPr="009F294F">
        <w:rPr>
          <w:rStyle w:val="EndnoteReference"/>
        </w:rPr>
        <w:endnoteRef/>
      </w:r>
      <w:r>
        <w:t xml:space="preserve"> “</w:t>
      </w:r>
      <w:r w:rsidRPr="00343FD7">
        <w:t>Dmitry Shukov to Take Over as CEO of Sistema Shyam from 1 June</w:t>
      </w:r>
      <w:r w:rsidRPr="00B646CE">
        <w:t>,</w:t>
      </w:r>
      <w:r>
        <w:t>” op. cit.</w:t>
      </w:r>
    </w:p>
  </w:endnote>
  <w:endnote w:id="27">
    <w:p w14:paraId="70DBFD5E" w14:textId="0BFA8C68" w:rsidR="00F42613" w:rsidRDefault="002004F3" w:rsidP="0019166A">
      <w:pPr>
        <w:pStyle w:val="Footnote"/>
      </w:pPr>
      <w:r w:rsidRPr="003166E2">
        <w:rPr>
          <w:rStyle w:val="EndnoteReference"/>
          <w:spacing w:val="-10"/>
          <w:kern w:val="17"/>
        </w:rPr>
        <w:endnoteRef/>
      </w:r>
      <w:r w:rsidRPr="003166E2">
        <w:t xml:space="preserve"> Sistema ShyamTeleServices Limited, </w:t>
      </w:r>
      <w:r>
        <w:t>“</w:t>
      </w:r>
      <w:r w:rsidRPr="002004F3">
        <w:t>Unlimited Calling Now Possible with MTS ‘Always Talk</w:t>
      </w:r>
      <w:r>
        <w:t>,’”</w:t>
      </w:r>
      <w:r w:rsidRPr="002004F3">
        <w:t xml:space="preserve"> </w:t>
      </w:r>
      <w:r>
        <w:t xml:space="preserve">press release, </w:t>
      </w:r>
      <w:r w:rsidRPr="002004F3">
        <w:t xml:space="preserve">June 24, 2013, </w:t>
      </w:r>
      <w:r w:rsidRPr="003166E2">
        <w:t xml:space="preserve">accessed September 12, 2016, </w:t>
      </w:r>
      <w:r w:rsidR="00F42613" w:rsidRPr="00F42613">
        <w:t>www.mtsindia.in/corporate/downloads/Unlimited%20Calling%20Now%20Possible</w:t>
      </w:r>
    </w:p>
    <w:p w14:paraId="1A9A6420" w14:textId="4293E307" w:rsidR="002004F3" w:rsidRPr="003166E2" w:rsidRDefault="002004F3" w:rsidP="0019166A">
      <w:pPr>
        <w:pStyle w:val="Footnote"/>
        <w:rPr>
          <w:lang w:val="en-IN"/>
        </w:rPr>
      </w:pPr>
      <w:r w:rsidRPr="003166E2">
        <w:t>%</w:t>
      </w:r>
      <w:r w:rsidR="00436E0F">
        <w:t>20With%20MTS%20Always%20Talk.pd</w:t>
      </w:r>
      <w:r w:rsidRPr="003166E2">
        <w:t>.</w:t>
      </w:r>
    </w:p>
  </w:endnote>
  <w:endnote w:id="28">
    <w:p w14:paraId="2FFFE324" w14:textId="17B48AEC" w:rsidR="002004F3" w:rsidRPr="009F294F" w:rsidRDefault="002004F3" w:rsidP="00BA3142">
      <w:pPr>
        <w:pStyle w:val="Footnote"/>
        <w:rPr>
          <w:lang w:val="en-IN"/>
        </w:rPr>
      </w:pPr>
      <w:r w:rsidRPr="009F294F">
        <w:rPr>
          <w:rStyle w:val="EndnoteReference"/>
        </w:rPr>
        <w:endnoteRef/>
      </w:r>
      <w:r w:rsidRPr="009F294F">
        <w:t xml:space="preserve"> Sistema Shyam</w:t>
      </w:r>
      <w:r>
        <w:t xml:space="preserve"> </w:t>
      </w:r>
      <w:r w:rsidRPr="009F294F">
        <w:t>TeleServices L</w:t>
      </w:r>
      <w:r>
        <w:t>imited</w:t>
      </w:r>
      <w:r w:rsidRPr="009F294F">
        <w:t xml:space="preserve">, </w:t>
      </w:r>
      <w:r>
        <w:t>“</w:t>
      </w:r>
      <w:r w:rsidRPr="002004F3">
        <w:t>MTS Expands Its High Speed Data (HSD) Footprint in West Bengal; Launches MBlaze Services In 10 New Towns,</w:t>
      </w:r>
      <w:r>
        <w:t>” press release,</w:t>
      </w:r>
      <w:r w:rsidRPr="009F294F">
        <w:rPr>
          <w:i/>
        </w:rPr>
        <w:t xml:space="preserve"> </w:t>
      </w:r>
      <w:r w:rsidRPr="00343FD7">
        <w:t>July 17, 2013,</w:t>
      </w:r>
      <w:r>
        <w:t xml:space="preserve"> </w:t>
      </w:r>
      <w:r w:rsidRPr="009F294F">
        <w:t>accessed September 18, 2016, www.mtsindia.in/corporate/downloads/MTS%20Expands%20Its%20High%20Speed%20Data%20(HSD)%20Footprint%20in%20West%20Bengal;%20Launches%20MBlaze%20Services%20In%2010%20New%20Towns.pdf</w:t>
      </w:r>
      <w:r>
        <w:t>.</w:t>
      </w:r>
    </w:p>
  </w:endnote>
  <w:endnote w:id="29">
    <w:p w14:paraId="06B99973" w14:textId="0442371C" w:rsidR="002004F3" w:rsidRPr="00F42613" w:rsidRDefault="002004F3" w:rsidP="00FF2F44">
      <w:pPr>
        <w:pStyle w:val="Footnote"/>
        <w:rPr>
          <w:spacing w:val="-4"/>
          <w:kern w:val="17"/>
          <w:lang w:val="en-IN"/>
        </w:rPr>
      </w:pPr>
      <w:r w:rsidRPr="00F42613">
        <w:rPr>
          <w:rStyle w:val="EndnoteReference"/>
          <w:spacing w:val="-4"/>
          <w:kern w:val="17"/>
        </w:rPr>
        <w:endnoteRef/>
      </w:r>
      <w:r w:rsidRPr="00F42613">
        <w:rPr>
          <w:spacing w:val="-4"/>
          <w:kern w:val="17"/>
        </w:rPr>
        <w:t xml:space="preserve"> Sounak Mitra, “MTS’ Viral Ad Leads to 10% Rise in Dongle Sales,” </w:t>
      </w:r>
      <w:r w:rsidRPr="00F42613">
        <w:rPr>
          <w:i/>
          <w:spacing w:val="-4"/>
          <w:kern w:val="17"/>
        </w:rPr>
        <w:t xml:space="preserve">Business Standard, </w:t>
      </w:r>
      <w:r w:rsidRPr="00F42613">
        <w:rPr>
          <w:spacing w:val="-4"/>
          <w:kern w:val="17"/>
        </w:rPr>
        <w:t>April 2, 2014, accessed September 20, 2016, www.business-standard.com/article/management/mts-viral-ad-leads-to-10-rise-in-dongle-sales-114040201171_1.html.</w:t>
      </w:r>
    </w:p>
  </w:endnote>
  <w:endnote w:id="30">
    <w:p w14:paraId="19407B30" w14:textId="276976D8" w:rsidR="002004F3" w:rsidRPr="009F294F" w:rsidRDefault="002004F3" w:rsidP="00FF2F44">
      <w:pPr>
        <w:pStyle w:val="Footnote"/>
        <w:rPr>
          <w:lang w:val="en-IN"/>
        </w:rPr>
      </w:pPr>
      <w:r w:rsidRPr="009F294F">
        <w:rPr>
          <w:rStyle w:val="EndnoteReference"/>
        </w:rPr>
        <w:endnoteRef/>
      </w:r>
      <w:r w:rsidRPr="009F294F">
        <w:t xml:space="preserve"> Sistema Shyam</w:t>
      </w:r>
      <w:r>
        <w:t xml:space="preserve"> </w:t>
      </w:r>
      <w:r w:rsidRPr="009F294F">
        <w:t>TeleServices L</w:t>
      </w:r>
      <w:r>
        <w:t>imited</w:t>
      </w:r>
      <w:r w:rsidRPr="009F294F">
        <w:t xml:space="preserve">, </w:t>
      </w:r>
      <w:r w:rsidRPr="009F294F">
        <w:rPr>
          <w:i/>
        </w:rPr>
        <w:t>Annual Report 2014</w:t>
      </w:r>
      <w:r>
        <w:rPr>
          <w:i/>
        </w:rPr>
        <w:t>–</w:t>
      </w:r>
      <w:r w:rsidRPr="009F294F">
        <w:rPr>
          <w:i/>
        </w:rPr>
        <w:t>15</w:t>
      </w:r>
      <w:r w:rsidRPr="009F294F">
        <w:t xml:space="preserve">, </w:t>
      </w:r>
      <w:r>
        <w:t xml:space="preserve">op. cit., </w:t>
      </w:r>
      <w:r w:rsidRPr="009F294F">
        <w:t>9</w:t>
      </w:r>
      <w:r>
        <w:t>.</w:t>
      </w:r>
    </w:p>
  </w:endnote>
  <w:endnote w:id="31">
    <w:p w14:paraId="59C2B2EF" w14:textId="147FFABD" w:rsidR="002004F3" w:rsidRPr="00F42613" w:rsidRDefault="002004F3" w:rsidP="00DB7810">
      <w:pPr>
        <w:pStyle w:val="Footnote"/>
        <w:rPr>
          <w:spacing w:val="-6"/>
          <w:kern w:val="17"/>
          <w:lang w:val="en-IN"/>
        </w:rPr>
      </w:pPr>
      <w:r w:rsidRPr="00F42613">
        <w:rPr>
          <w:rStyle w:val="EndnoteReference"/>
          <w:spacing w:val="-6"/>
          <w:kern w:val="17"/>
        </w:rPr>
        <w:endnoteRef/>
      </w:r>
      <w:r w:rsidRPr="00F42613">
        <w:rPr>
          <w:spacing w:val="-6"/>
          <w:kern w:val="17"/>
        </w:rPr>
        <w:t xml:space="preserve"> Kul Bhushan, “India Among Fastest Growing Smartphone Markets in Asia-Pacific: IDC,” Digit, June 4, 2014, accessed September 22, 2016, www.digit.in/mobile-phones/india-among-fastest-growing-smartphone-markets-in-asia-pacific-idc-21011.html.</w:t>
      </w:r>
    </w:p>
  </w:endnote>
  <w:endnote w:id="32">
    <w:p w14:paraId="1D575424" w14:textId="14010707" w:rsidR="002004F3" w:rsidRPr="009F294F" w:rsidRDefault="002004F3" w:rsidP="00DB7810">
      <w:pPr>
        <w:pStyle w:val="Footnote"/>
        <w:rPr>
          <w:lang w:val="en-IN"/>
        </w:rPr>
      </w:pPr>
      <w:r w:rsidRPr="009F294F">
        <w:rPr>
          <w:rStyle w:val="EndnoteReference"/>
        </w:rPr>
        <w:endnoteRef/>
      </w:r>
      <w:r w:rsidRPr="009F294F">
        <w:t xml:space="preserve"> Sistema Shyam</w:t>
      </w:r>
      <w:r>
        <w:t xml:space="preserve"> </w:t>
      </w:r>
      <w:r w:rsidRPr="009F294F">
        <w:t>TeleServices L</w:t>
      </w:r>
      <w:r>
        <w:t>imited</w:t>
      </w:r>
      <w:r w:rsidRPr="009F294F">
        <w:t xml:space="preserve">, </w:t>
      </w:r>
      <w:r w:rsidRPr="009F294F">
        <w:rPr>
          <w:i/>
        </w:rPr>
        <w:t>Annual Report 2013</w:t>
      </w:r>
      <w:r>
        <w:rPr>
          <w:i/>
        </w:rPr>
        <w:t>–</w:t>
      </w:r>
      <w:r w:rsidRPr="009F294F">
        <w:rPr>
          <w:i/>
        </w:rPr>
        <w:t>14,</w:t>
      </w:r>
      <w:r>
        <w:rPr>
          <w:i/>
        </w:rPr>
        <w:t xml:space="preserve"> </w:t>
      </w:r>
      <w:r w:rsidRPr="009F294F">
        <w:t>accessed August 25, 2016, www.mtsindia.in/corporate/downloads/19th%20Annual%20Report%20for%202013-14.pdf</w:t>
      </w:r>
      <w:r>
        <w:t>.</w:t>
      </w:r>
    </w:p>
  </w:endnote>
  <w:endnote w:id="33">
    <w:p w14:paraId="3A43B056" w14:textId="7665AEEA" w:rsidR="002004F3" w:rsidRPr="009F294F" w:rsidRDefault="002004F3" w:rsidP="00DB7810">
      <w:pPr>
        <w:pStyle w:val="Footnote"/>
      </w:pPr>
      <w:r w:rsidRPr="009F294F">
        <w:rPr>
          <w:rStyle w:val="EndnoteReference"/>
        </w:rPr>
        <w:endnoteRef/>
      </w:r>
      <w:r>
        <w:t xml:space="preserve"> “</w:t>
      </w:r>
      <w:r w:rsidRPr="00343FD7">
        <w:t>Most Trusted Brands 2012: Top 50 Service Brands</w:t>
      </w:r>
      <w:r w:rsidRPr="007C439B">
        <w:t>,</w:t>
      </w:r>
      <w:r>
        <w:t xml:space="preserve">” </w:t>
      </w:r>
      <w:r w:rsidRPr="00343FD7">
        <w:rPr>
          <w:i/>
        </w:rPr>
        <w:t xml:space="preserve">Economic Times, </w:t>
      </w:r>
      <w:r w:rsidRPr="009F294F">
        <w:t>Nov</w:t>
      </w:r>
      <w:r>
        <w:t>ember</w:t>
      </w:r>
      <w:r w:rsidRPr="009F294F">
        <w:t xml:space="preserve"> 7, 2012,</w:t>
      </w:r>
      <w:r>
        <w:t xml:space="preserve"> accessed September 23, 2016, </w:t>
      </w:r>
      <w:r w:rsidRPr="009F294F">
        <w:t xml:space="preserve">http://economictimes.indiatimes.com/magazines/brand-equity/most-trusted-brands-2012-top-50-service-brands/articleshow/17101285.cms; </w:t>
      </w:r>
      <w:r>
        <w:t>and “</w:t>
      </w:r>
      <w:r w:rsidRPr="00343FD7">
        <w:t xml:space="preserve">Most Trusted Brands 2013: Top 50 </w:t>
      </w:r>
      <w:r>
        <w:t>S</w:t>
      </w:r>
      <w:r w:rsidRPr="00343FD7">
        <w:t>ervice</w:t>
      </w:r>
      <w:r>
        <w:t xml:space="preserve"> B</w:t>
      </w:r>
      <w:r w:rsidRPr="00343FD7">
        <w:t>rands</w:t>
      </w:r>
      <w:r w:rsidRPr="009F294F">
        <w:t>,</w:t>
      </w:r>
      <w:r>
        <w:t xml:space="preserve">” </w:t>
      </w:r>
      <w:r>
        <w:rPr>
          <w:i/>
        </w:rPr>
        <w:t>Economic T</w:t>
      </w:r>
      <w:r w:rsidRPr="00343FD7">
        <w:rPr>
          <w:i/>
        </w:rPr>
        <w:t>imes,</w:t>
      </w:r>
      <w:r>
        <w:rPr>
          <w:i/>
        </w:rPr>
        <w:t xml:space="preserve"> </w:t>
      </w:r>
      <w:r w:rsidRPr="009F294F">
        <w:t>December</w:t>
      </w:r>
      <w:r>
        <w:t xml:space="preserve"> </w:t>
      </w:r>
      <w:r w:rsidRPr="009F294F">
        <w:t>18, 2013, accessed September 23, 2016, http://articles.economictimes.indiatimes.com/2013-12-18/news/45338439_1_trusted-brands-service-brands-brand-equity</w:t>
      </w:r>
      <w:r>
        <w:t>.</w:t>
      </w:r>
    </w:p>
  </w:endnote>
  <w:endnote w:id="34">
    <w:p w14:paraId="51D0A31D" w14:textId="77777777" w:rsidR="002004F3" w:rsidRPr="003166E2" w:rsidRDefault="002004F3" w:rsidP="00DB7810">
      <w:pPr>
        <w:pStyle w:val="Footnote"/>
      </w:pPr>
      <w:r w:rsidRPr="009F294F">
        <w:rPr>
          <w:rStyle w:val="EndnoteReference"/>
        </w:rPr>
        <w:endnoteRef/>
      </w:r>
      <w:r>
        <w:t xml:space="preserve"> </w:t>
      </w:r>
      <w:r w:rsidRPr="009F294F">
        <w:t>R</w:t>
      </w:r>
      <w:r>
        <w:t>avi</w:t>
      </w:r>
      <w:r w:rsidRPr="009F294F">
        <w:t xml:space="preserve"> Venkatesan, </w:t>
      </w:r>
      <w:r>
        <w:t>“</w:t>
      </w:r>
      <w:r w:rsidRPr="009F294F">
        <w:t xml:space="preserve">A </w:t>
      </w:r>
      <w:r>
        <w:t>C</w:t>
      </w:r>
      <w:r w:rsidRPr="009F294F">
        <w:t xml:space="preserve">ross </w:t>
      </w:r>
      <w:r>
        <w:t>R</w:t>
      </w:r>
      <w:r w:rsidRPr="009F294F">
        <w:t>oads for India</w:t>
      </w:r>
      <w:r>
        <w:t>,</w:t>
      </w:r>
      <w:r w:rsidRPr="009F294F">
        <w:t xml:space="preserve"> and </w:t>
      </w:r>
      <w:r>
        <w:t>I</w:t>
      </w:r>
      <w:r w:rsidRPr="009F294F">
        <w:t xml:space="preserve">ts </w:t>
      </w:r>
      <w:r>
        <w:t>B</w:t>
      </w:r>
      <w:r w:rsidRPr="009F294F">
        <w:t xml:space="preserve">usiness </w:t>
      </w:r>
      <w:r>
        <w:t>L</w:t>
      </w:r>
      <w:r w:rsidRPr="009F294F">
        <w:t>andscape,</w:t>
      </w:r>
      <w:r>
        <w:t xml:space="preserve">” </w:t>
      </w:r>
      <w:r w:rsidRPr="009F294F">
        <w:rPr>
          <w:i/>
        </w:rPr>
        <w:t>Harvard Business Review</w:t>
      </w:r>
      <w:r w:rsidRPr="009F294F">
        <w:t>, May 23, 2014, accessed September 21, 2016</w:t>
      </w:r>
      <w:r>
        <w:t xml:space="preserve">, </w:t>
      </w:r>
      <w:r w:rsidRPr="00162996">
        <w:rPr>
          <w:lang w:val="en-IN"/>
        </w:rPr>
        <w:t>https://hbr.org/2014/05/a-crossroads-for-india-and-its-business-landscape</w:t>
      </w:r>
      <w:r>
        <w:rPr>
          <w:lang w:val="en-IN"/>
        </w:rPr>
        <w:t>.</w:t>
      </w:r>
    </w:p>
  </w:endnote>
  <w:endnote w:id="35">
    <w:p w14:paraId="4C0E8180" w14:textId="5AC0E3AD" w:rsidR="002004F3" w:rsidRPr="009F294F" w:rsidRDefault="002004F3" w:rsidP="00DB7810">
      <w:pPr>
        <w:pStyle w:val="Footnote"/>
        <w:rPr>
          <w:lang w:val="en-IN"/>
        </w:rPr>
      </w:pPr>
      <w:r w:rsidRPr="009F294F">
        <w:rPr>
          <w:rStyle w:val="EndnoteReference"/>
        </w:rPr>
        <w:endnoteRef/>
      </w:r>
      <w:r>
        <w:t xml:space="preserve"> “</w:t>
      </w:r>
      <w:r w:rsidRPr="00D14F49">
        <w:t>Digital India: Power to Empower</w:t>
      </w:r>
      <w:r>
        <w:t xml:space="preserve">,” Ministry of </w:t>
      </w:r>
      <w:r w:rsidRPr="009F294F">
        <w:t xml:space="preserve">Electronics and Information Technology, Government of India, </w:t>
      </w:r>
      <w:r w:rsidRPr="009F294F">
        <w:rPr>
          <w:lang w:val="en-IN"/>
        </w:rPr>
        <w:t>accessed March</w:t>
      </w:r>
      <w:r>
        <w:rPr>
          <w:lang w:val="en-IN"/>
        </w:rPr>
        <w:t xml:space="preserve"> </w:t>
      </w:r>
      <w:r w:rsidRPr="009F294F">
        <w:rPr>
          <w:lang w:val="en-IN"/>
        </w:rPr>
        <w:t>10</w:t>
      </w:r>
      <w:r>
        <w:rPr>
          <w:lang w:val="en-IN"/>
        </w:rPr>
        <w:t xml:space="preserve">, 2016, </w:t>
      </w:r>
      <w:r w:rsidRPr="00E5372F">
        <w:rPr>
          <w:lang w:val="en-IN"/>
        </w:rPr>
        <w:t>www.digitalindia.gov.in</w:t>
      </w:r>
      <w:r>
        <w:rPr>
          <w:lang w:val="en-IN"/>
        </w:rPr>
        <w:t xml:space="preserve">; </w:t>
      </w:r>
      <w:r w:rsidRPr="00D14F49">
        <w:t>Smart Cities Mission</w:t>
      </w:r>
      <w:r w:rsidRPr="009F294F">
        <w:rPr>
          <w:i/>
        </w:rPr>
        <w:t>,</w:t>
      </w:r>
      <w:r w:rsidRPr="009F294F">
        <w:t xml:space="preserve"> Ministry of Urban Development, Government of India, accessed February 12, 2016, http://smartcities.gov.in.</w:t>
      </w:r>
    </w:p>
  </w:endnote>
  <w:endnote w:id="36">
    <w:p w14:paraId="638AEFE7" w14:textId="35F44F3A" w:rsidR="002004F3" w:rsidRPr="00F42613" w:rsidRDefault="002004F3" w:rsidP="00DB7810">
      <w:pPr>
        <w:pStyle w:val="Footnote"/>
        <w:rPr>
          <w:spacing w:val="-6"/>
          <w:kern w:val="17"/>
          <w:lang w:val="en-IN"/>
        </w:rPr>
      </w:pPr>
      <w:r w:rsidRPr="00F42613">
        <w:rPr>
          <w:rStyle w:val="EndnoteReference"/>
          <w:spacing w:val="-6"/>
          <w:kern w:val="17"/>
        </w:rPr>
        <w:endnoteRef/>
      </w:r>
      <w:r w:rsidRPr="00F42613">
        <w:rPr>
          <w:spacing w:val="-6"/>
          <w:kern w:val="17"/>
        </w:rPr>
        <w:t xml:space="preserve"> “Sistema Shyam Not to Participate in Spectrum Auction,” </w:t>
      </w:r>
      <w:r w:rsidRPr="00F42613">
        <w:rPr>
          <w:i/>
          <w:spacing w:val="-6"/>
          <w:kern w:val="17"/>
        </w:rPr>
        <w:t>Hindu Business Line,</w:t>
      </w:r>
      <w:r w:rsidRPr="00F42613">
        <w:rPr>
          <w:spacing w:val="-6"/>
          <w:kern w:val="17"/>
        </w:rPr>
        <w:t xml:space="preserve"> February 16, 2015, accessed September 23, 2016, </w:t>
      </w:r>
      <w:r w:rsidRPr="00520B5E">
        <w:rPr>
          <w:spacing w:val="-4"/>
          <w:kern w:val="17"/>
        </w:rPr>
        <w:t>www.thehindubusinessline.com/info-tech/sistema-shyam-not-to-participate-in-spectrum-auction/article6901661.ece.</w:t>
      </w:r>
    </w:p>
  </w:endnote>
  <w:endnote w:id="37">
    <w:p w14:paraId="64225A0A" w14:textId="32892948" w:rsidR="002004F3" w:rsidRPr="009F294F" w:rsidRDefault="002004F3" w:rsidP="00DB7810">
      <w:pPr>
        <w:pStyle w:val="Footnote"/>
        <w:rPr>
          <w:lang w:val="en-IN"/>
        </w:rPr>
      </w:pPr>
      <w:r w:rsidRPr="009F294F">
        <w:rPr>
          <w:rStyle w:val="EndnoteReference"/>
        </w:rPr>
        <w:endnoteRef/>
      </w:r>
      <w:r>
        <w:t xml:space="preserve"> “</w:t>
      </w:r>
      <w:r w:rsidRPr="00343FD7">
        <w:t>Spectrum</w:t>
      </w:r>
      <w:r>
        <w:t xml:space="preserve"> A</w:t>
      </w:r>
      <w:r w:rsidRPr="00343FD7">
        <w:t>uction</w:t>
      </w:r>
      <w:r>
        <w:t xml:space="preserve"> E</w:t>
      </w:r>
      <w:r w:rsidRPr="00343FD7">
        <w:t>nds</w:t>
      </w:r>
      <w:r>
        <w:t xml:space="preserve"> </w:t>
      </w:r>
      <w:r w:rsidRPr="00343FD7">
        <w:t>with</w:t>
      </w:r>
      <w:r>
        <w:t xml:space="preserve"> B</w:t>
      </w:r>
      <w:r w:rsidRPr="00343FD7">
        <w:t>ids</w:t>
      </w:r>
      <w:r>
        <w:t xml:space="preserve"> </w:t>
      </w:r>
      <w:r w:rsidRPr="00343FD7">
        <w:t xml:space="preserve">about Rs.1.10 Lakh </w:t>
      </w:r>
      <w:r>
        <w:t>c</w:t>
      </w:r>
      <w:r w:rsidRPr="00343FD7">
        <w:t>r</w:t>
      </w:r>
      <w:r w:rsidRPr="001B2134">
        <w:t>,</w:t>
      </w:r>
      <w:r>
        <w:t xml:space="preserve">” </w:t>
      </w:r>
      <w:r>
        <w:rPr>
          <w:i/>
        </w:rPr>
        <w:t xml:space="preserve">Financial Express, </w:t>
      </w:r>
      <w:r w:rsidRPr="009F294F">
        <w:t>March 25, 2015, accessed September 24, 2016, www.financialexpress.com/economy/spectrum-auction-ends-with-bids-about-rs-1-10-lakh-cr/57379</w:t>
      </w:r>
      <w:r>
        <w:t>.</w:t>
      </w:r>
    </w:p>
  </w:endnote>
  <w:endnote w:id="38">
    <w:p w14:paraId="14E52BC5" w14:textId="5301906A" w:rsidR="002004F3" w:rsidRPr="009F294F" w:rsidRDefault="002004F3" w:rsidP="002E4F34">
      <w:pPr>
        <w:pStyle w:val="Footnote"/>
        <w:rPr>
          <w:lang w:val="en-IN"/>
        </w:rPr>
      </w:pPr>
      <w:r w:rsidRPr="009F294F">
        <w:rPr>
          <w:rStyle w:val="EndnoteReference"/>
        </w:rPr>
        <w:endnoteRef/>
      </w:r>
      <w:r>
        <w:t xml:space="preserve"> “</w:t>
      </w:r>
      <w:r w:rsidRPr="00343FD7">
        <w:t>From Cold War to Hot War</w:t>
      </w:r>
      <w:r w:rsidRPr="009371BA">
        <w:t>,</w:t>
      </w:r>
      <w:r>
        <w:t xml:space="preserve">” </w:t>
      </w:r>
      <w:r>
        <w:rPr>
          <w:i/>
        </w:rPr>
        <w:t xml:space="preserve">Economist, </w:t>
      </w:r>
      <w:r w:rsidRPr="009F294F">
        <w:t>Feb</w:t>
      </w:r>
      <w:r>
        <w:t>ruary</w:t>
      </w:r>
      <w:r w:rsidRPr="009F294F">
        <w:t xml:space="preserve"> 1</w:t>
      </w:r>
      <w:r>
        <w:t>2</w:t>
      </w:r>
      <w:r w:rsidRPr="009F294F">
        <w:t>, 2015, accessed August 29, 2016, www.economist.com/news/briefing/21643220-russias-aggression-ukraine-part-broader-and-more-dangerous-confrontation</w:t>
      </w:r>
      <w:r>
        <w:t>.</w:t>
      </w:r>
    </w:p>
  </w:endnote>
  <w:endnote w:id="39">
    <w:p w14:paraId="36CCDAE4" w14:textId="7E0E0380" w:rsidR="002004F3" w:rsidRPr="009F294F" w:rsidRDefault="002004F3" w:rsidP="002004F3">
      <w:pPr>
        <w:pStyle w:val="Footnote"/>
      </w:pPr>
      <w:r w:rsidRPr="009F294F">
        <w:rPr>
          <w:rStyle w:val="EndnoteReference"/>
          <w:b/>
        </w:rPr>
        <w:endnoteRef/>
      </w:r>
      <w:r>
        <w:t xml:space="preserve"> Chris Matthews, “</w:t>
      </w:r>
      <w:r w:rsidRPr="00343FD7">
        <w:rPr>
          <w:bCs/>
        </w:rPr>
        <w:t xml:space="preserve">Russian </w:t>
      </w:r>
      <w:r>
        <w:rPr>
          <w:bCs/>
        </w:rPr>
        <w:t>R</w:t>
      </w:r>
      <w:r w:rsidRPr="00343FD7">
        <w:rPr>
          <w:bCs/>
        </w:rPr>
        <w:t>uble</w:t>
      </w:r>
      <w:r>
        <w:rPr>
          <w:bCs/>
        </w:rPr>
        <w:t>’</w:t>
      </w:r>
      <w:r w:rsidRPr="00343FD7">
        <w:rPr>
          <w:bCs/>
        </w:rPr>
        <w:t xml:space="preserve">s </w:t>
      </w:r>
      <w:r>
        <w:rPr>
          <w:bCs/>
        </w:rPr>
        <w:t>F</w:t>
      </w:r>
      <w:r w:rsidRPr="00343FD7">
        <w:rPr>
          <w:bCs/>
        </w:rPr>
        <w:t xml:space="preserve">all: A </w:t>
      </w:r>
      <w:r>
        <w:rPr>
          <w:bCs/>
        </w:rPr>
        <w:t>C</w:t>
      </w:r>
      <w:r w:rsidRPr="00343FD7">
        <w:rPr>
          <w:bCs/>
        </w:rPr>
        <w:t xml:space="preserve">lassic </w:t>
      </w:r>
      <w:r>
        <w:rPr>
          <w:bCs/>
        </w:rPr>
        <w:t>‘C</w:t>
      </w:r>
      <w:r w:rsidRPr="00343FD7">
        <w:rPr>
          <w:bCs/>
        </w:rPr>
        <w:t xml:space="preserve">urrency </w:t>
      </w:r>
      <w:r>
        <w:rPr>
          <w:bCs/>
        </w:rPr>
        <w:t>C</w:t>
      </w:r>
      <w:r w:rsidRPr="00343FD7">
        <w:rPr>
          <w:bCs/>
        </w:rPr>
        <w:t>ollapse</w:t>
      </w:r>
      <w:r w:rsidRPr="008E5509">
        <w:rPr>
          <w:bCs/>
        </w:rPr>
        <w:t>,</w:t>
      </w:r>
      <w:r>
        <w:rPr>
          <w:bCs/>
        </w:rPr>
        <w:t xml:space="preserve">’” </w:t>
      </w:r>
      <w:r>
        <w:rPr>
          <w:bCs/>
          <w:i/>
        </w:rPr>
        <w:t xml:space="preserve">Fortune, </w:t>
      </w:r>
      <w:r w:rsidRPr="009F294F">
        <w:t>December 16, 2014, accessed August 29, 2016, http://fortune.com/2014/12/16/russian-ruble-currency-collapse</w:t>
      </w:r>
      <w:r>
        <w:t>.</w:t>
      </w:r>
    </w:p>
  </w:endnote>
  <w:endnote w:id="40">
    <w:p w14:paraId="6BF62AC0" w14:textId="77777777" w:rsidR="002004F3" w:rsidRPr="00F42613" w:rsidRDefault="002004F3" w:rsidP="002E4F34">
      <w:pPr>
        <w:pStyle w:val="Footnote"/>
        <w:rPr>
          <w:spacing w:val="-4"/>
          <w:kern w:val="17"/>
        </w:rPr>
      </w:pPr>
      <w:r w:rsidRPr="00F42613">
        <w:rPr>
          <w:rStyle w:val="EndnoteReference"/>
          <w:spacing w:val="-4"/>
          <w:kern w:val="17"/>
        </w:rPr>
        <w:endnoteRef/>
      </w:r>
      <w:r w:rsidRPr="00F42613">
        <w:rPr>
          <w:spacing w:val="-4"/>
          <w:kern w:val="17"/>
        </w:rPr>
        <w:t xml:space="preserve"> Halia Pavliva and Elena Popina, “Oil Rout Pushes RTS Index Volatility to Eight-Month High,” </w:t>
      </w:r>
      <w:r w:rsidRPr="00F42613">
        <w:rPr>
          <w:i/>
          <w:spacing w:val="-4"/>
          <w:kern w:val="17"/>
        </w:rPr>
        <w:t>Bloomberg</w:t>
      </w:r>
      <w:r w:rsidRPr="00F42613">
        <w:rPr>
          <w:spacing w:val="-4"/>
          <w:kern w:val="17"/>
        </w:rPr>
        <w:t>, December 1, 2014, accessed August 29, 2016, www.bloomberg.com/news/articles/2014-12-01/russia-stock-volatility-surges-to-to-post-crimea-levels.</w:t>
      </w:r>
    </w:p>
  </w:endnote>
  <w:endnote w:id="41">
    <w:p w14:paraId="5DD3045B" w14:textId="4CEC24A7" w:rsidR="002004F3" w:rsidRPr="009F294F" w:rsidRDefault="002004F3" w:rsidP="00DB7810">
      <w:pPr>
        <w:pStyle w:val="Footnote"/>
        <w:rPr>
          <w:lang w:val="en-IN"/>
        </w:rPr>
      </w:pPr>
      <w:r w:rsidRPr="009F294F">
        <w:rPr>
          <w:rStyle w:val="EndnoteReference"/>
        </w:rPr>
        <w:endnoteRef/>
      </w:r>
      <w:r>
        <w:t xml:space="preserve"> Danish Khan, “</w:t>
      </w:r>
      <w:r w:rsidRPr="00343FD7">
        <w:t>Sistema</w:t>
      </w:r>
      <w:r>
        <w:t xml:space="preserve"> S</w:t>
      </w:r>
      <w:r w:rsidRPr="00343FD7">
        <w:t>hyam</w:t>
      </w:r>
      <w:r>
        <w:t xml:space="preserve"> C</w:t>
      </w:r>
      <w:r w:rsidRPr="00343FD7">
        <w:t>hanges</w:t>
      </w:r>
      <w:r>
        <w:t xml:space="preserve"> T</w:t>
      </w:r>
      <w:r w:rsidRPr="00343FD7">
        <w:t>rack</w:t>
      </w:r>
      <w:r>
        <w:t>, E</w:t>
      </w:r>
      <w:r w:rsidRPr="00343FD7">
        <w:t>nters</w:t>
      </w:r>
      <w:r>
        <w:t xml:space="preserve"> H</w:t>
      </w:r>
      <w:r w:rsidRPr="00343FD7">
        <w:t>ome</w:t>
      </w:r>
      <w:r>
        <w:t xml:space="preserve"> W</w:t>
      </w:r>
      <w:r w:rsidRPr="00343FD7">
        <w:t>i-</w:t>
      </w:r>
      <w:r>
        <w:t>Fi S</w:t>
      </w:r>
      <w:r w:rsidRPr="00343FD7">
        <w:t>egment</w:t>
      </w:r>
      <w:r w:rsidRPr="00DE6C35">
        <w:t>,</w:t>
      </w:r>
      <w:r>
        <w:t xml:space="preserve">” </w:t>
      </w:r>
      <w:r w:rsidRPr="002004F3">
        <w:rPr>
          <w:i/>
        </w:rPr>
        <w:t>Economic Times Telecom</w:t>
      </w:r>
      <w:r>
        <w:t xml:space="preserve">, </w:t>
      </w:r>
      <w:r w:rsidRPr="009F294F">
        <w:t>February 9, 2015, accessed September</w:t>
      </w:r>
      <w:r>
        <w:t xml:space="preserve"> </w:t>
      </w:r>
      <w:r w:rsidRPr="009F294F">
        <w:t>23, 2016, http://telecom.economictimes.indiatimes.com/news/industry/sistema-shyam-changes-track-enters-home-wi-fi-segment/46169783</w:t>
      </w:r>
      <w:r>
        <w:t>.</w:t>
      </w:r>
    </w:p>
  </w:endnote>
  <w:endnote w:id="42">
    <w:p w14:paraId="035AF399" w14:textId="13CEF41C" w:rsidR="002004F3" w:rsidRPr="009F294F" w:rsidRDefault="002004F3" w:rsidP="002004F3">
      <w:pPr>
        <w:pStyle w:val="Footnote"/>
      </w:pPr>
      <w:r w:rsidRPr="009F294F">
        <w:rPr>
          <w:rStyle w:val="EndnoteReference"/>
          <w:b/>
        </w:rPr>
        <w:endnoteRef/>
      </w:r>
      <w:r>
        <w:t xml:space="preserve"> Muntazir Abbas, “</w:t>
      </w:r>
      <w:r w:rsidRPr="00343FD7">
        <w:rPr>
          <w:bCs/>
        </w:rPr>
        <w:t>MTS to Offer Wi-Fi Services at 3 Railway Stations</w:t>
      </w:r>
      <w:r w:rsidRPr="00464271">
        <w:rPr>
          <w:bCs/>
        </w:rPr>
        <w:t>,</w:t>
      </w:r>
      <w:r>
        <w:rPr>
          <w:bCs/>
        </w:rPr>
        <w:t xml:space="preserve">” </w:t>
      </w:r>
      <w:r>
        <w:rPr>
          <w:bCs/>
          <w:i/>
        </w:rPr>
        <w:t xml:space="preserve">Economic Times, </w:t>
      </w:r>
      <w:r w:rsidRPr="009F294F">
        <w:rPr>
          <w:bCs/>
        </w:rPr>
        <w:t xml:space="preserve">November 25, 2014, </w:t>
      </w:r>
      <w:r w:rsidRPr="009F294F">
        <w:t>accessed September 23, 2016, http://articles.economictimes.indiatimes.com/2014-11-25/news/56455531_1_wi-fi-hotspots-rapid-metro-wi-fi-services</w:t>
      </w:r>
      <w:r>
        <w:t>.</w:t>
      </w:r>
    </w:p>
  </w:endnote>
  <w:endnote w:id="43">
    <w:p w14:paraId="533FF492" w14:textId="1A47097D" w:rsidR="002004F3" w:rsidRPr="009F294F" w:rsidRDefault="002004F3" w:rsidP="002004F3">
      <w:pPr>
        <w:pStyle w:val="Footnote"/>
      </w:pPr>
      <w:r w:rsidRPr="009F294F">
        <w:rPr>
          <w:rStyle w:val="EndnoteReference"/>
          <w:b/>
        </w:rPr>
        <w:endnoteRef/>
      </w:r>
      <w:r>
        <w:t xml:space="preserve"> </w:t>
      </w:r>
      <w:r w:rsidRPr="009F294F">
        <w:t xml:space="preserve">Riddhi Mukherjee, </w:t>
      </w:r>
      <w:r>
        <w:t>“</w:t>
      </w:r>
      <w:r w:rsidRPr="00343FD7">
        <w:rPr>
          <w:bCs/>
        </w:rPr>
        <w:t xml:space="preserve">RCOM, MTS India </w:t>
      </w:r>
      <w:r>
        <w:rPr>
          <w:bCs/>
        </w:rPr>
        <w:t>M</w:t>
      </w:r>
      <w:r w:rsidRPr="00343FD7">
        <w:rPr>
          <w:bCs/>
        </w:rPr>
        <w:t xml:space="preserve">erged </w:t>
      </w:r>
      <w:r>
        <w:rPr>
          <w:bCs/>
        </w:rPr>
        <w:t>E</w:t>
      </w:r>
      <w:r w:rsidRPr="00343FD7">
        <w:rPr>
          <w:bCs/>
        </w:rPr>
        <w:t xml:space="preserve">ntity </w:t>
      </w:r>
      <w:r>
        <w:rPr>
          <w:bCs/>
        </w:rPr>
        <w:t>W</w:t>
      </w:r>
      <w:r w:rsidRPr="00343FD7">
        <w:rPr>
          <w:bCs/>
        </w:rPr>
        <w:t xml:space="preserve">ill </w:t>
      </w:r>
      <w:r>
        <w:rPr>
          <w:bCs/>
        </w:rPr>
        <w:t>H</w:t>
      </w:r>
      <w:r w:rsidRPr="00343FD7">
        <w:rPr>
          <w:bCs/>
        </w:rPr>
        <w:t xml:space="preserve">ave </w:t>
      </w:r>
      <w:r>
        <w:rPr>
          <w:bCs/>
        </w:rPr>
        <w:t>T</w:t>
      </w:r>
      <w:r w:rsidRPr="00343FD7">
        <w:rPr>
          <w:bCs/>
        </w:rPr>
        <w:t xml:space="preserve">hird </w:t>
      </w:r>
      <w:r>
        <w:rPr>
          <w:bCs/>
        </w:rPr>
        <w:t>L</w:t>
      </w:r>
      <w:r w:rsidRPr="00343FD7">
        <w:rPr>
          <w:bCs/>
        </w:rPr>
        <w:t xml:space="preserve">argest </w:t>
      </w:r>
      <w:r>
        <w:rPr>
          <w:bCs/>
        </w:rPr>
        <w:t>M</w:t>
      </w:r>
      <w:r w:rsidRPr="00343FD7">
        <w:rPr>
          <w:bCs/>
        </w:rPr>
        <w:t xml:space="preserve">obile Internet </w:t>
      </w:r>
      <w:r>
        <w:rPr>
          <w:bCs/>
        </w:rPr>
        <w:t>U</w:t>
      </w:r>
      <w:r w:rsidRPr="00343FD7">
        <w:rPr>
          <w:bCs/>
        </w:rPr>
        <w:t xml:space="preserve">sers </w:t>
      </w:r>
      <w:r>
        <w:rPr>
          <w:bCs/>
        </w:rPr>
        <w:t>B</w:t>
      </w:r>
      <w:r w:rsidRPr="00343FD7">
        <w:rPr>
          <w:bCs/>
        </w:rPr>
        <w:t>ase</w:t>
      </w:r>
      <w:r w:rsidRPr="00464271">
        <w:rPr>
          <w:bCs/>
        </w:rPr>
        <w:t>,</w:t>
      </w:r>
      <w:r>
        <w:rPr>
          <w:bCs/>
        </w:rPr>
        <w:t xml:space="preserve">” MediaNama, </w:t>
      </w:r>
      <w:r w:rsidRPr="009F294F">
        <w:rPr>
          <w:bCs/>
        </w:rPr>
        <w:t xml:space="preserve">June 22, 2015, </w:t>
      </w:r>
      <w:r w:rsidRPr="009F294F">
        <w:t>accessed September 24, 2016, www.medianama.com/2015/06/223-rcom-mts-india-third-largest-mobile-internet-users-base</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C0585" w14:textId="77777777" w:rsidR="002004F3" w:rsidRDefault="002004F3" w:rsidP="00D75295">
      <w:r>
        <w:separator/>
      </w:r>
    </w:p>
  </w:footnote>
  <w:footnote w:type="continuationSeparator" w:id="0">
    <w:p w14:paraId="5A2A1684" w14:textId="77777777" w:rsidR="002004F3" w:rsidRDefault="002004F3"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0B737" w14:textId="20C0F4CC" w:rsidR="002004F3" w:rsidRDefault="002004F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30CA2">
      <w:rPr>
        <w:rFonts w:ascii="Arial" w:hAnsi="Arial"/>
        <w:b/>
        <w:noProof/>
      </w:rPr>
      <w:t>9</w:t>
    </w:r>
    <w:r>
      <w:rPr>
        <w:rFonts w:ascii="Arial" w:hAnsi="Arial"/>
        <w:b/>
      </w:rPr>
      <w:fldChar w:fldCharType="end"/>
    </w:r>
    <w:r>
      <w:rPr>
        <w:rFonts w:ascii="Arial" w:hAnsi="Arial"/>
        <w:b/>
      </w:rPr>
      <w:tab/>
      <w:t>9B17A</w:t>
    </w:r>
    <w:r w:rsidR="00436E0F">
      <w:rPr>
        <w:rFonts w:ascii="Arial" w:hAnsi="Arial"/>
        <w:b/>
      </w:rPr>
      <w:t>021</w:t>
    </w:r>
  </w:p>
  <w:p w14:paraId="0801C686" w14:textId="77777777" w:rsidR="002004F3" w:rsidRPr="00C92CC4" w:rsidRDefault="002004F3">
    <w:pPr>
      <w:pStyle w:val="Header"/>
      <w:rPr>
        <w:sz w:val="18"/>
        <w:szCs w:val="18"/>
      </w:rPr>
    </w:pPr>
  </w:p>
  <w:p w14:paraId="4729BACD" w14:textId="77777777" w:rsidR="002004F3" w:rsidRPr="00C92CC4" w:rsidRDefault="002004F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2548D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854720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0EE92F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CB1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C8276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F6A63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3B2FF7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D4E6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A4E1B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844B8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4346E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3449EA"/>
    <w:multiLevelType w:val="hybridMultilevel"/>
    <w:tmpl w:val="0C28CA70"/>
    <w:lvl w:ilvl="0" w:tplc="095C629A">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35DD0"/>
    <w:multiLevelType w:val="hybridMultilevel"/>
    <w:tmpl w:val="AA88A618"/>
    <w:lvl w:ilvl="0" w:tplc="06E60A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72F265A"/>
    <w:multiLevelType w:val="hybridMultilevel"/>
    <w:tmpl w:val="1728991C"/>
    <w:lvl w:ilvl="0" w:tplc="06E60A18">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2"/>
  </w:num>
  <w:num w:numId="13">
    <w:abstractNumId w:val="13"/>
  </w:num>
  <w:num w:numId="14">
    <w:abstractNumId w:val="23"/>
  </w:num>
  <w:num w:numId="15">
    <w:abstractNumId w:val="24"/>
  </w:num>
  <w:num w:numId="16">
    <w:abstractNumId w:val="25"/>
  </w:num>
  <w:num w:numId="17">
    <w:abstractNumId w:val="17"/>
  </w:num>
  <w:num w:numId="18">
    <w:abstractNumId w:val="26"/>
  </w:num>
  <w:num w:numId="19">
    <w:abstractNumId w:val="12"/>
  </w:num>
  <w:num w:numId="20">
    <w:abstractNumId w:val="11"/>
  </w:num>
  <w:num w:numId="21">
    <w:abstractNumId w:val="27"/>
  </w:num>
  <w:num w:numId="22">
    <w:abstractNumId w:val="20"/>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9"/>
  </w:num>
  <w:num w:numId="28">
    <w:abstractNumId w:val="18"/>
  </w:num>
  <w:num w:numId="29">
    <w:abstractNumId w:val="21"/>
  </w:num>
  <w:num w:numId="30">
    <w:abstractNumId w:val="15"/>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1AD"/>
    <w:rsid w:val="0000085A"/>
    <w:rsid w:val="000013E8"/>
    <w:rsid w:val="000066B9"/>
    <w:rsid w:val="00007F98"/>
    <w:rsid w:val="00013360"/>
    <w:rsid w:val="0001662B"/>
    <w:rsid w:val="00017CCF"/>
    <w:rsid w:val="000216CE"/>
    <w:rsid w:val="00025DC7"/>
    <w:rsid w:val="00026486"/>
    <w:rsid w:val="00026ACB"/>
    <w:rsid w:val="00031228"/>
    <w:rsid w:val="000372E0"/>
    <w:rsid w:val="000422A5"/>
    <w:rsid w:val="00044ECC"/>
    <w:rsid w:val="0004565A"/>
    <w:rsid w:val="000531D3"/>
    <w:rsid w:val="00053A40"/>
    <w:rsid w:val="0005646B"/>
    <w:rsid w:val="000609C7"/>
    <w:rsid w:val="00064DC4"/>
    <w:rsid w:val="00064F4E"/>
    <w:rsid w:val="000700C7"/>
    <w:rsid w:val="00070283"/>
    <w:rsid w:val="00074C8F"/>
    <w:rsid w:val="00077282"/>
    <w:rsid w:val="0008102D"/>
    <w:rsid w:val="000853DE"/>
    <w:rsid w:val="0008783B"/>
    <w:rsid w:val="00094C0E"/>
    <w:rsid w:val="00095AA7"/>
    <w:rsid w:val="00096F85"/>
    <w:rsid w:val="000A4042"/>
    <w:rsid w:val="000A7732"/>
    <w:rsid w:val="000B01A2"/>
    <w:rsid w:val="000C0302"/>
    <w:rsid w:val="000C5BDE"/>
    <w:rsid w:val="000C7C80"/>
    <w:rsid w:val="000D16AB"/>
    <w:rsid w:val="000D18C1"/>
    <w:rsid w:val="000D4CBF"/>
    <w:rsid w:val="000F0920"/>
    <w:rsid w:val="000F09CB"/>
    <w:rsid w:val="000F0C22"/>
    <w:rsid w:val="000F6B09"/>
    <w:rsid w:val="000F6FDC"/>
    <w:rsid w:val="000F78FD"/>
    <w:rsid w:val="00102F70"/>
    <w:rsid w:val="00104567"/>
    <w:rsid w:val="0011101E"/>
    <w:rsid w:val="001146E8"/>
    <w:rsid w:val="00114CE5"/>
    <w:rsid w:val="00115568"/>
    <w:rsid w:val="00122ACC"/>
    <w:rsid w:val="0012732D"/>
    <w:rsid w:val="001305F7"/>
    <w:rsid w:val="0013234B"/>
    <w:rsid w:val="00132C2F"/>
    <w:rsid w:val="001348F0"/>
    <w:rsid w:val="0013695A"/>
    <w:rsid w:val="00144E79"/>
    <w:rsid w:val="00144F2C"/>
    <w:rsid w:val="00154FC9"/>
    <w:rsid w:val="001562C3"/>
    <w:rsid w:val="00157164"/>
    <w:rsid w:val="001575CB"/>
    <w:rsid w:val="00160E27"/>
    <w:rsid w:val="00160FDC"/>
    <w:rsid w:val="00162996"/>
    <w:rsid w:val="00164FF0"/>
    <w:rsid w:val="00175F84"/>
    <w:rsid w:val="001774DF"/>
    <w:rsid w:val="00177A77"/>
    <w:rsid w:val="00180A0D"/>
    <w:rsid w:val="001859DF"/>
    <w:rsid w:val="00185E9E"/>
    <w:rsid w:val="001907E3"/>
    <w:rsid w:val="0019166A"/>
    <w:rsid w:val="0019241A"/>
    <w:rsid w:val="001A5335"/>
    <w:rsid w:val="001A752D"/>
    <w:rsid w:val="001B2134"/>
    <w:rsid w:val="001C142F"/>
    <w:rsid w:val="001C2F73"/>
    <w:rsid w:val="001C53FA"/>
    <w:rsid w:val="001C7E40"/>
    <w:rsid w:val="001D194E"/>
    <w:rsid w:val="001D2A8F"/>
    <w:rsid w:val="001D2FEB"/>
    <w:rsid w:val="001D3045"/>
    <w:rsid w:val="001D3FA0"/>
    <w:rsid w:val="001E2003"/>
    <w:rsid w:val="001E527A"/>
    <w:rsid w:val="001F0949"/>
    <w:rsid w:val="001F4544"/>
    <w:rsid w:val="001F5242"/>
    <w:rsid w:val="001F59F4"/>
    <w:rsid w:val="002004F3"/>
    <w:rsid w:val="002029E9"/>
    <w:rsid w:val="00203AA1"/>
    <w:rsid w:val="00204DAE"/>
    <w:rsid w:val="00207635"/>
    <w:rsid w:val="00211C79"/>
    <w:rsid w:val="00212C8D"/>
    <w:rsid w:val="00213E98"/>
    <w:rsid w:val="0022081E"/>
    <w:rsid w:val="00220E21"/>
    <w:rsid w:val="00222986"/>
    <w:rsid w:val="00227CD4"/>
    <w:rsid w:val="0023013B"/>
    <w:rsid w:val="00232EE9"/>
    <w:rsid w:val="00234A5A"/>
    <w:rsid w:val="00240778"/>
    <w:rsid w:val="00242FAF"/>
    <w:rsid w:val="00253556"/>
    <w:rsid w:val="00256D8B"/>
    <w:rsid w:val="00260135"/>
    <w:rsid w:val="00262133"/>
    <w:rsid w:val="00263CD4"/>
    <w:rsid w:val="00264268"/>
    <w:rsid w:val="00266A00"/>
    <w:rsid w:val="00267081"/>
    <w:rsid w:val="00274EEC"/>
    <w:rsid w:val="002825F2"/>
    <w:rsid w:val="00283D04"/>
    <w:rsid w:val="00283E9B"/>
    <w:rsid w:val="00294DE6"/>
    <w:rsid w:val="00295E6C"/>
    <w:rsid w:val="002A0FA0"/>
    <w:rsid w:val="002A1C7F"/>
    <w:rsid w:val="002A3AC3"/>
    <w:rsid w:val="002B15C0"/>
    <w:rsid w:val="002B5EC8"/>
    <w:rsid w:val="002B6523"/>
    <w:rsid w:val="002B6FC7"/>
    <w:rsid w:val="002C4823"/>
    <w:rsid w:val="002C4EFE"/>
    <w:rsid w:val="002C6772"/>
    <w:rsid w:val="002D1D25"/>
    <w:rsid w:val="002D7200"/>
    <w:rsid w:val="002E1F19"/>
    <w:rsid w:val="002E32F0"/>
    <w:rsid w:val="002E4F34"/>
    <w:rsid w:val="002E6EFA"/>
    <w:rsid w:val="002F244E"/>
    <w:rsid w:val="002F460C"/>
    <w:rsid w:val="002F48D6"/>
    <w:rsid w:val="002F66EC"/>
    <w:rsid w:val="002F67B8"/>
    <w:rsid w:val="003137C9"/>
    <w:rsid w:val="003166AB"/>
    <w:rsid w:val="003166E2"/>
    <w:rsid w:val="003200D8"/>
    <w:rsid w:val="00324B39"/>
    <w:rsid w:val="0032518F"/>
    <w:rsid w:val="00335CA7"/>
    <w:rsid w:val="0033706D"/>
    <w:rsid w:val="003375BB"/>
    <w:rsid w:val="00342CCC"/>
    <w:rsid w:val="00343FD7"/>
    <w:rsid w:val="00344885"/>
    <w:rsid w:val="0035169B"/>
    <w:rsid w:val="003542A0"/>
    <w:rsid w:val="00354899"/>
    <w:rsid w:val="00355FD6"/>
    <w:rsid w:val="00356631"/>
    <w:rsid w:val="00361C8E"/>
    <w:rsid w:val="00363157"/>
    <w:rsid w:val="00364A5C"/>
    <w:rsid w:val="00364F9C"/>
    <w:rsid w:val="003661AD"/>
    <w:rsid w:val="00373FB1"/>
    <w:rsid w:val="003753CF"/>
    <w:rsid w:val="00375791"/>
    <w:rsid w:val="0037709D"/>
    <w:rsid w:val="00390689"/>
    <w:rsid w:val="00394596"/>
    <w:rsid w:val="003A53E1"/>
    <w:rsid w:val="003A7275"/>
    <w:rsid w:val="003A7B45"/>
    <w:rsid w:val="003A7FC0"/>
    <w:rsid w:val="003B1BAE"/>
    <w:rsid w:val="003B1F8F"/>
    <w:rsid w:val="003B30D8"/>
    <w:rsid w:val="003B3CA4"/>
    <w:rsid w:val="003B3D71"/>
    <w:rsid w:val="003B7EF2"/>
    <w:rsid w:val="003C27EB"/>
    <w:rsid w:val="003C3DF8"/>
    <w:rsid w:val="003C3FA4"/>
    <w:rsid w:val="003C4B47"/>
    <w:rsid w:val="003C6D01"/>
    <w:rsid w:val="003D1E6C"/>
    <w:rsid w:val="003D688D"/>
    <w:rsid w:val="003D74FB"/>
    <w:rsid w:val="003E01A8"/>
    <w:rsid w:val="003E020C"/>
    <w:rsid w:val="003E1FAE"/>
    <w:rsid w:val="003E3899"/>
    <w:rsid w:val="003F2B0C"/>
    <w:rsid w:val="003F3007"/>
    <w:rsid w:val="003F5067"/>
    <w:rsid w:val="003F6BD0"/>
    <w:rsid w:val="00400860"/>
    <w:rsid w:val="004106C5"/>
    <w:rsid w:val="004221E4"/>
    <w:rsid w:val="0042361C"/>
    <w:rsid w:val="004360B1"/>
    <w:rsid w:val="00436E0F"/>
    <w:rsid w:val="00440285"/>
    <w:rsid w:val="00444D72"/>
    <w:rsid w:val="004527C8"/>
    <w:rsid w:val="00453BE1"/>
    <w:rsid w:val="00455A8D"/>
    <w:rsid w:val="00457CC7"/>
    <w:rsid w:val="004612D7"/>
    <w:rsid w:val="00464271"/>
    <w:rsid w:val="00471088"/>
    <w:rsid w:val="00473173"/>
    <w:rsid w:val="00476681"/>
    <w:rsid w:val="00477D7C"/>
    <w:rsid w:val="00482274"/>
    <w:rsid w:val="00483AF9"/>
    <w:rsid w:val="004846CC"/>
    <w:rsid w:val="00484AB5"/>
    <w:rsid w:val="00486302"/>
    <w:rsid w:val="00490F7C"/>
    <w:rsid w:val="0049112A"/>
    <w:rsid w:val="004957CA"/>
    <w:rsid w:val="00496F89"/>
    <w:rsid w:val="004A6CC7"/>
    <w:rsid w:val="004B109E"/>
    <w:rsid w:val="004B1CCB"/>
    <w:rsid w:val="004B2DF9"/>
    <w:rsid w:val="004B47EE"/>
    <w:rsid w:val="004B7307"/>
    <w:rsid w:val="004C668A"/>
    <w:rsid w:val="004C7B99"/>
    <w:rsid w:val="004D5C03"/>
    <w:rsid w:val="004D73A5"/>
    <w:rsid w:val="004E1173"/>
    <w:rsid w:val="004E347F"/>
    <w:rsid w:val="004E3832"/>
    <w:rsid w:val="004E531A"/>
    <w:rsid w:val="004F3504"/>
    <w:rsid w:val="004F40AA"/>
    <w:rsid w:val="004F6398"/>
    <w:rsid w:val="00502568"/>
    <w:rsid w:val="00505060"/>
    <w:rsid w:val="00507E8E"/>
    <w:rsid w:val="005111D4"/>
    <w:rsid w:val="00511ED8"/>
    <w:rsid w:val="005145F6"/>
    <w:rsid w:val="00515E34"/>
    <w:rsid w:val="00517BDF"/>
    <w:rsid w:val="00520479"/>
    <w:rsid w:val="005209D0"/>
    <w:rsid w:val="00520B5E"/>
    <w:rsid w:val="005211A4"/>
    <w:rsid w:val="005255BE"/>
    <w:rsid w:val="0052703C"/>
    <w:rsid w:val="005277C0"/>
    <w:rsid w:val="00527A03"/>
    <w:rsid w:val="00532BFB"/>
    <w:rsid w:val="00532CF5"/>
    <w:rsid w:val="00543D2D"/>
    <w:rsid w:val="00551254"/>
    <w:rsid w:val="005528CB"/>
    <w:rsid w:val="005568C4"/>
    <w:rsid w:val="005578D9"/>
    <w:rsid w:val="0056145F"/>
    <w:rsid w:val="005626F2"/>
    <w:rsid w:val="00563433"/>
    <w:rsid w:val="0056566B"/>
    <w:rsid w:val="00566771"/>
    <w:rsid w:val="00581E2E"/>
    <w:rsid w:val="00584F15"/>
    <w:rsid w:val="005908F6"/>
    <w:rsid w:val="00595823"/>
    <w:rsid w:val="005A041C"/>
    <w:rsid w:val="005A0E60"/>
    <w:rsid w:val="005B0EB3"/>
    <w:rsid w:val="005B4EDD"/>
    <w:rsid w:val="005B7513"/>
    <w:rsid w:val="005C6239"/>
    <w:rsid w:val="005D2919"/>
    <w:rsid w:val="005D4ECC"/>
    <w:rsid w:val="005E1BD1"/>
    <w:rsid w:val="005F4A6B"/>
    <w:rsid w:val="005F4CE2"/>
    <w:rsid w:val="005F5BD5"/>
    <w:rsid w:val="00600A68"/>
    <w:rsid w:val="0060115E"/>
    <w:rsid w:val="00602E50"/>
    <w:rsid w:val="00612ABC"/>
    <w:rsid w:val="006163F7"/>
    <w:rsid w:val="00630086"/>
    <w:rsid w:val="00634FEE"/>
    <w:rsid w:val="0063754A"/>
    <w:rsid w:val="00642E5F"/>
    <w:rsid w:val="00652606"/>
    <w:rsid w:val="006537CF"/>
    <w:rsid w:val="00653E3C"/>
    <w:rsid w:val="006555F8"/>
    <w:rsid w:val="00661B54"/>
    <w:rsid w:val="00664471"/>
    <w:rsid w:val="00665606"/>
    <w:rsid w:val="00682754"/>
    <w:rsid w:val="00685CD7"/>
    <w:rsid w:val="00691568"/>
    <w:rsid w:val="0069731A"/>
    <w:rsid w:val="006A0394"/>
    <w:rsid w:val="006A0AC7"/>
    <w:rsid w:val="006A1BA2"/>
    <w:rsid w:val="006A3926"/>
    <w:rsid w:val="006A58A9"/>
    <w:rsid w:val="006A606D"/>
    <w:rsid w:val="006B02BB"/>
    <w:rsid w:val="006B4E57"/>
    <w:rsid w:val="006B7F7A"/>
    <w:rsid w:val="006C0371"/>
    <w:rsid w:val="006C08B6"/>
    <w:rsid w:val="006C0B1A"/>
    <w:rsid w:val="006C1F8E"/>
    <w:rsid w:val="006C4384"/>
    <w:rsid w:val="006C6065"/>
    <w:rsid w:val="006C6B5E"/>
    <w:rsid w:val="006C7F9F"/>
    <w:rsid w:val="006D42EB"/>
    <w:rsid w:val="006D66D4"/>
    <w:rsid w:val="006E2F6D"/>
    <w:rsid w:val="006E34D9"/>
    <w:rsid w:val="006E58F6"/>
    <w:rsid w:val="006E77E1"/>
    <w:rsid w:val="006F131D"/>
    <w:rsid w:val="006F1C0E"/>
    <w:rsid w:val="006F1D9E"/>
    <w:rsid w:val="006F4C88"/>
    <w:rsid w:val="00700B3F"/>
    <w:rsid w:val="00713A31"/>
    <w:rsid w:val="00715889"/>
    <w:rsid w:val="00720F99"/>
    <w:rsid w:val="00721C5E"/>
    <w:rsid w:val="00727B6D"/>
    <w:rsid w:val="007326CB"/>
    <w:rsid w:val="0074220F"/>
    <w:rsid w:val="0074221E"/>
    <w:rsid w:val="00742AF0"/>
    <w:rsid w:val="00743B00"/>
    <w:rsid w:val="0074721E"/>
    <w:rsid w:val="007475FB"/>
    <w:rsid w:val="00752BCD"/>
    <w:rsid w:val="00753818"/>
    <w:rsid w:val="007608E2"/>
    <w:rsid w:val="00761369"/>
    <w:rsid w:val="00765505"/>
    <w:rsid w:val="00765730"/>
    <w:rsid w:val="00766DA1"/>
    <w:rsid w:val="0076770A"/>
    <w:rsid w:val="00773832"/>
    <w:rsid w:val="00774FF9"/>
    <w:rsid w:val="007830DE"/>
    <w:rsid w:val="00785CD9"/>
    <w:rsid w:val="007866A6"/>
    <w:rsid w:val="007937B1"/>
    <w:rsid w:val="007953F9"/>
    <w:rsid w:val="007A0082"/>
    <w:rsid w:val="007A130D"/>
    <w:rsid w:val="007A4322"/>
    <w:rsid w:val="007B1C90"/>
    <w:rsid w:val="007B246C"/>
    <w:rsid w:val="007C1EC6"/>
    <w:rsid w:val="007C439B"/>
    <w:rsid w:val="007D0762"/>
    <w:rsid w:val="007D4102"/>
    <w:rsid w:val="007D5FDA"/>
    <w:rsid w:val="007E144E"/>
    <w:rsid w:val="007E1705"/>
    <w:rsid w:val="007E5921"/>
    <w:rsid w:val="00803485"/>
    <w:rsid w:val="0080363F"/>
    <w:rsid w:val="008049B6"/>
    <w:rsid w:val="0081569F"/>
    <w:rsid w:val="00821FFC"/>
    <w:rsid w:val="008243E4"/>
    <w:rsid w:val="008251CE"/>
    <w:rsid w:val="008271CA"/>
    <w:rsid w:val="008272C8"/>
    <w:rsid w:val="008276E8"/>
    <w:rsid w:val="00837C45"/>
    <w:rsid w:val="00842221"/>
    <w:rsid w:val="00845DC0"/>
    <w:rsid w:val="008467D5"/>
    <w:rsid w:val="00851819"/>
    <w:rsid w:val="00853D19"/>
    <w:rsid w:val="00854821"/>
    <w:rsid w:val="00856D9F"/>
    <w:rsid w:val="00856EDE"/>
    <w:rsid w:val="00862195"/>
    <w:rsid w:val="0086334E"/>
    <w:rsid w:val="00864E86"/>
    <w:rsid w:val="00866F6D"/>
    <w:rsid w:val="008701BB"/>
    <w:rsid w:val="0087043C"/>
    <w:rsid w:val="00870925"/>
    <w:rsid w:val="0087355B"/>
    <w:rsid w:val="00873C0A"/>
    <w:rsid w:val="0087414E"/>
    <w:rsid w:val="00880342"/>
    <w:rsid w:val="00883D8E"/>
    <w:rsid w:val="00885671"/>
    <w:rsid w:val="00885C61"/>
    <w:rsid w:val="008A3005"/>
    <w:rsid w:val="008A3F53"/>
    <w:rsid w:val="008A464C"/>
    <w:rsid w:val="008A4DC4"/>
    <w:rsid w:val="008B1393"/>
    <w:rsid w:val="008B301E"/>
    <w:rsid w:val="008B6C81"/>
    <w:rsid w:val="008B7CDF"/>
    <w:rsid w:val="008C2C07"/>
    <w:rsid w:val="008C5D52"/>
    <w:rsid w:val="008C6E37"/>
    <w:rsid w:val="008D04DF"/>
    <w:rsid w:val="008D1BC1"/>
    <w:rsid w:val="008D1F60"/>
    <w:rsid w:val="008D2015"/>
    <w:rsid w:val="008D3B23"/>
    <w:rsid w:val="008D5DBF"/>
    <w:rsid w:val="008E0908"/>
    <w:rsid w:val="008E5509"/>
    <w:rsid w:val="008E7287"/>
    <w:rsid w:val="008F0007"/>
    <w:rsid w:val="008F69C0"/>
    <w:rsid w:val="0090010A"/>
    <w:rsid w:val="009067A4"/>
    <w:rsid w:val="0090722E"/>
    <w:rsid w:val="009073E7"/>
    <w:rsid w:val="009133CB"/>
    <w:rsid w:val="009134A2"/>
    <w:rsid w:val="0092183F"/>
    <w:rsid w:val="00923D05"/>
    <w:rsid w:val="009340DB"/>
    <w:rsid w:val="0093609D"/>
    <w:rsid w:val="009371BA"/>
    <w:rsid w:val="00945F9E"/>
    <w:rsid w:val="00947E45"/>
    <w:rsid w:val="009540EF"/>
    <w:rsid w:val="00955EAB"/>
    <w:rsid w:val="009614FC"/>
    <w:rsid w:val="00961650"/>
    <w:rsid w:val="00962A7D"/>
    <w:rsid w:val="00963BF3"/>
    <w:rsid w:val="009641E9"/>
    <w:rsid w:val="0096465B"/>
    <w:rsid w:val="00965380"/>
    <w:rsid w:val="00972498"/>
    <w:rsid w:val="0097463D"/>
    <w:rsid w:val="00974CC6"/>
    <w:rsid w:val="00976AD4"/>
    <w:rsid w:val="00977916"/>
    <w:rsid w:val="00990C6E"/>
    <w:rsid w:val="009942F9"/>
    <w:rsid w:val="00995E8D"/>
    <w:rsid w:val="009968D7"/>
    <w:rsid w:val="009A03F9"/>
    <w:rsid w:val="009A0639"/>
    <w:rsid w:val="009A312F"/>
    <w:rsid w:val="009A5348"/>
    <w:rsid w:val="009A67BB"/>
    <w:rsid w:val="009A7D8F"/>
    <w:rsid w:val="009B0F01"/>
    <w:rsid w:val="009B1BBA"/>
    <w:rsid w:val="009B5E20"/>
    <w:rsid w:val="009B7A2C"/>
    <w:rsid w:val="009C1467"/>
    <w:rsid w:val="009C39AC"/>
    <w:rsid w:val="009C76D5"/>
    <w:rsid w:val="009E23BE"/>
    <w:rsid w:val="009E4575"/>
    <w:rsid w:val="009E6612"/>
    <w:rsid w:val="009E76BC"/>
    <w:rsid w:val="009F0D0F"/>
    <w:rsid w:val="009F294F"/>
    <w:rsid w:val="009F3230"/>
    <w:rsid w:val="009F7AA4"/>
    <w:rsid w:val="00A02EBF"/>
    <w:rsid w:val="00A06096"/>
    <w:rsid w:val="00A072A3"/>
    <w:rsid w:val="00A14660"/>
    <w:rsid w:val="00A27CE1"/>
    <w:rsid w:val="00A3009D"/>
    <w:rsid w:val="00A3205D"/>
    <w:rsid w:val="00A33A37"/>
    <w:rsid w:val="00A34210"/>
    <w:rsid w:val="00A3680E"/>
    <w:rsid w:val="00A36EB2"/>
    <w:rsid w:val="00A43584"/>
    <w:rsid w:val="00A43D55"/>
    <w:rsid w:val="00A45188"/>
    <w:rsid w:val="00A4630A"/>
    <w:rsid w:val="00A50B03"/>
    <w:rsid w:val="00A51516"/>
    <w:rsid w:val="00A51728"/>
    <w:rsid w:val="00A5537B"/>
    <w:rsid w:val="00A559DB"/>
    <w:rsid w:val="00A60458"/>
    <w:rsid w:val="00A60D7B"/>
    <w:rsid w:val="00A61345"/>
    <w:rsid w:val="00A61E1B"/>
    <w:rsid w:val="00A6698A"/>
    <w:rsid w:val="00A753D2"/>
    <w:rsid w:val="00A77968"/>
    <w:rsid w:val="00A801E9"/>
    <w:rsid w:val="00A82DBA"/>
    <w:rsid w:val="00A83BBB"/>
    <w:rsid w:val="00A86492"/>
    <w:rsid w:val="00A91C49"/>
    <w:rsid w:val="00A91E1B"/>
    <w:rsid w:val="00A92DF6"/>
    <w:rsid w:val="00A933F4"/>
    <w:rsid w:val="00A94434"/>
    <w:rsid w:val="00AA134D"/>
    <w:rsid w:val="00AA3825"/>
    <w:rsid w:val="00AA6EA5"/>
    <w:rsid w:val="00AA7FDB"/>
    <w:rsid w:val="00AB25BB"/>
    <w:rsid w:val="00AB76AD"/>
    <w:rsid w:val="00AC0A8B"/>
    <w:rsid w:val="00AC5DDD"/>
    <w:rsid w:val="00AC6868"/>
    <w:rsid w:val="00AD6CBA"/>
    <w:rsid w:val="00AD6D96"/>
    <w:rsid w:val="00AE2D83"/>
    <w:rsid w:val="00AE51D3"/>
    <w:rsid w:val="00AF0A36"/>
    <w:rsid w:val="00AF2625"/>
    <w:rsid w:val="00AF35FC"/>
    <w:rsid w:val="00B03639"/>
    <w:rsid w:val="00B03ACE"/>
    <w:rsid w:val="00B0652A"/>
    <w:rsid w:val="00B07E5D"/>
    <w:rsid w:val="00B11766"/>
    <w:rsid w:val="00B12493"/>
    <w:rsid w:val="00B16A42"/>
    <w:rsid w:val="00B2437A"/>
    <w:rsid w:val="00B25C8D"/>
    <w:rsid w:val="00B26554"/>
    <w:rsid w:val="00B30CA2"/>
    <w:rsid w:val="00B32E14"/>
    <w:rsid w:val="00B3616F"/>
    <w:rsid w:val="00B36304"/>
    <w:rsid w:val="00B36496"/>
    <w:rsid w:val="00B3757D"/>
    <w:rsid w:val="00B40937"/>
    <w:rsid w:val="00B423EF"/>
    <w:rsid w:val="00B423FD"/>
    <w:rsid w:val="00B44B80"/>
    <w:rsid w:val="00B453DE"/>
    <w:rsid w:val="00B45F32"/>
    <w:rsid w:val="00B4742F"/>
    <w:rsid w:val="00B609B7"/>
    <w:rsid w:val="00B62E95"/>
    <w:rsid w:val="00B646CE"/>
    <w:rsid w:val="00B64CEB"/>
    <w:rsid w:val="00B66FDF"/>
    <w:rsid w:val="00B76E87"/>
    <w:rsid w:val="00B80398"/>
    <w:rsid w:val="00B86A5F"/>
    <w:rsid w:val="00B901F9"/>
    <w:rsid w:val="00B91E8C"/>
    <w:rsid w:val="00BA127A"/>
    <w:rsid w:val="00BA3142"/>
    <w:rsid w:val="00BA54B6"/>
    <w:rsid w:val="00BB1E5B"/>
    <w:rsid w:val="00BB2989"/>
    <w:rsid w:val="00BB3AC2"/>
    <w:rsid w:val="00BB6263"/>
    <w:rsid w:val="00BC0FA9"/>
    <w:rsid w:val="00BC3852"/>
    <w:rsid w:val="00BC3AC4"/>
    <w:rsid w:val="00BC7858"/>
    <w:rsid w:val="00BD6EFB"/>
    <w:rsid w:val="00BD74B2"/>
    <w:rsid w:val="00BE2448"/>
    <w:rsid w:val="00BE4F19"/>
    <w:rsid w:val="00BE5233"/>
    <w:rsid w:val="00BE7172"/>
    <w:rsid w:val="00BF07AD"/>
    <w:rsid w:val="00BF0D92"/>
    <w:rsid w:val="00BF3701"/>
    <w:rsid w:val="00C01944"/>
    <w:rsid w:val="00C03875"/>
    <w:rsid w:val="00C0504F"/>
    <w:rsid w:val="00C06AC2"/>
    <w:rsid w:val="00C15BE2"/>
    <w:rsid w:val="00C16F30"/>
    <w:rsid w:val="00C20339"/>
    <w:rsid w:val="00C22219"/>
    <w:rsid w:val="00C23236"/>
    <w:rsid w:val="00C260DB"/>
    <w:rsid w:val="00C27968"/>
    <w:rsid w:val="00C32E11"/>
    <w:rsid w:val="00C3447F"/>
    <w:rsid w:val="00C37CA5"/>
    <w:rsid w:val="00C37F5D"/>
    <w:rsid w:val="00C43973"/>
    <w:rsid w:val="00C43A4B"/>
    <w:rsid w:val="00C44D81"/>
    <w:rsid w:val="00C47736"/>
    <w:rsid w:val="00C5119A"/>
    <w:rsid w:val="00C5439C"/>
    <w:rsid w:val="00C56156"/>
    <w:rsid w:val="00C5617D"/>
    <w:rsid w:val="00C81491"/>
    <w:rsid w:val="00C81676"/>
    <w:rsid w:val="00C82884"/>
    <w:rsid w:val="00C829B3"/>
    <w:rsid w:val="00C82E95"/>
    <w:rsid w:val="00C83F40"/>
    <w:rsid w:val="00C92CC4"/>
    <w:rsid w:val="00C9429C"/>
    <w:rsid w:val="00CA0AFB"/>
    <w:rsid w:val="00CA0BD3"/>
    <w:rsid w:val="00CA2CE1"/>
    <w:rsid w:val="00CA3639"/>
    <w:rsid w:val="00CA3650"/>
    <w:rsid w:val="00CA3976"/>
    <w:rsid w:val="00CA5FE3"/>
    <w:rsid w:val="00CA757B"/>
    <w:rsid w:val="00CA79F8"/>
    <w:rsid w:val="00CB5151"/>
    <w:rsid w:val="00CB6B09"/>
    <w:rsid w:val="00CC1787"/>
    <w:rsid w:val="00CC182C"/>
    <w:rsid w:val="00CC4E85"/>
    <w:rsid w:val="00CC5D11"/>
    <w:rsid w:val="00CC7290"/>
    <w:rsid w:val="00CD0824"/>
    <w:rsid w:val="00CD19B3"/>
    <w:rsid w:val="00CD2908"/>
    <w:rsid w:val="00CE4A09"/>
    <w:rsid w:val="00CF2839"/>
    <w:rsid w:val="00CF5599"/>
    <w:rsid w:val="00CF5880"/>
    <w:rsid w:val="00D02F91"/>
    <w:rsid w:val="00D03245"/>
    <w:rsid w:val="00D03A82"/>
    <w:rsid w:val="00D04178"/>
    <w:rsid w:val="00D0571B"/>
    <w:rsid w:val="00D12DBA"/>
    <w:rsid w:val="00D135E7"/>
    <w:rsid w:val="00D147C0"/>
    <w:rsid w:val="00D15344"/>
    <w:rsid w:val="00D1535E"/>
    <w:rsid w:val="00D15E38"/>
    <w:rsid w:val="00D243BB"/>
    <w:rsid w:val="00D253B2"/>
    <w:rsid w:val="00D31BEC"/>
    <w:rsid w:val="00D32BAA"/>
    <w:rsid w:val="00D33E3D"/>
    <w:rsid w:val="00D447A4"/>
    <w:rsid w:val="00D45881"/>
    <w:rsid w:val="00D479E6"/>
    <w:rsid w:val="00D513B2"/>
    <w:rsid w:val="00D57C76"/>
    <w:rsid w:val="00D6018B"/>
    <w:rsid w:val="00D62A67"/>
    <w:rsid w:val="00D63150"/>
    <w:rsid w:val="00D64A32"/>
    <w:rsid w:val="00D64EFC"/>
    <w:rsid w:val="00D67B11"/>
    <w:rsid w:val="00D70138"/>
    <w:rsid w:val="00D74D87"/>
    <w:rsid w:val="00D75295"/>
    <w:rsid w:val="00D76CE9"/>
    <w:rsid w:val="00D803FD"/>
    <w:rsid w:val="00D85CF6"/>
    <w:rsid w:val="00D90CED"/>
    <w:rsid w:val="00D9515B"/>
    <w:rsid w:val="00D964A9"/>
    <w:rsid w:val="00D97F12"/>
    <w:rsid w:val="00DA1276"/>
    <w:rsid w:val="00DB42E7"/>
    <w:rsid w:val="00DB53A6"/>
    <w:rsid w:val="00DB557D"/>
    <w:rsid w:val="00DB55E7"/>
    <w:rsid w:val="00DB7810"/>
    <w:rsid w:val="00DC7E47"/>
    <w:rsid w:val="00DD00FE"/>
    <w:rsid w:val="00DD4805"/>
    <w:rsid w:val="00DD51E9"/>
    <w:rsid w:val="00DD592B"/>
    <w:rsid w:val="00DD7D95"/>
    <w:rsid w:val="00DE049A"/>
    <w:rsid w:val="00DE1DE3"/>
    <w:rsid w:val="00DE6C35"/>
    <w:rsid w:val="00DF06CD"/>
    <w:rsid w:val="00DF32C2"/>
    <w:rsid w:val="00DF3822"/>
    <w:rsid w:val="00DF3F4D"/>
    <w:rsid w:val="00DF6DDF"/>
    <w:rsid w:val="00E01FEA"/>
    <w:rsid w:val="00E06143"/>
    <w:rsid w:val="00E1253D"/>
    <w:rsid w:val="00E140CB"/>
    <w:rsid w:val="00E176DE"/>
    <w:rsid w:val="00E231FB"/>
    <w:rsid w:val="00E235BB"/>
    <w:rsid w:val="00E31DEC"/>
    <w:rsid w:val="00E32857"/>
    <w:rsid w:val="00E414AF"/>
    <w:rsid w:val="00E45919"/>
    <w:rsid w:val="00E45F02"/>
    <w:rsid w:val="00E471A7"/>
    <w:rsid w:val="00E5298D"/>
    <w:rsid w:val="00E5372F"/>
    <w:rsid w:val="00E60397"/>
    <w:rsid w:val="00E634E4"/>
    <w:rsid w:val="00E635CF"/>
    <w:rsid w:val="00E64D90"/>
    <w:rsid w:val="00E65DD8"/>
    <w:rsid w:val="00E73B32"/>
    <w:rsid w:val="00E73D72"/>
    <w:rsid w:val="00E74EA8"/>
    <w:rsid w:val="00E81443"/>
    <w:rsid w:val="00E83793"/>
    <w:rsid w:val="00E8761C"/>
    <w:rsid w:val="00E91374"/>
    <w:rsid w:val="00E94B6B"/>
    <w:rsid w:val="00EA45D6"/>
    <w:rsid w:val="00EA4D2B"/>
    <w:rsid w:val="00EB2CB4"/>
    <w:rsid w:val="00EB5410"/>
    <w:rsid w:val="00EB6335"/>
    <w:rsid w:val="00EC4BD1"/>
    <w:rsid w:val="00EC62F1"/>
    <w:rsid w:val="00EC6E0A"/>
    <w:rsid w:val="00ED0195"/>
    <w:rsid w:val="00ED13D0"/>
    <w:rsid w:val="00ED1D7E"/>
    <w:rsid w:val="00ED2940"/>
    <w:rsid w:val="00ED35BA"/>
    <w:rsid w:val="00ED4B70"/>
    <w:rsid w:val="00ED4E18"/>
    <w:rsid w:val="00ED5430"/>
    <w:rsid w:val="00ED67B8"/>
    <w:rsid w:val="00EE04FE"/>
    <w:rsid w:val="00EE1F37"/>
    <w:rsid w:val="00EE4845"/>
    <w:rsid w:val="00EE4C29"/>
    <w:rsid w:val="00EE5493"/>
    <w:rsid w:val="00EE6424"/>
    <w:rsid w:val="00EE6DA4"/>
    <w:rsid w:val="00EF24A0"/>
    <w:rsid w:val="00EF62B0"/>
    <w:rsid w:val="00EF7E6C"/>
    <w:rsid w:val="00F0159C"/>
    <w:rsid w:val="00F102E3"/>
    <w:rsid w:val="00F105B7"/>
    <w:rsid w:val="00F16644"/>
    <w:rsid w:val="00F16D7E"/>
    <w:rsid w:val="00F16F10"/>
    <w:rsid w:val="00F17115"/>
    <w:rsid w:val="00F17A21"/>
    <w:rsid w:val="00F219D5"/>
    <w:rsid w:val="00F32C5B"/>
    <w:rsid w:val="00F3533B"/>
    <w:rsid w:val="00F3629D"/>
    <w:rsid w:val="00F42613"/>
    <w:rsid w:val="00F437EE"/>
    <w:rsid w:val="00F43BBA"/>
    <w:rsid w:val="00F50048"/>
    <w:rsid w:val="00F50E91"/>
    <w:rsid w:val="00F51C87"/>
    <w:rsid w:val="00F51F2E"/>
    <w:rsid w:val="00F551B0"/>
    <w:rsid w:val="00F57D29"/>
    <w:rsid w:val="00F61CF4"/>
    <w:rsid w:val="00F63B5D"/>
    <w:rsid w:val="00F6658C"/>
    <w:rsid w:val="00F72B4C"/>
    <w:rsid w:val="00F81994"/>
    <w:rsid w:val="00F81EBC"/>
    <w:rsid w:val="00F878F5"/>
    <w:rsid w:val="00F910DF"/>
    <w:rsid w:val="00F92A99"/>
    <w:rsid w:val="00F94A0C"/>
    <w:rsid w:val="00F96201"/>
    <w:rsid w:val="00F96540"/>
    <w:rsid w:val="00F97F9B"/>
    <w:rsid w:val="00FA0B24"/>
    <w:rsid w:val="00FA14C9"/>
    <w:rsid w:val="00FA3CA1"/>
    <w:rsid w:val="00FB0AC7"/>
    <w:rsid w:val="00FB4324"/>
    <w:rsid w:val="00FB5E93"/>
    <w:rsid w:val="00FC30E9"/>
    <w:rsid w:val="00FC31C2"/>
    <w:rsid w:val="00FC5FFE"/>
    <w:rsid w:val="00FD0B18"/>
    <w:rsid w:val="00FD0F82"/>
    <w:rsid w:val="00FD28E0"/>
    <w:rsid w:val="00FD4A54"/>
    <w:rsid w:val="00FD7BF5"/>
    <w:rsid w:val="00FE3492"/>
    <w:rsid w:val="00FE3BE6"/>
    <w:rsid w:val="00FE5FE9"/>
    <w:rsid w:val="00FE714F"/>
    <w:rsid w:val="00FF2F44"/>
    <w:rsid w:val="00FF3321"/>
    <w:rsid w:val="00FF553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7FB24DE"/>
  <w15:docId w15:val="{650413E8-B93E-410A-9B4C-316FD919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754A"/>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link w:val="Heading1Char"/>
    <w:uiPriority w:val="9"/>
    <w:qFormat/>
    <w:rsid w:val="00EE04FE"/>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E231FB"/>
    <w:rPr>
      <w:vertAlign w:val="superscript"/>
    </w:rPr>
  </w:style>
  <w:style w:type="paragraph" w:customStyle="1" w:styleId="Footnote">
    <w:name w:val="Footnote"/>
    <w:basedOn w:val="FootnoteText"/>
    <w:link w:val="FootnoteChar"/>
    <w:qFormat/>
    <w:rsid w:val="005211A4"/>
    <w:pPr>
      <w:contextualSpacing/>
      <w:jc w:val="both"/>
    </w:pPr>
    <w:rPr>
      <w:rFonts w:ascii="Arial" w:hAnsi="Arial" w:cs="Arial"/>
      <w:sz w:val="17"/>
      <w:szCs w:val="17"/>
    </w:rPr>
  </w:style>
  <w:style w:type="character" w:customStyle="1" w:styleId="FootnoteChar">
    <w:name w:val="Footnote Char"/>
    <w:basedOn w:val="FootnoteTextChar"/>
    <w:link w:val="Footnote"/>
    <w:rsid w:val="005211A4"/>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22"/>
    <w:qFormat/>
    <w:rsid w:val="00FD0F82"/>
    <w:rPr>
      <w:b/>
      <w:bCs/>
    </w:rPr>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Default">
    <w:name w:val="Default"/>
    <w:rsid w:val="00F32C5B"/>
    <w:pPr>
      <w:autoSpaceDE w:val="0"/>
      <w:autoSpaceDN w:val="0"/>
      <w:adjustRightInd w:val="0"/>
      <w:spacing w:after="0" w:line="240" w:lineRule="auto"/>
    </w:pPr>
    <w:rPr>
      <w:rFonts w:ascii="Calibri" w:eastAsia="Calibri" w:hAnsi="Calibri" w:cs="Calibri"/>
      <w:color w:val="000000"/>
      <w:sz w:val="24"/>
      <w:szCs w:val="24"/>
      <w:lang w:val="en-IN" w:eastAsia="en-IN"/>
    </w:rPr>
  </w:style>
  <w:style w:type="character" w:styleId="FollowedHyperlink">
    <w:name w:val="FollowedHyperlink"/>
    <w:uiPriority w:val="99"/>
    <w:semiHidden/>
    <w:unhideWhenUsed/>
    <w:rsid w:val="00F32C5B"/>
    <w:rPr>
      <w:color w:val="800080"/>
      <w:u w:val="single"/>
    </w:rPr>
  </w:style>
  <w:style w:type="character" w:customStyle="1" w:styleId="Heading1Char">
    <w:name w:val="Heading 1 Char"/>
    <w:basedOn w:val="DefaultParagraphFont"/>
    <w:link w:val="Heading1"/>
    <w:uiPriority w:val="9"/>
    <w:rsid w:val="00EE04FE"/>
    <w:rPr>
      <w:rFonts w:ascii="Times New Roman" w:eastAsia="Times New Roman" w:hAnsi="Times New Roman" w:cs="Times New Roman"/>
      <w:b/>
      <w:bCs/>
      <w:kern w:val="36"/>
      <w:sz w:val="48"/>
      <w:szCs w:val="48"/>
      <w:lang w:val="en-IN" w:eastAsia="en-IN"/>
    </w:rPr>
  </w:style>
  <w:style w:type="paragraph" w:styleId="DocumentMap">
    <w:name w:val="Document Map"/>
    <w:basedOn w:val="Normal"/>
    <w:link w:val="DocumentMapChar"/>
    <w:uiPriority w:val="99"/>
    <w:semiHidden/>
    <w:unhideWhenUsed/>
    <w:rsid w:val="001348F0"/>
    <w:rPr>
      <w:sz w:val="24"/>
      <w:szCs w:val="24"/>
    </w:rPr>
  </w:style>
  <w:style w:type="character" w:customStyle="1" w:styleId="DocumentMapChar">
    <w:name w:val="Document Map Char"/>
    <w:basedOn w:val="DefaultParagraphFont"/>
    <w:link w:val="DocumentMap"/>
    <w:uiPriority w:val="99"/>
    <w:semiHidden/>
    <w:rsid w:val="001348F0"/>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0761">
      <w:bodyDiv w:val="1"/>
      <w:marLeft w:val="0"/>
      <w:marRight w:val="0"/>
      <w:marTop w:val="0"/>
      <w:marBottom w:val="0"/>
      <w:divBdr>
        <w:top w:val="none" w:sz="0" w:space="0" w:color="auto"/>
        <w:left w:val="none" w:sz="0" w:space="0" w:color="auto"/>
        <w:bottom w:val="none" w:sz="0" w:space="0" w:color="auto"/>
        <w:right w:val="none" w:sz="0" w:space="0" w:color="auto"/>
      </w:divBdr>
    </w:div>
    <w:div w:id="435097335">
      <w:bodyDiv w:val="1"/>
      <w:marLeft w:val="0"/>
      <w:marRight w:val="0"/>
      <w:marTop w:val="0"/>
      <w:marBottom w:val="0"/>
      <w:divBdr>
        <w:top w:val="none" w:sz="0" w:space="0" w:color="auto"/>
        <w:left w:val="none" w:sz="0" w:space="0" w:color="auto"/>
        <w:bottom w:val="none" w:sz="0" w:space="0" w:color="auto"/>
        <w:right w:val="none" w:sz="0" w:space="0" w:color="auto"/>
      </w:divBdr>
    </w:div>
    <w:div w:id="969360956">
      <w:bodyDiv w:val="1"/>
      <w:marLeft w:val="0"/>
      <w:marRight w:val="0"/>
      <w:marTop w:val="0"/>
      <w:marBottom w:val="0"/>
      <w:divBdr>
        <w:top w:val="none" w:sz="0" w:space="0" w:color="auto"/>
        <w:left w:val="none" w:sz="0" w:space="0" w:color="auto"/>
        <w:bottom w:val="none" w:sz="0" w:space="0" w:color="auto"/>
        <w:right w:val="none" w:sz="0" w:space="0" w:color="auto"/>
      </w:divBdr>
    </w:div>
    <w:div w:id="1074863250">
      <w:bodyDiv w:val="1"/>
      <w:marLeft w:val="0"/>
      <w:marRight w:val="0"/>
      <w:marTop w:val="0"/>
      <w:marBottom w:val="0"/>
      <w:divBdr>
        <w:top w:val="none" w:sz="0" w:space="0" w:color="auto"/>
        <w:left w:val="none" w:sz="0" w:space="0" w:color="auto"/>
        <w:bottom w:val="none" w:sz="0" w:space="0" w:color="auto"/>
        <w:right w:val="none" w:sz="0" w:space="0" w:color="auto"/>
      </w:divBdr>
    </w:div>
    <w:div w:id="1418017212">
      <w:bodyDiv w:val="1"/>
      <w:marLeft w:val="0"/>
      <w:marRight w:val="0"/>
      <w:marTop w:val="0"/>
      <w:marBottom w:val="0"/>
      <w:divBdr>
        <w:top w:val="none" w:sz="0" w:space="0" w:color="auto"/>
        <w:left w:val="none" w:sz="0" w:space="0" w:color="auto"/>
        <w:bottom w:val="none" w:sz="0" w:space="0" w:color="auto"/>
        <w:right w:val="none" w:sz="0" w:space="0" w:color="auto"/>
      </w:divBdr>
    </w:div>
    <w:div w:id="1473133533">
      <w:bodyDiv w:val="1"/>
      <w:marLeft w:val="0"/>
      <w:marRight w:val="0"/>
      <w:marTop w:val="0"/>
      <w:marBottom w:val="0"/>
      <w:divBdr>
        <w:top w:val="none" w:sz="0" w:space="0" w:color="auto"/>
        <w:left w:val="none" w:sz="0" w:space="0" w:color="auto"/>
        <w:bottom w:val="none" w:sz="0" w:space="0" w:color="auto"/>
        <w:right w:val="none" w:sz="0" w:space="0" w:color="auto"/>
      </w:divBdr>
    </w:div>
    <w:div w:id="1713070994">
      <w:bodyDiv w:val="1"/>
      <w:marLeft w:val="0"/>
      <w:marRight w:val="0"/>
      <w:marTop w:val="0"/>
      <w:marBottom w:val="0"/>
      <w:divBdr>
        <w:top w:val="none" w:sz="0" w:space="0" w:color="auto"/>
        <w:left w:val="none" w:sz="0" w:space="0" w:color="auto"/>
        <w:bottom w:val="none" w:sz="0" w:space="0" w:color="auto"/>
        <w:right w:val="none" w:sz="0" w:space="0" w:color="auto"/>
      </w:divBdr>
    </w:div>
    <w:div w:id="1754160339">
      <w:bodyDiv w:val="1"/>
      <w:marLeft w:val="0"/>
      <w:marRight w:val="0"/>
      <w:marTop w:val="0"/>
      <w:marBottom w:val="0"/>
      <w:divBdr>
        <w:top w:val="none" w:sz="0" w:space="0" w:color="auto"/>
        <w:left w:val="none" w:sz="0" w:space="0" w:color="auto"/>
        <w:bottom w:val="none" w:sz="0" w:space="0" w:color="auto"/>
        <w:right w:val="none" w:sz="0" w:space="0" w:color="auto"/>
      </w:divBdr>
    </w:div>
    <w:div w:id="2107919791">
      <w:bodyDiv w:val="1"/>
      <w:marLeft w:val="0"/>
      <w:marRight w:val="0"/>
      <w:marTop w:val="0"/>
      <w:marBottom w:val="0"/>
      <w:divBdr>
        <w:top w:val="none" w:sz="0" w:space="0" w:color="auto"/>
        <w:left w:val="none" w:sz="0" w:space="0" w:color="auto"/>
        <w:bottom w:val="none" w:sz="0" w:space="0" w:color="auto"/>
        <w:right w:val="none" w:sz="0" w:space="0" w:color="auto"/>
      </w:divBdr>
      <w:divsChild>
        <w:div w:id="573861088">
          <w:marLeft w:val="0"/>
          <w:marRight w:val="0"/>
          <w:marTop w:val="0"/>
          <w:marBottom w:val="86"/>
          <w:divBdr>
            <w:top w:val="single" w:sz="4" w:space="0" w:color="E9E9E9"/>
            <w:left w:val="none" w:sz="0" w:space="0" w:color="auto"/>
            <w:bottom w:val="single" w:sz="4" w:space="0" w:color="E9E9E9"/>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450DA-2226-461E-AFAD-6E477F84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4901</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4</cp:revision>
  <cp:lastPrinted>2017-02-15T20:32:00Z</cp:lastPrinted>
  <dcterms:created xsi:type="dcterms:W3CDTF">2017-04-10T16:35:00Z</dcterms:created>
  <dcterms:modified xsi:type="dcterms:W3CDTF">2017-04-20T20:07:00Z</dcterms:modified>
</cp:coreProperties>
</file>