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E7463B4" w14:textId="4357409E" w:rsidR="008467D5" w:rsidRPr="007C17BD" w:rsidRDefault="00E91F9C" w:rsidP="00013360">
      <w:pPr>
        <w:tabs>
          <w:tab w:val="left" w:pos="-1440"/>
          <w:tab w:val="left" w:pos="-720"/>
          <w:tab w:val="left" w:pos="1"/>
          <w:tab w:val="right" w:pos="9360"/>
        </w:tabs>
        <w:jc w:val="both"/>
        <w:rPr>
          <w:rFonts w:ascii="Arial" w:hAnsi="Arial"/>
          <w:sz w:val="24"/>
          <w:lang w:val="en-GB"/>
        </w:rPr>
      </w:pPr>
      <w:r w:rsidRPr="007C17BD">
        <w:rPr>
          <w:rFonts w:ascii="Arial" w:hAnsi="Arial"/>
          <w:b/>
          <w:noProof/>
          <w:sz w:val="24"/>
        </w:rPr>
        <w:drawing>
          <wp:inline distT="0" distB="0" distL="0" distR="0" wp14:anchorId="0556C358" wp14:editId="6C90C78E">
            <wp:extent cx="2613804" cy="551245"/>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8"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p>
    <w:p w14:paraId="2A0BAE9D" w14:textId="77777777" w:rsidR="00856D9F" w:rsidRPr="007C17BD" w:rsidRDefault="00856D9F" w:rsidP="008467D5">
      <w:pPr>
        <w:pBdr>
          <w:bottom w:val="single" w:sz="18" w:space="1" w:color="auto"/>
        </w:pBdr>
        <w:tabs>
          <w:tab w:val="left" w:pos="-1440"/>
          <w:tab w:val="left" w:pos="-720"/>
          <w:tab w:val="left" w:pos="1"/>
        </w:tabs>
        <w:jc w:val="both"/>
        <w:rPr>
          <w:rFonts w:ascii="Arial" w:hAnsi="Arial"/>
          <w:b/>
          <w:sz w:val="24"/>
          <w:lang w:val="en-GB"/>
        </w:rPr>
      </w:pPr>
    </w:p>
    <w:p w14:paraId="1D369634" w14:textId="486736AB" w:rsidR="00D75295" w:rsidRPr="007C17BD" w:rsidRDefault="00263FA9" w:rsidP="00F105B7">
      <w:pPr>
        <w:pStyle w:val="ProductNumber"/>
        <w:rPr>
          <w:lang w:val="en-GB"/>
        </w:rPr>
      </w:pPr>
      <w:r>
        <w:rPr>
          <w:lang w:val="en-GB"/>
        </w:rPr>
        <w:t>9B17A022</w:t>
      </w:r>
    </w:p>
    <w:p w14:paraId="522D0236" w14:textId="77777777" w:rsidR="00D75295" w:rsidRPr="007C17BD" w:rsidRDefault="00D75295" w:rsidP="00D75295">
      <w:pPr>
        <w:jc w:val="right"/>
        <w:rPr>
          <w:rFonts w:ascii="Arial" w:hAnsi="Arial"/>
          <w:b/>
          <w:sz w:val="28"/>
          <w:szCs w:val="28"/>
          <w:lang w:val="en-GB"/>
        </w:rPr>
      </w:pPr>
    </w:p>
    <w:p w14:paraId="23BAA9BC" w14:textId="77777777" w:rsidR="00866F6D" w:rsidRPr="007C17BD" w:rsidRDefault="00866F6D" w:rsidP="00D75295">
      <w:pPr>
        <w:jc w:val="right"/>
        <w:rPr>
          <w:rFonts w:ascii="Arial" w:hAnsi="Arial"/>
          <w:b/>
          <w:sz w:val="28"/>
          <w:szCs w:val="28"/>
          <w:lang w:val="en-GB"/>
        </w:rPr>
      </w:pPr>
    </w:p>
    <w:p w14:paraId="4B0E5C26" w14:textId="1BAF6E2F" w:rsidR="00F54E9C" w:rsidRPr="007C17BD" w:rsidRDefault="00813087" w:rsidP="00013360">
      <w:pPr>
        <w:pStyle w:val="CaseTitle"/>
        <w:spacing w:after="0" w:line="240" w:lineRule="auto"/>
        <w:rPr>
          <w:lang w:val="en-GB"/>
        </w:rPr>
      </w:pPr>
      <w:r w:rsidRPr="007C17BD">
        <w:rPr>
          <w:lang w:val="en-GB"/>
        </w:rPr>
        <w:t>Kaya Skin Clinic: Creating a Sustainable Competitive Advantage with Customers</w:t>
      </w:r>
      <w:r w:rsidR="00F54E9C" w:rsidRPr="007C17BD">
        <w:rPr>
          <w:vertAlign w:val="superscript"/>
          <w:lang w:val="en-GB"/>
        </w:rPr>
        <w:endnoteReference w:id="1"/>
      </w:r>
    </w:p>
    <w:p w14:paraId="00F20942" w14:textId="77777777" w:rsidR="00F54E9C" w:rsidRPr="007C17BD" w:rsidRDefault="00F54E9C" w:rsidP="00013360">
      <w:pPr>
        <w:pStyle w:val="CaseTitle"/>
        <w:spacing w:after="0" w:line="240" w:lineRule="auto"/>
        <w:rPr>
          <w:sz w:val="20"/>
          <w:szCs w:val="20"/>
          <w:lang w:val="en-GB"/>
        </w:rPr>
      </w:pPr>
    </w:p>
    <w:p w14:paraId="6059C838" w14:textId="77777777" w:rsidR="00F54E9C" w:rsidRPr="007C17BD" w:rsidRDefault="00F54E9C" w:rsidP="00013360">
      <w:pPr>
        <w:pStyle w:val="CaseTitle"/>
        <w:spacing w:after="0" w:line="240" w:lineRule="auto"/>
        <w:rPr>
          <w:sz w:val="20"/>
          <w:szCs w:val="20"/>
          <w:lang w:val="en-GB"/>
        </w:rPr>
      </w:pPr>
    </w:p>
    <w:p w14:paraId="6F6302BB" w14:textId="186366B2" w:rsidR="00F54E9C" w:rsidRPr="007C17BD" w:rsidRDefault="00F54E9C" w:rsidP="00104567">
      <w:pPr>
        <w:pStyle w:val="StyleCopyrightStatementAfter0ptBottomSinglesolidline1"/>
        <w:rPr>
          <w:lang w:val="en-GB"/>
        </w:rPr>
      </w:pPr>
      <w:r w:rsidRPr="007C17BD">
        <w:rPr>
          <w:lang w:val="en-GB"/>
        </w:rPr>
        <w:t>Kareem Abdul Waheed and Vimi Jham wrote this case solely to provide material for class discussion. The authors do not intend to illustrate either effective or ineffective handling of a managerial situation. The authors may have disguised certain names and other identifying information to protect confidentiality.</w:t>
      </w:r>
    </w:p>
    <w:p w14:paraId="446CA4F0" w14:textId="77777777" w:rsidR="00F54E9C" w:rsidRPr="007C17BD" w:rsidRDefault="00F54E9C" w:rsidP="00104567">
      <w:pPr>
        <w:pStyle w:val="StyleCopyrightStatementAfter0ptBottomSinglesolidline1"/>
        <w:rPr>
          <w:lang w:val="en-GB"/>
        </w:rPr>
      </w:pPr>
    </w:p>
    <w:p w14:paraId="77A968BF" w14:textId="77777777" w:rsidR="00F54E9C" w:rsidRPr="007C17BD" w:rsidRDefault="00F54E9C" w:rsidP="00E91F9C">
      <w:pPr>
        <w:pBdr>
          <w:top w:val="single" w:sz="8" w:space="4" w:color="auto"/>
        </w:pBdr>
        <w:tabs>
          <w:tab w:val="right" w:pos="9360"/>
        </w:tabs>
        <w:autoSpaceDE w:val="0"/>
        <w:autoSpaceDN w:val="0"/>
        <w:adjustRightInd w:val="0"/>
        <w:jc w:val="both"/>
        <w:textAlignment w:val="center"/>
        <w:rPr>
          <w:rFonts w:ascii="Arial" w:hAnsi="Arial"/>
          <w:i/>
          <w:iCs/>
          <w:color w:val="000000"/>
          <w:sz w:val="16"/>
          <w:lang w:val="en-GB"/>
        </w:rPr>
      </w:pPr>
      <w:r w:rsidRPr="007C17BD">
        <w:rPr>
          <w:rFonts w:ascii="Arial" w:hAnsi="Arial"/>
          <w:i/>
          <w:iCs/>
          <w:color w:val="000000"/>
          <w:sz w:val="16"/>
          <w:lang w:val="en-GB"/>
        </w:rPr>
        <w:t xml:space="preserve">This publication may not be transmitted, photocopied, digitized,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w:t>
      </w:r>
      <w:hyperlink r:id="rId9" w:history="1">
        <w:r w:rsidRPr="007C17BD">
          <w:rPr>
            <w:rFonts w:ascii="Arial" w:hAnsi="Arial"/>
            <w:i/>
            <w:iCs/>
            <w:color w:val="000000"/>
            <w:sz w:val="16"/>
            <w:lang w:val="en-GB"/>
          </w:rPr>
          <w:t>cases@ivey.ca</w:t>
        </w:r>
      </w:hyperlink>
      <w:r w:rsidRPr="007C17BD">
        <w:rPr>
          <w:rFonts w:ascii="Arial" w:hAnsi="Arial"/>
          <w:i/>
          <w:iCs/>
          <w:color w:val="000000"/>
          <w:sz w:val="16"/>
          <w:lang w:val="en-GB"/>
        </w:rPr>
        <w:t xml:space="preserve">; </w:t>
      </w:r>
      <w:hyperlink r:id="rId10" w:history="1">
        <w:r w:rsidRPr="007C17BD">
          <w:rPr>
            <w:rFonts w:ascii="Arial" w:hAnsi="Arial"/>
            <w:i/>
            <w:iCs/>
            <w:color w:val="000000"/>
            <w:sz w:val="16"/>
            <w:lang w:val="en-GB"/>
          </w:rPr>
          <w:t>www.iveycases.com</w:t>
        </w:r>
      </w:hyperlink>
      <w:r w:rsidRPr="007C17BD">
        <w:rPr>
          <w:rFonts w:ascii="Arial" w:hAnsi="Arial"/>
          <w:i/>
          <w:iCs/>
          <w:color w:val="000000"/>
          <w:sz w:val="16"/>
          <w:lang w:val="en-GB"/>
        </w:rPr>
        <w:t>.</w:t>
      </w:r>
    </w:p>
    <w:p w14:paraId="39246079" w14:textId="77777777" w:rsidR="00F54E9C" w:rsidRPr="007C17BD" w:rsidRDefault="00F54E9C" w:rsidP="00E91F9C">
      <w:pPr>
        <w:pBdr>
          <w:top w:val="single" w:sz="8" w:space="4" w:color="auto"/>
        </w:pBdr>
        <w:tabs>
          <w:tab w:val="right" w:pos="9360"/>
        </w:tabs>
        <w:autoSpaceDE w:val="0"/>
        <w:autoSpaceDN w:val="0"/>
        <w:adjustRightInd w:val="0"/>
        <w:jc w:val="both"/>
        <w:textAlignment w:val="center"/>
        <w:rPr>
          <w:rFonts w:ascii="Arial" w:hAnsi="Arial"/>
          <w:i/>
          <w:iCs/>
          <w:color w:val="000000"/>
          <w:sz w:val="16"/>
          <w:lang w:val="en-GB"/>
        </w:rPr>
      </w:pPr>
    </w:p>
    <w:p w14:paraId="6650C398" w14:textId="3F865B82" w:rsidR="00F54E9C" w:rsidRPr="007C17BD" w:rsidRDefault="00F54E9C" w:rsidP="00E91F9C">
      <w:pPr>
        <w:pStyle w:val="StyleStyleCopyrightStatementAfter0ptBottomSinglesolid"/>
        <w:rPr>
          <w:lang w:val="en-GB"/>
        </w:rPr>
      </w:pPr>
      <w:r w:rsidRPr="007C17BD">
        <w:rPr>
          <w:rFonts w:cs="Arial"/>
          <w:szCs w:val="16"/>
          <w:lang w:val="en-GB"/>
        </w:rPr>
        <w:t>Copyright © 2017, Richard Ivey School of Business Foundation</w:t>
      </w:r>
      <w:r w:rsidRPr="007C17BD">
        <w:rPr>
          <w:rFonts w:cs="Arial"/>
          <w:szCs w:val="16"/>
          <w:lang w:val="en-GB"/>
        </w:rPr>
        <w:tab/>
      </w:r>
      <w:r w:rsidRPr="007C17BD">
        <w:rPr>
          <w:lang w:val="en-GB"/>
        </w:rPr>
        <w:t>Version: 2017-</w:t>
      </w:r>
      <w:r w:rsidR="00B52762">
        <w:rPr>
          <w:lang w:val="en-GB"/>
        </w:rPr>
        <w:t>04-1</w:t>
      </w:r>
      <w:r w:rsidR="006B65CC">
        <w:rPr>
          <w:lang w:val="en-GB"/>
        </w:rPr>
        <w:t>7</w:t>
      </w:r>
    </w:p>
    <w:p w14:paraId="436C8A31" w14:textId="77777777" w:rsidR="00F54E9C" w:rsidRPr="007C17BD" w:rsidRDefault="00F54E9C" w:rsidP="00104567">
      <w:pPr>
        <w:pStyle w:val="StyleCopyrightStatementAfter0ptBottomSinglesolidline1"/>
        <w:rPr>
          <w:rFonts w:ascii="Times New Roman" w:hAnsi="Times New Roman"/>
          <w:sz w:val="20"/>
          <w:lang w:val="en-GB"/>
        </w:rPr>
      </w:pPr>
    </w:p>
    <w:p w14:paraId="35FE49D3" w14:textId="77777777" w:rsidR="00F54E9C" w:rsidRPr="007C17BD" w:rsidRDefault="00F54E9C" w:rsidP="006F1D9E">
      <w:pPr>
        <w:pStyle w:val="Footnote"/>
        <w:rPr>
          <w:lang w:val="en-GB"/>
        </w:rPr>
      </w:pPr>
    </w:p>
    <w:p w14:paraId="08C60570" w14:textId="6BC9FA08" w:rsidR="00F54E9C" w:rsidRPr="007C17BD" w:rsidRDefault="00F54E9C" w:rsidP="007B2184">
      <w:pPr>
        <w:pStyle w:val="BodyTextMain"/>
        <w:rPr>
          <w:lang w:val="en-GB"/>
        </w:rPr>
      </w:pPr>
      <w:r w:rsidRPr="007C17BD">
        <w:rPr>
          <w:lang w:val="en-GB"/>
        </w:rPr>
        <w:t>Kaya Skin Clinic (Kaya)</w:t>
      </w:r>
      <w:r w:rsidRPr="007C17BD">
        <w:rPr>
          <w:rStyle w:val="EndnoteReference"/>
          <w:color w:val="000000" w:themeColor="text1"/>
          <w:lang w:val="en-GB"/>
        </w:rPr>
        <w:endnoteReference w:id="2"/>
      </w:r>
      <w:r w:rsidRPr="007C17BD">
        <w:rPr>
          <w:lang w:val="en-GB"/>
        </w:rPr>
        <w:t xml:space="preserve"> Middle East had been growing since its inception in 2003, with considerable efforts made to position the brand through defined e-marketing and customer relationship management (CRM)</w:t>
      </w:r>
      <w:r w:rsidR="006B65CC" w:rsidRPr="007C17BD">
        <w:rPr>
          <w:rStyle w:val="EndnoteReference"/>
          <w:color w:val="000000" w:themeColor="text1"/>
          <w:lang w:val="en-GB"/>
        </w:rPr>
        <w:endnoteReference w:id="3"/>
      </w:r>
      <w:r w:rsidRPr="007C17BD">
        <w:rPr>
          <w:lang w:val="en-GB"/>
        </w:rPr>
        <w:t xml:space="preserve"> strategies. In 2015, it was time to redefine the brand in the Middle East region. To date, the customization strategy had been integral in delivering the client value proposition. Although Kaya was a well-established brand, it was investing in technology.</w:t>
      </w:r>
      <w:r w:rsidRPr="007C17BD">
        <w:rPr>
          <w:rStyle w:val="EndnoteReference"/>
          <w:color w:val="000000" w:themeColor="text1"/>
          <w:lang w:val="en-GB"/>
        </w:rPr>
        <w:endnoteReference w:id="4"/>
      </w:r>
      <w:r w:rsidRPr="007C17BD">
        <w:rPr>
          <w:lang w:val="en-GB"/>
        </w:rPr>
        <w:t xml:space="preserve"> Due to changing market conditions, differentiation strategies through customized solutions were developed for customers. In the Middle East market, Kaya was in heated competition with other local players and with dermatologists who were actively creating personal relationships with clients. Kaya</w:t>
      </w:r>
      <w:r w:rsidR="003B7DFC">
        <w:rPr>
          <w:lang w:val="en-GB"/>
        </w:rPr>
        <w:t>’</w:t>
      </w:r>
      <w:r w:rsidRPr="007C17BD">
        <w:rPr>
          <w:lang w:val="en-GB"/>
        </w:rPr>
        <w:t xml:space="preserve">s CRM team had developed Middle East-specific customized </w:t>
      </w:r>
      <w:r w:rsidR="003B7DFC">
        <w:rPr>
          <w:lang w:val="en-GB"/>
        </w:rPr>
        <w:t>“</w:t>
      </w:r>
      <w:proofErr w:type="spellStart"/>
      <w:r w:rsidRPr="007C17BD">
        <w:rPr>
          <w:lang w:val="en-GB"/>
        </w:rPr>
        <w:t>skinscriptions</w:t>
      </w:r>
      <w:proofErr w:type="spellEnd"/>
      <w:r w:rsidRPr="007C17BD">
        <w:rPr>
          <w:lang w:val="en-GB"/>
        </w:rPr>
        <w:t>.</w:t>
      </w:r>
      <w:r w:rsidR="003B7DFC">
        <w:rPr>
          <w:lang w:val="en-GB"/>
        </w:rPr>
        <w:t>”</w:t>
      </w:r>
    </w:p>
    <w:p w14:paraId="47878D6B" w14:textId="77777777" w:rsidR="00F54E9C" w:rsidRPr="007C17BD" w:rsidRDefault="00F54E9C" w:rsidP="007B2184">
      <w:pPr>
        <w:pStyle w:val="BodyTextMain"/>
        <w:rPr>
          <w:lang w:val="en-GB"/>
        </w:rPr>
      </w:pPr>
    </w:p>
    <w:p w14:paraId="712EB1DE" w14:textId="1CF980F7" w:rsidR="00F54E9C" w:rsidRPr="007C17BD" w:rsidRDefault="00F54E9C" w:rsidP="007B2184">
      <w:pPr>
        <w:pStyle w:val="BodyTextMain"/>
        <w:rPr>
          <w:lang w:val="en-GB"/>
        </w:rPr>
      </w:pPr>
      <w:r w:rsidRPr="007C17BD">
        <w:rPr>
          <w:lang w:val="en-GB"/>
        </w:rPr>
        <w:t xml:space="preserve">Because of growing competition in the beauty and skin care sector, differentiation between competitors was becoming difficult. Every competitor was customizing according to the needs of the client. Kaya also provided customized solutions by taking care of the personal needs of customers and building </w:t>
      </w:r>
      <w:bookmarkStart w:id="0" w:name="_GoBack"/>
      <w:bookmarkEnd w:id="0"/>
      <w:r w:rsidRPr="007C17BD">
        <w:rPr>
          <w:lang w:val="en-GB"/>
        </w:rPr>
        <w:t>loyalty.</w:t>
      </w:r>
      <w:r w:rsidRPr="007C17BD">
        <w:rPr>
          <w:rStyle w:val="EndnoteReference"/>
          <w:color w:val="000000" w:themeColor="text1"/>
          <w:lang w:val="en-GB"/>
        </w:rPr>
        <w:endnoteReference w:id="5"/>
      </w:r>
      <w:r w:rsidRPr="007C17BD">
        <w:rPr>
          <w:lang w:val="en-GB"/>
        </w:rPr>
        <w:t xml:space="preserve"> </w:t>
      </w:r>
    </w:p>
    <w:p w14:paraId="776EAE11" w14:textId="77777777" w:rsidR="00F54E9C" w:rsidRPr="007C17BD" w:rsidRDefault="00F54E9C" w:rsidP="007B2184">
      <w:pPr>
        <w:pStyle w:val="BodyTextMain"/>
        <w:rPr>
          <w:lang w:val="en-GB"/>
        </w:rPr>
      </w:pPr>
    </w:p>
    <w:p w14:paraId="306AD542" w14:textId="38C8BB5F" w:rsidR="00F54E9C" w:rsidRPr="007C17BD" w:rsidRDefault="00F54E9C" w:rsidP="007B2184">
      <w:pPr>
        <w:pStyle w:val="BodyTextMain"/>
        <w:rPr>
          <w:lang w:val="en-GB"/>
        </w:rPr>
      </w:pPr>
      <w:r w:rsidRPr="007C17BD">
        <w:rPr>
          <w:lang w:val="en-GB"/>
        </w:rPr>
        <w:t xml:space="preserve">Differentiation was the keyword for Kaya, which wanted to work on providing innovative solutions after already being positioned as a skin care expert. In the beauty industry, skin care remained the biggest contributor to absolute growth and comprised approximately one-quarter of total annual revenue. Innovation was </w:t>
      </w:r>
      <w:r w:rsidR="00B76D44">
        <w:rPr>
          <w:lang w:val="en-GB"/>
        </w:rPr>
        <w:t xml:space="preserve">a </w:t>
      </w:r>
      <w:r w:rsidRPr="007C17BD">
        <w:rPr>
          <w:lang w:val="en-GB"/>
        </w:rPr>
        <w:t>key driver of growth and therefore the focus of players in the beauty industry.</w:t>
      </w:r>
      <w:r w:rsidRPr="007C17BD">
        <w:rPr>
          <w:rFonts w:cs="Helvetica"/>
          <w:lang w:val="en-GB"/>
        </w:rPr>
        <w:t xml:space="preserve"> </w:t>
      </w:r>
      <w:r w:rsidRPr="007C17BD">
        <w:rPr>
          <w:lang w:val="en-GB"/>
        </w:rPr>
        <w:t>Looking at the changes that the Middle East market was demanding, Kaya needed to consider whether combining expertise, customized solutions, and a friendly environment would continue to work for the brand, or whether management should revamp and redefine the brand in the United Arab Emirates (UAE).</w:t>
      </w:r>
      <w:r w:rsidRPr="007C17BD">
        <w:rPr>
          <w:rStyle w:val="EndnoteReference"/>
          <w:lang w:val="en-GB"/>
        </w:rPr>
        <w:endnoteReference w:id="6"/>
      </w:r>
    </w:p>
    <w:p w14:paraId="0EF3B787" w14:textId="2AF5F74C" w:rsidR="00F54E9C" w:rsidRPr="007C17BD" w:rsidRDefault="00F54E9C" w:rsidP="00CB6F01">
      <w:pPr>
        <w:pStyle w:val="BodyTextMain"/>
        <w:rPr>
          <w:lang w:val="en-GB"/>
        </w:rPr>
      </w:pPr>
    </w:p>
    <w:p w14:paraId="36D478A8" w14:textId="77777777" w:rsidR="00F54E9C" w:rsidRPr="007C17BD" w:rsidRDefault="00F54E9C" w:rsidP="00CB6F01">
      <w:pPr>
        <w:pStyle w:val="BodyTextMain"/>
        <w:rPr>
          <w:lang w:val="en-GB"/>
        </w:rPr>
      </w:pPr>
    </w:p>
    <w:p w14:paraId="44CCBF6F" w14:textId="77777777" w:rsidR="00F54E9C" w:rsidRPr="007C17BD" w:rsidRDefault="00F54E9C" w:rsidP="00B729EE">
      <w:pPr>
        <w:pStyle w:val="Casehead1"/>
        <w:rPr>
          <w:lang w:val="en-GB"/>
        </w:rPr>
      </w:pPr>
      <w:r w:rsidRPr="007C17BD">
        <w:rPr>
          <w:lang w:val="en-GB"/>
        </w:rPr>
        <w:t xml:space="preserve">Kaya Company Background </w:t>
      </w:r>
    </w:p>
    <w:p w14:paraId="7DD8D7AB" w14:textId="77777777" w:rsidR="00F54E9C" w:rsidRPr="007C17BD" w:rsidRDefault="00F54E9C" w:rsidP="00A441EE">
      <w:pPr>
        <w:pStyle w:val="BodyTextMain"/>
        <w:rPr>
          <w:lang w:val="en-GB"/>
        </w:rPr>
      </w:pPr>
    </w:p>
    <w:p w14:paraId="02D6ACDE" w14:textId="14A5B836" w:rsidR="00F54E9C" w:rsidRPr="007C17BD" w:rsidRDefault="00F54E9C" w:rsidP="00A441EE">
      <w:pPr>
        <w:pStyle w:val="BodyTextMain"/>
        <w:rPr>
          <w:lang w:val="en-GB"/>
        </w:rPr>
      </w:pPr>
      <w:r w:rsidRPr="007C17BD">
        <w:rPr>
          <w:lang w:val="en-GB"/>
        </w:rPr>
        <w:t>Kaya Limited was launched in 2002 in India and by October 2015 had operations in most countries in the Middle East. Its main business was the Kaya brand chain of skin clinics</w:t>
      </w:r>
      <w:r w:rsidR="00B76D44">
        <w:rPr>
          <w:lang w:val="en-GB"/>
        </w:rPr>
        <w:t>, which</w:t>
      </w:r>
      <w:r w:rsidRPr="007C17BD">
        <w:rPr>
          <w:lang w:val="en-GB"/>
        </w:rPr>
        <w:t xml:space="preserve"> catered to the growing needs of men and women who wanted to look good naturally. According to </w:t>
      </w:r>
      <w:proofErr w:type="spellStart"/>
      <w:r w:rsidRPr="007C17BD">
        <w:rPr>
          <w:lang w:val="en-GB"/>
        </w:rPr>
        <w:t>Kavita</w:t>
      </w:r>
      <w:proofErr w:type="spellEnd"/>
      <w:r w:rsidRPr="007C17BD">
        <w:rPr>
          <w:lang w:val="en-GB"/>
        </w:rPr>
        <w:t xml:space="preserve"> Krishnan, regional manager for the Middle East, </w:t>
      </w:r>
      <w:r w:rsidR="003B7DFC">
        <w:rPr>
          <w:lang w:val="en-GB"/>
        </w:rPr>
        <w:t>“</w:t>
      </w:r>
      <w:r w:rsidRPr="007C17BD">
        <w:rPr>
          <w:lang w:val="en-GB"/>
        </w:rPr>
        <w:t xml:space="preserve">Kaya is the Sanskrit word for body. We offer the latest and effective skincare </w:t>
      </w:r>
      <w:r w:rsidRPr="007C17BD">
        <w:rPr>
          <w:lang w:val="en-GB"/>
        </w:rPr>
        <w:lastRenderedPageBreak/>
        <w:t>treatments administered by trained professionals in a Zen-like relaxing ambience. We also offer a range of Kaya skincare products like soothing cleansing gels, revitalizing tonics, and skin repair serums.</w:t>
      </w:r>
      <w:r w:rsidR="003B7DFC">
        <w:rPr>
          <w:lang w:val="en-GB"/>
        </w:rPr>
        <w:t>”</w:t>
      </w:r>
      <w:r w:rsidRPr="007C17BD">
        <w:rPr>
          <w:rStyle w:val="EndnoteReference"/>
          <w:lang w:val="en-GB"/>
        </w:rPr>
        <w:endnoteReference w:id="7"/>
      </w:r>
    </w:p>
    <w:p w14:paraId="00B269F0" w14:textId="77777777" w:rsidR="00F54E9C" w:rsidRPr="007C17BD" w:rsidRDefault="00F54E9C" w:rsidP="00A441EE">
      <w:pPr>
        <w:pStyle w:val="BodyTextMain"/>
        <w:rPr>
          <w:lang w:val="en-GB"/>
        </w:rPr>
      </w:pPr>
    </w:p>
    <w:p w14:paraId="5796D2E3" w14:textId="00BB239D" w:rsidR="00F54E9C" w:rsidRPr="007C17BD" w:rsidRDefault="00F54E9C" w:rsidP="00A441EE">
      <w:pPr>
        <w:pStyle w:val="BodyTextMain"/>
        <w:rPr>
          <w:lang w:val="en-GB"/>
        </w:rPr>
      </w:pPr>
      <w:r w:rsidRPr="007C17BD">
        <w:rPr>
          <w:lang w:val="en-GB"/>
        </w:rPr>
        <w:t>Kaya</w:t>
      </w:r>
      <w:r w:rsidR="003B7DFC">
        <w:rPr>
          <w:lang w:val="en-GB"/>
        </w:rPr>
        <w:t>’</w:t>
      </w:r>
      <w:r w:rsidRPr="007C17BD">
        <w:rPr>
          <w:lang w:val="en-GB"/>
        </w:rPr>
        <w:t>s value proposition was to provide the benefit of flawless skin to its customers through skin care and hair care solutions that helped to enhance the look, feel, and beauty of the skin. All Kaya clinics were aesthetically pleasing, provided a comfortable ambience, and were equipped with state-of-the-art technology. The service concept of the clinics was designed and developed by a team of experts that included dermatologists and beauty therapists. This team also supervised how services were delivered to customers. Kaya</w:t>
      </w:r>
      <w:r w:rsidR="003B7DFC">
        <w:rPr>
          <w:lang w:val="en-GB"/>
        </w:rPr>
        <w:t>’</w:t>
      </w:r>
      <w:r w:rsidRPr="007C17BD">
        <w:rPr>
          <w:lang w:val="en-GB"/>
        </w:rPr>
        <w:t xml:space="preserve">s research department had developed 15 distinct skin care product lines that were labelled with the Kaya corporate brand name. Each Kaya clinic used these formulations to customize its services for the skin care needs of its customers. Combined with </w:t>
      </w:r>
      <w:r w:rsidR="00B76D44">
        <w:rPr>
          <w:lang w:val="en-GB"/>
        </w:rPr>
        <w:t>an</w:t>
      </w:r>
      <w:r w:rsidR="00B76D44" w:rsidRPr="007C17BD">
        <w:rPr>
          <w:lang w:val="en-GB"/>
        </w:rPr>
        <w:t xml:space="preserve"> </w:t>
      </w:r>
      <w:r w:rsidRPr="007C17BD">
        <w:rPr>
          <w:lang w:val="en-GB"/>
        </w:rPr>
        <w:t>aesthetically luxurious ambience, this customized skin care service provided customers with the benefits of a complete skin care solution. In addition to skin clinics, Kaya owned a chain of retail outlets to sell standard retail product lines.</w:t>
      </w:r>
      <w:r w:rsidRPr="007C17BD">
        <w:rPr>
          <w:rStyle w:val="EndnoteReference"/>
          <w:lang w:val="en-GB"/>
        </w:rPr>
        <w:endnoteReference w:id="8"/>
      </w:r>
      <w:r w:rsidRPr="007C17BD">
        <w:rPr>
          <w:lang w:val="en-GB"/>
        </w:rPr>
        <w:t xml:space="preserve"> </w:t>
      </w:r>
    </w:p>
    <w:p w14:paraId="50252FDD" w14:textId="77777777" w:rsidR="00F54E9C" w:rsidRPr="007C17BD" w:rsidRDefault="00F54E9C" w:rsidP="00A441EE">
      <w:pPr>
        <w:pStyle w:val="BodyTextMain"/>
        <w:rPr>
          <w:lang w:val="en-GB"/>
        </w:rPr>
      </w:pPr>
    </w:p>
    <w:p w14:paraId="3DAA237A" w14:textId="77777777" w:rsidR="00F54E9C" w:rsidRPr="007C17BD" w:rsidRDefault="00F54E9C" w:rsidP="00A441EE">
      <w:pPr>
        <w:pStyle w:val="BodyTextMain"/>
        <w:rPr>
          <w:lang w:val="en-GB"/>
        </w:rPr>
      </w:pPr>
    </w:p>
    <w:p w14:paraId="431FD244" w14:textId="6509A990" w:rsidR="00F54E9C" w:rsidRPr="007C17BD" w:rsidRDefault="00F54E9C" w:rsidP="00445E1B">
      <w:pPr>
        <w:pStyle w:val="Casehead1"/>
        <w:rPr>
          <w:lang w:val="en-GB"/>
        </w:rPr>
      </w:pPr>
      <w:r w:rsidRPr="007C17BD">
        <w:rPr>
          <w:lang w:val="en-GB"/>
        </w:rPr>
        <w:t>Kaya</w:t>
      </w:r>
      <w:r w:rsidR="006B65CC">
        <w:rPr>
          <w:lang w:val="en-GB"/>
        </w:rPr>
        <w:t xml:space="preserve">: </w:t>
      </w:r>
      <w:r w:rsidRPr="007C17BD">
        <w:rPr>
          <w:lang w:val="en-GB"/>
        </w:rPr>
        <w:t>A Favourite Skin Care Destination</w:t>
      </w:r>
    </w:p>
    <w:p w14:paraId="36D25777" w14:textId="77777777" w:rsidR="00F54E9C" w:rsidRPr="007C17BD" w:rsidRDefault="00F54E9C" w:rsidP="00A441EE">
      <w:pPr>
        <w:pStyle w:val="BodyTextMain"/>
        <w:rPr>
          <w:lang w:val="en-GB"/>
        </w:rPr>
      </w:pPr>
    </w:p>
    <w:p w14:paraId="3E724520" w14:textId="77777777" w:rsidR="00F54E9C" w:rsidRPr="007C17BD" w:rsidRDefault="00F54E9C" w:rsidP="00445E1B">
      <w:pPr>
        <w:pStyle w:val="Casehead2"/>
        <w:rPr>
          <w:lang w:val="en-GB"/>
        </w:rPr>
      </w:pPr>
      <w:r w:rsidRPr="007C17BD">
        <w:rPr>
          <w:lang w:val="en-GB"/>
        </w:rPr>
        <w:t>Quality</w:t>
      </w:r>
    </w:p>
    <w:p w14:paraId="40D2AEBF" w14:textId="77777777" w:rsidR="00F54E9C" w:rsidRPr="007C17BD" w:rsidRDefault="00F54E9C" w:rsidP="00A441EE">
      <w:pPr>
        <w:pStyle w:val="BodyTextMain"/>
        <w:rPr>
          <w:lang w:val="en-GB"/>
        </w:rPr>
      </w:pPr>
    </w:p>
    <w:p w14:paraId="6D86B238" w14:textId="63030E08" w:rsidR="00F54E9C" w:rsidRPr="007C17BD" w:rsidRDefault="00F54E9C" w:rsidP="00A441EE">
      <w:pPr>
        <w:pStyle w:val="BodyTextMain"/>
        <w:rPr>
          <w:lang w:val="en-GB"/>
        </w:rPr>
      </w:pPr>
      <w:r w:rsidRPr="007C17BD">
        <w:rPr>
          <w:lang w:val="en-GB"/>
        </w:rPr>
        <w:t>One of the main reasons Kaya was considered a favourite skin care destination was that each clinic employed the most relevant and current technology available. Importantly, the technologies and processes used in Kaya clinics conformed to international quality standards and safety norms. All solutions offered in Kaya clinics, along with several standard product lines, were stamped with U.S. Food and Drug Administration (FDA) approval.</w:t>
      </w:r>
      <w:r w:rsidRPr="007C17BD">
        <w:rPr>
          <w:rStyle w:val="EndnoteReference"/>
          <w:lang w:val="en-GB"/>
        </w:rPr>
        <w:endnoteReference w:id="9"/>
      </w:r>
      <w:r w:rsidRPr="007C17BD">
        <w:rPr>
          <w:lang w:val="en-GB"/>
        </w:rPr>
        <w:t xml:space="preserve"> All Kaya employees completed regular in-house training and skill development programs. Ongoing training included familiarizing employees with recent technology updates and advanced product knowledge and improving </w:t>
      </w:r>
      <w:r w:rsidR="00B76D44">
        <w:rPr>
          <w:lang w:val="en-GB"/>
        </w:rPr>
        <w:t xml:space="preserve">their </w:t>
      </w:r>
      <w:r w:rsidRPr="007C17BD">
        <w:rPr>
          <w:lang w:val="en-GB"/>
        </w:rPr>
        <w:t>soft skills</w:t>
      </w:r>
      <w:r w:rsidR="00B76D44">
        <w:rPr>
          <w:lang w:val="en-GB"/>
        </w:rPr>
        <w:t>,</w:t>
      </w:r>
      <w:r w:rsidRPr="007C17BD">
        <w:rPr>
          <w:lang w:val="en-GB"/>
        </w:rPr>
        <w:t xml:space="preserve"> such as enhanced service orientation and interpersonal and communication skills.</w:t>
      </w:r>
      <w:r w:rsidRPr="007C17BD">
        <w:rPr>
          <w:rStyle w:val="EndnoteReference"/>
          <w:lang w:val="en-GB"/>
        </w:rPr>
        <w:endnoteReference w:id="10"/>
      </w:r>
    </w:p>
    <w:p w14:paraId="63701091" w14:textId="77777777" w:rsidR="00F54E9C" w:rsidRPr="007C17BD" w:rsidRDefault="00F54E9C" w:rsidP="00A441EE">
      <w:pPr>
        <w:pStyle w:val="BodyTextMain"/>
        <w:rPr>
          <w:lang w:val="en-GB"/>
        </w:rPr>
      </w:pPr>
    </w:p>
    <w:p w14:paraId="5D387F30" w14:textId="77777777" w:rsidR="00F54E9C" w:rsidRPr="007C17BD" w:rsidRDefault="00F54E9C" w:rsidP="00A441EE">
      <w:pPr>
        <w:pStyle w:val="BodyTextMain"/>
        <w:rPr>
          <w:lang w:val="en-GB"/>
        </w:rPr>
      </w:pPr>
    </w:p>
    <w:p w14:paraId="5B743F95" w14:textId="77777777" w:rsidR="00F54E9C" w:rsidRPr="007C17BD" w:rsidRDefault="00F54E9C" w:rsidP="00445E1B">
      <w:pPr>
        <w:pStyle w:val="Casehead2"/>
        <w:rPr>
          <w:lang w:val="en-GB"/>
        </w:rPr>
      </w:pPr>
      <w:r w:rsidRPr="007C17BD">
        <w:rPr>
          <w:lang w:val="en-GB"/>
        </w:rPr>
        <w:t>Service Process</w:t>
      </w:r>
    </w:p>
    <w:p w14:paraId="15B82D98" w14:textId="77777777" w:rsidR="00F54E9C" w:rsidRPr="007C17BD" w:rsidRDefault="00F54E9C" w:rsidP="00A441EE">
      <w:pPr>
        <w:pStyle w:val="BodyTextMain"/>
        <w:rPr>
          <w:lang w:val="en-GB"/>
        </w:rPr>
      </w:pPr>
    </w:p>
    <w:p w14:paraId="55B9DA5D" w14:textId="460E0745" w:rsidR="00F54E9C" w:rsidRPr="007C17BD" w:rsidRDefault="00F54E9C" w:rsidP="00A441EE">
      <w:pPr>
        <w:pStyle w:val="BodyTextMain"/>
        <w:rPr>
          <w:lang w:val="en-GB"/>
        </w:rPr>
      </w:pPr>
      <w:r w:rsidRPr="007C17BD">
        <w:rPr>
          <w:lang w:val="en-GB"/>
        </w:rPr>
        <w:t>Kaya</w:t>
      </w:r>
      <w:r w:rsidR="003B7DFC">
        <w:rPr>
          <w:lang w:val="en-GB"/>
        </w:rPr>
        <w:t>’</w:t>
      </w:r>
      <w:r w:rsidRPr="007C17BD">
        <w:rPr>
          <w:lang w:val="en-GB"/>
        </w:rPr>
        <w:t>s offerings included a variety of solutions that suited the needs of each customer visiting the clinic. Customers could select categories of skin care solutions, such as anti-aging, pigmentation,</w:t>
      </w:r>
      <w:r w:rsidRPr="007C17BD">
        <w:rPr>
          <w:rStyle w:val="EndnoteReference"/>
          <w:lang w:val="en-GB"/>
        </w:rPr>
        <w:endnoteReference w:id="11"/>
      </w:r>
      <w:r w:rsidRPr="007C17BD">
        <w:rPr>
          <w:lang w:val="en-GB"/>
        </w:rPr>
        <w:t xml:space="preserve"> acne treatment, and permanent hair reduction. In addition to these treatments, Kaya</w:t>
      </w:r>
      <w:r w:rsidR="003B7DFC">
        <w:rPr>
          <w:lang w:val="en-GB"/>
        </w:rPr>
        <w:t>’</w:t>
      </w:r>
      <w:r w:rsidRPr="007C17BD">
        <w:rPr>
          <w:lang w:val="en-GB"/>
        </w:rPr>
        <w:t>s customers were provided with regular beautification services to enhance their appearance through more than 50 standard products that helped in daily hair care and skin care. Skin care was provided in the clinic with personalized attention and customized offerings. Dermatologists in the clinic assessed the condition of the skin and the needs of the customer and presented a plan for treatment. During this stage, the customer discussed the available options, considered the final outcome of the treatment, and consequently agreed to the plan. Once the customer agreed to the plan, the actual journey toward healthier and more beautiful skin began, with the final outcome assured by Kaya.</w:t>
      </w:r>
      <w:r w:rsidRPr="007C17BD">
        <w:rPr>
          <w:rStyle w:val="EndnoteReference"/>
          <w:lang w:val="en-GB"/>
        </w:rPr>
        <w:endnoteReference w:id="12"/>
      </w:r>
    </w:p>
    <w:p w14:paraId="55FAF9D3" w14:textId="77777777" w:rsidR="00F54E9C" w:rsidRPr="007C17BD" w:rsidRDefault="00F54E9C" w:rsidP="00A441EE">
      <w:pPr>
        <w:pStyle w:val="BodyTextMain"/>
        <w:rPr>
          <w:lang w:val="en-GB"/>
        </w:rPr>
      </w:pPr>
    </w:p>
    <w:p w14:paraId="184EFDE7" w14:textId="77777777" w:rsidR="00F54E9C" w:rsidRPr="007C17BD" w:rsidRDefault="00F54E9C" w:rsidP="00A441EE">
      <w:pPr>
        <w:pStyle w:val="BodyTextMain"/>
        <w:rPr>
          <w:lang w:val="en-GB"/>
        </w:rPr>
      </w:pPr>
    </w:p>
    <w:p w14:paraId="296F5020" w14:textId="77777777" w:rsidR="00F54E9C" w:rsidRPr="007C17BD" w:rsidRDefault="00F54E9C" w:rsidP="00713D25">
      <w:pPr>
        <w:pStyle w:val="Casehead2"/>
        <w:keepNext/>
        <w:rPr>
          <w:lang w:val="en-GB"/>
        </w:rPr>
      </w:pPr>
      <w:r w:rsidRPr="007C17BD">
        <w:rPr>
          <w:lang w:val="en-GB"/>
        </w:rPr>
        <w:t>New Formats</w:t>
      </w:r>
    </w:p>
    <w:p w14:paraId="2E61A0DC" w14:textId="77777777" w:rsidR="00F54E9C" w:rsidRPr="007C17BD" w:rsidRDefault="00F54E9C" w:rsidP="00713D25">
      <w:pPr>
        <w:pStyle w:val="BodyTextMain"/>
        <w:keepNext/>
        <w:rPr>
          <w:lang w:val="en-GB"/>
        </w:rPr>
      </w:pPr>
    </w:p>
    <w:p w14:paraId="7264EB77" w14:textId="5532D974" w:rsidR="00F54E9C" w:rsidRPr="007C17BD" w:rsidRDefault="00F54E9C" w:rsidP="00713D25">
      <w:pPr>
        <w:pStyle w:val="BodyTextMain"/>
        <w:keepNext/>
        <w:rPr>
          <w:lang w:val="en-GB"/>
        </w:rPr>
      </w:pPr>
      <w:r w:rsidRPr="007C17BD">
        <w:rPr>
          <w:lang w:val="en-GB"/>
        </w:rPr>
        <w:t xml:space="preserve">In January 2013, Kaya added new formats to its portfolio of offerings in India, including Kaya Skin Bar and Kaya </w:t>
      </w:r>
      <w:r w:rsidR="003B7DFC">
        <w:rPr>
          <w:lang w:val="en-GB"/>
        </w:rPr>
        <w:t>“</w:t>
      </w:r>
      <w:r w:rsidRPr="007C17BD">
        <w:rPr>
          <w:lang w:val="en-GB"/>
        </w:rPr>
        <w:t>Shop in Shops.</w:t>
      </w:r>
      <w:r w:rsidR="003B7DFC">
        <w:rPr>
          <w:lang w:val="en-GB"/>
        </w:rPr>
        <w:t>”</w:t>
      </w:r>
      <w:r w:rsidRPr="007C17BD">
        <w:rPr>
          <w:lang w:val="en-GB"/>
        </w:rPr>
        <w:t xml:space="preserve"> These formats were developed to serve the needs of working women who were always on the move and had less time for skin care. Kaya Skin Bar, a smaller version of the skin clinic, was located in convenient places such as malls and near metro stations. The first Kaya Skin Bar was opened in Bengaluru. Typically sized at 500–700 square feet (46.5–65</w:t>
      </w:r>
      <w:r w:rsidR="00B76D44">
        <w:rPr>
          <w:lang w:val="en-GB"/>
        </w:rPr>
        <w:t>.0</w:t>
      </w:r>
      <w:r w:rsidRPr="007C17BD">
        <w:rPr>
          <w:lang w:val="en-GB"/>
        </w:rPr>
        <w:t xml:space="preserve"> square metres), the outlet offered all the </w:t>
      </w:r>
      <w:r w:rsidRPr="007C17BD">
        <w:rPr>
          <w:lang w:val="en-GB"/>
        </w:rPr>
        <w:lastRenderedPageBreak/>
        <w:t>solutions and standard retail products provided in any Kaya Skin Clinic. The Kaya Skin Bar grew quickly to 17 outlets in different cities of India within a short span of three years.</w:t>
      </w:r>
      <w:r w:rsidRPr="007C17BD">
        <w:rPr>
          <w:rStyle w:val="EndnoteReference"/>
          <w:lang w:val="en-GB"/>
        </w:rPr>
        <w:endnoteReference w:id="13"/>
      </w:r>
    </w:p>
    <w:p w14:paraId="24AA2261" w14:textId="77777777" w:rsidR="00F54E9C" w:rsidRPr="007C17BD" w:rsidRDefault="00F54E9C" w:rsidP="00A441EE">
      <w:pPr>
        <w:pStyle w:val="BodyTextMain"/>
        <w:rPr>
          <w:lang w:val="en-GB"/>
        </w:rPr>
      </w:pPr>
    </w:p>
    <w:p w14:paraId="2DF59751" w14:textId="4739A88E" w:rsidR="00F54E9C" w:rsidRPr="007C17BD" w:rsidRDefault="00F54E9C" w:rsidP="00A441EE">
      <w:pPr>
        <w:pStyle w:val="BodyTextMain"/>
        <w:rPr>
          <w:lang w:val="en-GB"/>
        </w:rPr>
      </w:pPr>
      <w:r w:rsidRPr="007C17BD">
        <w:rPr>
          <w:lang w:val="en-GB"/>
        </w:rPr>
        <w:t>Kaya</w:t>
      </w:r>
      <w:r w:rsidR="003B7DFC">
        <w:rPr>
          <w:lang w:val="en-GB"/>
        </w:rPr>
        <w:t>’</w:t>
      </w:r>
      <w:r w:rsidRPr="007C17BD">
        <w:rPr>
          <w:lang w:val="en-GB"/>
        </w:rPr>
        <w:t xml:space="preserve">s </w:t>
      </w:r>
      <w:r w:rsidR="003B7DFC">
        <w:rPr>
          <w:lang w:val="en-GB"/>
        </w:rPr>
        <w:t>“</w:t>
      </w:r>
      <w:r w:rsidRPr="007C17BD">
        <w:rPr>
          <w:lang w:val="en-GB"/>
        </w:rPr>
        <w:t>Shop in Shops</w:t>
      </w:r>
      <w:r w:rsidR="003B7DFC">
        <w:rPr>
          <w:lang w:val="en-GB"/>
        </w:rPr>
        <w:t>”</w:t>
      </w:r>
      <w:r w:rsidRPr="007C17BD">
        <w:rPr>
          <w:lang w:val="en-GB"/>
        </w:rPr>
        <w:t xml:space="preserve"> showcased the entire range of standard Kaya retail products inside major lifestyle stores and hypermarkets. The </w:t>
      </w:r>
      <w:r w:rsidR="003B7DFC">
        <w:rPr>
          <w:lang w:val="en-GB"/>
        </w:rPr>
        <w:t>“</w:t>
      </w:r>
      <w:r w:rsidRPr="007C17BD">
        <w:rPr>
          <w:lang w:val="en-GB"/>
        </w:rPr>
        <w:t>Shop in Shops</w:t>
      </w:r>
      <w:r w:rsidR="003B7DFC">
        <w:rPr>
          <w:lang w:val="en-GB"/>
        </w:rPr>
        <w:t>”</w:t>
      </w:r>
      <w:r w:rsidRPr="007C17BD">
        <w:rPr>
          <w:lang w:val="en-GB"/>
        </w:rPr>
        <w:t xml:space="preserve"> </w:t>
      </w:r>
      <w:r w:rsidR="00B76D44" w:rsidRPr="007C17BD">
        <w:rPr>
          <w:lang w:val="en-GB"/>
        </w:rPr>
        <w:t xml:space="preserve">first </w:t>
      </w:r>
      <w:r w:rsidRPr="007C17BD">
        <w:rPr>
          <w:lang w:val="en-GB"/>
        </w:rPr>
        <w:t>opened in Pune and later expanded to more than 100 stores. Stores were typically sized at 200–400 square feet (18.5–37</w:t>
      </w:r>
      <w:r w:rsidR="00B76D44">
        <w:rPr>
          <w:lang w:val="en-GB"/>
        </w:rPr>
        <w:t>.</w:t>
      </w:r>
      <w:r w:rsidR="003208FA">
        <w:rPr>
          <w:lang w:val="en-GB"/>
        </w:rPr>
        <w:t>2</w:t>
      </w:r>
      <w:r w:rsidRPr="007C17BD">
        <w:rPr>
          <w:lang w:val="en-GB"/>
        </w:rPr>
        <w:t xml:space="preserve"> square metres), and kiosks at 100–150 square feet (9.3–14</w:t>
      </w:r>
      <w:r w:rsidR="00B76D44">
        <w:rPr>
          <w:lang w:val="en-GB"/>
        </w:rPr>
        <w:t>.0</w:t>
      </w:r>
      <w:r w:rsidRPr="007C17BD">
        <w:rPr>
          <w:lang w:val="en-GB"/>
        </w:rPr>
        <w:t xml:space="preserve"> square metres). Through this retail concept, Kaya reached out to meet consumers</w:t>
      </w:r>
      <w:r w:rsidR="003B7DFC">
        <w:rPr>
          <w:lang w:val="en-GB"/>
        </w:rPr>
        <w:t>’</w:t>
      </w:r>
      <w:r w:rsidRPr="007C17BD">
        <w:rPr>
          <w:lang w:val="en-GB"/>
        </w:rPr>
        <w:t xml:space="preserve"> daily skin care and hair care needs.</w:t>
      </w:r>
      <w:r w:rsidRPr="007C17BD">
        <w:rPr>
          <w:rStyle w:val="EndnoteReference"/>
          <w:lang w:val="en-GB"/>
        </w:rPr>
        <w:endnoteReference w:id="14"/>
      </w:r>
    </w:p>
    <w:p w14:paraId="0E3AD730" w14:textId="77777777" w:rsidR="00F54E9C" w:rsidRPr="007C17BD" w:rsidRDefault="00F54E9C" w:rsidP="001A09B2">
      <w:pPr>
        <w:pStyle w:val="Casehead1"/>
        <w:keepNext/>
        <w:rPr>
          <w:lang w:val="en-GB"/>
        </w:rPr>
      </w:pPr>
    </w:p>
    <w:p w14:paraId="68FAF8EE" w14:textId="77777777" w:rsidR="00F54E9C" w:rsidRPr="007C17BD" w:rsidRDefault="00F54E9C" w:rsidP="001A09B2">
      <w:pPr>
        <w:pStyle w:val="Casehead1"/>
        <w:keepNext/>
        <w:rPr>
          <w:lang w:val="en-GB"/>
        </w:rPr>
      </w:pPr>
    </w:p>
    <w:p w14:paraId="41BABB1E" w14:textId="77777777" w:rsidR="00F54E9C" w:rsidRPr="007C17BD" w:rsidRDefault="00F54E9C" w:rsidP="001A09B2">
      <w:pPr>
        <w:pStyle w:val="Casehead1"/>
        <w:keepNext/>
        <w:rPr>
          <w:lang w:val="en-GB"/>
        </w:rPr>
      </w:pPr>
      <w:r w:rsidRPr="007C17BD">
        <w:rPr>
          <w:lang w:val="en-GB"/>
        </w:rPr>
        <w:t xml:space="preserve">Kaya in the Middle East </w:t>
      </w:r>
    </w:p>
    <w:p w14:paraId="33A94CAF" w14:textId="77777777" w:rsidR="00F54E9C" w:rsidRPr="007C17BD" w:rsidRDefault="00F54E9C" w:rsidP="001A09B2">
      <w:pPr>
        <w:pStyle w:val="BodyTextMain"/>
        <w:keepNext/>
        <w:rPr>
          <w:lang w:val="en-GB"/>
        </w:rPr>
      </w:pPr>
    </w:p>
    <w:p w14:paraId="6EFAF7AC" w14:textId="37550FF1" w:rsidR="00F54E9C" w:rsidRPr="007C17BD" w:rsidRDefault="00F54E9C" w:rsidP="006A05E7">
      <w:pPr>
        <w:pStyle w:val="BodyTextMain"/>
        <w:rPr>
          <w:lang w:val="en-GB"/>
        </w:rPr>
      </w:pPr>
      <w:r w:rsidRPr="007C17BD">
        <w:rPr>
          <w:lang w:val="en-GB"/>
        </w:rPr>
        <w:t>The first Kaya Skin Clinic in the Middle East opened in 2003 in Dubai, one of the world</w:t>
      </w:r>
      <w:r w:rsidR="003B7DFC">
        <w:rPr>
          <w:lang w:val="en-GB"/>
        </w:rPr>
        <w:t>’</w:t>
      </w:r>
      <w:r w:rsidRPr="007C17BD">
        <w:rPr>
          <w:lang w:val="en-GB"/>
        </w:rPr>
        <w:t xml:space="preserve">s favourite tourist destinations. Within a span of 12 years, Kaya had expanded to other cities of the United Arab Emirates (UAE), such as Abu Dhabi, Sharjah, and Al Ain, and to other </w:t>
      </w:r>
      <w:r w:rsidR="00B76D44" w:rsidRPr="007C17BD">
        <w:rPr>
          <w:lang w:val="en-GB"/>
        </w:rPr>
        <w:t xml:space="preserve">Gulf Cooperation Council </w:t>
      </w:r>
      <w:r w:rsidR="00B76D44">
        <w:rPr>
          <w:lang w:val="en-GB"/>
        </w:rPr>
        <w:t>(</w:t>
      </w:r>
      <w:r w:rsidRPr="007C17BD">
        <w:rPr>
          <w:lang w:val="en-GB"/>
        </w:rPr>
        <w:t>GCC) countries, such as Oman and the Kingdom of Saudi Arabia (KSA). Kaya Middle East gr</w:t>
      </w:r>
      <w:r w:rsidR="00B76D44">
        <w:rPr>
          <w:lang w:val="en-GB"/>
        </w:rPr>
        <w:t>e</w:t>
      </w:r>
      <w:r w:rsidRPr="007C17BD">
        <w:rPr>
          <w:lang w:val="en-GB"/>
        </w:rPr>
        <w:t>w to 23 clinics with a large pool of qualified dermatologists.</w:t>
      </w:r>
      <w:r w:rsidRPr="007C17BD">
        <w:rPr>
          <w:rStyle w:val="EndnoteReference"/>
          <w:color w:val="000000" w:themeColor="text1"/>
          <w:lang w:val="en-GB"/>
        </w:rPr>
        <w:endnoteReference w:id="15"/>
      </w:r>
      <w:r w:rsidRPr="007C17BD">
        <w:rPr>
          <w:lang w:val="en-GB"/>
        </w:rPr>
        <w:t xml:space="preserve"> Aside from the logo and colour, no identifier connected Kaya Skin Clinic in the Middle East with </w:t>
      </w:r>
      <w:r w:rsidR="00BA7E76">
        <w:rPr>
          <w:lang w:val="en-GB"/>
        </w:rPr>
        <w:t xml:space="preserve">the company in </w:t>
      </w:r>
      <w:r w:rsidRPr="007C17BD">
        <w:rPr>
          <w:lang w:val="en-GB"/>
        </w:rPr>
        <w:t>India. Each outlet was designed with consideration of the region</w:t>
      </w:r>
      <w:r w:rsidR="003B7DFC">
        <w:rPr>
          <w:lang w:val="en-GB"/>
        </w:rPr>
        <w:t>’</w:t>
      </w:r>
      <w:r w:rsidRPr="007C17BD">
        <w:rPr>
          <w:lang w:val="en-GB"/>
        </w:rPr>
        <w:t>s cultural sensibilities so that Kaya was perceived to be a local brand. The look and feel of the retail outlets were designed to reflect Arab culture. For example, the fragrance inside any Kaya clinic included Oudh, a perfume preferred by Arab consumers. Most of the employees, dermatologists, and beauty therapists were multilingual.</w:t>
      </w:r>
      <w:r w:rsidRPr="007C17BD">
        <w:rPr>
          <w:rStyle w:val="EndnoteReference"/>
          <w:color w:val="000000" w:themeColor="text1"/>
          <w:lang w:val="en-GB"/>
        </w:rPr>
        <w:endnoteReference w:id="16"/>
      </w:r>
      <w:r w:rsidRPr="007C17BD">
        <w:rPr>
          <w:lang w:val="en-GB"/>
        </w:rPr>
        <w:t xml:space="preserve"> An Internet search about Kaya led only to the Kaya Middle East website and not to Indian websites. Most Arab women were highly conscious about their skin and overall beauty. Many were also </w:t>
      </w:r>
      <w:r w:rsidR="003208FA">
        <w:rPr>
          <w:lang w:val="en-GB"/>
        </w:rPr>
        <w:t>very wealthy</w:t>
      </w:r>
      <w:r w:rsidRPr="007C17BD">
        <w:rPr>
          <w:lang w:val="en-GB"/>
        </w:rPr>
        <w:t>, and thus price was not a major consideration in any treatment. More importantly, they had ample time for beautifying themselves</w:t>
      </w:r>
      <w:r w:rsidR="00BA7E76">
        <w:rPr>
          <w:lang w:val="en-GB"/>
        </w:rPr>
        <w:t xml:space="preserve"> using </w:t>
      </w:r>
      <w:r w:rsidRPr="007C17BD">
        <w:rPr>
          <w:lang w:val="en-GB"/>
        </w:rPr>
        <w:t xml:space="preserve">the types of services and Kaya brand products available at Kaya Skin Clinic </w:t>
      </w:r>
      <w:r w:rsidR="00BA7E76">
        <w:rPr>
          <w:lang w:val="en-GB"/>
        </w:rPr>
        <w:t>(</w:t>
      </w:r>
      <w:r w:rsidRPr="007C17BD">
        <w:rPr>
          <w:lang w:val="en-GB"/>
        </w:rPr>
        <w:t>see Exhibits 1 and 2</w:t>
      </w:r>
      <w:r w:rsidR="00BA7E76">
        <w:rPr>
          <w:lang w:val="en-GB"/>
        </w:rPr>
        <w:t>)</w:t>
      </w:r>
      <w:r w:rsidRPr="007C17BD">
        <w:rPr>
          <w:lang w:val="en-GB"/>
        </w:rPr>
        <w:t>.</w:t>
      </w:r>
      <w:r w:rsidRPr="007C17BD">
        <w:rPr>
          <w:rStyle w:val="EndnoteReference"/>
          <w:color w:val="000000" w:themeColor="text1"/>
          <w:lang w:val="en-GB"/>
        </w:rPr>
        <w:endnoteReference w:id="17"/>
      </w:r>
    </w:p>
    <w:p w14:paraId="2CFC7CDA" w14:textId="77777777" w:rsidR="00F54E9C" w:rsidRPr="007C17BD" w:rsidRDefault="00F54E9C" w:rsidP="00A441EE">
      <w:pPr>
        <w:pStyle w:val="BodyTextMain"/>
        <w:rPr>
          <w:lang w:val="en-GB"/>
        </w:rPr>
      </w:pPr>
    </w:p>
    <w:p w14:paraId="6D4E790E" w14:textId="5A81239C" w:rsidR="00F54E9C" w:rsidRPr="007C17BD" w:rsidRDefault="00F54E9C" w:rsidP="00A441EE">
      <w:pPr>
        <w:pStyle w:val="BodyTextMain"/>
        <w:rPr>
          <w:lang w:val="en-GB"/>
        </w:rPr>
      </w:pPr>
      <w:r w:rsidRPr="007C17BD">
        <w:rPr>
          <w:lang w:val="en-GB"/>
        </w:rPr>
        <w:t xml:space="preserve">The service concept was similar to what was offered in Kaya, India. A visit to Kaya began with an appointment, followed by consultation with a professional dermatologist who </w:t>
      </w:r>
      <w:proofErr w:type="spellStart"/>
      <w:r w:rsidRPr="007C17BD">
        <w:rPr>
          <w:lang w:val="en-GB"/>
        </w:rPr>
        <w:t>analyzed</w:t>
      </w:r>
      <w:proofErr w:type="spellEnd"/>
      <w:r w:rsidRPr="007C17BD">
        <w:rPr>
          <w:lang w:val="en-GB"/>
        </w:rPr>
        <w:t xml:space="preserve"> the skin and provided a workable solution. A large pool of dermatologists—as many as 25 across the region—were specially trained in the Kaya brand of clinical care, which was based on FDA-approved technology.</w:t>
      </w:r>
      <w:r w:rsidRPr="007C17BD">
        <w:rPr>
          <w:rStyle w:val="EndnoteReference"/>
          <w:color w:val="000000" w:themeColor="text1"/>
          <w:lang w:val="en-GB"/>
        </w:rPr>
        <w:endnoteReference w:id="18"/>
      </w:r>
      <w:r w:rsidRPr="007C17BD">
        <w:rPr>
          <w:lang w:val="en-GB"/>
        </w:rPr>
        <w:t xml:space="preserve"> A team of 300 people were drawn from 12 different nationalities. Every skin practitioner underwent specialized training to provide a full complement of personalized skin care, including recommendations on diet and exercise. As a result, more than 100,000 women and men across the UAE, KSA, and Oman relied on Kaya for their skin care needs. Because of its excellent customer service, Kaya Middle East was awarded the Super Brand citation for six consecutive years.</w:t>
      </w:r>
      <w:r w:rsidRPr="007C17BD">
        <w:rPr>
          <w:rStyle w:val="EndnoteReference"/>
          <w:color w:val="000000" w:themeColor="text1"/>
          <w:lang w:val="en-GB"/>
        </w:rPr>
        <w:endnoteReference w:id="19"/>
      </w:r>
      <w:r w:rsidRPr="007C17BD">
        <w:rPr>
          <w:lang w:val="en-GB"/>
        </w:rPr>
        <w:t xml:space="preserve"> </w:t>
      </w:r>
    </w:p>
    <w:p w14:paraId="76870153" w14:textId="520299E9" w:rsidR="00F54E9C" w:rsidRPr="007C17BD" w:rsidRDefault="00F54E9C" w:rsidP="00A441EE">
      <w:pPr>
        <w:pStyle w:val="BodyTextMain"/>
        <w:rPr>
          <w:bCs/>
          <w:lang w:val="en-GB"/>
        </w:rPr>
      </w:pPr>
    </w:p>
    <w:p w14:paraId="344AB514" w14:textId="2000C8F7" w:rsidR="00F54E9C" w:rsidRPr="007C17BD" w:rsidRDefault="00F54E9C" w:rsidP="00A441EE">
      <w:pPr>
        <w:pStyle w:val="BodyTextMain"/>
        <w:rPr>
          <w:lang w:val="en-GB"/>
        </w:rPr>
      </w:pPr>
      <w:r w:rsidRPr="007C17BD">
        <w:rPr>
          <w:bCs/>
          <w:lang w:val="en-GB"/>
        </w:rPr>
        <w:t xml:space="preserve">The growth of Kaya Middle East is reflected in </w:t>
      </w:r>
      <w:r w:rsidR="00BA7E76">
        <w:rPr>
          <w:bCs/>
          <w:lang w:val="en-GB"/>
        </w:rPr>
        <w:t>its</w:t>
      </w:r>
      <w:r w:rsidR="00BA7E76" w:rsidRPr="007C17BD">
        <w:rPr>
          <w:bCs/>
          <w:lang w:val="en-GB"/>
        </w:rPr>
        <w:t xml:space="preserve"> </w:t>
      </w:r>
      <w:r w:rsidRPr="007C17BD">
        <w:rPr>
          <w:bCs/>
          <w:lang w:val="en-GB"/>
        </w:rPr>
        <w:t xml:space="preserve">financial highlights, statement of comprehensive income, and balance sheet </w:t>
      </w:r>
      <w:r w:rsidR="00BA7E76">
        <w:rPr>
          <w:bCs/>
          <w:lang w:val="en-GB"/>
        </w:rPr>
        <w:t xml:space="preserve">(see </w:t>
      </w:r>
      <w:r w:rsidRPr="007C17BD">
        <w:rPr>
          <w:bCs/>
          <w:lang w:val="en-GB"/>
        </w:rPr>
        <w:t>Exhibits 3, 4, and 5</w:t>
      </w:r>
      <w:r w:rsidR="00BA7E76">
        <w:rPr>
          <w:bCs/>
          <w:lang w:val="en-GB"/>
        </w:rPr>
        <w:t>)</w:t>
      </w:r>
      <w:r w:rsidRPr="007C17BD">
        <w:rPr>
          <w:bCs/>
          <w:lang w:val="en-GB"/>
        </w:rPr>
        <w:t>.</w:t>
      </w:r>
      <w:r w:rsidRPr="007C17BD">
        <w:rPr>
          <w:lang w:val="en-GB"/>
        </w:rPr>
        <w:t xml:space="preserve"> The market scan of skin care services was growing in the Middle East region, including in the UAE (see Exhibits 6A, 6B, 7, and 8).</w:t>
      </w:r>
      <w:r w:rsidRPr="007C17BD">
        <w:rPr>
          <w:rStyle w:val="EndnoteReference"/>
          <w:color w:val="000000" w:themeColor="text1"/>
          <w:lang w:val="en-GB"/>
        </w:rPr>
        <w:endnoteReference w:id="20"/>
      </w:r>
      <w:r w:rsidRPr="007C17BD">
        <w:rPr>
          <w:lang w:val="en-GB"/>
        </w:rPr>
        <w:t xml:space="preserve"> </w:t>
      </w:r>
    </w:p>
    <w:p w14:paraId="311197B5" w14:textId="77777777" w:rsidR="00F54E9C" w:rsidRPr="007C17BD" w:rsidRDefault="00F54E9C" w:rsidP="00A441EE">
      <w:pPr>
        <w:pStyle w:val="BodyTextMain"/>
        <w:rPr>
          <w:lang w:val="en-GB"/>
        </w:rPr>
      </w:pPr>
    </w:p>
    <w:p w14:paraId="65CF9FA9" w14:textId="1D2B7ED6" w:rsidR="00F54E9C" w:rsidRDefault="00F54E9C" w:rsidP="00A441EE">
      <w:pPr>
        <w:pStyle w:val="BodyTextMain"/>
        <w:rPr>
          <w:rStyle w:val="s1"/>
          <w:color w:val="000000" w:themeColor="text1"/>
          <w:bdr w:val="none" w:sz="0" w:space="0" w:color="auto" w:frame="1"/>
          <w:lang w:val="en-GB"/>
        </w:rPr>
      </w:pPr>
      <w:r w:rsidRPr="007C17BD">
        <w:rPr>
          <w:lang w:val="en-GB"/>
        </w:rPr>
        <w:t xml:space="preserve">Kaya believed in using digital and social media platforms in addition to conventional channels to build brand equity in the region. Kaya Middle East </w:t>
      </w:r>
      <w:r w:rsidR="00BA7E76">
        <w:rPr>
          <w:lang w:val="en-GB"/>
        </w:rPr>
        <w:t>joined</w:t>
      </w:r>
      <w:r w:rsidRPr="007C17BD">
        <w:rPr>
          <w:lang w:val="en-GB"/>
        </w:rPr>
        <w:t xml:space="preserve"> with an organization called Socialize as its digital communications and marketing partner to support its marketing communications and thus improve its brand awareness across the region. Leah </w:t>
      </w:r>
      <w:proofErr w:type="spellStart"/>
      <w:r w:rsidRPr="007C17BD">
        <w:rPr>
          <w:lang w:val="en-GB"/>
        </w:rPr>
        <w:t>Duquemin</w:t>
      </w:r>
      <w:proofErr w:type="spellEnd"/>
      <w:r w:rsidRPr="007C17BD">
        <w:rPr>
          <w:lang w:val="en-GB"/>
        </w:rPr>
        <w:t>, account director for Socializ</w:t>
      </w:r>
      <w:r w:rsidRPr="007C17BD">
        <w:rPr>
          <w:rStyle w:val="s1"/>
          <w:color w:val="000000" w:themeColor="text1"/>
          <w:bdr w:val="none" w:sz="0" w:space="0" w:color="auto" w:frame="1"/>
          <w:lang w:val="en-GB"/>
        </w:rPr>
        <w:t xml:space="preserve">e, </w:t>
      </w:r>
      <w:r w:rsidRPr="007C17BD">
        <w:rPr>
          <w:rStyle w:val="apple-converted-space"/>
          <w:color w:val="000000" w:themeColor="text1"/>
          <w:lang w:val="en-GB"/>
        </w:rPr>
        <w:t xml:space="preserve">commented, </w:t>
      </w:r>
      <w:r w:rsidR="003B7DFC">
        <w:rPr>
          <w:lang w:val="en-GB"/>
        </w:rPr>
        <w:t>“</w:t>
      </w:r>
      <w:r w:rsidRPr="007C17BD">
        <w:rPr>
          <w:lang w:val="en-GB"/>
        </w:rPr>
        <w:t>It</w:t>
      </w:r>
      <w:r w:rsidR="003B7DFC">
        <w:rPr>
          <w:lang w:val="en-GB"/>
        </w:rPr>
        <w:t>’</w:t>
      </w:r>
      <w:r w:rsidRPr="007C17BD">
        <w:rPr>
          <w:lang w:val="en-GB"/>
        </w:rPr>
        <w:t>s a dynamic brand that is truly centred on customer satisfaction, and we have a lot of great things in the pipeline to help Kaya transform this sentiment into top-notch social and digital engagement.</w:t>
      </w:r>
      <w:r w:rsidR="003B7DFC">
        <w:rPr>
          <w:lang w:val="en-GB"/>
        </w:rPr>
        <w:t>”</w:t>
      </w:r>
      <w:r w:rsidRPr="007C17BD">
        <w:rPr>
          <w:lang w:val="en-GB"/>
        </w:rPr>
        <w:t xml:space="preserve"> </w:t>
      </w:r>
      <w:proofErr w:type="spellStart"/>
      <w:r w:rsidRPr="007C17BD">
        <w:rPr>
          <w:lang w:val="en-GB"/>
        </w:rPr>
        <w:t>Vikas</w:t>
      </w:r>
      <w:proofErr w:type="spellEnd"/>
      <w:r w:rsidRPr="007C17BD">
        <w:rPr>
          <w:lang w:val="en-GB"/>
        </w:rPr>
        <w:t xml:space="preserve"> Agarwal, head of marketing for Kaya Skin Clinic, add</w:t>
      </w:r>
      <w:r w:rsidRPr="007C17BD">
        <w:rPr>
          <w:rStyle w:val="s1"/>
          <w:color w:val="000000" w:themeColor="text1"/>
          <w:bdr w:val="none" w:sz="0" w:space="0" w:color="auto" w:frame="1"/>
          <w:lang w:val="en-GB"/>
        </w:rPr>
        <w:t>ed</w:t>
      </w:r>
      <w:r w:rsidR="00BA7E76">
        <w:rPr>
          <w:rStyle w:val="s1"/>
          <w:color w:val="000000" w:themeColor="text1"/>
          <w:bdr w:val="none" w:sz="0" w:space="0" w:color="auto" w:frame="1"/>
          <w:lang w:val="en-GB"/>
        </w:rPr>
        <w:t>,</w:t>
      </w:r>
    </w:p>
    <w:p w14:paraId="55516764" w14:textId="77777777" w:rsidR="003208FA" w:rsidRPr="007C17BD" w:rsidRDefault="003208FA" w:rsidP="00A441EE">
      <w:pPr>
        <w:pStyle w:val="BodyTextMain"/>
        <w:rPr>
          <w:rStyle w:val="apple-converted-space"/>
          <w:color w:val="000000" w:themeColor="text1"/>
          <w:lang w:val="en-GB"/>
        </w:rPr>
      </w:pPr>
    </w:p>
    <w:p w14:paraId="0AF5D39F" w14:textId="2DF1F1D7" w:rsidR="00F54E9C" w:rsidRPr="007C17BD" w:rsidRDefault="00F54E9C" w:rsidP="00184536">
      <w:pPr>
        <w:pStyle w:val="BodyTextMain"/>
        <w:ind w:left="567"/>
        <w:rPr>
          <w:lang w:val="en-GB"/>
        </w:rPr>
      </w:pPr>
      <w:r w:rsidRPr="007C17BD">
        <w:rPr>
          <w:lang w:val="en-GB"/>
        </w:rPr>
        <w:lastRenderedPageBreak/>
        <w:t xml:space="preserve">Digital and </w:t>
      </w:r>
      <w:r w:rsidRPr="007C17BD">
        <w:rPr>
          <w:rStyle w:val="s1"/>
          <w:color w:val="000000" w:themeColor="text1"/>
          <w:bdr w:val="none" w:sz="0" w:space="0" w:color="auto" w:frame="1"/>
          <w:lang w:val="en-GB"/>
        </w:rPr>
        <w:t>s</w:t>
      </w:r>
      <w:r w:rsidRPr="007C17BD">
        <w:rPr>
          <w:lang w:val="en-GB"/>
        </w:rPr>
        <w:t>ocial [media] are now a vital part of Kaya</w:t>
      </w:r>
      <w:r w:rsidR="003B7DFC">
        <w:rPr>
          <w:lang w:val="en-GB"/>
        </w:rPr>
        <w:t>’</w:t>
      </w:r>
      <w:r w:rsidRPr="007C17BD">
        <w:rPr>
          <w:lang w:val="en-GB"/>
        </w:rPr>
        <w:t>s marketing mix, and we are happy to collaborate with Socialize, who has proven their expertise in this field with leading brands across the region. We look forward to them partnering with us as we launch our new brand identity and help take Kaya to the next level of social engagement.</w:t>
      </w:r>
      <w:r w:rsidRPr="007C17BD">
        <w:rPr>
          <w:rStyle w:val="EndnoteReference"/>
          <w:color w:val="000000" w:themeColor="text1"/>
          <w:lang w:val="en-GB"/>
        </w:rPr>
        <w:endnoteReference w:id="21"/>
      </w:r>
    </w:p>
    <w:p w14:paraId="13C43E93" w14:textId="77777777" w:rsidR="00F54E9C" w:rsidRPr="007C17BD" w:rsidRDefault="00F54E9C" w:rsidP="00A441EE">
      <w:pPr>
        <w:pStyle w:val="BodyTextMain"/>
        <w:rPr>
          <w:lang w:val="en-GB"/>
        </w:rPr>
      </w:pPr>
    </w:p>
    <w:p w14:paraId="6AA14FA3" w14:textId="77777777" w:rsidR="00F54E9C" w:rsidRPr="007C17BD" w:rsidRDefault="00F54E9C" w:rsidP="00A441EE">
      <w:pPr>
        <w:pStyle w:val="BodyTextMain"/>
        <w:rPr>
          <w:lang w:val="en-GB"/>
        </w:rPr>
      </w:pPr>
    </w:p>
    <w:p w14:paraId="49790FEF" w14:textId="549BA6CA" w:rsidR="00F54E9C" w:rsidRPr="007C17BD" w:rsidRDefault="00F54E9C" w:rsidP="00554A4E">
      <w:pPr>
        <w:pStyle w:val="Casehead1"/>
        <w:rPr>
          <w:lang w:val="en-GB"/>
        </w:rPr>
      </w:pPr>
      <w:r w:rsidRPr="007C17BD">
        <w:rPr>
          <w:lang w:val="en-GB"/>
        </w:rPr>
        <w:t xml:space="preserve">CRM Strategy: the </w:t>
      </w:r>
      <w:r w:rsidR="003B7DFC">
        <w:rPr>
          <w:lang w:val="en-GB"/>
        </w:rPr>
        <w:t>“</w:t>
      </w:r>
      <w:r w:rsidRPr="007C17BD">
        <w:rPr>
          <w:lang w:val="en-GB"/>
        </w:rPr>
        <w:t>Customers Really Matter</w:t>
      </w:r>
      <w:r w:rsidR="003B7DFC">
        <w:rPr>
          <w:lang w:val="en-GB"/>
        </w:rPr>
        <w:t>”</w:t>
      </w:r>
      <w:r w:rsidRPr="007C17BD">
        <w:rPr>
          <w:lang w:val="en-GB"/>
        </w:rPr>
        <w:t xml:space="preserve"> Initiative</w:t>
      </w:r>
      <w:r w:rsidRPr="007C17BD">
        <w:rPr>
          <w:rStyle w:val="EndnoteReference"/>
          <w:color w:val="000000" w:themeColor="text1"/>
          <w:lang w:val="en-GB"/>
        </w:rPr>
        <w:endnoteReference w:id="22"/>
      </w:r>
    </w:p>
    <w:p w14:paraId="446516FF" w14:textId="77777777" w:rsidR="00F54E9C" w:rsidRPr="007C17BD" w:rsidRDefault="00F54E9C" w:rsidP="00A441EE">
      <w:pPr>
        <w:pStyle w:val="BodyTextMain"/>
        <w:rPr>
          <w:lang w:val="en-GB"/>
        </w:rPr>
      </w:pPr>
    </w:p>
    <w:p w14:paraId="752FFFF0" w14:textId="0AD11A5B" w:rsidR="00F54E9C" w:rsidRPr="007C17BD" w:rsidRDefault="00F54E9C" w:rsidP="00A441EE">
      <w:pPr>
        <w:pStyle w:val="BodyTextMain"/>
        <w:rPr>
          <w:lang w:val="en-GB"/>
        </w:rPr>
      </w:pPr>
      <w:r w:rsidRPr="007C17BD">
        <w:rPr>
          <w:lang w:val="en-GB"/>
        </w:rPr>
        <w:t>Kaya in the Middle East acquired new customers through TV advertisements on Arabic channels and in magazines. As customers for skin care and hair care regularly visited skin clinics, Kaya emphasized its culture of customer care, concern, customer centricity, and transparency. The team at Kaya ensured that the entire organization was geared toward a collaborated performance delivery.</w:t>
      </w:r>
    </w:p>
    <w:p w14:paraId="4D7A8915" w14:textId="77777777" w:rsidR="00F54E9C" w:rsidRPr="007C17BD" w:rsidRDefault="00F54E9C" w:rsidP="00A441EE">
      <w:pPr>
        <w:pStyle w:val="BodyTextMain"/>
        <w:rPr>
          <w:lang w:val="en-GB"/>
        </w:rPr>
      </w:pPr>
    </w:p>
    <w:p w14:paraId="70E9BDDF" w14:textId="45477814" w:rsidR="00F54E9C" w:rsidRPr="007C17BD" w:rsidRDefault="00F54E9C" w:rsidP="00A441EE">
      <w:pPr>
        <w:pStyle w:val="BodyTextMain"/>
        <w:rPr>
          <w:lang w:val="en-GB"/>
        </w:rPr>
      </w:pPr>
      <w:r w:rsidRPr="007C17BD">
        <w:rPr>
          <w:lang w:val="en-GB"/>
        </w:rPr>
        <w:t>The brand was strengthened as a result of a differentiated strategy and value proposition along with an emphasis on high quality, thought leadership in marketing, a differentiated employee culture, and a professional organizational support structure and processes.</w:t>
      </w:r>
    </w:p>
    <w:p w14:paraId="52260CA5" w14:textId="77777777" w:rsidR="00F54E9C" w:rsidRPr="007C17BD" w:rsidRDefault="00F54E9C" w:rsidP="00A441EE">
      <w:pPr>
        <w:pStyle w:val="BodyTextMain"/>
        <w:rPr>
          <w:lang w:val="en-GB"/>
        </w:rPr>
      </w:pPr>
    </w:p>
    <w:p w14:paraId="18C000DE" w14:textId="220CF5BE" w:rsidR="00F54E9C" w:rsidRPr="007C17BD" w:rsidRDefault="00F54E9C" w:rsidP="00A441EE">
      <w:pPr>
        <w:pStyle w:val="BodyTextMain"/>
        <w:rPr>
          <w:lang w:val="en-GB"/>
        </w:rPr>
      </w:pPr>
      <w:r w:rsidRPr="007C17BD">
        <w:rPr>
          <w:lang w:val="en-GB"/>
        </w:rPr>
        <w:t xml:space="preserve">Kaya categorized customers who had visited the clinic at least once in the past two months as new joiners. Customers who visited the clinic at least once per quarter were categorized as active clients. Customers who had high chances of lapsing were categorized as on-the-brink customers. Finally, customers who stopped visiting the clinic were called lapsed customers. Kaya had an active call centre to take care of CRM initiatives. </w:t>
      </w:r>
    </w:p>
    <w:p w14:paraId="18EDFFD8" w14:textId="77777777" w:rsidR="00F54E9C" w:rsidRPr="007C17BD" w:rsidRDefault="00F54E9C" w:rsidP="00A441EE">
      <w:pPr>
        <w:pStyle w:val="BodyTextMain"/>
        <w:rPr>
          <w:lang w:val="en-GB"/>
        </w:rPr>
      </w:pPr>
    </w:p>
    <w:p w14:paraId="7D7CC7F9" w14:textId="3596D95D" w:rsidR="00F54E9C" w:rsidRPr="007C17BD" w:rsidRDefault="00F54E9C" w:rsidP="00A441EE">
      <w:pPr>
        <w:pStyle w:val="BodyTextMain"/>
        <w:rPr>
          <w:lang w:val="en-GB"/>
        </w:rPr>
      </w:pPr>
      <w:r w:rsidRPr="007C17BD">
        <w:rPr>
          <w:lang w:val="en-GB"/>
        </w:rPr>
        <w:t xml:space="preserve">Kaya also had in place a loyalty program called </w:t>
      </w:r>
      <w:r w:rsidR="003B7DFC">
        <w:rPr>
          <w:lang w:val="en-GB"/>
        </w:rPr>
        <w:t>“</w:t>
      </w:r>
      <w:r w:rsidRPr="007C17BD">
        <w:rPr>
          <w:lang w:val="en-GB"/>
        </w:rPr>
        <w:t>Kaya Smiles</w:t>
      </w:r>
      <w:r w:rsidR="003B7DFC">
        <w:rPr>
          <w:lang w:val="en-GB"/>
        </w:rPr>
        <w:t>”</w:t>
      </w:r>
      <w:r w:rsidRPr="007C17BD">
        <w:rPr>
          <w:lang w:val="en-GB"/>
        </w:rPr>
        <w:t xml:space="preserve"> that had five levels: Platinum, Gold Elite, Gold, Blue, and Aqua Blue. The levels in the loyalty program were based on frequency of visits and levels of transactions. Platinum-level customers were regarded as high-value customers, while Aqua Blue-level customers were regarded as low-value, entry-level customers. Membership in the loyalty program enabled members to earn reward points on their expenditures that could be converted into cash discounts on future transactions. Kaya ensured that members at all levels received customized offers at regular intervals.</w:t>
      </w:r>
    </w:p>
    <w:p w14:paraId="371098BD" w14:textId="77777777" w:rsidR="00F54E9C" w:rsidRPr="007C17BD" w:rsidRDefault="00F54E9C" w:rsidP="00A441EE">
      <w:pPr>
        <w:pStyle w:val="BodyTextMain"/>
        <w:rPr>
          <w:lang w:val="en-GB"/>
        </w:rPr>
      </w:pPr>
    </w:p>
    <w:p w14:paraId="12C0591D" w14:textId="2B4183DD" w:rsidR="00F54E9C" w:rsidRPr="007C17BD" w:rsidRDefault="00F54E9C" w:rsidP="00A441EE">
      <w:pPr>
        <w:pStyle w:val="BodyTextMain"/>
        <w:rPr>
          <w:lang w:val="en-GB"/>
        </w:rPr>
      </w:pPr>
      <w:r w:rsidRPr="007C17BD">
        <w:rPr>
          <w:lang w:val="en-GB"/>
        </w:rPr>
        <w:t>By offering customized skin care advice, Kaya</w:t>
      </w:r>
      <w:r w:rsidR="003B7DFC">
        <w:rPr>
          <w:lang w:val="en-GB"/>
        </w:rPr>
        <w:t>’</w:t>
      </w:r>
      <w:r w:rsidRPr="007C17BD">
        <w:rPr>
          <w:lang w:val="en-GB"/>
        </w:rPr>
        <w:t xml:space="preserve">s action plan was moving forward in its journey of skin health. Kaya had two types of </w:t>
      </w:r>
      <w:r w:rsidR="00B52762">
        <w:rPr>
          <w:lang w:val="en-GB"/>
        </w:rPr>
        <w:t xml:space="preserve">skin </w:t>
      </w:r>
      <w:r w:rsidRPr="007C17BD">
        <w:rPr>
          <w:lang w:val="en-GB"/>
        </w:rPr>
        <w:t>expertise. One was related to cure, and the other was related to beauty.</w:t>
      </w:r>
    </w:p>
    <w:p w14:paraId="782767D4" w14:textId="77777777" w:rsidR="00F54E9C" w:rsidRPr="007C17BD" w:rsidRDefault="00F54E9C" w:rsidP="00A441EE">
      <w:pPr>
        <w:pStyle w:val="BodyTextMain"/>
        <w:rPr>
          <w:lang w:val="en-GB"/>
        </w:rPr>
      </w:pPr>
    </w:p>
    <w:p w14:paraId="1AC715FF" w14:textId="77777777" w:rsidR="00F54E9C" w:rsidRPr="007C17BD" w:rsidRDefault="00F54E9C" w:rsidP="00A441EE">
      <w:pPr>
        <w:pStyle w:val="BodyTextMain"/>
        <w:rPr>
          <w:lang w:val="en-GB"/>
        </w:rPr>
      </w:pPr>
    </w:p>
    <w:p w14:paraId="62A3935A" w14:textId="77777777" w:rsidR="00F54E9C" w:rsidRPr="007C17BD" w:rsidRDefault="00F54E9C" w:rsidP="00554A4E">
      <w:pPr>
        <w:pStyle w:val="Casehead1"/>
        <w:rPr>
          <w:lang w:val="en-GB"/>
        </w:rPr>
      </w:pPr>
      <w:r w:rsidRPr="007C17BD">
        <w:rPr>
          <w:lang w:val="en-GB"/>
        </w:rPr>
        <w:t xml:space="preserve">The Competitive Brand Scape </w:t>
      </w:r>
    </w:p>
    <w:p w14:paraId="3858DAFB" w14:textId="77777777" w:rsidR="00F54E9C" w:rsidRPr="007C17BD" w:rsidRDefault="00F54E9C" w:rsidP="00A441EE">
      <w:pPr>
        <w:pStyle w:val="BodyTextMain"/>
        <w:rPr>
          <w:lang w:val="en-GB"/>
        </w:rPr>
      </w:pPr>
    </w:p>
    <w:p w14:paraId="43D5AF9E" w14:textId="2FEC4F1F" w:rsidR="00F54E9C" w:rsidRPr="007C17BD" w:rsidRDefault="00F54E9C" w:rsidP="00A441EE">
      <w:pPr>
        <w:pStyle w:val="BodyTextMain"/>
        <w:rPr>
          <w:lang w:val="en-GB"/>
        </w:rPr>
      </w:pPr>
      <w:r w:rsidRPr="007C17BD">
        <w:rPr>
          <w:lang w:val="en-GB"/>
        </w:rPr>
        <w:t>With the advent of heightened global competition in the beauty and skin care sector, demarcation</w:t>
      </w:r>
      <w:r w:rsidR="00BA7E76">
        <w:rPr>
          <w:lang w:val="en-GB"/>
        </w:rPr>
        <w:t>s</w:t>
      </w:r>
      <w:r w:rsidRPr="007C17BD">
        <w:rPr>
          <w:lang w:val="en-GB"/>
        </w:rPr>
        <w:t xml:space="preserve"> between clinics such as Kaya, dermatologists, and salons</w:t>
      </w:r>
      <w:r w:rsidR="00BA7E76" w:rsidRPr="00BA7E76">
        <w:rPr>
          <w:lang w:val="en-GB"/>
        </w:rPr>
        <w:t xml:space="preserve"> </w:t>
      </w:r>
      <w:r w:rsidR="00BA7E76" w:rsidRPr="007C17BD">
        <w:rPr>
          <w:lang w:val="en-GB"/>
        </w:rPr>
        <w:t>w</w:t>
      </w:r>
      <w:r w:rsidR="00BA7E76">
        <w:rPr>
          <w:lang w:val="en-GB"/>
        </w:rPr>
        <w:t>ere</w:t>
      </w:r>
      <w:r w:rsidR="00BA7E76" w:rsidRPr="007C17BD">
        <w:rPr>
          <w:lang w:val="en-GB"/>
        </w:rPr>
        <w:t xml:space="preserve"> becoming blurred</w:t>
      </w:r>
      <w:r w:rsidRPr="007C17BD">
        <w:rPr>
          <w:lang w:val="en-GB"/>
        </w:rPr>
        <w:t>. The main driver of change was the personalized clinic experience, which Kaya provided.</w:t>
      </w:r>
      <w:r w:rsidRPr="007C17BD">
        <w:rPr>
          <w:rStyle w:val="EndnoteReference"/>
          <w:lang w:val="en-GB"/>
        </w:rPr>
        <w:endnoteReference w:id="23"/>
      </w:r>
    </w:p>
    <w:p w14:paraId="77BF1178" w14:textId="77777777" w:rsidR="00F54E9C" w:rsidRPr="007C17BD" w:rsidRDefault="00F54E9C" w:rsidP="00A441EE">
      <w:pPr>
        <w:pStyle w:val="BodyTextMain"/>
        <w:rPr>
          <w:lang w:val="en-GB"/>
        </w:rPr>
      </w:pPr>
    </w:p>
    <w:p w14:paraId="3170031B" w14:textId="17A4249E" w:rsidR="00F54E9C" w:rsidRPr="007C17BD" w:rsidRDefault="00F54E9C" w:rsidP="00A441EE">
      <w:pPr>
        <w:pStyle w:val="BodyTextMain"/>
        <w:rPr>
          <w:color w:val="000000"/>
          <w:lang w:val="en-GB"/>
        </w:rPr>
      </w:pPr>
      <w:r w:rsidRPr="007C17BD">
        <w:rPr>
          <w:lang w:val="en-GB"/>
        </w:rPr>
        <w:t xml:space="preserve">Kaya faced competition from </w:t>
      </w:r>
      <w:r w:rsidRPr="007C17BD">
        <w:rPr>
          <w:color w:val="000000"/>
          <w:lang w:val="en-GB"/>
        </w:rPr>
        <w:t>everyday beauty care products,</w:t>
      </w:r>
      <w:r w:rsidRPr="007C17BD">
        <w:rPr>
          <w:bCs/>
          <w:lang w:val="en-GB"/>
        </w:rPr>
        <w:t xml:space="preserve"> </w:t>
      </w:r>
      <w:r w:rsidRPr="007C17BD">
        <w:rPr>
          <w:color w:val="000000"/>
          <w:lang w:val="en-GB"/>
        </w:rPr>
        <w:t>regular skin care salons</w:t>
      </w:r>
      <w:r w:rsidRPr="007C17BD">
        <w:rPr>
          <w:bCs/>
          <w:lang w:val="en-GB"/>
        </w:rPr>
        <w:t xml:space="preserve">, </w:t>
      </w:r>
      <w:r w:rsidRPr="007C17BD">
        <w:rPr>
          <w:color w:val="000000"/>
          <w:lang w:val="en-GB"/>
        </w:rPr>
        <w:t>specialized care clinics,</w:t>
      </w:r>
      <w:r w:rsidRPr="007C17BD">
        <w:rPr>
          <w:bCs/>
          <w:lang w:val="en-GB"/>
        </w:rPr>
        <w:t xml:space="preserve"> </w:t>
      </w:r>
      <w:r w:rsidRPr="007C17BD">
        <w:rPr>
          <w:color w:val="000000"/>
          <w:lang w:val="en-GB"/>
        </w:rPr>
        <w:t>franchising for sale</w:t>
      </w:r>
      <w:r w:rsidRPr="007C17BD">
        <w:rPr>
          <w:bCs/>
          <w:lang w:val="en-GB"/>
        </w:rPr>
        <w:t xml:space="preserve">, and </w:t>
      </w:r>
      <w:r w:rsidRPr="007C17BD">
        <w:rPr>
          <w:color w:val="000000"/>
          <w:lang w:val="en-GB"/>
        </w:rPr>
        <w:t>incremental product footprints, both online and through alliances</w:t>
      </w:r>
      <w:r w:rsidRPr="007C17BD">
        <w:rPr>
          <w:bCs/>
          <w:lang w:val="en-GB"/>
        </w:rPr>
        <w:t xml:space="preserve">. The </w:t>
      </w:r>
      <w:r w:rsidRPr="007C17BD">
        <w:rPr>
          <w:color w:val="000000"/>
          <w:lang w:val="en-GB"/>
        </w:rPr>
        <w:t>multi-brand strategy in the premium product space and in the clinic space tended to be dominated by local players and dermatologists.</w:t>
      </w:r>
      <w:r w:rsidRPr="007C17BD">
        <w:rPr>
          <w:rStyle w:val="EndnoteReference"/>
          <w:color w:val="000000"/>
          <w:lang w:val="en-GB"/>
        </w:rPr>
        <w:endnoteReference w:id="24"/>
      </w:r>
      <w:r w:rsidRPr="007C17BD">
        <w:rPr>
          <w:color w:val="000000"/>
          <w:lang w:val="en-GB"/>
        </w:rPr>
        <w:t xml:space="preserve"> Customer expectations were on the rise, and the skin care industry was refining its ability daily to identify and serve </w:t>
      </w:r>
      <w:r w:rsidR="00BA7E76">
        <w:rPr>
          <w:color w:val="000000"/>
          <w:lang w:val="en-GB"/>
        </w:rPr>
        <w:t>its</w:t>
      </w:r>
      <w:r w:rsidR="00BA7E76" w:rsidRPr="007C17BD">
        <w:rPr>
          <w:color w:val="000000"/>
          <w:lang w:val="en-GB"/>
        </w:rPr>
        <w:t xml:space="preserve"> </w:t>
      </w:r>
      <w:r w:rsidRPr="007C17BD">
        <w:rPr>
          <w:color w:val="000000"/>
          <w:lang w:val="en-GB"/>
        </w:rPr>
        <w:t>best customers and achieve customer loyalty.</w:t>
      </w:r>
    </w:p>
    <w:p w14:paraId="176C0A81" w14:textId="77777777" w:rsidR="00F54E9C" w:rsidRPr="007C17BD" w:rsidRDefault="00F54E9C" w:rsidP="00A441EE">
      <w:pPr>
        <w:pStyle w:val="BodyTextMain"/>
        <w:rPr>
          <w:color w:val="000000"/>
          <w:lang w:val="en-GB"/>
        </w:rPr>
      </w:pPr>
    </w:p>
    <w:p w14:paraId="239EC3B5" w14:textId="14D35122" w:rsidR="00F54E9C" w:rsidRPr="007C17BD" w:rsidRDefault="00F54E9C" w:rsidP="00A441EE">
      <w:pPr>
        <w:pStyle w:val="BodyTextMain"/>
        <w:rPr>
          <w:color w:val="000000"/>
          <w:lang w:val="en-GB"/>
        </w:rPr>
      </w:pPr>
      <w:r w:rsidRPr="007C17BD">
        <w:rPr>
          <w:color w:val="000000"/>
          <w:lang w:val="en-GB"/>
        </w:rPr>
        <w:t>Kaya was also in expansion mode in the Middle East. On Kaya</w:t>
      </w:r>
      <w:r w:rsidR="003B7DFC">
        <w:rPr>
          <w:color w:val="000000"/>
          <w:lang w:val="en-GB"/>
        </w:rPr>
        <w:t>’</w:t>
      </w:r>
      <w:r w:rsidRPr="007C17BD">
        <w:rPr>
          <w:color w:val="000000"/>
          <w:lang w:val="en-GB"/>
        </w:rPr>
        <w:t xml:space="preserve">s expansion in the Middle East, </w:t>
      </w:r>
      <w:proofErr w:type="spellStart"/>
      <w:r w:rsidRPr="007C17BD">
        <w:rPr>
          <w:color w:val="000000"/>
          <w:lang w:val="en-GB"/>
        </w:rPr>
        <w:t>Debashish</w:t>
      </w:r>
      <w:proofErr w:type="spellEnd"/>
      <w:r w:rsidRPr="007C17BD">
        <w:rPr>
          <w:color w:val="000000"/>
          <w:lang w:val="en-GB"/>
        </w:rPr>
        <w:t xml:space="preserve"> </w:t>
      </w:r>
      <w:proofErr w:type="spellStart"/>
      <w:r w:rsidRPr="007C17BD">
        <w:rPr>
          <w:color w:val="000000"/>
          <w:lang w:val="en-GB"/>
        </w:rPr>
        <w:t>Neogi</w:t>
      </w:r>
      <w:proofErr w:type="spellEnd"/>
      <w:r w:rsidRPr="007C17BD">
        <w:rPr>
          <w:color w:val="000000"/>
          <w:lang w:val="en-GB"/>
        </w:rPr>
        <w:t>, chief executive officer for Kaya Middle East, commented</w:t>
      </w:r>
      <w:r w:rsidR="00BA7E76">
        <w:rPr>
          <w:color w:val="000000"/>
          <w:lang w:val="en-GB"/>
        </w:rPr>
        <w:t>,</w:t>
      </w:r>
      <w:r w:rsidR="00BA7E76" w:rsidRPr="007C17BD">
        <w:rPr>
          <w:color w:val="000000"/>
          <w:lang w:val="en-GB"/>
        </w:rPr>
        <w:t xml:space="preserve"> </w:t>
      </w:r>
    </w:p>
    <w:p w14:paraId="0CCB079E" w14:textId="77777777" w:rsidR="00F54E9C" w:rsidRPr="007C17BD" w:rsidRDefault="00F54E9C" w:rsidP="00A441EE">
      <w:pPr>
        <w:pStyle w:val="BodyTextMain"/>
        <w:rPr>
          <w:color w:val="000000"/>
          <w:lang w:val="en-GB"/>
        </w:rPr>
      </w:pPr>
    </w:p>
    <w:p w14:paraId="780E16F6" w14:textId="62E41303" w:rsidR="00F54E9C" w:rsidRPr="007C17BD" w:rsidRDefault="00F54E9C" w:rsidP="00244117">
      <w:pPr>
        <w:pStyle w:val="BodyTextMain"/>
        <w:ind w:left="567"/>
        <w:rPr>
          <w:color w:val="000000"/>
          <w:lang w:val="en-GB"/>
        </w:rPr>
      </w:pPr>
      <w:r w:rsidRPr="007C17BD">
        <w:rPr>
          <w:color w:val="000000"/>
          <w:lang w:val="en-GB"/>
        </w:rPr>
        <w:lastRenderedPageBreak/>
        <w:t>Kaya</w:t>
      </w:r>
      <w:r w:rsidR="003B7DFC">
        <w:rPr>
          <w:color w:val="000000"/>
          <w:lang w:val="en-GB"/>
        </w:rPr>
        <w:t>’</w:t>
      </w:r>
      <w:r w:rsidRPr="007C17BD">
        <w:rPr>
          <w:color w:val="000000"/>
          <w:lang w:val="en-GB"/>
        </w:rPr>
        <w:t>s aggressive expansion, starting with new acquisitions in Abu Dhabi and Kuwait, is spurred by a burgeoning demand for quality skin care solutions, which the brand stands for, with its commitment to the best skin care solutions over years. We are committed to open new outlets closer to our customers and provide them with state-of-the-art facilities and services. Our acquisitions are key milestones in this journey.</w:t>
      </w:r>
      <w:r w:rsidRPr="007C17BD">
        <w:rPr>
          <w:rStyle w:val="EndnoteReference"/>
          <w:color w:val="000000"/>
          <w:lang w:val="en-GB"/>
        </w:rPr>
        <w:endnoteReference w:id="25"/>
      </w:r>
    </w:p>
    <w:p w14:paraId="4F93CAA3" w14:textId="77777777" w:rsidR="00F54E9C" w:rsidRPr="007C17BD" w:rsidRDefault="00F54E9C" w:rsidP="00A441EE">
      <w:pPr>
        <w:pStyle w:val="BodyTextMain"/>
        <w:rPr>
          <w:color w:val="000000"/>
          <w:lang w:val="en-GB"/>
        </w:rPr>
      </w:pPr>
    </w:p>
    <w:p w14:paraId="73D19F03" w14:textId="77777777" w:rsidR="00F54E9C" w:rsidRPr="007C17BD" w:rsidRDefault="00F54E9C" w:rsidP="00A441EE">
      <w:pPr>
        <w:pStyle w:val="BodyTextMain"/>
        <w:rPr>
          <w:color w:val="000000"/>
          <w:lang w:val="en-GB"/>
        </w:rPr>
      </w:pPr>
    </w:p>
    <w:p w14:paraId="4BCE2116" w14:textId="77777777" w:rsidR="00F54E9C" w:rsidRPr="007C17BD" w:rsidRDefault="00F54E9C" w:rsidP="00554A4E">
      <w:pPr>
        <w:pStyle w:val="Casehead1"/>
        <w:rPr>
          <w:lang w:val="en-GB"/>
        </w:rPr>
      </w:pPr>
      <w:r w:rsidRPr="007C17BD">
        <w:rPr>
          <w:lang w:val="en-GB"/>
        </w:rPr>
        <w:t xml:space="preserve">The Challenges Ahead </w:t>
      </w:r>
    </w:p>
    <w:p w14:paraId="3DD83185" w14:textId="77777777" w:rsidR="00F54E9C" w:rsidRPr="007C17BD" w:rsidRDefault="00F54E9C" w:rsidP="00A441EE">
      <w:pPr>
        <w:pStyle w:val="BodyTextMain"/>
        <w:rPr>
          <w:color w:val="000000"/>
          <w:lang w:val="en-GB"/>
        </w:rPr>
      </w:pPr>
    </w:p>
    <w:p w14:paraId="29F07DB4" w14:textId="318C2F40" w:rsidR="00A46C24" w:rsidRPr="007C17BD" w:rsidRDefault="00F54E9C" w:rsidP="00A441EE">
      <w:pPr>
        <w:pStyle w:val="BodyTextMain"/>
        <w:rPr>
          <w:rFonts w:ascii="Arial" w:hAnsi="Arial" w:cs="Arial"/>
          <w:color w:val="000000"/>
          <w:sz w:val="18"/>
          <w:szCs w:val="18"/>
          <w:lang w:val="en-GB"/>
        </w:rPr>
      </w:pPr>
      <w:r w:rsidRPr="007C17BD">
        <w:rPr>
          <w:lang w:val="en-GB"/>
        </w:rPr>
        <w:t>The skin care market around the world was estimated to be worth about US$121 billion in 2016.</w:t>
      </w:r>
      <w:r w:rsidRPr="007C17BD">
        <w:rPr>
          <w:rStyle w:val="EndnoteReference"/>
          <w:lang w:val="en-GB"/>
        </w:rPr>
        <w:endnoteReference w:id="26"/>
      </w:r>
      <w:r w:rsidRPr="007C17BD">
        <w:rPr>
          <w:lang w:val="en-GB"/>
        </w:rPr>
        <w:t xml:space="preserve"> Kaya faced competition in terms of the clinic experience it created for the customer. The customer was interested in the product</w:t>
      </w:r>
      <w:r w:rsidR="003B7DFC">
        <w:rPr>
          <w:lang w:val="en-GB"/>
        </w:rPr>
        <w:t>’</w:t>
      </w:r>
      <w:r w:rsidRPr="007C17BD">
        <w:rPr>
          <w:lang w:val="en-GB"/>
        </w:rPr>
        <w:t>s ingredients, not the product itself. Kaya</w:t>
      </w:r>
      <w:r w:rsidR="003B7DFC">
        <w:rPr>
          <w:lang w:val="en-GB"/>
        </w:rPr>
        <w:t>’</w:t>
      </w:r>
      <w:r w:rsidRPr="007C17BD">
        <w:rPr>
          <w:lang w:val="en-GB"/>
        </w:rPr>
        <w:t>s unique selling proposition was found in the medical expertise where each product and service was recommended by a dermatologist. Therefore, the clinic service was important for Kaya so that it could win over dermatologists.</w:t>
      </w:r>
      <w:r w:rsidRPr="007C17BD">
        <w:rPr>
          <w:rStyle w:val="EndnoteReference"/>
          <w:lang w:val="en-GB"/>
        </w:rPr>
        <w:endnoteReference w:id="27"/>
      </w:r>
      <w:r w:rsidRPr="007C17BD">
        <w:rPr>
          <w:lang w:val="en-GB"/>
        </w:rPr>
        <w:t xml:space="preserve"> </w:t>
      </w:r>
      <w:r w:rsidR="00A46C24" w:rsidRPr="007C17BD">
        <w:rPr>
          <w:lang w:val="en-GB"/>
        </w:rPr>
        <w:t xml:space="preserve">The Middle East market had evolved since 2003, and almost every Kaya competitor was </w:t>
      </w:r>
      <w:r w:rsidR="00CB3DEB" w:rsidRPr="007C17BD">
        <w:rPr>
          <w:lang w:val="en-GB"/>
        </w:rPr>
        <w:t xml:space="preserve">now </w:t>
      </w:r>
      <w:r w:rsidR="00A46C24" w:rsidRPr="007C17BD">
        <w:rPr>
          <w:lang w:val="en-GB"/>
        </w:rPr>
        <w:t>providing customized service. Hence</w:t>
      </w:r>
      <w:r w:rsidR="00244117" w:rsidRPr="007C17BD">
        <w:rPr>
          <w:lang w:val="en-GB"/>
        </w:rPr>
        <w:t>,</w:t>
      </w:r>
      <w:r w:rsidR="00A46C24" w:rsidRPr="007C17BD">
        <w:rPr>
          <w:lang w:val="en-GB"/>
        </w:rPr>
        <w:t xml:space="preserve"> one could say that </w:t>
      </w:r>
      <w:r w:rsidR="000B4DF1" w:rsidRPr="007C17BD">
        <w:rPr>
          <w:lang w:val="en-GB"/>
        </w:rPr>
        <w:t xml:space="preserve">in </w:t>
      </w:r>
      <w:r w:rsidR="00A46C24" w:rsidRPr="007C17BD">
        <w:rPr>
          <w:lang w:val="en-GB"/>
        </w:rPr>
        <w:t xml:space="preserve">the </w:t>
      </w:r>
      <w:r w:rsidR="000B4DF1" w:rsidRPr="007C17BD">
        <w:rPr>
          <w:lang w:val="en-GB"/>
        </w:rPr>
        <w:t xml:space="preserve">skin </w:t>
      </w:r>
      <w:r w:rsidR="00A46C24" w:rsidRPr="007C17BD">
        <w:rPr>
          <w:lang w:val="en-GB"/>
        </w:rPr>
        <w:t>category</w:t>
      </w:r>
      <w:r w:rsidR="00244117" w:rsidRPr="007C17BD">
        <w:rPr>
          <w:lang w:val="en-GB"/>
        </w:rPr>
        <w:t>,</w:t>
      </w:r>
      <w:r w:rsidR="00A46C24" w:rsidRPr="007C17BD">
        <w:rPr>
          <w:lang w:val="en-GB"/>
        </w:rPr>
        <w:t xml:space="preserve"> </w:t>
      </w:r>
      <w:r w:rsidR="000B4DF1" w:rsidRPr="007C17BD">
        <w:rPr>
          <w:lang w:val="en-GB"/>
        </w:rPr>
        <w:t xml:space="preserve">brand differentiation was not prominent </w:t>
      </w:r>
      <w:r w:rsidR="00A46C24" w:rsidRPr="007C17BD">
        <w:rPr>
          <w:lang w:val="en-GB"/>
        </w:rPr>
        <w:t xml:space="preserve">and </w:t>
      </w:r>
      <w:r w:rsidR="000B4DF1" w:rsidRPr="007C17BD">
        <w:rPr>
          <w:lang w:val="en-GB"/>
        </w:rPr>
        <w:t xml:space="preserve">was </w:t>
      </w:r>
      <w:r w:rsidR="00A46C24" w:rsidRPr="007C17BD">
        <w:rPr>
          <w:lang w:val="en-GB"/>
        </w:rPr>
        <w:t xml:space="preserve">difficult to position. </w:t>
      </w:r>
      <w:r w:rsidR="00AB4427" w:rsidRPr="007C17BD">
        <w:rPr>
          <w:lang w:val="en-GB"/>
        </w:rPr>
        <w:t>Thus, Kaya needed to</w:t>
      </w:r>
      <w:r w:rsidR="00A46C24" w:rsidRPr="007C17BD">
        <w:rPr>
          <w:lang w:val="en-GB"/>
        </w:rPr>
        <w:t xml:space="preserve"> differentiate</w:t>
      </w:r>
      <w:r w:rsidR="00AB4427" w:rsidRPr="007C17BD">
        <w:rPr>
          <w:lang w:val="en-GB"/>
        </w:rPr>
        <w:t xml:space="preserve"> its brand</w:t>
      </w:r>
      <w:r w:rsidR="00A46C24" w:rsidRPr="007C17BD">
        <w:rPr>
          <w:lang w:val="en-GB"/>
        </w:rPr>
        <w:t xml:space="preserve">. </w:t>
      </w:r>
      <w:r w:rsidR="00AB4427" w:rsidRPr="007C17BD">
        <w:rPr>
          <w:lang w:val="en-GB"/>
        </w:rPr>
        <w:t xml:space="preserve">Such differentiation </w:t>
      </w:r>
      <w:r w:rsidR="00A46C24" w:rsidRPr="007C17BD">
        <w:rPr>
          <w:lang w:val="en-GB"/>
        </w:rPr>
        <w:t xml:space="preserve">could </w:t>
      </w:r>
      <w:r w:rsidR="00AB4427" w:rsidRPr="007C17BD">
        <w:rPr>
          <w:lang w:val="en-GB"/>
        </w:rPr>
        <w:t xml:space="preserve">occur </w:t>
      </w:r>
      <w:r w:rsidR="00A46C24" w:rsidRPr="007C17BD">
        <w:rPr>
          <w:lang w:val="en-GB"/>
        </w:rPr>
        <w:t xml:space="preserve">through </w:t>
      </w:r>
      <w:r w:rsidR="00AB4427" w:rsidRPr="007C17BD">
        <w:rPr>
          <w:lang w:val="en-GB"/>
        </w:rPr>
        <w:t xml:space="preserve">its </w:t>
      </w:r>
      <w:r w:rsidR="00A46C24" w:rsidRPr="007C17BD">
        <w:rPr>
          <w:lang w:val="en-GB"/>
        </w:rPr>
        <w:t>retail space</w:t>
      </w:r>
      <w:r w:rsidR="00AB4427" w:rsidRPr="007C17BD">
        <w:rPr>
          <w:lang w:val="en-GB"/>
        </w:rPr>
        <w:t>s</w:t>
      </w:r>
      <w:r w:rsidR="00BA7E76">
        <w:rPr>
          <w:lang w:val="en-GB"/>
        </w:rPr>
        <w:t>, which</w:t>
      </w:r>
      <w:r w:rsidR="00A46C24" w:rsidRPr="007C17BD">
        <w:rPr>
          <w:lang w:val="en-GB"/>
        </w:rPr>
        <w:t xml:space="preserve"> appealed to the senses in terms of size, seating comfort, offerings, and luxury treatments </w:t>
      </w:r>
      <w:r w:rsidR="001022B9" w:rsidRPr="007C17BD">
        <w:rPr>
          <w:lang w:val="en-GB"/>
        </w:rPr>
        <w:t xml:space="preserve">performed by </w:t>
      </w:r>
      <w:r w:rsidR="00A46C24" w:rsidRPr="007C17BD">
        <w:rPr>
          <w:lang w:val="en-GB"/>
        </w:rPr>
        <w:t xml:space="preserve">trained staff. Thus, the space in the clinic could be the differentiator. Market research suggested that the concept of </w:t>
      </w:r>
      <w:r w:rsidR="00AB4427" w:rsidRPr="007C17BD">
        <w:rPr>
          <w:lang w:val="en-GB"/>
        </w:rPr>
        <w:t xml:space="preserve">the </w:t>
      </w:r>
      <w:r w:rsidR="00A46C24" w:rsidRPr="007C17BD">
        <w:rPr>
          <w:lang w:val="en-GB"/>
        </w:rPr>
        <w:t xml:space="preserve">retail space resonated with people, </w:t>
      </w:r>
      <w:r w:rsidR="00AB4427" w:rsidRPr="007C17BD">
        <w:rPr>
          <w:lang w:val="en-GB"/>
        </w:rPr>
        <w:t>which</w:t>
      </w:r>
      <w:r w:rsidR="00A46C24" w:rsidRPr="007C17BD">
        <w:rPr>
          <w:lang w:val="en-GB"/>
        </w:rPr>
        <w:t xml:space="preserve"> could help Kaya </w:t>
      </w:r>
      <w:r w:rsidR="00AB4427" w:rsidRPr="007C17BD">
        <w:rPr>
          <w:lang w:val="en-GB"/>
        </w:rPr>
        <w:t xml:space="preserve">to </w:t>
      </w:r>
      <w:r w:rsidR="00A46C24" w:rsidRPr="007C17BD">
        <w:rPr>
          <w:lang w:val="en-GB"/>
        </w:rPr>
        <w:t xml:space="preserve">build a huge brand heritage. Looking at the changes that the Middle East market was demanding, Kaya </w:t>
      </w:r>
      <w:r w:rsidR="00AB4427" w:rsidRPr="007C17BD">
        <w:rPr>
          <w:lang w:val="en-GB"/>
        </w:rPr>
        <w:t xml:space="preserve">management </w:t>
      </w:r>
      <w:r w:rsidR="00A46C24" w:rsidRPr="007C17BD">
        <w:rPr>
          <w:lang w:val="en-GB"/>
        </w:rPr>
        <w:t xml:space="preserve">needed to </w:t>
      </w:r>
      <w:r w:rsidR="00713D25" w:rsidRPr="007C17BD">
        <w:rPr>
          <w:lang w:val="en-GB"/>
        </w:rPr>
        <w:t xml:space="preserve">decide </w:t>
      </w:r>
      <w:r w:rsidR="00AB4427" w:rsidRPr="007C17BD">
        <w:rPr>
          <w:lang w:val="en-GB"/>
        </w:rPr>
        <w:t>the next steps</w:t>
      </w:r>
      <w:r w:rsidR="002E5403" w:rsidRPr="007C17BD">
        <w:rPr>
          <w:lang w:val="en-GB"/>
        </w:rPr>
        <w:t>.</w:t>
      </w:r>
    </w:p>
    <w:p w14:paraId="0A1339B0" w14:textId="77777777" w:rsidR="00A46C24" w:rsidRPr="007C17BD" w:rsidRDefault="00A46C24">
      <w:pPr>
        <w:spacing w:after="200" w:line="276" w:lineRule="auto"/>
        <w:rPr>
          <w:lang w:val="en-GB"/>
        </w:rPr>
      </w:pPr>
      <w:r w:rsidRPr="007C17BD">
        <w:rPr>
          <w:lang w:val="en-GB"/>
        </w:rPr>
        <w:br w:type="page"/>
      </w:r>
    </w:p>
    <w:p w14:paraId="1E98B981" w14:textId="3BA4D057" w:rsidR="001A09B2" w:rsidRPr="007C17BD" w:rsidRDefault="001A09B2" w:rsidP="001A09B2">
      <w:pPr>
        <w:pStyle w:val="ExhibitHeading"/>
        <w:rPr>
          <w:lang w:val="en-GB"/>
        </w:rPr>
      </w:pPr>
      <w:r w:rsidRPr="007C17BD">
        <w:rPr>
          <w:lang w:val="en-GB"/>
        </w:rPr>
        <w:lastRenderedPageBreak/>
        <w:t xml:space="preserve">Exhibit 1: Details of Kaya </w:t>
      </w:r>
      <w:r w:rsidR="00DB5CEC" w:rsidRPr="007C17BD">
        <w:rPr>
          <w:lang w:val="en-GB"/>
        </w:rPr>
        <w:t>skin clinic</w:t>
      </w:r>
      <w:r w:rsidR="003B7DFC">
        <w:rPr>
          <w:lang w:val="en-GB"/>
        </w:rPr>
        <w:t>’</w:t>
      </w:r>
      <w:r w:rsidR="00DB5CEC" w:rsidRPr="007C17BD">
        <w:rPr>
          <w:lang w:val="en-GB"/>
        </w:rPr>
        <w:t xml:space="preserve">s </w:t>
      </w:r>
      <w:r w:rsidRPr="007C17BD">
        <w:rPr>
          <w:lang w:val="en-GB"/>
        </w:rPr>
        <w:t>Services</w:t>
      </w:r>
    </w:p>
    <w:p w14:paraId="641155EA" w14:textId="77777777" w:rsidR="001A09B2" w:rsidRPr="007C17BD" w:rsidRDefault="001A09B2" w:rsidP="001A09B2">
      <w:pPr>
        <w:pStyle w:val="ExhibitHeading"/>
        <w:rPr>
          <w:lang w:val="en-GB"/>
        </w:rPr>
      </w:pPr>
    </w:p>
    <w:tbl>
      <w:tblPr>
        <w:tblStyle w:val="TableGrid"/>
        <w:tblW w:w="0" w:type="auto"/>
        <w:tblInd w:w="198" w:type="dxa"/>
        <w:tblLook w:val="04A0" w:firstRow="1" w:lastRow="0" w:firstColumn="1" w:lastColumn="0" w:noHBand="0" w:noVBand="1"/>
      </w:tblPr>
      <w:tblGrid>
        <w:gridCol w:w="1887"/>
        <w:gridCol w:w="7265"/>
      </w:tblGrid>
      <w:tr w:rsidR="00CE001F" w:rsidRPr="007C17BD" w14:paraId="201AF3A4" w14:textId="77777777" w:rsidTr="00207A5A">
        <w:tc>
          <w:tcPr>
            <w:tcW w:w="1890" w:type="dxa"/>
          </w:tcPr>
          <w:p w14:paraId="4688305B" w14:textId="6416E9CF" w:rsidR="00CE001F" w:rsidRPr="007C17BD" w:rsidRDefault="00CE001F" w:rsidP="00CE001F">
            <w:pPr>
              <w:pStyle w:val="ExhibitText"/>
              <w:jc w:val="left"/>
              <w:rPr>
                <w:b/>
                <w:lang w:val="en-GB"/>
              </w:rPr>
            </w:pPr>
            <w:r w:rsidRPr="007C17BD">
              <w:rPr>
                <w:b/>
                <w:lang w:val="en-GB"/>
              </w:rPr>
              <w:t>Skin Beauty</w:t>
            </w:r>
          </w:p>
        </w:tc>
        <w:tc>
          <w:tcPr>
            <w:tcW w:w="7290" w:type="dxa"/>
          </w:tcPr>
          <w:p w14:paraId="71B3F716" w14:textId="0825A036" w:rsidR="00CE001F" w:rsidRPr="007C17BD" w:rsidRDefault="00CE001F" w:rsidP="00CE001F">
            <w:pPr>
              <w:pStyle w:val="ExhibitText"/>
              <w:rPr>
                <w:lang w:val="en-GB"/>
              </w:rPr>
            </w:pPr>
            <w:r w:rsidRPr="007C17BD">
              <w:rPr>
                <w:lang w:val="en-GB"/>
              </w:rPr>
              <w:t>Take care of skin affected by age, eating habits, dirt, and climatic changes</w:t>
            </w:r>
            <w:r w:rsidR="00BA7E76">
              <w:rPr>
                <w:lang w:val="en-GB"/>
              </w:rPr>
              <w:t>.</w:t>
            </w:r>
          </w:p>
        </w:tc>
      </w:tr>
      <w:tr w:rsidR="00CE001F" w:rsidRPr="007C17BD" w14:paraId="5A487E6F" w14:textId="77777777" w:rsidTr="00207A5A">
        <w:tc>
          <w:tcPr>
            <w:tcW w:w="1890" w:type="dxa"/>
          </w:tcPr>
          <w:p w14:paraId="45019CBD" w14:textId="5E14A933" w:rsidR="00CE001F" w:rsidRPr="007C17BD" w:rsidRDefault="00CE001F" w:rsidP="00CE001F">
            <w:pPr>
              <w:pStyle w:val="ExhibitText"/>
              <w:jc w:val="left"/>
              <w:rPr>
                <w:b/>
                <w:lang w:val="en-GB"/>
              </w:rPr>
            </w:pPr>
            <w:r w:rsidRPr="007C17BD">
              <w:rPr>
                <w:b/>
                <w:lang w:val="en-GB"/>
              </w:rPr>
              <w:t>Skin Concerns</w:t>
            </w:r>
          </w:p>
        </w:tc>
        <w:tc>
          <w:tcPr>
            <w:tcW w:w="7290" w:type="dxa"/>
          </w:tcPr>
          <w:p w14:paraId="69E6E768" w14:textId="267FF642" w:rsidR="00CE001F" w:rsidRPr="007C17BD" w:rsidRDefault="00CE001F" w:rsidP="00CE001F">
            <w:pPr>
              <w:pStyle w:val="ExhibitText"/>
              <w:rPr>
                <w:lang w:val="en-GB"/>
              </w:rPr>
            </w:pPr>
            <w:r w:rsidRPr="007C17BD">
              <w:rPr>
                <w:lang w:val="en-GB"/>
              </w:rPr>
              <w:t>Cure skin problem such as acne, pigmentation, pimples, and dark patches</w:t>
            </w:r>
            <w:r w:rsidR="00BA7E76">
              <w:rPr>
                <w:lang w:val="en-GB"/>
              </w:rPr>
              <w:t>.</w:t>
            </w:r>
          </w:p>
        </w:tc>
      </w:tr>
      <w:tr w:rsidR="00CE001F" w:rsidRPr="007C17BD" w14:paraId="6DEDF9A0" w14:textId="77777777" w:rsidTr="00207A5A">
        <w:tc>
          <w:tcPr>
            <w:tcW w:w="1890" w:type="dxa"/>
          </w:tcPr>
          <w:p w14:paraId="2A27599E" w14:textId="454C219C" w:rsidR="00CE001F" w:rsidRPr="007C17BD" w:rsidRDefault="00CE001F" w:rsidP="006A05E7">
            <w:pPr>
              <w:pStyle w:val="ExhibitText"/>
              <w:jc w:val="left"/>
              <w:rPr>
                <w:b/>
                <w:lang w:val="en-GB"/>
              </w:rPr>
            </w:pPr>
            <w:r w:rsidRPr="007C17BD">
              <w:rPr>
                <w:b/>
                <w:lang w:val="en-GB"/>
              </w:rPr>
              <w:t>Hair</w:t>
            </w:r>
            <w:r w:rsidR="00BA7E76">
              <w:rPr>
                <w:b/>
                <w:lang w:val="en-GB"/>
              </w:rPr>
              <w:t xml:space="preserve"> Removal</w:t>
            </w:r>
          </w:p>
        </w:tc>
        <w:tc>
          <w:tcPr>
            <w:tcW w:w="7290" w:type="dxa"/>
          </w:tcPr>
          <w:p w14:paraId="42A5CE73" w14:textId="16171620" w:rsidR="00CE001F" w:rsidRPr="007C17BD" w:rsidRDefault="00CE001F" w:rsidP="00CE001F">
            <w:pPr>
              <w:pStyle w:val="ExhibitText"/>
              <w:rPr>
                <w:lang w:val="en-GB"/>
              </w:rPr>
            </w:pPr>
            <w:r w:rsidRPr="007C17BD">
              <w:rPr>
                <w:lang w:val="en-GB"/>
              </w:rPr>
              <w:t>Remove hair using techniques such as waxing, threading, and recent technologies</w:t>
            </w:r>
            <w:r w:rsidR="00BA7E76">
              <w:rPr>
                <w:lang w:val="en-GB"/>
              </w:rPr>
              <w:t>.</w:t>
            </w:r>
          </w:p>
        </w:tc>
      </w:tr>
      <w:tr w:rsidR="00CE001F" w:rsidRPr="007C17BD" w14:paraId="5FE1BB79" w14:textId="77777777" w:rsidTr="00207A5A">
        <w:tc>
          <w:tcPr>
            <w:tcW w:w="1890" w:type="dxa"/>
          </w:tcPr>
          <w:p w14:paraId="5D8E65E3" w14:textId="374EC47F" w:rsidR="00CE001F" w:rsidRPr="007C17BD" w:rsidRDefault="00CE001F" w:rsidP="00CE001F">
            <w:pPr>
              <w:pStyle w:val="ExhibitText"/>
              <w:jc w:val="left"/>
              <w:rPr>
                <w:b/>
                <w:lang w:val="en-GB"/>
              </w:rPr>
            </w:pPr>
            <w:r w:rsidRPr="007C17BD">
              <w:rPr>
                <w:b/>
                <w:lang w:val="en-GB"/>
              </w:rPr>
              <w:t>Bridal Glow Package</w:t>
            </w:r>
          </w:p>
        </w:tc>
        <w:tc>
          <w:tcPr>
            <w:tcW w:w="7290" w:type="dxa"/>
          </w:tcPr>
          <w:p w14:paraId="3AE78B8F" w14:textId="0EB87C6E" w:rsidR="00CE001F" w:rsidRPr="007C17BD" w:rsidRDefault="00CE001F" w:rsidP="00CE001F">
            <w:pPr>
              <w:pStyle w:val="ExhibitText"/>
              <w:rPr>
                <w:lang w:val="en-GB"/>
              </w:rPr>
            </w:pPr>
            <w:r w:rsidRPr="007C17BD">
              <w:rPr>
                <w:lang w:val="en-GB"/>
              </w:rPr>
              <w:t>Make the skin beautiful by treating it as prescribed by dermatologists</w:t>
            </w:r>
            <w:r w:rsidR="00BA7E76">
              <w:rPr>
                <w:lang w:val="en-GB"/>
              </w:rPr>
              <w:t>.</w:t>
            </w:r>
          </w:p>
        </w:tc>
      </w:tr>
      <w:tr w:rsidR="00CE001F" w:rsidRPr="007C17BD" w14:paraId="775E9F13" w14:textId="77777777" w:rsidTr="00207A5A">
        <w:tc>
          <w:tcPr>
            <w:tcW w:w="1890" w:type="dxa"/>
          </w:tcPr>
          <w:p w14:paraId="71E1F895" w14:textId="63D5045E" w:rsidR="00CE001F" w:rsidRPr="007C17BD" w:rsidRDefault="00CE001F" w:rsidP="00CE001F">
            <w:pPr>
              <w:pStyle w:val="ExhibitText"/>
              <w:jc w:val="left"/>
              <w:rPr>
                <w:b/>
                <w:lang w:val="en-GB"/>
              </w:rPr>
            </w:pPr>
            <w:r w:rsidRPr="007C17BD">
              <w:rPr>
                <w:b/>
                <w:lang w:val="en-GB"/>
              </w:rPr>
              <w:t>Botox Shots</w:t>
            </w:r>
          </w:p>
        </w:tc>
        <w:tc>
          <w:tcPr>
            <w:tcW w:w="7290" w:type="dxa"/>
          </w:tcPr>
          <w:p w14:paraId="050A4DFD" w14:textId="14B23D82" w:rsidR="00CE001F" w:rsidRPr="007C17BD" w:rsidRDefault="00CE001F" w:rsidP="00CE001F">
            <w:pPr>
              <w:pStyle w:val="ExhibitText"/>
              <w:rPr>
                <w:lang w:val="en-GB"/>
              </w:rPr>
            </w:pPr>
            <w:r w:rsidRPr="007C17BD">
              <w:rPr>
                <w:lang w:val="en-GB"/>
              </w:rPr>
              <w:t xml:space="preserve">Cure many skin problems and return original beauty to the skin through a </w:t>
            </w:r>
            <w:r w:rsidR="007C17BD" w:rsidRPr="007C17BD">
              <w:rPr>
                <w:lang w:val="en-GB"/>
              </w:rPr>
              <w:t>Botox</w:t>
            </w:r>
            <w:r w:rsidRPr="007C17BD">
              <w:rPr>
                <w:lang w:val="en-GB"/>
              </w:rPr>
              <w:t xml:space="preserve"> treatment process</w:t>
            </w:r>
            <w:r w:rsidR="00BA7E76">
              <w:rPr>
                <w:lang w:val="en-GB"/>
              </w:rPr>
              <w:t>.</w:t>
            </w:r>
          </w:p>
        </w:tc>
      </w:tr>
    </w:tbl>
    <w:p w14:paraId="27449E4F" w14:textId="77777777" w:rsidR="00CE001F" w:rsidRPr="007C17BD" w:rsidRDefault="00CE001F" w:rsidP="001A09B2">
      <w:pPr>
        <w:pStyle w:val="ExhibitHeading"/>
        <w:rPr>
          <w:lang w:val="en-GB"/>
        </w:rPr>
      </w:pPr>
    </w:p>
    <w:p w14:paraId="146B510B" w14:textId="61FFEC4D" w:rsidR="001A09B2" w:rsidRPr="007C17BD" w:rsidRDefault="001022B9" w:rsidP="00207A5A">
      <w:pPr>
        <w:pStyle w:val="Footnote"/>
        <w:jc w:val="left"/>
        <w:rPr>
          <w:lang w:val="en-GB"/>
        </w:rPr>
      </w:pPr>
      <w:r w:rsidRPr="007C17BD">
        <w:rPr>
          <w:lang w:val="en-GB"/>
        </w:rPr>
        <w:t xml:space="preserve">Source: </w:t>
      </w:r>
      <w:r w:rsidR="00921037" w:rsidRPr="007C17BD">
        <w:rPr>
          <w:lang w:val="en-GB"/>
        </w:rPr>
        <w:t xml:space="preserve">Created by case authors based on </w:t>
      </w:r>
      <w:r w:rsidRPr="007C17BD">
        <w:rPr>
          <w:lang w:val="en-GB"/>
        </w:rPr>
        <w:t xml:space="preserve">Jennifer, </w:t>
      </w:r>
      <w:r w:rsidR="003B7DFC">
        <w:rPr>
          <w:lang w:val="en-GB"/>
        </w:rPr>
        <w:t>“</w:t>
      </w:r>
      <w:r w:rsidRPr="007C17BD">
        <w:rPr>
          <w:lang w:val="en-GB"/>
        </w:rPr>
        <w:t>Kaya Skin Clinic,</w:t>
      </w:r>
      <w:r w:rsidR="003B7DFC">
        <w:rPr>
          <w:lang w:val="en-GB"/>
        </w:rPr>
        <w:t>”</w:t>
      </w:r>
      <w:r w:rsidRPr="007C17BD">
        <w:rPr>
          <w:lang w:val="en-GB"/>
        </w:rPr>
        <w:t xml:space="preserve"> Beauty Tips Hub, March 31, 2012, accessed July 3, 2016, www.beautytipshub.com/skin-clinics/kaya-skin-clinic.html.</w:t>
      </w:r>
    </w:p>
    <w:p w14:paraId="7410C50C" w14:textId="77777777" w:rsidR="001A09B2" w:rsidRPr="007C17BD" w:rsidRDefault="001A09B2" w:rsidP="001A09B2">
      <w:pPr>
        <w:pStyle w:val="BodyTextMain"/>
        <w:rPr>
          <w:lang w:val="en-GB"/>
        </w:rPr>
      </w:pPr>
    </w:p>
    <w:p w14:paraId="61D1EBAF" w14:textId="77777777" w:rsidR="00E91F9C" w:rsidRPr="007C17BD" w:rsidRDefault="00E91F9C" w:rsidP="001A09B2">
      <w:pPr>
        <w:pStyle w:val="BodyTextMain"/>
        <w:rPr>
          <w:lang w:val="en-GB"/>
        </w:rPr>
      </w:pPr>
    </w:p>
    <w:p w14:paraId="42644416" w14:textId="7E3CE1ED" w:rsidR="001A09B2" w:rsidRPr="007C17BD" w:rsidRDefault="001A09B2" w:rsidP="001A09B2">
      <w:pPr>
        <w:pStyle w:val="ExhibitHeading"/>
        <w:rPr>
          <w:lang w:val="en-GB"/>
        </w:rPr>
      </w:pPr>
      <w:r w:rsidRPr="007C17BD">
        <w:rPr>
          <w:lang w:val="en-GB"/>
        </w:rPr>
        <w:t xml:space="preserve">Exhibit 2: Details of Kaya </w:t>
      </w:r>
      <w:r w:rsidR="00DB5CEC" w:rsidRPr="007C17BD">
        <w:rPr>
          <w:lang w:val="en-GB"/>
        </w:rPr>
        <w:t>skin clinic</w:t>
      </w:r>
      <w:r w:rsidR="003B7DFC">
        <w:rPr>
          <w:lang w:val="en-GB"/>
        </w:rPr>
        <w:t>’</w:t>
      </w:r>
      <w:r w:rsidR="00DB5CEC" w:rsidRPr="007C17BD">
        <w:rPr>
          <w:lang w:val="en-GB"/>
        </w:rPr>
        <w:t xml:space="preserve">s </w:t>
      </w:r>
      <w:r w:rsidRPr="007C17BD">
        <w:rPr>
          <w:lang w:val="en-GB"/>
        </w:rPr>
        <w:t xml:space="preserve">Retail Products </w:t>
      </w:r>
    </w:p>
    <w:p w14:paraId="1B94DB08" w14:textId="77777777" w:rsidR="001A09B2" w:rsidRPr="007C17BD" w:rsidRDefault="001A09B2" w:rsidP="001A09B2">
      <w:pPr>
        <w:pStyle w:val="BodyTextMain"/>
        <w:rPr>
          <w:lang w:val="en-GB"/>
        </w:rPr>
      </w:pPr>
    </w:p>
    <w:tbl>
      <w:tblPr>
        <w:tblW w:w="9227" w:type="dxa"/>
        <w:tblInd w:w="133" w:type="dxa"/>
        <w:tblLook w:val="04A0" w:firstRow="1" w:lastRow="0" w:firstColumn="1" w:lastColumn="0" w:noHBand="0" w:noVBand="1"/>
      </w:tblPr>
      <w:tblGrid>
        <w:gridCol w:w="1302"/>
        <w:gridCol w:w="1530"/>
        <w:gridCol w:w="1440"/>
        <w:gridCol w:w="1620"/>
        <w:gridCol w:w="1350"/>
        <w:gridCol w:w="1985"/>
      </w:tblGrid>
      <w:tr w:rsidR="001A09B2" w:rsidRPr="007C17BD" w14:paraId="44D995A6" w14:textId="77777777" w:rsidTr="00207A5A">
        <w:trPr>
          <w:trHeight w:val="315"/>
        </w:trPr>
        <w:tc>
          <w:tcPr>
            <w:tcW w:w="1302" w:type="dxa"/>
            <w:tcBorders>
              <w:top w:val="single" w:sz="4" w:space="0" w:color="auto"/>
              <w:left w:val="single" w:sz="4" w:space="0" w:color="auto"/>
              <w:bottom w:val="single" w:sz="4" w:space="0" w:color="auto"/>
              <w:right w:val="single" w:sz="4" w:space="0" w:color="auto"/>
            </w:tcBorders>
            <w:shd w:val="clear" w:color="auto" w:fill="auto"/>
            <w:noWrap/>
            <w:tcMar>
              <w:left w:w="43" w:type="dxa"/>
              <w:right w:w="43" w:type="dxa"/>
            </w:tcMar>
            <w:hideMark/>
          </w:tcPr>
          <w:p w14:paraId="38A38FFB" w14:textId="77777777" w:rsidR="001A09B2" w:rsidRPr="007C17BD" w:rsidRDefault="001A09B2" w:rsidP="00CE001F">
            <w:pPr>
              <w:pStyle w:val="BodyTextMain"/>
              <w:jc w:val="center"/>
              <w:rPr>
                <w:rFonts w:ascii="Arial" w:hAnsi="Arial" w:cs="Arial"/>
                <w:b/>
                <w:iCs/>
                <w:color w:val="000000"/>
                <w:sz w:val="20"/>
                <w:szCs w:val="20"/>
                <w:lang w:val="en-GB"/>
              </w:rPr>
            </w:pPr>
            <w:r w:rsidRPr="007C17BD">
              <w:rPr>
                <w:rFonts w:ascii="Arial" w:hAnsi="Arial" w:cs="Arial"/>
                <w:b/>
                <w:iCs/>
                <w:sz w:val="20"/>
                <w:szCs w:val="20"/>
                <w:lang w:val="en-GB"/>
              </w:rPr>
              <w:t>For Hair</w:t>
            </w:r>
          </w:p>
        </w:tc>
        <w:tc>
          <w:tcPr>
            <w:tcW w:w="1530" w:type="dxa"/>
            <w:tcBorders>
              <w:top w:val="single" w:sz="4" w:space="0" w:color="auto"/>
              <w:left w:val="single" w:sz="4" w:space="0" w:color="auto"/>
              <w:bottom w:val="single" w:sz="4" w:space="0" w:color="auto"/>
              <w:right w:val="single" w:sz="4" w:space="0" w:color="auto"/>
            </w:tcBorders>
            <w:shd w:val="clear" w:color="auto" w:fill="auto"/>
            <w:noWrap/>
            <w:tcMar>
              <w:left w:w="43" w:type="dxa"/>
              <w:right w:w="43" w:type="dxa"/>
            </w:tcMar>
            <w:hideMark/>
          </w:tcPr>
          <w:p w14:paraId="75D7745C" w14:textId="27546EDC" w:rsidR="001A09B2" w:rsidRPr="007C17BD" w:rsidRDefault="001A09B2" w:rsidP="00CE001F">
            <w:pPr>
              <w:pStyle w:val="BodyTextMain"/>
              <w:jc w:val="center"/>
              <w:rPr>
                <w:rFonts w:ascii="Arial" w:hAnsi="Arial" w:cs="Arial"/>
                <w:b/>
                <w:iCs/>
                <w:color w:val="000000"/>
                <w:sz w:val="20"/>
                <w:szCs w:val="20"/>
                <w:lang w:val="en-GB"/>
              </w:rPr>
            </w:pPr>
            <w:r w:rsidRPr="007C17BD">
              <w:rPr>
                <w:rFonts w:ascii="Arial" w:hAnsi="Arial" w:cs="Arial"/>
                <w:b/>
                <w:iCs/>
                <w:sz w:val="20"/>
                <w:szCs w:val="20"/>
                <w:lang w:val="en-GB"/>
              </w:rPr>
              <w:t>The Advance Range</w:t>
            </w:r>
          </w:p>
        </w:tc>
        <w:tc>
          <w:tcPr>
            <w:tcW w:w="1440" w:type="dxa"/>
            <w:tcBorders>
              <w:top w:val="single" w:sz="4" w:space="0" w:color="auto"/>
              <w:left w:val="single" w:sz="4" w:space="0" w:color="auto"/>
              <w:bottom w:val="single" w:sz="4" w:space="0" w:color="auto"/>
              <w:right w:val="single" w:sz="4" w:space="0" w:color="auto"/>
            </w:tcBorders>
            <w:shd w:val="clear" w:color="auto" w:fill="auto"/>
            <w:noWrap/>
            <w:tcMar>
              <w:left w:w="43" w:type="dxa"/>
              <w:right w:w="43" w:type="dxa"/>
            </w:tcMar>
            <w:hideMark/>
          </w:tcPr>
          <w:p w14:paraId="6597E801" w14:textId="77777777" w:rsidR="001A09B2" w:rsidRPr="007C17BD" w:rsidRDefault="001A09B2" w:rsidP="00CE001F">
            <w:pPr>
              <w:pStyle w:val="BodyTextMain"/>
              <w:jc w:val="center"/>
              <w:rPr>
                <w:rFonts w:ascii="Arial" w:hAnsi="Arial" w:cs="Arial"/>
                <w:b/>
                <w:iCs/>
                <w:color w:val="000000"/>
                <w:sz w:val="20"/>
                <w:szCs w:val="20"/>
                <w:lang w:val="en-GB"/>
              </w:rPr>
            </w:pPr>
            <w:r w:rsidRPr="007C17BD">
              <w:rPr>
                <w:rFonts w:ascii="Arial" w:hAnsi="Arial" w:cs="Arial"/>
                <w:b/>
                <w:iCs/>
                <w:sz w:val="20"/>
                <w:szCs w:val="20"/>
                <w:lang w:val="en-GB"/>
              </w:rPr>
              <w:t>Sensitive Range</w:t>
            </w:r>
          </w:p>
        </w:tc>
        <w:tc>
          <w:tcPr>
            <w:tcW w:w="1620" w:type="dxa"/>
            <w:tcBorders>
              <w:top w:val="single" w:sz="4" w:space="0" w:color="auto"/>
              <w:left w:val="single" w:sz="4" w:space="0" w:color="auto"/>
              <w:bottom w:val="single" w:sz="4" w:space="0" w:color="auto"/>
              <w:right w:val="single" w:sz="4" w:space="0" w:color="auto"/>
            </w:tcBorders>
            <w:shd w:val="clear" w:color="auto" w:fill="auto"/>
            <w:noWrap/>
            <w:tcMar>
              <w:left w:w="43" w:type="dxa"/>
              <w:right w:w="43" w:type="dxa"/>
            </w:tcMar>
            <w:hideMark/>
          </w:tcPr>
          <w:p w14:paraId="0FAC4E80" w14:textId="77777777" w:rsidR="001A09B2" w:rsidRPr="007C17BD" w:rsidRDefault="001A09B2" w:rsidP="00CE001F">
            <w:pPr>
              <w:pStyle w:val="BodyTextMain"/>
              <w:jc w:val="center"/>
              <w:rPr>
                <w:rFonts w:ascii="Arial" w:hAnsi="Arial" w:cs="Arial"/>
                <w:b/>
                <w:iCs/>
                <w:color w:val="000000"/>
                <w:sz w:val="20"/>
                <w:szCs w:val="20"/>
                <w:lang w:val="en-GB"/>
              </w:rPr>
            </w:pPr>
            <w:r w:rsidRPr="007C17BD">
              <w:rPr>
                <w:rFonts w:ascii="Arial" w:hAnsi="Arial" w:cs="Arial"/>
                <w:b/>
                <w:iCs/>
                <w:sz w:val="20"/>
                <w:szCs w:val="20"/>
                <w:lang w:val="en-GB"/>
              </w:rPr>
              <w:t>Ageless Range</w:t>
            </w:r>
          </w:p>
        </w:tc>
        <w:tc>
          <w:tcPr>
            <w:tcW w:w="1350" w:type="dxa"/>
            <w:tcBorders>
              <w:top w:val="single" w:sz="4" w:space="0" w:color="auto"/>
              <w:left w:val="single" w:sz="4" w:space="0" w:color="auto"/>
              <w:bottom w:val="single" w:sz="4" w:space="0" w:color="auto"/>
              <w:right w:val="single" w:sz="4" w:space="0" w:color="auto"/>
            </w:tcBorders>
            <w:shd w:val="clear" w:color="auto" w:fill="auto"/>
            <w:noWrap/>
            <w:tcMar>
              <w:left w:w="43" w:type="dxa"/>
              <w:right w:w="43" w:type="dxa"/>
            </w:tcMar>
            <w:hideMark/>
          </w:tcPr>
          <w:p w14:paraId="604C39B3" w14:textId="77777777" w:rsidR="001A09B2" w:rsidRPr="007C17BD" w:rsidRDefault="001A09B2" w:rsidP="00CE001F">
            <w:pPr>
              <w:pStyle w:val="BodyTextMain"/>
              <w:jc w:val="center"/>
              <w:rPr>
                <w:rFonts w:ascii="Arial" w:hAnsi="Arial" w:cs="Arial"/>
                <w:b/>
                <w:iCs/>
                <w:color w:val="000000"/>
                <w:sz w:val="20"/>
                <w:szCs w:val="20"/>
                <w:lang w:val="en-GB"/>
              </w:rPr>
            </w:pPr>
            <w:r w:rsidRPr="007C17BD">
              <w:rPr>
                <w:rFonts w:ascii="Arial" w:hAnsi="Arial" w:cs="Arial"/>
                <w:b/>
                <w:iCs/>
                <w:sz w:val="20"/>
                <w:szCs w:val="20"/>
                <w:lang w:val="en-GB"/>
              </w:rPr>
              <w:t>Fairness Range</w:t>
            </w:r>
          </w:p>
        </w:tc>
        <w:tc>
          <w:tcPr>
            <w:tcW w:w="1985" w:type="dxa"/>
            <w:tcBorders>
              <w:top w:val="single" w:sz="4" w:space="0" w:color="auto"/>
              <w:left w:val="single" w:sz="4" w:space="0" w:color="auto"/>
              <w:bottom w:val="single" w:sz="4" w:space="0" w:color="auto"/>
              <w:right w:val="single" w:sz="4" w:space="0" w:color="auto"/>
            </w:tcBorders>
            <w:shd w:val="clear" w:color="auto" w:fill="auto"/>
            <w:noWrap/>
            <w:tcMar>
              <w:left w:w="43" w:type="dxa"/>
              <w:right w:w="43" w:type="dxa"/>
            </w:tcMar>
            <w:hideMark/>
          </w:tcPr>
          <w:p w14:paraId="674E6084" w14:textId="77777777" w:rsidR="001A09B2" w:rsidRPr="007C17BD" w:rsidRDefault="001A09B2" w:rsidP="00CE001F">
            <w:pPr>
              <w:pStyle w:val="BodyTextMain"/>
              <w:jc w:val="center"/>
              <w:rPr>
                <w:rFonts w:ascii="Arial" w:hAnsi="Arial" w:cs="Arial"/>
                <w:b/>
                <w:iCs/>
                <w:color w:val="000000"/>
                <w:sz w:val="20"/>
                <w:szCs w:val="20"/>
                <w:lang w:val="en-GB"/>
              </w:rPr>
            </w:pPr>
            <w:r w:rsidRPr="007C17BD">
              <w:rPr>
                <w:rFonts w:ascii="Arial" w:hAnsi="Arial" w:cs="Arial"/>
                <w:b/>
                <w:iCs/>
                <w:sz w:val="20"/>
                <w:szCs w:val="20"/>
                <w:lang w:val="en-GB"/>
              </w:rPr>
              <w:t>Daily Care</w:t>
            </w:r>
          </w:p>
        </w:tc>
      </w:tr>
      <w:tr w:rsidR="001A09B2" w:rsidRPr="007C17BD" w14:paraId="3DDBC8E2" w14:textId="77777777" w:rsidTr="00207A5A">
        <w:trPr>
          <w:trHeight w:val="467"/>
        </w:trPr>
        <w:tc>
          <w:tcPr>
            <w:tcW w:w="1302" w:type="dxa"/>
            <w:tcBorders>
              <w:top w:val="single" w:sz="4" w:space="0" w:color="auto"/>
              <w:left w:val="single" w:sz="4" w:space="0" w:color="auto"/>
              <w:right w:val="single" w:sz="4" w:space="0" w:color="auto"/>
            </w:tcBorders>
            <w:shd w:val="clear" w:color="auto" w:fill="auto"/>
            <w:noWrap/>
            <w:tcMar>
              <w:left w:w="43" w:type="dxa"/>
              <w:right w:w="43" w:type="dxa"/>
            </w:tcMar>
            <w:hideMark/>
          </w:tcPr>
          <w:p w14:paraId="6A4ED825" w14:textId="158273C7" w:rsidR="001A09B2" w:rsidRPr="007C17BD" w:rsidRDefault="001A09B2" w:rsidP="00B52762">
            <w:pPr>
              <w:pStyle w:val="BodyTextMain"/>
              <w:jc w:val="left"/>
              <w:rPr>
                <w:rFonts w:ascii="Arial" w:hAnsi="Arial" w:cs="Arial"/>
                <w:color w:val="000000"/>
                <w:sz w:val="20"/>
                <w:szCs w:val="20"/>
                <w:lang w:val="en-GB"/>
              </w:rPr>
            </w:pPr>
            <w:r w:rsidRPr="007C17BD">
              <w:rPr>
                <w:rFonts w:ascii="Arial" w:hAnsi="Arial" w:cs="Arial"/>
                <w:sz w:val="20"/>
                <w:szCs w:val="20"/>
                <w:lang w:val="en-GB"/>
              </w:rPr>
              <w:t>Hair health gel</w:t>
            </w:r>
          </w:p>
        </w:tc>
        <w:tc>
          <w:tcPr>
            <w:tcW w:w="1530" w:type="dxa"/>
            <w:tcBorders>
              <w:top w:val="single" w:sz="4" w:space="0" w:color="auto"/>
              <w:left w:val="single" w:sz="4" w:space="0" w:color="auto"/>
              <w:right w:val="single" w:sz="4" w:space="0" w:color="auto"/>
            </w:tcBorders>
            <w:shd w:val="clear" w:color="auto" w:fill="auto"/>
            <w:noWrap/>
            <w:tcMar>
              <w:left w:w="43" w:type="dxa"/>
              <w:right w:w="43" w:type="dxa"/>
            </w:tcMar>
            <w:hideMark/>
          </w:tcPr>
          <w:p w14:paraId="6DC6F149" w14:textId="7DEF89F2" w:rsidR="001A09B2" w:rsidRPr="007C17BD" w:rsidRDefault="001A09B2" w:rsidP="00DB5CEC">
            <w:pPr>
              <w:pStyle w:val="BodyTextMain"/>
              <w:rPr>
                <w:rFonts w:ascii="Arial" w:hAnsi="Arial" w:cs="Arial"/>
                <w:color w:val="000000"/>
                <w:sz w:val="20"/>
                <w:szCs w:val="20"/>
                <w:lang w:val="en-GB"/>
              </w:rPr>
            </w:pPr>
            <w:r w:rsidRPr="007C17BD">
              <w:rPr>
                <w:rFonts w:ascii="Arial" w:hAnsi="Arial" w:cs="Arial"/>
                <w:sz w:val="20"/>
                <w:szCs w:val="20"/>
                <w:lang w:val="en-GB"/>
              </w:rPr>
              <w:t>Under</w:t>
            </w:r>
            <w:r w:rsidR="00DB5CEC" w:rsidRPr="007C17BD">
              <w:rPr>
                <w:rFonts w:ascii="Arial" w:hAnsi="Arial" w:cs="Arial"/>
                <w:sz w:val="20"/>
                <w:szCs w:val="20"/>
                <w:lang w:val="en-GB"/>
              </w:rPr>
              <w:t>-</w:t>
            </w:r>
            <w:r w:rsidRPr="007C17BD">
              <w:rPr>
                <w:rFonts w:ascii="Arial" w:hAnsi="Arial" w:cs="Arial"/>
                <w:sz w:val="20"/>
                <w:szCs w:val="20"/>
                <w:lang w:val="en-GB"/>
              </w:rPr>
              <w:t>eye gel</w:t>
            </w:r>
          </w:p>
        </w:tc>
        <w:tc>
          <w:tcPr>
            <w:tcW w:w="1440" w:type="dxa"/>
            <w:tcBorders>
              <w:top w:val="single" w:sz="4" w:space="0" w:color="auto"/>
              <w:left w:val="single" w:sz="4" w:space="0" w:color="auto"/>
              <w:right w:val="single" w:sz="4" w:space="0" w:color="auto"/>
            </w:tcBorders>
            <w:shd w:val="clear" w:color="auto" w:fill="auto"/>
            <w:noWrap/>
            <w:tcMar>
              <w:left w:w="43" w:type="dxa"/>
              <w:right w:w="43" w:type="dxa"/>
            </w:tcMar>
            <w:hideMark/>
          </w:tcPr>
          <w:p w14:paraId="0423624D" w14:textId="3DFB81FD" w:rsidR="001A09B2" w:rsidRPr="007C17BD" w:rsidRDefault="001A09B2" w:rsidP="00DB5CEC">
            <w:pPr>
              <w:pStyle w:val="BodyTextMain"/>
              <w:rPr>
                <w:rFonts w:ascii="Arial" w:hAnsi="Arial" w:cs="Arial"/>
                <w:color w:val="000000"/>
                <w:sz w:val="20"/>
                <w:szCs w:val="20"/>
                <w:lang w:val="en-GB"/>
              </w:rPr>
            </w:pPr>
            <w:r w:rsidRPr="007C17BD">
              <w:rPr>
                <w:rFonts w:ascii="Arial" w:hAnsi="Arial" w:cs="Arial"/>
                <w:sz w:val="20"/>
                <w:szCs w:val="20"/>
                <w:lang w:val="en-GB"/>
              </w:rPr>
              <w:t>Sensitive</w:t>
            </w:r>
            <w:r w:rsidR="00DB5CEC" w:rsidRPr="007C17BD">
              <w:rPr>
                <w:rFonts w:ascii="Arial" w:hAnsi="Arial" w:cs="Arial"/>
                <w:sz w:val="20"/>
                <w:szCs w:val="20"/>
                <w:lang w:val="en-GB"/>
              </w:rPr>
              <w:t>-</w:t>
            </w:r>
            <w:r w:rsidRPr="007C17BD">
              <w:rPr>
                <w:rFonts w:ascii="Arial" w:hAnsi="Arial" w:cs="Arial"/>
                <w:sz w:val="20"/>
                <w:szCs w:val="20"/>
                <w:lang w:val="en-GB"/>
              </w:rPr>
              <w:t>skin cleanser</w:t>
            </w:r>
          </w:p>
        </w:tc>
        <w:tc>
          <w:tcPr>
            <w:tcW w:w="1620" w:type="dxa"/>
            <w:tcBorders>
              <w:top w:val="single" w:sz="4" w:space="0" w:color="auto"/>
              <w:left w:val="single" w:sz="4" w:space="0" w:color="auto"/>
              <w:right w:val="single" w:sz="4" w:space="0" w:color="auto"/>
            </w:tcBorders>
            <w:shd w:val="clear" w:color="auto" w:fill="auto"/>
            <w:noWrap/>
            <w:tcMar>
              <w:left w:w="43" w:type="dxa"/>
              <w:right w:w="43" w:type="dxa"/>
            </w:tcMar>
            <w:hideMark/>
          </w:tcPr>
          <w:p w14:paraId="5C7EE349" w14:textId="1C58E1E6" w:rsidR="001A09B2" w:rsidRPr="007C17BD" w:rsidRDefault="001A09B2" w:rsidP="00207A5A">
            <w:pPr>
              <w:pStyle w:val="BodyTextMain"/>
              <w:jc w:val="left"/>
              <w:rPr>
                <w:rFonts w:ascii="Arial" w:hAnsi="Arial" w:cs="Arial"/>
                <w:color w:val="000000"/>
                <w:sz w:val="20"/>
                <w:szCs w:val="20"/>
                <w:lang w:val="en-GB"/>
              </w:rPr>
            </w:pPr>
            <w:r w:rsidRPr="007C17BD">
              <w:rPr>
                <w:rFonts w:ascii="Arial" w:hAnsi="Arial" w:cs="Arial"/>
                <w:sz w:val="20"/>
                <w:szCs w:val="20"/>
                <w:lang w:val="en-GB"/>
              </w:rPr>
              <w:t>Early defen</w:t>
            </w:r>
            <w:r w:rsidR="00DB5CEC" w:rsidRPr="007C17BD">
              <w:rPr>
                <w:rFonts w:ascii="Arial" w:hAnsi="Arial" w:cs="Arial"/>
                <w:sz w:val="20"/>
                <w:szCs w:val="20"/>
                <w:lang w:val="en-GB"/>
              </w:rPr>
              <w:t>c</w:t>
            </w:r>
            <w:r w:rsidRPr="007C17BD">
              <w:rPr>
                <w:rFonts w:ascii="Arial" w:hAnsi="Arial" w:cs="Arial"/>
                <w:sz w:val="20"/>
                <w:szCs w:val="20"/>
                <w:lang w:val="en-GB"/>
              </w:rPr>
              <w:t>e cream</w:t>
            </w:r>
          </w:p>
        </w:tc>
        <w:tc>
          <w:tcPr>
            <w:tcW w:w="1350" w:type="dxa"/>
            <w:tcBorders>
              <w:top w:val="single" w:sz="4" w:space="0" w:color="auto"/>
              <w:left w:val="single" w:sz="4" w:space="0" w:color="auto"/>
              <w:right w:val="single" w:sz="4" w:space="0" w:color="auto"/>
            </w:tcBorders>
            <w:shd w:val="clear" w:color="auto" w:fill="auto"/>
            <w:noWrap/>
            <w:tcMar>
              <w:left w:w="43" w:type="dxa"/>
              <w:right w:w="43" w:type="dxa"/>
            </w:tcMar>
            <w:hideMark/>
          </w:tcPr>
          <w:p w14:paraId="0AE25405" w14:textId="18DF028F" w:rsidR="001A09B2" w:rsidRPr="007C17BD" w:rsidRDefault="001A09B2" w:rsidP="007B2184">
            <w:pPr>
              <w:pStyle w:val="BodyTextMain"/>
              <w:rPr>
                <w:rFonts w:ascii="Arial" w:hAnsi="Arial" w:cs="Arial"/>
                <w:color w:val="000000"/>
                <w:sz w:val="20"/>
                <w:szCs w:val="20"/>
                <w:lang w:val="en-GB"/>
              </w:rPr>
            </w:pPr>
            <w:r w:rsidRPr="007C17BD">
              <w:rPr>
                <w:rFonts w:ascii="Arial" w:hAnsi="Arial" w:cs="Arial"/>
                <w:sz w:val="20"/>
                <w:szCs w:val="20"/>
                <w:lang w:val="en-GB"/>
              </w:rPr>
              <w:t>Nourishing day cream</w:t>
            </w:r>
          </w:p>
        </w:tc>
        <w:tc>
          <w:tcPr>
            <w:tcW w:w="1985" w:type="dxa"/>
            <w:tcBorders>
              <w:top w:val="single" w:sz="4" w:space="0" w:color="auto"/>
              <w:left w:val="single" w:sz="4" w:space="0" w:color="auto"/>
              <w:right w:val="single" w:sz="4" w:space="0" w:color="auto"/>
            </w:tcBorders>
            <w:shd w:val="clear" w:color="auto" w:fill="auto"/>
            <w:noWrap/>
            <w:tcMar>
              <w:left w:w="43" w:type="dxa"/>
              <w:right w:w="43" w:type="dxa"/>
            </w:tcMar>
            <w:hideMark/>
          </w:tcPr>
          <w:p w14:paraId="27BDF7E5" w14:textId="3E71DECC" w:rsidR="001A09B2" w:rsidRPr="007C17BD" w:rsidRDefault="001A09B2" w:rsidP="00207A5A">
            <w:pPr>
              <w:pStyle w:val="BodyTextMain"/>
              <w:jc w:val="left"/>
              <w:rPr>
                <w:rFonts w:ascii="Arial" w:hAnsi="Arial" w:cs="Arial"/>
                <w:color w:val="000000"/>
                <w:sz w:val="20"/>
                <w:szCs w:val="20"/>
                <w:lang w:val="en-GB"/>
              </w:rPr>
            </w:pPr>
            <w:r w:rsidRPr="007C17BD">
              <w:rPr>
                <w:rFonts w:ascii="Arial" w:hAnsi="Arial" w:cs="Arial"/>
                <w:sz w:val="20"/>
                <w:szCs w:val="20"/>
                <w:lang w:val="en-GB"/>
              </w:rPr>
              <w:t>Daily moisturizing sunscreen</w:t>
            </w:r>
          </w:p>
        </w:tc>
      </w:tr>
      <w:tr w:rsidR="001A09B2" w:rsidRPr="007C17BD" w14:paraId="09711142" w14:textId="77777777" w:rsidTr="00207A5A">
        <w:trPr>
          <w:trHeight w:val="315"/>
        </w:trPr>
        <w:tc>
          <w:tcPr>
            <w:tcW w:w="1302" w:type="dxa"/>
            <w:tcBorders>
              <w:left w:val="single" w:sz="4" w:space="0" w:color="auto"/>
              <w:right w:val="single" w:sz="4" w:space="0" w:color="auto"/>
            </w:tcBorders>
            <w:shd w:val="clear" w:color="auto" w:fill="auto"/>
            <w:noWrap/>
            <w:tcMar>
              <w:left w:w="43" w:type="dxa"/>
              <w:right w:w="43" w:type="dxa"/>
            </w:tcMar>
            <w:hideMark/>
          </w:tcPr>
          <w:p w14:paraId="33B664E3" w14:textId="317D1073" w:rsidR="001A09B2" w:rsidRPr="007C17BD" w:rsidRDefault="001A09B2" w:rsidP="00B52762">
            <w:pPr>
              <w:pStyle w:val="BodyTextMain"/>
              <w:jc w:val="left"/>
              <w:rPr>
                <w:rFonts w:ascii="Arial" w:hAnsi="Arial" w:cs="Arial"/>
                <w:color w:val="000000"/>
                <w:sz w:val="20"/>
                <w:szCs w:val="20"/>
                <w:lang w:val="en-GB"/>
              </w:rPr>
            </w:pPr>
            <w:r w:rsidRPr="007C17BD">
              <w:rPr>
                <w:rFonts w:ascii="Arial" w:hAnsi="Arial" w:cs="Arial"/>
                <w:sz w:val="20"/>
                <w:szCs w:val="20"/>
                <w:lang w:val="en-GB"/>
              </w:rPr>
              <w:t>Nourishing shampoo</w:t>
            </w:r>
          </w:p>
        </w:tc>
        <w:tc>
          <w:tcPr>
            <w:tcW w:w="1530" w:type="dxa"/>
            <w:tcBorders>
              <w:left w:val="single" w:sz="4" w:space="0" w:color="auto"/>
              <w:right w:val="single" w:sz="4" w:space="0" w:color="auto"/>
            </w:tcBorders>
            <w:shd w:val="clear" w:color="auto" w:fill="auto"/>
            <w:noWrap/>
            <w:tcMar>
              <w:left w:w="43" w:type="dxa"/>
              <w:right w:w="43" w:type="dxa"/>
            </w:tcMar>
            <w:hideMark/>
          </w:tcPr>
          <w:p w14:paraId="774929AF" w14:textId="0D14C5DB" w:rsidR="001A09B2" w:rsidRPr="007C17BD" w:rsidRDefault="001A09B2" w:rsidP="00DB5CEC">
            <w:pPr>
              <w:pStyle w:val="BodyTextMain"/>
              <w:rPr>
                <w:rFonts w:ascii="Arial" w:hAnsi="Arial" w:cs="Arial"/>
                <w:color w:val="000000"/>
                <w:sz w:val="20"/>
                <w:szCs w:val="20"/>
                <w:lang w:val="en-GB"/>
              </w:rPr>
            </w:pPr>
            <w:r w:rsidRPr="007C17BD">
              <w:rPr>
                <w:rFonts w:ascii="Arial" w:hAnsi="Arial" w:cs="Arial"/>
                <w:sz w:val="20"/>
                <w:szCs w:val="20"/>
                <w:lang w:val="en-GB"/>
              </w:rPr>
              <w:t>Pigmentation</w:t>
            </w:r>
            <w:r w:rsidR="00DB5CEC" w:rsidRPr="007C17BD">
              <w:rPr>
                <w:rFonts w:ascii="Arial" w:hAnsi="Arial" w:cs="Arial"/>
                <w:sz w:val="20"/>
                <w:szCs w:val="20"/>
                <w:lang w:val="en-GB"/>
              </w:rPr>
              <w:t>-</w:t>
            </w:r>
            <w:r w:rsidRPr="007C17BD">
              <w:rPr>
                <w:rFonts w:ascii="Arial" w:hAnsi="Arial" w:cs="Arial"/>
                <w:sz w:val="20"/>
                <w:szCs w:val="20"/>
                <w:lang w:val="en-GB"/>
              </w:rPr>
              <w:t>reducer gel</w:t>
            </w:r>
          </w:p>
        </w:tc>
        <w:tc>
          <w:tcPr>
            <w:tcW w:w="1440" w:type="dxa"/>
            <w:tcBorders>
              <w:left w:val="single" w:sz="4" w:space="0" w:color="auto"/>
              <w:right w:val="single" w:sz="4" w:space="0" w:color="auto"/>
            </w:tcBorders>
            <w:shd w:val="clear" w:color="auto" w:fill="auto"/>
            <w:noWrap/>
            <w:tcMar>
              <w:left w:w="43" w:type="dxa"/>
              <w:right w:w="43" w:type="dxa"/>
            </w:tcMar>
            <w:hideMark/>
          </w:tcPr>
          <w:p w14:paraId="4CD11AE1" w14:textId="54F7E7B4" w:rsidR="001A09B2" w:rsidRPr="007C17BD" w:rsidRDefault="001A09B2" w:rsidP="00DB5CEC">
            <w:pPr>
              <w:pStyle w:val="BodyTextMain"/>
              <w:rPr>
                <w:rFonts w:ascii="Arial" w:hAnsi="Arial" w:cs="Arial"/>
                <w:color w:val="000000"/>
                <w:sz w:val="20"/>
                <w:szCs w:val="20"/>
                <w:lang w:val="en-GB"/>
              </w:rPr>
            </w:pPr>
            <w:r w:rsidRPr="007C17BD">
              <w:rPr>
                <w:rFonts w:ascii="Arial" w:hAnsi="Arial" w:cs="Arial"/>
                <w:sz w:val="20"/>
                <w:szCs w:val="20"/>
                <w:lang w:val="en-GB"/>
              </w:rPr>
              <w:t>Sensitive</w:t>
            </w:r>
            <w:r w:rsidR="00DB5CEC" w:rsidRPr="007C17BD">
              <w:rPr>
                <w:rFonts w:ascii="Arial" w:hAnsi="Arial" w:cs="Arial"/>
                <w:sz w:val="20"/>
                <w:szCs w:val="20"/>
                <w:lang w:val="en-GB"/>
              </w:rPr>
              <w:t>-</w:t>
            </w:r>
            <w:r w:rsidRPr="007C17BD">
              <w:rPr>
                <w:rFonts w:ascii="Arial" w:hAnsi="Arial" w:cs="Arial"/>
                <w:sz w:val="20"/>
                <w:szCs w:val="20"/>
                <w:lang w:val="en-GB"/>
              </w:rPr>
              <w:t>skin sunscreen</w:t>
            </w:r>
          </w:p>
        </w:tc>
        <w:tc>
          <w:tcPr>
            <w:tcW w:w="1620" w:type="dxa"/>
            <w:tcBorders>
              <w:left w:val="single" w:sz="4" w:space="0" w:color="auto"/>
              <w:right w:val="single" w:sz="4" w:space="0" w:color="auto"/>
            </w:tcBorders>
            <w:shd w:val="clear" w:color="auto" w:fill="auto"/>
            <w:noWrap/>
            <w:tcMar>
              <w:left w:w="43" w:type="dxa"/>
              <w:right w:w="43" w:type="dxa"/>
            </w:tcMar>
            <w:hideMark/>
          </w:tcPr>
          <w:p w14:paraId="0D0110C5" w14:textId="77498AC4" w:rsidR="001A09B2" w:rsidRPr="007C17BD" w:rsidRDefault="001A09B2" w:rsidP="00207A5A">
            <w:pPr>
              <w:pStyle w:val="BodyTextMain"/>
              <w:jc w:val="left"/>
              <w:rPr>
                <w:rFonts w:ascii="Arial" w:hAnsi="Arial" w:cs="Arial"/>
                <w:color w:val="000000"/>
                <w:sz w:val="20"/>
                <w:szCs w:val="20"/>
                <w:lang w:val="en-GB"/>
              </w:rPr>
            </w:pPr>
            <w:r w:rsidRPr="007C17BD">
              <w:rPr>
                <w:rFonts w:ascii="Arial" w:hAnsi="Arial" w:cs="Arial"/>
                <w:sz w:val="20"/>
                <w:szCs w:val="20"/>
                <w:lang w:val="en-GB"/>
              </w:rPr>
              <w:t>Revive</w:t>
            </w:r>
            <w:r w:rsidR="00DB5CEC" w:rsidRPr="007C17BD">
              <w:rPr>
                <w:rFonts w:ascii="Arial" w:hAnsi="Arial" w:cs="Arial"/>
                <w:sz w:val="20"/>
                <w:szCs w:val="20"/>
                <w:lang w:val="en-GB"/>
              </w:rPr>
              <w:t>-</w:t>
            </w:r>
            <w:r w:rsidRPr="007C17BD">
              <w:rPr>
                <w:rFonts w:ascii="Arial" w:hAnsi="Arial" w:cs="Arial"/>
                <w:sz w:val="20"/>
                <w:szCs w:val="20"/>
                <w:lang w:val="en-GB"/>
              </w:rPr>
              <w:t>and</w:t>
            </w:r>
            <w:r w:rsidR="00DB5CEC" w:rsidRPr="007C17BD">
              <w:rPr>
                <w:rFonts w:ascii="Arial" w:hAnsi="Arial" w:cs="Arial"/>
                <w:sz w:val="20"/>
                <w:szCs w:val="20"/>
                <w:lang w:val="en-GB"/>
              </w:rPr>
              <w:t>-</w:t>
            </w:r>
            <w:r w:rsidRPr="007C17BD">
              <w:rPr>
                <w:rFonts w:ascii="Arial" w:hAnsi="Arial" w:cs="Arial"/>
                <w:sz w:val="20"/>
                <w:szCs w:val="20"/>
                <w:lang w:val="en-GB"/>
              </w:rPr>
              <w:t>firm gel</w:t>
            </w:r>
          </w:p>
        </w:tc>
        <w:tc>
          <w:tcPr>
            <w:tcW w:w="1350" w:type="dxa"/>
            <w:tcBorders>
              <w:left w:val="single" w:sz="4" w:space="0" w:color="auto"/>
              <w:right w:val="single" w:sz="4" w:space="0" w:color="auto"/>
            </w:tcBorders>
            <w:shd w:val="clear" w:color="auto" w:fill="auto"/>
            <w:noWrap/>
            <w:tcMar>
              <w:left w:w="43" w:type="dxa"/>
              <w:right w:w="43" w:type="dxa"/>
            </w:tcMar>
            <w:hideMark/>
          </w:tcPr>
          <w:p w14:paraId="7CECFFAC" w14:textId="5B5D7291" w:rsidR="001A09B2" w:rsidRPr="007C17BD" w:rsidRDefault="001A09B2" w:rsidP="007B2184">
            <w:pPr>
              <w:pStyle w:val="BodyTextMain"/>
              <w:rPr>
                <w:rFonts w:ascii="Arial" w:hAnsi="Arial" w:cs="Arial"/>
                <w:color w:val="000000"/>
                <w:sz w:val="20"/>
                <w:szCs w:val="20"/>
                <w:lang w:val="en-GB"/>
              </w:rPr>
            </w:pPr>
            <w:r w:rsidRPr="007C17BD">
              <w:rPr>
                <w:rFonts w:ascii="Arial" w:hAnsi="Arial" w:cs="Arial"/>
                <w:sz w:val="20"/>
                <w:szCs w:val="20"/>
                <w:lang w:val="en-GB"/>
              </w:rPr>
              <w:t>Nourishing night cream</w:t>
            </w:r>
          </w:p>
        </w:tc>
        <w:tc>
          <w:tcPr>
            <w:tcW w:w="1985" w:type="dxa"/>
            <w:tcBorders>
              <w:left w:val="single" w:sz="4" w:space="0" w:color="auto"/>
              <w:right w:val="single" w:sz="4" w:space="0" w:color="auto"/>
            </w:tcBorders>
            <w:shd w:val="clear" w:color="auto" w:fill="auto"/>
            <w:noWrap/>
            <w:tcMar>
              <w:left w:w="43" w:type="dxa"/>
              <w:right w:w="43" w:type="dxa"/>
            </w:tcMar>
            <w:hideMark/>
          </w:tcPr>
          <w:p w14:paraId="2B196CD6" w14:textId="2B011E23" w:rsidR="001A09B2" w:rsidRPr="007C17BD" w:rsidRDefault="001A09B2" w:rsidP="00207A5A">
            <w:pPr>
              <w:pStyle w:val="BodyTextMain"/>
              <w:jc w:val="left"/>
              <w:rPr>
                <w:rFonts w:ascii="Arial" w:hAnsi="Arial" w:cs="Arial"/>
                <w:color w:val="000000"/>
                <w:sz w:val="20"/>
                <w:szCs w:val="20"/>
                <w:lang w:val="en-GB"/>
              </w:rPr>
            </w:pPr>
            <w:r w:rsidRPr="007C17BD">
              <w:rPr>
                <w:rFonts w:ascii="Arial" w:hAnsi="Arial" w:cs="Arial"/>
                <w:sz w:val="20"/>
                <w:szCs w:val="20"/>
                <w:lang w:val="en-GB"/>
              </w:rPr>
              <w:t>Soothing cleansing gel</w:t>
            </w:r>
          </w:p>
        </w:tc>
      </w:tr>
      <w:tr w:rsidR="001A09B2" w:rsidRPr="007C17BD" w14:paraId="52B01C8B" w14:textId="77777777" w:rsidTr="00207A5A">
        <w:trPr>
          <w:trHeight w:val="378"/>
        </w:trPr>
        <w:tc>
          <w:tcPr>
            <w:tcW w:w="1302" w:type="dxa"/>
            <w:tcBorders>
              <w:left w:val="single" w:sz="4" w:space="0" w:color="auto"/>
              <w:right w:val="single" w:sz="4" w:space="0" w:color="auto"/>
            </w:tcBorders>
            <w:shd w:val="clear" w:color="auto" w:fill="auto"/>
            <w:noWrap/>
            <w:tcMar>
              <w:left w:w="43" w:type="dxa"/>
              <w:right w:w="43" w:type="dxa"/>
            </w:tcMar>
            <w:hideMark/>
          </w:tcPr>
          <w:p w14:paraId="51AFB757" w14:textId="64EDE90C" w:rsidR="001A09B2" w:rsidRPr="007C17BD" w:rsidRDefault="001A09B2" w:rsidP="00B52762">
            <w:pPr>
              <w:pStyle w:val="BodyTextMain"/>
              <w:jc w:val="left"/>
              <w:rPr>
                <w:rFonts w:ascii="Arial" w:hAnsi="Arial" w:cs="Arial"/>
                <w:color w:val="000000"/>
                <w:sz w:val="20"/>
                <w:szCs w:val="20"/>
                <w:lang w:val="en-GB"/>
              </w:rPr>
            </w:pPr>
            <w:r w:rsidRPr="007C17BD">
              <w:rPr>
                <w:rFonts w:ascii="Arial" w:hAnsi="Arial" w:cs="Arial"/>
                <w:sz w:val="20"/>
                <w:szCs w:val="20"/>
                <w:lang w:val="en-GB"/>
              </w:rPr>
              <w:t>Anti-dandruff lotion</w:t>
            </w:r>
          </w:p>
        </w:tc>
        <w:tc>
          <w:tcPr>
            <w:tcW w:w="1530" w:type="dxa"/>
            <w:tcBorders>
              <w:left w:val="single" w:sz="4" w:space="0" w:color="auto"/>
              <w:right w:val="single" w:sz="4" w:space="0" w:color="auto"/>
            </w:tcBorders>
            <w:shd w:val="clear" w:color="auto" w:fill="auto"/>
            <w:noWrap/>
            <w:tcMar>
              <w:left w:w="43" w:type="dxa"/>
              <w:right w:w="43" w:type="dxa"/>
            </w:tcMar>
            <w:hideMark/>
          </w:tcPr>
          <w:p w14:paraId="5D195E71" w14:textId="5AA189BF" w:rsidR="001A09B2" w:rsidRPr="007C17BD" w:rsidRDefault="001A09B2" w:rsidP="00DB5CEC">
            <w:pPr>
              <w:pStyle w:val="BodyTextMain"/>
              <w:rPr>
                <w:rFonts w:ascii="Arial" w:hAnsi="Arial" w:cs="Arial"/>
                <w:sz w:val="20"/>
                <w:szCs w:val="20"/>
                <w:lang w:val="en-GB"/>
              </w:rPr>
            </w:pPr>
            <w:r w:rsidRPr="007C17BD">
              <w:rPr>
                <w:rFonts w:ascii="Arial" w:hAnsi="Arial" w:cs="Arial"/>
                <w:sz w:val="20"/>
                <w:szCs w:val="20"/>
                <w:lang w:val="en-GB"/>
              </w:rPr>
              <w:t>Pimple</w:t>
            </w:r>
            <w:r w:rsidR="00DB5CEC" w:rsidRPr="007C17BD">
              <w:rPr>
                <w:rFonts w:ascii="Arial" w:hAnsi="Arial" w:cs="Arial"/>
                <w:sz w:val="20"/>
                <w:szCs w:val="20"/>
                <w:lang w:val="en-GB"/>
              </w:rPr>
              <w:t>-</w:t>
            </w:r>
            <w:r w:rsidRPr="007C17BD">
              <w:rPr>
                <w:rFonts w:ascii="Arial" w:hAnsi="Arial" w:cs="Arial"/>
                <w:sz w:val="20"/>
                <w:szCs w:val="20"/>
                <w:lang w:val="en-GB"/>
              </w:rPr>
              <w:t>free cream</w:t>
            </w:r>
          </w:p>
        </w:tc>
        <w:tc>
          <w:tcPr>
            <w:tcW w:w="1440" w:type="dxa"/>
            <w:tcBorders>
              <w:left w:val="single" w:sz="4" w:space="0" w:color="auto"/>
              <w:right w:val="single" w:sz="4" w:space="0" w:color="auto"/>
            </w:tcBorders>
            <w:shd w:val="clear" w:color="auto" w:fill="auto"/>
          </w:tcPr>
          <w:p w14:paraId="31490D16" w14:textId="77777777" w:rsidR="001A09B2" w:rsidRPr="007C17BD" w:rsidRDefault="001A09B2" w:rsidP="007B2184">
            <w:pPr>
              <w:pStyle w:val="BodyTextMain"/>
              <w:rPr>
                <w:rFonts w:ascii="Arial" w:hAnsi="Arial" w:cs="Arial"/>
                <w:color w:val="000000"/>
                <w:sz w:val="20"/>
                <w:szCs w:val="20"/>
                <w:lang w:val="en-GB"/>
              </w:rPr>
            </w:pPr>
            <w:r w:rsidRPr="007C17BD">
              <w:rPr>
                <w:rFonts w:ascii="Arial" w:hAnsi="Arial" w:cs="Arial"/>
                <w:sz w:val="20"/>
                <w:szCs w:val="20"/>
                <w:lang w:val="en-GB"/>
              </w:rPr>
              <w:t xml:space="preserve"> </w:t>
            </w:r>
          </w:p>
        </w:tc>
        <w:tc>
          <w:tcPr>
            <w:tcW w:w="1620" w:type="dxa"/>
            <w:tcBorders>
              <w:left w:val="single" w:sz="4" w:space="0" w:color="auto"/>
              <w:right w:val="single" w:sz="4" w:space="0" w:color="auto"/>
            </w:tcBorders>
            <w:shd w:val="clear" w:color="auto" w:fill="auto"/>
            <w:noWrap/>
            <w:tcMar>
              <w:left w:w="43" w:type="dxa"/>
              <w:right w:w="43" w:type="dxa"/>
            </w:tcMar>
            <w:hideMark/>
          </w:tcPr>
          <w:p w14:paraId="5A87DE61" w14:textId="427ACFBA" w:rsidR="001A09B2" w:rsidRPr="007C17BD" w:rsidRDefault="001A09B2" w:rsidP="00207A5A">
            <w:pPr>
              <w:pStyle w:val="BodyTextMain"/>
              <w:jc w:val="left"/>
              <w:rPr>
                <w:rFonts w:ascii="Arial" w:hAnsi="Arial" w:cs="Arial"/>
                <w:color w:val="000000"/>
                <w:sz w:val="20"/>
                <w:szCs w:val="20"/>
                <w:lang w:val="en-GB"/>
              </w:rPr>
            </w:pPr>
            <w:r w:rsidRPr="007C17BD">
              <w:rPr>
                <w:rFonts w:ascii="Arial" w:hAnsi="Arial" w:cs="Arial"/>
                <w:sz w:val="20"/>
                <w:szCs w:val="20"/>
                <w:lang w:val="en-GB"/>
              </w:rPr>
              <w:t>Sensitive</w:t>
            </w:r>
            <w:r w:rsidR="00DB5CEC" w:rsidRPr="007C17BD">
              <w:rPr>
                <w:rFonts w:ascii="Arial" w:hAnsi="Arial" w:cs="Arial"/>
                <w:sz w:val="20"/>
                <w:szCs w:val="20"/>
                <w:lang w:val="en-GB"/>
              </w:rPr>
              <w:t>-</w:t>
            </w:r>
            <w:r w:rsidRPr="007C17BD">
              <w:rPr>
                <w:rFonts w:ascii="Arial" w:hAnsi="Arial" w:cs="Arial"/>
                <w:sz w:val="20"/>
                <w:szCs w:val="20"/>
                <w:lang w:val="en-GB"/>
              </w:rPr>
              <w:t>skin moisturizer</w:t>
            </w:r>
          </w:p>
        </w:tc>
        <w:tc>
          <w:tcPr>
            <w:tcW w:w="1350" w:type="dxa"/>
            <w:tcBorders>
              <w:left w:val="single" w:sz="4" w:space="0" w:color="auto"/>
              <w:right w:val="single" w:sz="4" w:space="0" w:color="auto"/>
            </w:tcBorders>
            <w:shd w:val="clear" w:color="auto" w:fill="auto"/>
            <w:noWrap/>
            <w:tcMar>
              <w:left w:w="43" w:type="dxa"/>
              <w:right w:w="43" w:type="dxa"/>
            </w:tcMar>
            <w:hideMark/>
          </w:tcPr>
          <w:p w14:paraId="296B23D4" w14:textId="7C7FE451" w:rsidR="001A09B2" w:rsidRPr="007C17BD" w:rsidRDefault="001A09B2" w:rsidP="007B2184">
            <w:pPr>
              <w:pStyle w:val="BodyTextMain"/>
              <w:rPr>
                <w:rFonts w:ascii="Arial" w:hAnsi="Arial" w:cs="Arial"/>
                <w:color w:val="000000"/>
                <w:sz w:val="20"/>
                <w:szCs w:val="20"/>
                <w:lang w:val="en-GB"/>
              </w:rPr>
            </w:pPr>
            <w:r w:rsidRPr="007C17BD">
              <w:rPr>
                <w:rFonts w:ascii="Arial" w:hAnsi="Arial" w:cs="Arial"/>
                <w:sz w:val="20"/>
                <w:szCs w:val="20"/>
                <w:lang w:val="en-GB"/>
              </w:rPr>
              <w:t>Cleanser</w:t>
            </w:r>
          </w:p>
        </w:tc>
        <w:tc>
          <w:tcPr>
            <w:tcW w:w="1985" w:type="dxa"/>
            <w:tcBorders>
              <w:left w:val="single" w:sz="4" w:space="0" w:color="auto"/>
              <w:right w:val="single" w:sz="4" w:space="0" w:color="auto"/>
            </w:tcBorders>
            <w:shd w:val="clear" w:color="auto" w:fill="auto"/>
            <w:noWrap/>
            <w:tcMar>
              <w:left w:w="43" w:type="dxa"/>
              <w:right w:w="43" w:type="dxa"/>
            </w:tcMar>
            <w:hideMark/>
          </w:tcPr>
          <w:p w14:paraId="0E4A47C6" w14:textId="74E37C7E" w:rsidR="001A09B2" w:rsidRPr="007C17BD" w:rsidRDefault="001A09B2" w:rsidP="00207A5A">
            <w:pPr>
              <w:pStyle w:val="BodyTextMain"/>
              <w:jc w:val="left"/>
              <w:rPr>
                <w:rFonts w:ascii="Arial" w:hAnsi="Arial" w:cs="Arial"/>
                <w:color w:val="000000"/>
                <w:sz w:val="20"/>
                <w:szCs w:val="20"/>
                <w:lang w:val="en-GB"/>
              </w:rPr>
            </w:pPr>
            <w:r w:rsidRPr="007C17BD">
              <w:rPr>
                <w:rFonts w:ascii="Arial" w:hAnsi="Arial" w:cs="Arial"/>
                <w:sz w:val="20"/>
                <w:szCs w:val="20"/>
                <w:lang w:val="en-GB"/>
              </w:rPr>
              <w:t>Daily</w:t>
            </w:r>
            <w:r w:rsidR="00DB5CEC" w:rsidRPr="007C17BD">
              <w:rPr>
                <w:rFonts w:ascii="Arial" w:hAnsi="Arial" w:cs="Arial"/>
                <w:sz w:val="20"/>
                <w:szCs w:val="20"/>
                <w:lang w:val="en-GB"/>
              </w:rPr>
              <w:t>-</w:t>
            </w:r>
            <w:r w:rsidRPr="007C17BD">
              <w:rPr>
                <w:rFonts w:ascii="Arial" w:hAnsi="Arial" w:cs="Arial"/>
                <w:sz w:val="20"/>
                <w:szCs w:val="20"/>
                <w:lang w:val="en-GB"/>
              </w:rPr>
              <w:t>use sunscreen</w:t>
            </w:r>
          </w:p>
        </w:tc>
      </w:tr>
      <w:tr w:rsidR="001A09B2" w:rsidRPr="007C17BD" w14:paraId="1D28A909" w14:textId="77777777" w:rsidTr="00207A5A">
        <w:trPr>
          <w:trHeight w:val="315"/>
        </w:trPr>
        <w:tc>
          <w:tcPr>
            <w:tcW w:w="1302" w:type="dxa"/>
            <w:tcBorders>
              <w:left w:val="single" w:sz="4" w:space="0" w:color="auto"/>
              <w:right w:val="single" w:sz="4" w:space="0" w:color="auto"/>
            </w:tcBorders>
            <w:shd w:val="clear" w:color="auto" w:fill="auto"/>
            <w:noWrap/>
            <w:tcMar>
              <w:left w:w="43" w:type="dxa"/>
              <w:right w:w="43" w:type="dxa"/>
            </w:tcMar>
            <w:hideMark/>
          </w:tcPr>
          <w:p w14:paraId="4943E161" w14:textId="77777777" w:rsidR="001A09B2" w:rsidRPr="007C17BD" w:rsidRDefault="001A09B2" w:rsidP="00B52762">
            <w:pPr>
              <w:pStyle w:val="BodyTextMain"/>
              <w:jc w:val="left"/>
              <w:rPr>
                <w:rFonts w:ascii="Arial" w:hAnsi="Arial" w:cs="Arial"/>
                <w:color w:val="000000"/>
                <w:sz w:val="20"/>
                <w:szCs w:val="20"/>
                <w:lang w:val="en-GB"/>
              </w:rPr>
            </w:pPr>
          </w:p>
        </w:tc>
        <w:tc>
          <w:tcPr>
            <w:tcW w:w="1530" w:type="dxa"/>
            <w:tcBorders>
              <w:left w:val="single" w:sz="4" w:space="0" w:color="auto"/>
              <w:right w:val="single" w:sz="4" w:space="0" w:color="auto"/>
            </w:tcBorders>
            <w:shd w:val="clear" w:color="auto" w:fill="auto"/>
            <w:noWrap/>
            <w:tcMar>
              <w:left w:w="43" w:type="dxa"/>
              <w:right w:w="43" w:type="dxa"/>
            </w:tcMar>
            <w:hideMark/>
          </w:tcPr>
          <w:p w14:paraId="4C2A1AC2" w14:textId="77777777" w:rsidR="001A09B2" w:rsidRPr="007C17BD" w:rsidRDefault="001A09B2" w:rsidP="007B2184">
            <w:pPr>
              <w:pStyle w:val="BodyTextMain"/>
              <w:rPr>
                <w:rFonts w:ascii="Arial" w:hAnsi="Arial" w:cs="Arial"/>
                <w:sz w:val="20"/>
                <w:szCs w:val="20"/>
                <w:lang w:val="en-GB"/>
              </w:rPr>
            </w:pPr>
          </w:p>
        </w:tc>
        <w:tc>
          <w:tcPr>
            <w:tcW w:w="1440" w:type="dxa"/>
            <w:tcBorders>
              <w:left w:val="single" w:sz="4" w:space="0" w:color="auto"/>
              <w:right w:val="single" w:sz="4" w:space="0" w:color="auto"/>
            </w:tcBorders>
            <w:shd w:val="clear" w:color="auto" w:fill="auto"/>
            <w:noWrap/>
            <w:tcMar>
              <w:left w:w="43" w:type="dxa"/>
              <w:right w:w="43" w:type="dxa"/>
            </w:tcMar>
            <w:hideMark/>
          </w:tcPr>
          <w:p w14:paraId="06515A20" w14:textId="77777777" w:rsidR="001A09B2" w:rsidRPr="007C17BD" w:rsidRDefault="001A09B2" w:rsidP="007B2184">
            <w:pPr>
              <w:pStyle w:val="BodyTextMain"/>
              <w:rPr>
                <w:rFonts w:ascii="Arial" w:hAnsi="Arial" w:cs="Arial"/>
                <w:sz w:val="20"/>
                <w:szCs w:val="20"/>
                <w:lang w:val="en-GB"/>
              </w:rPr>
            </w:pPr>
          </w:p>
        </w:tc>
        <w:tc>
          <w:tcPr>
            <w:tcW w:w="1620" w:type="dxa"/>
            <w:tcBorders>
              <w:left w:val="single" w:sz="4" w:space="0" w:color="auto"/>
              <w:right w:val="single" w:sz="4" w:space="0" w:color="auto"/>
            </w:tcBorders>
            <w:shd w:val="clear" w:color="auto" w:fill="auto"/>
            <w:noWrap/>
            <w:tcMar>
              <w:left w:w="43" w:type="dxa"/>
              <w:right w:w="43" w:type="dxa"/>
            </w:tcMar>
            <w:hideMark/>
          </w:tcPr>
          <w:p w14:paraId="79FB2256" w14:textId="562BE80E" w:rsidR="001A09B2" w:rsidRPr="007C17BD" w:rsidRDefault="001A09B2" w:rsidP="007B2184">
            <w:pPr>
              <w:pStyle w:val="BodyTextMain"/>
              <w:rPr>
                <w:rFonts w:ascii="Arial" w:hAnsi="Arial" w:cs="Arial"/>
                <w:color w:val="000000"/>
                <w:sz w:val="20"/>
                <w:szCs w:val="20"/>
                <w:lang w:val="en-GB"/>
              </w:rPr>
            </w:pPr>
          </w:p>
        </w:tc>
        <w:tc>
          <w:tcPr>
            <w:tcW w:w="1350" w:type="dxa"/>
            <w:tcBorders>
              <w:left w:val="single" w:sz="4" w:space="0" w:color="auto"/>
              <w:right w:val="single" w:sz="4" w:space="0" w:color="auto"/>
            </w:tcBorders>
            <w:shd w:val="clear" w:color="auto" w:fill="auto"/>
          </w:tcPr>
          <w:p w14:paraId="32613D98" w14:textId="77777777" w:rsidR="001A09B2" w:rsidRPr="007C17BD" w:rsidRDefault="001A09B2" w:rsidP="007B2184">
            <w:pPr>
              <w:pStyle w:val="BodyTextMain"/>
              <w:rPr>
                <w:rFonts w:ascii="Arial" w:hAnsi="Arial" w:cs="Arial"/>
                <w:color w:val="000000"/>
                <w:sz w:val="20"/>
                <w:szCs w:val="20"/>
                <w:lang w:val="en-GB"/>
              </w:rPr>
            </w:pPr>
          </w:p>
        </w:tc>
        <w:tc>
          <w:tcPr>
            <w:tcW w:w="1985" w:type="dxa"/>
            <w:tcBorders>
              <w:left w:val="single" w:sz="4" w:space="0" w:color="auto"/>
              <w:right w:val="single" w:sz="4" w:space="0" w:color="auto"/>
            </w:tcBorders>
            <w:shd w:val="clear" w:color="auto" w:fill="auto"/>
            <w:noWrap/>
            <w:tcMar>
              <w:left w:w="43" w:type="dxa"/>
              <w:right w:w="43" w:type="dxa"/>
            </w:tcMar>
            <w:hideMark/>
          </w:tcPr>
          <w:p w14:paraId="5784CFE7" w14:textId="6D724BB5" w:rsidR="001A09B2" w:rsidRPr="007C17BD" w:rsidRDefault="001A09B2" w:rsidP="00207A5A">
            <w:pPr>
              <w:pStyle w:val="BodyTextMain"/>
              <w:jc w:val="left"/>
              <w:rPr>
                <w:rFonts w:ascii="Arial" w:hAnsi="Arial" w:cs="Arial"/>
                <w:color w:val="000000"/>
                <w:sz w:val="20"/>
                <w:szCs w:val="20"/>
                <w:lang w:val="en-GB"/>
              </w:rPr>
            </w:pPr>
            <w:r w:rsidRPr="007C17BD">
              <w:rPr>
                <w:rFonts w:ascii="Arial" w:hAnsi="Arial" w:cs="Arial"/>
                <w:sz w:val="20"/>
                <w:szCs w:val="20"/>
                <w:lang w:val="en-GB"/>
              </w:rPr>
              <w:t>Anytime moisturizing cream</w:t>
            </w:r>
          </w:p>
        </w:tc>
      </w:tr>
      <w:tr w:rsidR="001A09B2" w:rsidRPr="007C17BD" w14:paraId="7F8F8416" w14:textId="77777777" w:rsidTr="00207A5A">
        <w:trPr>
          <w:trHeight w:val="70"/>
        </w:trPr>
        <w:tc>
          <w:tcPr>
            <w:tcW w:w="1302" w:type="dxa"/>
            <w:tcBorders>
              <w:left w:val="single" w:sz="4" w:space="0" w:color="auto"/>
              <w:right w:val="single" w:sz="4" w:space="0" w:color="auto"/>
            </w:tcBorders>
            <w:shd w:val="clear" w:color="auto" w:fill="auto"/>
            <w:noWrap/>
            <w:tcMar>
              <w:left w:w="43" w:type="dxa"/>
              <w:right w:w="43" w:type="dxa"/>
            </w:tcMar>
            <w:hideMark/>
          </w:tcPr>
          <w:p w14:paraId="3BE98920" w14:textId="77777777" w:rsidR="001A09B2" w:rsidRPr="007C17BD" w:rsidRDefault="001A09B2" w:rsidP="007B2184">
            <w:pPr>
              <w:pStyle w:val="BodyTextMain"/>
              <w:rPr>
                <w:rFonts w:ascii="Arial" w:hAnsi="Arial" w:cs="Arial"/>
                <w:color w:val="000000"/>
                <w:sz w:val="20"/>
                <w:szCs w:val="20"/>
                <w:lang w:val="en-GB"/>
              </w:rPr>
            </w:pPr>
          </w:p>
        </w:tc>
        <w:tc>
          <w:tcPr>
            <w:tcW w:w="1530" w:type="dxa"/>
            <w:tcBorders>
              <w:left w:val="single" w:sz="4" w:space="0" w:color="auto"/>
              <w:right w:val="single" w:sz="4" w:space="0" w:color="auto"/>
            </w:tcBorders>
            <w:shd w:val="clear" w:color="auto" w:fill="auto"/>
            <w:noWrap/>
            <w:tcMar>
              <w:left w:w="43" w:type="dxa"/>
              <w:right w:w="43" w:type="dxa"/>
            </w:tcMar>
            <w:hideMark/>
          </w:tcPr>
          <w:p w14:paraId="093E55B6" w14:textId="77777777" w:rsidR="001A09B2" w:rsidRPr="007C17BD" w:rsidRDefault="001A09B2" w:rsidP="007B2184">
            <w:pPr>
              <w:pStyle w:val="BodyTextMain"/>
              <w:rPr>
                <w:rFonts w:ascii="Arial" w:hAnsi="Arial" w:cs="Arial"/>
                <w:sz w:val="20"/>
                <w:szCs w:val="20"/>
                <w:lang w:val="en-GB"/>
              </w:rPr>
            </w:pPr>
          </w:p>
        </w:tc>
        <w:tc>
          <w:tcPr>
            <w:tcW w:w="1440" w:type="dxa"/>
            <w:tcBorders>
              <w:left w:val="single" w:sz="4" w:space="0" w:color="auto"/>
              <w:right w:val="single" w:sz="4" w:space="0" w:color="auto"/>
            </w:tcBorders>
            <w:shd w:val="clear" w:color="auto" w:fill="auto"/>
            <w:noWrap/>
            <w:tcMar>
              <w:left w:w="43" w:type="dxa"/>
              <w:right w:w="43" w:type="dxa"/>
            </w:tcMar>
            <w:hideMark/>
          </w:tcPr>
          <w:p w14:paraId="376AECBA" w14:textId="77777777" w:rsidR="001A09B2" w:rsidRPr="007C17BD" w:rsidRDefault="001A09B2" w:rsidP="007B2184">
            <w:pPr>
              <w:pStyle w:val="BodyTextMain"/>
              <w:rPr>
                <w:rFonts w:ascii="Arial" w:hAnsi="Arial" w:cs="Arial"/>
                <w:sz w:val="20"/>
                <w:szCs w:val="20"/>
                <w:lang w:val="en-GB"/>
              </w:rPr>
            </w:pPr>
          </w:p>
        </w:tc>
        <w:tc>
          <w:tcPr>
            <w:tcW w:w="1620" w:type="dxa"/>
            <w:tcBorders>
              <w:left w:val="single" w:sz="4" w:space="0" w:color="auto"/>
              <w:right w:val="single" w:sz="4" w:space="0" w:color="auto"/>
            </w:tcBorders>
            <w:shd w:val="clear" w:color="auto" w:fill="auto"/>
            <w:noWrap/>
            <w:tcMar>
              <w:left w:w="43" w:type="dxa"/>
              <w:right w:w="43" w:type="dxa"/>
            </w:tcMar>
            <w:hideMark/>
          </w:tcPr>
          <w:p w14:paraId="1C086B99" w14:textId="54CF4ACD" w:rsidR="001A09B2" w:rsidRPr="007C17BD" w:rsidRDefault="001A09B2" w:rsidP="007B2184">
            <w:pPr>
              <w:pStyle w:val="BodyTextMain"/>
              <w:rPr>
                <w:rFonts w:ascii="Arial" w:hAnsi="Arial" w:cs="Arial"/>
                <w:color w:val="000000"/>
                <w:sz w:val="20"/>
                <w:szCs w:val="20"/>
                <w:lang w:val="en-GB"/>
              </w:rPr>
            </w:pPr>
          </w:p>
        </w:tc>
        <w:tc>
          <w:tcPr>
            <w:tcW w:w="1350" w:type="dxa"/>
            <w:tcBorders>
              <w:left w:val="single" w:sz="4" w:space="0" w:color="auto"/>
              <w:right w:val="single" w:sz="4" w:space="0" w:color="auto"/>
            </w:tcBorders>
            <w:shd w:val="clear" w:color="auto" w:fill="auto"/>
          </w:tcPr>
          <w:p w14:paraId="0A147FC3" w14:textId="77777777" w:rsidR="001A09B2" w:rsidRPr="007C17BD" w:rsidRDefault="001A09B2" w:rsidP="007B2184">
            <w:pPr>
              <w:pStyle w:val="BodyTextMain"/>
              <w:rPr>
                <w:rFonts w:ascii="Arial" w:hAnsi="Arial" w:cs="Arial"/>
                <w:color w:val="000000"/>
                <w:sz w:val="20"/>
                <w:szCs w:val="20"/>
                <w:lang w:val="en-GB"/>
              </w:rPr>
            </w:pPr>
          </w:p>
        </w:tc>
        <w:tc>
          <w:tcPr>
            <w:tcW w:w="1985" w:type="dxa"/>
            <w:tcBorders>
              <w:left w:val="single" w:sz="4" w:space="0" w:color="auto"/>
              <w:right w:val="single" w:sz="4" w:space="0" w:color="auto"/>
            </w:tcBorders>
            <w:shd w:val="clear" w:color="auto" w:fill="auto"/>
            <w:noWrap/>
            <w:tcMar>
              <w:left w:w="43" w:type="dxa"/>
              <w:right w:w="43" w:type="dxa"/>
            </w:tcMar>
            <w:hideMark/>
          </w:tcPr>
          <w:p w14:paraId="4F7611A3" w14:textId="2F75719E" w:rsidR="001A09B2" w:rsidRPr="007C17BD" w:rsidRDefault="001A09B2" w:rsidP="00207A5A">
            <w:pPr>
              <w:pStyle w:val="BodyTextMain"/>
              <w:jc w:val="left"/>
              <w:rPr>
                <w:rFonts w:ascii="Arial" w:hAnsi="Arial" w:cs="Arial"/>
                <w:color w:val="000000"/>
                <w:sz w:val="20"/>
                <w:szCs w:val="20"/>
                <w:lang w:val="en-GB"/>
              </w:rPr>
            </w:pPr>
            <w:r w:rsidRPr="007C17BD">
              <w:rPr>
                <w:rFonts w:ascii="Arial" w:hAnsi="Arial" w:cs="Arial"/>
                <w:sz w:val="20"/>
                <w:szCs w:val="20"/>
                <w:lang w:val="en-GB"/>
              </w:rPr>
              <w:t>Body gel</w:t>
            </w:r>
          </w:p>
        </w:tc>
      </w:tr>
      <w:tr w:rsidR="001A09B2" w:rsidRPr="007C17BD" w14:paraId="0E7E9C66" w14:textId="77777777" w:rsidTr="00207A5A">
        <w:trPr>
          <w:trHeight w:val="70"/>
        </w:trPr>
        <w:tc>
          <w:tcPr>
            <w:tcW w:w="1302" w:type="dxa"/>
            <w:tcBorders>
              <w:left w:val="single" w:sz="4" w:space="0" w:color="auto"/>
              <w:bottom w:val="single" w:sz="4" w:space="0" w:color="auto"/>
              <w:right w:val="single" w:sz="4" w:space="0" w:color="auto"/>
            </w:tcBorders>
            <w:shd w:val="clear" w:color="auto" w:fill="auto"/>
            <w:noWrap/>
            <w:tcMar>
              <w:left w:w="43" w:type="dxa"/>
              <w:right w:w="43" w:type="dxa"/>
            </w:tcMar>
            <w:hideMark/>
          </w:tcPr>
          <w:p w14:paraId="3FCB3315" w14:textId="77777777" w:rsidR="001A09B2" w:rsidRPr="007C17BD" w:rsidRDefault="001A09B2" w:rsidP="007B2184">
            <w:pPr>
              <w:pStyle w:val="BodyTextMain"/>
              <w:rPr>
                <w:rFonts w:ascii="Arial" w:hAnsi="Arial" w:cs="Arial"/>
                <w:color w:val="000000"/>
                <w:sz w:val="20"/>
                <w:szCs w:val="20"/>
                <w:lang w:val="en-GB"/>
              </w:rPr>
            </w:pPr>
            <w:r w:rsidRPr="007C17BD">
              <w:rPr>
                <w:rFonts w:ascii="Arial" w:hAnsi="Arial" w:cs="Arial"/>
                <w:color w:val="000000"/>
                <w:sz w:val="20"/>
                <w:szCs w:val="20"/>
                <w:lang w:val="en-GB"/>
              </w:rPr>
              <w:t> </w:t>
            </w:r>
          </w:p>
        </w:tc>
        <w:tc>
          <w:tcPr>
            <w:tcW w:w="1530" w:type="dxa"/>
            <w:tcBorders>
              <w:left w:val="single" w:sz="4" w:space="0" w:color="auto"/>
              <w:bottom w:val="single" w:sz="4" w:space="0" w:color="auto"/>
              <w:right w:val="single" w:sz="4" w:space="0" w:color="auto"/>
            </w:tcBorders>
            <w:shd w:val="clear" w:color="auto" w:fill="auto"/>
            <w:noWrap/>
            <w:tcMar>
              <w:left w:w="43" w:type="dxa"/>
              <w:right w:w="43" w:type="dxa"/>
            </w:tcMar>
            <w:hideMark/>
          </w:tcPr>
          <w:p w14:paraId="71738677" w14:textId="77777777" w:rsidR="001A09B2" w:rsidRPr="007C17BD" w:rsidRDefault="001A09B2" w:rsidP="007B2184">
            <w:pPr>
              <w:pStyle w:val="BodyTextMain"/>
              <w:rPr>
                <w:rFonts w:ascii="Arial" w:hAnsi="Arial" w:cs="Arial"/>
                <w:color w:val="000000"/>
                <w:sz w:val="20"/>
                <w:szCs w:val="20"/>
                <w:lang w:val="en-GB"/>
              </w:rPr>
            </w:pPr>
            <w:r w:rsidRPr="007C17BD">
              <w:rPr>
                <w:rFonts w:ascii="Arial" w:hAnsi="Arial" w:cs="Arial"/>
                <w:color w:val="000000"/>
                <w:sz w:val="20"/>
                <w:szCs w:val="20"/>
                <w:lang w:val="en-GB"/>
              </w:rPr>
              <w:t> </w:t>
            </w:r>
          </w:p>
        </w:tc>
        <w:tc>
          <w:tcPr>
            <w:tcW w:w="1440" w:type="dxa"/>
            <w:tcBorders>
              <w:left w:val="single" w:sz="4" w:space="0" w:color="auto"/>
              <w:bottom w:val="single" w:sz="4" w:space="0" w:color="auto"/>
              <w:right w:val="single" w:sz="4" w:space="0" w:color="auto"/>
            </w:tcBorders>
            <w:shd w:val="clear" w:color="auto" w:fill="auto"/>
            <w:noWrap/>
            <w:tcMar>
              <w:left w:w="43" w:type="dxa"/>
              <w:right w:w="43" w:type="dxa"/>
            </w:tcMar>
            <w:hideMark/>
          </w:tcPr>
          <w:p w14:paraId="77FA7B43" w14:textId="77777777" w:rsidR="001A09B2" w:rsidRPr="007C17BD" w:rsidRDefault="001A09B2" w:rsidP="007B2184">
            <w:pPr>
              <w:pStyle w:val="BodyTextMain"/>
              <w:rPr>
                <w:rFonts w:ascii="Arial" w:hAnsi="Arial" w:cs="Arial"/>
                <w:color w:val="000000"/>
                <w:sz w:val="20"/>
                <w:szCs w:val="20"/>
                <w:lang w:val="en-GB"/>
              </w:rPr>
            </w:pPr>
            <w:r w:rsidRPr="007C17BD">
              <w:rPr>
                <w:rFonts w:ascii="Arial" w:hAnsi="Arial" w:cs="Arial"/>
                <w:color w:val="000000"/>
                <w:sz w:val="20"/>
                <w:szCs w:val="20"/>
                <w:lang w:val="en-GB"/>
              </w:rPr>
              <w:t> </w:t>
            </w:r>
          </w:p>
        </w:tc>
        <w:tc>
          <w:tcPr>
            <w:tcW w:w="1620" w:type="dxa"/>
            <w:tcBorders>
              <w:left w:val="single" w:sz="4" w:space="0" w:color="auto"/>
              <w:bottom w:val="single" w:sz="4" w:space="0" w:color="auto"/>
              <w:right w:val="single" w:sz="4" w:space="0" w:color="auto"/>
            </w:tcBorders>
            <w:shd w:val="clear" w:color="auto" w:fill="auto"/>
            <w:noWrap/>
            <w:tcMar>
              <w:left w:w="43" w:type="dxa"/>
              <w:right w:w="43" w:type="dxa"/>
            </w:tcMar>
            <w:hideMark/>
          </w:tcPr>
          <w:p w14:paraId="5F57B93E" w14:textId="77777777" w:rsidR="001A09B2" w:rsidRPr="007C17BD" w:rsidRDefault="001A09B2" w:rsidP="007B2184">
            <w:pPr>
              <w:pStyle w:val="BodyTextMain"/>
              <w:rPr>
                <w:rFonts w:ascii="Arial" w:hAnsi="Arial" w:cs="Arial"/>
                <w:color w:val="000000"/>
                <w:sz w:val="20"/>
                <w:szCs w:val="20"/>
                <w:lang w:val="en-GB"/>
              </w:rPr>
            </w:pPr>
            <w:r w:rsidRPr="007C17BD">
              <w:rPr>
                <w:rFonts w:ascii="Arial" w:hAnsi="Arial" w:cs="Arial"/>
                <w:color w:val="000000"/>
                <w:sz w:val="20"/>
                <w:szCs w:val="20"/>
                <w:lang w:val="en-GB"/>
              </w:rPr>
              <w:t> </w:t>
            </w:r>
          </w:p>
        </w:tc>
        <w:tc>
          <w:tcPr>
            <w:tcW w:w="1350" w:type="dxa"/>
            <w:tcBorders>
              <w:left w:val="single" w:sz="4" w:space="0" w:color="auto"/>
              <w:bottom w:val="single" w:sz="4" w:space="0" w:color="auto"/>
              <w:right w:val="single" w:sz="4" w:space="0" w:color="auto"/>
            </w:tcBorders>
            <w:shd w:val="clear" w:color="auto" w:fill="auto"/>
            <w:noWrap/>
            <w:tcMar>
              <w:left w:w="43" w:type="dxa"/>
              <w:right w:w="43" w:type="dxa"/>
            </w:tcMar>
            <w:hideMark/>
          </w:tcPr>
          <w:p w14:paraId="436A5BC3" w14:textId="77777777" w:rsidR="001A09B2" w:rsidRPr="007C17BD" w:rsidRDefault="001A09B2" w:rsidP="007B2184">
            <w:pPr>
              <w:pStyle w:val="BodyTextMain"/>
              <w:rPr>
                <w:rFonts w:ascii="Arial" w:hAnsi="Arial" w:cs="Arial"/>
                <w:color w:val="000000"/>
                <w:sz w:val="20"/>
                <w:szCs w:val="20"/>
                <w:lang w:val="en-GB"/>
              </w:rPr>
            </w:pPr>
            <w:r w:rsidRPr="007C17BD">
              <w:rPr>
                <w:rFonts w:ascii="Arial" w:hAnsi="Arial" w:cs="Arial"/>
                <w:color w:val="000000"/>
                <w:sz w:val="20"/>
                <w:szCs w:val="20"/>
                <w:lang w:val="en-GB"/>
              </w:rPr>
              <w:t> </w:t>
            </w:r>
          </w:p>
        </w:tc>
        <w:tc>
          <w:tcPr>
            <w:tcW w:w="1985" w:type="dxa"/>
            <w:tcBorders>
              <w:left w:val="single" w:sz="4" w:space="0" w:color="auto"/>
              <w:bottom w:val="single" w:sz="4" w:space="0" w:color="auto"/>
              <w:right w:val="single" w:sz="4" w:space="0" w:color="auto"/>
            </w:tcBorders>
            <w:shd w:val="clear" w:color="auto" w:fill="auto"/>
            <w:noWrap/>
            <w:tcMar>
              <w:left w:w="43" w:type="dxa"/>
              <w:right w:w="43" w:type="dxa"/>
            </w:tcMar>
            <w:hideMark/>
          </w:tcPr>
          <w:p w14:paraId="624F1251" w14:textId="47947764" w:rsidR="001A09B2" w:rsidRPr="007C17BD" w:rsidRDefault="001A09B2" w:rsidP="00207A5A">
            <w:pPr>
              <w:pStyle w:val="BodyTextMain"/>
              <w:jc w:val="left"/>
              <w:rPr>
                <w:rFonts w:ascii="Arial" w:hAnsi="Arial" w:cs="Arial"/>
                <w:color w:val="000000"/>
                <w:sz w:val="20"/>
                <w:szCs w:val="20"/>
                <w:lang w:val="en-GB"/>
              </w:rPr>
            </w:pPr>
            <w:r w:rsidRPr="007C17BD">
              <w:rPr>
                <w:rFonts w:ascii="Arial" w:hAnsi="Arial" w:cs="Arial"/>
                <w:sz w:val="20"/>
                <w:szCs w:val="20"/>
                <w:lang w:val="en-GB"/>
              </w:rPr>
              <w:t>Revitalizing tonic</w:t>
            </w:r>
          </w:p>
        </w:tc>
      </w:tr>
    </w:tbl>
    <w:p w14:paraId="48186F7B" w14:textId="77777777" w:rsidR="00207A5A" w:rsidRPr="007C17BD" w:rsidRDefault="00207A5A" w:rsidP="00207A5A">
      <w:pPr>
        <w:pStyle w:val="Footnote"/>
        <w:rPr>
          <w:lang w:val="en-GB"/>
        </w:rPr>
      </w:pPr>
    </w:p>
    <w:p w14:paraId="476F591C" w14:textId="4697E6EC" w:rsidR="001A09B2" w:rsidRPr="007C17BD" w:rsidRDefault="001022B9" w:rsidP="00207A5A">
      <w:pPr>
        <w:pStyle w:val="Footnote"/>
        <w:jc w:val="left"/>
        <w:rPr>
          <w:lang w:val="en-GB"/>
        </w:rPr>
      </w:pPr>
      <w:r w:rsidRPr="007C17BD">
        <w:rPr>
          <w:lang w:val="en-GB"/>
        </w:rPr>
        <w:t xml:space="preserve">Source: </w:t>
      </w:r>
      <w:r w:rsidR="00921037" w:rsidRPr="007C17BD">
        <w:rPr>
          <w:lang w:val="en-GB"/>
        </w:rPr>
        <w:t xml:space="preserve">Created by case authors based on </w:t>
      </w:r>
      <w:r w:rsidRPr="007C17BD">
        <w:rPr>
          <w:lang w:val="en-GB"/>
        </w:rPr>
        <w:t xml:space="preserve">Jennifer, </w:t>
      </w:r>
      <w:r w:rsidR="003B7DFC">
        <w:rPr>
          <w:lang w:val="en-GB"/>
        </w:rPr>
        <w:t>“</w:t>
      </w:r>
      <w:r w:rsidRPr="007C17BD">
        <w:rPr>
          <w:lang w:val="en-GB"/>
        </w:rPr>
        <w:t>Kaya Skin Clinic,</w:t>
      </w:r>
      <w:r w:rsidR="003B7DFC">
        <w:rPr>
          <w:lang w:val="en-GB"/>
        </w:rPr>
        <w:t>”</w:t>
      </w:r>
      <w:r w:rsidRPr="007C17BD">
        <w:rPr>
          <w:lang w:val="en-GB"/>
        </w:rPr>
        <w:t xml:space="preserve"> Beauty Tips Hub, March 31, 2012, accessed July 3, 2016, www.beautytipshub.com/skin-clinics/kaya-skin-clinic.html.</w:t>
      </w:r>
    </w:p>
    <w:p w14:paraId="15BA5746" w14:textId="77777777" w:rsidR="001A09B2" w:rsidRPr="007C17BD" w:rsidRDefault="001A09B2">
      <w:pPr>
        <w:spacing w:after="200" w:line="276" w:lineRule="auto"/>
        <w:rPr>
          <w:lang w:val="en-GB"/>
        </w:rPr>
      </w:pPr>
    </w:p>
    <w:p w14:paraId="28B2D293" w14:textId="1D98FFF7" w:rsidR="0056785D" w:rsidRPr="007C17BD" w:rsidRDefault="0056785D" w:rsidP="0056785D">
      <w:pPr>
        <w:pStyle w:val="ExhibitHeading"/>
        <w:rPr>
          <w:lang w:val="en-GB"/>
        </w:rPr>
      </w:pPr>
      <w:r w:rsidRPr="007C17BD">
        <w:rPr>
          <w:lang w:val="en-GB"/>
        </w:rPr>
        <w:t xml:space="preserve">Exhibit </w:t>
      </w:r>
      <w:r w:rsidR="001A09B2" w:rsidRPr="007C17BD">
        <w:rPr>
          <w:lang w:val="en-GB"/>
        </w:rPr>
        <w:t>3</w:t>
      </w:r>
      <w:r w:rsidRPr="007C17BD">
        <w:rPr>
          <w:lang w:val="en-GB"/>
        </w:rPr>
        <w:t xml:space="preserve">: </w:t>
      </w:r>
      <w:r w:rsidR="002C2F3F" w:rsidRPr="007C17BD">
        <w:rPr>
          <w:lang w:val="en-GB"/>
        </w:rPr>
        <w:t>Kaya Skin clinic</w:t>
      </w:r>
      <w:r w:rsidR="003B7DFC">
        <w:rPr>
          <w:lang w:val="en-GB"/>
        </w:rPr>
        <w:t>’</w:t>
      </w:r>
      <w:r w:rsidR="002C2F3F" w:rsidRPr="007C17BD">
        <w:rPr>
          <w:lang w:val="en-GB"/>
        </w:rPr>
        <w:t xml:space="preserve">s </w:t>
      </w:r>
      <w:r w:rsidRPr="007C17BD">
        <w:rPr>
          <w:lang w:val="en-GB"/>
        </w:rPr>
        <w:t>Financial Highlights: Middle East</w:t>
      </w:r>
      <w:r w:rsidR="001022B9" w:rsidRPr="007C17BD">
        <w:rPr>
          <w:lang w:val="en-GB"/>
        </w:rPr>
        <w:t>, 2014–2015</w:t>
      </w:r>
    </w:p>
    <w:p w14:paraId="6F452971" w14:textId="77777777" w:rsidR="0056785D" w:rsidRPr="007C17BD" w:rsidRDefault="0056785D" w:rsidP="0056785D">
      <w:pPr>
        <w:pStyle w:val="ExhibitHeading"/>
        <w:rPr>
          <w:lang w:val="en-GB"/>
        </w:rPr>
      </w:pPr>
    </w:p>
    <w:tbl>
      <w:tblPr>
        <w:tblStyle w:val="TableGrid"/>
        <w:tblW w:w="0" w:type="auto"/>
        <w:jc w:val="center"/>
        <w:tblLook w:val="04A0" w:firstRow="1" w:lastRow="0" w:firstColumn="1" w:lastColumn="0" w:noHBand="0" w:noVBand="1"/>
      </w:tblPr>
      <w:tblGrid>
        <w:gridCol w:w="3116"/>
        <w:gridCol w:w="839"/>
        <w:gridCol w:w="810"/>
      </w:tblGrid>
      <w:tr w:rsidR="0056785D" w:rsidRPr="007C17BD" w14:paraId="606B313D" w14:textId="77777777" w:rsidTr="0056785D">
        <w:trPr>
          <w:jc w:val="center"/>
        </w:trPr>
        <w:tc>
          <w:tcPr>
            <w:tcW w:w="3116" w:type="dxa"/>
          </w:tcPr>
          <w:p w14:paraId="4B53BE4C" w14:textId="4F2643A3" w:rsidR="0056785D" w:rsidRPr="007C17BD" w:rsidRDefault="0056785D" w:rsidP="002C2F3F">
            <w:pPr>
              <w:pStyle w:val="ExhibitText"/>
              <w:rPr>
                <w:b/>
                <w:lang w:val="en-GB"/>
              </w:rPr>
            </w:pPr>
            <w:r w:rsidRPr="007C17BD">
              <w:rPr>
                <w:b/>
                <w:lang w:val="en-GB"/>
              </w:rPr>
              <w:t>Particulars (</w:t>
            </w:r>
            <w:r w:rsidR="002C2F3F" w:rsidRPr="007C17BD">
              <w:rPr>
                <w:b/>
                <w:lang w:val="en-GB"/>
              </w:rPr>
              <w:t>₹ mil</w:t>
            </w:r>
            <w:r w:rsidR="00921037" w:rsidRPr="007C17BD">
              <w:rPr>
                <w:b/>
                <w:lang w:val="en-GB"/>
              </w:rPr>
              <w:t>l</w:t>
            </w:r>
            <w:r w:rsidR="002C2F3F" w:rsidRPr="007C17BD">
              <w:rPr>
                <w:b/>
                <w:lang w:val="en-GB"/>
              </w:rPr>
              <w:t>ions</w:t>
            </w:r>
            <w:r w:rsidRPr="007C17BD">
              <w:rPr>
                <w:b/>
                <w:lang w:val="en-GB"/>
              </w:rPr>
              <w:t>)</w:t>
            </w:r>
          </w:p>
        </w:tc>
        <w:tc>
          <w:tcPr>
            <w:tcW w:w="839" w:type="dxa"/>
          </w:tcPr>
          <w:p w14:paraId="66B85953" w14:textId="77777777" w:rsidR="0056785D" w:rsidRPr="007C17BD" w:rsidRDefault="0056785D" w:rsidP="0056785D">
            <w:pPr>
              <w:pStyle w:val="ExhibitText"/>
              <w:rPr>
                <w:b/>
                <w:lang w:val="en-GB"/>
              </w:rPr>
            </w:pPr>
            <w:r w:rsidRPr="007C17BD">
              <w:rPr>
                <w:b/>
                <w:lang w:val="en-GB"/>
              </w:rPr>
              <w:t>FY 14</w:t>
            </w:r>
          </w:p>
        </w:tc>
        <w:tc>
          <w:tcPr>
            <w:tcW w:w="810" w:type="dxa"/>
          </w:tcPr>
          <w:p w14:paraId="4947BEB0" w14:textId="77777777" w:rsidR="0056785D" w:rsidRPr="007C17BD" w:rsidRDefault="0056785D" w:rsidP="0056785D">
            <w:pPr>
              <w:pStyle w:val="ExhibitText"/>
              <w:rPr>
                <w:b/>
                <w:lang w:val="en-GB"/>
              </w:rPr>
            </w:pPr>
            <w:r w:rsidRPr="007C17BD">
              <w:rPr>
                <w:b/>
                <w:lang w:val="en-GB"/>
              </w:rPr>
              <w:t>FY 15</w:t>
            </w:r>
          </w:p>
        </w:tc>
      </w:tr>
      <w:tr w:rsidR="0056785D" w:rsidRPr="007C17BD" w14:paraId="7D093B93" w14:textId="77777777" w:rsidTr="0056785D">
        <w:trPr>
          <w:jc w:val="center"/>
        </w:trPr>
        <w:tc>
          <w:tcPr>
            <w:tcW w:w="3116" w:type="dxa"/>
          </w:tcPr>
          <w:p w14:paraId="0B4CE00F" w14:textId="77777777" w:rsidR="0056785D" w:rsidRPr="007C17BD" w:rsidRDefault="0056785D" w:rsidP="0056785D">
            <w:pPr>
              <w:pStyle w:val="ExhibitText"/>
              <w:rPr>
                <w:lang w:val="en-GB"/>
              </w:rPr>
            </w:pPr>
            <w:r w:rsidRPr="007C17BD">
              <w:rPr>
                <w:lang w:val="en-GB"/>
              </w:rPr>
              <w:t>Collection</w:t>
            </w:r>
          </w:p>
        </w:tc>
        <w:tc>
          <w:tcPr>
            <w:tcW w:w="839" w:type="dxa"/>
          </w:tcPr>
          <w:p w14:paraId="1F3C4C55" w14:textId="31C1DF3E" w:rsidR="0056785D" w:rsidRPr="007C17BD" w:rsidRDefault="0056785D" w:rsidP="00CB267E">
            <w:pPr>
              <w:pStyle w:val="ExhibitText"/>
              <w:jc w:val="right"/>
              <w:rPr>
                <w:lang w:val="en-GB"/>
              </w:rPr>
            </w:pPr>
            <w:r w:rsidRPr="007C17BD">
              <w:rPr>
                <w:lang w:val="en-GB"/>
              </w:rPr>
              <w:t>1</w:t>
            </w:r>
            <w:r w:rsidR="00DC4869" w:rsidRPr="007C17BD">
              <w:rPr>
                <w:lang w:val="en-GB"/>
              </w:rPr>
              <w:t>,</w:t>
            </w:r>
            <w:r w:rsidRPr="007C17BD">
              <w:rPr>
                <w:lang w:val="en-GB"/>
              </w:rPr>
              <w:t>366</w:t>
            </w:r>
          </w:p>
        </w:tc>
        <w:tc>
          <w:tcPr>
            <w:tcW w:w="810" w:type="dxa"/>
          </w:tcPr>
          <w:p w14:paraId="67492B26" w14:textId="4E9B34FE" w:rsidR="0056785D" w:rsidRPr="007C17BD" w:rsidRDefault="0056785D" w:rsidP="00CB267E">
            <w:pPr>
              <w:pStyle w:val="ExhibitText"/>
              <w:jc w:val="right"/>
              <w:rPr>
                <w:lang w:val="en-GB"/>
              </w:rPr>
            </w:pPr>
            <w:r w:rsidRPr="007C17BD">
              <w:rPr>
                <w:lang w:val="en-GB"/>
              </w:rPr>
              <w:t>1</w:t>
            </w:r>
            <w:r w:rsidR="00DC4869" w:rsidRPr="007C17BD">
              <w:rPr>
                <w:lang w:val="en-GB"/>
              </w:rPr>
              <w:t>,</w:t>
            </w:r>
            <w:r w:rsidRPr="007C17BD">
              <w:rPr>
                <w:lang w:val="en-GB"/>
              </w:rPr>
              <w:t>578</w:t>
            </w:r>
          </w:p>
        </w:tc>
      </w:tr>
      <w:tr w:rsidR="0056785D" w:rsidRPr="007C17BD" w14:paraId="5E16A3CC" w14:textId="77777777" w:rsidTr="0056785D">
        <w:trPr>
          <w:jc w:val="center"/>
        </w:trPr>
        <w:tc>
          <w:tcPr>
            <w:tcW w:w="3116" w:type="dxa"/>
          </w:tcPr>
          <w:p w14:paraId="663F7062" w14:textId="77777777" w:rsidR="0056785D" w:rsidRPr="007C17BD" w:rsidRDefault="0056785D" w:rsidP="0056785D">
            <w:pPr>
              <w:pStyle w:val="ExhibitText"/>
              <w:rPr>
                <w:lang w:val="en-GB"/>
              </w:rPr>
            </w:pPr>
            <w:r w:rsidRPr="007C17BD">
              <w:rPr>
                <w:lang w:val="en-GB"/>
              </w:rPr>
              <w:t>Net Revenue</w:t>
            </w:r>
          </w:p>
        </w:tc>
        <w:tc>
          <w:tcPr>
            <w:tcW w:w="839" w:type="dxa"/>
          </w:tcPr>
          <w:p w14:paraId="2AC754B7" w14:textId="759E226A" w:rsidR="0056785D" w:rsidRPr="007C17BD" w:rsidRDefault="0056785D" w:rsidP="00CB267E">
            <w:pPr>
              <w:pStyle w:val="ExhibitText"/>
              <w:jc w:val="right"/>
              <w:rPr>
                <w:lang w:val="en-GB"/>
              </w:rPr>
            </w:pPr>
            <w:r w:rsidRPr="007C17BD">
              <w:rPr>
                <w:lang w:val="en-GB"/>
              </w:rPr>
              <w:t>1</w:t>
            </w:r>
            <w:r w:rsidR="00DC4869" w:rsidRPr="007C17BD">
              <w:rPr>
                <w:lang w:val="en-GB"/>
              </w:rPr>
              <w:t>,</w:t>
            </w:r>
            <w:r w:rsidRPr="007C17BD">
              <w:rPr>
                <w:lang w:val="en-GB"/>
              </w:rPr>
              <w:t>344</w:t>
            </w:r>
          </w:p>
        </w:tc>
        <w:tc>
          <w:tcPr>
            <w:tcW w:w="810" w:type="dxa"/>
          </w:tcPr>
          <w:p w14:paraId="3C09C6A6" w14:textId="2A8BEBAD" w:rsidR="0056785D" w:rsidRPr="007C17BD" w:rsidRDefault="0056785D" w:rsidP="00CB267E">
            <w:pPr>
              <w:pStyle w:val="ExhibitText"/>
              <w:jc w:val="right"/>
              <w:rPr>
                <w:lang w:val="en-GB"/>
              </w:rPr>
            </w:pPr>
            <w:r w:rsidRPr="007C17BD">
              <w:rPr>
                <w:lang w:val="en-GB"/>
              </w:rPr>
              <w:t>1</w:t>
            </w:r>
            <w:r w:rsidR="00DC4869" w:rsidRPr="007C17BD">
              <w:rPr>
                <w:lang w:val="en-GB"/>
              </w:rPr>
              <w:t>,</w:t>
            </w:r>
            <w:r w:rsidRPr="007C17BD">
              <w:rPr>
                <w:lang w:val="en-GB"/>
              </w:rPr>
              <w:t>591</w:t>
            </w:r>
          </w:p>
        </w:tc>
      </w:tr>
      <w:tr w:rsidR="0056785D" w:rsidRPr="007C17BD" w14:paraId="1D29AC81" w14:textId="77777777" w:rsidTr="0056785D">
        <w:trPr>
          <w:jc w:val="center"/>
        </w:trPr>
        <w:tc>
          <w:tcPr>
            <w:tcW w:w="3116" w:type="dxa"/>
          </w:tcPr>
          <w:p w14:paraId="2596AC9E" w14:textId="77777777" w:rsidR="0056785D" w:rsidRPr="007C17BD" w:rsidRDefault="0056785D" w:rsidP="0056785D">
            <w:pPr>
              <w:pStyle w:val="ExhibitText"/>
              <w:rPr>
                <w:lang w:val="en-GB"/>
              </w:rPr>
            </w:pPr>
            <w:r w:rsidRPr="007C17BD">
              <w:rPr>
                <w:lang w:val="en-GB"/>
              </w:rPr>
              <w:t>EBIDTA</w:t>
            </w:r>
          </w:p>
        </w:tc>
        <w:tc>
          <w:tcPr>
            <w:tcW w:w="839" w:type="dxa"/>
          </w:tcPr>
          <w:p w14:paraId="2068E545" w14:textId="77777777" w:rsidR="0056785D" w:rsidRPr="007C17BD" w:rsidRDefault="0056785D" w:rsidP="00CB267E">
            <w:pPr>
              <w:pStyle w:val="ExhibitText"/>
              <w:jc w:val="right"/>
              <w:rPr>
                <w:lang w:val="en-GB"/>
              </w:rPr>
            </w:pPr>
            <w:r w:rsidRPr="007C17BD">
              <w:rPr>
                <w:lang w:val="en-GB"/>
              </w:rPr>
              <w:t>72</w:t>
            </w:r>
          </w:p>
        </w:tc>
        <w:tc>
          <w:tcPr>
            <w:tcW w:w="810" w:type="dxa"/>
          </w:tcPr>
          <w:p w14:paraId="7330408F" w14:textId="77777777" w:rsidR="0056785D" w:rsidRPr="007C17BD" w:rsidRDefault="0056785D" w:rsidP="00CB267E">
            <w:pPr>
              <w:pStyle w:val="ExhibitText"/>
              <w:jc w:val="right"/>
              <w:rPr>
                <w:lang w:val="en-GB"/>
              </w:rPr>
            </w:pPr>
            <w:r w:rsidRPr="007C17BD">
              <w:rPr>
                <w:lang w:val="en-GB"/>
              </w:rPr>
              <w:t>271</w:t>
            </w:r>
          </w:p>
        </w:tc>
      </w:tr>
      <w:tr w:rsidR="0056785D" w:rsidRPr="007C17BD" w14:paraId="2646FBA0" w14:textId="77777777" w:rsidTr="0056785D">
        <w:trPr>
          <w:jc w:val="center"/>
        </w:trPr>
        <w:tc>
          <w:tcPr>
            <w:tcW w:w="3116" w:type="dxa"/>
          </w:tcPr>
          <w:p w14:paraId="62CBA2C2" w14:textId="77777777" w:rsidR="0056785D" w:rsidRPr="007C17BD" w:rsidRDefault="0056785D" w:rsidP="0056785D">
            <w:pPr>
              <w:pStyle w:val="ExhibitText"/>
              <w:rPr>
                <w:lang w:val="en-GB"/>
              </w:rPr>
            </w:pPr>
            <w:r w:rsidRPr="007C17BD">
              <w:rPr>
                <w:lang w:val="en-GB"/>
              </w:rPr>
              <w:t>Operating Margin</w:t>
            </w:r>
          </w:p>
        </w:tc>
        <w:tc>
          <w:tcPr>
            <w:tcW w:w="839" w:type="dxa"/>
          </w:tcPr>
          <w:p w14:paraId="392FDAC6" w14:textId="77777777" w:rsidR="0056785D" w:rsidRPr="007C17BD" w:rsidRDefault="0056785D" w:rsidP="00CB267E">
            <w:pPr>
              <w:pStyle w:val="ExhibitText"/>
              <w:jc w:val="right"/>
              <w:rPr>
                <w:lang w:val="en-GB"/>
              </w:rPr>
            </w:pPr>
            <w:r w:rsidRPr="007C17BD">
              <w:rPr>
                <w:lang w:val="en-GB"/>
              </w:rPr>
              <w:t>27</w:t>
            </w:r>
          </w:p>
        </w:tc>
        <w:tc>
          <w:tcPr>
            <w:tcW w:w="810" w:type="dxa"/>
          </w:tcPr>
          <w:p w14:paraId="7BE89FCA" w14:textId="77777777" w:rsidR="0056785D" w:rsidRPr="007C17BD" w:rsidRDefault="0056785D" w:rsidP="00CB267E">
            <w:pPr>
              <w:pStyle w:val="ExhibitText"/>
              <w:jc w:val="right"/>
              <w:rPr>
                <w:lang w:val="en-GB"/>
              </w:rPr>
            </w:pPr>
            <w:r w:rsidRPr="007C17BD">
              <w:rPr>
                <w:lang w:val="en-GB"/>
              </w:rPr>
              <w:t>219</w:t>
            </w:r>
          </w:p>
        </w:tc>
      </w:tr>
      <w:tr w:rsidR="0056785D" w:rsidRPr="007C17BD" w14:paraId="6E6DC0BA" w14:textId="77777777" w:rsidTr="0056785D">
        <w:trPr>
          <w:jc w:val="center"/>
        </w:trPr>
        <w:tc>
          <w:tcPr>
            <w:tcW w:w="3116" w:type="dxa"/>
          </w:tcPr>
          <w:p w14:paraId="0C2FEAB1" w14:textId="77777777" w:rsidR="0056785D" w:rsidRPr="007C17BD" w:rsidRDefault="0056785D" w:rsidP="0056785D">
            <w:pPr>
              <w:pStyle w:val="ExhibitText"/>
              <w:rPr>
                <w:lang w:val="en-GB"/>
              </w:rPr>
            </w:pPr>
            <w:r w:rsidRPr="007C17BD">
              <w:rPr>
                <w:lang w:val="en-GB"/>
              </w:rPr>
              <w:t>Other Income</w:t>
            </w:r>
          </w:p>
        </w:tc>
        <w:tc>
          <w:tcPr>
            <w:tcW w:w="839" w:type="dxa"/>
          </w:tcPr>
          <w:p w14:paraId="254B394E" w14:textId="77777777" w:rsidR="0056785D" w:rsidRPr="007C17BD" w:rsidRDefault="0056785D" w:rsidP="00CB267E">
            <w:pPr>
              <w:pStyle w:val="ExhibitText"/>
              <w:jc w:val="right"/>
              <w:rPr>
                <w:lang w:val="en-GB"/>
              </w:rPr>
            </w:pPr>
            <w:r w:rsidRPr="007C17BD">
              <w:rPr>
                <w:lang w:val="en-GB"/>
              </w:rPr>
              <w:t>32</w:t>
            </w:r>
          </w:p>
        </w:tc>
        <w:tc>
          <w:tcPr>
            <w:tcW w:w="810" w:type="dxa"/>
          </w:tcPr>
          <w:p w14:paraId="51E2373B" w14:textId="77777777" w:rsidR="0056785D" w:rsidRPr="007C17BD" w:rsidRDefault="0056785D" w:rsidP="00CB267E">
            <w:pPr>
              <w:pStyle w:val="ExhibitText"/>
              <w:jc w:val="right"/>
              <w:rPr>
                <w:lang w:val="en-GB"/>
              </w:rPr>
            </w:pPr>
            <w:r w:rsidRPr="007C17BD">
              <w:rPr>
                <w:lang w:val="en-GB"/>
              </w:rPr>
              <w:t>1</w:t>
            </w:r>
          </w:p>
        </w:tc>
      </w:tr>
      <w:tr w:rsidR="0056785D" w:rsidRPr="007C17BD" w14:paraId="23BA337A" w14:textId="77777777" w:rsidTr="0056785D">
        <w:trPr>
          <w:jc w:val="center"/>
        </w:trPr>
        <w:tc>
          <w:tcPr>
            <w:tcW w:w="3116" w:type="dxa"/>
          </w:tcPr>
          <w:p w14:paraId="038787CD" w14:textId="77777777" w:rsidR="0056785D" w:rsidRPr="007C17BD" w:rsidRDefault="0056785D" w:rsidP="00207A5A">
            <w:pPr>
              <w:pStyle w:val="ExhibitText"/>
              <w:jc w:val="left"/>
              <w:rPr>
                <w:i/>
                <w:iCs/>
                <w:color w:val="404040" w:themeColor="text1" w:themeTint="BF"/>
                <w:lang w:val="en-GB" w:eastAsia="en-US"/>
              </w:rPr>
            </w:pPr>
            <w:r w:rsidRPr="007C17BD">
              <w:rPr>
                <w:lang w:val="en-GB"/>
              </w:rPr>
              <w:t>Earnings before Tax and Exception</w:t>
            </w:r>
          </w:p>
        </w:tc>
        <w:tc>
          <w:tcPr>
            <w:tcW w:w="839" w:type="dxa"/>
          </w:tcPr>
          <w:p w14:paraId="01716A11" w14:textId="77777777" w:rsidR="0056785D" w:rsidRPr="007C17BD" w:rsidRDefault="0056785D" w:rsidP="00CB267E">
            <w:pPr>
              <w:pStyle w:val="ExhibitText"/>
              <w:jc w:val="right"/>
              <w:rPr>
                <w:lang w:val="en-GB"/>
              </w:rPr>
            </w:pPr>
            <w:r w:rsidRPr="007C17BD">
              <w:rPr>
                <w:lang w:val="en-GB"/>
              </w:rPr>
              <w:t>59</w:t>
            </w:r>
          </w:p>
        </w:tc>
        <w:tc>
          <w:tcPr>
            <w:tcW w:w="810" w:type="dxa"/>
          </w:tcPr>
          <w:p w14:paraId="76FEB031" w14:textId="77777777" w:rsidR="0056785D" w:rsidRPr="007C17BD" w:rsidRDefault="0056785D" w:rsidP="00CB267E">
            <w:pPr>
              <w:pStyle w:val="ExhibitText"/>
              <w:jc w:val="right"/>
              <w:rPr>
                <w:lang w:val="en-GB"/>
              </w:rPr>
            </w:pPr>
            <w:r w:rsidRPr="007C17BD">
              <w:rPr>
                <w:lang w:val="en-GB"/>
              </w:rPr>
              <w:t>220</w:t>
            </w:r>
          </w:p>
        </w:tc>
      </w:tr>
      <w:tr w:rsidR="0056785D" w:rsidRPr="007C17BD" w14:paraId="3E0F8AD7" w14:textId="77777777" w:rsidTr="0056785D">
        <w:trPr>
          <w:jc w:val="center"/>
        </w:trPr>
        <w:tc>
          <w:tcPr>
            <w:tcW w:w="3116" w:type="dxa"/>
          </w:tcPr>
          <w:p w14:paraId="39558F16" w14:textId="3D43CA75" w:rsidR="0056785D" w:rsidRPr="007C17BD" w:rsidRDefault="0056785D" w:rsidP="003B7DFC">
            <w:pPr>
              <w:pStyle w:val="ExhibitText"/>
              <w:rPr>
                <w:lang w:val="en-GB"/>
              </w:rPr>
            </w:pPr>
            <w:r w:rsidRPr="007C17BD">
              <w:rPr>
                <w:lang w:val="en-GB"/>
              </w:rPr>
              <w:t xml:space="preserve">PAT </w:t>
            </w:r>
            <w:r w:rsidR="003B7DFC">
              <w:rPr>
                <w:lang w:val="en-GB"/>
              </w:rPr>
              <w:t>P</w:t>
            </w:r>
            <w:r w:rsidRPr="007C17BD">
              <w:rPr>
                <w:lang w:val="en-GB"/>
              </w:rPr>
              <w:t>ost</w:t>
            </w:r>
            <w:r w:rsidR="00DC4869" w:rsidRPr="007C17BD">
              <w:rPr>
                <w:lang w:val="en-GB"/>
              </w:rPr>
              <w:t>-</w:t>
            </w:r>
            <w:r w:rsidRPr="007C17BD">
              <w:rPr>
                <w:lang w:val="en-GB"/>
              </w:rPr>
              <w:t>Exception</w:t>
            </w:r>
          </w:p>
        </w:tc>
        <w:tc>
          <w:tcPr>
            <w:tcW w:w="839" w:type="dxa"/>
          </w:tcPr>
          <w:p w14:paraId="225F0893" w14:textId="77777777" w:rsidR="0056785D" w:rsidRPr="007C17BD" w:rsidRDefault="0056785D" w:rsidP="00CB267E">
            <w:pPr>
              <w:pStyle w:val="ExhibitText"/>
              <w:jc w:val="right"/>
              <w:rPr>
                <w:lang w:val="en-GB"/>
              </w:rPr>
            </w:pPr>
            <w:r w:rsidRPr="007C17BD">
              <w:rPr>
                <w:lang w:val="en-GB"/>
              </w:rPr>
              <w:t>59</w:t>
            </w:r>
          </w:p>
        </w:tc>
        <w:tc>
          <w:tcPr>
            <w:tcW w:w="810" w:type="dxa"/>
          </w:tcPr>
          <w:p w14:paraId="32D8B11E" w14:textId="77777777" w:rsidR="0056785D" w:rsidRPr="007C17BD" w:rsidRDefault="0056785D" w:rsidP="00CB267E">
            <w:pPr>
              <w:pStyle w:val="ExhibitText"/>
              <w:jc w:val="right"/>
              <w:rPr>
                <w:lang w:val="en-GB"/>
              </w:rPr>
            </w:pPr>
            <w:r w:rsidRPr="007C17BD">
              <w:rPr>
                <w:lang w:val="en-GB"/>
              </w:rPr>
              <w:t>220</w:t>
            </w:r>
          </w:p>
        </w:tc>
      </w:tr>
    </w:tbl>
    <w:p w14:paraId="754E23C2" w14:textId="77777777" w:rsidR="0056785D" w:rsidRPr="007C17BD" w:rsidRDefault="0056785D" w:rsidP="0056785D">
      <w:pPr>
        <w:pStyle w:val="Footnote"/>
        <w:rPr>
          <w:lang w:val="en-GB"/>
        </w:rPr>
      </w:pPr>
    </w:p>
    <w:p w14:paraId="257D4A0D" w14:textId="36526F5F" w:rsidR="002C2F3F" w:rsidRPr="007C17BD" w:rsidRDefault="002C2F3F" w:rsidP="0056785D">
      <w:pPr>
        <w:pStyle w:val="Footnote"/>
        <w:rPr>
          <w:lang w:val="en-GB"/>
        </w:rPr>
      </w:pPr>
      <w:r w:rsidRPr="007C17BD">
        <w:rPr>
          <w:lang w:val="en-GB"/>
        </w:rPr>
        <w:t>Note: ₹ = INR = Indian rupee; US$1</w:t>
      </w:r>
      <w:r w:rsidR="00306057" w:rsidRPr="007C17BD">
        <w:rPr>
          <w:lang w:val="en-GB"/>
        </w:rPr>
        <w:t>.00</w:t>
      </w:r>
      <w:r w:rsidRPr="007C17BD">
        <w:rPr>
          <w:lang w:val="en-GB"/>
        </w:rPr>
        <w:t xml:space="preserve"> = ₹</w:t>
      </w:r>
      <w:r w:rsidR="00B357C8" w:rsidRPr="007C17BD">
        <w:rPr>
          <w:lang w:val="en-GB"/>
        </w:rPr>
        <w:t xml:space="preserve"> 63.18</w:t>
      </w:r>
      <w:r w:rsidRPr="007C17BD">
        <w:rPr>
          <w:lang w:val="en-GB"/>
        </w:rPr>
        <w:t xml:space="preserve"> on</w:t>
      </w:r>
      <w:r w:rsidR="00B357C8" w:rsidRPr="007C17BD">
        <w:rPr>
          <w:lang w:val="en-GB"/>
        </w:rPr>
        <w:t xml:space="preserve"> December</w:t>
      </w:r>
      <w:r w:rsidR="00CB3DEB" w:rsidRPr="007C17BD">
        <w:rPr>
          <w:lang w:val="en-GB"/>
        </w:rPr>
        <w:t xml:space="preserve"> 31,</w:t>
      </w:r>
      <w:r w:rsidR="00B357C8" w:rsidRPr="007C17BD">
        <w:rPr>
          <w:lang w:val="en-GB"/>
        </w:rPr>
        <w:t xml:space="preserve"> 2014</w:t>
      </w:r>
      <w:r w:rsidR="00CB3DEB" w:rsidRPr="007C17BD">
        <w:rPr>
          <w:lang w:val="en-GB"/>
        </w:rPr>
        <w:t>;</w:t>
      </w:r>
      <w:r w:rsidRPr="007C17BD">
        <w:rPr>
          <w:lang w:val="en-GB"/>
        </w:rPr>
        <w:t xml:space="preserve"> </w:t>
      </w:r>
      <w:r w:rsidR="00DC4869" w:rsidRPr="007C17BD">
        <w:rPr>
          <w:lang w:val="en-GB"/>
        </w:rPr>
        <w:t xml:space="preserve">FY = fiscal year, </w:t>
      </w:r>
      <w:r w:rsidRPr="007C17BD">
        <w:rPr>
          <w:lang w:val="en-GB"/>
        </w:rPr>
        <w:t>EBIDTA = earnings before interest, depreciation, taxes, and amortization; PAT = profit after tax</w:t>
      </w:r>
    </w:p>
    <w:p w14:paraId="51BEB885" w14:textId="7F40275F" w:rsidR="0056785D" w:rsidRPr="007C17BD" w:rsidRDefault="0056785D" w:rsidP="00207A5A">
      <w:pPr>
        <w:pStyle w:val="Footnote"/>
        <w:jc w:val="left"/>
        <w:rPr>
          <w:lang w:val="en-GB"/>
        </w:rPr>
      </w:pPr>
      <w:r w:rsidRPr="007C17BD">
        <w:rPr>
          <w:lang w:val="en-GB"/>
        </w:rPr>
        <w:t xml:space="preserve">Source: </w:t>
      </w:r>
      <w:r w:rsidR="00DC4869" w:rsidRPr="007C17BD">
        <w:rPr>
          <w:lang w:val="en-GB"/>
        </w:rPr>
        <w:t xml:space="preserve">Kaya Skin Clinic, </w:t>
      </w:r>
      <w:r w:rsidR="00555A77" w:rsidRPr="007C17BD">
        <w:rPr>
          <w:i/>
          <w:lang w:val="en-GB"/>
        </w:rPr>
        <w:t>Kaya Leader in Specialty Skin Care: Investor Presentation</w:t>
      </w:r>
      <w:r w:rsidR="00555A77" w:rsidRPr="007C17BD">
        <w:rPr>
          <w:lang w:val="en-GB"/>
        </w:rPr>
        <w:t xml:space="preserve">, 46, accessed April 20, 2016, </w:t>
      </w:r>
      <w:hyperlink r:id="rId11" w:history="1">
        <w:r w:rsidR="00555A77" w:rsidRPr="007C17BD">
          <w:rPr>
            <w:lang w:val="en-GB"/>
          </w:rPr>
          <w:t>www.kaya.in/investors/pdf/Corporate%20Presentation%20-%20July%202015.pdf</w:t>
        </w:r>
      </w:hyperlink>
      <w:r w:rsidR="00555A77" w:rsidRPr="007C17BD">
        <w:rPr>
          <w:lang w:val="en-GB"/>
        </w:rPr>
        <w:t>.</w:t>
      </w:r>
      <w:r w:rsidRPr="007C17BD">
        <w:rPr>
          <w:lang w:val="en-GB"/>
        </w:rPr>
        <w:t xml:space="preserve"> </w:t>
      </w:r>
    </w:p>
    <w:p w14:paraId="1CB9A7A7" w14:textId="77777777" w:rsidR="0056785D" w:rsidRPr="007C17BD" w:rsidRDefault="0056785D" w:rsidP="0056785D">
      <w:pPr>
        <w:pStyle w:val="Footnote"/>
        <w:rPr>
          <w:lang w:val="en-GB"/>
        </w:rPr>
      </w:pPr>
    </w:p>
    <w:p w14:paraId="19616346" w14:textId="77777777" w:rsidR="000B13DE" w:rsidRPr="007C17BD" w:rsidRDefault="000B13DE">
      <w:pPr>
        <w:spacing w:after="200" w:line="276" w:lineRule="auto"/>
        <w:rPr>
          <w:rFonts w:ascii="Arial" w:hAnsi="Arial" w:cs="Arial"/>
          <w:sz w:val="17"/>
          <w:szCs w:val="17"/>
          <w:lang w:val="en-GB"/>
        </w:rPr>
      </w:pPr>
      <w:r w:rsidRPr="007C17BD">
        <w:rPr>
          <w:lang w:val="en-GB"/>
        </w:rPr>
        <w:br w:type="page"/>
      </w:r>
    </w:p>
    <w:p w14:paraId="482A3159" w14:textId="50C3A06E" w:rsidR="0056785D" w:rsidRPr="007C17BD" w:rsidRDefault="0056785D" w:rsidP="0056785D">
      <w:pPr>
        <w:pStyle w:val="ExhibitHeading"/>
        <w:rPr>
          <w:lang w:val="en-GB"/>
        </w:rPr>
      </w:pPr>
      <w:r w:rsidRPr="007C17BD">
        <w:rPr>
          <w:lang w:val="en-GB"/>
        </w:rPr>
        <w:lastRenderedPageBreak/>
        <w:t xml:space="preserve">Exhibit </w:t>
      </w:r>
      <w:r w:rsidR="001A09B2" w:rsidRPr="007C17BD">
        <w:rPr>
          <w:lang w:val="en-GB"/>
        </w:rPr>
        <w:t>4</w:t>
      </w:r>
      <w:r w:rsidRPr="007C17BD">
        <w:rPr>
          <w:lang w:val="en-GB"/>
        </w:rPr>
        <w:t xml:space="preserve">: </w:t>
      </w:r>
      <w:r w:rsidR="00D45526" w:rsidRPr="007C17BD">
        <w:rPr>
          <w:lang w:val="en-GB"/>
        </w:rPr>
        <w:t xml:space="preserve">Kaya Skin Clinic </w:t>
      </w:r>
      <w:r w:rsidRPr="007C17BD">
        <w:rPr>
          <w:lang w:val="en-GB"/>
        </w:rPr>
        <w:t>St</w:t>
      </w:r>
      <w:r w:rsidR="00A20C6D" w:rsidRPr="007C17BD">
        <w:rPr>
          <w:lang w:val="en-GB"/>
        </w:rPr>
        <w:t>atement of Comprehensive Income</w:t>
      </w:r>
      <w:r w:rsidR="00D45526" w:rsidRPr="007C17BD">
        <w:rPr>
          <w:lang w:val="en-GB"/>
        </w:rPr>
        <w:t>, 2014–2015</w:t>
      </w:r>
      <w:r w:rsidR="00207A5A" w:rsidRPr="007C17BD">
        <w:rPr>
          <w:lang w:val="en-GB"/>
        </w:rPr>
        <w:t xml:space="preserve"> (in AED)</w:t>
      </w:r>
    </w:p>
    <w:p w14:paraId="15B3F0A9" w14:textId="77777777" w:rsidR="00A20C6D" w:rsidRPr="007C17BD" w:rsidRDefault="00A20C6D" w:rsidP="0056785D">
      <w:pPr>
        <w:pStyle w:val="ExhibitHeading"/>
        <w:rPr>
          <w:lang w:val="en-GB"/>
        </w:rPr>
      </w:pPr>
    </w:p>
    <w:tbl>
      <w:tblPr>
        <w:tblStyle w:val="TableGrid"/>
        <w:tblW w:w="0" w:type="auto"/>
        <w:jc w:val="center"/>
        <w:tblLook w:val="04A0" w:firstRow="1" w:lastRow="0" w:firstColumn="1" w:lastColumn="0" w:noHBand="0" w:noVBand="1"/>
      </w:tblPr>
      <w:tblGrid>
        <w:gridCol w:w="3872"/>
        <w:gridCol w:w="1618"/>
        <w:gridCol w:w="1618"/>
      </w:tblGrid>
      <w:tr w:rsidR="003B7C13" w:rsidRPr="007C17BD" w14:paraId="658C34DB" w14:textId="77777777" w:rsidTr="003B7C13">
        <w:trPr>
          <w:jc w:val="center"/>
        </w:trPr>
        <w:tc>
          <w:tcPr>
            <w:tcW w:w="3872" w:type="dxa"/>
          </w:tcPr>
          <w:p w14:paraId="33244841" w14:textId="77777777" w:rsidR="003B7C13" w:rsidRPr="007C17BD" w:rsidRDefault="003B7C13" w:rsidP="00D13D0A">
            <w:pPr>
              <w:pStyle w:val="ExhibitText"/>
              <w:jc w:val="center"/>
              <w:rPr>
                <w:b/>
                <w:sz w:val="19"/>
                <w:szCs w:val="19"/>
                <w:lang w:val="en-GB"/>
              </w:rPr>
            </w:pPr>
            <w:r w:rsidRPr="007C17BD">
              <w:rPr>
                <w:b/>
                <w:sz w:val="19"/>
                <w:szCs w:val="19"/>
                <w:lang w:val="en-GB"/>
              </w:rPr>
              <w:t>Variable</w:t>
            </w:r>
          </w:p>
        </w:tc>
        <w:tc>
          <w:tcPr>
            <w:tcW w:w="1618" w:type="dxa"/>
          </w:tcPr>
          <w:p w14:paraId="071AE15C" w14:textId="77777777" w:rsidR="003B7C13" w:rsidRPr="007C17BD" w:rsidRDefault="003B7C13" w:rsidP="003B7C13">
            <w:pPr>
              <w:pStyle w:val="ExhibitText"/>
              <w:jc w:val="center"/>
              <w:rPr>
                <w:b/>
                <w:sz w:val="19"/>
                <w:szCs w:val="19"/>
                <w:lang w:val="en-GB"/>
              </w:rPr>
            </w:pPr>
            <w:r w:rsidRPr="007C17BD">
              <w:rPr>
                <w:b/>
                <w:sz w:val="19"/>
                <w:szCs w:val="19"/>
                <w:lang w:val="en-GB"/>
              </w:rPr>
              <w:t>Year ended</w:t>
            </w:r>
          </w:p>
          <w:p w14:paraId="256F2E00" w14:textId="05E22E62" w:rsidR="003B7C13" w:rsidRPr="007C17BD" w:rsidRDefault="003B7C13" w:rsidP="00207A5A">
            <w:pPr>
              <w:pStyle w:val="ExhibitText"/>
              <w:jc w:val="center"/>
              <w:rPr>
                <w:b/>
                <w:sz w:val="19"/>
                <w:szCs w:val="19"/>
                <w:lang w:val="en-GB"/>
              </w:rPr>
            </w:pPr>
            <w:r w:rsidRPr="007C17BD">
              <w:rPr>
                <w:b/>
                <w:sz w:val="19"/>
                <w:szCs w:val="19"/>
                <w:lang w:val="en-GB"/>
              </w:rPr>
              <w:t>March 31, 2014</w:t>
            </w:r>
          </w:p>
        </w:tc>
        <w:tc>
          <w:tcPr>
            <w:tcW w:w="1618" w:type="dxa"/>
          </w:tcPr>
          <w:p w14:paraId="11F4BCAF" w14:textId="03A966F3" w:rsidR="003B7C13" w:rsidRPr="007C17BD" w:rsidRDefault="003B7C13" w:rsidP="00D13D0A">
            <w:pPr>
              <w:pStyle w:val="ExhibitText"/>
              <w:jc w:val="center"/>
              <w:rPr>
                <w:b/>
                <w:sz w:val="19"/>
                <w:szCs w:val="19"/>
                <w:lang w:val="en-GB"/>
              </w:rPr>
            </w:pPr>
            <w:r w:rsidRPr="007C17BD">
              <w:rPr>
                <w:b/>
                <w:sz w:val="19"/>
                <w:szCs w:val="19"/>
                <w:lang w:val="en-GB"/>
              </w:rPr>
              <w:t>Year ended</w:t>
            </w:r>
          </w:p>
          <w:p w14:paraId="4BB634FF" w14:textId="511A0CA3" w:rsidR="003B7C13" w:rsidRPr="007C17BD" w:rsidRDefault="003B7C13" w:rsidP="00207A5A">
            <w:pPr>
              <w:pStyle w:val="ExhibitText"/>
              <w:jc w:val="center"/>
              <w:rPr>
                <w:b/>
                <w:sz w:val="19"/>
                <w:szCs w:val="19"/>
                <w:lang w:val="en-GB"/>
              </w:rPr>
            </w:pPr>
            <w:r w:rsidRPr="007C17BD">
              <w:rPr>
                <w:b/>
                <w:sz w:val="19"/>
                <w:szCs w:val="19"/>
                <w:lang w:val="en-GB"/>
              </w:rPr>
              <w:t>March 31, 2015</w:t>
            </w:r>
          </w:p>
        </w:tc>
      </w:tr>
      <w:tr w:rsidR="003B7C13" w:rsidRPr="007C17BD" w14:paraId="7A35102F" w14:textId="77777777" w:rsidTr="003B7C13">
        <w:trPr>
          <w:jc w:val="center"/>
        </w:trPr>
        <w:tc>
          <w:tcPr>
            <w:tcW w:w="3872" w:type="dxa"/>
          </w:tcPr>
          <w:p w14:paraId="4ED4AFC4" w14:textId="77777777" w:rsidR="003B7C13" w:rsidRPr="007C17BD" w:rsidRDefault="003B7C13" w:rsidP="00CE521C">
            <w:pPr>
              <w:pStyle w:val="ExhibitText"/>
              <w:jc w:val="left"/>
              <w:rPr>
                <w:sz w:val="19"/>
                <w:szCs w:val="19"/>
                <w:lang w:val="en-GB"/>
              </w:rPr>
            </w:pPr>
            <w:r w:rsidRPr="007C17BD">
              <w:rPr>
                <w:sz w:val="19"/>
                <w:szCs w:val="19"/>
                <w:lang w:val="en-GB"/>
              </w:rPr>
              <w:t>Revenue</w:t>
            </w:r>
          </w:p>
        </w:tc>
        <w:tc>
          <w:tcPr>
            <w:tcW w:w="1618" w:type="dxa"/>
          </w:tcPr>
          <w:p w14:paraId="1F71FDC2" w14:textId="7F342B2E" w:rsidR="003B7C13" w:rsidRPr="007C17BD" w:rsidRDefault="003B7C13" w:rsidP="00CE521C">
            <w:pPr>
              <w:pStyle w:val="ExhibitText"/>
              <w:jc w:val="right"/>
              <w:rPr>
                <w:sz w:val="19"/>
                <w:szCs w:val="19"/>
                <w:lang w:val="en-GB"/>
              </w:rPr>
            </w:pPr>
            <w:r w:rsidRPr="007C17BD">
              <w:rPr>
                <w:sz w:val="19"/>
                <w:szCs w:val="19"/>
                <w:lang w:val="en-GB"/>
              </w:rPr>
              <w:t>83,717,035</w:t>
            </w:r>
          </w:p>
        </w:tc>
        <w:tc>
          <w:tcPr>
            <w:tcW w:w="1618" w:type="dxa"/>
          </w:tcPr>
          <w:p w14:paraId="5067D5DB" w14:textId="5247C9A5" w:rsidR="003B7C13" w:rsidRPr="007C17BD" w:rsidRDefault="003B7C13" w:rsidP="00CE521C">
            <w:pPr>
              <w:pStyle w:val="ExhibitText"/>
              <w:jc w:val="right"/>
              <w:rPr>
                <w:sz w:val="19"/>
                <w:szCs w:val="19"/>
                <w:lang w:val="en-GB"/>
              </w:rPr>
            </w:pPr>
            <w:r w:rsidRPr="007C17BD">
              <w:rPr>
                <w:sz w:val="19"/>
                <w:szCs w:val="19"/>
                <w:lang w:val="en-GB"/>
              </w:rPr>
              <w:t>95,577,975</w:t>
            </w:r>
          </w:p>
        </w:tc>
      </w:tr>
      <w:tr w:rsidR="003B7C13" w:rsidRPr="007C17BD" w14:paraId="0B5AA399" w14:textId="77777777" w:rsidTr="003B7C13">
        <w:trPr>
          <w:jc w:val="center"/>
        </w:trPr>
        <w:tc>
          <w:tcPr>
            <w:tcW w:w="3872" w:type="dxa"/>
          </w:tcPr>
          <w:p w14:paraId="60BADA60" w14:textId="77777777" w:rsidR="003B7C13" w:rsidRPr="007C17BD" w:rsidRDefault="003B7C13" w:rsidP="00CE521C">
            <w:pPr>
              <w:pStyle w:val="ExhibitText"/>
              <w:jc w:val="left"/>
              <w:rPr>
                <w:sz w:val="19"/>
                <w:szCs w:val="19"/>
                <w:lang w:val="en-GB"/>
              </w:rPr>
            </w:pPr>
            <w:r w:rsidRPr="007C17BD">
              <w:rPr>
                <w:sz w:val="19"/>
                <w:szCs w:val="19"/>
                <w:lang w:val="en-GB"/>
              </w:rPr>
              <w:t>Direct Cost</w:t>
            </w:r>
          </w:p>
        </w:tc>
        <w:tc>
          <w:tcPr>
            <w:tcW w:w="1618" w:type="dxa"/>
          </w:tcPr>
          <w:p w14:paraId="4A151F18" w14:textId="187BF0FC" w:rsidR="003B7C13" w:rsidRPr="007C17BD" w:rsidRDefault="00BA7E76" w:rsidP="006A05E7">
            <w:pPr>
              <w:pStyle w:val="ExhibitText"/>
              <w:jc w:val="right"/>
              <w:rPr>
                <w:sz w:val="19"/>
                <w:szCs w:val="19"/>
                <w:lang w:val="en-GB"/>
              </w:rPr>
            </w:pPr>
            <w:r>
              <w:rPr>
                <w:sz w:val="19"/>
                <w:szCs w:val="19"/>
                <w:lang w:val="en-GB"/>
              </w:rPr>
              <w:t>−</w:t>
            </w:r>
            <w:r w:rsidR="003B7C13" w:rsidRPr="007C17BD">
              <w:rPr>
                <w:sz w:val="19"/>
                <w:szCs w:val="19"/>
                <w:lang w:val="en-GB"/>
              </w:rPr>
              <w:t>52,932,264</w:t>
            </w:r>
          </w:p>
        </w:tc>
        <w:tc>
          <w:tcPr>
            <w:tcW w:w="1618" w:type="dxa"/>
          </w:tcPr>
          <w:p w14:paraId="7B588617" w14:textId="464CA32B" w:rsidR="003B7C13" w:rsidRPr="007C17BD" w:rsidRDefault="00BA7E76">
            <w:pPr>
              <w:pStyle w:val="ExhibitText"/>
              <w:jc w:val="right"/>
              <w:rPr>
                <w:sz w:val="19"/>
                <w:szCs w:val="19"/>
                <w:lang w:val="en-GB"/>
              </w:rPr>
            </w:pPr>
            <w:r>
              <w:rPr>
                <w:sz w:val="19"/>
                <w:szCs w:val="19"/>
                <w:lang w:val="en-GB"/>
              </w:rPr>
              <w:t>−</w:t>
            </w:r>
            <w:r w:rsidR="003B7C13" w:rsidRPr="007C17BD">
              <w:rPr>
                <w:sz w:val="19"/>
                <w:szCs w:val="19"/>
                <w:lang w:val="en-GB"/>
              </w:rPr>
              <w:t>53,597,184</w:t>
            </w:r>
          </w:p>
        </w:tc>
      </w:tr>
      <w:tr w:rsidR="003B7C13" w:rsidRPr="007C17BD" w14:paraId="7909670B" w14:textId="77777777" w:rsidTr="003B7C13">
        <w:trPr>
          <w:jc w:val="center"/>
        </w:trPr>
        <w:tc>
          <w:tcPr>
            <w:tcW w:w="3872" w:type="dxa"/>
          </w:tcPr>
          <w:p w14:paraId="2F42DC2E" w14:textId="77777777" w:rsidR="003B7C13" w:rsidRPr="007C17BD" w:rsidRDefault="003B7C13" w:rsidP="00CE521C">
            <w:pPr>
              <w:pStyle w:val="ExhibitText"/>
              <w:jc w:val="left"/>
              <w:rPr>
                <w:sz w:val="19"/>
                <w:szCs w:val="19"/>
                <w:lang w:val="en-GB"/>
              </w:rPr>
            </w:pPr>
            <w:r w:rsidRPr="007C17BD">
              <w:rPr>
                <w:sz w:val="19"/>
                <w:szCs w:val="19"/>
                <w:lang w:val="en-GB"/>
              </w:rPr>
              <w:t>Gross Profit</w:t>
            </w:r>
          </w:p>
        </w:tc>
        <w:tc>
          <w:tcPr>
            <w:tcW w:w="1618" w:type="dxa"/>
          </w:tcPr>
          <w:p w14:paraId="44BF3DC7" w14:textId="5F5809EC" w:rsidR="003B7C13" w:rsidRPr="007C17BD" w:rsidRDefault="003B7C13" w:rsidP="00CE521C">
            <w:pPr>
              <w:pStyle w:val="ExhibitText"/>
              <w:jc w:val="right"/>
              <w:rPr>
                <w:sz w:val="19"/>
                <w:szCs w:val="19"/>
                <w:lang w:val="en-GB"/>
              </w:rPr>
            </w:pPr>
            <w:r w:rsidRPr="007C17BD">
              <w:rPr>
                <w:sz w:val="19"/>
                <w:szCs w:val="19"/>
                <w:lang w:val="en-GB"/>
              </w:rPr>
              <w:t>30,784,771</w:t>
            </w:r>
          </w:p>
        </w:tc>
        <w:tc>
          <w:tcPr>
            <w:tcW w:w="1618" w:type="dxa"/>
          </w:tcPr>
          <w:p w14:paraId="3305A202" w14:textId="2D65E0D6" w:rsidR="003B7C13" w:rsidRPr="007C17BD" w:rsidRDefault="003B7C13" w:rsidP="00CE521C">
            <w:pPr>
              <w:pStyle w:val="ExhibitText"/>
              <w:jc w:val="right"/>
              <w:rPr>
                <w:sz w:val="19"/>
                <w:szCs w:val="19"/>
                <w:lang w:val="en-GB"/>
              </w:rPr>
            </w:pPr>
            <w:r w:rsidRPr="007C17BD">
              <w:rPr>
                <w:sz w:val="19"/>
                <w:szCs w:val="19"/>
                <w:lang w:val="en-GB"/>
              </w:rPr>
              <w:t>41,980,791</w:t>
            </w:r>
          </w:p>
        </w:tc>
      </w:tr>
      <w:tr w:rsidR="003B7C13" w:rsidRPr="007C17BD" w14:paraId="5B8C4872" w14:textId="77777777" w:rsidTr="003B7C13">
        <w:trPr>
          <w:jc w:val="center"/>
        </w:trPr>
        <w:tc>
          <w:tcPr>
            <w:tcW w:w="3872" w:type="dxa"/>
          </w:tcPr>
          <w:p w14:paraId="78C3014F" w14:textId="77777777" w:rsidR="003B7C13" w:rsidRPr="007C17BD" w:rsidRDefault="003B7C13" w:rsidP="00CE521C">
            <w:pPr>
              <w:pStyle w:val="ExhibitText"/>
              <w:jc w:val="left"/>
              <w:rPr>
                <w:sz w:val="19"/>
                <w:szCs w:val="19"/>
                <w:lang w:val="en-GB"/>
              </w:rPr>
            </w:pPr>
            <w:r w:rsidRPr="007C17BD">
              <w:rPr>
                <w:sz w:val="19"/>
                <w:szCs w:val="19"/>
                <w:lang w:val="en-GB"/>
              </w:rPr>
              <w:t>Other Operating Income</w:t>
            </w:r>
          </w:p>
        </w:tc>
        <w:tc>
          <w:tcPr>
            <w:tcW w:w="1618" w:type="dxa"/>
          </w:tcPr>
          <w:p w14:paraId="7A2263DA" w14:textId="4F8181E5" w:rsidR="003B7C13" w:rsidRPr="007C17BD" w:rsidRDefault="003B7C13" w:rsidP="00CE521C">
            <w:pPr>
              <w:pStyle w:val="ExhibitText"/>
              <w:jc w:val="right"/>
              <w:rPr>
                <w:sz w:val="19"/>
                <w:szCs w:val="19"/>
                <w:lang w:val="en-GB"/>
              </w:rPr>
            </w:pPr>
            <w:r w:rsidRPr="007C17BD">
              <w:rPr>
                <w:sz w:val="19"/>
                <w:szCs w:val="19"/>
                <w:lang w:val="en-GB"/>
              </w:rPr>
              <w:t>33,211</w:t>
            </w:r>
          </w:p>
        </w:tc>
        <w:tc>
          <w:tcPr>
            <w:tcW w:w="1618" w:type="dxa"/>
          </w:tcPr>
          <w:p w14:paraId="6C163EB0" w14:textId="1D4F4BDC" w:rsidR="003B7C13" w:rsidRPr="007C17BD" w:rsidRDefault="003B7C13" w:rsidP="00CE521C">
            <w:pPr>
              <w:pStyle w:val="ExhibitText"/>
              <w:jc w:val="right"/>
              <w:rPr>
                <w:sz w:val="19"/>
                <w:szCs w:val="19"/>
                <w:lang w:val="en-GB"/>
              </w:rPr>
            </w:pPr>
            <w:r w:rsidRPr="007C17BD">
              <w:rPr>
                <w:sz w:val="19"/>
                <w:szCs w:val="19"/>
                <w:lang w:val="en-GB"/>
              </w:rPr>
              <w:t>74,485</w:t>
            </w:r>
          </w:p>
        </w:tc>
      </w:tr>
      <w:tr w:rsidR="003B7C13" w:rsidRPr="007C17BD" w14:paraId="59DFFA52" w14:textId="77777777" w:rsidTr="003B7C13">
        <w:trPr>
          <w:jc w:val="center"/>
        </w:trPr>
        <w:tc>
          <w:tcPr>
            <w:tcW w:w="3872" w:type="dxa"/>
          </w:tcPr>
          <w:p w14:paraId="2FC41E13" w14:textId="77777777" w:rsidR="003B7C13" w:rsidRPr="007C17BD" w:rsidRDefault="003B7C13" w:rsidP="00CE521C">
            <w:pPr>
              <w:pStyle w:val="ExhibitText"/>
              <w:jc w:val="left"/>
              <w:rPr>
                <w:sz w:val="19"/>
                <w:szCs w:val="19"/>
                <w:lang w:val="en-GB"/>
              </w:rPr>
            </w:pPr>
            <w:r w:rsidRPr="007C17BD">
              <w:rPr>
                <w:sz w:val="19"/>
                <w:szCs w:val="19"/>
                <w:lang w:val="en-GB"/>
              </w:rPr>
              <w:t xml:space="preserve">Expenses </w:t>
            </w:r>
          </w:p>
        </w:tc>
        <w:tc>
          <w:tcPr>
            <w:tcW w:w="1618" w:type="dxa"/>
          </w:tcPr>
          <w:p w14:paraId="64F88E26" w14:textId="77777777" w:rsidR="003B7C13" w:rsidRPr="007C17BD" w:rsidRDefault="003B7C13" w:rsidP="00CE521C">
            <w:pPr>
              <w:pStyle w:val="ExhibitText"/>
              <w:jc w:val="right"/>
              <w:rPr>
                <w:sz w:val="19"/>
                <w:szCs w:val="19"/>
                <w:lang w:val="en-GB"/>
              </w:rPr>
            </w:pPr>
          </w:p>
        </w:tc>
        <w:tc>
          <w:tcPr>
            <w:tcW w:w="1618" w:type="dxa"/>
          </w:tcPr>
          <w:p w14:paraId="11C27E85" w14:textId="472E8046" w:rsidR="003B7C13" w:rsidRPr="007C17BD" w:rsidRDefault="003B7C13" w:rsidP="00CE521C">
            <w:pPr>
              <w:pStyle w:val="ExhibitText"/>
              <w:jc w:val="right"/>
              <w:rPr>
                <w:sz w:val="19"/>
                <w:szCs w:val="19"/>
                <w:lang w:val="en-GB"/>
              </w:rPr>
            </w:pPr>
          </w:p>
        </w:tc>
      </w:tr>
      <w:tr w:rsidR="003B7C13" w:rsidRPr="007C17BD" w14:paraId="0391F873" w14:textId="77777777" w:rsidTr="003B7C13">
        <w:trPr>
          <w:jc w:val="center"/>
        </w:trPr>
        <w:tc>
          <w:tcPr>
            <w:tcW w:w="3872" w:type="dxa"/>
          </w:tcPr>
          <w:p w14:paraId="0093006C" w14:textId="77777777" w:rsidR="003B7C13" w:rsidRPr="007C17BD" w:rsidRDefault="003B7C13" w:rsidP="00CE521C">
            <w:pPr>
              <w:pStyle w:val="ExhibitText"/>
              <w:jc w:val="left"/>
              <w:rPr>
                <w:sz w:val="19"/>
                <w:szCs w:val="19"/>
                <w:lang w:val="en-GB"/>
              </w:rPr>
            </w:pPr>
            <w:r w:rsidRPr="007C17BD">
              <w:rPr>
                <w:sz w:val="19"/>
                <w:szCs w:val="19"/>
                <w:lang w:val="en-GB"/>
              </w:rPr>
              <w:t>Selling and Marketing Expenses</w:t>
            </w:r>
          </w:p>
        </w:tc>
        <w:tc>
          <w:tcPr>
            <w:tcW w:w="1618" w:type="dxa"/>
          </w:tcPr>
          <w:p w14:paraId="6CCC19BD" w14:textId="2FDFF065" w:rsidR="003B7C13" w:rsidRPr="007C17BD" w:rsidRDefault="00BA7E76" w:rsidP="006A05E7">
            <w:pPr>
              <w:pStyle w:val="ExhibitText"/>
              <w:jc w:val="right"/>
              <w:rPr>
                <w:sz w:val="19"/>
                <w:szCs w:val="19"/>
                <w:lang w:val="en-GB"/>
              </w:rPr>
            </w:pPr>
            <w:r>
              <w:rPr>
                <w:sz w:val="19"/>
                <w:szCs w:val="19"/>
                <w:lang w:val="en-GB"/>
              </w:rPr>
              <w:t>−</w:t>
            </w:r>
            <w:r w:rsidR="003B7C13" w:rsidRPr="007C17BD">
              <w:rPr>
                <w:sz w:val="19"/>
                <w:szCs w:val="19"/>
                <w:lang w:val="en-GB"/>
              </w:rPr>
              <w:t>5,957,807</w:t>
            </w:r>
          </w:p>
        </w:tc>
        <w:tc>
          <w:tcPr>
            <w:tcW w:w="1618" w:type="dxa"/>
          </w:tcPr>
          <w:p w14:paraId="2283E08A" w14:textId="178905A4" w:rsidR="003B7C13" w:rsidRPr="007C17BD" w:rsidRDefault="00BA7E76">
            <w:pPr>
              <w:pStyle w:val="ExhibitText"/>
              <w:jc w:val="right"/>
              <w:rPr>
                <w:sz w:val="19"/>
                <w:szCs w:val="19"/>
                <w:lang w:val="en-GB"/>
              </w:rPr>
            </w:pPr>
            <w:r>
              <w:rPr>
                <w:sz w:val="19"/>
                <w:szCs w:val="19"/>
                <w:lang w:val="en-GB"/>
              </w:rPr>
              <w:t>−</w:t>
            </w:r>
            <w:r w:rsidR="003B7C13" w:rsidRPr="007C17BD">
              <w:rPr>
                <w:sz w:val="19"/>
                <w:szCs w:val="19"/>
                <w:lang w:val="en-GB"/>
              </w:rPr>
              <w:t>5,509,799</w:t>
            </w:r>
          </w:p>
        </w:tc>
      </w:tr>
      <w:tr w:rsidR="003B7C13" w:rsidRPr="007C17BD" w14:paraId="49E74294" w14:textId="77777777" w:rsidTr="003B7C13">
        <w:trPr>
          <w:jc w:val="center"/>
        </w:trPr>
        <w:tc>
          <w:tcPr>
            <w:tcW w:w="3872" w:type="dxa"/>
          </w:tcPr>
          <w:p w14:paraId="11F4FF64" w14:textId="77777777" w:rsidR="003B7C13" w:rsidRPr="007C17BD" w:rsidRDefault="003B7C13" w:rsidP="00CE521C">
            <w:pPr>
              <w:pStyle w:val="ExhibitText"/>
              <w:jc w:val="left"/>
              <w:rPr>
                <w:sz w:val="19"/>
                <w:szCs w:val="19"/>
                <w:lang w:val="en-GB"/>
              </w:rPr>
            </w:pPr>
            <w:r w:rsidRPr="007C17BD">
              <w:rPr>
                <w:sz w:val="19"/>
                <w:szCs w:val="19"/>
                <w:lang w:val="en-GB"/>
              </w:rPr>
              <w:t>Administration and General Expenses</w:t>
            </w:r>
          </w:p>
        </w:tc>
        <w:tc>
          <w:tcPr>
            <w:tcW w:w="1618" w:type="dxa"/>
          </w:tcPr>
          <w:p w14:paraId="5AF7D324" w14:textId="5F41390F" w:rsidR="003B7C13" w:rsidRPr="007C17BD" w:rsidRDefault="00BA7E76" w:rsidP="006A05E7">
            <w:pPr>
              <w:pStyle w:val="ExhibitText"/>
              <w:jc w:val="right"/>
              <w:rPr>
                <w:sz w:val="19"/>
                <w:szCs w:val="19"/>
                <w:lang w:val="en-GB"/>
              </w:rPr>
            </w:pPr>
            <w:r>
              <w:rPr>
                <w:sz w:val="19"/>
                <w:szCs w:val="19"/>
                <w:lang w:val="en-GB"/>
              </w:rPr>
              <w:t>−</w:t>
            </w:r>
            <w:r w:rsidR="003B7C13" w:rsidRPr="007C17BD">
              <w:rPr>
                <w:sz w:val="19"/>
                <w:szCs w:val="19"/>
                <w:lang w:val="en-GB"/>
              </w:rPr>
              <w:t>21,287,132</w:t>
            </w:r>
          </w:p>
        </w:tc>
        <w:tc>
          <w:tcPr>
            <w:tcW w:w="1618" w:type="dxa"/>
          </w:tcPr>
          <w:p w14:paraId="7EF647DC" w14:textId="253302F4" w:rsidR="003B7C13" w:rsidRPr="007C17BD" w:rsidRDefault="00BA7E76">
            <w:pPr>
              <w:pStyle w:val="ExhibitText"/>
              <w:jc w:val="right"/>
              <w:rPr>
                <w:sz w:val="19"/>
                <w:szCs w:val="19"/>
                <w:lang w:val="en-GB"/>
              </w:rPr>
            </w:pPr>
            <w:r>
              <w:rPr>
                <w:sz w:val="19"/>
                <w:szCs w:val="19"/>
                <w:lang w:val="en-GB"/>
              </w:rPr>
              <w:t>−</w:t>
            </w:r>
            <w:r w:rsidR="003B7C13" w:rsidRPr="007C17BD">
              <w:rPr>
                <w:sz w:val="19"/>
                <w:szCs w:val="19"/>
                <w:lang w:val="en-GB"/>
              </w:rPr>
              <w:t>23,317,361</w:t>
            </w:r>
          </w:p>
        </w:tc>
      </w:tr>
      <w:tr w:rsidR="003B7C13" w:rsidRPr="007C17BD" w14:paraId="3058E7D0" w14:textId="77777777" w:rsidTr="00207A5A">
        <w:trPr>
          <w:trHeight w:val="166"/>
          <w:jc w:val="center"/>
        </w:trPr>
        <w:tc>
          <w:tcPr>
            <w:tcW w:w="3872" w:type="dxa"/>
          </w:tcPr>
          <w:p w14:paraId="47F20C05" w14:textId="77777777" w:rsidR="003B7C13" w:rsidRPr="007C17BD" w:rsidRDefault="003B7C13" w:rsidP="00CE521C">
            <w:pPr>
              <w:pStyle w:val="ExhibitText"/>
              <w:jc w:val="left"/>
              <w:rPr>
                <w:sz w:val="19"/>
                <w:szCs w:val="19"/>
                <w:lang w:val="en-GB"/>
              </w:rPr>
            </w:pPr>
            <w:r w:rsidRPr="007C17BD">
              <w:rPr>
                <w:sz w:val="19"/>
                <w:szCs w:val="19"/>
                <w:lang w:val="en-GB"/>
              </w:rPr>
              <w:t>Profit for the Year</w:t>
            </w:r>
          </w:p>
        </w:tc>
        <w:tc>
          <w:tcPr>
            <w:tcW w:w="1618" w:type="dxa"/>
          </w:tcPr>
          <w:p w14:paraId="76D334DE" w14:textId="085AC0DF" w:rsidR="003B7C13" w:rsidRPr="007C17BD" w:rsidRDefault="003B7C13" w:rsidP="00CE521C">
            <w:pPr>
              <w:pStyle w:val="ExhibitText"/>
              <w:jc w:val="right"/>
              <w:rPr>
                <w:sz w:val="19"/>
                <w:szCs w:val="19"/>
                <w:lang w:val="en-GB"/>
              </w:rPr>
            </w:pPr>
            <w:r w:rsidRPr="007C17BD">
              <w:rPr>
                <w:sz w:val="19"/>
                <w:szCs w:val="19"/>
                <w:lang w:val="en-GB"/>
              </w:rPr>
              <w:t>3,573,043</w:t>
            </w:r>
          </w:p>
        </w:tc>
        <w:tc>
          <w:tcPr>
            <w:tcW w:w="1618" w:type="dxa"/>
          </w:tcPr>
          <w:p w14:paraId="2BC3F701" w14:textId="20327CEF" w:rsidR="003B7C13" w:rsidRPr="007C17BD" w:rsidRDefault="003B7C13" w:rsidP="00CE521C">
            <w:pPr>
              <w:pStyle w:val="ExhibitText"/>
              <w:jc w:val="right"/>
              <w:rPr>
                <w:sz w:val="19"/>
                <w:szCs w:val="19"/>
                <w:lang w:val="en-GB"/>
              </w:rPr>
            </w:pPr>
            <w:r w:rsidRPr="007C17BD">
              <w:rPr>
                <w:sz w:val="19"/>
                <w:szCs w:val="19"/>
                <w:lang w:val="en-GB"/>
              </w:rPr>
              <w:t>13,228,116</w:t>
            </w:r>
          </w:p>
        </w:tc>
      </w:tr>
      <w:tr w:rsidR="003B7C13" w:rsidRPr="007C17BD" w14:paraId="514C086E" w14:textId="77777777" w:rsidTr="003B7C13">
        <w:trPr>
          <w:jc w:val="center"/>
        </w:trPr>
        <w:tc>
          <w:tcPr>
            <w:tcW w:w="3872" w:type="dxa"/>
          </w:tcPr>
          <w:p w14:paraId="5DC1EB88" w14:textId="77777777" w:rsidR="003B7C13" w:rsidRPr="007C17BD" w:rsidRDefault="003B7C13" w:rsidP="00CE521C">
            <w:pPr>
              <w:pStyle w:val="ExhibitText"/>
              <w:jc w:val="left"/>
              <w:rPr>
                <w:sz w:val="19"/>
                <w:szCs w:val="19"/>
                <w:lang w:val="en-GB"/>
              </w:rPr>
            </w:pPr>
            <w:r w:rsidRPr="007C17BD">
              <w:rPr>
                <w:sz w:val="19"/>
                <w:szCs w:val="19"/>
                <w:lang w:val="en-GB"/>
              </w:rPr>
              <w:t>Other Comprehensive Income</w:t>
            </w:r>
          </w:p>
        </w:tc>
        <w:tc>
          <w:tcPr>
            <w:tcW w:w="1618" w:type="dxa"/>
          </w:tcPr>
          <w:p w14:paraId="5C8B991E" w14:textId="77777777" w:rsidR="003B7C13" w:rsidRPr="007C17BD" w:rsidRDefault="003B7C13" w:rsidP="00CE521C">
            <w:pPr>
              <w:pStyle w:val="ExhibitText"/>
              <w:jc w:val="right"/>
              <w:rPr>
                <w:sz w:val="19"/>
                <w:szCs w:val="19"/>
                <w:lang w:val="en-GB"/>
              </w:rPr>
            </w:pPr>
          </w:p>
        </w:tc>
        <w:tc>
          <w:tcPr>
            <w:tcW w:w="1618" w:type="dxa"/>
          </w:tcPr>
          <w:p w14:paraId="7375997E" w14:textId="41F27AF6" w:rsidR="003B7C13" w:rsidRPr="007C17BD" w:rsidRDefault="003B7C13" w:rsidP="00CE521C">
            <w:pPr>
              <w:pStyle w:val="ExhibitText"/>
              <w:jc w:val="right"/>
              <w:rPr>
                <w:sz w:val="19"/>
                <w:szCs w:val="19"/>
                <w:lang w:val="en-GB"/>
              </w:rPr>
            </w:pPr>
          </w:p>
        </w:tc>
      </w:tr>
      <w:tr w:rsidR="003B7C13" w:rsidRPr="007C17BD" w14:paraId="6FA8CFDD" w14:textId="77777777" w:rsidTr="003B7C13">
        <w:trPr>
          <w:jc w:val="center"/>
        </w:trPr>
        <w:tc>
          <w:tcPr>
            <w:tcW w:w="3872" w:type="dxa"/>
          </w:tcPr>
          <w:p w14:paraId="6CEC54CD" w14:textId="77777777" w:rsidR="003B7C13" w:rsidRPr="007C17BD" w:rsidRDefault="003B7C13" w:rsidP="00CE521C">
            <w:pPr>
              <w:pStyle w:val="ExhibitText"/>
              <w:jc w:val="left"/>
              <w:rPr>
                <w:sz w:val="19"/>
                <w:szCs w:val="19"/>
                <w:lang w:val="en-GB"/>
              </w:rPr>
            </w:pPr>
            <w:r w:rsidRPr="007C17BD">
              <w:rPr>
                <w:sz w:val="19"/>
                <w:szCs w:val="19"/>
                <w:lang w:val="en-GB"/>
              </w:rPr>
              <w:t xml:space="preserve">Total Comprehensive Income for the Year </w:t>
            </w:r>
          </w:p>
        </w:tc>
        <w:tc>
          <w:tcPr>
            <w:tcW w:w="1618" w:type="dxa"/>
          </w:tcPr>
          <w:p w14:paraId="63ABE21D" w14:textId="1CA5E2E9" w:rsidR="003B7C13" w:rsidRPr="007C17BD" w:rsidRDefault="003B7C13" w:rsidP="00CE521C">
            <w:pPr>
              <w:pStyle w:val="ExhibitText"/>
              <w:jc w:val="right"/>
              <w:rPr>
                <w:sz w:val="19"/>
                <w:szCs w:val="19"/>
                <w:lang w:val="en-GB"/>
              </w:rPr>
            </w:pPr>
            <w:r w:rsidRPr="007C17BD">
              <w:rPr>
                <w:sz w:val="19"/>
                <w:szCs w:val="19"/>
                <w:lang w:val="en-GB"/>
              </w:rPr>
              <w:t>3,573,043</w:t>
            </w:r>
          </w:p>
        </w:tc>
        <w:tc>
          <w:tcPr>
            <w:tcW w:w="1618" w:type="dxa"/>
          </w:tcPr>
          <w:p w14:paraId="417E36E8" w14:textId="2F829F43" w:rsidR="003B7C13" w:rsidRPr="007C17BD" w:rsidRDefault="003B7C13" w:rsidP="00CE521C">
            <w:pPr>
              <w:pStyle w:val="ExhibitText"/>
              <w:jc w:val="right"/>
              <w:rPr>
                <w:sz w:val="19"/>
                <w:szCs w:val="19"/>
                <w:lang w:val="en-GB"/>
              </w:rPr>
            </w:pPr>
            <w:r w:rsidRPr="007C17BD">
              <w:rPr>
                <w:sz w:val="19"/>
                <w:szCs w:val="19"/>
                <w:lang w:val="en-GB"/>
              </w:rPr>
              <w:t>13,228,116</w:t>
            </w:r>
          </w:p>
        </w:tc>
      </w:tr>
    </w:tbl>
    <w:p w14:paraId="3A3B4726" w14:textId="0D8ABF3F" w:rsidR="0056785D" w:rsidRPr="007C17BD" w:rsidRDefault="0056785D" w:rsidP="00CE521C">
      <w:pPr>
        <w:pStyle w:val="Footnote"/>
        <w:jc w:val="right"/>
        <w:rPr>
          <w:lang w:val="en-GB"/>
        </w:rPr>
      </w:pPr>
    </w:p>
    <w:p w14:paraId="40029AF2" w14:textId="140BD8D5" w:rsidR="001D1252" w:rsidRPr="007C17BD" w:rsidRDefault="003B7C13" w:rsidP="001D1252">
      <w:pPr>
        <w:pStyle w:val="Footnote"/>
        <w:rPr>
          <w:lang w:val="en-GB"/>
        </w:rPr>
      </w:pPr>
      <w:r w:rsidRPr="007C17BD">
        <w:rPr>
          <w:lang w:val="en-GB"/>
        </w:rPr>
        <w:t xml:space="preserve">Note: AED = Emirati </w:t>
      </w:r>
      <w:r w:rsidR="003208FA">
        <w:rPr>
          <w:lang w:val="en-GB"/>
        </w:rPr>
        <w:t>d</w:t>
      </w:r>
      <w:r w:rsidR="009A002F" w:rsidRPr="007C17BD">
        <w:rPr>
          <w:lang w:val="en-GB"/>
        </w:rPr>
        <w:t>irhams</w:t>
      </w:r>
      <w:r w:rsidRPr="007C17BD">
        <w:rPr>
          <w:lang w:val="en-GB"/>
        </w:rPr>
        <w:t>; US$1</w:t>
      </w:r>
      <w:r w:rsidR="00306057" w:rsidRPr="007C17BD">
        <w:rPr>
          <w:lang w:val="en-GB"/>
        </w:rPr>
        <w:t>.00</w:t>
      </w:r>
      <w:r w:rsidRPr="007C17BD">
        <w:rPr>
          <w:lang w:val="en-GB"/>
        </w:rPr>
        <w:t xml:space="preserve"> = </w:t>
      </w:r>
      <w:r w:rsidR="00CB3DEB" w:rsidRPr="007C17BD">
        <w:rPr>
          <w:lang w:val="en-GB"/>
        </w:rPr>
        <w:t>AED</w:t>
      </w:r>
      <w:r w:rsidR="00B357C8" w:rsidRPr="007C17BD">
        <w:rPr>
          <w:lang w:val="en-GB"/>
        </w:rPr>
        <w:t>3.7</w:t>
      </w:r>
      <w:r w:rsidR="003208FA">
        <w:rPr>
          <w:lang w:val="en-GB"/>
        </w:rPr>
        <w:t>0</w:t>
      </w:r>
      <w:r w:rsidR="00CB3DEB" w:rsidRPr="007C17BD">
        <w:rPr>
          <w:lang w:val="en-GB"/>
        </w:rPr>
        <w:t xml:space="preserve"> </w:t>
      </w:r>
      <w:r w:rsidRPr="007C17BD">
        <w:rPr>
          <w:lang w:val="en-GB"/>
        </w:rPr>
        <w:t xml:space="preserve">on </w:t>
      </w:r>
      <w:r w:rsidR="00B357C8" w:rsidRPr="007C17BD">
        <w:rPr>
          <w:lang w:val="en-GB"/>
        </w:rPr>
        <w:t>December</w:t>
      </w:r>
      <w:r w:rsidR="00CB3DEB" w:rsidRPr="007C17BD">
        <w:rPr>
          <w:lang w:val="en-GB"/>
        </w:rPr>
        <w:t xml:space="preserve"> 31,</w:t>
      </w:r>
      <w:r w:rsidR="00B357C8" w:rsidRPr="007C17BD">
        <w:rPr>
          <w:lang w:val="en-GB"/>
        </w:rPr>
        <w:t xml:space="preserve"> 2014</w:t>
      </w:r>
      <w:r w:rsidR="001D1252" w:rsidRPr="007C17BD">
        <w:rPr>
          <w:lang w:val="en-GB"/>
        </w:rPr>
        <w:t>.</w:t>
      </w:r>
      <w:r w:rsidR="00B357C8" w:rsidRPr="007C17BD">
        <w:rPr>
          <w:lang w:val="en-GB"/>
        </w:rPr>
        <w:t xml:space="preserve"> </w:t>
      </w:r>
    </w:p>
    <w:p w14:paraId="0F254C02" w14:textId="4A2412EC" w:rsidR="0056785D" w:rsidRPr="007C17BD" w:rsidRDefault="0056785D" w:rsidP="001D1252">
      <w:pPr>
        <w:pStyle w:val="Footnote"/>
        <w:rPr>
          <w:b/>
          <w:lang w:val="en-GB"/>
        </w:rPr>
      </w:pPr>
      <w:r w:rsidRPr="007C17BD">
        <w:rPr>
          <w:lang w:val="en-GB"/>
        </w:rPr>
        <w:t xml:space="preserve">Source: </w:t>
      </w:r>
      <w:r w:rsidR="00D45526" w:rsidRPr="007C17BD">
        <w:rPr>
          <w:lang w:val="en-GB"/>
        </w:rPr>
        <w:t>Kaya</w:t>
      </w:r>
      <w:r w:rsidR="00240062" w:rsidRPr="007C17BD">
        <w:rPr>
          <w:lang w:val="en-GB"/>
        </w:rPr>
        <w:t xml:space="preserve"> L</w:t>
      </w:r>
      <w:r w:rsidR="00DF38E8" w:rsidRPr="007C17BD">
        <w:rPr>
          <w:lang w:val="en-GB"/>
        </w:rPr>
        <w:t xml:space="preserve">imited, </w:t>
      </w:r>
      <w:r w:rsidR="00B25329" w:rsidRPr="007C17BD">
        <w:rPr>
          <w:i/>
          <w:lang w:val="en-GB"/>
        </w:rPr>
        <w:t>Leading S</w:t>
      </w:r>
      <w:r w:rsidR="00306057" w:rsidRPr="007C17BD">
        <w:rPr>
          <w:i/>
          <w:lang w:val="en-GB"/>
        </w:rPr>
        <w:t>p</w:t>
      </w:r>
      <w:r w:rsidR="00B25329" w:rsidRPr="007C17BD">
        <w:rPr>
          <w:i/>
          <w:lang w:val="en-GB"/>
        </w:rPr>
        <w:t>ecialty Skincare Brand: Annual Report, 2014–15</w:t>
      </w:r>
      <w:r w:rsidR="00DF38E8" w:rsidRPr="007C17BD">
        <w:rPr>
          <w:lang w:val="en-GB"/>
        </w:rPr>
        <w:t>,</w:t>
      </w:r>
      <w:r w:rsidR="00B25329" w:rsidRPr="007C17BD">
        <w:rPr>
          <w:lang w:val="en-GB"/>
        </w:rPr>
        <w:t xml:space="preserve"> </w:t>
      </w:r>
      <w:r w:rsidR="00246172" w:rsidRPr="007C17BD">
        <w:rPr>
          <w:lang w:val="en-GB"/>
        </w:rPr>
        <w:t>135</w:t>
      </w:r>
      <w:r w:rsidR="00C65CA3" w:rsidRPr="007C17BD">
        <w:rPr>
          <w:lang w:val="en-GB"/>
        </w:rPr>
        <w:t>,</w:t>
      </w:r>
      <w:r w:rsidRPr="007C17BD">
        <w:rPr>
          <w:lang w:val="en-GB"/>
        </w:rPr>
        <w:t xml:space="preserve"> </w:t>
      </w:r>
      <w:r w:rsidR="00B268CC" w:rsidRPr="007C17BD">
        <w:rPr>
          <w:lang w:val="en-GB"/>
        </w:rPr>
        <w:t xml:space="preserve">accessed April 20, 2016, </w:t>
      </w:r>
      <w:r w:rsidR="00450122" w:rsidRPr="007C17BD">
        <w:rPr>
          <w:lang w:val="en-GB"/>
        </w:rPr>
        <w:t xml:space="preserve">https://www.kaya.in/investors/pdf/Annual%20Report%202014-15.pdf. </w:t>
      </w:r>
    </w:p>
    <w:p w14:paraId="24E19BFB" w14:textId="77777777" w:rsidR="0056785D" w:rsidRPr="007C17BD" w:rsidRDefault="0056785D" w:rsidP="00C92AF6">
      <w:pPr>
        <w:pStyle w:val="BodyTextMain"/>
        <w:rPr>
          <w:sz w:val="20"/>
          <w:lang w:val="en-GB"/>
        </w:rPr>
      </w:pPr>
    </w:p>
    <w:p w14:paraId="7E29A8F2" w14:textId="77777777" w:rsidR="00E81932" w:rsidRPr="007C17BD" w:rsidRDefault="00E81932" w:rsidP="00C92AF6">
      <w:pPr>
        <w:pStyle w:val="BodyTextMain"/>
        <w:rPr>
          <w:sz w:val="20"/>
          <w:lang w:val="en-GB"/>
        </w:rPr>
      </w:pPr>
    </w:p>
    <w:p w14:paraId="1F435808" w14:textId="6F63BB67" w:rsidR="0056785D" w:rsidRPr="007C17BD" w:rsidRDefault="0056785D" w:rsidP="00C92AF6">
      <w:pPr>
        <w:pStyle w:val="ExhibitHeading"/>
        <w:rPr>
          <w:lang w:val="en-GB"/>
        </w:rPr>
      </w:pPr>
      <w:r w:rsidRPr="007C17BD">
        <w:rPr>
          <w:lang w:val="en-GB"/>
        </w:rPr>
        <w:t xml:space="preserve">Exhibit </w:t>
      </w:r>
      <w:r w:rsidR="001A09B2" w:rsidRPr="007C17BD">
        <w:rPr>
          <w:lang w:val="en-GB"/>
        </w:rPr>
        <w:t>5</w:t>
      </w:r>
      <w:r w:rsidRPr="007C17BD">
        <w:rPr>
          <w:lang w:val="en-GB"/>
        </w:rPr>
        <w:t xml:space="preserve">: </w:t>
      </w:r>
      <w:r w:rsidR="00D45526" w:rsidRPr="007C17BD">
        <w:rPr>
          <w:lang w:val="en-GB"/>
        </w:rPr>
        <w:t xml:space="preserve">Kaya Skin Clinic </w:t>
      </w:r>
      <w:r w:rsidRPr="007C17BD">
        <w:rPr>
          <w:lang w:val="en-GB"/>
        </w:rPr>
        <w:t>Balance Sheet</w:t>
      </w:r>
      <w:r w:rsidR="00D45526" w:rsidRPr="007C17BD">
        <w:rPr>
          <w:lang w:val="en-GB"/>
        </w:rPr>
        <w:t>, 2014–2015</w:t>
      </w:r>
      <w:r w:rsidR="00207A5A" w:rsidRPr="007C17BD">
        <w:rPr>
          <w:lang w:val="en-GB"/>
        </w:rPr>
        <w:t xml:space="preserve"> (in AED)</w:t>
      </w:r>
    </w:p>
    <w:p w14:paraId="7594F828" w14:textId="77777777" w:rsidR="002E2945" w:rsidRPr="007C17BD" w:rsidRDefault="002E2945" w:rsidP="0056785D">
      <w:pPr>
        <w:pStyle w:val="ExhibitHeading"/>
        <w:rPr>
          <w:lang w:val="en-GB"/>
        </w:rPr>
      </w:pPr>
    </w:p>
    <w:tbl>
      <w:tblPr>
        <w:tblStyle w:val="TableGrid"/>
        <w:tblW w:w="7468" w:type="dxa"/>
        <w:jc w:val="center"/>
        <w:tblLook w:val="04A0" w:firstRow="1" w:lastRow="0" w:firstColumn="1" w:lastColumn="0" w:noHBand="0" w:noVBand="1"/>
      </w:tblPr>
      <w:tblGrid>
        <w:gridCol w:w="3563"/>
        <w:gridCol w:w="1873"/>
        <w:gridCol w:w="2032"/>
      </w:tblGrid>
      <w:tr w:rsidR="00177565" w:rsidRPr="007C17BD" w14:paraId="316693F7" w14:textId="77777777" w:rsidTr="003812DE">
        <w:trPr>
          <w:trHeight w:val="296"/>
          <w:jc w:val="center"/>
        </w:trPr>
        <w:tc>
          <w:tcPr>
            <w:tcW w:w="3563" w:type="dxa"/>
          </w:tcPr>
          <w:p w14:paraId="6F00FAC8" w14:textId="77777777" w:rsidR="00177565" w:rsidRPr="007C17BD" w:rsidRDefault="00177565" w:rsidP="00177565">
            <w:pPr>
              <w:pStyle w:val="ExhibitText"/>
              <w:jc w:val="center"/>
              <w:rPr>
                <w:b/>
                <w:sz w:val="19"/>
                <w:szCs w:val="19"/>
                <w:lang w:val="en-GB"/>
              </w:rPr>
            </w:pPr>
            <w:r w:rsidRPr="007C17BD">
              <w:rPr>
                <w:b/>
                <w:sz w:val="19"/>
                <w:szCs w:val="19"/>
                <w:lang w:val="en-GB"/>
              </w:rPr>
              <w:t>Variable</w:t>
            </w:r>
          </w:p>
        </w:tc>
        <w:tc>
          <w:tcPr>
            <w:tcW w:w="1873" w:type="dxa"/>
          </w:tcPr>
          <w:p w14:paraId="245BABCD" w14:textId="77777777" w:rsidR="00177565" w:rsidRPr="007C17BD" w:rsidRDefault="00177565" w:rsidP="00177565">
            <w:pPr>
              <w:pStyle w:val="ExhibitText"/>
              <w:jc w:val="center"/>
              <w:rPr>
                <w:b/>
                <w:sz w:val="19"/>
                <w:szCs w:val="19"/>
                <w:lang w:val="en-GB"/>
              </w:rPr>
            </w:pPr>
            <w:r w:rsidRPr="007C17BD">
              <w:rPr>
                <w:b/>
                <w:sz w:val="19"/>
                <w:szCs w:val="19"/>
                <w:lang w:val="en-GB"/>
              </w:rPr>
              <w:t>Year ended</w:t>
            </w:r>
          </w:p>
          <w:p w14:paraId="5F23EE80" w14:textId="6BDA979C" w:rsidR="00177565" w:rsidRPr="007C17BD" w:rsidRDefault="00177565" w:rsidP="00177565">
            <w:pPr>
              <w:pStyle w:val="ExhibitText"/>
              <w:jc w:val="center"/>
              <w:rPr>
                <w:b/>
                <w:sz w:val="19"/>
                <w:szCs w:val="19"/>
                <w:lang w:val="en-GB"/>
              </w:rPr>
            </w:pPr>
            <w:r w:rsidRPr="007C17BD">
              <w:rPr>
                <w:b/>
                <w:sz w:val="19"/>
                <w:szCs w:val="19"/>
                <w:lang w:val="en-GB"/>
              </w:rPr>
              <w:t>March 31, 2014</w:t>
            </w:r>
          </w:p>
        </w:tc>
        <w:tc>
          <w:tcPr>
            <w:tcW w:w="2032" w:type="dxa"/>
          </w:tcPr>
          <w:p w14:paraId="13C9F444" w14:textId="77777777" w:rsidR="00177565" w:rsidRPr="007C17BD" w:rsidRDefault="00177565" w:rsidP="00177565">
            <w:pPr>
              <w:pStyle w:val="ExhibitText"/>
              <w:jc w:val="center"/>
              <w:rPr>
                <w:b/>
                <w:sz w:val="19"/>
                <w:szCs w:val="19"/>
                <w:lang w:val="en-GB"/>
              </w:rPr>
            </w:pPr>
            <w:r w:rsidRPr="007C17BD">
              <w:rPr>
                <w:b/>
                <w:sz w:val="19"/>
                <w:szCs w:val="19"/>
                <w:lang w:val="en-GB"/>
              </w:rPr>
              <w:t>Year ended</w:t>
            </w:r>
          </w:p>
          <w:p w14:paraId="4129A915" w14:textId="45AC9C7C" w:rsidR="00177565" w:rsidRPr="007C17BD" w:rsidRDefault="00177565" w:rsidP="00177565">
            <w:pPr>
              <w:pStyle w:val="ExhibitText"/>
              <w:jc w:val="center"/>
              <w:rPr>
                <w:b/>
                <w:sz w:val="19"/>
                <w:szCs w:val="19"/>
                <w:lang w:val="en-GB"/>
              </w:rPr>
            </w:pPr>
            <w:r w:rsidRPr="007C17BD">
              <w:rPr>
                <w:b/>
                <w:sz w:val="19"/>
                <w:szCs w:val="19"/>
                <w:lang w:val="en-GB"/>
              </w:rPr>
              <w:t>March 31, 2015</w:t>
            </w:r>
          </w:p>
        </w:tc>
      </w:tr>
      <w:tr w:rsidR="003812DE" w:rsidRPr="007C17BD" w14:paraId="2D637109" w14:textId="77777777" w:rsidTr="003812DE">
        <w:trPr>
          <w:jc w:val="center"/>
        </w:trPr>
        <w:tc>
          <w:tcPr>
            <w:tcW w:w="3563" w:type="dxa"/>
          </w:tcPr>
          <w:p w14:paraId="4747440B" w14:textId="77777777" w:rsidR="003812DE" w:rsidRPr="007C17BD" w:rsidRDefault="003812DE" w:rsidP="00505689">
            <w:pPr>
              <w:pStyle w:val="ExhibitText"/>
              <w:rPr>
                <w:sz w:val="19"/>
                <w:szCs w:val="19"/>
                <w:lang w:val="en-GB"/>
              </w:rPr>
            </w:pPr>
            <w:r w:rsidRPr="007C17BD">
              <w:rPr>
                <w:sz w:val="19"/>
                <w:szCs w:val="19"/>
                <w:lang w:val="en-GB"/>
              </w:rPr>
              <w:t xml:space="preserve">Assets </w:t>
            </w:r>
          </w:p>
        </w:tc>
        <w:tc>
          <w:tcPr>
            <w:tcW w:w="1873" w:type="dxa"/>
          </w:tcPr>
          <w:p w14:paraId="053A05DD" w14:textId="77777777" w:rsidR="003812DE" w:rsidRPr="007C17BD" w:rsidRDefault="003812DE" w:rsidP="00505689">
            <w:pPr>
              <w:pStyle w:val="ExhibitText"/>
              <w:rPr>
                <w:sz w:val="19"/>
                <w:szCs w:val="19"/>
                <w:lang w:val="en-GB"/>
              </w:rPr>
            </w:pPr>
          </w:p>
        </w:tc>
        <w:tc>
          <w:tcPr>
            <w:tcW w:w="2032" w:type="dxa"/>
          </w:tcPr>
          <w:p w14:paraId="140A479F" w14:textId="5139105B" w:rsidR="003812DE" w:rsidRPr="007C17BD" w:rsidRDefault="003812DE" w:rsidP="00505689">
            <w:pPr>
              <w:pStyle w:val="ExhibitText"/>
              <w:rPr>
                <w:sz w:val="19"/>
                <w:szCs w:val="19"/>
                <w:lang w:val="en-GB"/>
              </w:rPr>
            </w:pPr>
          </w:p>
        </w:tc>
      </w:tr>
      <w:tr w:rsidR="003812DE" w:rsidRPr="007C17BD" w14:paraId="4E8420EC" w14:textId="77777777" w:rsidTr="003812DE">
        <w:trPr>
          <w:jc w:val="center"/>
        </w:trPr>
        <w:tc>
          <w:tcPr>
            <w:tcW w:w="3563" w:type="dxa"/>
          </w:tcPr>
          <w:p w14:paraId="5AF4244F" w14:textId="77777777" w:rsidR="003812DE" w:rsidRPr="007C17BD" w:rsidRDefault="003812DE" w:rsidP="00505689">
            <w:pPr>
              <w:pStyle w:val="ExhibitText"/>
              <w:rPr>
                <w:sz w:val="19"/>
                <w:szCs w:val="19"/>
                <w:lang w:val="en-GB"/>
              </w:rPr>
            </w:pPr>
            <w:r w:rsidRPr="007C17BD">
              <w:rPr>
                <w:sz w:val="19"/>
                <w:szCs w:val="19"/>
                <w:lang w:val="en-GB"/>
              </w:rPr>
              <w:t>Non-Current Assets</w:t>
            </w:r>
          </w:p>
        </w:tc>
        <w:tc>
          <w:tcPr>
            <w:tcW w:w="1873" w:type="dxa"/>
          </w:tcPr>
          <w:p w14:paraId="745021C8" w14:textId="77777777" w:rsidR="003812DE" w:rsidRPr="007C17BD" w:rsidRDefault="003812DE" w:rsidP="00505689">
            <w:pPr>
              <w:pStyle w:val="ExhibitText"/>
              <w:rPr>
                <w:sz w:val="19"/>
                <w:szCs w:val="19"/>
                <w:lang w:val="en-GB"/>
              </w:rPr>
            </w:pPr>
          </w:p>
        </w:tc>
        <w:tc>
          <w:tcPr>
            <w:tcW w:w="2032" w:type="dxa"/>
          </w:tcPr>
          <w:p w14:paraId="6321D3D2" w14:textId="3766D5A7" w:rsidR="003812DE" w:rsidRPr="007C17BD" w:rsidRDefault="003812DE" w:rsidP="00505689">
            <w:pPr>
              <w:pStyle w:val="ExhibitText"/>
              <w:rPr>
                <w:sz w:val="19"/>
                <w:szCs w:val="19"/>
                <w:lang w:val="en-GB"/>
              </w:rPr>
            </w:pPr>
          </w:p>
        </w:tc>
      </w:tr>
      <w:tr w:rsidR="003812DE" w:rsidRPr="007C17BD" w14:paraId="720A793B" w14:textId="77777777" w:rsidTr="003812DE">
        <w:trPr>
          <w:jc w:val="center"/>
        </w:trPr>
        <w:tc>
          <w:tcPr>
            <w:tcW w:w="3563" w:type="dxa"/>
          </w:tcPr>
          <w:p w14:paraId="3DEFCBA9" w14:textId="77777777" w:rsidR="003812DE" w:rsidRPr="007C17BD" w:rsidRDefault="003812DE" w:rsidP="00505689">
            <w:pPr>
              <w:pStyle w:val="ExhibitText"/>
              <w:rPr>
                <w:sz w:val="19"/>
                <w:szCs w:val="19"/>
                <w:lang w:val="en-GB"/>
              </w:rPr>
            </w:pPr>
            <w:r w:rsidRPr="007C17BD">
              <w:rPr>
                <w:sz w:val="19"/>
                <w:szCs w:val="19"/>
                <w:lang w:val="en-GB"/>
              </w:rPr>
              <w:t>Property, Plant, and Equipment</w:t>
            </w:r>
          </w:p>
        </w:tc>
        <w:tc>
          <w:tcPr>
            <w:tcW w:w="1873" w:type="dxa"/>
          </w:tcPr>
          <w:p w14:paraId="712AC572" w14:textId="65093195" w:rsidR="003812DE" w:rsidRPr="007C17BD" w:rsidRDefault="003812DE" w:rsidP="00505689">
            <w:pPr>
              <w:pStyle w:val="ExhibitText"/>
              <w:jc w:val="right"/>
              <w:rPr>
                <w:sz w:val="19"/>
                <w:szCs w:val="19"/>
                <w:lang w:val="en-GB"/>
              </w:rPr>
            </w:pPr>
            <w:r w:rsidRPr="007C17BD">
              <w:rPr>
                <w:sz w:val="19"/>
                <w:szCs w:val="19"/>
                <w:lang w:val="en-GB"/>
              </w:rPr>
              <w:t>8,326,829</w:t>
            </w:r>
          </w:p>
        </w:tc>
        <w:tc>
          <w:tcPr>
            <w:tcW w:w="2032" w:type="dxa"/>
          </w:tcPr>
          <w:p w14:paraId="3364E8A3" w14:textId="6B01A257" w:rsidR="003812DE" w:rsidRPr="007C17BD" w:rsidRDefault="003812DE" w:rsidP="00505689">
            <w:pPr>
              <w:pStyle w:val="ExhibitText"/>
              <w:jc w:val="right"/>
              <w:rPr>
                <w:sz w:val="19"/>
                <w:szCs w:val="19"/>
                <w:lang w:val="en-GB"/>
              </w:rPr>
            </w:pPr>
            <w:r w:rsidRPr="007C17BD">
              <w:rPr>
                <w:sz w:val="19"/>
                <w:szCs w:val="19"/>
                <w:lang w:val="en-GB"/>
              </w:rPr>
              <w:t>10,892,896</w:t>
            </w:r>
          </w:p>
        </w:tc>
      </w:tr>
      <w:tr w:rsidR="003812DE" w:rsidRPr="007C17BD" w14:paraId="27E6D2B1" w14:textId="77777777" w:rsidTr="001D1252">
        <w:trPr>
          <w:trHeight w:val="60"/>
          <w:jc w:val="center"/>
        </w:trPr>
        <w:tc>
          <w:tcPr>
            <w:tcW w:w="3563" w:type="dxa"/>
          </w:tcPr>
          <w:p w14:paraId="16D9AF0B" w14:textId="77777777" w:rsidR="003812DE" w:rsidRPr="007C17BD" w:rsidRDefault="003812DE" w:rsidP="00505689">
            <w:pPr>
              <w:pStyle w:val="ExhibitText"/>
              <w:rPr>
                <w:sz w:val="19"/>
                <w:szCs w:val="19"/>
                <w:lang w:val="en-GB"/>
              </w:rPr>
            </w:pPr>
            <w:r w:rsidRPr="007C17BD">
              <w:rPr>
                <w:sz w:val="19"/>
                <w:szCs w:val="19"/>
                <w:lang w:val="en-GB"/>
              </w:rPr>
              <w:t>Goodwill</w:t>
            </w:r>
          </w:p>
        </w:tc>
        <w:tc>
          <w:tcPr>
            <w:tcW w:w="1873" w:type="dxa"/>
          </w:tcPr>
          <w:p w14:paraId="53D9FCDE" w14:textId="77777777" w:rsidR="003812DE" w:rsidRPr="007C17BD" w:rsidRDefault="003812DE" w:rsidP="00505689">
            <w:pPr>
              <w:pStyle w:val="ExhibitText"/>
              <w:jc w:val="right"/>
              <w:rPr>
                <w:sz w:val="19"/>
                <w:szCs w:val="19"/>
                <w:lang w:val="en-GB"/>
              </w:rPr>
            </w:pPr>
          </w:p>
        </w:tc>
        <w:tc>
          <w:tcPr>
            <w:tcW w:w="2032" w:type="dxa"/>
          </w:tcPr>
          <w:p w14:paraId="381CEDF9" w14:textId="63C8BCC3" w:rsidR="003812DE" w:rsidRPr="007C17BD" w:rsidRDefault="003812DE" w:rsidP="00505689">
            <w:pPr>
              <w:pStyle w:val="ExhibitText"/>
              <w:jc w:val="right"/>
              <w:rPr>
                <w:sz w:val="19"/>
                <w:szCs w:val="19"/>
                <w:lang w:val="en-GB"/>
              </w:rPr>
            </w:pPr>
            <w:r w:rsidRPr="007C17BD">
              <w:rPr>
                <w:sz w:val="19"/>
                <w:szCs w:val="19"/>
                <w:lang w:val="en-GB"/>
              </w:rPr>
              <w:t>1,496,312</w:t>
            </w:r>
          </w:p>
        </w:tc>
      </w:tr>
      <w:tr w:rsidR="003812DE" w:rsidRPr="007C17BD" w14:paraId="0B447328" w14:textId="77777777" w:rsidTr="003812DE">
        <w:trPr>
          <w:jc w:val="center"/>
        </w:trPr>
        <w:tc>
          <w:tcPr>
            <w:tcW w:w="3563" w:type="dxa"/>
          </w:tcPr>
          <w:p w14:paraId="5D2DA604" w14:textId="77777777" w:rsidR="003812DE" w:rsidRPr="007C17BD" w:rsidRDefault="003812DE" w:rsidP="00505689">
            <w:pPr>
              <w:pStyle w:val="ExhibitText"/>
              <w:rPr>
                <w:sz w:val="19"/>
                <w:szCs w:val="19"/>
                <w:lang w:val="en-GB"/>
              </w:rPr>
            </w:pPr>
            <w:r w:rsidRPr="007C17BD">
              <w:rPr>
                <w:sz w:val="19"/>
                <w:szCs w:val="19"/>
                <w:lang w:val="en-GB"/>
              </w:rPr>
              <w:t xml:space="preserve">Current Assets </w:t>
            </w:r>
          </w:p>
        </w:tc>
        <w:tc>
          <w:tcPr>
            <w:tcW w:w="1873" w:type="dxa"/>
          </w:tcPr>
          <w:p w14:paraId="1E89D7EF" w14:textId="266D149A" w:rsidR="003812DE" w:rsidRPr="007C17BD" w:rsidRDefault="003812DE" w:rsidP="00505689">
            <w:pPr>
              <w:pStyle w:val="ExhibitText"/>
              <w:jc w:val="right"/>
              <w:rPr>
                <w:sz w:val="19"/>
                <w:szCs w:val="19"/>
                <w:lang w:val="en-GB"/>
              </w:rPr>
            </w:pPr>
          </w:p>
        </w:tc>
        <w:tc>
          <w:tcPr>
            <w:tcW w:w="2032" w:type="dxa"/>
          </w:tcPr>
          <w:p w14:paraId="3B46DFDD" w14:textId="41BC2845" w:rsidR="003812DE" w:rsidRPr="007C17BD" w:rsidRDefault="003812DE" w:rsidP="00505689">
            <w:pPr>
              <w:pStyle w:val="ExhibitText"/>
              <w:jc w:val="right"/>
              <w:rPr>
                <w:sz w:val="19"/>
                <w:szCs w:val="19"/>
                <w:highlight w:val="cyan"/>
                <w:lang w:val="en-GB"/>
              </w:rPr>
            </w:pPr>
          </w:p>
        </w:tc>
      </w:tr>
      <w:tr w:rsidR="003812DE" w:rsidRPr="007C17BD" w14:paraId="4BD21796" w14:textId="77777777" w:rsidTr="003812DE">
        <w:trPr>
          <w:jc w:val="center"/>
        </w:trPr>
        <w:tc>
          <w:tcPr>
            <w:tcW w:w="3563" w:type="dxa"/>
          </w:tcPr>
          <w:p w14:paraId="5C026CCB" w14:textId="77777777" w:rsidR="003812DE" w:rsidRPr="007C17BD" w:rsidRDefault="003812DE" w:rsidP="00505689">
            <w:pPr>
              <w:pStyle w:val="ExhibitText"/>
              <w:rPr>
                <w:sz w:val="19"/>
                <w:szCs w:val="19"/>
                <w:lang w:val="en-GB"/>
              </w:rPr>
            </w:pPr>
            <w:r w:rsidRPr="007C17BD">
              <w:rPr>
                <w:sz w:val="19"/>
                <w:szCs w:val="19"/>
                <w:lang w:val="en-GB"/>
              </w:rPr>
              <w:t>Inventories</w:t>
            </w:r>
          </w:p>
        </w:tc>
        <w:tc>
          <w:tcPr>
            <w:tcW w:w="1873" w:type="dxa"/>
          </w:tcPr>
          <w:p w14:paraId="5AA62C35" w14:textId="778E72C6" w:rsidR="003812DE" w:rsidRPr="007C17BD" w:rsidRDefault="003812DE" w:rsidP="00505689">
            <w:pPr>
              <w:pStyle w:val="ExhibitText"/>
              <w:jc w:val="right"/>
              <w:rPr>
                <w:sz w:val="19"/>
                <w:szCs w:val="19"/>
                <w:lang w:val="en-GB"/>
              </w:rPr>
            </w:pPr>
            <w:r w:rsidRPr="007C17BD">
              <w:rPr>
                <w:sz w:val="19"/>
                <w:szCs w:val="19"/>
                <w:lang w:val="en-GB"/>
              </w:rPr>
              <w:t>5,</w:t>
            </w:r>
            <w:r w:rsidR="00240062" w:rsidRPr="007C17BD">
              <w:rPr>
                <w:sz w:val="19"/>
                <w:szCs w:val="19"/>
                <w:lang w:val="en-GB"/>
              </w:rPr>
              <w:t>591</w:t>
            </w:r>
            <w:r w:rsidRPr="007C17BD">
              <w:rPr>
                <w:sz w:val="19"/>
                <w:szCs w:val="19"/>
                <w:lang w:val="en-GB"/>
              </w:rPr>
              <w:t>,</w:t>
            </w:r>
            <w:r w:rsidR="00240062" w:rsidRPr="007C17BD">
              <w:rPr>
                <w:sz w:val="19"/>
                <w:szCs w:val="19"/>
                <w:lang w:val="en-GB"/>
              </w:rPr>
              <w:t>721</w:t>
            </w:r>
          </w:p>
        </w:tc>
        <w:tc>
          <w:tcPr>
            <w:tcW w:w="2032" w:type="dxa"/>
          </w:tcPr>
          <w:p w14:paraId="6414887A" w14:textId="642C1AE0" w:rsidR="003812DE" w:rsidRPr="007C17BD" w:rsidRDefault="003812DE" w:rsidP="00505689">
            <w:pPr>
              <w:pStyle w:val="ExhibitText"/>
              <w:jc w:val="right"/>
              <w:rPr>
                <w:sz w:val="19"/>
                <w:szCs w:val="19"/>
                <w:lang w:val="en-GB"/>
              </w:rPr>
            </w:pPr>
            <w:r w:rsidRPr="007C17BD">
              <w:rPr>
                <w:sz w:val="19"/>
                <w:szCs w:val="19"/>
                <w:lang w:val="en-GB"/>
              </w:rPr>
              <w:t>6,133,186</w:t>
            </w:r>
          </w:p>
        </w:tc>
      </w:tr>
      <w:tr w:rsidR="003812DE" w:rsidRPr="007C17BD" w14:paraId="6FF19A89" w14:textId="77777777" w:rsidTr="003812DE">
        <w:trPr>
          <w:jc w:val="center"/>
        </w:trPr>
        <w:tc>
          <w:tcPr>
            <w:tcW w:w="3563" w:type="dxa"/>
          </w:tcPr>
          <w:p w14:paraId="55DFC630" w14:textId="77777777" w:rsidR="003812DE" w:rsidRPr="007C17BD" w:rsidRDefault="003812DE" w:rsidP="00505689">
            <w:pPr>
              <w:pStyle w:val="ExhibitText"/>
              <w:rPr>
                <w:sz w:val="19"/>
                <w:szCs w:val="19"/>
                <w:lang w:val="en-GB"/>
              </w:rPr>
            </w:pPr>
            <w:r w:rsidRPr="007C17BD">
              <w:rPr>
                <w:sz w:val="19"/>
                <w:szCs w:val="19"/>
                <w:lang w:val="en-GB"/>
              </w:rPr>
              <w:t>Trade and Other Receivables</w:t>
            </w:r>
          </w:p>
        </w:tc>
        <w:tc>
          <w:tcPr>
            <w:tcW w:w="1873" w:type="dxa"/>
          </w:tcPr>
          <w:p w14:paraId="373EAF2F" w14:textId="66822A7C" w:rsidR="003812DE" w:rsidRPr="007C17BD" w:rsidRDefault="003812DE" w:rsidP="00505689">
            <w:pPr>
              <w:pStyle w:val="ExhibitText"/>
              <w:jc w:val="right"/>
              <w:rPr>
                <w:sz w:val="19"/>
                <w:szCs w:val="19"/>
                <w:lang w:val="en-GB"/>
              </w:rPr>
            </w:pPr>
            <w:r w:rsidRPr="007C17BD">
              <w:rPr>
                <w:sz w:val="19"/>
                <w:szCs w:val="19"/>
                <w:lang w:val="en-GB"/>
              </w:rPr>
              <w:t>5,827,853</w:t>
            </w:r>
          </w:p>
        </w:tc>
        <w:tc>
          <w:tcPr>
            <w:tcW w:w="2032" w:type="dxa"/>
          </w:tcPr>
          <w:p w14:paraId="04C2F11D" w14:textId="003AF862" w:rsidR="003812DE" w:rsidRPr="007C17BD" w:rsidRDefault="003812DE" w:rsidP="00505689">
            <w:pPr>
              <w:pStyle w:val="ExhibitText"/>
              <w:jc w:val="right"/>
              <w:rPr>
                <w:sz w:val="19"/>
                <w:szCs w:val="19"/>
                <w:lang w:val="en-GB"/>
              </w:rPr>
            </w:pPr>
            <w:r w:rsidRPr="007C17BD">
              <w:rPr>
                <w:sz w:val="19"/>
                <w:szCs w:val="19"/>
                <w:lang w:val="en-GB"/>
              </w:rPr>
              <w:t>6,981,569</w:t>
            </w:r>
          </w:p>
        </w:tc>
      </w:tr>
      <w:tr w:rsidR="003812DE" w:rsidRPr="007C17BD" w14:paraId="29BAA93C" w14:textId="77777777" w:rsidTr="003812DE">
        <w:trPr>
          <w:jc w:val="center"/>
        </w:trPr>
        <w:tc>
          <w:tcPr>
            <w:tcW w:w="3563" w:type="dxa"/>
          </w:tcPr>
          <w:p w14:paraId="22C26BE3" w14:textId="77777777" w:rsidR="003812DE" w:rsidRPr="007C17BD" w:rsidRDefault="003812DE" w:rsidP="00505689">
            <w:pPr>
              <w:pStyle w:val="ExhibitText"/>
              <w:rPr>
                <w:sz w:val="19"/>
                <w:szCs w:val="19"/>
                <w:lang w:val="en-GB"/>
              </w:rPr>
            </w:pPr>
            <w:r w:rsidRPr="007C17BD">
              <w:rPr>
                <w:sz w:val="19"/>
                <w:szCs w:val="19"/>
                <w:lang w:val="en-GB"/>
              </w:rPr>
              <w:t>Due from Related Parties</w:t>
            </w:r>
          </w:p>
        </w:tc>
        <w:tc>
          <w:tcPr>
            <w:tcW w:w="1873" w:type="dxa"/>
          </w:tcPr>
          <w:p w14:paraId="1CB4E8CE" w14:textId="2AA4C8A4" w:rsidR="003812DE" w:rsidRPr="007C17BD" w:rsidRDefault="003812DE" w:rsidP="00505689">
            <w:pPr>
              <w:pStyle w:val="ExhibitText"/>
              <w:jc w:val="right"/>
              <w:rPr>
                <w:sz w:val="19"/>
                <w:szCs w:val="19"/>
                <w:lang w:val="en-GB"/>
              </w:rPr>
            </w:pPr>
            <w:r w:rsidRPr="007C17BD">
              <w:rPr>
                <w:sz w:val="19"/>
                <w:szCs w:val="19"/>
                <w:lang w:val="en-GB"/>
              </w:rPr>
              <w:t>1,568,172</w:t>
            </w:r>
          </w:p>
        </w:tc>
        <w:tc>
          <w:tcPr>
            <w:tcW w:w="2032" w:type="dxa"/>
          </w:tcPr>
          <w:p w14:paraId="17B1AF85" w14:textId="41CC3A73" w:rsidR="003812DE" w:rsidRPr="007C17BD" w:rsidRDefault="003812DE" w:rsidP="00505689">
            <w:pPr>
              <w:pStyle w:val="ExhibitText"/>
              <w:jc w:val="right"/>
              <w:rPr>
                <w:sz w:val="19"/>
                <w:szCs w:val="19"/>
                <w:lang w:val="en-GB"/>
              </w:rPr>
            </w:pPr>
            <w:r w:rsidRPr="007C17BD">
              <w:rPr>
                <w:sz w:val="19"/>
                <w:szCs w:val="19"/>
                <w:lang w:val="en-GB"/>
              </w:rPr>
              <w:t>3,002,228</w:t>
            </w:r>
          </w:p>
        </w:tc>
      </w:tr>
      <w:tr w:rsidR="003812DE" w:rsidRPr="007C17BD" w14:paraId="709CA850" w14:textId="77777777" w:rsidTr="003812DE">
        <w:trPr>
          <w:jc w:val="center"/>
        </w:trPr>
        <w:tc>
          <w:tcPr>
            <w:tcW w:w="3563" w:type="dxa"/>
          </w:tcPr>
          <w:p w14:paraId="78FB38D0" w14:textId="77777777" w:rsidR="003812DE" w:rsidRPr="007C17BD" w:rsidRDefault="003812DE" w:rsidP="00505689">
            <w:pPr>
              <w:pStyle w:val="ExhibitText"/>
              <w:rPr>
                <w:sz w:val="19"/>
                <w:szCs w:val="19"/>
                <w:lang w:val="en-GB"/>
              </w:rPr>
            </w:pPr>
            <w:r w:rsidRPr="007C17BD">
              <w:rPr>
                <w:sz w:val="19"/>
                <w:szCs w:val="19"/>
                <w:lang w:val="en-GB"/>
              </w:rPr>
              <w:t>Cash and Cash Equivalents</w:t>
            </w:r>
          </w:p>
        </w:tc>
        <w:tc>
          <w:tcPr>
            <w:tcW w:w="1873" w:type="dxa"/>
          </w:tcPr>
          <w:p w14:paraId="243871BC" w14:textId="0EB1FD25" w:rsidR="003812DE" w:rsidRPr="007C17BD" w:rsidRDefault="003812DE" w:rsidP="00505689">
            <w:pPr>
              <w:pStyle w:val="ExhibitText"/>
              <w:jc w:val="right"/>
              <w:rPr>
                <w:sz w:val="19"/>
                <w:szCs w:val="19"/>
                <w:lang w:val="en-GB"/>
              </w:rPr>
            </w:pPr>
            <w:r w:rsidRPr="007C17BD">
              <w:rPr>
                <w:sz w:val="19"/>
                <w:szCs w:val="19"/>
                <w:lang w:val="en-GB"/>
              </w:rPr>
              <w:t>7,688,310</w:t>
            </w:r>
          </w:p>
        </w:tc>
        <w:tc>
          <w:tcPr>
            <w:tcW w:w="2032" w:type="dxa"/>
          </w:tcPr>
          <w:p w14:paraId="58BF717B" w14:textId="2494D077" w:rsidR="003812DE" w:rsidRPr="007C17BD" w:rsidRDefault="003812DE" w:rsidP="00505689">
            <w:pPr>
              <w:pStyle w:val="ExhibitText"/>
              <w:jc w:val="right"/>
              <w:rPr>
                <w:sz w:val="19"/>
                <w:szCs w:val="19"/>
                <w:lang w:val="en-GB"/>
              </w:rPr>
            </w:pPr>
            <w:r w:rsidRPr="007C17BD">
              <w:rPr>
                <w:sz w:val="19"/>
                <w:szCs w:val="19"/>
                <w:lang w:val="en-GB"/>
              </w:rPr>
              <w:t>14,222,093</w:t>
            </w:r>
          </w:p>
        </w:tc>
      </w:tr>
      <w:tr w:rsidR="003812DE" w:rsidRPr="007C17BD" w14:paraId="7D4FAD7E" w14:textId="77777777" w:rsidTr="003812DE">
        <w:trPr>
          <w:jc w:val="center"/>
        </w:trPr>
        <w:tc>
          <w:tcPr>
            <w:tcW w:w="3563" w:type="dxa"/>
          </w:tcPr>
          <w:p w14:paraId="44F1E6D8" w14:textId="77777777" w:rsidR="003812DE" w:rsidRPr="007C17BD" w:rsidRDefault="003812DE" w:rsidP="00505689">
            <w:pPr>
              <w:pStyle w:val="ExhibitText"/>
              <w:rPr>
                <w:sz w:val="19"/>
                <w:szCs w:val="19"/>
                <w:lang w:val="en-GB"/>
              </w:rPr>
            </w:pPr>
          </w:p>
        </w:tc>
        <w:tc>
          <w:tcPr>
            <w:tcW w:w="1873" w:type="dxa"/>
          </w:tcPr>
          <w:p w14:paraId="77E356AE" w14:textId="3FC0129A" w:rsidR="003812DE" w:rsidRPr="007C17BD" w:rsidRDefault="003812DE" w:rsidP="00505689">
            <w:pPr>
              <w:pStyle w:val="ExhibitText"/>
              <w:jc w:val="right"/>
              <w:rPr>
                <w:sz w:val="19"/>
                <w:szCs w:val="19"/>
                <w:lang w:val="en-GB"/>
              </w:rPr>
            </w:pPr>
            <w:r w:rsidRPr="007C17BD">
              <w:rPr>
                <w:sz w:val="19"/>
                <w:szCs w:val="19"/>
                <w:lang w:val="en-GB"/>
              </w:rPr>
              <w:t>20,676,056</w:t>
            </w:r>
          </w:p>
        </w:tc>
        <w:tc>
          <w:tcPr>
            <w:tcW w:w="2032" w:type="dxa"/>
          </w:tcPr>
          <w:p w14:paraId="0F31C7F6" w14:textId="53A36E02" w:rsidR="003812DE" w:rsidRPr="007C17BD" w:rsidRDefault="003812DE" w:rsidP="00505689">
            <w:pPr>
              <w:pStyle w:val="ExhibitText"/>
              <w:jc w:val="right"/>
              <w:rPr>
                <w:sz w:val="19"/>
                <w:szCs w:val="19"/>
                <w:lang w:val="en-GB"/>
              </w:rPr>
            </w:pPr>
            <w:r w:rsidRPr="007C17BD">
              <w:rPr>
                <w:sz w:val="19"/>
                <w:szCs w:val="19"/>
                <w:lang w:val="en-GB"/>
              </w:rPr>
              <w:t>30,339,076</w:t>
            </w:r>
          </w:p>
        </w:tc>
      </w:tr>
      <w:tr w:rsidR="003812DE" w:rsidRPr="007C17BD" w14:paraId="0432CD17" w14:textId="77777777" w:rsidTr="003812DE">
        <w:trPr>
          <w:jc w:val="center"/>
        </w:trPr>
        <w:tc>
          <w:tcPr>
            <w:tcW w:w="3563" w:type="dxa"/>
          </w:tcPr>
          <w:p w14:paraId="74BFB79A" w14:textId="77777777" w:rsidR="003812DE" w:rsidRPr="007C17BD" w:rsidRDefault="003812DE" w:rsidP="00505689">
            <w:pPr>
              <w:pStyle w:val="ExhibitText"/>
              <w:rPr>
                <w:sz w:val="19"/>
                <w:szCs w:val="19"/>
                <w:lang w:val="en-GB"/>
              </w:rPr>
            </w:pPr>
            <w:r w:rsidRPr="007C17BD">
              <w:rPr>
                <w:sz w:val="19"/>
                <w:szCs w:val="19"/>
                <w:lang w:val="en-GB"/>
              </w:rPr>
              <w:t xml:space="preserve">Total Assets </w:t>
            </w:r>
          </w:p>
        </w:tc>
        <w:tc>
          <w:tcPr>
            <w:tcW w:w="1873" w:type="dxa"/>
          </w:tcPr>
          <w:p w14:paraId="6706224A" w14:textId="5A2E584F" w:rsidR="003812DE" w:rsidRPr="007C17BD" w:rsidRDefault="003812DE" w:rsidP="00505689">
            <w:pPr>
              <w:pStyle w:val="ExhibitText"/>
              <w:jc w:val="right"/>
              <w:rPr>
                <w:sz w:val="19"/>
                <w:szCs w:val="19"/>
                <w:lang w:val="en-GB"/>
              </w:rPr>
            </w:pPr>
            <w:r w:rsidRPr="007C17BD">
              <w:rPr>
                <w:sz w:val="19"/>
                <w:szCs w:val="19"/>
                <w:lang w:val="en-GB"/>
              </w:rPr>
              <w:t>29,002,885</w:t>
            </w:r>
          </w:p>
        </w:tc>
        <w:tc>
          <w:tcPr>
            <w:tcW w:w="2032" w:type="dxa"/>
          </w:tcPr>
          <w:p w14:paraId="79F38075" w14:textId="5CA9297E" w:rsidR="003812DE" w:rsidRPr="007C17BD" w:rsidRDefault="003812DE" w:rsidP="00505689">
            <w:pPr>
              <w:pStyle w:val="ExhibitText"/>
              <w:jc w:val="right"/>
              <w:rPr>
                <w:sz w:val="19"/>
                <w:szCs w:val="19"/>
                <w:lang w:val="en-GB"/>
              </w:rPr>
            </w:pPr>
            <w:r w:rsidRPr="007C17BD">
              <w:rPr>
                <w:sz w:val="19"/>
                <w:szCs w:val="19"/>
                <w:lang w:val="en-GB"/>
              </w:rPr>
              <w:t>42,728,286</w:t>
            </w:r>
          </w:p>
        </w:tc>
      </w:tr>
      <w:tr w:rsidR="003812DE" w:rsidRPr="007C17BD" w14:paraId="32CCDEF6" w14:textId="77777777" w:rsidTr="003812DE">
        <w:trPr>
          <w:jc w:val="center"/>
        </w:trPr>
        <w:tc>
          <w:tcPr>
            <w:tcW w:w="3563" w:type="dxa"/>
          </w:tcPr>
          <w:p w14:paraId="2BF2995D" w14:textId="77777777" w:rsidR="003812DE" w:rsidRPr="007C17BD" w:rsidRDefault="003812DE" w:rsidP="00505689">
            <w:pPr>
              <w:pStyle w:val="ExhibitText"/>
              <w:rPr>
                <w:sz w:val="19"/>
                <w:szCs w:val="19"/>
                <w:lang w:val="en-GB"/>
              </w:rPr>
            </w:pPr>
            <w:r w:rsidRPr="007C17BD">
              <w:rPr>
                <w:sz w:val="19"/>
                <w:szCs w:val="19"/>
                <w:lang w:val="en-GB"/>
              </w:rPr>
              <w:t>Equity and Liabilities</w:t>
            </w:r>
          </w:p>
        </w:tc>
        <w:tc>
          <w:tcPr>
            <w:tcW w:w="1873" w:type="dxa"/>
          </w:tcPr>
          <w:p w14:paraId="49908AF0" w14:textId="77777777" w:rsidR="003812DE" w:rsidRPr="007C17BD" w:rsidRDefault="003812DE" w:rsidP="00505689">
            <w:pPr>
              <w:pStyle w:val="ExhibitText"/>
              <w:jc w:val="right"/>
              <w:rPr>
                <w:sz w:val="19"/>
                <w:szCs w:val="19"/>
                <w:lang w:val="en-GB"/>
              </w:rPr>
            </w:pPr>
          </w:p>
        </w:tc>
        <w:tc>
          <w:tcPr>
            <w:tcW w:w="2032" w:type="dxa"/>
          </w:tcPr>
          <w:p w14:paraId="14F24C7F" w14:textId="6A2C8E8B" w:rsidR="003812DE" w:rsidRPr="007C17BD" w:rsidRDefault="003812DE" w:rsidP="00505689">
            <w:pPr>
              <w:pStyle w:val="ExhibitText"/>
              <w:jc w:val="right"/>
              <w:rPr>
                <w:sz w:val="19"/>
                <w:szCs w:val="19"/>
                <w:lang w:val="en-GB"/>
              </w:rPr>
            </w:pPr>
          </w:p>
        </w:tc>
      </w:tr>
      <w:tr w:rsidR="003812DE" w:rsidRPr="007C17BD" w14:paraId="73E5805C" w14:textId="77777777" w:rsidTr="003812DE">
        <w:trPr>
          <w:jc w:val="center"/>
        </w:trPr>
        <w:tc>
          <w:tcPr>
            <w:tcW w:w="3563" w:type="dxa"/>
          </w:tcPr>
          <w:p w14:paraId="789243A7" w14:textId="77777777" w:rsidR="003812DE" w:rsidRPr="007C17BD" w:rsidRDefault="003812DE" w:rsidP="00505689">
            <w:pPr>
              <w:pStyle w:val="ExhibitText"/>
              <w:rPr>
                <w:sz w:val="19"/>
                <w:szCs w:val="19"/>
                <w:lang w:val="en-GB"/>
              </w:rPr>
            </w:pPr>
            <w:r w:rsidRPr="007C17BD">
              <w:rPr>
                <w:sz w:val="19"/>
                <w:szCs w:val="19"/>
                <w:lang w:val="en-GB"/>
              </w:rPr>
              <w:t>Equity</w:t>
            </w:r>
          </w:p>
        </w:tc>
        <w:tc>
          <w:tcPr>
            <w:tcW w:w="1873" w:type="dxa"/>
          </w:tcPr>
          <w:p w14:paraId="2B5BCC21" w14:textId="77777777" w:rsidR="003812DE" w:rsidRPr="007C17BD" w:rsidRDefault="003812DE" w:rsidP="00505689">
            <w:pPr>
              <w:pStyle w:val="ExhibitText"/>
              <w:jc w:val="right"/>
              <w:rPr>
                <w:sz w:val="19"/>
                <w:szCs w:val="19"/>
                <w:lang w:val="en-GB"/>
              </w:rPr>
            </w:pPr>
          </w:p>
        </w:tc>
        <w:tc>
          <w:tcPr>
            <w:tcW w:w="2032" w:type="dxa"/>
          </w:tcPr>
          <w:p w14:paraId="1E3A5807" w14:textId="2F8D28C5" w:rsidR="003812DE" w:rsidRPr="007C17BD" w:rsidRDefault="003812DE" w:rsidP="00505689">
            <w:pPr>
              <w:pStyle w:val="ExhibitText"/>
              <w:jc w:val="right"/>
              <w:rPr>
                <w:sz w:val="19"/>
                <w:szCs w:val="19"/>
                <w:lang w:val="en-GB"/>
              </w:rPr>
            </w:pPr>
          </w:p>
        </w:tc>
      </w:tr>
      <w:tr w:rsidR="003812DE" w:rsidRPr="007C17BD" w14:paraId="3B0083C6" w14:textId="77777777" w:rsidTr="003812DE">
        <w:trPr>
          <w:jc w:val="center"/>
        </w:trPr>
        <w:tc>
          <w:tcPr>
            <w:tcW w:w="3563" w:type="dxa"/>
          </w:tcPr>
          <w:p w14:paraId="467A4308" w14:textId="77777777" w:rsidR="003812DE" w:rsidRPr="007C17BD" w:rsidRDefault="003812DE" w:rsidP="00505689">
            <w:pPr>
              <w:pStyle w:val="ExhibitText"/>
              <w:rPr>
                <w:sz w:val="19"/>
                <w:szCs w:val="19"/>
                <w:lang w:val="en-GB"/>
              </w:rPr>
            </w:pPr>
            <w:r w:rsidRPr="007C17BD">
              <w:rPr>
                <w:sz w:val="19"/>
                <w:szCs w:val="19"/>
                <w:lang w:val="en-GB"/>
              </w:rPr>
              <w:t>Capital and Reserves</w:t>
            </w:r>
          </w:p>
        </w:tc>
        <w:tc>
          <w:tcPr>
            <w:tcW w:w="1873" w:type="dxa"/>
          </w:tcPr>
          <w:p w14:paraId="148F3A14" w14:textId="77777777" w:rsidR="003812DE" w:rsidRPr="007C17BD" w:rsidRDefault="003812DE" w:rsidP="00505689">
            <w:pPr>
              <w:pStyle w:val="ExhibitText"/>
              <w:jc w:val="right"/>
              <w:rPr>
                <w:sz w:val="19"/>
                <w:szCs w:val="19"/>
                <w:lang w:val="en-GB"/>
              </w:rPr>
            </w:pPr>
          </w:p>
        </w:tc>
        <w:tc>
          <w:tcPr>
            <w:tcW w:w="2032" w:type="dxa"/>
          </w:tcPr>
          <w:p w14:paraId="5B6A5C40" w14:textId="264825DB" w:rsidR="003812DE" w:rsidRPr="007C17BD" w:rsidRDefault="003812DE" w:rsidP="00505689">
            <w:pPr>
              <w:pStyle w:val="ExhibitText"/>
              <w:jc w:val="right"/>
              <w:rPr>
                <w:sz w:val="19"/>
                <w:szCs w:val="19"/>
                <w:lang w:val="en-GB"/>
              </w:rPr>
            </w:pPr>
          </w:p>
        </w:tc>
      </w:tr>
      <w:tr w:rsidR="003812DE" w:rsidRPr="007C17BD" w14:paraId="7C61E673" w14:textId="77777777" w:rsidTr="003812DE">
        <w:trPr>
          <w:jc w:val="center"/>
        </w:trPr>
        <w:tc>
          <w:tcPr>
            <w:tcW w:w="3563" w:type="dxa"/>
          </w:tcPr>
          <w:p w14:paraId="1DCC120E" w14:textId="77777777" w:rsidR="003812DE" w:rsidRPr="007C17BD" w:rsidRDefault="003812DE" w:rsidP="00505689">
            <w:pPr>
              <w:pStyle w:val="ExhibitText"/>
              <w:rPr>
                <w:sz w:val="19"/>
                <w:szCs w:val="19"/>
                <w:lang w:val="en-GB"/>
              </w:rPr>
            </w:pPr>
            <w:r w:rsidRPr="007C17BD">
              <w:rPr>
                <w:sz w:val="19"/>
                <w:szCs w:val="19"/>
                <w:lang w:val="en-GB"/>
              </w:rPr>
              <w:t>Share Capital</w:t>
            </w:r>
          </w:p>
        </w:tc>
        <w:tc>
          <w:tcPr>
            <w:tcW w:w="1873" w:type="dxa"/>
          </w:tcPr>
          <w:p w14:paraId="6B928A13" w14:textId="3EFEBCFE" w:rsidR="003812DE" w:rsidRPr="007C17BD" w:rsidRDefault="003812DE" w:rsidP="00505689">
            <w:pPr>
              <w:pStyle w:val="ExhibitText"/>
              <w:jc w:val="right"/>
              <w:rPr>
                <w:sz w:val="19"/>
                <w:szCs w:val="19"/>
                <w:lang w:val="en-GB"/>
              </w:rPr>
            </w:pPr>
            <w:r w:rsidRPr="007C17BD">
              <w:rPr>
                <w:sz w:val="19"/>
                <w:szCs w:val="19"/>
                <w:lang w:val="en-GB"/>
              </w:rPr>
              <w:t>55,050,000</w:t>
            </w:r>
          </w:p>
        </w:tc>
        <w:tc>
          <w:tcPr>
            <w:tcW w:w="2032" w:type="dxa"/>
          </w:tcPr>
          <w:p w14:paraId="38DD75BC" w14:textId="29E10238" w:rsidR="003812DE" w:rsidRPr="007C17BD" w:rsidRDefault="003812DE" w:rsidP="00505689">
            <w:pPr>
              <w:pStyle w:val="ExhibitText"/>
              <w:jc w:val="right"/>
              <w:rPr>
                <w:sz w:val="19"/>
                <w:szCs w:val="19"/>
                <w:lang w:val="en-GB"/>
              </w:rPr>
            </w:pPr>
            <w:r w:rsidRPr="007C17BD">
              <w:rPr>
                <w:sz w:val="19"/>
                <w:szCs w:val="19"/>
                <w:lang w:val="en-GB"/>
              </w:rPr>
              <w:t>55,050,000</w:t>
            </w:r>
          </w:p>
        </w:tc>
      </w:tr>
      <w:tr w:rsidR="003812DE" w:rsidRPr="007C17BD" w14:paraId="4A4DBCB6" w14:textId="77777777" w:rsidTr="003812DE">
        <w:trPr>
          <w:jc w:val="center"/>
        </w:trPr>
        <w:tc>
          <w:tcPr>
            <w:tcW w:w="3563" w:type="dxa"/>
          </w:tcPr>
          <w:p w14:paraId="52D2C0C3" w14:textId="77777777" w:rsidR="003812DE" w:rsidRPr="007C17BD" w:rsidRDefault="003812DE" w:rsidP="00505689">
            <w:pPr>
              <w:pStyle w:val="ExhibitText"/>
              <w:rPr>
                <w:sz w:val="19"/>
                <w:szCs w:val="19"/>
                <w:lang w:val="en-GB"/>
              </w:rPr>
            </w:pPr>
            <w:r w:rsidRPr="007C17BD">
              <w:rPr>
                <w:sz w:val="19"/>
                <w:szCs w:val="19"/>
                <w:lang w:val="en-GB"/>
              </w:rPr>
              <w:t>Accumulated Losses</w:t>
            </w:r>
          </w:p>
        </w:tc>
        <w:tc>
          <w:tcPr>
            <w:tcW w:w="1873" w:type="dxa"/>
          </w:tcPr>
          <w:p w14:paraId="62C2F18A" w14:textId="2B446C27" w:rsidR="003812DE" w:rsidRPr="007C17BD" w:rsidRDefault="00BA7E76" w:rsidP="006A05E7">
            <w:pPr>
              <w:pStyle w:val="ExhibitText"/>
              <w:jc w:val="right"/>
              <w:rPr>
                <w:sz w:val="19"/>
                <w:szCs w:val="19"/>
                <w:lang w:val="en-GB"/>
              </w:rPr>
            </w:pPr>
            <w:r>
              <w:rPr>
                <w:sz w:val="19"/>
                <w:szCs w:val="19"/>
                <w:lang w:val="en-GB"/>
              </w:rPr>
              <w:t>−</w:t>
            </w:r>
            <w:r w:rsidR="003812DE" w:rsidRPr="007C17BD">
              <w:rPr>
                <w:sz w:val="19"/>
                <w:szCs w:val="19"/>
                <w:lang w:val="en-GB"/>
              </w:rPr>
              <w:t>53,919,155</w:t>
            </w:r>
          </w:p>
        </w:tc>
        <w:tc>
          <w:tcPr>
            <w:tcW w:w="2032" w:type="dxa"/>
          </w:tcPr>
          <w:p w14:paraId="7A39E3C2" w14:textId="464E64B2" w:rsidR="003812DE" w:rsidRPr="007C17BD" w:rsidRDefault="00BA7E76">
            <w:pPr>
              <w:pStyle w:val="ExhibitText"/>
              <w:jc w:val="right"/>
              <w:rPr>
                <w:sz w:val="19"/>
                <w:szCs w:val="19"/>
                <w:lang w:val="en-GB"/>
              </w:rPr>
            </w:pPr>
            <w:r>
              <w:rPr>
                <w:sz w:val="19"/>
                <w:szCs w:val="19"/>
                <w:lang w:val="en-GB"/>
              </w:rPr>
              <w:t>−</w:t>
            </w:r>
            <w:r w:rsidR="003812DE" w:rsidRPr="007C17BD">
              <w:rPr>
                <w:sz w:val="19"/>
                <w:szCs w:val="19"/>
                <w:lang w:val="en-GB"/>
              </w:rPr>
              <w:t>40,691,039</w:t>
            </w:r>
          </w:p>
        </w:tc>
      </w:tr>
      <w:tr w:rsidR="003812DE" w:rsidRPr="007C17BD" w14:paraId="5EC8CD31" w14:textId="77777777" w:rsidTr="003812DE">
        <w:trPr>
          <w:jc w:val="center"/>
        </w:trPr>
        <w:tc>
          <w:tcPr>
            <w:tcW w:w="3563" w:type="dxa"/>
          </w:tcPr>
          <w:p w14:paraId="234D76F9" w14:textId="77777777" w:rsidR="003812DE" w:rsidRPr="007C17BD" w:rsidRDefault="003812DE" w:rsidP="00505689">
            <w:pPr>
              <w:pStyle w:val="ExhibitText"/>
              <w:rPr>
                <w:sz w:val="19"/>
                <w:szCs w:val="19"/>
                <w:lang w:val="en-GB"/>
              </w:rPr>
            </w:pPr>
            <w:r w:rsidRPr="007C17BD">
              <w:rPr>
                <w:sz w:val="19"/>
                <w:szCs w:val="19"/>
                <w:lang w:val="en-GB"/>
              </w:rPr>
              <w:t>Net Equity</w:t>
            </w:r>
          </w:p>
        </w:tc>
        <w:tc>
          <w:tcPr>
            <w:tcW w:w="1873" w:type="dxa"/>
          </w:tcPr>
          <w:p w14:paraId="3B8AEAE6" w14:textId="5841AF60" w:rsidR="003812DE" w:rsidRPr="007C17BD" w:rsidRDefault="003812DE" w:rsidP="00505689">
            <w:pPr>
              <w:pStyle w:val="ExhibitText"/>
              <w:jc w:val="right"/>
              <w:rPr>
                <w:sz w:val="19"/>
                <w:szCs w:val="19"/>
                <w:lang w:val="en-GB"/>
              </w:rPr>
            </w:pPr>
            <w:r w:rsidRPr="007C17BD">
              <w:rPr>
                <w:sz w:val="19"/>
                <w:szCs w:val="19"/>
                <w:lang w:val="en-GB"/>
              </w:rPr>
              <w:t>1,130,845</w:t>
            </w:r>
          </w:p>
        </w:tc>
        <w:tc>
          <w:tcPr>
            <w:tcW w:w="2032" w:type="dxa"/>
          </w:tcPr>
          <w:p w14:paraId="6DD9F4AA" w14:textId="7231EE78" w:rsidR="003812DE" w:rsidRPr="007C17BD" w:rsidRDefault="003812DE" w:rsidP="00505689">
            <w:pPr>
              <w:pStyle w:val="ExhibitText"/>
              <w:jc w:val="right"/>
              <w:rPr>
                <w:sz w:val="19"/>
                <w:szCs w:val="19"/>
                <w:lang w:val="en-GB"/>
              </w:rPr>
            </w:pPr>
            <w:r w:rsidRPr="007C17BD">
              <w:rPr>
                <w:sz w:val="19"/>
                <w:szCs w:val="19"/>
                <w:lang w:val="en-GB"/>
              </w:rPr>
              <w:t>14,358,961</w:t>
            </w:r>
          </w:p>
        </w:tc>
      </w:tr>
      <w:tr w:rsidR="003812DE" w:rsidRPr="007C17BD" w14:paraId="751AEF32" w14:textId="77777777" w:rsidTr="003812DE">
        <w:trPr>
          <w:jc w:val="center"/>
        </w:trPr>
        <w:tc>
          <w:tcPr>
            <w:tcW w:w="3563" w:type="dxa"/>
          </w:tcPr>
          <w:p w14:paraId="5874AFF5" w14:textId="77777777" w:rsidR="003812DE" w:rsidRPr="007C17BD" w:rsidRDefault="003812DE" w:rsidP="00505689">
            <w:pPr>
              <w:pStyle w:val="ExhibitText"/>
              <w:rPr>
                <w:sz w:val="19"/>
                <w:szCs w:val="19"/>
                <w:lang w:val="en-GB"/>
              </w:rPr>
            </w:pPr>
            <w:r w:rsidRPr="007C17BD">
              <w:rPr>
                <w:sz w:val="19"/>
                <w:szCs w:val="19"/>
                <w:lang w:val="en-GB"/>
              </w:rPr>
              <w:t>Liabilities</w:t>
            </w:r>
          </w:p>
        </w:tc>
        <w:tc>
          <w:tcPr>
            <w:tcW w:w="1873" w:type="dxa"/>
          </w:tcPr>
          <w:p w14:paraId="64EFA954" w14:textId="77777777" w:rsidR="003812DE" w:rsidRPr="007C17BD" w:rsidRDefault="003812DE" w:rsidP="00505689">
            <w:pPr>
              <w:pStyle w:val="ExhibitText"/>
              <w:jc w:val="right"/>
              <w:rPr>
                <w:sz w:val="19"/>
                <w:szCs w:val="19"/>
                <w:lang w:val="en-GB"/>
              </w:rPr>
            </w:pPr>
          </w:p>
        </w:tc>
        <w:tc>
          <w:tcPr>
            <w:tcW w:w="2032" w:type="dxa"/>
          </w:tcPr>
          <w:p w14:paraId="0F8F3E12" w14:textId="25004339" w:rsidR="003812DE" w:rsidRPr="007C17BD" w:rsidRDefault="003812DE" w:rsidP="00505689">
            <w:pPr>
              <w:pStyle w:val="ExhibitText"/>
              <w:jc w:val="right"/>
              <w:rPr>
                <w:sz w:val="19"/>
                <w:szCs w:val="19"/>
                <w:lang w:val="en-GB"/>
              </w:rPr>
            </w:pPr>
          </w:p>
        </w:tc>
      </w:tr>
      <w:tr w:rsidR="003812DE" w:rsidRPr="007C17BD" w14:paraId="6010922E" w14:textId="77777777" w:rsidTr="003812DE">
        <w:trPr>
          <w:jc w:val="center"/>
        </w:trPr>
        <w:tc>
          <w:tcPr>
            <w:tcW w:w="3563" w:type="dxa"/>
          </w:tcPr>
          <w:p w14:paraId="255755CA" w14:textId="77777777" w:rsidR="003812DE" w:rsidRPr="007C17BD" w:rsidRDefault="003812DE" w:rsidP="00505689">
            <w:pPr>
              <w:pStyle w:val="ExhibitText"/>
              <w:rPr>
                <w:sz w:val="19"/>
                <w:szCs w:val="19"/>
                <w:lang w:val="en-GB"/>
              </w:rPr>
            </w:pPr>
            <w:r w:rsidRPr="007C17BD">
              <w:rPr>
                <w:sz w:val="19"/>
                <w:szCs w:val="19"/>
                <w:lang w:val="en-GB"/>
              </w:rPr>
              <w:t>Non-Current Liability</w:t>
            </w:r>
          </w:p>
        </w:tc>
        <w:tc>
          <w:tcPr>
            <w:tcW w:w="1873" w:type="dxa"/>
          </w:tcPr>
          <w:p w14:paraId="044CEEAE" w14:textId="77777777" w:rsidR="003812DE" w:rsidRPr="007C17BD" w:rsidRDefault="003812DE" w:rsidP="00505689">
            <w:pPr>
              <w:pStyle w:val="ExhibitText"/>
              <w:jc w:val="right"/>
              <w:rPr>
                <w:sz w:val="19"/>
                <w:szCs w:val="19"/>
                <w:lang w:val="en-GB"/>
              </w:rPr>
            </w:pPr>
          </w:p>
        </w:tc>
        <w:tc>
          <w:tcPr>
            <w:tcW w:w="2032" w:type="dxa"/>
          </w:tcPr>
          <w:p w14:paraId="2282ED58" w14:textId="571ACD2F" w:rsidR="003812DE" w:rsidRPr="007C17BD" w:rsidRDefault="003812DE" w:rsidP="00505689">
            <w:pPr>
              <w:pStyle w:val="ExhibitText"/>
              <w:jc w:val="right"/>
              <w:rPr>
                <w:sz w:val="19"/>
                <w:szCs w:val="19"/>
                <w:lang w:val="en-GB"/>
              </w:rPr>
            </w:pPr>
          </w:p>
        </w:tc>
      </w:tr>
      <w:tr w:rsidR="003812DE" w:rsidRPr="007C17BD" w14:paraId="5BFF16D5" w14:textId="77777777" w:rsidTr="003812DE">
        <w:trPr>
          <w:jc w:val="center"/>
        </w:trPr>
        <w:tc>
          <w:tcPr>
            <w:tcW w:w="3563" w:type="dxa"/>
          </w:tcPr>
          <w:p w14:paraId="76C4D19D" w14:textId="50C29424" w:rsidR="003812DE" w:rsidRPr="007C17BD" w:rsidRDefault="003812DE" w:rsidP="00207A5A">
            <w:pPr>
              <w:pStyle w:val="ExhibitText"/>
              <w:jc w:val="left"/>
              <w:rPr>
                <w:sz w:val="19"/>
                <w:szCs w:val="19"/>
                <w:lang w:val="en-GB"/>
              </w:rPr>
            </w:pPr>
            <w:r w:rsidRPr="007C17BD">
              <w:rPr>
                <w:sz w:val="19"/>
                <w:szCs w:val="19"/>
                <w:lang w:val="en-GB"/>
              </w:rPr>
              <w:t>Provision for Employees</w:t>
            </w:r>
            <w:r w:rsidR="003B7DFC">
              <w:rPr>
                <w:sz w:val="19"/>
                <w:szCs w:val="19"/>
                <w:lang w:val="en-GB"/>
              </w:rPr>
              <w:t>’</w:t>
            </w:r>
            <w:r w:rsidRPr="007C17BD">
              <w:rPr>
                <w:sz w:val="19"/>
                <w:szCs w:val="19"/>
                <w:lang w:val="en-GB"/>
              </w:rPr>
              <w:t xml:space="preserve"> End-of-Service Benefit</w:t>
            </w:r>
          </w:p>
        </w:tc>
        <w:tc>
          <w:tcPr>
            <w:tcW w:w="1873" w:type="dxa"/>
          </w:tcPr>
          <w:p w14:paraId="75231B9C" w14:textId="6AF1DDA6" w:rsidR="003812DE" w:rsidRPr="007C17BD" w:rsidRDefault="003812DE" w:rsidP="00505689">
            <w:pPr>
              <w:pStyle w:val="ExhibitText"/>
              <w:jc w:val="right"/>
              <w:rPr>
                <w:sz w:val="19"/>
                <w:szCs w:val="19"/>
                <w:lang w:val="en-GB"/>
              </w:rPr>
            </w:pPr>
            <w:r w:rsidRPr="007C17BD">
              <w:rPr>
                <w:sz w:val="19"/>
                <w:szCs w:val="19"/>
                <w:lang w:val="en-GB"/>
              </w:rPr>
              <w:t>2,500,261</w:t>
            </w:r>
          </w:p>
        </w:tc>
        <w:tc>
          <w:tcPr>
            <w:tcW w:w="2032" w:type="dxa"/>
          </w:tcPr>
          <w:p w14:paraId="77AA6B3E" w14:textId="05FD57B4" w:rsidR="003812DE" w:rsidRPr="007C17BD" w:rsidRDefault="003812DE" w:rsidP="00505689">
            <w:pPr>
              <w:pStyle w:val="ExhibitText"/>
              <w:jc w:val="right"/>
              <w:rPr>
                <w:sz w:val="19"/>
                <w:szCs w:val="19"/>
                <w:lang w:val="en-GB"/>
              </w:rPr>
            </w:pPr>
            <w:r w:rsidRPr="007C17BD">
              <w:rPr>
                <w:sz w:val="19"/>
                <w:szCs w:val="19"/>
                <w:lang w:val="en-GB"/>
              </w:rPr>
              <w:t>3,076,108</w:t>
            </w:r>
          </w:p>
        </w:tc>
      </w:tr>
      <w:tr w:rsidR="003812DE" w:rsidRPr="007C17BD" w14:paraId="76E7F9F1" w14:textId="77777777" w:rsidTr="003812DE">
        <w:trPr>
          <w:jc w:val="center"/>
        </w:trPr>
        <w:tc>
          <w:tcPr>
            <w:tcW w:w="3563" w:type="dxa"/>
          </w:tcPr>
          <w:p w14:paraId="641BDA38" w14:textId="77777777" w:rsidR="003812DE" w:rsidRPr="007C17BD" w:rsidRDefault="003812DE" w:rsidP="00505689">
            <w:pPr>
              <w:pStyle w:val="ExhibitText"/>
              <w:rPr>
                <w:sz w:val="19"/>
                <w:szCs w:val="19"/>
                <w:lang w:val="en-GB"/>
              </w:rPr>
            </w:pPr>
            <w:r w:rsidRPr="007C17BD">
              <w:rPr>
                <w:sz w:val="19"/>
                <w:szCs w:val="19"/>
                <w:lang w:val="en-GB"/>
              </w:rPr>
              <w:t>Current Liability</w:t>
            </w:r>
          </w:p>
        </w:tc>
        <w:tc>
          <w:tcPr>
            <w:tcW w:w="1873" w:type="dxa"/>
          </w:tcPr>
          <w:p w14:paraId="65A03C12" w14:textId="77777777" w:rsidR="003812DE" w:rsidRPr="007C17BD" w:rsidRDefault="003812DE" w:rsidP="00505689">
            <w:pPr>
              <w:pStyle w:val="ExhibitText"/>
              <w:jc w:val="right"/>
              <w:rPr>
                <w:sz w:val="19"/>
                <w:szCs w:val="19"/>
                <w:lang w:val="en-GB"/>
              </w:rPr>
            </w:pPr>
          </w:p>
        </w:tc>
        <w:tc>
          <w:tcPr>
            <w:tcW w:w="2032" w:type="dxa"/>
          </w:tcPr>
          <w:p w14:paraId="1B8F8551" w14:textId="00163A6A" w:rsidR="003812DE" w:rsidRPr="007C17BD" w:rsidRDefault="003812DE" w:rsidP="00505689">
            <w:pPr>
              <w:pStyle w:val="ExhibitText"/>
              <w:jc w:val="right"/>
              <w:rPr>
                <w:sz w:val="19"/>
                <w:szCs w:val="19"/>
                <w:lang w:val="en-GB"/>
              </w:rPr>
            </w:pPr>
          </w:p>
        </w:tc>
      </w:tr>
      <w:tr w:rsidR="003812DE" w:rsidRPr="007C17BD" w14:paraId="2AD4927D" w14:textId="77777777" w:rsidTr="003812DE">
        <w:trPr>
          <w:jc w:val="center"/>
        </w:trPr>
        <w:tc>
          <w:tcPr>
            <w:tcW w:w="3563" w:type="dxa"/>
          </w:tcPr>
          <w:p w14:paraId="3C6C7DC6" w14:textId="77777777" w:rsidR="003812DE" w:rsidRPr="007C17BD" w:rsidRDefault="003812DE" w:rsidP="00505689">
            <w:pPr>
              <w:pStyle w:val="ExhibitText"/>
              <w:rPr>
                <w:sz w:val="19"/>
                <w:szCs w:val="19"/>
                <w:lang w:val="en-GB"/>
              </w:rPr>
            </w:pPr>
            <w:r w:rsidRPr="007C17BD">
              <w:rPr>
                <w:sz w:val="19"/>
                <w:szCs w:val="19"/>
                <w:lang w:val="en-GB"/>
              </w:rPr>
              <w:t>Trade and Other Payables</w:t>
            </w:r>
          </w:p>
        </w:tc>
        <w:tc>
          <w:tcPr>
            <w:tcW w:w="1873" w:type="dxa"/>
          </w:tcPr>
          <w:p w14:paraId="1A482B8B" w14:textId="5BD11919" w:rsidR="003812DE" w:rsidRPr="007C17BD" w:rsidRDefault="003812DE" w:rsidP="00505689">
            <w:pPr>
              <w:pStyle w:val="ExhibitText"/>
              <w:jc w:val="right"/>
              <w:rPr>
                <w:sz w:val="19"/>
                <w:szCs w:val="19"/>
                <w:lang w:val="en-GB"/>
              </w:rPr>
            </w:pPr>
            <w:r w:rsidRPr="007C17BD">
              <w:rPr>
                <w:sz w:val="19"/>
                <w:szCs w:val="19"/>
                <w:lang w:val="en-GB"/>
              </w:rPr>
              <w:t>25,023,287</w:t>
            </w:r>
          </w:p>
        </w:tc>
        <w:tc>
          <w:tcPr>
            <w:tcW w:w="2032" w:type="dxa"/>
          </w:tcPr>
          <w:p w14:paraId="2921EC13" w14:textId="71FB4B99" w:rsidR="003812DE" w:rsidRPr="007C17BD" w:rsidRDefault="003812DE" w:rsidP="00505689">
            <w:pPr>
              <w:pStyle w:val="ExhibitText"/>
              <w:jc w:val="right"/>
              <w:rPr>
                <w:sz w:val="19"/>
                <w:szCs w:val="19"/>
                <w:lang w:val="en-GB"/>
              </w:rPr>
            </w:pPr>
            <w:r w:rsidRPr="007C17BD">
              <w:rPr>
                <w:sz w:val="19"/>
                <w:szCs w:val="19"/>
                <w:lang w:val="en-GB"/>
              </w:rPr>
              <w:t>25,114,165</w:t>
            </w:r>
          </w:p>
        </w:tc>
      </w:tr>
      <w:tr w:rsidR="003812DE" w:rsidRPr="007C17BD" w14:paraId="7B9163EC" w14:textId="77777777" w:rsidTr="003812DE">
        <w:trPr>
          <w:jc w:val="center"/>
        </w:trPr>
        <w:tc>
          <w:tcPr>
            <w:tcW w:w="3563" w:type="dxa"/>
          </w:tcPr>
          <w:p w14:paraId="38048626" w14:textId="77777777" w:rsidR="003812DE" w:rsidRPr="007C17BD" w:rsidRDefault="003812DE" w:rsidP="00505689">
            <w:pPr>
              <w:pStyle w:val="ExhibitText"/>
              <w:rPr>
                <w:sz w:val="19"/>
                <w:szCs w:val="19"/>
                <w:lang w:val="en-GB"/>
              </w:rPr>
            </w:pPr>
            <w:r w:rsidRPr="007C17BD">
              <w:rPr>
                <w:sz w:val="19"/>
                <w:szCs w:val="19"/>
                <w:lang w:val="en-GB"/>
              </w:rPr>
              <w:t>Due to Related Parties</w:t>
            </w:r>
          </w:p>
        </w:tc>
        <w:tc>
          <w:tcPr>
            <w:tcW w:w="1873" w:type="dxa"/>
          </w:tcPr>
          <w:p w14:paraId="6F0C990D" w14:textId="7FBCAE38" w:rsidR="003812DE" w:rsidRPr="007C17BD" w:rsidRDefault="003812DE" w:rsidP="00505689">
            <w:pPr>
              <w:pStyle w:val="ExhibitText"/>
              <w:jc w:val="right"/>
              <w:rPr>
                <w:sz w:val="19"/>
                <w:szCs w:val="19"/>
                <w:lang w:val="en-GB"/>
              </w:rPr>
            </w:pPr>
            <w:r w:rsidRPr="007C17BD">
              <w:rPr>
                <w:sz w:val="19"/>
                <w:szCs w:val="19"/>
                <w:lang w:val="en-GB"/>
              </w:rPr>
              <w:t>248,492</w:t>
            </w:r>
          </w:p>
        </w:tc>
        <w:tc>
          <w:tcPr>
            <w:tcW w:w="2032" w:type="dxa"/>
          </w:tcPr>
          <w:p w14:paraId="209B3740" w14:textId="44EDB9F5" w:rsidR="003812DE" w:rsidRPr="007C17BD" w:rsidRDefault="003812DE" w:rsidP="00505689">
            <w:pPr>
              <w:pStyle w:val="ExhibitText"/>
              <w:jc w:val="right"/>
              <w:rPr>
                <w:sz w:val="19"/>
                <w:szCs w:val="19"/>
                <w:lang w:val="en-GB"/>
              </w:rPr>
            </w:pPr>
            <w:r w:rsidRPr="007C17BD">
              <w:rPr>
                <w:sz w:val="19"/>
                <w:szCs w:val="19"/>
                <w:lang w:val="en-GB"/>
              </w:rPr>
              <w:t>179,052</w:t>
            </w:r>
          </w:p>
        </w:tc>
      </w:tr>
      <w:tr w:rsidR="003812DE" w:rsidRPr="007C17BD" w14:paraId="77856E82" w14:textId="77777777" w:rsidTr="003812DE">
        <w:trPr>
          <w:jc w:val="center"/>
        </w:trPr>
        <w:tc>
          <w:tcPr>
            <w:tcW w:w="3563" w:type="dxa"/>
          </w:tcPr>
          <w:p w14:paraId="13B33D6A" w14:textId="77777777" w:rsidR="003812DE" w:rsidRPr="007C17BD" w:rsidRDefault="003812DE" w:rsidP="00505689">
            <w:pPr>
              <w:pStyle w:val="ExhibitText"/>
              <w:rPr>
                <w:sz w:val="19"/>
                <w:szCs w:val="19"/>
                <w:lang w:val="en-GB"/>
              </w:rPr>
            </w:pPr>
          </w:p>
        </w:tc>
        <w:tc>
          <w:tcPr>
            <w:tcW w:w="1873" w:type="dxa"/>
          </w:tcPr>
          <w:p w14:paraId="48F0E879" w14:textId="047487E5" w:rsidR="003812DE" w:rsidRPr="007C17BD" w:rsidRDefault="003812DE" w:rsidP="00505689">
            <w:pPr>
              <w:pStyle w:val="ExhibitText"/>
              <w:jc w:val="right"/>
              <w:rPr>
                <w:sz w:val="19"/>
                <w:szCs w:val="19"/>
                <w:lang w:val="en-GB"/>
              </w:rPr>
            </w:pPr>
            <w:r w:rsidRPr="007C17BD">
              <w:rPr>
                <w:sz w:val="19"/>
                <w:szCs w:val="19"/>
                <w:lang w:val="en-GB"/>
              </w:rPr>
              <w:t>25,371,779</w:t>
            </w:r>
          </w:p>
        </w:tc>
        <w:tc>
          <w:tcPr>
            <w:tcW w:w="2032" w:type="dxa"/>
          </w:tcPr>
          <w:p w14:paraId="5E47B58B" w14:textId="7F8498BB" w:rsidR="003812DE" w:rsidRPr="007C17BD" w:rsidRDefault="003812DE" w:rsidP="00505689">
            <w:pPr>
              <w:pStyle w:val="ExhibitText"/>
              <w:jc w:val="right"/>
              <w:rPr>
                <w:sz w:val="19"/>
                <w:szCs w:val="19"/>
                <w:lang w:val="en-GB"/>
              </w:rPr>
            </w:pPr>
            <w:r w:rsidRPr="007C17BD">
              <w:rPr>
                <w:sz w:val="19"/>
                <w:szCs w:val="19"/>
                <w:lang w:val="en-GB"/>
              </w:rPr>
              <w:t>25,293,217</w:t>
            </w:r>
          </w:p>
        </w:tc>
      </w:tr>
      <w:tr w:rsidR="003812DE" w:rsidRPr="007C17BD" w14:paraId="6352F746" w14:textId="77777777" w:rsidTr="003812DE">
        <w:trPr>
          <w:jc w:val="center"/>
        </w:trPr>
        <w:tc>
          <w:tcPr>
            <w:tcW w:w="3563" w:type="dxa"/>
          </w:tcPr>
          <w:p w14:paraId="54ED5CF9" w14:textId="77777777" w:rsidR="003812DE" w:rsidRPr="007C17BD" w:rsidRDefault="003812DE" w:rsidP="00505689">
            <w:pPr>
              <w:pStyle w:val="ExhibitText"/>
              <w:rPr>
                <w:sz w:val="19"/>
                <w:szCs w:val="19"/>
                <w:lang w:val="en-GB"/>
              </w:rPr>
            </w:pPr>
            <w:r w:rsidRPr="007C17BD">
              <w:rPr>
                <w:sz w:val="19"/>
                <w:szCs w:val="19"/>
                <w:lang w:val="en-GB"/>
              </w:rPr>
              <w:t xml:space="preserve">Total Liabilities </w:t>
            </w:r>
          </w:p>
        </w:tc>
        <w:tc>
          <w:tcPr>
            <w:tcW w:w="1873" w:type="dxa"/>
          </w:tcPr>
          <w:p w14:paraId="46EBDCFB" w14:textId="058DFEE3" w:rsidR="003812DE" w:rsidRPr="007C17BD" w:rsidRDefault="003812DE" w:rsidP="00505689">
            <w:pPr>
              <w:pStyle w:val="ExhibitText"/>
              <w:jc w:val="right"/>
              <w:rPr>
                <w:sz w:val="19"/>
                <w:szCs w:val="19"/>
                <w:lang w:val="en-GB"/>
              </w:rPr>
            </w:pPr>
            <w:r w:rsidRPr="007C17BD">
              <w:rPr>
                <w:sz w:val="19"/>
                <w:szCs w:val="19"/>
                <w:lang w:val="en-GB"/>
              </w:rPr>
              <w:t>27,872,040</w:t>
            </w:r>
          </w:p>
        </w:tc>
        <w:tc>
          <w:tcPr>
            <w:tcW w:w="2032" w:type="dxa"/>
          </w:tcPr>
          <w:p w14:paraId="3114ABBA" w14:textId="7B3C15F1" w:rsidR="003812DE" w:rsidRPr="007C17BD" w:rsidRDefault="003812DE" w:rsidP="00505689">
            <w:pPr>
              <w:pStyle w:val="ExhibitText"/>
              <w:jc w:val="right"/>
              <w:rPr>
                <w:sz w:val="19"/>
                <w:szCs w:val="19"/>
                <w:lang w:val="en-GB"/>
              </w:rPr>
            </w:pPr>
            <w:r w:rsidRPr="007C17BD">
              <w:rPr>
                <w:sz w:val="19"/>
                <w:szCs w:val="19"/>
                <w:lang w:val="en-GB"/>
              </w:rPr>
              <w:t>28,369,325</w:t>
            </w:r>
          </w:p>
        </w:tc>
      </w:tr>
      <w:tr w:rsidR="003812DE" w:rsidRPr="007C17BD" w14:paraId="3FB376BA" w14:textId="77777777" w:rsidTr="003812DE">
        <w:trPr>
          <w:jc w:val="center"/>
        </w:trPr>
        <w:tc>
          <w:tcPr>
            <w:tcW w:w="3563" w:type="dxa"/>
          </w:tcPr>
          <w:p w14:paraId="00E52515" w14:textId="77777777" w:rsidR="003812DE" w:rsidRPr="007C17BD" w:rsidRDefault="003812DE" w:rsidP="00505689">
            <w:pPr>
              <w:pStyle w:val="ExhibitText"/>
              <w:rPr>
                <w:sz w:val="19"/>
                <w:szCs w:val="19"/>
                <w:lang w:val="en-GB"/>
              </w:rPr>
            </w:pPr>
            <w:r w:rsidRPr="007C17BD">
              <w:rPr>
                <w:sz w:val="19"/>
                <w:szCs w:val="19"/>
                <w:lang w:val="en-GB"/>
              </w:rPr>
              <w:t xml:space="preserve">Total Equity and Liabilities </w:t>
            </w:r>
          </w:p>
        </w:tc>
        <w:tc>
          <w:tcPr>
            <w:tcW w:w="1873" w:type="dxa"/>
          </w:tcPr>
          <w:p w14:paraId="6D979B23" w14:textId="337801C3" w:rsidR="003812DE" w:rsidRPr="007C17BD" w:rsidRDefault="003812DE" w:rsidP="00505689">
            <w:pPr>
              <w:pStyle w:val="ExhibitText"/>
              <w:jc w:val="right"/>
              <w:rPr>
                <w:sz w:val="19"/>
                <w:szCs w:val="19"/>
                <w:lang w:val="en-GB"/>
              </w:rPr>
            </w:pPr>
            <w:r w:rsidRPr="007C17BD">
              <w:rPr>
                <w:sz w:val="19"/>
                <w:szCs w:val="19"/>
                <w:lang w:val="en-GB"/>
              </w:rPr>
              <w:t>29,002,885</w:t>
            </w:r>
          </w:p>
        </w:tc>
        <w:tc>
          <w:tcPr>
            <w:tcW w:w="2032" w:type="dxa"/>
          </w:tcPr>
          <w:p w14:paraId="71CC3DBD" w14:textId="0D7E7524" w:rsidR="003812DE" w:rsidRPr="007C17BD" w:rsidRDefault="003812DE" w:rsidP="00505689">
            <w:pPr>
              <w:pStyle w:val="ExhibitText"/>
              <w:jc w:val="right"/>
              <w:rPr>
                <w:sz w:val="19"/>
                <w:szCs w:val="19"/>
                <w:lang w:val="en-GB"/>
              </w:rPr>
            </w:pPr>
            <w:r w:rsidRPr="007C17BD">
              <w:rPr>
                <w:sz w:val="19"/>
                <w:szCs w:val="19"/>
                <w:lang w:val="en-GB"/>
              </w:rPr>
              <w:t>42,728,286</w:t>
            </w:r>
          </w:p>
        </w:tc>
      </w:tr>
    </w:tbl>
    <w:p w14:paraId="62DEA0A0" w14:textId="77777777" w:rsidR="0056785D" w:rsidRPr="007C17BD" w:rsidRDefault="0056785D" w:rsidP="00362818">
      <w:pPr>
        <w:pStyle w:val="Footnote"/>
        <w:rPr>
          <w:lang w:val="en-GB"/>
        </w:rPr>
      </w:pPr>
    </w:p>
    <w:p w14:paraId="11C4F8EA" w14:textId="64F6C937" w:rsidR="0056785D" w:rsidRPr="007C17BD" w:rsidRDefault="000D5136" w:rsidP="00207A5A">
      <w:pPr>
        <w:pStyle w:val="Footnote"/>
        <w:jc w:val="left"/>
        <w:rPr>
          <w:lang w:val="en-GB"/>
        </w:rPr>
      </w:pPr>
      <w:r w:rsidRPr="007C17BD">
        <w:rPr>
          <w:lang w:val="en-GB"/>
        </w:rPr>
        <w:t xml:space="preserve">Source: Kaya Limited, </w:t>
      </w:r>
      <w:r w:rsidRPr="007C17BD">
        <w:rPr>
          <w:i/>
          <w:lang w:val="en-GB"/>
        </w:rPr>
        <w:t>Leading S</w:t>
      </w:r>
      <w:r w:rsidR="00306057" w:rsidRPr="007C17BD">
        <w:rPr>
          <w:i/>
          <w:lang w:val="en-GB"/>
        </w:rPr>
        <w:t>p</w:t>
      </w:r>
      <w:r w:rsidRPr="007C17BD">
        <w:rPr>
          <w:i/>
          <w:lang w:val="en-GB"/>
        </w:rPr>
        <w:t>ecialty Skincare Brand:</w:t>
      </w:r>
      <w:r w:rsidR="00450122" w:rsidRPr="007C17BD">
        <w:rPr>
          <w:i/>
          <w:lang w:val="en-GB"/>
        </w:rPr>
        <w:t xml:space="preserve"> </w:t>
      </w:r>
      <w:r w:rsidRPr="007C17BD">
        <w:rPr>
          <w:i/>
          <w:lang w:val="en-GB"/>
        </w:rPr>
        <w:t>Annual Report, 2014–15</w:t>
      </w:r>
      <w:r w:rsidRPr="007C17BD">
        <w:rPr>
          <w:lang w:val="en-GB"/>
        </w:rPr>
        <w:t xml:space="preserve">, </w:t>
      </w:r>
      <w:r w:rsidR="00B86CEA" w:rsidRPr="007C17BD">
        <w:rPr>
          <w:lang w:val="en-GB"/>
        </w:rPr>
        <w:t>13</w:t>
      </w:r>
      <w:r w:rsidR="00246172" w:rsidRPr="007C17BD">
        <w:rPr>
          <w:lang w:val="en-GB"/>
        </w:rPr>
        <w:t>4</w:t>
      </w:r>
      <w:r w:rsidR="00B86CEA" w:rsidRPr="007C17BD">
        <w:rPr>
          <w:lang w:val="en-GB"/>
        </w:rPr>
        <w:t>,</w:t>
      </w:r>
      <w:r w:rsidRPr="007C17BD">
        <w:rPr>
          <w:lang w:val="en-GB"/>
        </w:rPr>
        <w:t xml:space="preserve"> accessed April 20, 2016, </w:t>
      </w:r>
      <w:r w:rsidR="00450122" w:rsidRPr="007C17BD">
        <w:rPr>
          <w:lang w:val="en-GB"/>
        </w:rPr>
        <w:t>https://www.kaya.in/investors/pdf/Annual%20Report%202014-15.pdf</w:t>
      </w:r>
      <w:r w:rsidRPr="007C17BD">
        <w:rPr>
          <w:lang w:val="en-GB"/>
        </w:rPr>
        <w:t>.</w:t>
      </w:r>
    </w:p>
    <w:p w14:paraId="4C8DD3DE" w14:textId="77777777" w:rsidR="006156A4" w:rsidRPr="007C17BD" w:rsidRDefault="006156A4">
      <w:pPr>
        <w:spacing w:after="200" w:line="276" w:lineRule="auto"/>
        <w:rPr>
          <w:rFonts w:ascii="Arial" w:hAnsi="Arial" w:cs="Arial"/>
          <w:sz w:val="17"/>
          <w:szCs w:val="17"/>
          <w:lang w:val="en-GB"/>
        </w:rPr>
      </w:pPr>
      <w:r w:rsidRPr="007C17BD">
        <w:rPr>
          <w:lang w:val="en-GB"/>
        </w:rPr>
        <w:br w:type="page"/>
      </w:r>
    </w:p>
    <w:p w14:paraId="7805C197" w14:textId="225DDA1B" w:rsidR="0056785D" w:rsidRPr="007C17BD" w:rsidRDefault="0056785D" w:rsidP="00362818">
      <w:pPr>
        <w:pStyle w:val="ExhibitHeading"/>
        <w:rPr>
          <w:lang w:val="en-GB"/>
        </w:rPr>
      </w:pPr>
      <w:r w:rsidRPr="007C17BD">
        <w:rPr>
          <w:lang w:val="en-GB"/>
        </w:rPr>
        <w:lastRenderedPageBreak/>
        <w:t xml:space="preserve">Exhibit </w:t>
      </w:r>
      <w:r w:rsidR="001A09B2" w:rsidRPr="007C17BD">
        <w:rPr>
          <w:lang w:val="en-GB"/>
        </w:rPr>
        <w:t>6</w:t>
      </w:r>
      <w:r w:rsidRPr="007C17BD">
        <w:rPr>
          <w:lang w:val="en-GB"/>
        </w:rPr>
        <w:t>A</w:t>
      </w:r>
      <w:r w:rsidR="00FE13BA" w:rsidRPr="007C17BD">
        <w:rPr>
          <w:lang w:val="en-GB"/>
        </w:rPr>
        <w:t>: Growth of the skin care service market in the United Arab emirates and the kingdom of saudi arabia, 2012–2015</w:t>
      </w:r>
    </w:p>
    <w:p w14:paraId="0FE0A4CF" w14:textId="77777777" w:rsidR="00362818" w:rsidRPr="007C17BD" w:rsidRDefault="00362818" w:rsidP="00362818">
      <w:pPr>
        <w:pStyle w:val="ExhibitText"/>
        <w:rPr>
          <w:lang w:val="en-GB"/>
        </w:rPr>
      </w:pPr>
    </w:p>
    <w:p w14:paraId="1980E958" w14:textId="63462893" w:rsidR="0056785D" w:rsidRPr="007C17BD" w:rsidRDefault="0056785D" w:rsidP="00431673">
      <w:pPr>
        <w:pStyle w:val="ExhibitText"/>
        <w:rPr>
          <w:sz w:val="18"/>
          <w:szCs w:val="18"/>
          <w:lang w:val="en-GB"/>
        </w:rPr>
      </w:pPr>
      <w:r w:rsidRPr="007C17BD">
        <w:rPr>
          <w:sz w:val="18"/>
          <w:szCs w:val="18"/>
          <w:lang w:val="en-GB"/>
        </w:rPr>
        <w:t xml:space="preserve">The skin care service market </w:t>
      </w:r>
      <w:r w:rsidR="003208FA">
        <w:rPr>
          <w:sz w:val="18"/>
          <w:szCs w:val="18"/>
          <w:lang w:val="en-GB"/>
        </w:rPr>
        <w:t>was</w:t>
      </w:r>
      <w:r w:rsidRPr="007C17BD">
        <w:rPr>
          <w:sz w:val="18"/>
          <w:szCs w:val="18"/>
          <w:lang w:val="en-GB"/>
        </w:rPr>
        <w:t xml:space="preserve"> rapidly growing across the Middle East region. Its share of the total skin care products sector </w:t>
      </w:r>
      <w:r w:rsidR="003208FA">
        <w:rPr>
          <w:sz w:val="18"/>
          <w:szCs w:val="18"/>
          <w:lang w:val="en-GB"/>
        </w:rPr>
        <w:t>was</w:t>
      </w:r>
      <w:r w:rsidRPr="007C17BD">
        <w:rPr>
          <w:sz w:val="18"/>
          <w:szCs w:val="18"/>
          <w:lang w:val="en-GB"/>
        </w:rPr>
        <w:t xml:space="preserve"> also increasing rapidly.</w:t>
      </w:r>
      <w:r w:rsidR="000D5136" w:rsidRPr="007C17BD">
        <w:rPr>
          <w:sz w:val="18"/>
          <w:szCs w:val="18"/>
          <w:lang w:val="en-GB"/>
        </w:rPr>
        <w:t xml:space="preserve"> </w:t>
      </w:r>
      <w:r w:rsidRPr="007C17BD">
        <w:rPr>
          <w:sz w:val="18"/>
          <w:szCs w:val="18"/>
          <w:lang w:val="en-GB"/>
        </w:rPr>
        <w:t>Service size</w:t>
      </w:r>
      <w:r w:rsidR="00C61F4A" w:rsidRPr="007C17BD">
        <w:rPr>
          <w:sz w:val="18"/>
          <w:szCs w:val="18"/>
          <w:lang w:val="en-GB"/>
        </w:rPr>
        <w:t>:</w:t>
      </w:r>
      <w:r w:rsidRPr="007C17BD">
        <w:rPr>
          <w:sz w:val="18"/>
          <w:szCs w:val="18"/>
          <w:lang w:val="en-GB"/>
        </w:rPr>
        <w:t xml:space="preserve"> 50%</w:t>
      </w:r>
      <w:r w:rsidR="00C61F4A" w:rsidRPr="007C17BD">
        <w:rPr>
          <w:sz w:val="18"/>
          <w:szCs w:val="18"/>
          <w:lang w:val="en-GB"/>
        </w:rPr>
        <w:t>–</w:t>
      </w:r>
      <w:r w:rsidRPr="007C17BD">
        <w:rPr>
          <w:sz w:val="18"/>
          <w:szCs w:val="18"/>
          <w:lang w:val="en-GB"/>
        </w:rPr>
        <w:t xml:space="preserve">75% of </w:t>
      </w:r>
      <w:r w:rsidR="00C61F4A" w:rsidRPr="007C17BD">
        <w:rPr>
          <w:sz w:val="18"/>
          <w:szCs w:val="18"/>
          <w:lang w:val="en-GB"/>
        </w:rPr>
        <w:t>the world</w:t>
      </w:r>
      <w:r w:rsidR="003B7DFC">
        <w:rPr>
          <w:sz w:val="18"/>
          <w:szCs w:val="18"/>
          <w:lang w:val="en-GB"/>
        </w:rPr>
        <w:t>’</w:t>
      </w:r>
      <w:r w:rsidR="00C61F4A" w:rsidRPr="007C17BD">
        <w:rPr>
          <w:sz w:val="18"/>
          <w:szCs w:val="18"/>
          <w:lang w:val="en-GB"/>
        </w:rPr>
        <w:t xml:space="preserve">s </w:t>
      </w:r>
      <w:r w:rsidRPr="007C17BD">
        <w:rPr>
          <w:sz w:val="18"/>
          <w:szCs w:val="18"/>
          <w:lang w:val="en-GB"/>
        </w:rPr>
        <w:t>skin care product sector</w:t>
      </w:r>
    </w:p>
    <w:p w14:paraId="01849F01" w14:textId="77777777" w:rsidR="00431673" w:rsidRPr="007C17BD" w:rsidRDefault="00431673" w:rsidP="00431673">
      <w:pPr>
        <w:pStyle w:val="ExhibitText"/>
        <w:rPr>
          <w:sz w:val="18"/>
          <w:szCs w:val="18"/>
          <w:lang w:val="en-GB"/>
        </w:rPr>
      </w:pPr>
    </w:p>
    <w:tbl>
      <w:tblPr>
        <w:tblStyle w:val="TableGrid"/>
        <w:tblW w:w="0" w:type="auto"/>
        <w:jc w:val="center"/>
        <w:tblLook w:val="04A0" w:firstRow="1" w:lastRow="0" w:firstColumn="1" w:lastColumn="0" w:noHBand="0" w:noVBand="1"/>
      </w:tblPr>
      <w:tblGrid>
        <w:gridCol w:w="1525"/>
        <w:gridCol w:w="1062"/>
        <w:gridCol w:w="900"/>
        <w:gridCol w:w="990"/>
        <w:gridCol w:w="990"/>
      </w:tblGrid>
      <w:tr w:rsidR="00B268CC" w:rsidRPr="007C17BD" w14:paraId="7482980C" w14:textId="77777777" w:rsidTr="003208FA">
        <w:trPr>
          <w:trHeight w:val="170"/>
          <w:jc w:val="center"/>
        </w:trPr>
        <w:tc>
          <w:tcPr>
            <w:tcW w:w="1525" w:type="dxa"/>
            <w:vMerge w:val="restart"/>
          </w:tcPr>
          <w:p w14:paraId="57D48828" w14:textId="766D39D1" w:rsidR="00B268CC" w:rsidRPr="007C17BD" w:rsidRDefault="00B268CC" w:rsidP="00207A5A">
            <w:pPr>
              <w:pStyle w:val="ExhibitText"/>
              <w:jc w:val="center"/>
              <w:rPr>
                <w:b/>
                <w:lang w:val="en-GB"/>
              </w:rPr>
            </w:pPr>
            <w:r w:rsidRPr="007C17BD">
              <w:rPr>
                <w:b/>
                <w:lang w:val="en-GB"/>
              </w:rPr>
              <w:t>% of Skin Care Product Sector</w:t>
            </w:r>
          </w:p>
        </w:tc>
        <w:tc>
          <w:tcPr>
            <w:tcW w:w="1962" w:type="dxa"/>
            <w:gridSpan w:val="2"/>
          </w:tcPr>
          <w:p w14:paraId="6D0E3782" w14:textId="175ECF1C" w:rsidR="00B268CC" w:rsidRPr="007C17BD" w:rsidRDefault="00B268CC" w:rsidP="00B268CC">
            <w:pPr>
              <w:pStyle w:val="ExhibitText"/>
              <w:jc w:val="center"/>
              <w:rPr>
                <w:b/>
                <w:lang w:val="en-GB"/>
              </w:rPr>
            </w:pPr>
            <w:r w:rsidRPr="007C17BD">
              <w:rPr>
                <w:b/>
                <w:lang w:val="en-GB"/>
              </w:rPr>
              <w:t>United Arab Emirates</w:t>
            </w:r>
          </w:p>
        </w:tc>
        <w:tc>
          <w:tcPr>
            <w:tcW w:w="1980" w:type="dxa"/>
            <w:gridSpan w:val="2"/>
          </w:tcPr>
          <w:p w14:paraId="170D4E54" w14:textId="476CCDF7" w:rsidR="00B268CC" w:rsidRPr="007C17BD" w:rsidRDefault="00B268CC" w:rsidP="00B268CC">
            <w:pPr>
              <w:pStyle w:val="ExhibitText"/>
              <w:jc w:val="center"/>
              <w:rPr>
                <w:b/>
                <w:lang w:val="en-GB"/>
              </w:rPr>
            </w:pPr>
            <w:r w:rsidRPr="007C17BD">
              <w:rPr>
                <w:b/>
                <w:lang w:val="en-GB"/>
              </w:rPr>
              <w:t>Kingdom of Saudi Arabia</w:t>
            </w:r>
          </w:p>
        </w:tc>
      </w:tr>
      <w:tr w:rsidR="00B268CC" w:rsidRPr="007C17BD" w14:paraId="35A2FE02" w14:textId="77777777" w:rsidTr="003208FA">
        <w:trPr>
          <w:trHeight w:val="170"/>
          <w:jc w:val="center"/>
        </w:trPr>
        <w:tc>
          <w:tcPr>
            <w:tcW w:w="1525" w:type="dxa"/>
            <w:vMerge/>
          </w:tcPr>
          <w:p w14:paraId="0BB4E3F4" w14:textId="77777777" w:rsidR="00B268CC" w:rsidRPr="007C17BD" w:rsidRDefault="00B268CC" w:rsidP="00B268CC">
            <w:pPr>
              <w:pStyle w:val="ExhibitText"/>
              <w:jc w:val="center"/>
              <w:rPr>
                <w:lang w:val="en-GB"/>
              </w:rPr>
            </w:pPr>
          </w:p>
        </w:tc>
        <w:tc>
          <w:tcPr>
            <w:tcW w:w="1062" w:type="dxa"/>
          </w:tcPr>
          <w:p w14:paraId="686326C4" w14:textId="685FECE9" w:rsidR="00B268CC" w:rsidRPr="007C17BD" w:rsidRDefault="00B268CC" w:rsidP="00B268CC">
            <w:pPr>
              <w:pStyle w:val="ExhibitText"/>
              <w:jc w:val="center"/>
              <w:rPr>
                <w:lang w:val="en-GB"/>
              </w:rPr>
            </w:pPr>
            <w:r w:rsidRPr="007C17BD">
              <w:rPr>
                <w:lang w:val="en-GB"/>
              </w:rPr>
              <w:t>2012</w:t>
            </w:r>
          </w:p>
        </w:tc>
        <w:tc>
          <w:tcPr>
            <w:tcW w:w="900" w:type="dxa"/>
          </w:tcPr>
          <w:p w14:paraId="3599BC17" w14:textId="7BD3BED0" w:rsidR="00B268CC" w:rsidRPr="007C17BD" w:rsidRDefault="00B268CC" w:rsidP="00B268CC">
            <w:pPr>
              <w:pStyle w:val="ExhibitText"/>
              <w:jc w:val="center"/>
              <w:rPr>
                <w:lang w:val="en-GB"/>
              </w:rPr>
            </w:pPr>
            <w:r w:rsidRPr="007C17BD">
              <w:rPr>
                <w:lang w:val="en-GB"/>
              </w:rPr>
              <w:t>2015</w:t>
            </w:r>
          </w:p>
        </w:tc>
        <w:tc>
          <w:tcPr>
            <w:tcW w:w="990" w:type="dxa"/>
          </w:tcPr>
          <w:p w14:paraId="0AB355BC" w14:textId="054C28DA" w:rsidR="00B268CC" w:rsidRPr="007C17BD" w:rsidRDefault="00B268CC" w:rsidP="00B268CC">
            <w:pPr>
              <w:pStyle w:val="ExhibitText"/>
              <w:jc w:val="center"/>
              <w:rPr>
                <w:lang w:val="en-GB"/>
              </w:rPr>
            </w:pPr>
            <w:r w:rsidRPr="007C17BD">
              <w:rPr>
                <w:lang w:val="en-GB"/>
              </w:rPr>
              <w:t>2012</w:t>
            </w:r>
          </w:p>
        </w:tc>
        <w:tc>
          <w:tcPr>
            <w:tcW w:w="990" w:type="dxa"/>
          </w:tcPr>
          <w:p w14:paraId="65D19DE3" w14:textId="76F28B51" w:rsidR="00B268CC" w:rsidRPr="007C17BD" w:rsidRDefault="00B268CC" w:rsidP="00B268CC">
            <w:pPr>
              <w:pStyle w:val="ExhibitText"/>
              <w:jc w:val="center"/>
              <w:rPr>
                <w:lang w:val="en-GB"/>
              </w:rPr>
            </w:pPr>
            <w:r w:rsidRPr="007C17BD">
              <w:rPr>
                <w:lang w:val="en-GB"/>
              </w:rPr>
              <w:t>2015</w:t>
            </w:r>
          </w:p>
        </w:tc>
      </w:tr>
      <w:tr w:rsidR="0056785D" w:rsidRPr="007C17BD" w14:paraId="1B7E4B76" w14:textId="77777777" w:rsidTr="003208FA">
        <w:trPr>
          <w:jc w:val="center"/>
        </w:trPr>
        <w:tc>
          <w:tcPr>
            <w:tcW w:w="1525" w:type="dxa"/>
          </w:tcPr>
          <w:p w14:paraId="510FF2A7" w14:textId="1BED7EA1" w:rsidR="0056785D" w:rsidRPr="007C17BD" w:rsidRDefault="0056785D" w:rsidP="005F5DD9">
            <w:pPr>
              <w:pStyle w:val="ExhibitText"/>
              <w:jc w:val="center"/>
              <w:rPr>
                <w:lang w:val="en-GB"/>
              </w:rPr>
            </w:pPr>
            <w:r w:rsidRPr="007C17BD">
              <w:rPr>
                <w:lang w:val="en-GB"/>
              </w:rPr>
              <w:t>50</w:t>
            </w:r>
          </w:p>
        </w:tc>
        <w:tc>
          <w:tcPr>
            <w:tcW w:w="1062" w:type="dxa"/>
          </w:tcPr>
          <w:p w14:paraId="6BDCD8E4" w14:textId="77777777" w:rsidR="0056785D" w:rsidRPr="007C17BD" w:rsidRDefault="0056785D" w:rsidP="00B52762">
            <w:pPr>
              <w:pStyle w:val="ExhibitText"/>
              <w:jc w:val="right"/>
              <w:rPr>
                <w:lang w:val="en-GB"/>
              </w:rPr>
            </w:pPr>
            <w:r w:rsidRPr="007C17BD">
              <w:rPr>
                <w:lang w:val="en-GB"/>
              </w:rPr>
              <w:t>64</w:t>
            </w:r>
          </w:p>
        </w:tc>
        <w:tc>
          <w:tcPr>
            <w:tcW w:w="900" w:type="dxa"/>
          </w:tcPr>
          <w:p w14:paraId="12799612" w14:textId="2ACC094D" w:rsidR="0056785D" w:rsidRPr="007C17BD" w:rsidRDefault="0056785D" w:rsidP="00B52762">
            <w:pPr>
              <w:pStyle w:val="ExhibitText"/>
              <w:tabs>
                <w:tab w:val="right" w:pos="938"/>
              </w:tabs>
              <w:jc w:val="right"/>
              <w:rPr>
                <w:lang w:val="en-GB"/>
              </w:rPr>
            </w:pPr>
            <w:r w:rsidRPr="007C17BD">
              <w:rPr>
                <w:lang w:val="en-GB"/>
              </w:rPr>
              <w:t>74</w:t>
            </w:r>
          </w:p>
        </w:tc>
        <w:tc>
          <w:tcPr>
            <w:tcW w:w="990" w:type="dxa"/>
          </w:tcPr>
          <w:p w14:paraId="5D7EF21A" w14:textId="77777777" w:rsidR="0056785D" w:rsidRPr="007C17BD" w:rsidRDefault="0056785D" w:rsidP="00B52762">
            <w:pPr>
              <w:pStyle w:val="ExhibitText"/>
              <w:jc w:val="right"/>
              <w:rPr>
                <w:lang w:val="en-GB"/>
              </w:rPr>
            </w:pPr>
            <w:r w:rsidRPr="007C17BD">
              <w:rPr>
                <w:lang w:val="en-GB"/>
              </w:rPr>
              <w:t>226</w:t>
            </w:r>
          </w:p>
        </w:tc>
        <w:tc>
          <w:tcPr>
            <w:tcW w:w="990" w:type="dxa"/>
          </w:tcPr>
          <w:p w14:paraId="6A1AA6CF" w14:textId="77777777" w:rsidR="0056785D" w:rsidRPr="007C17BD" w:rsidRDefault="0056785D" w:rsidP="00B52762">
            <w:pPr>
              <w:pStyle w:val="ExhibitText"/>
              <w:jc w:val="right"/>
              <w:rPr>
                <w:lang w:val="en-GB"/>
              </w:rPr>
            </w:pPr>
            <w:r w:rsidRPr="007C17BD">
              <w:rPr>
                <w:lang w:val="en-GB"/>
              </w:rPr>
              <w:t>256</w:t>
            </w:r>
          </w:p>
        </w:tc>
      </w:tr>
      <w:tr w:rsidR="0056785D" w:rsidRPr="007C17BD" w14:paraId="70D84CEE" w14:textId="77777777" w:rsidTr="003208FA">
        <w:trPr>
          <w:jc w:val="center"/>
        </w:trPr>
        <w:tc>
          <w:tcPr>
            <w:tcW w:w="1525" w:type="dxa"/>
          </w:tcPr>
          <w:p w14:paraId="5721B5CC" w14:textId="011FADAD" w:rsidR="0056785D" w:rsidRPr="007C17BD" w:rsidRDefault="0056785D" w:rsidP="005F5DD9">
            <w:pPr>
              <w:pStyle w:val="ExhibitText"/>
              <w:jc w:val="center"/>
              <w:rPr>
                <w:lang w:val="en-GB"/>
              </w:rPr>
            </w:pPr>
            <w:r w:rsidRPr="007C17BD">
              <w:rPr>
                <w:lang w:val="en-GB"/>
              </w:rPr>
              <w:t>60</w:t>
            </w:r>
          </w:p>
        </w:tc>
        <w:tc>
          <w:tcPr>
            <w:tcW w:w="1062" w:type="dxa"/>
          </w:tcPr>
          <w:p w14:paraId="43483B56" w14:textId="77777777" w:rsidR="0056785D" w:rsidRPr="007C17BD" w:rsidRDefault="0056785D" w:rsidP="00B52762">
            <w:pPr>
              <w:pStyle w:val="ExhibitText"/>
              <w:jc w:val="right"/>
              <w:rPr>
                <w:lang w:val="en-GB"/>
              </w:rPr>
            </w:pPr>
            <w:r w:rsidRPr="007C17BD">
              <w:rPr>
                <w:lang w:val="en-GB"/>
              </w:rPr>
              <w:t>77</w:t>
            </w:r>
          </w:p>
        </w:tc>
        <w:tc>
          <w:tcPr>
            <w:tcW w:w="900" w:type="dxa"/>
          </w:tcPr>
          <w:p w14:paraId="45191F1E" w14:textId="708DA5D0" w:rsidR="0056785D" w:rsidRPr="007C17BD" w:rsidRDefault="0056785D" w:rsidP="00B52762">
            <w:pPr>
              <w:pStyle w:val="ExhibitText"/>
              <w:tabs>
                <w:tab w:val="right" w:pos="938"/>
              </w:tabs>
              <w:jc w:val="right"/>
              <w:rPr>
                <w:lang w:val="en-GB"/>
              </w:rPr>
            </w:pPr>
            <w:r w:rsidRPr="007C17BD">
              <w:rPr>
                <w:lang w:val="en-GB"/>
              </w:rPr>
              <w:t>89</w:t>
            </w:r>
          </w:p>
        </w:tc>
        <w:tc>
          <w:tcPr>
            <w:tcW w:w="990" w:type="dxa"/>
          </w:tcPr>
          <w:p w14:paraId="6FCBA9AC" w14:textId="77777777" w:rsidR="0056785D" w:rsidRPr="007C17BD" w:rsidRDefault="0056785D" w:rsidP="00B52762">
            <w:pPr>
              <w:pStyle w:val="ExhibitText"/>
              <w:jc w:val="right"/>
              <w:rPr>
                <w:lang w:val="en-GB"/>
              </w:rPr>
            </w:pPr>
            <w:r w:rsidRPr="007C17BD">
              <w:rPr>
                <w:lang w:val="en-GB"/>
              </w:rPr>
              <w:t>271</w:t>
            </w:r>
          </w:p>
        </w:tc>
        <w:tc>
          <w:tcPr>
            <w:tcW w:w="990" w:type="dxa"/>
          </w:tcPr>
          <w:p w14:paraId="73391B46" w14:textId="77777777" w:rsidR="0056785D" w:rsidRPr="007C17BD" w:rsidRDefault="0056785D" w:rsidP="00B52762">
            <w:pPr>
              <w:pStyle w:val="ExhibitText"/>
              <w:jc w:val="right"/>
              <w:rPr>
                <w:lang w:val="en-GB"/>
              </w:rPr>
            </w:pPr>
            <w:r w:rsidRPr="007C17BD">
              <w:rPr>
                <w:lang w:val="en-GB"/>
              </w:rPr>
              <w:t>307</w:t>
            </w:r>
          </w:p>
        </w:tc>
      </w:tr>
      <w:tr w:rsidR="0056785D" w:rsidRPr="007C17BD" w14:paraId="12BA3EF6" w14:textId="77777777" w:rsidTr="003208FA">
        <w:trPr>
          <w:jc w:val="center"/>
        </w:trPr>
        <w:tc>
          <w:tcPr>
            <w:tcW w:w="1525" w:type="dxa"/>
          </w:tcPr>
          <w:p w14:paraId="350C3415" w14:textId="37566864" w:rsidR="0056785D" w:rsidRPr="007C17BD" w:rsidRDefault="0056785D" w:rsidP="005F5DD9">
            <w:pPr>
              <w:pStyle w:val="ExhibitText"/>
              <w:jc w:val="center"/>
              <w:rPr>
                <w:lang w:val="en-GB"/>
              </w:rPr>
            </w:pPr>
            <w:r w:rsidRPr="007C17BD">
              <w:rPr>
                <w:lang w:val="en-GB"/>
              </w:rPr>
              <w:t>70</w:t>
            </w:r>
          </w:p>
        </w:tc>
        <w:tc>
          <w:tcPr>
            <w:tcW w:w="1062" w:type="dxa"/>
          </w:tcPr>
          <w:p w14:paraId="3036D994" w14:textId="77777777" w:rsidR="0056785D" w:rsidRPr="007C17BD" w:rsidRDefault="0056785D" w:rsidP="00B52762">
            <w:pPr>
              <w:pStyle w:val="ExhibitText"/>
              <w:jc w:val="right"/>
              <w:rPr>
                <w:lang w:val="en-GB"/>
              </w:rPr>
            </w:pPr>
            <w:r w:rsidRPr="007C17BD">
              <w:rPr>
                <w:lang w:val="en-GB"/>
              </w:rPr>
              <w:t>90</w:t>
            </w:r>
          </w:p>
        </w:tc>
        <w:tc>
          <w:tcPr>
            <w:tcW w:w="900" w:type="dxa"/>
          </w:tcPr>
          <w:p w14:paraId="4345D556" w14:textId="051F0A69" w:rsidR="0056785D" w:rsidRPr="007C17BD" w:rsidRDefault="0056785D" w:rsidP="00B52762">
            <w:pPr>
              <w:pStyle w:val="ExhibitText"/>
              <w:tabs>
                <w:tab w:val="right" w:pos="938"/>
              </w:tabs>
              <w:jc w:val="right"/>
              <w:rPr>
                <w:lang w:val="en-GB"/>
              </w:rPr>
            </w:pPr>
            <w:r w:rsidRPr="007C17BD">
              <w:rPr>
                <w:lang w:val="en-GB"/>
              </w:rPr>
              <w:t>104</w:t>
            </w:r>
          </w:p>
        </w:tc>
        <w:tc>
          <w:tcPr>
            <w:tcW w:w="990" w:type="dxa"/>
          </w:tcPr>
          <w:p w14:paraId="69162486" w14:textId="77777777" w:rsidR="0056785D" w:rsidRPr="007C17BD" w:rsidRDefault="0056785D" w:rsidP="00B52762">
            <w:pPr>
              <w:pStyle w:val="ExhibitText"/>
              <w:jc w:val="right"/>
              <w:rPr>
                <w:lang w:val="en-GB"/>
              </w:rPr>
            </w:pPr>
            <w:r w:rsidRPr="007C17BD">
              <w:rPr>
                <w:lang w:val="en-GB"/>
              </w:rPr>
              <w:t>316</w:t>
            </w:r>
          </w:p>
        </w:tc>
        <w:tc>
          <w:tcPr>
            <w:tcW w:w="990" w:type="dxa"/>
          </w:tcPr>
          <w:p w14:paraId="1184122F" w14:textId="77777777" w:rsidR="0056785D" w:rsidRPr="007C17BD" w:rsidRDefault="0056785D" w:rsidP="00B52762">
            <w:pPr>
              <w:pStyle w:val="ExhibitText"/>
              <w:jc w:val="right"/>
              <w:rPr>
                <w:lang w:val="en-GB"/>
              </w:rPr>
            </w:pPr>
            <w:r w:rsidRPr="007C17BD">
              <w:rPr>
                <w:lang w:val="en-GB"/>
              </w:rPr>
              <w:t>358</w:t>
            </w:r>
          </w:p>
        </w:tc>
      </w:tr>
      <w:tr w:rsidR="0056785D" w:rsidRPr="007C17BD" w14:paraId="5DDA7A1D" w14:textId="77777777" w:rsidTr="003208FA">
        <w:trPr>
          <w:jc w:val="center"/>
        </w:trPr>
        <w:tc>
          <w:tcPr>
            <w:tcW w:w="1525" w:type="dxa"/>
          </w:tcPr>
          <w:p w14:paraId="0E0E2B74" w14:textId="08EF940F" w:rsidR="0056785D" w:rsidRPr="007C17BD" w:rsidRDefault="0056785D" w:rsidP="005F5DD9">
            <w:pPr>
              <w:pStyle w:val="ExhibitText"/>
              <w:jc w:val="center"/>
              <w:rPr>
                <w:lang w:val="en-GB"/>
              </w:rPr>
            </w:pPr>
            <w:r w:rsidRPr="007C17BD">
              <w:rPr>
                <w:lang w:val="en-GB"/>
              </w:rPr>
              <w:t>75</w:t>
            </w:r>
          </w:p>
        </w:tc>
        <w:tc>
          <w:tcPr>
            <w:tcW w:w="1062" w:type="dxa"/>
          </w:tcPr>
          <w:p w14:paraId="50A5AA93" w14:textId="77777777" w:rsidR="0056785D" w:rsidRPr="007C17BD" w:rsidRDefault="0056785D" w:rsidP="00B52762">
            <w:pPr>
              <w:pStyle w:val="ExhibitText"/>
              <w:jc w:val="right"/>
              <w:rPr>
                <w:lang w:val="en-GB"/>
              </w:rPr>
            </w:pPr>
            <w:r w:rsidRPr="007C17BD">
              <w:rPr>
                <w:lang w:val="en-GB"/>
              </w:rPr>
              <w:t>96</w:t>
            </w:r>
          </w:p>
        </w:tc>
        <w:tc>
          <w:tcPr>
            <w:tcW w:w="900" w:type="dxa"/>
          </w:tcPr>
          <w:p w14:paraId="7E8DB465" w14:textId="12DF1CB6" w:rsidR="0056785D" w:rsidRPr="007C17BD" w:rsidRDefault="0056785D" w:rsidP="00B52762">
            <w:pPr>
              <w:pStyle w:val="ExhibitText"/>
              <w:tabs>
                <w:tab w:val="right" w:pos="938"/>
              </w:tabs>
              <w:jc w:val="right"/>
              <w:rPr>
                <w:lang w:val="en-GB"/>
              </w:rPr>
            </w:pPr>
            <w:r w:rsidRPr="007C17BD">
              <w:rPr>
                <w:lang w:val="en-GB"/>
              </w:rPr>
              <w:t>111</w:t>
            </w:r>
          </w:p>
        </w:tc>
        <w:tc>
          <w:tcPr>
            <w:tcW w:w="990" w:type="dxa"/>
          </w:tcPr>
          <w:p w14:paraId="1D4E9595" w14:textId="77777777" w:rsidR="0056785D" w:rsidRPr="007C17BD" w:rsidRDefault="0056785D" w:rsidP="00B52762">
            <w:pPr>
              <w:pStyle w:val="ExhibitText"/>
              <w:jc w:val="right"/>
              <w:rPr>
                <w:lang w:val="en-GB"/>
              </w:rPr>
            </w:pPr>
            <w:r w:rsidRPr="007C17BD">
              <w:rPr>
                <w:lang w:val="en-GB"/>
              </w:rPr>
              <w:t>339</w:t>
            </w:r>
          </w:p>
        </w:tc>
        <w:tc>
          <w:tcPr>
            <w:tcW w:w="990" w:type="dxa"/>
          </w:tcPr>
          <w:p w14:paraId="6ACD3797" w14:textId="77777777" w:rsidR="0056785D" w:rsidRPr="007C17BD" w:rsidRDefault="0056785D" w:rsidP="00B52762">
            <w:pPr>
              <w:pStyle w:val="ExhibitText"/>
              <w:jc w:val="right"/>
              <w:rPr>
                <w:lang w:val="en-GB"/>
              </w:rPr>
            </w:pPr>
            <w:r w:rsidRPr="007C17BD">
              <w:rPr>
                <w:lang w:val="en-GB"/>
              </w:rPr>
              <w:t>383</w:t>
            </w:r>
          </w:p>
        </w:tc>
      </w:tr>
    </w:tbl>
    <w:p w14:paraId="218B97DC" w14:textId="77777777" w:rsidR="0056785D" w:rsidRPr="007C17BD" w:rsidRDefault="0056785D" w:rsidP="00614F89">
      <w:pPr>
        <w:pStyle w:val="Footnote"/>
        <w:rPr>
          <w:lang w:val="en-GB"/>
        </w:rPr>
      </w:pPr>
    </w:p>
    <w:p w14:paraId="1CD8D404" w14:textId="336F8B0D" w:rsidR="00495DB6" w:rsidRPr="007C17BD" w:rsidRDefault="00FE13BA" w:rsidP="00614F89">
      <w:pPr>
        <w:pStyle w:val="Footnote"/>
        <w:rPr>
          <w:lang w:val="en-GB"/>
        </w:rPr>
      </w:pPr>
      <w:r w:rsidRPr="007C17BD">
        <w:rPr>
          <w:lang w:val="en-GB"/>
        </w:rPr>
        <w:t xml:space="preserve">Note: </w:t>
      </w:r>
      <w:r w:rsidR="00C61F4A" w:rsidRPr="007C17BD">
        <w:rPr>
          <w:lang w:val="en-GB"/>
        </w:rPr>
        <w:t>All figures are</w:t>
      </w:r>
      <w:r w:rsidR="00AF664B" w:rsidRPr="007C17BD">
        <w:rPr>
          <w:lang w:val="en-GB"/>
        </w:rPr>
        <w:t xml:space="preserve"> in US$ millions; </w:t>
      </w:r>
      <w:r w:rsidR="00C61F4A" w:rsidRPr="007C17BD">
        <w:rPr>
          <w:lang w:val="en-GB"/>
        </w:rPr>
        <w:t xml:space="preserve">AED = Emirati </w:t>
      </w:r>
      <w:r w:rsidR="003208FA">
        <w:rPr>
          <w:lang w:val="en-GB"/>
        </w:rPr>
        <w:t>d</w:t>
      </w:r>
      <w:r w:rsidR="009A002F" w:rsidRPr="007C17BD">
        <w:rPr>
          <w:lang w:val="en-GB"/>
        </w:rPr>
        <w:t>irhams</w:t>
      </w:r>
      <w:r w:rsidR="00C61F4A" w:rsidRPr="007C17BD">
        <w:rPr>
          <w:lang w:val="en-GB"/>
        </w:rPr>
        <w:t xml:space="preserve">; </w:t>
      </w:r>
      <w:r w:rsidR="00AF664B" w:rsidRPr="007C17BD">
        <w:rPr>
          <w:lang w:val="en-GB"/>
        </w:rPr>
        <w:t>US$1</w:t>
      </w:r>
      <w:r w:rsidR="00306057" w:rsidRPr="007C17BD">
        <w:rPr>
          <w:lang w:val="en-GB"/>
        </w:rPr>
        <w:t>.00</w:t>
      </w:r>
      <w:r w:rsidR="00AF664B" w:rsidRPr="007C17BD">
        <w:rPr>
          <w:lang w:val="en-GB"/>
        </w:rPr>
        <w:t xml:space="preserve"> = </w:t>
      </w:r>
      <w:r w:rsidR="00C61F4A" w:rsidRPr="007C17BD">
        <w:rPr>
          <w:lang w:val="en-GB"/>
        </w:rPr>
        <w:t>AED</w:t>
      </w:r>
      <w:r w:rsidR="00AF664B" w:rsidRPr="007C17BD">
        <w:rPr>
          <w:lang w:val="en-GB"/>
        </w:rPr>
        <w:t>3.6</w:t>
      </w:r>
      <w:r w:rsidR="005741ED" w:rsidRPr="007C17BD">
        <w:rPr>
          <w:lang w:val="en-GB"/>
        </w:rPr>
        <w:t>7</w:t>
      </w:r>
      <w:r w:rsidR="00AF664B" w:rsidRPr="007C17BD">
        <w:rPr>
          <w:lang w:val="en-GB"/>
        </w:rPr>
        <w:t xml:space="preserve"> on </w:t>
      </w:r>
      <w:r w:rsidR="005741ED" w:rsidRPr="007C17BD">
        <w:rPr>
          <w:lang w:val="en-GB"/>
        </w:rPr>
        <w:t>March</w:t>
      </w:r>
      <w:r w:rsidR="00AF664B" w:rsidRPr="007C17BD">
        <w:rPr>
          <w:lang w:val="en-GB"/>
        </w:rPr>
        <w:t xml:space="preserve"> </w:t>
      </w:r>
      <w:r w:rsidR="005741ED" w:rsidRPr="007C17BD">
        <w:rPr>
          <w:lang w:val="en-GB"/>
        </w:rPr>
        <w:t>13</w:t>
      </w:r>
      <w:r w:rsidR="00AF664B" w:rsidRPr="007C17BD">
        <w:rPr>
          <w:lang w:val="en-GB"/>
        </w:rPr>
        <w:t xml:space="preserve">, </w:t>
      </w:r>
      <w:r w:rsidR="005741ED" w:rsidRPr="007C17BD">
        <w:rPr>
          <w:lang w:val="en-GB"/>
        </w:rPr>
        <w:t>2017</w:t>
      </w:r>
      <w:r w:rsidR="00AF664B" w:rsidRPr="007C17BD">
        <w:rPr>
          <w:lang w:val="en-GB"/>
        </w:rPr>
        <w:t xml:space="preserve">; </w:t>
      </w:r>
      <w:r w:rsidR="00C61F4A" w:rsidRPr="007C17BD">
        <w:rPr>
          <w:lang w:val="en-GB"/>
        </w:rPr>
        <w:t>S</w:t>
      </w:r>
      <w:r w:rsidR="005741ED" w:rsidRPr="007C17BD">
        <w:rPr>
          <w:lang w:val="en-GB"/>
        </w:rPr>
        <w:t>A</w:t>
      </w:r>
      <w:r w:rsidR="00C61F4A" w:rsidRPr="007C17BD">
        <w:rPr>
          <w:lang w:val="en-GB"/>
        </w:rPr>
        <w:t xml:space="preserve">R = Saudi </w:t>
      </w:r>
      <w:r w:rsidR="005741ED" w:rsidRPr="007C17BD">
        <w:rPr>
          <w:lang w:val="en-GB"/>
        </w:rPr>
        <w:t xml:space="preserve">Arabian </w:t>
      </w:r>
      <w:r w:rsidR="003208FA">
        <w:rPr>
          <w:lang w:val="en-GB"/>
        </w:rPr>
        <w:t>r</w:t>
      </w:r>
      <w:r w:rsidR="00C61F4A" w:rsidRPr="007C17BD">
        <w:rPr>
          <w:lang w:val="en-GB"/>
        </w:rPr>
        <w:t xml:space="preserve">iyal; </w:t>
      </w:r>
      <w:r w:rsidR="00AF664B" w:rsidRPr="007C17BD">
        <w:rPr>
          <w:lang w:val="en-GB"/>
        </w:rPr>
        <w:t>US$1</w:t>
      </w:r>
      <w:r w:rsidR="00F54E9C" w:rsidRPr="007C17BD">
        <w:rPr>
          <w:lang w:val="en-GB"/>
        </w:rPr>
        <w:t>.00</w:t>
      </w:r>
      <w:r w:rsidR="00AF664B" w:rsidRPr="007C17BD">
        <w:rPr>
          <w:lang w:val="en-GB"/>
        </w:rPr>
        <w:t xml:space="preserve"> =</w:t>
      </w:r>
      <w:r w:rsidR="00C61F4A" w:rsidRPr="007C17BD">
        <w:rPr>
          <w:lang w:val="en-GB"/>
        </w:rPr>
        <w:t xml:space="preserve"> S</w:t>
      </w:r>
      <w:r w:rsidR="005741ED" w:rsidRPr="007C17BD">
        <w:rPr>
          <w:lang w:val="en-GB"/>
        </w:rPr>
        <w:t>A</w:t>
      </w:r>
      <w:r w:rsidR="00C61F4A" w:rsidRPr="007C17BD">
        <w:rPr>
          <w:lang w:val="en-GB"/>
        </w:rPr>
        <w:t xml:space="preserve">R3.75 on </w:t>
      </w:r>
      <w:r w:rsidR="005741ED" w:rsidRPr="007C17BD">
        <w:rPr>
          <w:lang w:val="en-GB"/>
        </w:rPr>
        <w:t>March</w:t>
      </w:r>
      <w:r w:rsidR="00C61F4A" w:rsidRPr="007C17BD">
        <w:rPr>
          <w:lang w:val="en-GB"/>
        </w:rPr>
        <w:t xml:space="preserve"> </w:t>
      </w:r>
      <w:r w:rsidR="005741ED" w:rsidRPr="007C17BD">
        <w:rPr>
          <w:lang w:val="en-GB"/>
        </w:rPr>
        <w:t>13</w:t>
      </w:r>
      <w:r w:rsidR="00C61F4A" w:rsidRPr="007C17BD">
        <w:rPr>
          <w:lang w:val="en-GB"/>
        </w:rPr>
        <w:t>,</w:t>
      </w:r>
      <w:r w:rsidR="005741ED" w:rsidRPr="007C17BD">
        <w:rPr>
          <w:lang w:val="en-GB"/>
        </w:rPr>
        <w:t xml:space="preserve"> 2017</w:t>
      </w:r>
      <w:r w:rsidR="00C61F4A" w:rsidRPr="007C17BD">
        <w:rPr>
          <w:lang w:val="en-GB"/>
        </w:rPr>
        <w:t>.</w:t>
      </w:r>
    </w:p>
    <w:p w14:paraId="454A6E00" w14:textId="5CB47985" w:rsidR="00614F89" w:rsidRPr="007C17BD" w:rsidRDefault="0056785D" w:rsidP="00207A5A">
      <w:pPr>
        <w:pStyle w:val="Footnote"/>
        <w:jc w:val="left"/>
        <w:rPr>
          <w:lang w:val="en-GB"/>
        </w:rPr>
      </w:pPr>
      <w:r w:rsidRPr="007C17BD">
        <w:rPr>
          <w:lang w:val="en-GB"/>
        </w:rPr>
        <w:t xml:space="preserve">Source: </w:t>
      </w:r>
      <w:r w:rsidR="00B268CC" w:rsidRPr="007C17BD">
        <w:rPr>
          <w:lang w:val="en-GB"/>
        </w:rPr>
        <w:t xml:space="preserve">Kaya Skin Clinic, </w:t>
      </w:r>
      <w:r w:rsidR="000D5136" w:rsidRPr="007C17BD">
        <w:rPr>
          <w:i/>
          <w:lang w:val="en-GB"/>
        </w:rPr>
        <w:t>Kaya Leader in Specialty Skin Care: Investor Presentation</w:t>
      </w:r>
      <w:r w:rsidR="000D5136" w:rsidRPr="007C17BD">
        <w:rPr>
          <w:lang w:val="en-GB"/>
        </w:rPr>
        <w:t xml:space="preserve">, </w:t>
      </w:r>
      <w:r w:rsidR="00B268CC" w:rsidRPr="007C17BD">
        <w:rPr>
          <w:lang w:val="en-GB"/>
        </w:rPr>
        <w:t xml:space="preserve">39, accessed April 20, 2016, </w:t>
      </w:r>
      <w:hyperlink r:id="rId12" w:history="1">
        <w:r w:rsidRPr="007C17BD">
          <w:rPr>
            <w:lang w:val="en-GB"/>
          </w:rPr>
          <w:t>www.kaya.in/investors/pdf/Corporate%20Presentation%20-%20July%202015.pdf</w:t>
        </w:r>
      </w:hyperlink>
      <w:r w:rsidRPr="007C17BD">
        <w:rPr>
          <w:lang w:val="en-GB"/>
        </w:rPr>
        <w:t>.</w:t>
      </w:r>
    </w:p>
    <w:p w14:paraId="536AD9F4" w14:textId="77777777" w:rsidR="006D66F2" w:rsidRPr="007C17BD" w:rsidRDefault="006D66F2" w:rsidP="00614F89">
      <w:pPr>
        <w:pStyle w:val="Footnote"/>
        <w:rPr>
          <w:lang w:val="en-GB"/>
        </w:rPr>
      </w:pPr>
    </w:p>
    <w:p w14:paraId="45384B51" w14:textId="34920CA4" w:rsidR="006D66F2" w:rsidRPr="007C17BD" w:rsidRDefault="006D66F2" w:rsidP="00614F89">
      <w:pPr>
        <w:pStyle w:val="Footnote"/>
        <w:rPr>
          <w:lang w:val="en-GB"/>
        </w:rPr>
      </w:pPr>
    </w:p>
    <w:p w14:paraId="1BAE4EED" w14:textId="6A0FA637" w:rsidR="0056785D" w:rsidRPr="007C17BD" w:rsidRDefault="0056785D" w:rsidP="0056785D">
      <w:pPr>
        <w:pStyle w:val="ExhibitHeading"/>
        <w:rPr>
          <w:lang w:val="en-GB"/>
        </w:rPr>
      </w:pPr>
      <w:r w:rsidRPr="007C17BD">
        <w:rPr>
          <w:lang w:val="en-GB"/>
        </w:rPr>
        <w:t xml:space="preserve">Exhibit </w:t>
      </w:r>
      <w:r w:rsidR="001A09B2" w:rsidRPr="007C17BD">
        <w:rPr>
          <w:lang w:val="en-GB"/>
        </w:rPr>
        <w:t>6</w:t>
      </w:r>
      <w:r w:rsidR="00362818" w:rsidRPr="007C17BD">
        <w:rPr>
          <w:lang w:val="en-GB"/>
        </w:rPr>
        <w:t>B</w:t>
      </w:r>
      <w:r w:rsidRPr="007C17BD">
        <w:rPr>
          <w:lang w:val="en-GB"/>
        </w:rPr>
        <w:t xml:space="preserve">: Penetration of skin </w:t>
      </w:r>
      <w:r w:rsidR="00DC51BA" w:rsidRPr="007C17BD">
        <w:rPr>
          <w:lang w:val="en-GB"/>
        </w:rPr>
        <w:t xml:space="preserve">care </w:t>
      </w:r>
      <w:r w:rsidRPr="007C17BD">
        <w:rPr>
          <w:lang w:val="en-GB"/>
        </w:rPr>
        <w:t xml:space="preserve">clinics </w:t>
      </w:r>
      <w:r w:rsidR="00DC51BA" w:rsidRPr="007C17BD">
        <w:rPr>
          <w:lang w:val="en-GB"/>
        </w:rPr>
        <w:t>in the middle east region, 2010–2012</w:t>
      </w:r>
      <w:r w:rsidR="005F5DD9">
        <w:rPr>
          <w:lang w:val="en-GB"/>
        </w:rPr>
        <w:t xml:space="preserve"> (%)</w:t>
      </w:r>
    </w:p>
    <w:p w14:paraId="09168E2D" w14:textId="77777777" w:rsidR="00543E43" w:rsidRPr="007C17BD" w:rsidRDefault="00543E43" w:rsidP="0056785D">
      <w:pPr>
        <w:pStyle w:val="ExhibitHeading"/>
        <w:rPr>
          <w:lang w:val="en-GB"/>
        </w:rPr>
      </w:pPr>
    </w:p>
    <w:tbl>
      <w:tblPr>
        <w:tblStyle w:val="TableGrid"/>
        <w:tblW w:w="0" w:type="auto"/>
        <w:jc w:val="center"/>
        <w:tblLook w:val="04A0" w:firstRow="1" w:lastRow="0" w:firstColumn="1" w:lastColumn="0" w:noHBand="0" w:noVBand="1"/>
      </w:tblPr>
      <w:tblGrid>
        <w:gridCol w:w="2541"/>
        <w:gridCol w:w="1270"/>
        <w:gridCol w:w="1350"/>
        <w:gridCol w:w="1326"/>
      </w:tblGrid>
      <w:tr w:rsidR="0056785D" w:rsidRPr="007C17BD" w14:paraId="27511159" w14:textId="77777777" w:rsidTr="00207A5A">
        <w:trPr>
          <w:jc w:val="center"/>
        </w:trPr>
        <w:tc>
          <w:tcPr>
            <w:tcW w:w="2541" w:type="dxa"/>
          </w:tcPr>
          <w:p w14:paraId="4159110A" w14:textId="77777777" w:rsidR="0056785D" w:rsidRPr="007C17BD" w:rsidRDefault="0056785D" w:rsidP="00AF1AD7">
            <w:pPr>
              <w:pStyle w:val="ExhibitText"/>
              <w:jc w:val="center"/>
              <w:rPr>
                <w:b/>
                <w:lang w:val="en-GB"/>
              </w:rPr>
            </w:pPr>
            <w:r w:rsidRPr="007C17BD">
              <w:rPr>
                <w:b/>
                <w:lang w:val="en-GB"/>
              </w:rPr>
              <w:t>Particulars</w:t>
            </w:r>
          </w:p>
        </w:tc>
        <w:tc>
          <w:tcPr>
            <w:tcW w:w="1270" w:type="dxa"/>
          </w:tcPr>
          <w:p w14:paraId="10EF8B6C" w14:textId="624D8466" w:rsidR="0056785D" w:rsidRPr="007C17BD" w:rsidRDefault="0056785D" w:rsidP="00AF1AD7">
            <w:pPr>
              <w:pStyle w:val="ExhibitText"/>
              <w:jc w:val="center"/>
              <w:rPr>
                <w:b/>
                <w:lang w:val="en-GB"/>
              </w:rPr>
            </w:pPr>
            <w:r w:rsidRPr="007C17BD">
              <w:rPr>
                <w:b/>
                <w:lang w:val="en-GB"/>
              </w:rPr>
              <w:t xml:space="preserve">May </w:t>
            </w:r>
            <w:r w:rsidR="00DC51BA" w:rsidRPr="007C17BD">
              <w:rPr>
                <w:b/>
                <w:lang w:val="en-GB"/>
              </w:rPr>
              <w:t>20</w:t>
            </w:r>
            <w:r w:rsidRPr="007C17BD">
              <w:rPr>
                <w:b/>
                <w:lang w:val="en-GB"/>
              </w:rPr>
              <w:t>10</w:t>
            </w:r>
          </w:p>
        </w:tc>
        <w:tc>
          <w:tcPr>
            <w:tcW w:w="1350" w:type="dxa"/>
          </w:tcPr>
          <w:p w14:paraId="50C45918" w14:textId="52DD292D" w:rsidR="0056785D" w:rsidRPr="007C17BD" w:rsidRDefault="0056785D" w:rsidP="00AF1AD7">
            <w:pPr>
              <w:pStyle w:val="ExhibitText"/>
              <w:jc w:val="center"/>
              <w:rPr>
                <w:b/>
                <w:lang w:val="en-GB"/>
              </w:rPr>
            </w:pPr>
            <w:r w:rsidRPr="007C17BD">
              <w:rPr>
                <w:b/>
                <w:lang w:val="en-GB"/>
              </w:rPr>
              <w:t xml:space="preserve">June </w:t>
            </w:r>
            <w:r w:rsidR="00DC51BA" w:rsidRPr="007C17BD">
              <w:rPr>
                <w:b/>
                <w:lang w:val="en-GB"/>
              </w:rPr>
              <w:t>20</w:t>
            </w:r>
            <w:r w:rsidRPr="007C17BD">
              <w:rPr>
                <w:b/>
                <w:lang w:val="en-GB"/>
              </w:rPr>
              <w:t>11</w:t>
            </w:r>
          </w:p>
        </w:tc>
        <w:tc>
          <w:tcPr>
            <w:tcW w:w="1326" w:type="dxa"/>
          </w:tcPr>
          <w:p w14:paraId="179AC3AA" w14:textId="3BAA50C7" w:rsidR="0056785D" w:rsidRPr="007C17BD" w:rsidRDefault="0056785D" w:rsidP="00AF1AD7">
            <w:pPr>
              <w:pStyle w:val="ExhibitText"/>
              <w:jc w:val="center"/>
              <w:rPr>
                <w:b/>
                <w:lang w:val="en-GB"/>
              </w:rPr>
            </w:pPr>
            <w:r w:rsidRPr="007C17BD">
              <w:rPr>
                <w:b/>
                <w:lang w:val="en-GB"/>
              </w:rPr>
              <w:t xml:space="preserve">March </w:t>
            </w:r>
            <w:r w:rsidR="00DC51BA" w:rsidRPr="007C17BD">
              <w:rPr>
                <w:b/>
                <w:lang w:val="en-GB"/>
              </w:rPr>
              <w:t>20</w:t>
            </w:r>
            <w:r w:rsidRPr="007C17BD">
              <w:rPr>
                <w:b/>
                <w:lang w:val="en-GB"/>
              </w:rPr>
              <w:t>12</w:t>
            </w:r>
          </w:p>
        </w:tc>
      </w:tr>
      <w:tr w:rsidR="0056785D" w:rsidRPr="007C17BD" w14:paraId="5D28AD54" w14:textId="77777777" w:rsidTr="00207A5A">
        <w:trPr>
          <w:jc w:val="center"/>
        </w:trPr>
        <w:tc>
          <w:tcPr>
            <w:tcW w:w="2541" w:type="dxa"/>
          </w:tcPr>
          <w:p w14:paraId="6C134CD6" w14:textId="3FA20600" w:rsidR="0056785D" w:rsidRPr="007C17BD" w:rsidRDefault="0056785D" w:rsidP="003208FA">
            <w:pPr>
              <w:pStyle w:val="ExhibitText"/>
              <w:jc w:val="left"/>
              <w:rPr>
                <w:lang w:val="en-GB"/>
              </w:rPr>
            </w:pPr>
            <w:r w:rsidRPr="007C17BD">
              <w:rPr>
                <w:lang w:val="en-GB"/>
              </w:rPr>
              <w:t xml:space="preserve">I apply skin care products </w:t>
            </w:r>
          </w:p>
        </w:tc>
        <w:tc>
          <w:tcPr>
            <w:tcW w:w="1270" w:type="dxa"/>
          </w:tcPr>
          <w:p w14:paraId="3B778EDA" w14:textId="65CCE60F" w:rsidR="0056785D" w:rsidRPr="007C17BD" w:rsidRDefault="0056785D" w:rsidP="005F5DD9">
            <w:pPr>
              <w:pStyle w:val="ExhibitText"/>
              <w:jc w:val="center"/>
              <w:rPr>
                <w:lang w:val="en-GB"/>
              </w:rPr>
            </w:pPr>
            <w:r w:rsidRPr="007C17BD">
              <w:rPr>
                <w:lang w:val="en-GB"/>
              </w:rPr>
              <w:t>93</w:t>
            </w:r>
          </w:p>
        </w:tc>
        <w:tc>
          <w:tcPr>
            <w:tcW w:w="1350" w:type="dxa"/>
          </w:tcPr>
          <w:p w14:paraId="74B00441" w14:textId="29089691" w:rsidR="0056785D" w:rsidRPr="007C17BD" w:rsidRDefault="0056785D" w:rsidP="005F5DD9">
            <w:pPr>
              <w:pStyle w:val="ExhibitText"/>
              <w:jc w:val="center"/>
              <w:rPr>
                <w:lang w:val="en-GB"/>
              </w:rPr>
            </w:pPr>
            <w:r w:rsidRPr="007C17BD">
              <w:rPr>
                <w:lang w:val="en-GB"/>
              </w:rPr>
              <w:t>96</w:t>
            </w:r>
          </w:p>
        </w:tc>
        <w:tc>
          <w:tcPr>
            <w:tcW w:w="1326" w:type="dxa"/>
          </w:tcPr>
          <w:p w14:paraId="1FA02142" w14:textId="49850BEC" w:rsidR="0056785D" w:rsidRPr="007C17BD" w:rsidRDefault="0056785D" w:rsidP="005F5DD9">
            <w:pPr>
              <w:pStyle w:val="ExhibitText"/>
              <w:jc w:val="center"/>
              <w:rPr>
                <w:lang w:val="en-GB"/>
              </w:rPr>
            </w:pPr>
            <w:r w:rsidRPr="007C17BD">
              <w:rPr>
                <w:lang w:val="en-GB"/>
              </w:rPr>
              <w:t>99</w:t>
            </w:r>
          </w:p>
        </w:tc>
      </w:tr>
      <w:tr w:rsidR="0056785D" w:rsidRPr="007C17BD" w14:paraId="16B2A32C" w14:textId="77777777" w:rsidTr="00207A5A">
        <w:trPr>
          <w:jc w:val="center"/>
        </w:trPr>
        <w:tc>
          <w:tcPr>
            <w:tcW w:w="2541" w:type="dxa"/>
          </w:tcPr>
          <w:p w14:paraId="7C8E4CDF" w14:textId="45CD15ED" w:rsidR="0056785D" w:rsidRPr="007C17BD" w:rsidRDefault="0056785D" w:rsidP="003208FA">
            <w:pPr>
              <w:pStyle w:val="ExhibitText"/>
              <w:jc w:val="left"/>
              <w:rPr>
                <w:lang w:val="en-GB"/>
              </w:rPr>
            </w:pPr>
            <w:r w:rsidRPr="007C17BD">
              <w:rPr>
                <w:lang w:val="en-GB"/>
              </w:rPr>
              <w:t>I visit a salon/parlo</w:t>
            </w:r>
            <w:r w:rsidR="00E91F9C" w:rsidRPr="007C17BD">
              <w:rPr>
                <w:lang w:val="en-GB"/>
              </w:rPr>
              <w:t>u</w:t>
            </w:r>
            <w:r w:rsidRPr="007C17BD">
              <w:rPr>
                <w:lang w:val="en-GB"/>
              </w:rPr>
              <w:t>r</w:t>
            </w:r>
          </w:p>
        </w:tc>
        <w:tc>
          <w:tcPr>
            <w:tcW w:w="1270" w:type="dxa"/>
          </w:tcPr>
          <w:p w14:paraId="7A2813A6" w14:textId="00A2B35B" w:rsidR="0056785D" w:rsidRPr="007C17BD" w:rsidRDefault="0056785D" w:rsidP="005F5DD9">
            <w:pPr>
              <w:pStyle w:val="ExhibitText"/>
              <w:jc w:val="center"/>
              <w:rPr>
                <w:lang w:val="en-GB"/>
              </w:rPr>
            </w:pPr>
            <w:r w:rsidRPr="007C17BD">
              <w:rPr>
                <w:lang w:val="en-GB"/>
              </w:rPr>
              <w:t>97</w:t>
            </w:r>
          </w:p>
        </w:tc>
        <w:tc>
          <w:tcPr>
            <w:tcW w:w="1350" w:type="dxa"/>
          </w:tcPr>
          <w:p w14:paraId="6E86C542" w14:textId="43C2F39D" w:rsidR="0056785D" w:rsidRPr="007C17BD" w:rsidRDefault="0056785D" w:rsidP="005F5DD9">
            <w:pPr>
              <w:pStyle w:val="ExhibitText"/>
              <w:jc w:val="center"/>
              <w:rPr>
                <w:lang w:val="en-GB"/>
              </w:rPr>
            </w:pPr>
            <w:r w:rsidRPr="007C17BD">
              <w:rPr>
                <w:lang w:val="en-GB"/>
              </w:rPr>
              <w:t>98</w:t>
            </w:r>
          </w:p>
        </w:tc>
        <w:tc>
          <w:tcPr>
            <w:tcW w:w="1326" w:type="dxa"/>
          </w:tcPr>
          <w:p w14:paraId="434A5BDA" w14:textId="10272F02" w:rsidR="0056785D" w:rsidRPr="007C17BD" w:rsidRDefault="0056785D" w:rsidP="005F5DD9">
            <w:pPr>
              <w:pStyle w:val="ExhibitText"/>
              <w:jc w:val="center"/>
              <w:rPr>
                <w:lang w:val="en-GB"/>
              </w:rPr>
            </w:pPr>
            <w:r w:rsidRPr="007C17BD">
              <w:rPr>
                <w:lang w:val="en-GB"/>
              </w:rPr>
              <w:t>98</w:t>
            </w:r>
          </w:p>
        </w:tc>
      </w:tr>
      <w:tr w:rsidR="0056785D" w:rsidRPr="007C17BD" w14:paraId="0D346871" w14:textId="77777777" w:rsidTr="00207A5A">
        <w:trPr>
          <w:jc w:val="center"/>
        </w:trPr>
        <w:tc>
          <w:tcPr>
            <w:tcW w:w="2541" w:type="dxa"/>
          </w:tcPr>
          <w:p w14:paraId="5E2A94D1" w14:textId="67CEFC76" w:rsidR="0056785D" w:rsidRPr="007C17BD" w:rsidRDefault="0056785D" w:rsidP="003208FA">
            <w:pPr>
              <w:pStyle w:val="ExhibitText"/>
              <w:jc w:val="left"/>
              <w:rPr>
                <w:lang w:val="en-GB"/>
              </w:rPr>
            </w:pPr>
            <w:r w:rsidRPr="007C17BD">
              <w:rPr>
                <w:lang w:val="en-GB"/>
              </w:rPr>
              <w:t>I visit a skin clinic</w:t>
            </w:r>
          </w:p>
        </w:tc>
        <w:tc>
          <w:tcPr>
            <w:tcW w:w="1270" w:type="dxa"/>
          </w:tcPr>
          <w:p w14:paraId="229BFADB" w14:textId="7CC75EBB" w:rsidR="0056785D" w:rsidRPr="007C17BD" w:rsidRDefault="0056785D" w:rsidP="005F5DD9">
            <w:pPr>
              <w:pStyle w:val="ExhibitText"/>
              <w:jc w:val="center"/>
              <w:rPr>
                <w:lang w:val="en-GB"/>
              </w:rPr>
            </w:pPr>
            <w:r w:rsidRPr="007C17BD">
              <w:rPr>
                <w:lang w:val="en-GB"/>
              </w:rPr>
              <w:t>75</w:t>
            </w:r>
          </w:p>
        </w:tc>
        <w:tc>
          <w:tcPr>
            <w:tcW w:w="1350" w:type="dxa"/>
          </w:tcPr>
          <w:p w14:paraId="54F370BC" w14:textId="418FC69B" w:rsidR="0056785D" w:rsidRPr="007C17BD" w:rsidRDefault="0056785D" w:rsidP="005F5DD9">
            <w:pPr>
              <w:pStyle w:val="ExhibitText"/>
              <w:jc w:val="center"/>
              <w:rPr>
                <w:lang w:val="en-GB"/>
              </w:rPr>
            </w:pPr>
            <w:r w:rsidRPr="007C17BD">
              <w:rPr>
                <w:lang w:val="en-GB"/>
              </w:rPr>
              <w:t>67</w:t>
            </w:r>
          </w:p>
        </w:tc>
        <w:tc>
          <w:tcPr>
            <w:tcW w:w="1326" w:type="dxa"/>
          </w:tcPr>
          <w:p w14:paraId="1A38B996" w14:textId="4A432423" w:rsidR="0056785D" w:rsidRPr="007C17BD" w:rsidRDefault="0056785D" w:rsidP="005F5DD9">
            <w:pPr>
              <w:pStyle w:val="ExhibitText"/>
              <w:jc w:val="center"/>
              <w:rPr>
                <w:lang w:val="en-GB"/>
              </w:rPr>
            </w:pPr>
            <w:r w:rsidRPr="007C17BD">
              <w:rPr>
                <w:lang w:val="en-GB"/>
              </w:rPr>
              <w:t>75</w:t>
            </w:r>
          </w:p>
        </w:tc>
      </w:tr>
      <w:tr w:rsidR="0056785D" w:rsidRPr="007C17BD" w14:paraId="7142DFC5" w14:textId="77777777" w:rsidTr="003208FA">
        <w:trPr>
          <w:trHeight w:val="107"/>
          <w:jc w:val="center"/>
        </w:trPr>
        <w:tc>
          <w:tcPr>
            <w:tcW w:w="2541" w:type="dxa"/>
          </w:tcPr>
          <w:p w14:paraId="2E976C54" w14:textId="0AB83321" w:rsidR="0056785D" w:rsidRPr="007C17BD" w:rsidRDefault="0056785D" w:rsidP="003208FA">
            <w:pPr>
              <w:pStyle w:val="ExhibitText"/>
              <w:jc w:val="left"/>
              <w:rPr>
                <w:lang w:val="en-GB"/>
              </w:rPr>
            </w:pPr>
            <w:r w:rsidRPr="007C17BD">
              <w:rPr>
                <w:lang w:val="en-GB"/>
              </w:rPr>
              <w:t xml:space="preserve">I visit a dermatologist </w:t>
            </w:r>
          </w:p>
        </w:tc>
        <w:tc>
          <w:tcPr>
            <w:tcW w:w="1270" w:type="dxa"/>
          </w:tcPr>
          <w:p w14:paraId="02238B9D" w14:textId="078A2061" w:rsidR="0056785D" w:rsidRPr="007C17BD" w:rsidRDefault="0056785D" w:rsidP="005F5DD9">
            <w:pPr>
              <w:pStyle w:val="ExhibitText"/>
              <w:jc w:val="center"/>
              <w:rPr>
                <w:lang w:val="en-GB"/>
              </w:rPr>
            </w:pPr>
            <w:r w:rsidRPr="007C17BD">
              <w:rPr>
                <w:lang w:val="en-GB"/>
              </w:rPr>
              <w:t>37</w:t>
            </w:r>
          </w:p>
        </w:tc>
        <w:tc>
          <w:tcPr>
            <w:tcW w:w="1350" w:type="dxa"/>
          </w:tcPr>
          <w:p w14:paraId="28AFC93F" w14:textId="5908CC3B" w:rsidR="0056785D" w:rsidRPr="007C17BD" w:rsidRDefault="0056785D" w:rsidP="005F5DD9">
            <w:pPr>
              <w:pStyle w:val="ExhibitText"/>
              <w:jc w:val="center"/>
              <w:rPr>
                <w:lang w:val="en-GB"/>
              </w:rPr>
            </w:pPr>
            <w:r w:rsidRPr="007C17BD">
              <w:rPr>
                <w:lang w:val="en-GB"/>
              </w:rPr>
              <w:t>26</w:t>
            </w:r>
          </w:p>
        </w:tc>
        <w:tc>
          <w:tcPr>
            <w:tcW w:w="1326" w:type="dxa"/>
          </w:tcPr>
          <w:p w14:paraId="7AC84D1A" w14:textId="0CCE2657" w:rsidR="0056785D" w:rsidRPr="007C17BD" w:rsidRDefault="0056785D" w:rsidP="005F5DD9">
            <w:pPr>
              <w:pStyle w:val="ExhibitText"/>
              <w:jc w:val="center"/>
              <w:rPr>
                <w:lang w:val="en-GB"/>
              </w:rPr>
            </w:pPr>
            <w:r w:rsidRPr="007C17BD">
              <w:rPr>
                <w:lang w:val="en-GB"/>
              </w:rPr>
              <w:t>22</w:t>
            </w:r>
          </w:p>
        </w:tc>
      </w:tr>
    </w:tbl>
    <w:p w14:paraId="2D8F7630" w14:textId="77777777" w:rsidR="0056785D" w:rsidRPr="007C17BD" w:rsidRDefault="0056785D" w:rsidP="004F1BA1">
      <w:pPr>
        <w:pStyle w:val="Footnote"/>
        <w:rPr>
          <w:lang w:val="en-GB"/>
        </w:rPr>
      </w:pPr>
    </w:p>
    <w:p w14:paraId="73B5DF62" w14:textId="25C12A85" w:rsidR="0056785D" w:rsidRPr="007C17BD" w:rsidRDefault="0056785D" w:rsidP="00207A5A">
      <w:pPr>
        <w:pStyle w:val="Footnote"/>
        <w:jc w:val="left"/>
        <w:rPr>
          <w:lang w:val="en-GB"/>
        </w:rPr>
      </w:pPr>
      <w:r w:rsidRPr="007C17BD">
        <w:rPr>
          <w:lang w:val="en-GB"/>
        </w:rPr>
        <w:t>Source:</w:t>
      </w:r>
      <w:r w:rsidR="00DC51BA" w:rsidRPr="007C17BD">
        <w:rPr>
          <w:lang w:val="en-GB"/>
        </w:rPr>
        <w:t xml:space="preserve"> </w:t>
      </w:r>
      <w:r w:rsidR="000D5136" w:rsidRPr="007C17BD">
        <w:rPr>
          <w:lang w:val="en-GB"/>
        </w:rPr>
        <w:t xml:space="preserve">Kaya Skin Clinic, </w:t>
      </w:r>
      <w:r w:rsidR="000D5136" w:rsidRPr="007C17BD">
        <w:rPr>
          <w:i/>
          <w:lang w:val="en-GB"/>
        </w:rPr>
        <w:t>Kaya Leader in Specialty Skin Care: Investor Presentation</w:t>
      </w:r>
      <w:r w:rsidR="000D5136" w:rsidRPr="007C17BD">
        <w:rPr>
          <w:lang w:val="en-GB"/>
        </w:rPr>
        <w:t>,</w:t>
      </w:r>
      <w:r w:rsidR="00DC51BA" w:rsidRPr="007C17BD">
        <w:rPr>
          <w:lang w:val="en-GB"/>
        </w:rPr>
        <w:t xml:space="preserve"> </w:t>
      </w:r>
      <w:r w:rsidR="000D5136" w:rsidRPr="007C17BD">
        <w:rPr>
          <w:lang w:val="en-GB"/>
        </w:rPr>
        <w:t xml:space="preserve">39, </w:t>
      </w:r>
      <w:r w:rsidR="00DC51BA" w:rsidRPr="007C17BD">
        <w:rPr>
          <w:lang w:val="en-GB"/>
        </w:rPr>
        <w:t xml:space="preserve">accessed April 10, 2016, </w:t>
      </w:r>
      <w:hyperlink r:id="rId13" w:history="1">
        <w:r w:rsidRPr="007C17BD">
          <w:rPr>
            <w:lang w:val="en-GB"/>
          </w:rPr>
          <w:t>www.kaya.in/investors/pdf/Corporate%20Presentation%20-%20July%202015.pdf</w:t>
        </w:r>
      </w:hyperlink>
      <w:r w:rsidRPr="007C17BD">
        <w:rPr>
          <w:lang w:val="en-GB"/>
        </w:rPr>
        <w:t>.</w:t>
      </w:r>
    </w:p>
    <w:p w14:paraId="2347AB8A" w14:textId="77777777" w:rsidR="0056785D" w:rsidRPr="007C17BD" w:rsidRDefault="0056785D" w:rsidP="004F1BA1">
      <w:pPr>
        <w:pStyle w:val="Footnote"/>
        <w:rPr>
          <w:lang w:val="en-GB"/>
        </w:rPr>
      </w:pPr>
    </w:p>
    <w:p w14:paraId="0F8C8735" w14:textId="77777777" w:rsidR="0056785D" w:rsidRPr="007C17BD" w:rsidRDefault="0056785D" w:rsidP="004F1BA1">
      <w:pPr>
        <w:pStyle w:val="Footnote"/>
        <w:rPr>
          <w:lang w:val="en-GB"/>
        </w:rPr>
      </w:pPr>
    </w:p>
    <w:p w14:paraId="1D2BA6F7" w14:textId="748CD113" w:rsidR="0056785D" w:rsidRPr="007C17BD" w:rsidRDefault="001237B6" w:rsidP="0056785D">
      <w:pPr>
        <w:pStyle w:val="ExhibitHeading"/>
        <w:rPr>
          <w:lang w:val="en-GB"/>
        </w:rPr>
      </w:pPr>
      <w:r w:rsidRPr="007C17BD">
        <w:rPr>
          <w:lang w:val="en-GB"/>
        </w:rPr>
        <w:t>Exhibit</w:t>
      </w:r>
      <w:r w:rsidR="0056785D" w:rsidRPr="007C17BD">
        <w:rPr>
          <w:lang w:val="en-GB"/>
        </w:rPr>
        <w:t xml:space="preserve"> </w:t>
      </w:r>
      <w:r w:rsidR="001A09B2" w:rsidRPr="007C17BD">
        <w:rPr>
          <w:lang w:val="en-GB"/>
        </w:rPr>
        <w:t>7</w:t>
      </w:r>
      <w:r w:rsidR="00DC51BA" w:rsidRPr="007C17BD">
        <w:rPr>
          <w:lang w:val="en-GB"/>
        </w:rPr>
        <w:t xml:space="preserve">: Market size of skin care products in Saudi arabia and the united arab emirates, 2010–2020 (in US$ millions) </w:t>
      </w:r>
    </w:p>
    <w:p w14:paraId="2EB119BD" w14:textId="77777777" w:rsidR="004F1BA1" w:rsidRPr="007C17BD" w:rsidRDefault="004F1BA1" w:rsidP="0056785D">
      <w:pPr>
        <w:pStyle w:val="ExhibitHeading"/>
        <w:rPr>
          <w:lang w:val="en-GB"/>
        </w:rPr>
      </w:pPr>
    </w:p>
    <w:p w14:paraId="22921A88" w14:textId="77777777" w:rsidR="004F1BA1" w:rsidRPr="007C17BD" w:rsidRDefault="004F1BA1" w:rsidP="004F1BA1">
      <w:pPr>
        <w:pStyle w:val="ExhibitNumber"/>
        <w:jc w:val="left"/>
        <w:rPr>
          <w:lang w:val="en-GB"/>
        </w:rPr>
      </w:pPr>
    </w:p>
    <w:tbl>
      <w:tblPr>
        <w:tblW w:w="931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ook w:val="04A0" w:firstRow="1" w:lastRow="0" w:firstColumn="1" w:lastColumn="0" w:noHBand="0" w:noVBand="1"/>
      </w:tblPr>
      <w:tblGrid>
        <w:gridCol w:w="1487"/>
        <w:gridCol w:w="717"/>
        <w:gridCol w:w="717"/>
        <w:gridCol w:w="717"/>
        <w:gridCol w:w="717"/>
        <w:gridCol w:w="692"/>
        <w:gridCol w:w="717"/>
        <w:gridCol w:w="717"/>
        <w:gridCol w:w="717"/>
        <w:gridCol w:w="717"/>
        <w:gridCol w:w="717"/>
        <w:gridCol w:w="717"/>
      </w:tblGrid>
      <w:tr w:rsidR="0056785D" w:rsidRPr="005F5DD9" w14:paraId="3D676ADD" w14:textId="77777777" w:rsidTr="00207A5A">
        <w:trPr>
          <w:trHeight w:val="269"/>
          <w:jc w:val="center"/>
        </w:trPr>
        <w:tc>
          <w:tcPr>
            <w:tcW w:w="1487" w:type="dxa"/>
            <w:shd w:val="clear" w:color="auto" w:fill="FFFFFF" w:themeFill="background1"/>
            <w:noWrap/>
            <w:vAlign w:val="center"/>
            <w:hideMark/>
          </w:tcPr>
          <w:p w14:paraId="5A109531" w14:textId="77777777" w:rsidR="0056785D" w:rsidRPr="007C17BD" w:rsidRDefault="0056785D" w:rsidP="004F1BA1">
            <w:pPr>
              <w:pStyle w:val="ExhibitText"/>
              <w:rPr>
                <w:b/>
                <w:sz w:val="19"/>
                <w:szCs w:val="19"/>
                <w:lang w:val="en-GB"/>
              </w:rPr>
            </w:pPr>
            <w:r w:rsidRPr="007C17BD">
              <w:rPr>
                <w:b/>
                <w:sz w:val="19"/>
                <w:szCs w:val="19"/>
                <w:lang w:val="en-GB"/>
              </w:rPr>
              <w:t>Geographies</w:t>
            </w:r>
          </w:p>
        </w:tc>
        <w:tc>
          <w:tcPr>
            <w:tcW w:w="717" w:type="dxa"/>
            <w:shd w:val="clear" w:color="auto" w:fill="FFFFFF" w:themeFill="background1"/>
            <w:noWrap/>
            <w:vAlign w:val="center"/>
            <w:hideMark/>
          </w:tcPr>
          <w:p w14:paraId="49386512" w14:textId="77777777" w:rsidR="0056785D" w:rsidRPr="007C17BD" w:rsidRDefault="0056785D" w:rsidP="004F1BA1">
            <w:pPr>
              <w:pStyle w:val="ExhibitText"/>
              <w:rPr>
                <w:b/>
                <w:sz w:val="19"/>
                <w:szCs w:val="19"/>
                <w:lang w:val="en-GB"/>
              </w:rPr>
            </w:pPr>
            <w:r w:rsidRPr="007C17BD">
              <w:rPr>
                <w:b/>
                <w:sz w:val="19"/>
                <w:szCs w:val="19"/>
                <w:lang w:val="en-GB"/>
              </w:rPr>
              <w:t>2010</w:t>
            </w:r>
          </w:p>
        </w:tc>
        <w:tc>
          <w:tcPr>
            <w:tcW w:w="717" w:type="dxa"/>
            <w:shd w:val="clear" w:color="auto" w:fill="FFFFFF" w:themeFill="background1"/>
            <w:noWrap/>
            <w:vAlign w:val="center"/>
            <w:hideMark/>
          </w:tcPr>
          <w:p w14:paraId="138A4F70" w14:textId="77777777" w:rsidR="0056785D" w:rsidRPr="007C17BD" w:rsidRDefault="0056785D" w:rsidP="004F1BA1">
            <w:pPr>
              <w:pStyle w:val="ExhibitText"/>
              <w:rPr>
                <w:b/>
                <w:sz w:val="19"/>
                <w:szCs w:val="19"/>
                <w:lang w:val="en-GB"/>
              </w:rPr>
            </w:pPr>
            <w:r w:rsidRPr="007C17BD">
              <w:rPr>
                <w:b/>
                <w:sz w:val="19"/>
                <w:szCs w:val="19"/>
                <w:lang w:val="en-GB"/>
              </w:rPr>
              <w:t>2011</w:t>
            </w:r>
          </w:p>
        </w:tc>
        <w:tc>
          <w:tcPr>
            <w:tcW w:w="717" w:type="dxa"/>
            <w:shd w:val="clear" w:color="auto" w:fill="FFFFFF" w:themeFill="background1"/>
            <w:noWrap/>
            <w:vAlign w:val="center"/>
            <w:hideMark/>
          </w:tcPr>
          <w:p w14:paraId="3C1644BE" w14:textId="77777777" w:rsidR="0056785D" w:rsidRPr="007C17BD" w:rsidRDefault="0056785D" w:rsidP="004F1BA1">
            <w:pPr>
              <w:pStyle w:val="ExhibitText"/>
              <w:rPr>
                <w:b/>
                <w:sz w:val="19"/>
                <w:szCs w:val="19"/>
                <w:lang w:val="en-GB"/>
              </w:rPr>
            </w:pPr>
            <w:r w:rsidRPr="007C17BD">
              <w:rPr>
                <w:b/>
                <w:sz w:val="19"/>
                <w:szCs w:val="19"/>
                <w:lang w:val="en-GB"/>
              </w:rPr>
              <w:t>2012</w:t>
            </w:r>
          </w:p>
        </w:tc>
        <w:tc>
          <w:tcPr>
            <w:tcW w:w="717" w:type="dxa"/>
            <w:shd w:val="clear" w:color="auto" w:fill="FFFFFF" w:themeFill="background1"/>
            <w:noWrap/>
            <w:vAlign w:val="center"/>
            <w:hideMark/>
          </w:tcPr>
          <w:p w14:paraId="3D580AAF" w14:textId="77777777" w:rsidR="0056785D" w:rsidRPr="007C17BD" w:rsidRDefault="0056785D" w:rsidP="004F1BA1">
            <w:pPr>
              <w:pStyle w:val="ExhibitText"/>
              <w:rPr>
                <w:b/>
                <w:sz w:val="19"/>
                <w:szCs w:val="19"/>
                <w:lang w:val="en-GB"/>
              </w:rPr>
            </w:pPr>
            <w:r w:rsidRPr="007C17BD">
              <w:rPr>
                <w:b/>
                <w:sz w:val="19"/>
                <w:szCs w:val="19"/>
                <w:lang w:val="en-GB"/>
              </w:rPr>
              <w:t>2013</w:t>
            </w:r>
          </w:p>
        </w:tc>
        <w:tc>
          <w:tcPr>
            <w:tcW w:w="661" w:type="dxa"/>
            <w:shd w:val="clear" w:color="auto" w:fill="FFFFFF" w:themeFill="background1"/>
            <w:noWrap/>
            <w:vAlign w:val="center"/>
            <w:hideMark/>
          </w:tcPr>
          <w:p w14:paraId="759EB75C" w14:textId="77777777" w:rsidR="0056785D" w:rsidRPr="007C17BD" w:rsidRDefault="0056785D" w:rsidP="004F1BA1">
            <w:pPr>
              <w:pStyle w:val="ExhibitText"/>
              <w:rPr>
                <w:b/>
                <w:sz w:val="19"/>
                <w:szCs w:val="19"/>
                <w:lang w:val="en-GB"/>
              </w:rPr>
            </w:pPr>
            <w:r w:rsidRPr="007C17BD">
              <w:rPr>
                <w:b/>
                <w:sz w:val="19"/>
                <w:szCs w:val="19"/>
                <w:lang w:val="en-GB"/>
              </w:rPr>
              <w:t>2014</w:t>
            </w:r>
          </w:p>
        </w:tc>
        <w:tc>
          <w:tcPr>
            <w:tcW w:w="717" w:type="dxa"/>
            <w:shd w:val="clear" w:color="auto" w:fill="FFFFFF" w:themeFill="background1"/>
            <w:noWrap/>
            <w:vAlign w:val="center"/>
            <w:hideMark/>
          </w:tcPr>
          <w:p w14:paraId="64ED31D1" w14:textId="77777777" w:rsidR="0056785D" w:rsidRPr="007C17BD" w:rsidRDefault="0056785D" w:rsidP="004F1BA1">
            <w:pPr>
              <w:pStyle w:val="ExhibitText"/>
              <w:rPr>
                <w:b/>
                <w:sz w:val="19"/>
                <w:szCs w:val="19"/>
                <w:lang w:val="en-GB"/>
              </w:rPr>
            </w:pPr>
            <w:r w:rsidRPr="007C17BD">
              <w:rPr>
                <w:b/>
                <w:sz w:val="19"/>
                <w:szCs w:val="19"/>
                <w:lang w:val="en-GB"/>
              </w:rPr>
              <w:t>2015</w:t>
            </w:r>
          </w:p>
        </w:tc>
        <w:tc>
          <w:tcPr>
            <w:tcW w:w="717" w:type="dxa"/>
            <w:shd w:val="clear" w:color="auto" w:fill="FFFFFF" w:themeFill="background1"/>
            <w:noWrap/>
            <w:vAlign w:val="center"/>
            <w:hideMark/>
          </w:tcPr>
          <w:p w14:paraId="7A9D0041" w14:textId="77777777" w:rsidR="0056785D" w:rsidRPr="005F5DD9" w:rsidRDefault="0056785D" w:rsidP="004F1BA1">
            <w:pPr>
              <w:pStyle w:val="ExhibitText"/>
              <w:rPr>
                <w:b/>
                <w:iCs/>
                <w:sz w:val="19"/>
                <w:szCs w:val="19"/>
                <w:lang w:val="en-GB"/>
              </w:rPr>
            </w:pPr>
            <w:r w:rsidRPr="005F5DD9">
              <w:rPr>
                <w:b/>
                <w:iCs/>
                <w:sz w:val="19"/>
                <w:szCs w:val="19"/>
                <w:lang w:val="en-GB"/>
              </w:rPr>
              <w:t>2016</w:t>
            </w:r>
          </w:p>
        </w:tc>
        <w:tc>
          <w:tcPr>
            <w:tcW w:w="717" w:type="dxa"/>
            <w:shd w:val="clear" w:color="auto" w:fill="FFFFFF" w:themeFill="background1"/>
            <w:noWrap/>
            <w:vAlign w:val="center"/>
            <w:hideMark/>
          </w:tcPr>
          <w:p w14:paraId="741FBBF1" w14:textId="77777777" w:rsidR="0056785D" w:rsidRPr="005F5DD9" w:rsidRDefault="0056785D" w:rsidP="004F1BA1">
            <w:pPr>
              <w:pStyle w:val="ExhibitText"/>
              <w:rPr>
                <w:b/>
                <w:iCs/>
                <w:sz w:val="19"/>
                <w:szCs w:val="19"/>
                <w:lang w:val="en-GB"/>
              </w:rPr>
            </w:pPr>
            <w:r w:rsidRPr="005F5DD9">
              <w:rPr>
                <w:b/>
                <w:iCs/>
                <w:sz w:val="19"/>
                <w:szCs w:val="19"/>
                <w:lang w:val="en-GB"/>
              </w:rPr>
              <w:t>2017</w:t>
            </w:r>
          </w:p>
        </w:tc>
        <w:tc>
          <w:tcPr>
            <w:tcW w:w="717" w:type="dxa"/>
            <w:shd w:val="clear" w:color="auto" w:fill="FFFFFF" w:themeFill="background1"/>
            <w:noWrap/>
            <w:vAlign w:val="center"/>
            <w:hideMark/>
          </w:tcPr>
          <w:p w14:paraId="0079EFFC" w14:textId="77777777" w:rsidR="0056785D" w:rsidRPr="005F5DD9" w:rsidRDefault="0056785D" w:rsidP="004F1BA1">
            <w:pPr>
              <w:pStyle w:val="ExhibitText"/>
              <w:rPr>
                <w:b/>
                <w:iCs/>
                <w:sz w:val="19"/>
                <w:szCs w:val="19"/>
                <w:lang w:val="en-GB"/>
              </w:rPr>
            </w:pPr>
            <w:r w:rsidRPr="005F5DD9">
              <w:rPr>
                <w:b/>
                <w:iCs/>
                <w:sz w:val="19"/>
                <w:szCs w:val="19"/>
                <w:lang w:val="en-GB"/>
              </w:rPr>
              <w:t>2018</w:t>
            </w:r>
          </w:p>
        </w:tc>
        <w:tc>
          <w:tcPr>
            <w:tcW w:w="717" w:type="dxa"/>
            <w:shd w:val="clear" w:color="auto" w:fill="FFFFFF" w:themeFill="background1"/>
            <w:noWrap/>
            <w:vAlign w:val="center"/>
            <w:hideMark/>
          </w:tcPr>
          <w:p w14:paraId="60F84B85" w14:textId="77777777" w:rsidR="0056785D" w:rsidRPr="005F5DD9" w:rsidRDefault="0056785D" w:rsidP="004F1BA1">
            <w:pPr>
              <w:pStyle w:val="ExhibitText"/>
              <w:rPr>
                <w:b/>
                <w:iCs/>
                <w:sz w:val="19"/>
                <w:szCs w:val="19"/>
                <w:lang w:val="en-GB"/>
              </w:rPr>
            </w:pPr>
            <w:r w:rsidRPr="005F5DD9">
              <w:rPr>
                <w:b/>
                <w:iCs/>
                <w:sz w:val="19"/>
                <w:szCs w:val="19"/>
                <w:lang w:val="en-GB"/>
              </w:rPr>
              <w:t>2019</w:t>
            </w:r>
          </w:p>
        </w:tc>
        <w:tc>
          <w:tcPr>
            <w:tcW w:w="717" w:type="dxa"/>
            <w:shd w:val="clear" w:color="auto" w:fill="FFFFFF" w:themeFill="background1"/>
            <w:noWrap/>
            <w:vAlign w:val="center"/>
            <w:hideMark/>
          </w:tcPr>
          <w:p w14:paraId="30761744" w14:textId="77777777" w:rsidR="0056785D" w:rsidRPr="005F5DD9" w:rsidRDefault="0056785D" w:rsidP="004F1BA1">
            <w:pPr>
              <w:pStyle w:val="ExhibitText"/>
              <w:rPr>
                <w:b/>
                <w:iCs/>
                <w:sz w:val="19"/>
                <w:szCs w:val="19"/>
                <w:lang w:val="en-GB"/>
              </w:rPr>
            </w:pPr>
            <w:r w:rsidRPr="005F5DD9">
              <w:rPr>
                <w:b/>
                <w:iCs/>
                <w:sz w:val="19"/>
                <w:szCs w:val="19"/>
                <w:lang w:val="en-GB"/>
              </w:rPr>
              <w:t>2020</w:t>
            </w:r>
          </w:p>
        </w:tc>
      </w:tr>
      <w:tr w:rsidR="0056785D" w:rsidRPr="005F5DD9" w14:paraId="1D486E80" w14:textId="77777777" w:rsidTr="00207A5A">
        <w:trPr>
          <w:trHeight w:val="269"/>
          <w:jc w:val="center"/>
        </w:trPr>
        <w:tc>
          <w:tcPr>
            <w:tcW w:w="1487" w:type="dxa"/>
            <w:shd w:val="clear" w:color="auto" w:fill="FFFFFF" w:themeFill="background1"/>
            <w:noWrap/>
            <w:vAlign w:val="center"/>
            <w:hideMark/>
          </w:tcPr>
          <w:p w14:paraId="437B6DFC" w14:textId="77777777" w:rsidR="0056785D" w:rsidRPr="007C17BD" w:rsidRDefault="0056785D" w:rsidP="00DA00A9">
            <w:pPr>
              <w:pStyle w:val="ExhibitText"/>
              <w:jc w:val="left"/>
              <w:rPr>
                <w:sz w:val="19"/>
                <w:szCs w:val="19"/>
                <w:lang w:val="en-GB"/>
              </w:rPr>
            </w:pPr>
            <w:r w:rsidRPr="007C17BD">
              <w:rPr>
                <w:sz w:val="19"/>
                <w:szCs w:val="19"/>
                <w:lang w:val="en-GB"/>
              </w:rPr>
              <w:t>Saudi Arabia</w:t>
            </w:r>
          </w:p>
        </w:tc>
        <w:tc>
          <w:tcPr>
            <w:tcW w:w="717" w:type="dxa"/>
            <w:shd w:val="clear" w:color="auto" w:fill="FFFFFF" w:themeFill="background1"/>
            <w:noWrap/>
            <w:vAlign w:val="center"/>
            <w:hideMark/>
          </w:tcPr>
          <w:p w14:paraId="7137443F" w14:textId="091E155B" w:rsidR="0056785D" w:rsidRPr="007C17BD" w:rsidRDefault="0056785D" w:rsidP="00B52762">
            <w:pPr>
              <w:pStyle w:val="ExhibitText"/>
              <w:jc w:val="right"/>
              <w:rPr>
                <w:sz w:val="19"/>
                <w:szCs w:val="19"/>
                <w:lang w:val="en-GB"/>
              </w:rPr>
            </w:pPr>
            <w:r w:rsidRPr="007C17BD">
              <w:rPr>
                <w:sz w:val="19"/>
                <w:szCs w:val="19"/>
                <w:lang w:val="en-GB"/>
              </w:rPr>
              <w:t>422</w:t>
            </w:r>
            <w:r w:rsidR="00BA7E76">
              <w:rPr>
                <w:sz w:val="19"/>
                <w:szCs w:val="19"/>
                <w:lang w:val="en-GB"/>
              </w:rPr>
              <w:t>.0</w:t>
            </w:r>
          </w:p>
        </w:tc>
        <w:tc>
          <w:tcPr>
            <w:tcW w:w="717" w:type="dxa"/>
            <w:shd w:val="clear" w:color="auto" w:fill="FFFFFF" w:themeFill="background1"/>
            <w:noWrap/>
            <w:vAlign w:val="center"/>
            <w:hideMark/>
          </w:tcPr>
          <w:p w14:paraId="70420DB5" w14:textId="77777777" w:rsidR="0056785D" w:rsidRPr="007C17BD" w:rsidRDefault="0056785D" w:rsidP="00B52762">
            <w:pPr>
              <w:pStyle w:val="ExhibitText"/>
              <w:jc w:val="right"/>
              <w:rPr>
                <w:sz w:val="19"/>
                <w:szCs w:val="19"/>
                <w:lang w:val="en-GB"/>
              </w:rPr>
            </w:pPr>
            <w:r w:rsidRPr="007C17BD">
              <w:rPr>
                <w:sz w:val="19"/>
                <w:szCs w:val="19"/>
                <w:lang w:val="en-GB"/>
              </w:rPr>
              <w:t>462.6</w:t>
            </w:r>
          </w:p>
        </w:tc>
        <w:tc>
          <w:tcPr>
            <w:tcW w:w="717" w:type="dxa"/>
            <w:shd w:val="clear" w:color="auto" w:fill="FFFFFF" w:themeFill="background1"/>
            <w:noWrap/>
            <w:vAlign w:val="center"/>
            <w:hideMark/>
          </w:tcPr>
          <w:p w14:paraId="3114DD74" w14:textId="77777777" w:rsidR="0056785D" w:rsidRPr="007C17BD" w:rsidRDefault="0056785D" w:rsidP="00B52762">
            <w:pPr>
              <w:pStyle w:val="ExhibitText"/>
              <w:jc w:val="right"/>
              <w:rPr>
                <w:sz w:val="19"/>
                <w:szCs w:val="19"/>
                <w:lang w:val="en-GB"/>
              </w:rPr>
            </w:pPr>
            <w:r w:rsidRPr="007C17BD">
              <w:rPr>
                <w:sz w:val="19"/>
                <w:szCs w:val="19"/>
                <w:lang w:val="en-GB"/>
              </w:rPr>
              <w:t>512.2</w:t>
            </w:r>
          </w:p>
        </w:tc>
        <w:tc>
          <w:tcPr>
            <w:tcW w:w="717" w:type="dxa"/>
            <w:shd w:val="clear" w:color="auto" w:fill="FFFFFF" w:themeFill="background1"/>
            <w:noWrap/>
            <w:vAlign w:val="center"/>
            <w:hideMark/>
          </w:tcPr>
          <w:p w14:paraId="088078FF" w14:textId="77777777" w:rsidR="0056785D" w:rsidRPr="007C17BD" w:rsidRDefault="0056785D" w:rsidP="00B52762">
            <w:pPr>
              <w:pStyle w:val="ExhibitText"/>
              <w:jc w:val="right"/>
              <w:rPr>
                <w:sz w:val="19"/>
                <w:szCs w:val="19"/>
                <w:lang w:val="en-GB"/>
              </w:rPr>
            </w:pPr>
            <w:r w:rsidRPr="007C17BD">
              <w:rPr>
                <w:sz w:val="19"/>
                <w:szCs w:val="19"/>
                <w:lang w:val="en-GB"/>
              </w:rPr>
              <w:t>564.3</w:t>
            </w:r>
          </w:p>
        </w:tc>
        <w:tc>
          <w:tcPr>
            <w:tcW w:w="661" w:type="dxa"/>
            <w:shd w:val="clear" w:color="auto" w:fill="FFFFFF" w:themeFill="background1"/>
            <w:noWrap/>
            <w:vAlign w:val="center"/>
            <w:hideMark/>
          </w:tcPr>
          <w:p w14:paraId="43AE778C" w14:textId="6225EDDE" w:rsidR="0056785D" w:rsidRPr="007C17BD" w:rsidRDefault="0056785D" w:rsidP="00B52762">
            <w:pPr>
              <w:pStyle w:val="ExhibitText"/>
              <w:jc w:val="right"/>
              <w:rPr>
                <w:sz w:val="19"/>
                <w:szCs w:val="19"/>
                <w:lang w:val="en-GB"/>
              </w:rPr>
            </w:pPr>
            <w:r w:rsidRPr="007C17BD">
              <w:rPr>
                <w:sz w:val="19"/>
                <w:szCs w:val="19"/>
                <w:lang w:val="en-GB"/>
              </w:rPr>
              <w:t>623</w:t>
            </w:r>
            <w:r w:rsidR="00BA7E76">
              <w:rPr>
                <w:sz w:val="19"/>
                <w:szCs w:val="19"/>
                <w:lang w:val="en-GB"/>
              </w:rPr>
              <w:t>.0</w:t>
            </w:r>
          </w:p>
        </w:tc>
        <w:tc>
          <w:tcPr>
            <w:tcW w:w="717" w:type="dxa"/>
            <w:shd w:val="clear" w:color="auto" w:fill="FFFFFF" w:themeFill="background1"/>
            <w:noWrap/>
            <w:vAlign w:val="center"/>
            <w:hideMark/>
          </w:tcPr>
          <w:p w14:paraId="172D1672" w14:textId="77777777" w:rsidR="0056785D" w:rsidRPr="007C17BD" w:rsidRDefault="0056785D" w:rsidP="00B52762">
            <w:pPr>
              <w:pStyle w:val="ExhibitText"/>
              <w:jc w:val="right"/>
              <w:rPr>
                <w:sz w:val="19"/>
                <w:szCs w:val="19"/>
                <w:lang w:val="en-GB"/>
              </w:rPr>
            </w:pPr>
            <w:r w:rsidRPr="007C17BD">
              <w:rPr>
                <w:sz w:val="19"/>
                <w:szCs w:val="19"/>
                <w:lang w:val="en-GB"/>
              </w:rPr>
              <w:t>681.7</w:t>
            </w:r>
          </w:p>
        </w:tc>
        <w:tc>
          <w:tcPr>
            <w:tcW w:w="717" w:type="dxa"/>
            <w:shd w:val="clear" w:color="auto" w:fill="FFFFFF" w:themeFill="background1"/>
            <w:noWrap/>
            <w:vAlign w:val="center"/>
            <w:hideMark/>
          </w:tcPr>
          <w:p w14:paraId="37C2CC10" w14:textId="381FB08C" w:rsidR="0056785D" w:rsidRPr="005F5DD9" w:rsidRDefault="0056785D" w:rsidP="00B52762">
            <w:pPr>
              <w:pStyle w:val="ExhibitText"/>
              <w:jc w:val="right"/>
              <w:rPr>
                <w:iCs/>
                <w:sz w:val="19"/>
                <w:szCs w:val="19"/>
                <w:lang w:val="en-GB"/>
              </w:rPr>
            </w:pPr>
            <w:r w:rsidRPr="005F5DD9">
              <w:rPr>
                <w:iCs/>
                <w:sz w:val="19"/>
                <w:szCs w:val="19"/>
                <w:lang w:val="en-GB"/>
              </w:rPr>
              <w:t>732</w:t>
            </w:r>
            <w:r w:rsidR="00BA7E76" w:rsidRPr="005F5DD9">
              <w:rPr>
                <w:iCs/>
                <w:sz w:val="19"/>
                <w:szCs w:val="19"/>
                <w:lang w:val="en-GB"/>
              </w:rPr>
              <w:t>.0</w:t>
            </w:r>
          </w:p>
        </w:tc>
        <w:tc>
          <w:tcPr>
            <w:tcW w:w="717" w:type="dxa"/>
            <w:shd w:val="clear" w:color="auto" w:fill="FFFFFF" w:themeFill="background1"/>
            <w:noWrap/>
            <w:vAlign w:val="center"/>
            <w:hideMark/>
          </w:tcPr>
          <w:p w14:paraId="471B4194" w14:textId="77777777" w:rsidR="0056785D" w:rsidRPr="005F5DD9" w:rsidRDefault="0056785D" w:rsidP="00B52762">
            <w:pPr>
              <w:pStyle w:val="ExhibitText"/>
              <w:jc w:val="right"/>
              <w:rPr>
                <w:iCs/>
                <w:sz w:val="19"/>
                <w:szCs w:val="19"/>
                <w:lang w:val="en-GB"/>
              </w:rPr>
            </w:pPr>
            <w:r w:rsidRPr="005F5DD9">
              <w:rPr>
                <w:iCs/>
                <w:sz w:val="19"/>
                <w:szCs w:val="19"/>
                <w:lang w:val="en-GB"/>
              </w:rPr>
              <w:t>788.9</w:t>
            </w:r>
          </w:p>
        </w:tc>
        <w:tc>
          <w:tcPr>
            <w:tcW w:w="717" w:type="dxa"/>
            <w:shd w:val="clear" w:color="auto" w:fill="FFFFFF" w:themeFill="background1"/>
            <w:noWrap/>
            <w:vAlign w:val="center"/>
            <w:hideMark/>
          </w:tcPr>
          <w:p w14:paraId="7BAF9458" w14:textId="77777777" w:rsidR="0056785D" w:rsidRPr="005F5DD9" w:rsidRDefault="0056785D" w:rsidP="00B52762">
            <w:pPr>
              <w:pStyle w:val="ExhibitText"/>
              <w:jc w:val="right"/>
              <w:rPr>
                <w:iCs/>
                <w:sz w:val="19"/>
                <w:szCs w:val="19"/>
                <w:lang w:val="en-GB"/>
              </w:rPr>
            </w:pPr>
            <w:r w:rsidRPr="005F5DD9">
              <w:rPr>
                <w:iCs/>
                <w:sz w:val="19"/>
                <w:szCs w:val="19"/>
                <w:lang w:val="en-GB"/>
              </w:rPr>
              <w:t>846.2</w:t>
            </w:r>
          </w:p>
        </w:tc>
        <w:tc>
          <w:tcPr>
            <w:tcW w:w="717" w:type="dxa"/>
            <w:shd w:val="clear" w:color="auto" w:fill="FFFFFF" w:themeFill="background1"/>
            <w:noWrap/>
            <w:vAlign w:val="center"/>
            <w:hideMark/>
          </w:tcPr>
          <w:p w14:paraId="19DADC0C" w14:textId="77777777" w:rsidR="0056785D" w:rsidRPr="005F5DD9" w:rsidRDefault="0056785D" w:rsidP="00B52762">
            <w:pPr>
              <w:pStyle w:val="ExhibitText"/>
              <w:jc w:val="right"/>
              <w:rPr>
                <w:iCs/>
                <w:sz w:val="19"/>
                <w:szCs w:val="19"/>
                <w:lang w:val="en-GB"/>
              </w:rPr>
            </w:pPr>
            <w:r w:rsidRPr="005F5DD9">
              <w:rPr>
                <w:iCs/>
                <w:sz w:val="19"/>
                <w:szCs w:val="19"/>
                <w:lang w:val="en-GB"/>
              </w:rPr>
              <w:t>907.3</w:t>
            </w:r>
          </w:p>
        </w:tc>
        <w:tc>
          <w:tcPr>
            <w:tcW w:w="717" w:type="dxa"/>
            <w:shd w:val="clear" w:color="auto" w:fill="FFFFFF" w:themeFill="background1"/>
            <w:noWrap/>
            <w:vAlign w:val="center"/>
            <w:hideMark/>
          </w:tcPr>
          <w:p w14:paraId="7C38775F" w14:textId="77777777" w:rsidR="0056785D" w:rsidRPr="005F5DD9" w:rsidRDefault="0056785D" w:rsidP="00B52762">
            <w:pPr>
              <w:pStyle w:val="ExhibitText"/>
              <w:jc w:val="right"/>
              <w:rPr>
                <w:iCs/>
                <w:sz w:val="19"/>
                <w:szCs w:val="19"/>
                <w:lang w:val="en-GB"/>
              </w:rPr>
            </w:pPr>
            <w:r w:rsidRPr="005F5DD9">
              <w:rPr>
                <w:iCs/>
                <w:sz w:val="19"/>
                <w:szCs w:val="19"/>
                <w:lang w:val="en-GB"/>
              </w:rPr>
              <w:t>972.9</w:t>
            </w:r>
          </w:p>
        </w:tc>
      </w:tr>
      <w:tr w:rsidR="0056785D" w:rsidRPr="005F5DD9" w14:paraId="6C37728C" w14:textId="77777777" w:rsidTr="00207A5A">
        <w:trPr>
          <w:trHeight w:val="269"/>
          <w:jc w:val="center"/>
        </w:trPr>
        <w:tc>
          <w:tcPr>
            <w:tcW w:w="1487" w:type="dxa"/>
            <w:shd w:val="clear" w:color="auto" w:fill="FFFFFF" w:themeFill="background1"/>
            <w:noWrap/>
            <w:vAlign w:val="center"/>
            <w:hideMark/>
          </w:tcPr>
          <w:p w14:paraId="7EC3E90E" w14:textId="77777777" w:rsidR="0056785D" w:rsidRPr="007C17BD" w:rsidRDefault="0056785D" w:rsidP="00DA00A9">
            <w:pPr>
              <w:pStyle w:val="ExhibitText"/>
              <w:jc w:val="left"/>
              <w:rPr>
                <w:sz w:val="19"/>
                <w:szCs w:val="19"/>
                <w:lang w:val="en-GB"/>
              </w:rPr>
            </w:pPr>
            <w:r w:rsidRPr="007C17BD">
              <w:rPr>
                <w:sz w:val="19"/>
                <w:szCs w:val="19"/>
                <w:lang w:val="en-GB"/>
              </w:rPr>
              <w:t>United Arab Emirates</w:t>
            </w:r>
          </w:p>
        </w:tc>
        <w:tc>
          <w:tcPr>
            <w:tcW w:w="717" w:type="dxa"/>
            <w:shd w:val="clear" w:color="auto" w:fill="FFFFFF" w:themeFill="background1"/>
            <w:noWrap/>
            <w:vAlign w:val="center"/>
            <w:hideMark/>
          </w:tcPr>
          <w:p w14:paraId="3CD0C602" w14:textId="77777777" w:rsidR="0056785D" w:rsidRPr="007C17BD" w:rsidRDefault="0056785D" w:rsidP="00B52762">
            <w:pPr>
              <w:pStyle w:val="ExhibitText"/>
              <w:jc w:val="right"/>
              <w:rPr>
                <w:sz w:val="19"/>
                <w:szCs w:val="19"/>
                <w:lang w:val="en-GB"/>
              </w:rPr>
            </w:pPr>
            <w:r w:rsidRPr="007C17BD">
              <w:rPr>
                <w:sz w:val="19"/>
                <w:szCs w:val="19"/>
                <w:lang w:val="en-GB"/>
              </w:rPr>
              <w:t>199.5</w:t>
            </w:r>
          </w:p>
        </w:tc>
        <w:tc>
          <w:tcPr>
            <w:tcW w:w="717" w:type="dxa"/>
            <w:shd w:val="clear" w:color="auto" w:fill="FFFFFF" w:themeFill="background1"/>
            <w:noWrap/>
            <w:vAlign w:val="center"/>
            <w:hideMark/>
          </w:tcPr>
          <w:p w14:paraId="30490163" w14:textId="77777777" w:rsidR="0056785D" w:rsidRPr="007C17BD" w:rsidRDefault="0056785D" w:rsidP="00B52762">
            <w:pPr>
              <w:pStyle w:val="ExhibitText"/>
              <w:jc w:val="right"/>
              <w:rPr>
                <w:sz w:val="19"/>
                <w:szCs w:val="19"/>
                <w:lang w:val="en-GB"/>
              </w:rPr>
            </w:pPr>
            <w:r w:rsidRPr="007C17BD">
              <w:rPr>
                <w:sz w:val="19"/>
                <w:szCs w:val="19"/>
                <w:lang w:val="en-GB"/>
              </w:rPr>
              <w:t>214.2</w:t>
            </w:r>
          </w:p>
        </w:tc>
        <w:tc>
          <w:tcPr>
            <w:tcW w:w="717" w:type="dxa"/>
            <w:shd w:val="clear" w:color="auto" w:fill="FFFFFF" w:themeFill="background1"/>
            <w:noWrap/>
            <w:vAlign w:val="center"/>
            <w:hideMark/>
          </w:tcPr>
          <w:p w14:paraId="7BC6F174" w14:textId="77777777" w:rsidR="0056785D" w:rsidRPr="007C17BD" w:rsidRDefault="0056785D" w:rsidP="00B52762">
            <w:pPr>
              <w:pStyle w:val="ExhibitText"/>
              <w:jc w:val="right"/>
              <w:rPr>
                <w:sz w:val="19"/>
                <w:szCs w:val="19"/>
                <w:lang w:val="en-GB"/>
              </w:rPr>
            </w:pPr>
            <w:r w:rsidRPr="007C17BD">
              <w:rPr>
                <w:sz w:val="19"/>
                <w:szCs w:val="19"/>
                <w:lang w:val="en-GB"/>
              </w:rPr>
              <w:t>229.4</w:t>
            </w:r>
          </w:p>
        </w:tc>
        <w:tc>
          <w:tcPr>
            <w:tcW w:w="717" w:type="dxa"/>
            <w:shd w:val="clear" w:color="auto" w:fill="FFFFFF" w:themeFill="background1"/>
            <w:noWrap/>
            <w:vAlign w:val="center"/>
            <w:hideMark/>
          </w:tcPr>
          <w:p w14:paraId="1A29DBB7" w14:textId="77777777" w:rsidR="0056785D" w:rsidRPr="007C17BD" w:rsidRDefault="0056785D" w:rsidP="00B52762">
            <w:pPr>
              <w:pStyle w:val="ExhibitText"/>
              <w:jc w:val="right"/>
              <w:rPr>
                <w:sz w:val="19"/>
                <w:szCs w:val="19"/>
                <w:lang w:val="en-GB"/>
              </w:rPr>
            </w:pPr>
            <w:r w:rsidRPr="007C17BD">
              <w:rPr>
                <w:sz w:val="19"/>
                <w:szCs w:val="19"/>
                <w:lang w:val="en-GB"/>
              </w:rPr>
              <w:t>246.4</w:t>
            </w:r>
          </w:p>
        </w:tc>
        <w:tc>
          <w:tcPr>
            <w:tcW w:w="661" w:type="dxa"/>
            <w:shd w:val="clear" w:color="auto" w:fill="FFFFFF" w:themeFill="background1"/>
            <w:noWrap/>
            <w:vAlign w:val="center"/>
            <w:hideMark/>
          </w:tcPr>
          <w:p w14:paraId="52DEB699" w14:textId="6423451F" w:rsidR="0056785D" w:rsidRPr="007C17BD" w:rsidRDefault="0056785D" w:rsidP="00B52762">
            <w:pPr>
              <w:pStyle w:val="ExhibitText"/>
              <w:jc w:val="right"/>
              <w:rPr>
                <w:sz w:val="19"/>
                <w:szCs w:val="19"/>
                <w:lang w:val="en-GB"/>
              </w:rPr>
            </w:pPr>
            <w:r w:rsidRPr="007C17BD">
              <w:rPr>
                <w:sz w:val="19"/>
                <w:szCs w:val="19"/>
                <w:lang w:val="en-GB"/>
              </w:rPr>
              <w:t>267</w:t>
            </w:r>
            <w:r w:rsidR="00BA7E76">
              <w:rPr>
                <w:sz w:val="19"/>
                <w:szCs w:val="19"/>
                <w:lang w:val="en-GB"/>
              </w:rPr>
              <w:t>.0</w:t>
            </w:r>
          </w:p>
        </w:tc>
        <w:tc>
          <w:tcPr>
            <w:tcW w:w="717" w:type="dxa"/>
            <w:shd w:val="clear" w:color="auto" w:fill="FFFFFF" w:themeFill="background1"/>
            <w:noWrap/>
            <w:vAlign w:val="center"/>
            <w:hideMark/>
          </w:tcPr>
          <w:p w14:paraId="450FF17C" w14:textId="77777777" w:rsidR="0056785D" w:rsidRPr="007C17BD" w:rsidRDefault="0056785D" w:rsidP="00B52762">
            <w:pPr>
              <w:pStyle w:val="ExhibitText"/>
              <w:jc w:val="right"/>
              <w:rPr>
                <w:sz w:val="19"/>
                <w:szCs w:val="19"/>
                <w:lang w:val="en-GB"/>
              </w:rPr>
            </w:pPr>
            <w:r w:rsidRPr="007C17BD">
              <w:rPr>
                <w:sz w:val="19"/>
                <w:szCs w:val="19"/>
                <w:lang w:val="en-GB"/>
              </w:rPr>
              <w:t>286.5</w:t>
            </w:r>
          </w:p>
        </w:tc>
        <w:tc>
          <w:tcPr>
            <w:tcW w:w="717" w:type="dxa"/>
            <w:shd w:val="clear" w:color="auto" w:fill="FFFFFF" w:themeFill="background1"/>
            <w:noWrap/>
            <w:vAlign w:val="center"/>
            <w:hideMark/>
          </w:tcPr>
          <w:p w14:paraId="0FAFFD17" w14:textId="77777777" w:rsidR="0056785D" w:rsidRPr="005F5DD9" w:rsidRDefault="0056785D" w:rsidP="00B52762">
            <w:pPr>
              <w:pStyle w:val="ExhibitText"/>
              <w:jc w:val="right"/>
              <w:rPr>
                <w:iCs/>
                <w:sz w:val="19"/>
                <w:szCs w:val="19"/>
                <w:lang w:val="en-GB"/>
              </w:rPr>
            </w:pPr>
            <w:r w:rsidRPr="005F5DD9">
              <w:rPr>
                <w:iCs/>
                <w:sz w:val="19"/>
                <w:szCs w:val="19"/>
                <w:lang w:val="en-GB"/>
              </w:rPr>
              <w:t>299.5</w:t>
            </w:r>
          </w:p>
        </w:tc>
        <w:tc>
          <w:tcPr>
            <w:tcW w:w="717" w:type="dxa"/>
            <w:shd w:val="clear" w:color="auto" w:fill="FFFFFF" w:themeFill="background1"/>
            <w:noWrap/>
            <w:vAlign w:val="center"/>
            <w:hideMark/>
          </w:tcPr>
          <w:p w14:paraId="6D8D0311" w14:textId="77777777" w:rsidR="0056785D" w:rsidRPr="005F5DD9" w:rsidRDefault="0056785D" w:rsidP="00B52762">
            <w:pPr>
              <w:pStyle w:val="ExhibitText"/>
              <w:jc w:val="right"/>
              <w:rPr>
                <w:iCs/>
                <w:sz w:val="19"/>
                <w:szCs w:val="19"/>
                <w:lang w:val="en-GB"/>
              </w:rPr>
            </w:pPr>
            <w:r w:rsidRPr="005F5DD9">
              <w:rPr>
                <w:iCs/>
                <w:sz w:val="19"/>
                <w:szCs w:val="19"/>
                <w:lang w:val="en-GB"/>
              </w:rPr>
              <w:t>315.7</w:t>
            </w:r>
          </w:p>
        </w:tc>
        <w:tc>
          <w:tcPr>
            <w:tcW w:w="717" w:type="dxa"/>
            <w:shd w:val="clear" w:color="auto" w:fill="FFFFFF" w:themeFill="background1"/>
            <w:noWrap/>
            <w:vAlign w:val="center"/>
            <w:hideMark/>
          </w:tcPr>
          <w:p w14:paraId="55BB875B" w14:textId="77777777" w:rsidR="0056785D" w:rsidRPr="005F5DD9" w:rsidRDefault="0056785D" w:rsidP="00B52762">
            <w:pPr>
              <w:pStyle w:val="ExhibitText"/>
              <w:jc w:val="right"/>
              <w:rPr>
                <w:iCs/>
                <w:sz w:val="19"/>
                <w:szCs w:val="19"/>
                <w:lang w:val="en-GB"/>
              </w:rPr>
            </w:pPr>
            <w:r w:rsidRPr="005F5DD9">
              <w:rPr>
                <w:iCs/>
                <w:sz w:val="19"/>
                <w:szCs w:val="19"/>
                <w:lang w:val="en-GB"/>
              </w:rPr>
              <w:t>332.8</w:t>
            </w:r>
          </w:p>
        </w:tc>
        <w:tc>
          <w:tcPr>
            <w:tcW w:w="717" w:type="dxa"/>
            <w:shd w:val="clear" w:color="auto" w:fill="FFFFFF" w:themeFill="background1"/>
            <w:noWrap/>
            <w:vAlign w:val="center"/>
            <w:hideMark/>
          </w:tcPr>
          <w:p w14:paraId="1644825B" w14:textId="32C4AF1F" w:rsidR="0056785D" w:rsidRPr="005F5DD9" w:rsidRDefault="0056785D" w:rsidP="00B52762">
            <w:pPr>
              <w:pStyle w:val="ExhibitText"/>
              <w:jc w:val="right"/>
              <w:rPr>
                <w:iCs/>
                <w:sz w:val="19"/>
                <w:szCs w:val="19"/>
                <w:lang w:val="en-GB"/>
              </w:rPr>
            </w:pPr>
            <w:r w:rsidRPr="005F5DD9">
              <w:rPr>
                <w:iCs/>
                <w:sz w:val="19"/>
                <w:szCs w:val="19"/>
                <w:lang w:val="en-GB"/>
              </w:rPr>
              <w:t>352</w:t>
            </w:r>
            <w:r w:rsidR="00BA7E76" w:rsidRPr="005F5DD9">
              <w:rPr>
                <w:iCs/>
                <w:sz w:val="19"/>
                <w:szCs w:val="19"/>
                <w:lang w:val="en-GB"/>
              </w:rPr>
              <w:t>.0</w:t>
            </w:r>
          </w:p>
        </w:tc>
        <w:tc>
          <w:tcPr>
            <w:tcW w:w="717" w:type="dxa"/>
            <w:shd w:val="clear" w:color="auto" w:fill="FFFFFF" w:themeFill="background1"/>
            <w:noWrap/>
            <w:vAlign w:val="center"/>
            <w:hideMark/>
          </w:tcPr>
          <w:p w14:paraId="5D499DCC" w14:textId="77777777" w:rsidR="0056785D" w:rsidRPr="005F5DD9" w:rsidRDefault="0056785D" w:rsidP="00B52762">
            <w:pPr>
              <w:pStyle w:val="ExhibitText"/>
              <w:jc w:val="right"/>
              <w:rPr>
                <w:iCs/>
                <w:sz w:val="19"/>
                <w:szCs w:val="19"/>
                <w:lang w:val="en-GB"/>
              </w:rPr>
            </w:pPr>
            <w:r w:rsidRPr="005F5DD9">
              <w:rPr>
                <w:iCs/>
                <w:sz w:val="19"/>
                <w:szCs w:val="19"/>
                <w:lang w:val="en-GB"/>
              </w:rPr>
              <w:t>372.3</w:t>
            </w:r>
          </w:p>
        </w:tc>
      </w:tr>
    </w:tbl>
    <w:p w14:paraId="08BA5DDE" w14:textId="77777777" w:rsidR="00207A5A" w:rsidRPr="007C17BD" w:rsidRDefault="00207A5A" w:rsidP="00207A5A">
      <w:pPr>
        <w:pStyle w:val="Footnote"/>
        <w:rPr>
          <w:lang w:val="en-GB"/>
        </w:rPr>
      </w:pPr>
    </w:p>
    <w:p w14:paraId="2362BA72" w14:textId="1D977BC9" w:rsidR="00DC51BA" w:rsidRPr="007C17BD" w:rsidRDefault="00DC51BA" w:rsidP="00207A5A">
      <w:pPr>
        <w:pStyle w:val="Footnote"/>
        <w:rPr>
          <w:lang w:val="en-GB"/>
        </w:rPr>
      </w:pPr>
      <w:r w:rsidRPr="007C17BD">
        <w:rPr>
          <w:lang w:val="en-GB"/>
        </w:rPr>
        <w:t>Note: Figures in italics are estimates.</w:t>
      </w:r>
    </w:p>
    <w:p w14:paraId="2565159A" w14:textId="57AD517B" w:rsidR="0056785D" w:rsidRPr="007C17BD" w:rsidRDefault="00DC51BA" w:rsidP="00207A5A">
      <w:pPr>
        <w:pStyle w:val="Footnote"/>
        <w:rPr>
          <w:lang w:val="en-GB"/>
        </w:rPr>
      </w:pPr>
      <w:r w:rsidRPr="007C17BD">
        <w:rPr>
          <w:lang w:val="en-GB"/>
        </w:rPr>
        <w:t xml:space="preserve">Source: </w:t>
      </w:r>
      <w:r w:rsidR="003B7DFC">
        <w:rPr>
          <w:lang w:val="en-GB"/>
        </w:rPr>
        <w:t>“</w:t>
      </w:r>
      <w:r w:rsidR="000D5136" w:rsidRPr="007C17BD">
        <w:rPr>
          <w:lang w:val="en-GB"/>
        </w:rPr>
        <w:t xml:space="preserve">Skin Care </w:t>
      </w:r>
      <w:r w:rsidR="009A05E2" w:rsidRPr="007C17BD">
        <w:rPr>
          <w:lang w:val="en-GB"/>
        </w:rPr>
        <w:t>Size: Historical and Forecast</w:t>
      </w:r>
      <w:r w:rsidR="000D5136" w:rsidRPr="007C17BD">
        <w:rPr>
          <w:lang w:val="en-GB"/>
        </w:rPr>
        <w:t>—</w:t>
      </w:r>
      <w:r w:rsidR="009A05E2" w:rsidRPr="007C17BD">
        <w:rPr>
          <w:lang w:val="en-GB"/>
        </w:rPr>
        <w:t>Middle East,</w:t>
      </w:r>
      <w:r w:rsidR="003B7DFC">
        <w:rPr>
          <w:lang w:val="en-GB"/>
        </w:rPr>
        <w:t>”</w:t>
      </w:r>
      <w:r w:rsidR="009A05E2" w:rsidRPr="007C17BD">
        <w:rPr>
          <w:lang w:val="en-GB"/>
        </w:rPr>
        <w:t xml:space="preserve"> </w:t>
      </w:r>
      <w:proofErr w:type="spellStart"/>
      <w:r w:rsidR="009A05E2" w:rsidRPr="007C17BD">
        <w:rPr>
          <w:lang w:val="en-GB"/>
        </w:rPr>
        <w:t>Euromonitor</w:t>
      </w:r>
      <w:proofErr w:type="spellEnd"/>
      <w:r w:rsidR="009A05E2" w:rsidRPr="007C17BD">
        <w:rPr>
          <w:lang w:val="en-GB"/>
        </w:rPr>
        <w:t xml:space="preserve"> Passport Database, March 11, 2017. </w:t>
      </w:r>
    </w:p>
    <w:p w14:paraId="4A74B61D" w14:textId="77777777" w:rsidR="00DC51BA" w:rsidRPr="007C17BD" w:rsidRDefault="00DC51BA" w:rsidP="000D5136">
      <w:pPr>
        <w:pStyle w:val="BodyTextMain"/>
        <w:rPr>
          <w:lang w:val="en-GB"/>
        </w:rPr>
      </w:pPr>
    </w:p>
    <w:p w14:paraId="27B1875D" w14:textId="77777777" w:rsidR="00177565" w:rsidRPr="007C17BD" w:rsidRDefault="00177565" w:rsidP="000D5136">
      <w:pPr>
        <w:pStyle w:val="BodyTextMain"/>
        <w:rPr>
          <w:lang w:val="en-GB"/>
        </w:rPr>
      </w:pPr>
    </w:p>
    <w:p w14:paraId="6BAA4225" w14:textId="7ECD3034" w:rsidR="00DC51BA" w:rsidRPr="007C17BD" w:rsidRDefault="00DC51BA" w:rsidP="00177565">
      <w:pPr>
        <w:pStyle w:val="ExhibitHeading"/>
        <w:rPr>
          <w:color w:val="000000" w:themeColor="text1"/>
          <w:lang w:val="en-GB"/>
        </w:rPr>
      </w:pPr>
      <w:r w:rsidRPr="007C17BD">
        <w:rPr>
          <w:lang w:val="en-GB"/>
        </w:rPr>
        <w:t xml:space="preserve">Exhibit </w:t>
      </w:r>
      <w:r w:rsidR="002C267C" w:rsidRPr="007C17BD">
        <w:rPr>
          <w:lang w:val="en-GB"/>
        </w:rPr>
        <w:t>8</w:t>
      </w:r>
      <w:r w:rsidRPr="007C17BD">
        <w:rPr>
          <w:lang w:val="en-GB"/>
        </w:rPr>
        <w:t>: forecasted growth of the skin care market in Saudi arabia and the united arab emirates, 201</w:t>
      </w:r>
      <w:r w:rsidR="003F48DE" w:rsidRPr="007C17BD">
        <w:rPr>
          <w:lang w:val="en-GB"/>
        </w:rPr>
        <w:t>5</w:t>
      </w:r>
      <w:r w:rsidRPr="007C17BD">
        <w:rPr>
          <w:lang w:val="en-GB"/>
        </w:rPr>
        <w:t xml:space="preserve">–2020 (in </w:t>
      </w:r>
      <w:r w:rsidR="003F48DE" w:rsidRPr="007C17BD">
        <w:rPr>
          <w:lang w:val="en-GB"/>
        </w:rPr>
        <w:t>percentages</w:t>
      </w:r>
      <w:r w:rsidRPr="007C17BD">
        <w:rPr>
          <w:lang w:val="en-GB"/>
        </w:rPr>
        <w:t>)</w:t>
      </w:r>
    </w:p>
    <w:p w14:paraId="7095B11C" w14:textId="77777777" w:rsidR="004F1BA1" w:rsidRPr="007C17BD" w:rsidRDefault="004F1BA1" w:rsidP="004F1BA1">
      <w:pPr>
        <w:pStyle w:val="Casehead2"/>
        <w:rPr>
          <w:color w:val="000000" w:themeColor="text1"/>
          <w:lang w:val="en-GB"/>
        </w:rPr>
      </w:pPr>
    </w:p>
    <w:tbl>
      <w:tblPr>
        <w:tblW w:w="747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ook w:val="04A0" w:firstRow="1" w:lastRow="0" w:firstColumn="1" w:lastColumn="0" w:noHBand="0" w:noVBand="1"/>
      </w:tblPr>
      <w:tblGrid>
        <w:gridCol w:w="2345"/>
        <w:gridCol w:w="1251"/>
        <w:gridCol w:w="1942"/>
        <w:gridCol w:w="1941"/>
      </w:tblGrid>
      <w:tr w:rsidR="0056785D" w:rsidRPr="007C17BD" w14:paraId="4C71676A" w14:textId="77777777" w:rsidTr="00177565">
        <w:trPr>
          <w:trHeight w:val="255"/>
          <w:jc w:val="center"/>
        </w:trPr>
        <w:tc>
          <w:tcPr>
            <w:tcW w:w="2345" w:type="dxa"/>
            <w:shd w:val="clear" w:color="auto" w:fill="FFFFFF" w:themeFill="background1"/>
            <w:noWrap/>
            <w:vAlign w:val="center"/>
            <w:hideMark/>
          </w:tcPr>
          <w:p w14:paraId="39B8618E" w14:textId="77777777" w:rsidR="0056785D" w:rsidRPr="007C17BD" w:rsidRDefault="0056785D" w:rsidP="00D7761B">
            <w:pPr>
              <w:pStyle w:val="ExhibitText"/>
              <w:rPr>
                <w:b/>
                <w:lang w:val="en-GB"/>
              </w:rPr>
            </w:pPr>
            <w:r w:rsidRPr="007C17BD">
              <w:rPr>
                <w:b/>
                <w:lang w:val="en-GB"/>
              </w:rPr>
              <w:t>Geographies</w:t>
            </w:r>
          </w:p>
        </w:tc>
        <w:tc>
          <w:tcPr>
            <w:tcW w:w="1251" w:type="dxa"/>
            <w:shd w:val="clear" w:color="auto" w:fill="FFFFFF" w:themeFill="background1"/>
            <w:noWrap/>
            <w:vAlign w:val="center"/>
            <w:hideMark/>
          </w:tcPr>
          <w:p w14:paraId="71834B17" w14:textId="2E26A58A" w:rsidR="0056785D" w:rsidRPr="007C17BD" w:rsidRDefault="0056785D" w:rsidP="003F48DE">
            <w:pPr>
              <w:pStyle w:val="ExhibitText"/>
              <w:rPr>
                <w:b/>
                <w:lang w:val="en-GB"/>
              </w:rPr>
            </w:pPr>
            <w:r w:rsidRPr="007C17BD">
              <w:rPr>
                <w:b/>
                <w:lang w:val="en-GB"/>
              </w:rPr>
              <w:t>2015</w:t>
            </w:r>
            <w:r w:rsidR="003F48DE" w:rsidRPr="007C17BD">
              <w:rPr>
                <w:b/>
                <w:lang w:val="en-GB"/>
              </w:rPr>
              <w:t>–</w:t>
            </w:r>
            <w:r w:rsidRPr="007C17BD">
              <w:rPr>
                <w:b/>
                <w:lang w:val="en-GB"/>
              </w:rPr>
              <w:t>20 %</w:t>
            </w:r>
          </w:p>
        </w:tc>
        <w:tc>
          <w:tcPr>
            <w:tcW w:w="1942" w:type="dxa"/>
            <w:shd w:val="clear" w:color="auto" w:fill="FFFFFF" w:themeFill="background1"/>
            <w:noWrap/>
            <w:vAlign w:val="center"/>
            <w:hideMark/>
          </w:tcPr>
          <w:p w14:paraId="54E4AEA2" w14:textId="739CA33C" w:rsidR="0056785D" w:rsidRPr="007C17BD" w:rsidRDefault="0056785D" w:rsidP="003F48DE">
            <w:pPr>
              <w:pStyle w:val="ExhibitText"/>
              <w:rPr>
                <w:b/>
                <w:lang w:val="en-GB"/>
              </w:rPr>
            </w:pPr>
            <w:r w:rsidRPr="007C17BD">
              <w:rPr>
                <w:b/>
                <w:lang w:val="en-GB"/>
              </w:rPr>
              <w:t>2015</w:t>
            </w:r>
            <w:r w:rsidR="003F48DE" w:rsidRPr="007C17BD">
              <w:rPr>
                <w:b/>
                <w:lang w:val="en-GB"/>
              </w:rPr>
              <w:t>–</w:t>
            </w:r>
            <w:r w:rsidRPr="007C17BD">
              <w:rPr>
                <w:b/>
                <w:lang w:val="en-GB"/>
              </w:rPr>
              <w:t>20 CAGR %</w:t>
            </w:r>
          </w:p>
        </w:tc>
        <w:tc>
          <w:tcPr>
            <w:tcW w:w="1941" w:type="dxa"/>
            <w:shd w:val="clear" w:color="auto" w:fill="FFFFFF" w:themeFill="background1"/>
            <w:noWrap/>
            <w:vAlign w:val="center"/>
            <w:hideMark/>
          </w:tcPr>
          <w:p w14:paraId="640C71AA" w14:textId="5B2F1E98" w:rsidR="0056785D" w:rsidRPr="007C17BD" w:rsidRDefault="0056785D" w:rsidP="003F48DE">
            <w:pPr>
              <w:pStyle w:val="ExhibitText"/>
              <w:rPr>
                <w:b/>
                <w:lang w:val="en-GB"/>
              </w:rPr>
            </w:pPr>
            <w:r w:rsidRPr="007C17BD">
              <w:rPr>
                <w:b/>
                <w:lang w:val="en-GB"/>
              </w:rPr>
              <w:t>2015</w:t>
            </w:r>
            <w:r w:rsidR="003F48DE" w:rsidRPr="007C17BD">
              <w:rPr>
                <w:b/>
                <w:lang w:val="en-GB"/>
              </w:rPr>
              <w:t>–</w:t>
            </w:r>
            <w:r w:rsidRPr="007C17BD">
              <w:rPr>
                <w:b/>
                <w:lang w:val="en-GB"/>
              </w:rPr>
              <w:t>20 Absolute</w:t>
            </w:r>
          </w:p>
        </w:tc>
      </w:tr>
      <w:tr w:rsidR="0056785D" w:rsidRPr="007C17BD" w14:paraId="229A8723" w14:textId="77777777" w:rsidTr="00177565">
        <w:trPr>
          <w:trHeight w:val="255"/>
          <w:jc w:val="center"/>
        </w:trPr>
        <w:tc>
          <w:tcPr>
            <w:tcW w:w="2345" w:type="dxa"/>
            <w:shd w:val="clear" w:color="auto" w:fill="FFFFFF" w:themeFill="background1"/>
            <w:noWrap/>
            <w:vAlign w:val="center"/>
            <w:hideMark/>
          </w:tcPr>
          <w:p w14:paraId="3599337C" w14:textId="77777777" w:rsidR="0056785D" w:rsidRPr="007C17BD" w:rsidRDefault="0056785D" w:rsidP="00D7761B">
            <w:pPr>
              <w:pStyle w:val="ExhibitText"/>
              <w:rPr>
                <w:lang w:val="en-GB"/>
              </w:rPr>
            </w:pPr>
            <w:r w:rsidRPr="007C17BD">
              <w:rPr>
                <w:lang w:val="en-GB"/>
              </w:rPr>
              <w:t>Saudi Arabia</w:t>
            </w:r>
          </w:p>
        </w:tc>
        <w:tc>
          <w:tcPr>
            <w:tcW w:w="1251" w:type="dxa"/>
            <w:shd w:val="clear" w:color="auto" w:fill="FFFFFF" w:themeFill="background1"/>
            <w:noWrap/>
            <w:vAlign w:val="center"/>
            <w:hideMark/>
          </w:tcPr>
          <w:p w14:paraId="5158FE0D" w14:textId="77777777" w:rsidR="0056785D" w:rsidRPr="007C17BD" w:rsidRDefault="0056785D" w:rsidP="00B52762">
            <w:pPr>
              <w:pStyle w:val="ExhibitText"/>
              <w:tabs>
                <w:tab w:val="decimal" w:pos="576"/>
              </w:tabs>
              <w:jc w:val="right"/>
              <w:rPr>
                <w:lang w:val="en-GB"/>
              </w:rPr>
            </w:pPr>
            <w:r w:rsidRPr="007C17BD">
              <w:rPr>
                <w:lang w:val="en-GB"/>
              </w:rPr>
              <w:t>42.7</w:t>
            </w:r>
          </w:p>
        </w:tc>
        <w:tc>
          <w:tcPr>
            <w:tcW w:w="1942" w:type="dxa"/>
            <w:shd w:val="clear" w:color="auto" w:fill="FFFFFF" w:themeFill="background1"/>
            <w:noWrap/>
            <w:vAlign w:val="center"/>
            <w:hideMark/>
          </w:tcPr>
          <w:p w14:paraId="5E17290A" w14:textId="77777777" w:rsidR="0056785D" w:rsidRPr="007C17BD" w:rsidRDefault="0056785D" w:rsidP="00B52762">
            <w:pPr>
              <w:pStyle w:val="ExhibitText"/>
              <w:tabs>
                <w:tab w:val="decimal" w:pos="924"/>
              </w:tabs>
              <w:jc w:val="right"/>
              <w:rPr>
                <w:lang w:val="en-GB"/>
              </w:rPr>
            </w:pPr>
            <w:r w:rsidRPr="007C17BD">
              <w:rPr>
                <w:lang w:val="en-GB"/>
              </w:rPr>
              <w:t>7.4</w:t>
            </w:r>
          </w:p>
        </w:tc>
        <w:tc>
          <w:tcPr>
            <w:tcW w:w="1941" w:type="dxa"/>
            <w:shd w:val="clear" w:color="auto" w:fill="FFFFFF" w:themeFill="background1"/>
            <w:noWrap/>
            <w:vAlign w:val="center"/>
            <w:hideMark/>
          </w:tcPr>
          <w:p w14:paraId="398E4930" w14:textId="77777777" w:rsidR="0056785D" w:rsidRPr="007C17BD" w:rsidRDefault="0056785D" w:rsidP="00B52762">
            <w:pPr>
              <w:pStyle w:val="ExhibitText"/>
              <w:tabs>
                <w:tab w:val="decimal" w:pos="927"/>
              </w:tabs>
              <w:jc w:val="right"/>
              <w:rPr>
                <w:lang w:val="en-GB"/>
              </w:rPr>
            </w:pPr>
            <w:r w:rsidRPr="007C17BD">
              <w:rPr>
                <w:lang w:val="en-GB"/>
              </w:rPr>
              <w:t>291.2</w:t>
            </w:r>
          </w:p>
        </w:tc>
      </w:tr>
      <w:tr w:rsidR="0056785D" w:rsidRPr="007C17BD" w14:paraId="7EEDC839" w14:textId="77777777" w:rsidTr="00177565">
        <w:trPr>
          <w:trHeight w:val="255"/>
          <w:jc w:val="center"/>
        </w:trPr>
        <w:tc>
          <w:tcPr>
            <w:tcW w:w="2345" w:type="dxa"/>
            <w:shd w:val="clear" w:color="auto" w:fill="FFFFFF" w:themeFill="background1"/>
            <w:noWrap/>
            <w:vAlign w:val="center"/>
            <w:hideMark/>
          </w:tcPr>
          <w:p w14:paraId="1D3F153F" w14:textId="77777777" w:rsidR="0056785D" w:rsidRPr="007C17BD" w:rsidRDefault="0056785D" w:rsidP="00D7761B">
            <w:pPr>
              <w:pStyle w:val="ExhibitText"/>
              <w:rPr>
                <w:lang w:val="en-GB"/>
              </w:rPr>
            </w:pPr>
            <w:r w:rsidRPr="007C17BD">
              <w:rPr>
                <w:lang w:val="en-GB"/>
              </w:rPr>
              <w:t>United Arab Emirates</w:t>
            </w:r>
          </w:p>
        </w:tc>
        <w:tc>
          <w:tcPr>
            <w:tcW w:w="1251" w:type="dxa"/>
            <w:shd w:val="clear" w:color="auto" w:fill="FFFFFF" w:themeFill="background1"/>
            <w:noWrap/>
            <w:vAlign w:val="center"/>
            <w:hideMark/>
          </w:tcPr>
          <w:p w14:paraId="181EC8F6" w14:textId="77777777" w:rsidR="0056785D" w:rsidRPr="007C17BD" w:rsidRDefault="0056785D" w:rsidP="00B52762">
            <w:pPr>
              <w:pStyle w:val="ExhibitText"/>
              <w:tabs>
                <w:tab w:val="decimal" w:pos="576"/>
              </w:tabs>
              <w:jc w:val="right"/>
              <w:rPr>
                <w:lang w:val="en-GB"/>
              </w:rPr>
            </w:pPr>
            <w:r w:rsidRPr="007C17BD">
              <w:rPr>
                <w:lang w:val="en-GB"/>
              </w:rPr>
              <w:t>29.9</w:t>
            </w:r>
          </w:p>
        </w:tc>
        <w:tc>
          <w:tcPr>
            <w:tcW w:w="1942" w:type="dxa"/>
            <w:shd w:val="clear" w:color="auto" w:fill="FFFFFF" w:themeFill="background1"/>
            <w:noWrap/>
            <w:vAlign w:val="center"/>
            <w:hideMark/>
          </w:tcPr>
          <w:p w14:paraId="70104C3F" w14:textId="77777777" w:rsidR="0056785D" w:rsidRPr="007C17BD" w:rsidRDefault="0056785D" w:rsidP="00B52762">
            <w:pPr>
              <w:pStyle w:val="ExhibitText"/>
              <w:tabs>
                <w:tab w:val="decimal" w:pos="924"/>
              </w:tabs>
              <w:jc w:val="right"/>
              <w:rPr>
                <w:lang w:val="en-GB"/>
              </w:rPr>
            </w:pPr>
            <w:r w:rsidRPr="007C17BD">
              <w:rPr>
                <w:lang w:val="en-GB"/>
              </w:rPr>
              <w:t>5.4</w:t>
            </w:r>
          </w:p>
        </w:tc>
        <w:tc>
          <w:tcPr>
            <w:tcW w:w="1941" w:type="dxa"/>
            <w:shd w:val="clear" w:color="auto" w:fill="FFFFFF" w:themeFill="background1"/>
            <w:noWrap/>
            <w:vAlign w:val="center"/>
            <w:hideMark/>
          </w:tcPr>
          <w:p w14:paraId="3C4A06A5" w14:textId="77777777" w:rsidR="0056785D" w:rsidRPr="007C17BD" w:rsidRDefault="0056785D" w:rsidP="00B52762">
            <w:pPr>
              <w:pStyle w:val="ExhibitText"/>
              <w:tabs>
                <w:tab w:val="decimal" w:pos="927"/>
              </w:tabs>
              <w:jc w:val="right"/>
              <w:rPr>
                <w:lang w:val="en-GB"/>
              </w:rPr>
            </w:pPr>
            <w:r w:rsidRPr="007C17BD">
              <w:rPr>
                <w:lang w:val="en-GB"/>
              </w:rPr>
              <w:t>85.8</w:t>
            </w:r>
          </w:p>
        </w:tc>
      </w:tr>
    </w:tbl>
    <w:p w14:paraId="03271C36" w14:textId="77777777" w:rsidR="0056785D" w:rsidRPr="007C17BD" w:rsidRDefault="0056785D" w:rsidP="00D7761B">
      <w:pPr>
        <w:pStyle w:val="Footnote"/>
        <w:rPr>
          <w:lang w:val="en-GB"/>
        </w:rPr>
      </w:pPr>
    </w:p>
    <w:p w14:paraId="38C1A849" w14:textId="50560ED1" w:rsidR="003F48DE" w:rsidRPr="007C17BD" w:rsidRDefault="003F48DE" w:rsidP="00D7761B">
      <w:pPr>
        <w:pStyle w:val="Footnote"/>
        <w:rPr>
          <w:lang w:val="en-GB"/>
        </w:rPr>
      </w:pPr>
      <w:r w:rsidRPr="007C17BD">
        <w:rPr>
          <w:lang w:val="en-GB"/>
        </w:rPr>
        <w:t>Note: CAGR = compound annual growth rate</w:t>
      </w:r>
    </w:p>
    <w:p w14:paraId="0E71ED81" w14:textId="535A2034" w:rsidR="0056785D" w:rsidRPr="007C17BD" w:rsidRDefault="00D7761B" w:rsidP="00D7761B">
      <w:pPr>
        <w:pStyle w:val="Footnote"/>
        <w:rPr>
          <w:lang w:val="en-GB"/>
        </w:rPr>
      </w:pPr>
      <w:r w:rsidRPr="007C17BD">
        <w:rPr>
          <w:lang w:val="en-GB"/>
        </w:rPr>
        <w:t xml:space="preserve">Source: </w:t>
      </w:r>
      <w:r w:rsidR="003B7DFC">
        <w:rPr>
          <w:lang w:val="en-GB"/>
        </w:rPr>
        <w:t>“</w:t>
      </w:r>
      <w:r w:rsidR="000D5136" w:rsidRPr="007C17BD">
        <w:rPr>
          <w:lang w:val="en-GB"/>
        </w:rPr>
        <w:t xml:space="preserve">Skin Care </w:t>
      </w:r>
      <w:r w:rsidR="009A05E2" w:rsidRPr="007C17BD">
        <w:rPr>
          <w:lang w:val="en-GB"/>
        </w:rPr>
        <w:t xml:space="preserve">Growth: </w:t>
      </w:r>
      <w:r w:rsidR="008B7783" w:rsidRPr="007C17BD">
        <w:rPr>
          <w:lang w:val="en-GB"/>
        </w:rPr>
        <w:t>Forecast</w:t>
      </w:r>
      <w:r w:rsidR="000D5136" w:rsidRPr="007C17BD">
        <w:rPr>
          <w:lang w:val="en-GB"/>
        </w:rPr>
        <w:t>—</w:t>
      </w:r>
      <w:r w:rsidR="008B7783" w:rsidRPr="007C17BD">
        <w:rPr>
          <w:lang w:val="en-GB"/>
        </w:rPr>
        <w:t>Middle East,</w:t>
      </w:r>
      <w:r w:rsidR="003B7DFC">
        <w:rPr>
          <w:lang w:val="en-GB"/>
        </w:rPr>
        <w:t>”</w:t>
      </w:r>
      <w:r w:rsidR="008B7783" w:rsidRPr="007C17BD">
        <w:rPr>
          <w:lang w:val="en-GB"/>
        </w:rPr>
        <w:t xml:space="preserve"> </w:t>
      </w:r>
      <w:proofErr w:type="spellStart"/>
      <w:r w:rsidR="008B7783" w:rsidRPr="007C17BD">
        <w:rPr>
          <w:lang w:val="en-GB"/>
        </w:rPr>
        <w:t>Euromonitor</w:t>
      </w:r>
      <w:proofErr w:type="spellEnd"/>
      <w:r w:rsidR="008B7783" w:rsidRPr="007C17BD">
        <w:rPr>
          <w:lang w:val="en-GB"/>
        </w:rPr>
        <w:t xml:space="preserve"> Passport Database, March 11, 2017</w:t>
      </w:r>
      <w:r w:rsidR="00426DDA" w:rsidRPr="007C17BD">
        <w:rPr>
          <w:lang w:val="en-GB"/>
        </w:rPr>
        <w:t>.</w:t>
      </w:r>
    </w:p>
    <w:p w14:paraId="79B37BDC" w14:textId="77777777" w:rsidR="00426DDA" w:rsidRPr="007C17BD" w:rsidRDefault="00426DDA" w:rsidP="000D5136">
      <w:pPr>
        <w:pStyle w:val="Footnote"/>
        <w:rPr>
          <w:lang w:val="en-GB"/>
        </w:rPr>
      </w:pPr>
    </w:p>
    <w:p w14:paraId="75A3AA0B" w14:textId="77777777" w:rsidR="00426DDA" w:rsidRPr="007C17BD" w:rsidRDefault="00426DDA" w:rsidP="000D5136">
      <w:pPr>
        <w:pStyle w:val="Footnote"/>
        <w:rPr>
          <w:lang w:val="en-GB"/>
        </w:rPr>
      </w:pPr>
    </w:p>
    <w:p w14:paraId="006F6BB8" w14:textId="77777777" w:rsidR="00B45088" w:rsidRPr="007C17BD" w:rsidRDefault="00A46C24" w:rsidP="00426DDA">
      <w:pPr>
        <w:pStyle w:val="Casehead1"/>
        <w:rPr>
          <w:lang w:val="en-GB"/>
        </w:rPr>
      </w:pPr>
      <w:r w:rsidRPr="007C17BD">
        <w:rPr>
          <w:lang w:val="en-GB"/>
        </w:rPr>
        <w:t xml:space="preserve">Endnotes </w:t>
      </w:r>
    </w:p>
    <w:sectPr w:rsidR="00B45088" w:rsidRPr="007C17BD" w:rsidSect="00EB5410">
      <w:headerReference w:type="default" r:id="rId14"/>
      <w:endnotePr>
        <w:numFmt w:val="decimal"/>
      </w:endnotePr>
      <w:pgSz w:w="12240" w:h="15840"/>
      <w:pgMar w:top="1080" w:right="1440" w:bottom="1440" w:left="1440" w:header="108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E8192D5" w14:textId="77777777" w:rsidR="00B52762" w:rsidRDefault="00B52762" w:rsidP="00D75295">
      <w:r>
        <w:separator/>
      </w:r>
    </w:p>
  </w:endnote>
  <w:endnote w:type="continuationSeparator" w:id="0">
    <w:p w14:paraId="7F4F4D49" w14:textId="77777777" w:rsidR="00B52762" w:rsidRDefault="00B52762" w:rsidP="00D75295">
      <w:r>
        <w:continuationSeparator/>
      </w:r>
    </w:p>
  </w:endnote>
  <w:endnote w:id="1">
    <w:p w14:paraId="5F89D7BC" w14:textId="53302896" w:rsidR="00B52762" w:rsidRPr="00AC4190" w:rsidRDefault="00B52762" w:rsidP="001954DE">
      <w:pPr>
        <w:pStyle w:val="Footnote"/>
      </w:pPr>
      <w:r w:rsidRPr="00AC4190">
        <w:rPr>
          <w:rStyle w:val="EndnoteReference"/>
        </w:rPr>
        <w:endnoteRef/>
      </w:r>
      <w:r w:rsidRPr="00AC4190">
        <w:t xml:space="preserve"> This case has been written on the basis of published sources only. Consequently, the interpretation and perspectives presented in the case are not necessarily those of Kaya</w:t>
      </w:r>
      <w:r w:rsidR="003208FA">
        <w:t xml:space="preserve"> Skin Clinic</w:t>
      </w:r>
      <w:r w:rsidRPr="00AC4190">
        <w:t xml:space="preserve"> or any of its employees.</w:t>
      </w:r>
    </w:p>
  </w:endnote>
  <w:endnote w:id="2">
    <w:p w14:paraId="4626354B" w14:textId="7991DCA1" w:rsidR="00B52762" w:rsidRPr="00177565" w:rsidRDefault="00B52762" w:rsidP="001954DE">
      <w:pPr>
        <w:pStyle w:val="Footnote"/>
        <w:rPr>
          <w:b/>
        </w:rPr>
      </w:pPr>
      <w:r w:rsidRPr="00AC4190">
        <w:rPr>
          <w:rStyle w:val="EndnoteReference"/>
        </w:rPr>
        <w:endnoteRef/>
      </w:r>
      <w:r w:rsidRPr="00AC4190">
        <w:t xml:space="preserve"> </w:t>
      </w:r>
      <w:r>
        <w:t xml:space="preserve">Kaya Skin Clinic, </w:t>
      </w:r>
      <w:r w:rsidR="003B7DFC">
        <w:rPr>
          <w:color w:val="000000" w:themeColor="text1"/>
        </w:rPr>
        <w:t>“</w:t>
      </w:r>
      <w:r w:rsidRPr="00AC4190">
        <w:rPr>
          <w:color w:val="000000" w:themeColor="text1"/>
        </w:rPr>
        <w:t>About Kaya</w:t>
      </w:r>
      <w:r w:rsidRPr="00F54E9C">
        <w:rPr>
          <w:color w:val="000000" w:themeColor="text1"/>
        </w:rPr>
        <w:t>,</w:t>
      </w:r>
      <w:r w:rsidR="003B7DFC">
        <w:rPr>
          <w:color w:val="000000" w:themeColor="text1"/>
        </w:rPr>
        <w:t>”</w:t>
      </w:r>
      <w:r w:rsidRPr="00F54E9C">
        <w:rPr>
          <w:color w:val="000000" w:themeColor="text1"/>
        </w:rPr>
        <w:t xml:space="preserve"> </w:t>
      </w:r>
      <w:r w:rsidRPr="00F54E9C">
        <w:rPr>
          <w:rStyle w:val="HTMLCite"/>
          <w:i w:val="0"/>
          <w:color w:val="000000" w:themeColor="text1"/>
        </w:rPr>
        <w:t xml:space="preserve">accessed </w:t>
      </w:r>
      <w:r w:rsidRPr="006A05E7">
        <w:rPr>
          <w:rStyle w:val="HTMLCite"/>
          <w:i w:val="0"/>
          <w:color w:val="000000" w:themeColor="text1"/>
        </w:rPr>
        <w:t>April 3, 2017,</w:t>
      </w:r>
      <w:r w:rsidRPr="006A05E7">
        <w:rPr>
          <w:color w:val="000000" w:themeColor="text1"/>
        </w:rPr>
        <w:t xml:space="preserve"> </w:t>
      </w:r>
      <w:r w:rsidRPr="00F81BAD">
        <w:rPr>
          <w:color w:val="000000" w:themeColor="text1"/>
        </w:rPr>
        <w:t>www.kayaskinclinic.com/uae/en/about-kaya/</w:t>
      </w:r>
      <w:r w:rsidRPr="00F54E9C">
        <w:rPr>
          <w:rStyle w:val="HTMLCite"/>
          <w:i w:val="0"/>
          <w:color w:val="222222"/>
        </w:rPr>
        <w:t>.</w:t>
      </w:r>
      <w:r>
        <w:rPr>
          <w:rStyle w:val="HTMLCite"/>
          <w:i w:val="0"/>
          <w:color w:val="222222"/>
        </w:rPr>
        <w:t xml:space="preserve"> </w:t>
      </w:r>
    </w:p>
  </w:endnote>
  <w:endnote w:id="3">
    <w:p w14:paraId="67006D6A" w14:textId="77777777" w:rsidR="006B65CC" w:rsidRPr="00AC4190" w:rsidRDefault="006B65CC" w:rsidP="006B65CC">
      <w:pPr>
        <w:pStyle w:val="Footnote"/>
      </w:pPr>
      <w:r w:rsidRPr="00AC4190">
        <w:rPr>
          <w:rStyle w:val="EndnoteReference"/>
        </w:rPr>
        <w:endnoteRef/>
      </w:r>
      <w:r w:rsidRPr="00AC4190">
        <w:t xml:space="preserve"> CRM can be defined as a comprehensive set of processes and technologies for managing relationships with potential and current customers and business partners across marketing, sales, and service, regardless of the communication channel. </w:t>
      </w:r>
    </w:p>
  </w:endnote>
  <w:endnote w:id="4">
    <w:p w14:paraId="69D87FD3" w14:textId="23A2C5D7" w:rsidR="00B52762" w:rsidRPr="00AC4190" w:rsidRDefault="00B52762" w:rsidP="001954DE">
      <w:pPr>
        <w:pStyle w:val="Footnote"/>
      </w:pPr>
      <w:r w:rsidRPr="00AC4190">
        <w:rPr>
          <w:rStyle w:val="EndnoteReference"/>
        </w:rPr>
        <w:endnoteRef/>
      </w:r>
      <w:r w:rsidRPr="00AC4190">
        <w:t xml:space="preserve"> Mary Jo Hatch and </w:t>
      </w:r>
      <w:proofErr w:type="spellStart"/>
      <w:r w:rsidRPr="00AC4190">
        <w:t>Majken</w:t>
      </w:r>
      <w:proofErr w:type="spellEnd"/>
      <w:r w:rsidRPr="00AC4190">
        <w:t xml:space="preserve"> Schultz, </w:t>
      </w:r>
      <w:r w:rsidR="003B7DFC">
        <w:t>“</w:t>
      </w:r>
      <w:r w:rsidRPr="003B7C13">
        <w:t>Are the Strategic Stars Aligned for Your Corporate Brand?</w:t>
      </w:r>
      <w:r w:rsidR="003B7DFC">
        <w:t>”</w:t>
      </w:r>
      <w:r w:rsidRPr="00AC4190">
        <w:t xml:space="preserve"> </w:t>
      </w:r>
      <w:r w:rsidRPr="00177565">
        <w:rPr>
          <w:i/>
        </w:rPr>
        <w:t>Harvard Business Review</w:t>
      </w:r>
      <w:r w:rsidRPr="00AC4190">
        <w:t xml:space="preserve"> 79, no. 2 (2001): 128–134. </w:t>
      </w:r>
      <w:r>
        <w:t xml:space="preserve">Available from Ivey Publishing, product no. </w:t>
      </w:r>
      <w:r w:rsidRPr="00177565">
        <w:t>R0102K</w:t>
      </w:r>
      <w:r>
        <w:t xml:space="preserve">; Kaya Skin Clinic, </w:t>
      </w:r>
      <w:r w:rsidR="003B7DFC">
        <w:t>“</w:t>
      </w:r>
      <w:r w:rsidRPr="00AC4190">
        <w:t xml:space="preserve">We </w:t>
      </w:r>
      <w:r>
        <w:t>A</w:t>
      </w:r>
      <w:r w:rsidRPr="00AC4190">
        <w:t xml:space="preserve">re </w:t>
      </w:r>
      <w:r>
        <w:t>F</w:t>
      </w:r>
      <w:r w:rsidRPr="00AC4190">
        <w:t xml:space="preserve">ocused on </w:t>
      </w:r>
      <w:r>
        <w:t>F</w:t>
      </w:r>
      <w:r w:rsidRPr="00AC4190">
        <w:t>uture</w:t>
      </w:r>
      <w:r>
        <w:t>,</w:t>
      </w:r>
      <w:r w:rsidR="003B7DFC">
        <w:t>”</w:t>
      </w:r>
      <w:r w:rsidRPr="00AC4190">
        <w:t xml:space="preserve"> accessed September</w:t>
      </w:r>
      <w:r>
        <w:t xml:space="preserve"> 20</w:t>
      </w:r>
      <w:r w:rsidRPr="00AC4190">
        <w:t>, 2016, https://www.kaya.in/investors/.</w:t>
      </w:r>
    </w:p>
  </w:endnote>
  <w:endnote w:id="5">
    <w:p w14:paraId="6B436697" w14:textId="2A7B83D2" w:rsidR="00B52762" w:rsidRPr="00177565" w:rsidRDefault="00B52762" w:rsidP="001954DE">
      <w:pPr>
        <w:pStyle w:val="Footnote"/>
        <w:rPr>
          <w:b/>
        </w:rPr>
      </w:pPr>
      <w:r w:rsidRPr="00AC4190">
        <w:rPr>
          <w:rStyle w:val="EndnoteReference"/>
        </w:rPr>
        <w:endnoteRef/>
      </w:r>
      <w:r w:rsidRPr="00AC4190">
        <w:t xml:space="preserve"> </w:t>
      </w:r>
      <w:r>
        <w:t xml:space="preserve">Kaya Skin Clinic, </w:t>
      </w:r>
      <w:r w:rsidR="003B7DFC">
        <w:t>“</w:t>
      </w:r>
      <w:r>
        <w:t>From the Beauty Gurus,</w:t>
      </w:r>
      <w:r w:rsidR="003B7DFC">
        <w:t>”</w:t>
      </w:r>
      <w:r>
        <w:t xml:space="preserve"> </w:t>
      </w:r>
      <w:r w:rsidRPr="00AC4190">
        <w:t>accessed September</w:t>
      </w:r>
      <w:r>
        <w:t xml:space="preserve"> 18</w:t>
      </w:r>
      <w:r w:rsidRPr="00EA60EB">
        <w:t xml:space="preserve">, 2016, </w:t>
      </w:r>
      <w:r w:rsidRPr="00B52762">
        <w:t>www.kayaskinclinic.com/uae/en/from-the-beauty-gurus/</w:t>
      </w:r>
      <w:r>
        <w:t xml:space="preserve">; Kaya Skin Clinic, </w:t>
      </w:r>
      <w:r w:rsidR="003B7DFC">
        <w:t>“</w:t>
      </w:r>
      <w:r>
        <w:rPr>
          <w:color w:val="222222"/>
        </w:rPr>
        <w:t>Kaya Smiles</w:t>
      </w:r>
      <w:r w:rsidRPr="00AC4190">
        <w:rPr>
          <w:color w:val="222222"/>
        </w:rPr>
        <w:t>,</w:t>
      </w:r>
      <w:r w:rsidR="003B7DFC">
        <w:rPr>
          <w:color w:val="222222"/>
        </w:rPr>
        <w:t>”</w:t>
      </w:r>
      <w:r w:rsidRPr="00AC4190">
        <w:t xml:space="preserve"> accessed September</w:t>
      </w:r>
      <w:r>
        <w:t xml:space="preserve"> 18</w:t>
      </w:r>
      <w:r w:rsidRPr="00AC4190">
        <w:t>, 2016,</w:t>
      </w:r>
      <w:r w:rsidRPr="00AC4190">
        <w:rPr>
          <w:color w:val="222222"/>
        </w:rPr>
        <w:t xml:space="preserve"> </w:t>
      </w:r>
      <w:r w:rsidRPr="00177565">
        <w:rPr>
          <w:color w:val="222222"/>
        </w:rPr>
        <w:t>http://smiles.kaya.in/.</w:t>
      </w:r>
    </w:p>
  </w:endnote>
  <w:endnote w:id="6">
    <w:p w14:paraId="22BD911F" w14:textId="17CF69A7" w:rsidR="00B52762" w:rsidRPr="00177565" w:rsidRDefault="00B52762" w:rsidP="007B2184">
      <w:pPr>
        <w:pStyle w:val="Footnote"/>
        <w:rPr>
          <w:b/>
        </w:rPr>
      </w:pPr>
      <w:r w:rsidRPr="00AC4190">
        <w:rPr>
          <w:rStyle w:val="EndnoteReference"/>
        </w:rPr>
        <w:endnoteRef/>
      </w:r>
      <w:r w:rsidRPr="00AC4190">
        <w:t xml:space="preserve"> </w:t>
      </w:r>
      <w:r>
        <w:t xml:space="preserve">Nicole </w:t>
      </w:r>
      <w:proofErr w:type="spellStart"/>
      <w:r>
        <w:t>Tyrimou</w:t>
      </w:r>
      <w:proofErr w:type="spellEnd"/>
      <w:r>
        <w:t xml:space="preserve">, </w:t>
      </w:r>
      <w:r w:rsidR="003B7DFC">
        <w:t>“</w:t>
      </w:r>
      <w:r w:rsidRPr="00AC4190">
        <w:t>T</w:t>
      </w:r>
      <w:r>
        <w:t>op</w:t>
      </w:r>
      <w:r w:rsidRPr="00AC4190">
        <w:t xml:space="preserve"> </w:t>
      </w:r>
      <w:r>
        <w:t>F</w:t>
      </w:r>
      <w:r w:rsidRPr="00AC4190">
        <w:t xml:space="preserve">our </w:t>
      </w:r>
      <w:r>
        <w:t>T</w:t>
      </w:r>
      <w:r w:rsidRPr="00AC4190">
        <w:t xml:space="preserve">rends in </w:t>
      </w:r>
      <w:r>
        <w:t>S</w:t>
      </w:r>
      <w:r w:rsidRPr="00AC4190">
        <w:t>kincare in 2015</w:t>
      </w:r>
      <w:r>
        <w:t>,</w:t>
      </w:r>
      <w:r w:rsidR="003B7DFC">
        <w:t>”</w:t>
      </w:r>
      <w:r w:rsidRPr="00AC4190">
        <w:t xml:space="preserve"> </w:t>
      </w:r>
      <w:proofErr w:type="spellStart"/>
      <w:r w:rsidRPr="00AC4190">
        <w:t>Euromonitor</w:t>
      </w:r>
      <w:proofErr w:type="spellEnd"/>
      <w:r w:rsidRPr="00AC4190">
        <w:t xml:space="preserve"> International </w:t>
      </w:r>
      <w:r>
        <w:t>Market Research blog</w:t>
      </w:r>
      <w:r w:rsidRPr="00AC4190">
        <w:t>,</w:t>
      </w:r>
      <w:r>
        <w:t xml:space="preserve"> April 15, 2015, accessed </w:t>
      </w:r>
      <w:r w:rsidRPr="00AC4190">
        <w:t>September</w:t>
      </w:r>
      <w:r>
        <w:t xml:space="preserve"> 18</w:t>
      </w:r>
      <w:r w:rsidRPr="00AC4190">
        <w:t>, 2016, http://blog.euromonitor.com/2015/04/top-four-t</w:t>
      </w:r>
      <w:r>
        <w:t xml:space="preserve">rends-in-skin-care-in-2015.html; </w:t>
      </w:r>
      <w:r w:rsidR="003B7DFC">
        <w:t>“</w:t>
      </w:r>
      <w:r>
        <w:t>Science M</w:t>
      </w:r>
      <w:r w:rsidRPr="006A65EC">
        <w:t xml:space="preserve">eets </w:t>
      </w:r>
      <w:r>
        <w:t>B</w:t>
      </w:r>
      <w:r w:rsidRPr="006A65EC">
        <w:t xml:space="preserve">eauty at </w:t>
      </w:r>
      <w:r>
        <w:t>N</w:t>
      </w:r>
      <w:r w:rsidRPr="006A65EC">
        <w:t>ew Kaya Skin Clinic</w:t>
      </w:r>
      <w:r>
        <w:t>,</w:t>
      </w:r>
      <w:r w:rsidR="003B7DFC">
        <w:t>”</w:t>
      </w:r>
      <w:r>
        <w:t xml:space="preserve"> </w:t>
      </w:r>
      <w:proofErr w:type="spellStart"/>
      <w:r w:rsidRPr="00EA60EB">
        <w:rPr>
          <w:i/>
        </w:rPr>
        <w:t>Khaleej</w:t>
      </w:r>
      <w:proofErr w:type="spellEnd"/>
      <w:r w:rsidRPr="00EA60EB">
        <w:rPr>
          <w:i/>
        </w:rPr>
        <w:t xml:space="preserve"> Times</w:t>
      </w:r>
      <w:r>
        <w:t xml:space="preserve">, February 17, 2017, accessed April 3, 2017, </w:t>
      </w:r>
      <w:r w:rsidRPr="004A6F7F">
        <w:t>https://www.pressreader.com/uae/khaleej-times/20170218/282364039438061</w:t>
      </w:r>
      <w:r>
        <w:t>.</w:t>
      </w:r>
    </w:p>
  </w:endnote>
  <w:endnote w:id="7">
    <w:p w14:paraId="52230699" w14:textId="5265CB86" w:rsidR="00B52762" w:rsidRPr="00177565" w:rsidRDefault="00B52762" w:rsidP="001954DE">
      <w:pPr>
        <w:pStyle w:val="Footnote"/>
        <w:rPr>
          <w:b/>
          <w:color w:val="000000" w:themeColor="text1"/>
        </w:rPr>
      </w:pPr>
      <w:r w:rsidRPr="00AC4190">
        <w:rPr>
          <w:rStyle w:val="EndnoteReference"/>
        </w:rPr>
        <w:endnoteRef/>
      </w:r>
      <w:r>
        <w:t xml:space="preserve"> </w:t>
      </w:r>
      <w:proofErr w:type="spellStart"/>
      <w:r>
        <w:t>Jyoti</w:t>
      </w:r>
      <w:proofErr w:type="spellEnd"/>
      <w:r>
        <w:t xml:space="preserve"> Kalsi, </w:t>
      </w:r>
      <w:r w:rsidR="003B7DFC">
        <w:t>“</w:t>
      </w:r>
      <w:r>
        <w:t>Getting u</w:t>
      </w:r>
      <w:r w:rsidRPr="00AC4190">
        <w:t>nder Your Skin</w:t>
      </w:r>
      <w:r>
        <w:t>,</w:t>
      </w:r>
      <w:r w:rsidR="003B7DFC">
        <w:t>”</w:t>
      </w:r>
      <w:r w:rsidRPr="00AC4190">
        <w:t xml:space="preserve"> </w:t>
      </w:r>
      <w:r>
        <w:t>Gulf News</w:t>
      </w:r>
      <w:r w:rsidRPr="00AC4190">
        <w:t>, July 12, 2003</w:t>
      </w:r>
      <w:r>
        <w:t xml:space="preserve">, </w:t>
      </w:r>
      <w:r w:rsidRPr="00AC4190">
        <w:t xml:space="preserve">accessed </w:t>
      </w:r>
      <w:r>
        <w:t>March</w:t>
      </w:r>
      <w:r w:rsidRPr="00AC4190">
        <w:t xml:space="preserve"> </w:t>
      </w:r>
      <w:r>
        <w:t>11</w:t>
      </w:r>
      <w:r w:rsidRPr="00AC4190">
        <w:t>, 201</w:t>
      </w:r>
      <w:r>
        <w:t>7</w:t>
      </w:r>
      <w:r w:rsidRPr="00CD2726">
        <w:t xml:space="preserve"> http://gulfnews.com/news/uae/general/getting-under-your-skin-1.360995</w:t>
      </w:r>
      <w:r>
        <w:t>.</w:t>
      </w:r>
    </w:p>
  </w:endnote>
  <w:endnote w:id="8">
    <w:p w14:paraId="24C0EB9C" w14:textId="1E5C27AE" w:rsidR="00B52762" w:rsidRPr="00177565" w:rsidRDefault="00B52762" w:rsidP="001954DE">
      <w:pPr>
        <w:pStyle w:val="Footnote"/>
        <w:rPr>
          <w:b/>
        </w:rPr>
      </w:pPr>
      <w:r w:rsidRPr="00AC4190">
        <w:rPr>
          <w:rStyle w:val="EndnoteReference"/>
        </w:rPr>
        <w:endnoteRef/>
      </w:r>
      <w:r w:rsidRPr="00AC4190">
        <w:t xml:space="preserve"> </w:t>
      </w:r>
      <w:r w:rsidR="003B7DFC">
        <w:t>“</w:t>
      </w:r>
      <w:r>
        <w:t xml:space="preserve">Kaya </w:t>
      </w:r>
      <w:r w:rsidRPr="00AC4190">
        <w:t>History &amp; Difference,</w:t>
      </w:r>
      <w:r w:rsidR="003B7DFC">
        <w:t>”</w:t>
      </w:r>
      <w:r w:rsidRPr="00AC4190">
        <w:t xml:space="preserve"> </w:t>
      </w:r>
      <w:r>
        <w:t xml:space="preserve">kayaskinclinic.me, </w:t>
      </w:r>
      <w:r w:rsidRPr="00AC4190">
        <w:t xml:space="preserve">accessed September </w:t>
      </w:r>
      <w:r>
        <w:t>18, 2016</w:t>
      </w:r>
      <w:r w:rsidRPr="00AC4190">
        <w:t xml:space="preserve">, </w:t>
      </w:r>
      <w:r w:rsidRPr="00D6254E">
        <w:t>https://timothyrhooper.wordpress.com/2014/03/22/kaya-history-difference/</w:t>
      </w:r>
      <w:r>
        <w:t>.</w:t>
      </w:r>
    </w:p>
  </w:endnote>
  <w:endnote w:id="9">
    <w:p w14:paraId="181B72DA" w14:textId="4E46183A" w:rsidR="00B52762" w:rsidRPr="00177565" w:rsidRDefault="00B52762" w:rsidP="001954DE">
      <w:pPr>
        <w:pStyle w:val="Footnote"/>
        <w:rPr>
          <w:b/>
        </w:rPr>
      </w:pPr>
      <w:r w:rsidRPr="00AC4190">
        <w:rPr>
          <w:rStyle w:val="EndnoteReference"/>
        </w:rPr>
        <w:endnoteRef/>
      </w:r>
      <w:r w:rsidRPr="00AC4190">
        <w:t xml:space="preserve"> </w:t>
      </w:r>
      <w:r w:rsidRPr="000D5136">
        <w:rPr>
          <w:lang w:val="en-GB"/>
        </w:rPr>
        <w:t xml:space="preserve">Kaya Skin Clinic, </w:t>
      </w:r>
      <w:r w:rsidRPr="00D563D8">
        <w:rPr>
          <w:i/>
          <w:lang w:val="en-GB"/>
        </w:rPr>
        <w:t>Kaya Leader in Specialty Skin Care: Investor Presentation</w:t>
      </w:r>
      <w:r>
        <w:rPr>
          <w:lang w:val="en-GB"/>
        </w:rPr>
        <w:t>, 6</w:t>
      </w:r>
      <w:r w:rsidRPr="000D5136">
        <w:rPr>
          <w:lang w:val="en-GB"/>
        </w:rPr>
        <w:t>, accessed</w:t>
      </w:r>
      <w:r w:rsidRPr="002C267C">
        <w:rPr>
          <w:lang w:val="en-GB"/>
        </w:rPr>
        <w:t xml:space="preserve"> April 20, 2016, </w:t>
      </w:r>
      <w:hyperlink r:id="rId1" w:history="1">
        <w:r w:rsidRPr="002C267C">
          <w:rPr>
            <w:lang w:val="en-GB"/>
          </w:rPr>
          <w:t>www.kaya.in/investors/pdf/Corporate%20Presentation%20-%20July%202015.pdf</w:t>
        </w:r>
      </w:hyperlink>
      <w:r w:rsidRPr="002C267C">
        <w:rPr>
          <w:lang w:val="en-GB"/>
        </w:rPr>
        <w:t>.</w:t>
      </w:r>
    </w:p>
  </w:endnote>
  <w:endnote w:id="10">
    <w:p w14:paraId="7011CAFE" w14:textId="5300B6E4" w:rsidR="00B52762" w:rsidRPr="00177565" w:rsidRDefault="00B52762" w:rsidP="001954DE">
      <w:pPr>
        <w:pStyle w:val="Footnote"/>
        <w:rPr>
          <w:b/>
        </w:rPr>
      </w:pPr>
      <w:r w:rsidRPr="00AC4190">
        <w:rPr>
          <w:rStyle w:val="EndnoteReference"/>
        </w:rPr>
        <w:endnoteRef/>
      </w:r>
      <w:r w:rsidRPr="00AC4190">
        <w:t xml:space="preserve"> </w:t>
      </w:r>
      <w:proofErr w:type="gramStart"/>
      <w:r>
        <w:rPr>
          <w:lang w:val="en-GB"/>
        </w:rPr>
        <w:t>Ibid.,</w:t>
      </w:r>
      <w:proofErr w:type="gramEnd"/>
      <w:r>
        <w:rPr>
          <w:lang w:val="en-GB"/>
        </w:rPr>
        <w:t xml:space="preserve"> 16</w:t>
      </w:r>
      <w:r w:rsidRPr="002C267C">
        <w:rPr>
          <w:lang w:val="en-GB"/>
        </w:rPr>
        <w:t>.</w:t>
      </w:r>
    </w:p>
  </w:endnote>
  <w:endnote w:id="11">
    <w:p w14:paraId="75A55C25" w14:textId="591CE244" w:rsidR="00B52762" w:rsidRPr="00AC4190" w:rsidRDefault="00B52762" w:rsidP="001954DE">
      <w:pPr>
        <w:pStyle w:val="Footnote"/>
      </w:pPr>
      <w:r w:rsidRPr="00AC4190">
        <w:rPr>
          <w:rStyle w:val="EndnoteReference"/>
        </w:rPr>
        <w:endnoteRef/>
      </w:r>
      <w:r w:rsidRPr="00AC4190">
        <w:t xml:space="preserve"> </w:t>
      </w:r>
      <w:r>
        <w:t xml:space="preserve">Skinacea.com, </w:t>
      </w:r>
      <w:r w:rsidR="003B7DFC">
        <w:t>“</w:t>
      </w:r>
      <w:r w:rsidRPr="00AC4190">
        <w:t xml:space="preserve">How to Fade Post Acne Red Marks, Dark </w:t>
      </w:r>
      <w:r>
        <w:t>S</w:t>
      </w:r>
      <w:r w:rsidRPr="00AC4190">
        <w:t>pots, Pigmentation</w:t>
      </w:r>
      <w:r>
        <w:t>,</w:t>
      </w:r>
      <w:r w:rsidR="003B7DFC">
        <w:t>”</w:t>
      </w:r>
      <w:r w:rsidRPr="00AC4190">
        <w:t xml:space="preserve"> accessed April 4,</w:t>
      </w:r>
      <w:r>
        <w:t xml:space="preserve"> </w:t>
      </w:r>
      <w:r w:rsidRPr="00AC4190">
        <w:t>2016, www.skinacea.com/how-t</w:t>
      </w:r>
      <w:r w:rsidRPr="0009126B">
        <w:t>o/fade-acne-marks.html#.WKcr9xgZPU4</w:t>
      </w:r>
      <w:r w:rsidRPr="00AC4190">
        <w:t>.</w:t>
      </w:r>
    </w:p>
  </w:endnote>
  <w:endnote w:id="12">
    <w:p w14:paraId="63CCEA9B" w14:textId="6609AC21" w:rsidR="00B52762" w:rsidRPr="00177565" w:rsidRDefault="00B52762" w:rsidP="001954DE">
      <w:pPr>
        <w:pStyle w:val="Footnote"/>
        <w:rPr>
          <w:b/>
        </w:rPr>
      </w:pPr>
      <w:r w:rsidRPr="00AC4190">
        <w:rPr>
          <w:rStyle w:val="EndnoteReference"/>
        </w:rPr>
        <w:endnoteRef/>
      </w:r>
      <w:r>
        <w:t xml:space="preserve"> </w:t>
      </w:r>
      <w:r w:rsidRPr="000D5136">
        <w:rPr>
          <w:lang w:val="en-GB"/>
        </w:rPr>
        <w:t xml:space="preserve">Kaya Skin Clinic, </w:t>
      </w:r>
      <w:r w:rsidRPr="00D563D8">
        <w:rPr>
          <w:i/>
          <w:lang w:val="en-GB"/>
        </w:rPr>
        <w:t>Kaya Leader in Specialty Skin Care: Investor Presentation</w:t>
      </w:r>
      <w:r>
        <w:rPr>
          <w:lang w:val="en-GB"/>
        </w:rPr>
        <w:t>, op. cit., 7.</w:t>
      </w:r>
    </w:p>
  </w:endnote>
  <w:endnote w:id="13">
    <w:p w14:paraId="47511D31" w14:textId="5541534F" w:rsidR="00B52762" w:rsidRPr="00177565" w:rsidRDefault="00B52762" w:rsidP="001954DE">
      <w:pPr>
        <w:pStyle w:val="Footnote"/>
        <w:rPr>
          <w:b/>
        </w:rPr>
      </w:pPr>
      <w:r w:rsidRPr="00AC4190">
        <w:rPr>
          <w:rStyle w:val="EndnoteReference"/>
        </w:rPr>
        <w:endnoteRef/>
      </w:r>
      <w:r w:rsidRPr="00AC4190">
        <w:t xml:space="preserve"> </w:t>
      </w:r>
      <w:r>
        <w:t xml:space="preserve">Kaya Skin Clinic, </w:t>
      </w:r>
      <w:r w:rsidR="003B7DFC">
        <w:t>“</w:t>
      </w:r>
      <w:r w:rsidRPr="00AC4190">
        <w:t xml:space="preserve">First </w:t>
      </w:r>
      <w:r>
        <w:t>K</w:t>
      </w:r>
      <w:r w:rsidRPr="00AC4190">
        <w:t xml:space="preserve">aya </w:t>
      </w:r>
      <w:r>
        <w:t>S</w:t>
      </w:r>
      <w:r w:rsidRPr="00AC4190">
        <w:t xml:space="preserve">kin </w:t>
      </w:r>
      <w:r>
        <w:t>B</w:t>
      </w:r>
      <w:r w:rsidRPr="00AC4190">
        <w:t xml:space="preserve">ar </w:t>
      </w:r>
      <w:r>
        <w:t xml:space="preserve">Launches </w:t>
      </w:r>
      <w:r w:rsidRPr="00AC4190">
        <w:t>in Bengaluru,</w:t>
      </w:r>
      <w:r w:rsidR="003B7DFC">
        <w:t>”</w:t>
      </w:r>
      <w:r>
        <w:t xml:space="preserve"> press release,</w:t>
      </w:r>
      <w:r w:rsidRPr="00AC4190">
        <w:t xml:space="preserve"> </w:t>
      </w:r>
      <w:r>
        <w:t>January 20, 2012, accessed</w:t>
      </w:r>
      <w:r w:rsidRPr="00AC4190">
        <w:t xml:space="preserve"> April 24, 2016, </w:t>
      </w:r>
      <w:r w:rsidRPr="00DD01AB">
        <w:t>www.kaya.in/sites/default/files/Press_Release_-_Kaya%20Skin%20Bar_Launch%20-%20bangalore%20release_0.pdf</w:t>
      </w:r>
      <w:r>
        <w:t>.</w:t>
      </w:r>
    </w:p>
  </w:endnote>
  <w:endnote w:id="14">
    <w:p w14:paraId="0DD9B553" w14:textId="417A3E20" w:rsidR="00B52762" w:rsidRPr="00AC4190" w:rsidRDefault="00B52762" w:rsidP="001954DE">
      <w:pPr>
        <w:pStyle w:val="Footnote"/>
      </w:pPr>
      <w:r w:rsidRPr="00AC4190">
        <w:rPr>
          <w:rStyle w:val="EndnoteReference"/>
        </w:rPr>
        <w:endnoteRef/>
      </w:r>
      <w:r w:rsidRPr="00AC4190">
        <w:t xml:space="preserve"> </w:t>
      </w:r>
      <w:r>
        <w:t xml:space="preserve">Kaya Skin Clinic, </w:t>
      </w:r>
      <w:r w:rsidR="003B7DFC">
        <w:t>“</w:t>
      </w:r>
      <w:r>
        <w:t>Kaya Skin Bar,</w:t>
      </w:r>
      <w:r w:rsidR="003B7DFC">
        <w:t>”</w:t>
      </w:r>
      <w:r w:rsidRPr="00AC4190">
        <w:t xml:space="preserve"> accessed July 3, 2016, </w:t>
      </w:r>
      <w:r w:rsidRPr="00E17CAA">
        <w:t>www.kaya.in/ksb</w:t>
      </w:r>
      <w:r w:rsidRPr="00AC4190">
        <w:t>.</w:t>
      </w:r>
    </w:p>
  </w:endnote>
  <w:endnote w:id="15">
    <w:p w14:paraId="740DE06E" w14:textId="1DED16BC" w:rsidR="00B52762" w:rsidRPr="004E181A" w:rsidRDefault="00B52762" w:rsidP="001954DE">
      <w:pPr>
        <w:pStyle w:val="Footnote"/>
        <w:rPr>
          <w:b/>
        </w:rPr>
      </w:pPr>
      <w:r w:rsidRPr="00AC4190">
        <w:rPr>
          <w:rStyle w:val="EndnoteReference"/>
        </w:rPr>
        <w:endnoteRef/>
      </w:r>
      <w:r w:rsidRPr="00AC4190">
        <w:t xml:space="preserve"> </w:t>
      </w:r>
      <w:r>
        <w:t xml:space="preserve">Kaya Skin Clinic, </w:t>
      </w:r>
      <w:r w:rsidR="003B7DFC">
        <w:t>“</w:t>
      </w:r>
      <w:r>
        <w:t>Fall for your Skin</w:t>
      </w:r>
      <w:r w:rsidR="003B7DFC">
        <w:t>’</w:t>
      </w:r>
      <w:r>
        <w:t>s Beauty Again</w:t>
      </w:r>
      <w:proofErr w:type="gramStart"/>
      <w:r>
        <w:t>!,</w:t>
      </w:r>
      <w:proofErr w:type="gramEnd"/>
      <w:r w:rsidR="003B7DFC">
        <w:t>”</w:t>
      </w:r>
      <w:r w:rsidRPr="00AC4190">
        <w:t xml:space="preserve"> accessed </w:t>
      </w:r>
      <w:r>
        <w:t>March 11</w:t>
      </w:r>
      <w:r w:rsidRPr="00AC4190">
        <w:t>,</w:t>
      </w:r>
      <w:r>
        <w:t xml:space="preserve"> 2017,</w:t>
      </w:r>
      <w:r w:rsidRPr="00152BB7">
        <w:t xml:space="preserve"> www.kaya.in/</w:t>
      </w:r>
      <w:r w:rsidRPr="004E181A">
        <w:t>about-us.</w:t>
      </w:r>
    </w:p>
  </w:endnote>
  <w:endnote w:id="16">
    <w:p w14:paraId="5367CD67" w14:textId="4C010B1F" w:rsidR="00B52762" w:rsidRPr="00177565" w:rsidRDefault="00B52762" w:rsidP="001954DE">
      <w:pPr>
        <w:pStyle w:val="Footnote"/>
        <w:rPr>
          <w:b/>
        </w:rPr>
      </w:pPr>
      <w:r w:rsidRPr="004E181A">
        <w:rPr>
          <w:rStyle w:val="EndnoteReference"/>
        </w:rPr>
        <w:endnoteRef/>
      </w:r>
      <w:r w:rsidRPr="004E181A">
        <w:t xml:space="preserve"> Kaya Skin Clinic, </w:t>
      </w:r>
      <w:r w:rsidR="003B7DFC">
        <w:t>“</w:t>
      </w:r>
      <w:r w:rsidRPr="004E181A">
        <w:t>Meet the Team,</w:t>
      </w:r>
      <w:r w:rsidR="003B7DFC">
        <w:t>”</w:t>
      </w:r>
      <w:r w:rsidRPr="004E181A">
        <w:t xml:space="preserve"> accessed March 11, 2017, www.kaya.in/about-us#meet_team.</w:t>
      </w:r>
      <w:r>
        <w:t xml:space="preserve"> </w:t>
      </w:r>
    </w:p>
  </w:endnote>
  <w:endnote w:id="17">
    <w:p w14:paraId="3917AF22" w14:textId="525F4D64" w:rsidR="00B52762" w:rsidRPr="00177565" w:rsidRDefault="00B52762" w:rsidP="001954DE">
      <w:pPr>
        <w:pStyle w:val="Footnote"/>
        <w:rPr>
          <w:b/>
        </w:rPr>
      </w:pPr>
      <w:r w:rsidRPr="00AC4190">
        <w:rPr>
          <w:rStyle w:val="EndnoteReference"/>
        </w:rPr>
        <w:endnoteRef/>
      </w:r>
      <w:r w:rsidRPr="00AC4190">
        <w:t xml:space="preserve"> </w:t>
      </w:r>
      <w:r>
        <w:t xml:space="preserve">Jordan </w:t>
      </w:r>
      <w:proofErr w:type="spellStart"/>
      <w:r>
        <w:t>Boshers</w:t>
      </w:r>
      <w:proofErr w:type="spellEnd"/>
      <w:r>
        <w:t xml:space="preserve">, </w:t>
      </w:r>
      <w:r w:rsidR="003B7DFC">
        <w:t>“</w:t>
      </w:r>
      <w:r w:rsidRPr="00AC4190">
        <w:t xml:space="preserve">The Middle East Arab </w:t>
      </w:r>
      <w:r>
        <w:t>C</w:t>
      </w:r>
      <w:r w:rsidRPr="00AC4190">
        <w:t xml:space="preserve">onsumer </w:t>
      </w:r>
      <w:r>
        <w:t>P</w:t>
      </w:r>
      <w:r w:rsidRPr="00AC4190">
        <w:t>rofile</w:t>
      </w:r>
      <w:r>
        <w:t>,</w:t>
      </w:r>
      <w:r w:rsidR="003B7DFC">
        <w:t>”</w:t>
      </w:r>
      <w:r w:rsidRPr="00AC4190">
        <w:t xml:space="preserve"> </w:t>
      </w:r>
      <w:proofErr w:type="spellStart"/>
      <w:r>
        <w:t>IstiZada</w:t>
      </w:r>
      <w:proofErr w:type="spellEnd"/>
      <w:r>
        <w:t xml:space="preserve"> Middle East Marketing blog, </w:t>
      </w:r>
      <w:r w:rsidRPr="00AC4190">
        <w:t>accessed September</w:t>
      </w:r>
      <w:r>
        <w:t xml:space="preserve"> 18</w:t>
      </w:r>
      <w:r w:rsidRPr="00AC4190">
        <w:t>, 2016, http://istizada.com/blog/the-middl</w:t>
      </w:r>
      <w:r>
        <w:t>e-east-arab-consumer-profile/;</w:t>
      </w:r>
      <w:r w:rsidRPr="00AC4190">
        <w:t xml:space="preserve"> </w:t>
      </w:r>
      <w:r>
        <w:t xml:space="preserve">Jennifer, </w:t>
      </w:r>
      <w:r w:rsidR="003B7DFC">
        <w:t>“</w:t>
      </w:r>
      <w:r>
        <w:t xml:space="preserve">Skin Clinics: </w:t>
      </w:r>
      <w:r w:rsidRPr="00AC4190">
        <w:t xml:space="preserve">Kaya </w:t>
      </w:r>
      <w:r>
        <w:t>Skin Clinic,</w:t>
      </w:r>
      <w:r w:rsidR="003B7DFC">
        <w:t>”</w:t>
      </w:r>
      <w:r>
        <w:t xml:space="preserve"> Beauty Tips Hub, March 31, 2012</w:t>
      </w:r>
      <w:r w:rsidRPr="00AC4190">
        <w:t xml:space="preserve">, accessed July 3, 2016, </w:t>
      </w:r>
      <w:r w:rsidRPr="00177565">
        <w:t>www.beautytipshub.com/skin</w:t>
      </w:r>
      <w:r>
        <w:t>-clinics/kaya-skin-clinic.html.</w:t>
      </w:r>
    </w:p>
  </w:endnote>
  <w:endnote w:id="18">
    <w:p w14:paraId="5CA67441" w14:textId="550A5EF7" w:rsidR="00B52762" w:rsidRPr="00177565" w:rsidRDefault="00B52762" w:rsidP="001954DE">
      <w:pPr>
        <w:pStyle w:val="Footnote"/>
        <w:rPr>
          <w:b/>
        </w:rPr>
      </w:pPr>
      <w:r w:rsidRPr="00AC4190">
        <w:rPr>
          <w:rStyle w:val="EndnoteReference"/>
        </w:rPr>
        <w:endnoteRef/>
      </w:r>
      <w:r w:rsidRPr="00AC4190">
        <w:t xml:space="preserve"> </w:t>
      </w:r>
      <w:r w:rsidRPr="000D5136">
        <w:rPr>
          <w:lang w:val="en-GB"/>
        </w:rPr>
        <w:t xml:space="preserve">Kaya Skin Clinic, </w:t>
      </w:r>
      <w:r w:rsidRPr="00D563D8">
        <w:rPr>
          <w:i/>
          <w:lang w:val="en-GB"/>
        </w:rPr>
        <w:t>Kaya Leader in Specialty Skin Care: Investor Presentation</w:t>
      </w:r>
      <w:r>
        <w:rPr>
          <w:lang w:val="en-GB"/>
        </w:rPr>
        <w:t>, op. cit., 6.</w:t>
      </w:r>
    </w:p>
  </w:endnote>
  <w:endnote w:id="19">
    <w:p w14:paraId="7F4DD20E" w14:textId="732AC18D" w:rsidR="00B52762" w:rsidRPr="00AC4190" w:rsidRDefault="00B52762" w:rsidP="000133DE">
      <w:pPr>
        <w:pStyle w:val="Footnote"/>
      </w:pPr>
      <w:r w:rsidRPr="00AC4190">
        <w:rPr>
          <w:rStyle w:val="EndnoteReference"/>
        </w:rPr>
        <w:endnoteRef/>
      </w:r>
      <w:r w:rsidRPr="00AC4190">
        <w:t xml:space="preserve"> </w:t>
      </w:r>
      <w:r>
        <w:t xml:space="preserve">Kaya Skin Clinic, </w:t>
      </w:r>
      <w:r w:rsidR="003B7DFC">
        <w:t>“</w:t>
      </w:r>
      <w:r w:rsidRPr="00AC4190">
        <w:t xml:space="preserve">Kaya </w:t>
      </w:r>
      <w:r>
        <w:t>Limited,</w:t>
      </w:r>
      <w:r w:rsidR="003B7DFC">
        <w:t>”</w:t>
      </w:r>
      <w:r w:rsidRPr="00AC4190">
        <w:t xml:space="preserve"> </w:t>
      </w:r>
      <w:r>
        <w:t xml:space="preserve">accessed </w:t>
      </w:r>
      <w:r w:rsidRPr="00AC4190">
        <w:t>September</w:t>
      </w:r>
      <w:r>
        <w:t xml:space="preserve"> 24</w:t>
      </w:r>
      <w:r w:rsidRPr="00AC4190">
        <w:t>, 2016</w:t>
      </w:r>
      <w:r>
        <w:t>,</w:t>
      </w:r>
      <w:r w:rsidRPr="00AC4190">
        <w:t xml:space="preserve"> </w:t>
      </w:r>
      <w:r w:rsidRPr="00B52762">
        <w:t>https://www.kaya.in/investors</w:t>
      </w:r>
      <w:r>
        <w:t xml:space="preserve">; Kaya Skin Clinic, </w:t>
      </w:r>
      <w:r w:rsidR="003B7DFC">
        <w:t>“</w:t>
      </w:r>
      <w:r>
        <w:t>Fall for Your Skin</w:t>
      </w:r>
      <w:r w:rsidR="003B7DFC">
        <w:t>’</w:t>
      </w:r>
      <w:r>
        <w:t>s Beauty Again</w:t>
      </w:r>
      <w:proofErr w:type="gramStart"/>
      <w:r>
        <w:t>!,</w:t>
      </w:r>
      <w:proofErr w:type="gramEnd"/>
      <w:r w:rsidR="003B7DFC">
        <w:t>”</w:t>
      </w:r>
      <w:r>
        <w:t xml:space="preserve"> op. cit.</w:t>
      </w:r>
    </w:p>
  </w:endnote>
  <w:endnote w:id="20">
    <w:p w14:paraId="40828141" w14:textId="6DD892E4" w:rsidR="00B52762" w:rsidRPr="00AC4190" w:rsidRDefault="00B52762" w:rsidP="001954DE">
      <w:pPr>
        <w:pStyle w:val="Footnote"/>
      </w:pPr>
      <w:r w:rsidRPr="00AC4190">
        <w:rPr>
          <w:rStyle w:val="EndnoteReference"/>
        </w:rPr>
        <w:endnoteRef/>
      </w:r>
      <w:r w:rsidRPr="00AC4190">
        <w:t xml:space="preserve"> </w:t>
      </w:r>
      <w:r w:rsidRPr="002C267C">
        <w:rPr>
          <w:lang w:val="en-GB"/>
        </w:rPr>
        <w:t>Kaya</w:t>
      </w:r>
      <w:r>
        <w:rPr>
          <w:lang w:val="en-GB"/>
        </w:rPr>
        <w:t xml:space="preserve"> Limited, </w:t>
      </w:r>
      <w:r w:rsidRPr="00D563D8">
        <w:rPr>
          <w:i/>
          <w:lang w:val="en-GB"/>
        </w:rPr>
        <w:t>Leading S</w:t>
      </w:r>
      <w:r>
        <w:rPr>
          <w:i/>
          <w:lang w:val="en-GB"/>
        </w:rPr>
        <w:t>p</w:t>
      </w:r>
      <w:r w:rsidRPr="00D563D8">
        <w:rPr>
          <w:i/>
          <w:lang w:val="en-GB"/>
        </w:rPr>
        <w:t>ecialty Skincare Brand: Annual Report, 2014–</w:t>
      </w:r>
      <w:r w:rsidRPr="00246172">
        <w:rPr>
          <w:i/>
          <w:lang w:val="en-GB"/>
        </w:rPr>
        <w:t>15</w:t>
      </w:r>
      <w:r w:rsidRPr="00246172">
        <w:rPr>
          <w:lang w:val="en-GB"/>
        </w:rPr>
        <w:t>, 134</w:t>
      </w:r>
      <w:r>
        <w:rPr>
          <w:lang w:val="en-GB"/>
        </w:rPr>
        <w:t>–</w:t>
      </w:r>
      <w:r w:rsidRPr="00246172">
        <w:rPr>
          <w:lang w:val="en-GB"/>
        </w:rPr>
        <w:t>35, accessed</w:t>
      </w:r>
      <w:r w:rsidRPr="002C267C">
        <w:rPr>
          <w:lang w:val="en-GB"/>
        </w:rPr>
        <w:t xml:space="preserve"> April 20, 2016, </w:t>
      </w:r>
      <w:r w:rsidRPr="00246172">
        <w:t>https://www.kaya.in/investors/pdf/Annual%20Report%202014-15.pdf</w:t>
      </w:r>
      <w:r>
        <w:t>.</w:t>
      </w:r>
    </w:p>
  </w:endnote>
  <w:endnote w:id="21">
    <w:p w14:paraId="69A57845" w14:textId="611A3FAD" w:rsidR="00B52762" w:rsidRPr="00AC4190" w:rsidRDefault="00B52762" w:rsidP="001954DE">
      <w:pPr>
        <w:pStyle w:val="Footnote"/>
      </w:pPr>
      <w:r w:rsidRPr="00AC4190">
        <w:rPr>
          <w:rStyle w:val="EndnoteReference"/>
        </w:rPr>
        <w:endnoteRef/>
      </w:r>
      <w:r w:rsidRPr="00AC4190">
        <w:t xml:space="preserve"> </w:t>
      </w:r>
      <w:r w:rsidR="003B7DFC">
        <w:t>“</w:t>
      </w:r>
      <w:r w:rsidRPr="00AC4190">
        <w:t xml:space="preserve">Kaya </w:t>
      </w:r>
      <w:r>
        <w:t>S</w:t>
      </w:r>
      <w:r w:rsidRPr="00AC4190">
        <w:t xml:space="preserve">kin </w:t>
      </w:r>
      <w:r>
        <w:t>C</w:t>
      </w:r>
      <w:r w:rsidRPr="00AC4190">
        <w:t xml:space="preserve">linic </w:t>
      </w:r>
      <w:r>
        <w:t>A</w:t>
      </w:r>
      <w:r w:rsidRPr="00AC4190">
        <w:t>ppoints Socialize,</w:t>
      </w:r>
      <w:r w:rsidR="003B7DFC">
        <w:t>”</w:t>
      </w:r>
      <w:r w:rsidRPr="00AC4190">
        <w:t xml:space="preserve"> The Media Network, Middle East, </w:t>
      </w:r>
      <w:r>
        <w:t xml:space="preserve">May 29, 2016, </w:t>
      </w:r>
      <w:r w:rsidRPr="00AC4190">
        <w:t xml:space="preserve">accessed September </w:t>
      </w:r>
      <w:r>
        <w:t>15</w:t>
      </w:r>
      <w:r w:rsidRPr="00AC4190">
        <w:t xml:space="preserve">, 2016, </w:t>
      </w:r>
      <w:r w:rsidRPr="00AD6009">
        <w:t>http://the-media-network.com/kaya-skin-clinic-appoints-socialize/</w:t>
      </w:r>
      <w:r w:rsidRPr="00AC4190">
        <w:t xml:space="preserve">. </w:t>
      </w:r>
    </w:p>
  </w:endnote>
  <w:endnote w:id="22">
    <w:p w14:paraId="7048A287" w14:textId="31A0D18E" w:rsidR="00B52762" w:rsidRPr="003208FA" w:rsidRDefault="00B52762" w:rsidP="006A05E7">
      <w:pPr>
        <w:pStyle w:val="Footnote"/>
        <w:rPr>
          <w:w w:val="97"/>
        </w:rPr>
      </w:pPr>
      <w:r w:rsidRPr="00AC4190">
        <w:rPr>
          <w:rStyle w:val="EndnoteReference"/>
        </w:rPr>
        <w:endnoteRef/>
      </w:r>
      <w:r w:rsidRPr="00AC4190">
        <w:t xml:space="preserve"> </w:t>
      </w:r>
      <w:r w:rsidRPr="003208FA">
        <w:rPr>
          <w:w w:val="97"/>
        </w:rPr>
        <w:t xml:space="preserve">Information in this section comes from Kaya Skin Clinic, </w:t>
      </w:r>
      <w:r w:rsidRPr="003208FA">
        <w:rPr>
          <w:i/>
          <w:w w:val="97"/>
        </w:rPr>
        <w:t>Kaya Leader in Specialty Skin Care: Investor Presentation</w:t>
      </w:r>
      <w:r w:rsidRPr="003208FA">
        <w:rPr>
          <w:w w:val="97"/>
        </w:rPr>
        <w:t>, op. cit., 30.</w:t>
      </w:r>
    </w:p>
  </w:endnote>
  <w:endnote w:id="23">
    <w:p w14:paraId="4A7712F5" w14:textId="31B822E6" w:rsidR="00B52762" w:rsidRPr="006A05E7" w:rsidRDefault="00B52762" w:rsidP="006A05E7">
      <w:pPr>
        <w:pStyle w:val="Footnote"/>
      </w:pPr>
      <w:r w:rsidRPr="006A05E7">
        <w:rPr>
          <w:rStyle w:val="EndnoteReference"/>
        </w:rPr>
        <w:endnoteRef/>
      </w:r>
      <w:r w:rsidRPr="00B52762">
        <w:rPr>
          <w:vertAlign w:val="superscript"/>
        </w:rPr>
        <w:t xml:space="preserve"> </w:t>
      </w:r>
      <w:proofErr w:type="gramStart"/>
      <w:r w:rsidRPr="006A05E7">
        <w:t>Ibid.,</w:t>
      </w:r>
      <w:proofErr w:type="gramEnd"/>
      <w:r w:rsidRPr="006A05E7">
        <w:t xml:space="preserve"> 8.</w:t>
      </w:r>
    </w:p>
  </w:endnote>
  <w:endnote w:id="24">
    <w:p w14:paraId="551F1DC4" w14:textId="59B5C6A9" w:rsidR="00B52762" w:rsidRPr="00177565" w:rsidRDefault="00B52762" w:rsidP="001954DE">
      <w:pPr>
        <w:pStyle w:val="Footnote"/>
        <w:rPr>
          <w:b/>
        </w:rPr>
      </w:pPr>
      <w:r w:rsidRPr="00AC4190">
        <w:rPr>
          <w:rStyle w:val="EndnoteReference"/>
        </w:rPr>
        <w:endnoteRef/>
      </w:r>
      <w:r>
        <w:t xml:space="preserve"> </w:t>
      </w:r>
      <w:proofErr w:type="gramStart"/>
      <w:r>
        <w:t>Ibid.,</w:t>
      </w:r>
      <w:proofErr w:type="gramEnd"/>
      <w:r>
        <w:t xml:space="preserve"> 23.</w:t>
      </w:r>
    </w:p>
  </w:endnote>
  <w:endnote w:id="25">
    <w:p w14:paraId="25C5BD19" w14:textId="5C5C4DAB" w:rsidR="00B52762" w:rsidRPr="00177565" w:rsidRDefault="00B52762" w:rsidP="001954DE">
      <w:pPr>
        <w:pStyle w:val="Footnote"/>
        <w:rPr>
          <w:b/>
        </w:rPr>
      </w:pPr>
      <w:r w:rsidRPr="00C6687F">
        <w:rPr>
          <w:rStyle w:val="EndnoteReference"/>
        </w:rPr>
        <w:endnoteRef/>
      </w:r>
      <w:r w:rsidRPr="00C6687F">
        <w:t xml:space="preserve"> </w:t>
      </w:r>
      <w:r w:rsidR="003B7DFC">
        <w:rPr>
          <w:b/>
        </w:rPr>
        <w:t>“</w:t>
      </w:r>
      <w:r w:rsidRPr="00C6687F">
        <w:t>Skincare Firm Kaya Acquires New Clinics in Gulf Expansion Plan,</w:t>
      </w:r>
      <w:r w:rsidR="003B7DFC">
        <w:t>”</w:t>
      </w:r>
      <w:r w:rsidRPr="00C6687F">
        <w:t xml:space="preserve"> arabianbusiness.com, March 4, 2016, accessed July</w:t>
      </w:r>
      <w:r>
        <w:t xml:space="preserve"> 1, 2016,</w:t>
      </w:r>
      <w:r w:rsidRPr="00AC4190">
        <w:t xml:space="preserve"> </w:t>
      </w:r>
      <w:r w:rsidRPr="00E17CAA">
        <w:t>www.arabianbusiness.com/skincare-firm-kaya-acquires-new-clinics-in-gulf-expansion-plan-622903.html</w:t>
      </w:r>
      <w:r w:rsidRPr="00AC4190">
        <w:t>.</w:t>
      </w:r>
    </w:p>
  </w:endnote>
  <w:endnote w:id="26">
    <w:p w14:paraId="2DF43A34" w14:textId="101820B6" w:rsidR="00B52762" w:rsidRPr="00177565" w:rsidRDefault="00B52762" w:rsidP="00C6687F">
      <w:pPr>
        <w:pStyle w:val="Footnote"/>
        <w:rPr>
          <w:b/>
        </w:rPr>
      </w:pPr>
      <w:r w:rsidRPr="00C6687F">
        <w:rPr>
          <w:vertAlign w:val="superscript"/>
        </w:rPr>
        <w:endnoteRef/>
      </w:r>
      <w:r w:rsidRPr="00C6687F">
        <w:t xml:space="preserve"> </w:t>
      </w:r>
      <w:r w:rsidR="003B7DFC">
        <w:t>“</w:t>
      </w:r>
      <w:r w:rsidRPr="00C6687F">
        <w:t>Size of Global Skin Care Market from 2012 to 2021 (in Billion U.S. Dollars),</w:t>
      </w:r>
      <w:r w:rsidR="003B7DFC">
        <w:t>”</w:t>
      </w:r>
      <w:r w:rsidRPr="00C6687F">
        <w:t xml:space="preserve"> </w:t>
      </w:r>
      <w:proofErr w:type="spellStart"/>
      <w:r>
        <w:t>s</w:t>
      </w:r>
      <w:r w:rsidRPr="00C6687F">
        <w:t>tatistica</w:t>
      </w:r>
      <w:proofErr w:type="spellEnd"/>
      <w:r w:rsidRPr="00C6687F">
        <w:t>, accessed March 15, 2016,</w:t>
      </w:r>
      <w:r w:rsidRPr="00AC4190">
        <w:t xml:space="preserve"> </w:t>
      </w:r>
      <w:r w:rsidRPr="00177565">
        <w:t>www.statista.com/statistics/254612/global-skin-care-market-size/</w:t>
      </w:r>
      <w:r w:rsidRPr="00AC4190">
        <w:rPr>
          <w:rStyle w:val="Hyperlink"/>
          <w:u w:val="none"/>
        </w:rPr>
        <w:t>.</w:t>
      </w:r>
    </w:p>
  </w:endnote>
  <w:endnote w:id="27">
    <w:p w14:paraId="0D69B9BB" w14:textId="6865E27A" w:rsidR="00B52762" w:rsidRPr="00AC4190" w:rsidRDefault="00B52762" w:rsidP="001954DE">
      <w:pPr>
        <w:pStyle w:val="Footnote"/>
      </w:pPr>
      <w:r w:rsidRPr="00AC4190">
        <w:rPr>
          <w:rStyle w:val="EndnoteReference"/>
        </w:rPr>
        <w:endnoteRef/>
      </w:r>
      <w:r w:rsidRPr="00AC4190">
        <w:t xml:space="preserve"> </w:t>
      </w:r>
      <w:r w:rsidRPr="000D5136">
        <w:rPr>
          <w:lang w:val="en-GB"/>
        </w:rPr>
        <w:t xml:space="preserve">Kaya Skin Clinic, </w:t>
      </w:r>
      <w:r w:rsidRPr="00D563D8">
        <w:rPr>
          <w:i/>
          <w:lang w:val="en-GB"/>
        </w:rPr>
        <w:t>Kaya Leader in Specialty Skin Care: Investor Presentation</w:t>
      </w:r>
      <w:r>
        <w:rPr>
          <w:lang w:val="en-GB"/>
        </w:rPr>
        <w:t>, op. cit., 14.</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EF8DE61" w14:textId="77777777" w:rsidR="00B52762" w:rsidRDefault="00B52762" w:rsidP="00D75295">
      <w:r>
        <w:separator/>
      </w:r>
    </w:p>
  </w:footnote>
  <w:footnote w:type="continuationSeparator" w:id="0">
    <w:p w14:paraId="76513B4B" w14:textId="77777777" w:rsidR="00B52762" w:rsidRDefault="00B52762" w:rsidP="00D7529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95DF16" w14:textId="1106E1CC" w:rsidR="00B52762" w:rsidRDefault="00B52762" w:rsidP="006A58A9">
    <w:pPr>
      <w:pBdr>
        <w:bottom w:val="single" w:sz="18" w:space="1" w:color="auto"/>
      </w:pBdr>
      <w:tabs>
        <w:tab w:val="left" w:pos="-1440"/>
        <w:tab w:val="left" w:pos="-720"/>
        <w:tab w:val="right" w:pos="9360"/>
        <w:tab w:val="right" w:pos="10800"/>
      </w:tabs>
      <w:rPr>
        <w:rFonts w:ascii="Arial" w:hAnsi="Arial"/>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114346">
      <w:rPr>
        <w:rFonts w:ascii="Arial" w:hAnsi="Arial"/>
        <w:b/>
        <w:noProof/>
      </w:rPr>
      <w:t>2</w:t>
    </w:r>
    <w:r>
      <w:rPr>
        <w:rFonts w:ascii="Arial" w:hAnsi="Arial"/>
        <w:b/>
      </w:rPr>
      <w:fldChar w:fldCharType="end"/>
    </w:r>
    <w:r>
      <w:rPr>
        <w:rFonts w:ascii="Arial" w:hAnsi="Arial"/>
        <w:b/>
      </w:rPr>
      <w:tab/>
    </w:r>
    <w:r w:rsidR="00263FA9">
      <w:rPr>
        <w:rFonts w:ascii="Arial" w:hAnsi="Arial"/>
        <w:b/>
      </w:rPr>
      <w:t>9B17A022</w:t>
    </w:r>
  </w:p>
  <w:p w14:paraId="199C04B8" w14:textId="77777777" w:rsidR="00B52762" w:rsidRPr="00C92CC4" w:rsidRDefault="00B52762">
    <w:pPr>
      <w:pStyle w:val="Header"/>
      <w:rPr>
        <w:sz w:val="18"/>
        <w:szCs w:val="18"/>
      </w:rPr>
    </w:pPr>
  </w:p>
  <w:p w14:paraId="116DC364" w14:textId="77777777" w:rsidR="00B52762" w:rsidRPr="00C92CC4" w:rsidRDefault="00B52762">
    <w:pPr>
      <w:pStyle w:val="Header"/>
      <w:rPr>
        <w:sz w:val="18"/>
        <w:szCs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65144E6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CF740ACE"/>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4EB28D8C"/>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DBD4F270"/>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47109A88"/>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D17CFE8E"/>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545A506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E5A20FB8"/>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7622886A"/>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5C9AD30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DF4017A4"/>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CC62955"/>
    <w:multiLevelType w:val="hybridMultilevel"/>
    <w:tmpl w:val="297CEC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0787BCD"/>
    <w:multiLevelType w:val="hybridMultilevel"/>
    <w:tmpl w:val="E71229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0A66AFC"/>
    <w:multiLevelType w:val="hybridMultilevel"/>
    <w:tmpl w:val="31B2BE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7F83088"/>
    <w:multiLevelType w:val="hybridMultilevel"/>
    <w:tmpl w:val="44C6C3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F1E73C8"/>
    <w:multiLevelType w:val="hybridMultilevel"/>
    <w:tmpl w:val="1C08B0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24162743"/>
    <w:multiLevelType w:val="hybridMultilevel"/>
    <w:tmpl w:val="297CEC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EFC145C"/>
    <w:multiLevelType w:val="hybridMultilevel"/>
    <w:tmpl w:val="672CA208"/>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8" w15:restartNumberingAfterBreak="0">
    <w:nsid w:val="442E6B4B"/>
    <w:multiLevelType w:val="hybridMultilevel"/>
    <w:tmpl w:val="AA925028"/>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9" w15:restartNumberingAfterBreak="0">
    <w:nsid w:val="49E34667"/>
    <w:multiLevelType w:val="hybridMultilevel"/>
    <w:tmpl w:val="568A6C28"/>
    <w:lvl w:ilvl="0" w:tplc="935A5A8E">
      <w:start w:val="20"/>
      <w:numFmt w:val="bullet"/>
      <w:lvlText w:val="-"/>
      <w:lvlJc w:val="left"/>
      <w:pPr>
        <w:ind w:left="405" w:hanging="360"/>
      </w:pPr>
      <w:rPr>
        <w:rFonts w:ascii="Times New Roman" w:eastAsia="Times New Roman" w:hAnsi="Times New Roman" w:cs="Times New Roman" w:hint="default"/>
      </w:rPr>
    </w:lvl>
    <w:lvl w:ilvl="1" w:tplc="10090003" w:tentative="1">
      <w:start w:val="1"/>
      <w:numFmt w:val="bullet"/>
      <w:lvlText w:val="o"/>
      <w:lvlJc w:val="left"/>
      <w:pPr>
        <w:ind w:left="1125" w:hanging="360"/>
      </w:pPr>
      <w:rPr>
        <w:rFonts w:ascii="Courier New" w:hAnsi="Courier New" w:cs="Courier New" w:hint="default"/>
      </w:rPr>
    </w:lvl>
    <w:lvl w:ilvl="2" w:tplc="10090005" w:tentative="1">
      <w:start w:val="1"/>
      <w:numFmt w:val="bullet"/>
      <w:lvlText w:val=""/>
      <w:lvlJc w:val="left"/>
      <w:pPr>
        <w:ind w:left="1845" w:hanging="360"/>
      </w:pPr>
      <w:rPr>
        <w:rFonts w:ascii="Wingdings" w:hAnsi="Wingdings" w:hint="default"/>
      </w:rPr>
    </w:lvl>
    <w:lvl w:ilvl="3" w:tplc="10090001" w:tentative="1">
      <w:start w:val="1"/>
      <w:numFmt w:val="bullet"/>
      <w:lvlText w:val=""/>
      <w:lvlJc w:val="left"/>
      <w:pPr>
        <w:ind w:left="2565" w:hanging="360"/>
      </w:pPr>
      <w:rPr>
        <w:rFonts w:ascii="Symbol" w:hAnsi="Symbol" w:hint="default"/>
      </w:rPr>
    </w:lvl>
    <w:lvl w:ilvl="4" w:tplc="10090003" w:tentative="1">
      <w:start w:val="1"/>
      <w:numFmt w:val="bullet"/>
      <w:lvlText w:val="o"/>
      <w:lvlJc w:val="left"/>
      <w:pPr>
        <w:ind w:left="3285" w:hanging="360"/>
      </w:pPr>
      <w:rPr>
        <w:rFonts w:ascii="Courier New" w:hAnsi="Courier New" w:cs="Courier New" w:hint="default"/>
      </w:rPr>
    </w:lvl>
    <w:lvl w:ilvl="5" w:tplc="10090005" w:tentative="1">
      <w:start w:val="1"/>
      <w:numFmt w:val="bullet"/>
      <w:lvlText w:val=""/>
      <w:lvlJc w:val="left"/>
      <w:pPr>
        <w:ind w:left="4005" w:hanging="360"/>
      </w:pPr>
      <w:rPr>
        <w:rFonts w:ascii="Wingdings" w:hAnsi="Wingdings" w:hint="default"/>
      </w:rPr>
    </w:lvl>
    <w:lvl w:ilvl="6" w:tplc="10090001" w:tentative="1">
      <w:start w:val="1"/>
      <w:numFmt w:val="bullet"/>
      <w:lvlText w:val=""/>
      <w:lvlJc w:val="left"/>
      <w:pPr>
        <w:ind w:left="4725" w:hanging="360"/>
      </w:pPr>
      <w:rPr>
        <w:rFonts w:ascii="Symbol" w:hAnsi="Symbol" w:hint="default"/>
      </w:rPr>
    </w:lvl>
    <w:lvl w:ilvl="7" w:tplc="10090003" w:tentative="1">
      <w:start w:val="1"/>
      <w:numFmt w:val="bullet"/>
      <w:lvlText w:val="o"/>
      <w:lvlJc w:val="left"/>
      <w:pPr>
        <w:ind w:left="5445" w:hanging="360"/>
      </w:pPr>
      <w:rPr>
        <w:rFonts w:ascii="Courier New" w:hAnsi="Courier New" w:cs="Courier New" w:hint="default"/>
      </w:rPr>
    </w:lvl>
    <w:lvl w:ilvl="8" w:tplc="10090005" w:tentative="1">
      <w:start w:val="1"/>
      <w:numFmt w:val="bullet"/>
      <w:lvlText w:val=""/>
      <w:lvlJc w:val="left"/>
      <w:pPr>
        <w:ind w:left="6165" w:hanging="360"/>
      </w:pPr>
      <w:rPr>
        <w:rFonts w:ascii="Wingdings" w:hAnsi="Wingdings" w:hint="default"/>
      </w:rPr>
    </w:lvl>
  </w:abstractNum>
  <w:abstractNum w:abstractNumId="20" w15:restartNumberingAfterBreak="0">
    <w:nsid w:val="542E2A27"/>
    <w:multiLevelType w:val="hybridMultilevel"/>
    <w:tmpl w:val="FBEE91EC"/>
    <w:lvl w:ilvl="0" w:tplc="BD5E4B5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1" w15:restartNumberingAfterBreak="0">
    <w:nsid w:val="582A13C0"/>
    <w:multiLevelType w:val="hybridMultilevel"/>
    <w:tmpl w:val="A746AFAE"/>
    <w:lvl w:ilvl="0" w:tplc="EB862D92">
      <w:start w:val="7"/>
      <w:numFmt w:val="bullet"/>
      <w:lvlText w:val="-"/>
      <w:lvlJc w:val="left"/>
      <w:pPr>
        <w:ind w:left="360" w:hanging="360"/>
      </w:pPr>
      <w:rPr>
        <w:rFonts w:ascii="Times New Roman" w:eastAsia="Times New Roman" w:hAnsi="Times New Roman" w:hint="default"/>
      </w:rPr>
    </w:lvl>
    <w:lvl w:ilvl="1" w:tplc="04090003" w:tentative="1">
      <w:start w:val="1"/>
      <w:numFmt w:val="bullet"/>
      <w:lvlText w:val=""/>
      <w:lvlJc w:val="left"/>
      <w:pPr>
        <w:ind w:left="960" w:hanging="480"/>
      </w:pPr>
      <w:rPr>
        <w:rFonts w:ascii="Wingdings" w:hAnsi="Wingdings" w:cs="Wingdings" w:hint="default"/>
      </w:rPr>
    </w:lvl>
    <w:lvl w:ilvl="2" w:tplc="04090005" w:tentative="1">
      <w:start w:val="1"/>
      <w:numFmt w:val="bullet"/>
      <w:lvlText w:val=""/>
      <w:lvlJc w:val="left"/>
      <w:pPr>
        <w:ind w:left="1440" w:hanging="480"/>
      </w:pPr>
      <w:rPr>
        <w:rFonts w:ascii="Wingdings" w:hAnsi="Wingdings" w:cs="Wingdings" w:hint="default"/>
      </w:rPr>
    </w:lvl>
    <w:lvl w:ilvl="3" w:tplc="04090001" w:tentative="1">
      <w:start w:val="1"/>
      <w:numFmt w:val="bullet"/>
      <w:lvlText w:val=""/>
      <w:lvlJc w:val="left"/>
      <w:pPr>
        <w:ind w:left="1920" w:hanging="480"/>
      </w:pPr>
      <w:rPr>
        <w:rFonts w:ascii="Wingdings" w:hAnsi="Wingdings" w:cs="Wingdings" w:hint="default"/>
      </w:rPr>
    </w:lvl>
    <w:lvl w:ilvl="4" w:tplc="04090003" w:tentative="1">
      <w:start w:val="1"/>
      <w:numFmt w:val="bullet"/>
      <w:lvlText w:val=""/>
      <w:lvlJc w:val="left"/>
      <w:pPr>
        <w:ind w:left="2400" w:hanging="480"/>
      </w:pPr>
      <w:rPr>
        <w:rFonts w:ascii="Wingdings" w:hAnsi="Wingdings" w:cs="Wingdings" w:hint="default"/>
      </w:rPr>
    </w:lvl>
    <w:lvl w:ilvl="5" w:tplc="04090005" w:tentative="1">
      <w:start w:val="1"/>
      <w:numFmt w:val="bullet"/>
      <w:lvlText w:val=""/>
      <w:lvlJc w:val="left"/>
      <w:pPr>
        <w:ind w:left="2880" w:hanging="480"/>
      </w:pPr>
      <w:rPr>
        <w:rFonts w:ascii="Wingdings" w:hAnsi="Wingdings" w:cs="Wingdings" w:hint="default"/>
      </w:rPr>
    </w:lvl>
    <w:lvl w:ilvl="6" w:tplc="04090001" w:tentative="1">
      <w:start w:val="1"/>
      <w:numFmt w:val="bullet"/>
      <w:lvlText w:val=""/>
      <w:lvlJc w:val="left"/>
      <w:pPr>
        <w:ind w:left="3360" w:hanging="480"/>
      </w:pPr>
      <w:rPr>
        <w:rFonts w:ascii="Wingdings" w:hAnsi="Wingdings" w:cs="Wingdings" w:hint="default"/>
      </w:rPr>
    </w:lvl>
    <w:lvl w:ilvl="7" w:tplc="04090003" w:tentative="1">
      <w:start w:val="1"/>
      <w:numFmt w:val="bullet"/>
      <w:lvlText w:val=""/>
      <w:lvlJc w:val="left"/>
      <w:pPr>
        <w:ind w:left="3840" w:hanging="480"/>
      </w:pPr>
      <w:rPr>
        <w:rFonts w:ascii="Wingdings" w:hAnsi="Wingdings" w:cs="Wingdings" w:hint="default"/>
      </w:rPr>
    </w:lvl>
    <w:lvl w:ilvl="8" w:tplc="04090005" w:tentative="1">
      <w:start w:val="1"/>
      <w:numFmt w:val="bullet"/>
      <w:lvlText w:val=""/>
      <w:lvlJc w:val="left"/>
      <w:pPr>
        <w:ind w:left="4320" w:hanging="480"/>
      </w:pPr>
      <w:rPr>
        <w:rFonts w:ascii="Wingdings" w:hAnsi="Wingdings" w:cs="Wingdings" w:hint="default"/>
      </w:rPr>
    </w:lvl>
  </w:abstractNum>
  <w:abstractNum w:abstractNumId="22" w15:restartNumberingAfterBreak="0">
    <w:nsid w:val="60B37735"/>
    <w:multiLevelType w:val="hybridMultilevel"/>
    <w:tmpl w:val="F182BBFA"/>
    <w:lvl w:ilvl="0" w:tplc="7DF80D64">
      <w:start w:val="15"/>
      <w:numFmt w:val="bullet"/>
      <w:lvlText w:val=""/>
      <w:lvlJc w:val="left"/>
      <w:pPr>
        <w:ind w:left="360" w:hanging="360"/>
      </w:pPr>
      <w:rPr>
        <w:rFonts w:ascii="Wingdings" w:eastAsia="Times New Roman" w:hAnsi="Wingdings" w:hint="default"/>
      </w:rPr>
    </w:lvl>
    <w:lvl w:ilvl="1" w:tplc="04090003" w:tentative="1">
      <w:start w:val="1"/>
      <w:numFmt w:val="bullet"/>
      <w:lvlText w:val=""/>
      <w:lvlJc w:val="left"/>
      <w:pPr>
        <w:ind w:left="960" w:hanging="480"/>
      </w:pPr>
      <w:rPr>
        <w:rFonts w:ascii="Wingdings" w:hAnsi="Wingdings" w:cs="Wingdings" w:hint="default"/>
      </w:rPr>
    </w:lvl>
    <w:lvl w:ilvl="2" w:tplc="04090005" w:tentative="1">
      <w:start w:val="1"/>
      <w:numFmt w:val="bullet"/>
      <w:lvlText w:val=""/>
      <w:lvlJc w:val="left"/>
      <w:pPr>
        <w:ind w:left="1440" w:hanging="480"/>
      </w:pPr>
      <w:rPr>
        <w:rFonts w:ascii="Wingdings" w:hAnsi="Wingdings" w:cs="Wingdings" w:hint="default"/>
      </w:rPr>
    </w:lvl>
    <w:lvl w:ilvl="3" w:tplc="04090001" w:tentative="1">
      <w:start w:val="1"/>
      <w:numFmt w:val="bullet"/>
      <w:lvlText w:val=""/>
      <w:lvlJc w:val="left"/>
      <w:pPr>
        <w:ind w:left="1920" w:hanging="480"/>
      </w:pPr>
      <w:rPr>
        <w:rFonts w:ascii="Wingdings" w:hAnsi="Wingdings" w:cs="Wingdings" w:hint="default"/>
      </w:rPr>
    </w:lvl>
    <w:lvl w:ilvl="4" w:tplc="04090003" w:tentative="1">
      <w:start w:val="1"/>
      <w:numFmt w:val="bullet"/>
      <w:lvlText w:val=""/>
      <w:lvlJc w:val="left"/>
      <w:pPr>
        <w:ind w:left="2400" w:hanging="480"/>
      </w:pPr>
      <w:rPr>
        <w:rFonts w:ascii="Wingdings" w:hAnsi="Wingdings" w:cs="Wingdings" w:hint="default"/>
      </w:rPr>
    </w:lvl>
    <w:lvl w:ilvl="5" w:tplc="04090005" w:tentative="1">
      <w:start w:val="1"/>
      <w:numFmt w:val="bullet"/>
      <w:lvlText w:val=""/>
      <w:lvlJc w:val="left"/>
      <w:pPr>
        <w:ind w:left="2880" w:hanging="480"/>
      </w:pPr>
      <w:rPr>
        <w:rFonts w:ascii="Wingdings" w:hAnsi="Wingdings" w:cs="Wingdings" w:hint="default"/>
      </w:rPr>
    </w:lvl>
    <w:lvl w:ilvl="6" w:tplc="04090001" w:tentative="1">
      <w:start w:val="1"/>
      <w:numFmt w:val="bullet"/>
      <w:lvlText w:val=""/>
      <w:lvlJc w:val="left"/>
      <w:pPr>
        <w:ind w:left="3360" w:hanging="480"/>
      </w:pPr>
      <w:rPr>
        <w:rFonts w:ascii="Wingdings" w:hAnsi="Wingdings" w:cs="Wingdings" w:hint="default"/>
      </w:rPr>
    </w:lvl>
    <w:lvl w:ilvl="7" w:tplc="04090003" w:tentative="1">
      <w:start w:val="1"/>
      <w:numFmt w:val="bullet"/>
      <w:lvlText w:val=""/>
      <w:lvlJc w:val="left"/>
      <w:pPr>
        <w:ind w:left="3840" w:hanging="480"/>
      </w:pPr>
      <w:rPr>
        <w:rFonts w:ascii="Wingdings" w:hAnsi="Wingdings" w:cs="Wingdings" w:hint="default"/>
      </w:rPr>
    </w:lvl>
    <w:lvl w:ilvl="8" w:tplc="04090005" w:tentative="1">
      <w:start w:val="1"/>
      <w:numFmt w:val="bullet"/>
      <w:lvlText w:val=""/>
      <w:lvlJc w:val="left"/>
      <w:pPr>
        <w:ind w:left="4320" w:hanging="480"/>
      </w:pPr>
      <w:rPr>
        <w:rFonts w:ascii="Wingdings" w:hAnsi="Wingdings" w:cs="Wingdings" w:hint="default"/>
      </w:rPr>
    </w:lvl>
  </w:abstractNum>
  <w:abstractNum w:abstractNumId="23" w15:restartNumberingAfterBreak="0">
    <w:nsid w:val="66B46081"/>
    <w:multiLevelType w:val="multilevel"/>
    <w:tmpl w:val="0F54820C"/>
    <w:lvl w:ilvl="0">
      <w:start w:val="1"/>
      <w:numFmt w:val="bullet"/>
      <w:lvlText w:val=""/>
      <w:lvlJc w:val="left"/>
      <w:pPr>
        <w:tabs>
          <w:tab w:val="num" w:pos="720"/>
        </w:tabs>
        <w:ind w:left="720" w:hanging="360"/>
      </w:pPr>
      <w:rPr>
        <w:rFonts w:ascii="Symbol" w:hAnsi="Symbol" w:cs="Symbol" w:hint="default"/>
        <w:sz w:val="20"/>
        <w:szCs w:val="20"/>
      </w:rPr>
    </w:lvl>
    <w:lvl w:ilvl="1" w:tentative="1">
      <w:start w:val="1"/>
      <w:numFmt w:val="bullet"/>
      <w:lvlText w:val="o"/>
      <w:lvlJc w:val="left"/>
      <w:pPr>
        <w:tabs>
          <w:tab w:val="num" w:pos="1440"/>
        </w:tabs>
        <w:ind w:left="1440" w:hanging="360"/>
      </w:pPr>
      <w:rPr>
        <w:rFonts w:ascii="Courier New" w:hAnsi="Courier New" w:cs="Courier New" w:hint="default"/>
        <w:sz w:val="20"/>
        <w:szCs w:val="20"/>
      </w:rPr>
    </w:lvl>
    <w:lvl w:ilvl="2" w:tentative="1">
      <w:start w:val="1"/>
      <w:numFmt w:val="bullet"/>
      <w:lvlText w:val=""/>
      <w:lvlJc w:val="left"/>
      <w:pPr>
        <w:tabs>
          <w:tab w:val="num" w:pos="2160"/>
        </w:tabs>
        <w:ind w:left="2160" w:hanging="360"/>
      </w:pPr>
      <w:rPr>
        <w:rFonts w:ascii="Wingdings" w:hAnsi="Wingdings" w:cs="Wingdings" w:hint="default"/>
        <w:sz w:val="20"/>
        <w:szCs w:val="20"/>
      </w:rPr>
    </w:lvl>
    <w:lvl w:ilvl="3" w:tentative="1">
      <w:start w:val="1"/>
      <w:numFmt w:val="bullet"/>
      <w:lvlText w:val=""/>
      <w:lvlJc w:val="left"/>
      <w:pPr>
        <w:tabs>
          <w:tab w:val="num" w:pos="2880"/>
        </w:tabs>
        <w:ind w:left="2880" w:hanging="360"/>
      </w:pPr>
      <w:rPr>
        <w:rFonts w:ascii="Wingdings" w:hAnsi="Wingdings" w:cs="Wingdings" w:hint="default"/>
        <w:sz w:val="20"/>
        <w:szCs w:val="20"/>
      </w:rPr>
    </w:lvl>
    <w:lvl w:ilvl="4" w:tentative="1">
      <w:start w:val="1"/>
      <w:numFmt w:val="bullet"/>
      <w:lvlText w:val=""/>
      <w:lvlJc w:val="left"/>
      <w:pPr>
        <w:tabs>
          <w:tab w:val="num" w:pos="3600"/>
        </w:tabs>
        <w:ind w:left="3600" w:hanging="360"/>
      </w:pPr>
      <w:rPr>
        <w:rFonts w:ascii="Wingdings" w:hAnsi="Wingdings" w:cs="Wingdings" w:hint="default"/>
        <w:sz w:val="20"/>
        <w:szCs w:val="20"/>
      </w:rPr>
    </w:lvl>
    <w:lvl w:ilvl="5" w:tentative="1">
      <w:start w:val="1"/>
      <w:numFmt w:val="bullet"/>
      <w:lvlText w:val=""/>
      <w:lvlJc w:val="left"/>
      <w:pPr>
        <w:tabs>
          <w:tab w:val="num" w:pos="4320"/>
        </w:tabs>
        <w:ind w:left="4320" w:hanging="360"/>
      </w:pPr>
      <w:rPr>
        <w:rFonts w:ascii="Wingdings" w:hAnsi="Wingdings" w:cs="Wingdings" w:hint="default"/>
        <w:sz w:val="20"/>
        <w:szCs w:val="20"/>
      </w:rPr>
    </w:lvl>
    <w:lvl w:ilvl="6" w:tentative="1">
      <w:start w:val="1"/>
      <w:numFmt w:val="bullet"/>
      <w:lvlText w:val=""/>
      <w:lvlJc w:val="left"/>
      <w:pPr>
        <w:tabs>
          <w:tab w:val="num" w:pos="5040"/>
        </w:tabs>
        <w:ind w:left="5040" w:hanging="360"/>
      </w:pPr>
      <w:rPr>
        <w:rFonts w:ascii="Wingdings" w:hAnsi="Wingdings" w:cs="Wingdings" w:hint="default"/>
        <w:sz w:val="20"/>
        <w:szCs w:val="20"/>
      </w:rPr>
    </w:lvl>
    <w:lvl w:ilvl="7" w:tentative="1">
      <w:start w:val="1"/>
      <w:numFmt w:val="bullet"/>
      <w:lvlText w:val=""/>
      <w:lvlJc w:val="left"/>
      <w:pPr>
        <w:tabs>
          <w:tab w:val="num" w:pos="5760"/>
        </w:tabs>
        <w:ind w:left="5760" w:hanging="360"/>
      </w:pPr>
      <w:rPr>
        <w:rFonts w:ascii="Wingdings" w:hAnsi="Wingdings" w:cs="Wingdings" w:hint="default"/>
        <w:sz w:val="20"/>
        <w:szCs w:val="20"/>
      </w:rPr>
    </w:lvl>
    <w:lvl w:ilvl="8" w:tentative="1">
      <w:start w:val="1"/>
      <w:numFmt w:val="bullet"/>
      <w:lvlText w:val=""/>
      <w:lvlJc w:val="left"/>
      <w:pPr>
        <w:tabs>
          <w:tab w:val="num" w:pos="6480"/>
        </w:tabs>
        <w:ind w:left="6480" w:hanging="360"/>
      </w:pPr>
      <w:rPr>
        <w:rFonts w:ascii="Wingdings" w:hAnsi="Wingdings" w:cs="Wingdings" w:hint="default"/>
        <w:sz w:val="20"/>
        <w:szCs w:val="20"/>
      </w:rPr>
    </w:lvl>
  </w:abstractNum>
  <w:abstractNum w:abstractNumId="24" w15:restartNumberingAfterBreak="0">
    <w:nsid w:val="71AF048E"/>
    <w:multiLevelType w:val="hybridMultilevel"/>
    <w:tmpl w:val="BD341B84"/>
    <w:lvl w:ilvl="0" w:tplc="1206B516">
      <w:numFmt w:val="bullet"/>
      <w:lvlText w:val="-"/>
      <w:lvlJc w:val="left"/>
      <w:pPr>
        <w:ind w:left="72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5" w15:restartNumberingAfterBreak="0">
    <w:nsid w:val="7AEA4386"/>
    <w:multiLevelType w:val="multilevel"/>
    <w:tmpl w:val="00000000"/>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14"/>
  </w:num>
  <w:num w:numId="12">
    <w:abstractNumId w:val="19"/>
  </w:num>
  <w:num w:numId="13">
    <w:abstractNumId w:val="13"/>
  </w:num>
  <w:num w:numId="14">
    <w:abstractNumId w:val="20"/>
  </w:num>
  <w:num w:numId="15">
    <w:abstractNumId w:val="21"/>
  </w:num>
  <w:num w:numId="16">
    <w:abstractNumId w:val="22"/>
  </w:num>
  <w:num w:numId="17">
    <w:abstractNumId w:val="16"/>
  </w:num>
  <w:num w:numId="18">
    <w:abstractNumId w:val="23"/>
  </w:num>
  <w:num w:numId="19">
    <w:abstractNumId w:val="12"/>
  </w:num>
  <w:num w:numId="20">
    <w:abstractNumId w:val="11"/>
  </w:num>
  <w:num w:numId="21">
    <w:abstractNumId w:val="24"/>
  </w:num>
  <w:num w:numId="22">
    <w:abstractNumId w:val="18"/>
  </w:num>
  <w:num w:numId="23">
    <w:abstractNumId w:val="25"/>
    <w:lvlOverride w:ilvl="0">
      <w:lvl w:ilvl="0">
        <w:start w:val="1"/>
        <w:numFmt w:val="decimal"/>
        <w:lvlText w:val="%1)"/>
        <w:lvlJc w:val="left"/>
      </w:lvl>
    </w:lvlOverride>
    <w:lvlOverride w:ilvl="1">
      <w:lvl w:ilvl="1">
        <w:start w:val="1"/>
        <w:numFmt w:val="lowerLetter"/>
        <w:lvlText w:val="%2)"/>
        <w:lvlJc w:val="left"/>
      </w:lvl>
    </w:lvlOverride>
    <w:lvlOverride w:ilvl="2">
      <w:lvl w:ilvl="2">
        <w:start w:val="1"/>
        <w:numFmt w:val="lowerRoman"/>
        <w:lvlText w:val="%3)"/>
        <w:lvlJc w:val="left"/>
      </w:lvl>
    </w:lvlOverride>
    <w:lvlOverride w:ilvl="3">
      <w:lvl w:ilvl="3">
        <w:start w:val="1"/>
        <w:numFmt w:val="decimal"/>
        <w:lvlText w:val="(%4)"/>
        <w:lvlJc w:val="left"/>
      </w:lvl>
    </w:lvlOverride>
    <w:lvlOverride w:ilvl="4">
      <w:lvl w:ilvl="4">
        <w:start w:val="1"/>
        <w:numFmt w:val="lowerLetter"/>
        <w:lvlText w:val="(%5)"/>
        <w:lvlJc w:val="left"/>
      </w:lvl>
    </w:lvlOverride>
    <w:lvlOverride w:ilvl="5">
      <w:lvl w:ilvl="5">
        <w:start w:val="1"/>
        <w:numFmt w:val="lowerRoman"/>
        <w:lvlText w:val="(%6)"/>
        <w:lvlJc w:val="left"/>
      </w:lvl>
    </w:lvlOverride>
    <w:lvlOverride w:ilvl="6">
      <w:lvl w:ilvl="6">
        <w:start w:val="1"/>
        <w:numFmt w:val="decimal"/>
        <w:lvlText w:val="%7."/>
        <w:lvlJc w:val="left"/>
      </w:lvl>
    </w:lvlOverride>
    <w:lvlOverride w:ilvl="7">
      <w:lvl w:ilvl="7">
        <w:start w:val="1"/>
        <w:numFmt w:val="lowerLetter"/>
        <w:lvlText w:val="%8."/>
        <w:lvlJc w:val="left"/>
      </w:lvl>
    </w:lvlOverride>
    <w:lvlOverride w:ilvl="8">
      <w:lvl w:ilvl="8">
        <w:start w:val="1"/>
        <w:numFmt w:val="lowerRoman"/>
        <w:lvlText w:val="%9."/>
        <w:lvlJc w:val="left"/>
      </w:lvl>
    </w:lvlOverride>
  </w:num>
  <w:num w:numId="24">
    <w:abstractNumId w:val="25"/>
    <w:lvlOverride w:ilvl="0">
      <w:lvl w:ilvl="0">
        <w:start w:val="1"/>
        <w:numFmt w:val="upperRoman"/>
        <w:lvlText w:val="%1."/>
        <w:lvlJc w:val="left"/>
      </w:lvl>
    </w:lvlOverride>
    <w:lvlOverride w:ilvl="1">
      <w:lvl w:ilvl="1">
        <w:start w:val="1"/>
        <w:numFmt w:val="upperLetter"/>
        <w:lvlText w:val="%2."/>
        <w:lvlJc w:val="left"/>
      </w:lvl>
    </w:lvlOverride>
    <w:lvlOverride w:ilvl="2">
      <w:lvl w:ilvl="2">
        <w:start w:val="1"/>
        <w:numFmt w:val="decimal"/>
        <w:lvlText w:val="%3."/>
        <w:lvlJc w:val="left"/>
      </w:lvl>
    </w:lvlOverride>
    <w:lvlOverride w:ilvl="3">
      <w:lvl w:ilvl="3">
        <w:start w:val="1"/>
        <w:numFmt w:val="lowerLetter"/>
        <w:lvlText w:val="%4)"/>
        <w:lvlJc w:val="left"/>
      </w:lvl>
    </w:lvlOverride>
    <w:lvlOverride w:ilvl="4">
      <w:lvl w:ilvl="4">
        <w:start w:val="1"/>
        <w:numFmt w:val="decimal"/>
        <w:lvlText w:val="(%5)"/>
        <w:lvlJc w:val="left"/>
      </w:lvl>
    </w:lvlOverride>
    <w:lvlOverride w:ilvl="5">
      <w:lvl w:ilvl="5">
        <w:start w:val="1"/>
        <w:numFmt w:val="lowerLetter"/>
        <w:lvlText w:val="(%6)"/>
        <w:lvlJc w:val="left"/>
      </w:lvl>
    </w:lvlOverride>
    <w:lvlOverride w:ilvl="6">
      <w:lvl w:ilvl="6">
        <w:start w:val="1"/>
        <w:numFmt w:val="lowerRoman"/>
        <w:lvlText w:val="(%7)"/>
        <w:lvlJc w:val="left"/>
      </w:lvl>
    </w:lvlOverride>
    <w:lvlOverride w:ilvl="7">
      <w:lvl w:ilvl="7">
        <w:start w:val="1"/>
        <w:numFmt w:val="lowerLetter"/>
        <w:lvlText w:val="(%8)"/>
        <w:lvlJc w:val="left"/>
      </w:lvl>
    </w:lvlOverride>
    <w:lvlOverride w:ilvl="8">
      <w:lvl w:ilvl="8">
        <w:start w:val="1"/>
        <w:numFmt w:val="lowerRoman"/>
        <w:lvlText w:val="(%9)"/>
        <w:lvlJc w:val="left"/>
      </w:lvl>
    </w:lvlOverride>
  </w:num>
  <w:num w:numId="25">
    <w:abstractNumId w:val="25"/>
    <w:lvlOverride w:ilvl="0">
      <w:lvl w:ilvl="0">
        <w:start w:val="1"/>
        <w:numFmt w:val="decimal"/>
        <w:lvlText w:val="%1."/>
        <w:lvlJc w:val="left"/>
      </w:lvl>
    </w:lvlOverride>
    <w:lvlOverride w:ilvl="1">
      <w:lvl w:ilvl="1">
        <w:start w:val="1"/>
        <w:numFmt w:val="decimal"/>
        <w:lvlText w:val="%1.%2."/>
        <w:lvlJc w:val="left"/>
      </w:lvl>
    </w:lvlOverride>
    <w:lvlOverride w:ilvl="2">
      <w:lvl w:ilvl="2">
        <w:start w:val="1"/>
        <w:numFmt w:val="decimal"/>
        <w:lvlText w:val="%1.%2.%3."/>
        <w:lvlJc w:val="left"/>
      </w:lvl>
    </w:lvlOverride>
    <w:lvlOverride w:ilvl="3">
      <w:lvl w:ilvl="3">
        <w:start w:val="1"/>
        <w:numFmt w:val="decimal"/>
        <w:lvlText w:val="%1.%2.%3.%4."/>
        <w:lvlJc w:val="left"/>
      </w:lvl>
    </w:lvlOverride>
    <w:lvlOverride w:ilvl="4">
      <w:lvl w:ilvl="4">
        <w:start w:val="1"/>
        <w:numFmt w:val="decimal"/>
        <w:lvlText w:val="%1.%2.%3.%4.%5."/>
        <w:lvlJc w:val="left"/>
      </w:lvl>
    </w:lvlOverride>
    <w:lvlOverride w:ilvl="5">
      <w:lvl w:ilvl="5">
        <w:start w:val="1"/>
        <w:numFmt w:val="decimal"/>
        <w:lvlText w:val="%1.%2.%3.%4.%5.%6."/>
        <w:lvlJc w:val="left"/>
      </w:lvl>
    </w:lvlOverride>
    <w:lvlOverride w:ilvl="6">
      <w:lvl w:ilvl="6">
        <w:start w:val="1"/>
        <w:numFmt w:val="decimal"/>
        <w:lvlText w:val="%1.%2.%3.%4.%5.%6.%7."/>
        <w:lvlJc w:val="left"/>
      </w:lvl>
    </w:lvlOverride>
    <w:lvlOverride w:ilvl="7">
      <w:lvl w:ilvl="7">
        <w:start w:val="1"/>
        <w:numFmt w:val="decimal"/>
        <w:lvlText w:val="%1.%2.%3.%4.%5.%6.%7.%8."/>
        <w:lvlJc w:val="left"/>
      </w:lvl>
    </w:lvlOverride>
    <w:lvlOverride w:ilvl="8">
      <w:lvl w:ilvl="8">
        <w:start w:val="1"/>
        <w:numFmt w:val="decimal"/>
        <w:lvlText w:val="%1.%2.%3.%4.%5.%6.%7.%8.%9."/>
        <w:lvlJc w:val="left"/>
      </w:lvl>
    </w:lvlOverride>
  </w:num>
  <w:num w:numId="26">
    <w:abstractNumId w:val="15"/>
  </w:num>
  <w:num w:numId="27">
    <w:abstractNumId w:val="17"/>
  </w:num>
  <w:num w:numId="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efaultTabStop w:val="720"/>
  <w:characterSpacingControl w:val="doNotCompress"/>
  <w:hdrShapeDefaults>
    <o:shapedefaults v:ext="edit" spidmax="12289"/>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jY3tzQ2NjA2MzY3tLBQ0lEKTi0uzszPAykwrAUAI2fjcCwAAAA="/>
  </w:docVars>
  <w:rsids>
    <w:rsidRoot w:val="008A4DC4"/>
    <w:rsid w:val="0000085A"/>
    <w:rsid w:val="00013360"/>
    <w:rsid w:val="000133DE"/>
    <w:rsid w:val="000216CE"/>
    <w:rsid w:val="00025DC7"/>
    <w:rsid w:val="00026486"/>
    <w:rsid w:val="00044ECC"/>
    <w:rsid w:val="000531D3"/>
    <w:rsid w:val="0005646B"/>
    <w:rsid w:val="00057415"/>
    <w:rsid w:val="00073F03"/>
    <w:rsid w:val="00075172"/>
    <w:rsid w:val="0008102D"/>
    <w:rsid w:val="000873C0"/>
    <w:rsid w:val="0009126B"/>
    <w:rsid w:val="00094C0E"/>
    <w:rsid w:val="000B13DE"/>
    <w:rsid w:val="000B4DF1"/>
    <w:rsid w:val="000B73A2"/>
    <w:rsid w:val="000D5136"/>
    <w:rsid w:val="000D7878"/>
    <w:rsid w:val="000F0C22"/>
    <w:rsid w:val="000F6B09"/>
    <w:rsid w:val="000F6FDC"/>
    <w:rsid w:val="001022B9"/>
    <w:rsid w:val="00104567"/>
    <w:rsid w:val="00114346"/>
    <w:rsid w:val="00123466"/>
    <w:rsid w:val="001237B6"/>
    <w:rsid w:val="0012732D"/>
    <w:rsid w:val="00152BB7"/>
    <w:rsid w:val="00154FC9"/>
    <w:rsid w:val="00157EF5"/>
    <w:rsid w:val="0016319B"/>
    <w:rsid w:val="00163890"/>
    <w:rsid w:val="00177565"/>
    <w:rsid w:val="00184536"/>
    <w:rsid w:val="0019241A"/>
    <w:rsid w:val="001954DE"/>
    <w:rsid w:val="00196743"/>
    <w:rsid w:val="001A09B2"/>
    <w:rsid w:val="001A3ACA"/>
    <w:rsid w:val="001A4679"/>
    <w:rsid w:val="001A5335"/>
    <w:rsid w:val="001A752D"/>
    <w:rsid w:val="001B2137"/>
    <w:rsid w:val="001C04FA"/>
    <w:rsid w:val="001D1252"/>
    <w:rsid w:val="001D38B2"/>
    <w:rsid w:val="00203AA1"/>
    <w:rsid w:val="00207A5A"/>
    <w:rsid w:val="00213528"/>
    <w:rsid w:val="00213E98"/>
    <w:rsid w:val="0022199D"/>
    <w:rsid w:val="0022217E"/>
    <w:rsid w:val="002254D5"/>
    <w:rsid w:val="00237104"/>
    <w:rsid w:val="00240062"/>
    <w:rsid w:val="00244117"/>
    <w:rsid w:val="00246172"/>
    <w:rsid w:val="00263FA9"/>
    <w:rsid w:val="00266837"/>
    <w:rsid w:val="00270934"/>
    <w:rsid w:val="002748EF"/>
    <w:rsid w:val="0027552B"/>
    <w:rsid w:val="002B290B"/>
    <w:rsid w:val="002C267C"/>
    <w:rsid w:val="002C2F3F"/>
    <w:rsid w:val="002C688E"/>
    <w:rsid w:val="002D7E4E"/>
    <w:rsid w:val="002E2945"/>
    <w:rsid w:val="002E32F0"/>
    <w:rsid w:val="002E5403"/>
    <w:rsid w:val="002F460C"/>
    <w:rsid w:val="002F48D6"/>
    <w:rsid w:val="002F514A"/>
    <w:rsid w:val="00306057"/>
    <w:rsid w:val="00306989"/>
    <w:rsid w:val="003136D4"/>
    <w:rsid w:val="00316E8B"/>
    <w:rsid w:val="003208FA"/>
    <w:rsid w:val="003461A8"/>
    <w:rsid w:val="00354899"/>
    <w:rsid w:val="003549CB"/>
    <w:rsid w:val="00355FD6"/>
    <w:rsid w:val="00361C8E"/>
    <w:rsid w:val="00362818"/>
    <w:rsid w:val="00364A5C"/>
    <w:rsid w:val="0036663E"/>
    <w:rsid w:val="00373FB1"/>
    <w:rsid w:val="003812DE"/>
    <w:rsid w:val="00395962"/>
    <w:rsid w:val="003978B1"/>
    <w:rsid w:val="003A0306"/>
    <w:rsid w:val="003B252B"/>
    <w:rsid w:val="003B30D8"/>
    <w:rsid w:val="003B3D71"/>
    <w:rsid w:val="003B7C13"/>
    <w:rsid w:val="003B7DFC"/>
    <w:rsid w:val="003B7EF2"/>
    <w:rsid w:val="003C3FA4"/>
    <w:rsid w:val="003E7132"/>
    <w:rsid w:val="003F2B0C"/>
    <w:rsid w:val="003F48DE"/>
    <w:rsid w:val="004042E3"/>
    <w:rsid w:val="00413C19"/>
    <w:rsid w:val="004221E4"/>
    <w:rsid w:val="0042582C"/>
    <w:rsid w:val="00426DDA"/>
    <w:rsid w:val="00431673"/>
    <w:rsid w:val="00435844"/>
    <w:rsid w:val="00445E1B"/>
    <w:rsid w:val="00450122"/>
    <w:rsid w:val="00471088"/>
    <w:rsid w:val="00483AF9"/>
    <w:rsid w:val="00495DB6"/>
    <w:rsid w:val="0049771F"/>
    <w:rsid w:val="004A6F7F"/>
    <w:rsid w:val="004B1CCB"/>
    <w:rsid w:val="004D73A5"/>
    <w:rsid w:val="004E181A"/>
    <w:rsid w:val="004E2AF1"/>
    <w:rsid w:val="004F1BA1"/>
    <w:rsid w:val="00505689"/>
    <w:rsid w:val="00527B31"/>
    <w:rsid w:val="00532CF5"/>
    <w:rsid w:val="00543E43"/>
    <w:rsid w:val="00550906"/>
    <w:rsid w:val="005528CB"/>
    <w:rsid w:val="00554A4E"/>
    <w:rsid w:val="00555A77"/>
    <w:rsid w:val="005661CB"/>
    <w:rsid w:val="00566771"/>
    <w:rsid w:val="0056785D"/>
    <w:rsid w:val="00570579"/>
    <w:rsid w:val="005741ED"/>
    <w:rsid w:val="00581E2E"/>
    <w:rsid w:val="00584F15"/>
    <w:rsid w:val="005908AA"/>
    <w:rsid w:val="005947CC"/>
    <w:rsid w:val="005A3F67"/>
    <w:rsid w:val="005B1AEB"/>
    <w:rsid w:val="005B74B6"/>
    <w:rsid w:val="005C2C65"/>
    <w:rsid w:val="005C5267"/>
    <w:rsid w:val="005E3771"/>
    <w:rsid w:val="005F5DD9"/>
    <w:rsid w:val="00614F89"/>
    <w:rsid w:val="006156A4"/>
    <w:rsid w:val="006163F7"/>
    <w:rsid w:val="00630A49"/>
    <w:rsid w:val="00630E61"/>
    <w:rsid w:val="00632525"/>
    <w:rsid w:val="00650389"/>
    <w:rsid w:val="00652606"/>
    <w:rsid w:val="0065557F"/>
    <w:rsid w:val="00667812"/>
    <w:rsid w:val="00673323"/>
    <w:rsid w:val="00682754"/>
    <w:rsid w:val="00685B53"/>
    <w:rsid w:val="00694225"/>
    <w:rsid w:val="00695D29"/>
    <w:rsid w:val="006A05E7"/>
    <w:rsid w:val="006A58A9"/>
    <w:rsid w:val="006A606D"/>
    <w:rsid w:val="006A65EC"/>
    <w:rsid w:val="006B3525"/>
    <w:rsid w:val="006B65CC"/>
    <w:rsid w:val="006B7F7A"/>
    <w:rsid w:val="006C0371"/>
    <w:rsid w:val="006C08B6"/>
    <w:rsid w:val="006C0B1A"/>
    <w:rsid w:val="006C2564"/>
    <w:rsid w:val="006C2F25"/>
    <w:rsid w:val="006C4384"/>
    <w:rsid w:val="006C6065"/>
    <w:rsid w:val="006C7F9F"/>
    <w:rsid w:val="006D66F2"/>
    <w:rsid w:val="006E2F6D"/>
    <w:rsid w:val="006E58F6"/>
    <w:rsid w:val="006E77E1"/>
    <w:rsid w:val="006F131D"/>
    <w:rsid w:val="006F1D9E"/>
    <w:rsid w:val="006F2168"/>
    <w:rsid w:val="00713D25"/>
    <w:rsid w:val="00752BCD"/>
    <w:rsid w:val="00766DA1"/>
    <w:rsid w:val="00784088"/>
    <w:rsid w:val="007866A6"/>
    <w:rsid w:val="007A130D"/>
    <w:rsid w:val="007A5862"/>
    <w:rsid w:val="007A6CC3"/>
    <w:rsid w:val="007B2184"/>
    <w:rsid w:val="007C17BD"/>
    <w:rsid w:val="007D4102"/>
    <w:rsid w:val="007D56D4"/>
    <w:rsid w:val="007E2994"/>
    <w:rsid w:val="007E5667"/>
    <w:rsid w:val="007E5921"/>
    <w:rsid w:val="007F2489"/>
    <w:rsid w:val="007F2D61"/>
    <w:rsid w:val="00813087"/>
    <w:rsid w:val="00821FFC"/>
    <w:rsid w:val="008271CA"/>
    <w:rsid w:val="0084158C"/>
    <w:rsid w:val="008467D5"/>
    <w:rsid w:val="00847C44"/>
    <w:rsid w:val="00856D9F"/>
    <w:rsid w:val="00866F6D"/>
    <w:rsid w:val="00871B64"/>
    <w:rsid w:val="00873573"/>
    <w:rsid w:val="0088020C"/>
    <w:rsid w:val="008A4DC4"/>
    <w:rsid w:val="008B7783"/>
    <w:rsid w:val="008E1332"/>
    <w:rsid w:val="008F20CA"/>
    <w:rsid w:val="008F5715"/>
    <w:rsid w:val="009067A4"/>
    <w:rsid w:val="0090722E"/>
    <w:rsid w:val="00921037"/>
    <w:rsid w:val="00931E46"/>
    <w:rsid w:val="009340DB"/>
    <w:rsid w:val="00945F9E"/>
    <w:rsid w:val="00961B5E"/>
    <w:rsid w:val="00972498"/>
    <w:rsid w:val="00974CC6"/>
    <w:rsid w:val="00976AD4"/>
    <w:rsid w:val="009963B7"/>
    <w:rsid w:val="009A002F"/>
    <w:rsid w:val="009A05E2"/>
    <w:rsid w:val="009A312F"/>
    <w:rsid w:val="009A5348"/>
    <w:rsid w:val="009A67BB"/>
    <w:rsid w:val="009A731F"/>
    <w:rsid w:val="009C76D5"/>
    <w:rsid w:val="009D6E2F"/>
    <w:rsid w:val="009E4AED"/>
    <w:rsid w:val="009F125E"/>
    <w:rsid w:val="009F7AA4"/>
    <w:rsid w:val="00A00CCD"/>
    <w:rsid w:val="00A04F2C"/>
    <w:rsid w:val="00A20C6D"/>
    <w:rsid w:val="00A31C3C"/>
    <w:rsid w:val="00A31F6C"/>
    <w:rsid w:val="00A35D0D"/>
    <w:rsid w:val="00A363CD"/>
    <w:rsid w:val="00A41F14"/>
    <w:rsid w:val="00A441EE"/>
    <w:rsid w:val="00A44C6C"/>
    <w:rsid w:val="00A46C24"/>
    <w:rsid w:val="00A559DB"/>
    <w:rsid w:val="00A76ACB"/>
    <w:rsid w:val="00A9253E"/>
    <w:rsid w:val="00AA4D21"/>
    <w:rsid w:val="00AB31C5"/>
    <w:rsid w:val="00AB3489"/>
    <w:rsid w:val="00AB4427"/>
    <w:rsid w:val="00AC4190"/>
    <w:rsid w:val="00AD6009"/>
    <w:rsid w:val="00AD62A8"/>
    <w:rsid w:val="00AF1AD7"/>
    <w:rsid w:val="00AF35FC"/>
    <w:rsid w:val="00AF664B"/>
    <w:rsid w:val="00B03639"/>
    <w:rsid w:val="00B0652A"/>
    <w:rsid w:val="00B25329"/>
    <w:rsid w:val="00B268CC"/>
    <w:rsid w:val="00B357C8"/>
    <w:rsid w:val="00B3757D"/>
    <w:rsid w:val="00B40937"/>
    <w:rsid w:val="00B423EF"/>
    <w:rsid w:val="00B45088"/>
    <w:rsid w:val="00B453DE"/>
    <w:rsid w:val="00B4742F"/>
    <w:rsid w:val="00B52762"/>
    <w:rsid w:val="00B729EE"/>
    <w:rsid w:val="00B73535"/>
    <w:rsid w:val="00B76D44"/>
    <w:rsid w:val="00B81143"/>
    <w:rsid w:val="00B86CEA"/>
    <w:rsid w:val="00B901F9"/>
    <w:rsid w:val="00BA7E76"/>
    <w:rsid w:val="00BD6EFB"/>
    <w:rsid w:val="00C118C8"/>
    <w:rsid w:val="00C11930"/>
    <w:rsid w:val="00C15BE2"/>
    <w:rsid w:val="00C22219"/>
    <w:rsid w:val="00C3447F"/>
    <w:rsid w:val="00C45374"/>
    <w:rsid w:val="00C61F4A"/>
    <w:rsid w:val="00C64304"/>
    <w:rsid w:val="00C65CA3"/>
    <w:rsid w:val="00C6687F"/>
    <w:rsid w:val="00C81491"/>
    <w:rsid w:val="00C81676"/>
    <w:rsid w:val="00C92AF6"/>
    <w:rsid w:val="00C92CC4"/>
    <w:rsid w:val="00C940B0"/>
    <w:rsid w:val="00CA0AFB"/>
    <w:rsid w:val="00CA2CE1"/>
    <w:rsid w:val="00CA3976"/>
    <w:rsid w:val="00CA757B"/>
    <w:rsid w:val="00CB267E"/>
    <w:rsid w:val="00CB3DEB"/>
    <w:rsid w:val="00CB6333"/>
    <w:rsid w:val="00CB6B09"/>
    <w:rsid w:val="00CB6F01"/>
    <w:rsid w:val="00CC1787"/>
    <w:rsid w:val="00CC182C"/>
    <w:rsid w:val="00CD0824"/>
    <w:rsid w:val="00CD2726"/>
    <w:rsid w:val="00CD2908"/>
    <w:rsid w:val="00CE001F"/>
    <w:rsid w:val="00CE3DA2"/>
    <w:rsid w:val="00CE521C"/>
    <w:rsid w:val="00CF1270"/>
    <w:rsid w:val="00CF4984"/>
    <w:rsid w:val="00D03A82"/>
    <w:rsid w:val="00D13D0A"/>
    <w:rsid w:val="00D15344"/>
    <w:rsid w:val="00D31BEC"/>
    <w:rsid w:val="00D356F1"/>
    <w:rsid w:val="00D35F44"/>
    <w:rsid w:val="00D45526"/>
    <w:rsid w:val="00D50318"/>
    <w:rsid w:val="00D55422"/>
    <w:rsid w:val="00D563D8"/>
    <w:rsid w:val="00D6254E"/>
    <w:rsid w:val="00D63150"/>
    <w:rsid w:val="00D64A32"/>
    <w:rsid w:val="00D64EFC"/>
    <w:rsid w:val="00D737BC"/>
    <w:rsid w:val="00D74C3C"/>
    <w:rsid w:val="00D75295"/>
    <w:rsid w:val="00D75E9C"/>
    <w:rsid w:val="00D76CE9"/>
    <w:rsid w:val="00D7761B"/>
    <w:rsid w:val="00D97F12"/>
    <w:rsid w:val="00DA00A9"/>
    <w:rsid w:val="00DA5F3B"/>
    <w:rsid w:val="00DB1B7F"/>
    <w:rsid w:val="00DB42E7"/>
    <w:rsid w:val="00DB5CEC"/>
    <w:rsid w:val="00DC4869"/>
    <w:rsid w:val="00DC51BA"/>
    <w:rsid w:val="00DD01AB"/>
    <w:rsid w:val="00DD60A0"/>
    <w:rsid w:val="00DE586C"/>
    <w:rsid w:val="00DE63ED"/>
    <w:rsid w:val="00DF123B"/>
    <w:rsid w:val="00DF32C2"/>
    <w:rsid w:val="00DF38E8"/>
    <w:rsid w:val="00E14FE2"/>
    <w:rsid w:val="00E17CAA"/>
    <w:rsid w:val="00E368D8"/>
    <w:rsid w:val="00E41FDE"/>
    <w:rsid w:val="00E471A7"/>
    <w:rsid w:val="00E635CF"/>
    <w:rsid w:val="00E81932"/>
    <w:rsid w:val="00E91F9C"/>
    <w:rsid w:val="00EA60EB"/>
    <w:rsid w:val="00EB103E"/>
    <w:rsid w:val="00EB1850"/>
    <w:rsid w:val="00EB5410"/>
    <w:rsid w:val="00EB6AE9"/>
    <w:rsid w:val="00EC6E0A"/>
    <w:rsid w:val="00ED4E18"/>
    <w:rsid w:val="00EE1F37"/>
    <w:rsid w:val="00EE7A1E"/>
    <w:rsid w:val="00EF6456"/>
    <w:rsid w:val="00F0159C"/>
    <w:rsid w:val="00F105B7"/>
    <w:rsid w:val="00F11C4A"/>
    <w:rsid w:val="00F14255"/>
    <w:rsid w:val="00F17A21"/>
    <w:rsid w:val="00F50E91"/>
    <w:rsid w:val="00F54592"/>
    <w:rsid w:val="00F54E9C"/>
    <w:rsid w:val="00F57D29"/>
    <w:rsid w:val="00F679BF"/>
    <w:rsid w:val="00F81BAD"/>
    <w:rsid w:val="00F92A99"/>
    <w:rsid w:val="00F96201"/>
    <w:rsid w:val="00FC30E9"/>
    <w:rsid w:val="00FD0B18"/>
    <w:rsid w:val="00FD0F82"/>
    <w:rsid w:val="00FD11C1"/>
    <w:rsid w:val="00FE13BA"/>
    <w:rsid w:val="00FE714F"/>
    <w:rsid w:val="00FF1A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2289"/>
    <o:shapelayout v:ext="edit">
      <o:idmap v:ext="edit" data="1"/>
    </o:shapelayout>
  </w:shapeDefaults>
  <w:decimalSymbol w:val="."/>
  <w:listSeparator w:val=","/>
  <w14:docId w14:val="0E0F0CA0"/>
  <w15:docId w15:val="{A1F830C0-6175-4ADE-B48C-27C400FC2C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B03639"/>
    <w:pPr>
      <w:spacing w:after="0" w:line="240" w:lineRule="auto"/>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467D5"/>
    <w:rPr>
      <w:rFonts w:ascii="Tahoma" w:hAnsi="Tahoma" w:cs="Tahoma"/>
      <w:sz w:val="16"/>
      <w:szCs w:val="16"/>
    </w:rPr>
  </w:style>
  <w:style w:type="character" w:customStyle="1" w:styleId="BalloonTextChar">
    <w:name w:val="Balloon Text Char"/>
    <w:basedOn w:val="DefaultParagraphFont"/>
    <w:link w:val="BalloonText"/>
    <w:uiPriority w:val="99"/>
    <w:semiHidden/>
    <w:rsid w:val="008467D5"/>
    <w:rPr>
      <w:rFonts w:ascii="Tahoma" w:hAnsi="Tahoma" w:cs="Tahoma"/>
      <w:sz w:val="16"/>
      <w:szCs w:val="16"/>
    </w:rPr>
  </w:style>
  <w:style w:type="paragraph" w:customStyle="1" w:styleId="MainTitle">
    <w:name w:val="MainTitle"/>
    <w:basedOn w:val="Normal"/>
    <w:link w:val="MainTitleChar"/>
    <w:uiPriority w:val="99"/>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uiPriority w:val="99"/>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2E32F0"/>
    <w:rPr>
      <w:i/>
      <w:u w:val="none"/>
    </w:rPr>
  </w:style>
  <w:style w:type="character" w:customStyle="1" w:styleId="Casehead4Char">
    <w:name w:val="Casehead 4 Char"/>
    <w:basedOn w:val="Casehead3Char"/>
    <w:link w:val="Casehead4"/>
    <w:rsid w:val="002E32F0"/>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iPriority w:val="99"/>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6C0B1A"/>
    <w:rPr>
      <w:vertAlign w:val="superscript"/>
    </w:rPr>
  </w:style>
  <w:style w:type="paragraph" w:customStyle="1" w:styleId="Footnote">
    <w:name w:val="Footnote"/>
    <w:basedOn w:val="FootnoteText"/>
    <w:link w:val="FootnoteChar"/>
    <w:qFormat/>
    <w:rsid w:val="006F1D9E"/>
    <w:pPr>
      <w:jc w:val="both"/>
    </w:pPr>
    <w:rPr>
      <w:rFonts w:ascii="Arial" w:hAnsi="Arial" w:cs="Arial"/>
      <w:sz w:val="17"/>
      <w:szCs w:val="17"/>
    </w:rPr>
  </w:style>
  <w:style w:type="character" w:customStyle="1" w:styleId="FootnoteChar">
    <w:name w:val="Footnote Char"/>
    <w:basedOn w:val="FootnoteTextChar"/>
    <w:link w:val="Footnote"/>
    <w:rsid w:val="006F1D9E"/>
    <w:rPr>
      <w:rFonts w:ascii="Arial" w:eastAsia="Times New Roman" w:hAnsi="Arial" w:cs="Arial"/>
      <w:sz w:val="17"/>
      <w:szCs w:val="17"/>
    </w:rPr>
  </w:style>
  <w:style w:type="paragraph" w:customStyle="1" w:styleId="Quotation3Lines">
    <w:name w:val="Quotation (3+ Lines)"/>
    <w:basedOn w:val="BodyTextMain"/>
    <w:link w:val="Quotation3LinesChar"/>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iPriority w:val="99"/>
    <w:unhideWhenUsed/>
    <w:rsid w:val="00F105B7"/>
    <w:pPr>
      <w:tabs>
        <w:tab w:val="center" w:pos="4680"/>
        <w:tab w:val="right" w:pos="9360"/>
      </w:tabs>
    </w:pPr>
  </w:style>
  <w:style w:type="character" w:customStyle="1" w:styleId="HeaderChar">
    <w:name w:val="Header Char"/>
    <w:basedOn w:val="DefaultParagraphFont"/>
    <w:link w:val="Header"/>
    <w:uiPriority w:val="99"/>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nhideWhenUsed/>
    <w:rsid w:val="009A5348"/>
  </w:style>
  <w:style w:type="character" w:customStyle="1" w:styleId="CommentTextChar">
    <w:name w:val="Comment Text Char"/>
    <w:basedOn w:val="DefaultParagraphFont"/>
    <w:link w:val="CommentText"/>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uiPriority w:val="99"/>
    <w:semiHidden/>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uiPriority w:val="99"/>
    <w:rsid w:val="009A5348"/>
    <w:pPr>
      <w:tabs>
        <w:tab w:val="left" w:pos="-1440"/>
        <w:tab w:val="left" w:pos="-720"/>
        <w:tab w:val="left" w:pos="1"/>
        <w:tab w:val="right" w:pos="9000"/>
      </w:tabs>
      <w:jc w:val="both"/>
    </w:pPr>
    <w:rPr>
      <w:rFonts w:ascii="Arial" w:hAnsi="Arial" w:cs="Arial"/>
      <w:i/>
      <w:iCs/>
      <w:sz w:val="17"/>
      <w:szCs w:val="17"/>
    </w:rPr>
  </w:style>
  <w:style w:type="paragraph" w:styleId="NormalWeb">
    <w:name w:val="Normal (Web)"/>
    <w:basedOn w:val="Normal"/>
    <w:uiPriority w:val="99"/>
    <w:semiHidden/>
    <w:rsid w:val="00FD0F82"/>
    <w:pPr>
      <w:spacing w:before="100" w:beforeAutospacing="1" w:after="100" w:afterAutospacing="1"/>
    </w:pPr>
    <w:rPr>
      <w:rFonts w:ascii="PMingLiU" w:eastAsiaTheme="minorEastAsia" w:hAnsi="PMingLiU" w:cs="PMingLiU"/>
      <w:sz w:val="24"/>
      <w:szCs w:val="24"/>
      <w:lang w:eastAsia="zh-TW"/>
    </w:rPr>
  </w:style>
  <w:style w:type="numbering" w:customStyle="1" w:styleId="NoList1">
    <w:name w:val="No List1"/>
    <w:next w:val="NoList"/>
    <w:uiPriority w:val="99"/>
    <w:semiHidden/>
    <w:unhideWhenUsed/>
    <w:rsid w:val="00FD0F82"/>
  </w:style>
  <w:style w:type="table" w:styleId="TableGrid">
    <w:name w:val="Table Grid"/>
    <w:basedOn w:val="TableNormal"/>
    <w:uiPriority w:val="59"/>
    <w:rsid w:val="00FD0F82"/>
    <w:pPr>
      <w:spacing w:after="0" w:line="240" w:lineRule="auto"/>
    </w:pPr>
    <w:rPr>
      <w:rFonts w:ascii="Calibri" w:eastAsiaTheme="minorEastAsia" w:hAnsi="Calibri" w:cs="Calibri"/>
      <w:sz w:val="20"/>
      <w:szCs w:val="20"/>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link w:val="PlainTextChar"/>
    <w:uiPriority w:val="99"/>
    <w:rsid w:val="00FD0F82"/>
    <w:rPr>
      <w:rFonts w:ascii="Consolas" w:eastAsiaTheme="minorEastAsia" w:hAnsi="Consolas" w:cs="Consolas"/>
      <w:sz w:val="21"/>
      <w:szCs w:val="21"/>
      <w:lang w:eastAsia="zh-CN"/>
    </w:rPr>
  </w:style>
  <w:style w:type="character" w:customStyle="1" w:styleId="PlainTextChar">
    <w:name w:val="Plain Text Char"/>
    <w:basedOn w:val="DefaultParagraphFont"/>
    <w:link w:val="PlainText"/>
    <w:uiPriority w:val="99"/>
    <w:rsid w:val="00FD0F82"/>
    <w:rPr>
      <w:rFonts w:ascii="Consolas" w:eastAsiaTheme="minorEastAsia" w:hAnsi="Consolas" w:cs="Consolas"/>
      <w:sz w:val="21"/>
      <w:szCs w:val="21"/>
      <w:lang w:eastAsia="zh-CN"/>
    </w:rPr>
  </w:style>
  <w:style w:type="character" w:styleId="Emphasis">
    <w:name w:val="Emphasis"/>
    <w:basedOn w:val="DefaultParagraphFont"/>
    <w:uiPriority w:val="20"/>
    <w:qFormat/>
    <w:rsid w:val="00FD0F82"/>
    <w:rPr>
      <w:i/>
      <w:iCs/>
    </w:rPr>
  </w:style>
  <w:style w:type="character" w:styleId="Strong">
    <w:name w:val="Strong"/>
    <w:basedOn w:val="DefaultParagraphFont"/>
    <w:uiPriority w:val="99"/>
    <w:rsid w:val="00FD0F82"/>
    <w:rPr>
      <w:b/>
      <w:bCs/>
    </w:rPr>
  </w:style>
  <w:style w:type="character" w:customStyle="1" w:styleId="Title1">
    <w:name w:val="Title1"/>
    <w:basedOn w:val="DefaultParagraphFont"/>
    <w:uiPriority w:val="99"/>
    <w:rsid w:val="00FD0F82"/>
  </w:style>
  <w:style w:type="paragraph" w:styleId="Revision">
    <w:name w:val="Revision"/>
    <w:hidden/>
    <w:uiPriority w:val="99"/>
    <w:semiHidden/>
    <w:rsid w:val="00FD0F82"/>
    <w:pPr>
      <w:spacing w:after="0" w:line="240" w:lineRule="auto"/>
    </w:pPr>
    <w:rPr>
      <w:rFonts w:ascii="Calibri" w:eastAsiaTheme="minorEastAsia" w:hAnsi="Calibri" w:cs="Calibri"/>
      <w:lang w:eastAsia="zh-CN"/>
    </w:rPr>
  </w:style>
  <w:style w:type="character" w:customStyle="1" w:styleId="apple-converted-space">
    <w:name w:val="apple-converted-space"/>
    <w:basedOn w:val="DefaultParagraphFont"/>
    <w:rsid w:val="00FD0F82"/>
  </w:style>
  <w:style w:type="character" w:customStyle="1" w:styleId="apple-style-span">
    <w:name w:val="apple-style-span"/>
    <w:basedOn w:val="DefaultParagraphFont"/>
    <w:rsid w:val="00682754"/>
    <w:rPr>
      <w:rFonts w:ascii="Times New Roman" w:hAnsi="Times New Roman"/>
      <w:caps w:val="0"/>
      <w:smallCaps w:val="0"/>
      <w:strike w:val="0"/>
      <w:dstrike w:val="0"/>
      <w:vanish w:val="0"/>
      <w:sz w:val="22"/>
      <w:vertAlign w:val="baseline"/>
    </w:rPr>
  </w:style>
  <w:style w:type="paragraph" w:styleId="EndnoteText">
    <w:name w:val="endnote text"/>
    <w:basedOn w:val="Normal"/>
    <w:link w:val="EndnoteTextChar"/>
    <w:uiPriority w:val="99"/>
    <w:semiHidden/>
    <w:unhideWhenUsed/>
    <w:rsid w:val="00B4742F"/>
  </w:style>
  <w:style w:type="character" w:customStyle="1" w:styleId="EndnoteTextChar">
    <w:name w:val="Endnote Text Char"/>
    <w:basedOn w:val="DefaultParagraphFont"/>
    <w:link w:val="EndnoteText"/>
    <w:uiPriority w:val="99"/>
    <w:semiHidden/>
    <w:rsid w:val="00B4742F"/>
    <w:rPr>
      <w:rFonts w:ascii="Times New Roman" w:eastAsia="Times New Roman" w:hAnsi="Times New Roman" w:cs="Times New Roman"/>
      <w:sz w:val="20"/>
      <w:szCs w:val="20"/>
    </w:rPr>
  </w:style>
  <w:style w:type="character" w:styleId="EndnoteReference">
    <w:name w:val="endnote reference"/>
    <w:basedOn w:val="DefaultParagraphFont"/>
    <w:uiPriority w:val="99"/>
    <w:semiHidden/>
    <w:unhideWhenUsed/>
    <w:rsid w:val="00B4742F"/>
    <w:rPr>
      <w:vertAlign w:val="superscript"/>
    </w:rPr>
  </w:style>
  <w:style w:type="character" w:customStyle="1" w:styleId="s1">
    <w:name w:val="s1"/>
    <w:basedOn w:val="DefaultParagraphFont"/>
    <w:rsid w:val="00A441EE"/>
  </w:style>
  <w:style w:type="character" w:styleId="HTMLCite">
    <w:name w:val="HTML Cite"/>
    <w:basedOn w:val="DefaultParagraphFont"/>
    <w:uiPriority w:val="99"/>
    <w:semiHidden/>
    <w:unhideWhenUsed/>
    <w:rsid w:val="00A441EE"/>
    <w:rPr>
      <w:i/>
      <w:iCs/>
    </w:rPr>
  </w:style>
  <w:style w:type="character" w:customStyle="1" w:styleId="st1">
    <w:name w:val="st1"/>
    <w:basedOn w:val="DefaultParagraphFont"/>
    <w:rsid w:val="00A441EE"/>
  </w:style>
  <w:style w:type="character" w:styleId="FollowedHyperlink">
    <w:name w:val="FollowedHyperlink"/>
    <w:basedOn w:val="DefaultParagraphFont"/>
    <w:uiPriority w:val="99"/>
    <w:semiHidden/>
    <w:unhideWhenUsed/>
    <w:rsid w:val="00413C1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7079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www.kaya.in/investors/pdf/Corporate%20Presentation%20-%20July%202015.pdf"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kaya.in/investors/pdf/Corporate%20Presentation%20-%20July%202015.pdf"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kaya.in/investors/pdf/Corporate%20Presentation%20-%20July%202015.pdf"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www.iveycases.com" TargetMode="External"/><Relationship Id="rId4" Type="http://schemas.openxmlformats.org/officeDocument/2006/relationships/settings" Target="settings.xml"/><Relationship Id="rId9" Type="http://schemas.openxmlformats.org/officeDocument/2006/relationships/hyperlink" Target="mailto:cases@ivey.ca" TargetMode="External"/><Relationship Id="rId14" Type="http://schemas.openxmlformats.org/officeDocument/2006/relationships/header" Target="header1.xml"/></Relationships>
</file>

<file path=word/_rels/endnotes.xml.rels><?xml version="1.0" encoding="UTF-8" standalone="yes"?>
<Relationships xmlns="http://schemas.openxmlformats.org/package/2006/relationships"><Relationship Id="rId1" Type="http://schemas.openxmlformats.org/officeDocument/2006/relationships/hyperlink" Target="http://www.kaya.in/investors/pdf/Corporate%20Presentation%20-%20July%202015.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7">
    <wetp:webextensionref xmlns:r="http://schemas.openxmlformats.org/officeDocument/2006/relationships" r:id="rId1"/>
  </wetp:taskpane>
  <wetp:taskpane dockstate="right" visibility="0" width="350" row="8">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0A53E329-C965-4B1A-829C-67CD2FD44978}">
  <we:reference id="wa104043061" version="1.1.1.0" store="en-US"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AC2AFB0D-F258-403B-A79D-687AFD07B9AA}">
  <we:reference id="wa104041485" version="1.1.1.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8A58E1-C6C5-43A5-8BA0-254061325D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TotalTime>
  <Pages>9</Pages>
  <Words>3359</Words>
  <Characters>19152</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22467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smuir</dc:creator>
  <cp:lastModifiedBy>McCutcheon, Amber</cp:lastModifiedBy>
  <cp:revision>4</cp:revision>
  <cp:lastPrinted>2017-03-16T13:42:00Z</cp:lastPrinted>
  <dcterms:created xsi:type="dcterms:W3CDTF">2017-04-10T18:37:00Z</dcterms:created>
  <dcterms:modified xsi:type="dcterms:W3CDTF">2017-04-17T18:42:00Z</dcterms:modified>
</cp:coreProperties>
</file>