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8E3DDD" w:rsidP="00F105B7">
      <w:pPr>
        <w:pStyle w:val="ProductNumber"/>
      </w:pPr>
      <w:r>
        <w:t>9B17A025</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8E3DDD" w:rsidP="00013360">
      <w:pPr>
        <w:pStyle w:val="CaseTitle"/>
        <w:spacing w:after="0" w:line="240" w:lineRule="auto"/>
        <w:rPr>
          <w:sz w:val="20"/>
          <w:szCs w:val="20"/>
        </w:rPr>
      </w:pPr>
      <w:r>
        <w:rPr>
          <w:rFonts w:eastAsia="Times New Roman"/>
          <w:szCs w:val="20"/>
        </w:rPr>
        <w:t>clearly: Organizing for omnichannel</w:t>
      </w:r>
      <w:r w:rsidR="00F06805">
        <w:rPr>
          <w:rFonts w:eastAsia="Times New Roman"/>
          <w:szCs w:val="20"/>
        </w:rPr>
        <w:t xml:space="preserve"> retailing</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8E3DDD" w:rsidP="00627C63">
      <w:pPr>
        <w:pStyle w:val="StyleCopyrightStatementAfter0ptBottomSinglesolidline1"/>
      </w:pPr>
      <w:r w:rsidRPr="000850BD">
        <w:rPr>
          <w:lang w:val="en-GB"/>
        </w:rPr>
        <w:t xml:space="preserve">R. Chandrasekhar wrote this case under the supervision of Professor Kersi </w:t>
      </w:r>
      <w:r>
        <w:rPr>
          <w:lang w:val="en-GB"/>
        </w:rPr>
        <w:t xml:space="preserve">D. </w:t>
      </w:r>
      <w:r w:rsidRPr="000850BD">
        <w:rPr>
          <w:lang w:val="en-GB"/>
        </w:rPr>
        <w:t>Antia solely to provide material for class discussion</w:t>
      </w:r>
      <w:r w:rsidR="00152682" w:rsidRPr="00104567">
        <w:t>.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955019">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955019">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8E3DDD">
        <w:t>2017</w:t>
      </w:r>
      <w:r w:rsidR="001C7777">
        <w:t>-</w:t>
      </w:r>
      <w:r w:rsidR="008E3DDD">
        <w:t>0</w:t>
      </w:r>
      <w:r w:rsidR="00F06805">
        <w:t>6</w:t>
      </w:r>
      <w:r w:rsidR="00751E0B">
        <w:t>-</w:t>
      </w:r>
      <w:r w:rsidR="00F06805">
        <w:t>16</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912D1D" w:rsidRPr="000850BD" w:rsidRDefault="00912D1D" w:rsidP="00912D1D">
      <w:pPr>
        <w:pStyle w:val="BodyTextMain"/>
        <w:rPr>
          <w:lang w:val="en-GB"/>
        </w:rPr>
      </w:pPr>
      <w:r w:rsidRPr="000850BD">
        <w:rPr>
          <w:lang w:val="en-GB"/>
        </w:rPr>
        <w:t>I</w:t>
      </w:r>
      <w:r>
        <w:rPr>
          <w:lang w:val="en-GB"/>
        </w:rPr>
        <w:t>n</w:t>
      </w:r>
      <w:r w:rsidRPr="000850BD">
        <w:rPr>
          <w:lang w:val="en-GB"/>
        </w:rPr>
        <w:t xml:space="preserve"> mid-January 2017</w:t>
      </w:r>
      <w:r>
        <w:rPr>
          <w:lang w:val="en-GB"/>
        </w:rPr>
        <w:t xml:space="preserve">, </w:t>
      </w:r>
      <w:r w:rsidRPr="000850BD">
        <w:rPr>
          <w:lang w:val="en-GB"/>
        </w:rPr>
        <w:t>Roy Hessel was</w:t>
      </w:r>
      <w:r>
        <w:rPr>
          <w:lang w:val="en-GB"/>
        </w:rPr>
        <w:t xml:space="preserve"> meeting with this marketing team</w:t>
      </w:r>
      <w:r w:rsidRPr="000850BD">
        <w:rPr>
          <w:lang w:val="en-GB"/>
        </w:rPr>
        <w:t>.</w:t>
      </w:r>
      <w:r>
        <w:rPr>
          <w:lang w:val="en-GB"/>
        </w:rPr>
        <w:t xml:space="preserve"> Hessel was the </w:t>
      </w:r>
      <w:r w:rsidRPr="000850BD">
        <w:rPr>
          <w:lang w:val="en-GB"/>
        </w:rPr>
        <w:t>chief executive officer (CEO) of Clearly</w:t>
      </w:r>
      <w:bookmarkStart w:id="0" w:name="_GoBack"/>
      <w:bookmarkEnd w:id="0"/>
      <w:r w:rsidRPr="000850BD">
        <w:rPr>
          <w:lang w:val="en-GB"/>
        </w:rPr>
        <w:t>, Canada’s leading online optical products company</w:t>
      </w:r>
      <w:r>
        <w:rPr>
          <w:lang w:val="en-GB"/>
        </w:rPr>
        <w:t>.</w:t>
      </w:r>
      <w:r w:rsidRPr="000850BD">
        <w:rPr>
          <w:lang w:val="en-GB"/>
        </w:rPr>
        <w:t xml:space="preserve"> Hessel </w:t>
      </w:r>
      <w:r>
        <w:rPr>
          <w:lang w:val="en-GB"/>
        </w:rPr>
        <w:t>and his team were</w:t>
      </w:r>
      <w:r w:rsidRPr="000850BD">
        <w:rPr>
          <w:lang w:val="en-GB"/>
        </w:rPr>
        <w:t xml:space="preserve"> </w:t>
      </w:r>
      <w:r>
        <w:rPr>
          <w:lang w:val="en-GB"/>
        </w:rPr>
        <w:t xml:space="preserve">discussing </w:t>
      </w:r>
      <w:r w:rsidRPr="000850BD">
        <w:rPr>
          <w:lang w:val="en-GB"/>
        </w:rPr>
        <w:t xml:space="preserve">the company’s participation in </w:t>
      </w:r>
      <w:r w:rsidR="00F06805">
        <w:rPr>
          <w:lang w:val="en-GB"/>
        </w:rPr>
        <w:t>an upcoming</w:t>
      </w:r>
      <w:r w:rsidRPr="000850BD">
        <w:rPr>
          <w:lang w:val="en-GB"/>
        </w:rPr>
        <w:t xml:space="preserve"> </w:t>
      </w:r>
      <w:r w:rsidR="00F06805">
        <w:rPr>
          <w:lang w:val="en-GB"/>
        </w:rPr>
        <w:t>e</w:t>
      </w:r>
      <w:r w:rsidRPr="000850BD">
        <w:rPr>
          <w:lang w:val="en-GB"/>
        </w:rPr>
        <w:t xml:space="preserve">yewear </w:t>
      </w:r>
      <w:r w:rsidR="00F06805">
        <w:rPr>
          <w:lang w:val="en-GB"/>
        </w:rPr>
        <w:t>s</w:t>
      </w:r>
      <w:r w:rsidRPr="000850BD">
        <w:rPr>
          <w:lang w:val="en-GB"/>
        </w:rPr>
        <w:t>how in Milan, Italy. Held annually in late February, the International Exhibition of Optics, Optometry and Ophthalmology (abbreviated as MIDO</w:t>
      </w:r>
      <w:r w:rsidR="00F06805">
        <w:rPr>
          <w:rStyle w:val="FootnoteReference"/>
          <w:lang w:val="en-GB"/>
        </w:rPr>
        <w:footnoteReference w:id="1"/>
      </w:r>
      <w:r w:rsidRPr="000850BD">
        <w:rPr>
          <w:lang w:val="en-GB"/>
        </w:rPr>
        <w:t xml:space="preserve"> in Italian) </w:t>
      </w:r>
      <w:proofErr w:type="gramStart"/>
      <w:r w:rsidRPr="000850BD">
        <w:rPr>
          <w:lang w:val="en-GB"/>
        </w:rPr>
        <w:t>was</w:t>
      </w:r>
      <w:proofErr w:type="gramEnd"/>
      <w:r w:rsidRPr="000850BD">
        <w:rPr>
          <w:lang w:val="en-GB"/>
        </w:rPr>
        <w:t xml:space="preserve"> the world’s largest eyewear exhibition</w:t>
      </w:r>
      <w:r>
        <w:rPr>
          <w:lang w:val="en-GB"/>
        </w:rPr>
        <w:t>. The event</w:t>
      </w:r>
      <w:r w:rsidRPr="000850BD">
        <w:rPr>
          <w:lang w:val="en-GB"/>
        </w:rPr>
        <w:t xml:space="preserve"> provid</w:t>
      </w:r>
      <w:r>
        <w:rPr>
          <w:lang w:val="en-GB"/>
        </w:rPr>
        <w:t>ed</w:t>
      </w:r>
      <w:r w:rsidRPr="000850BD">
        <w:rPr>
          <w:lang w:val="en-GB"/>
        </w:rPr>
        <w:t xml:space="preserve"> more than 1,000 optical companies an opportunity to showcase their latest offerings. </w:t>
      </w:r>
    </w:p>
    <w:p w:rsidR="00912D1D" w:rsidRPr="000850BD" w:rsidRDefault="00912D1D" w:rsidP="00912D1D">
      <w:pPr>
        <w:pStyle w:val="BodyTextMain"/>
        <w:rPr>
          <w:lang w:val="en-GB"/>
        </w:rPr>
      </w:pPr>
    </w:p>
    <w:p w:rsidR="00912D1D" w:rsidRPr="000850BD" w:rsidRDefault="00912D1D" w:rsidP="00912D1D">
      <w:pPr>
        <w:pStyle w:val="BodyTextMain"/>
        <w:rPr>
          <w:lang w:val="en-GB"/>
        </w:rPr>
      </w:pPr>
      <w:proofErr w:type="gramStart"/>
      <w:r w:rsidRPr="000850BD">
        <w:rPr>
          <w:lang w:val="en-GB"/>
        </w:rPr>
        <w:t>Clearly planned to make statements on three fronts at MIDO 2017: its eyeglasses were now fashionable as well as functional; it was now a design powerhouse in its own right; and it was transforming the retail experience for its customers.</w:t>
      </w:r>
      <w:proofErr w:type="gramEnd"/>
      <w:r w:rsidRPr="000850BD">
        <w:rPr>
          <w:lang w:val="en-GB"/>
        </w:rPr>
        <w:t xml:space="preserve"> </w:t>
      </w:r>
    </w:p>
    <w:p w:rsidR="00912D1D" w:rsidRPr="000850BD" w:rsidRDefault="00912D1D" w:rsidP="00912D1D">
      <w:pPr>
        <w:pStyle w:val="BodyTextMain"/>
        <w:rPr>
          <w:lang w:val="en-GB"/>
        </w:rPr>
      </w:pPr>
    </w:p>
    <w:p w:rsidR="00912D1D" w:rsidRPr="000850BD" w:rsidRDefault="00912D1D" w:rsidP="00912D1D">
      <w:pPr>
        <w:pStyle w:val="BodyTextMain"/>
        <w:rPr>
          <w:lang w:val="en-GB"/>
        </w:rPr>
      </w:pPr>
      <w:r w:rsidRPr="000850BD">
        <w:rPr>
          <w:lang w:val="en-GB"/>
        </w:rPr>
        <w:t>Hessel was also the president responsib</w:t>
      </w:r>
      <w:r>
        <w:rPr>
          <w:lang w:val="en-GB"/>
        </w:rPr>
        <w:t>le</w:t>
      </w:r>
      <w:r w:rsidRPr="000850BD">
        <w:rPr>
          <w:lang w:val="en-GB"/>
        </w:rPr>
        <w:t xml:space="preserve"> for online initiatives at </w:t>
      </w:r>
      <w:proofErr w:type="spellStart"/>
      <w:r w:rsidRPr="000850BD">
        <w:rPr>
          <w:lang w:val="en-GB"/>
        </w:rPr>
        <w:t>Essilor</w:t>
      </w:r>
      <w:proofErr w:type="spellEnd"/>
      <w:r w:rsidRPr="000850BD">
        <w:rPr>
          <w:lang w:val="en-GB"/>
        </w:rPr>
        <w:t xml:space="preserve"> International SA (</w:t>
      </w:r>
      <w:proofErr w:type="spellStart"/>
      <w:r w:rsidRPr="000850BD">
        <w:rPr>
          <w:lang w:val="en-GB"/>
        </w:rPr>
        <w:t>Essilor</w:t>
      </w:r>
      <w:proofErr w:type="spellEnd"/>
      <w:r w:rsidRPr="000850BD">
        <w:rPr>
          <w:lang w:val="en-GB"/>
        </w:rPr>
        <w:t xml:space="preserve">), </w:t>
      </w:r>
      <w:r w:rsidRPr="00F94D9A">
        <w:t>a global manufacturer</w:t>
      </w:r>
      <w:r>
        <w:t xml:space="preserve"> of optical lenses headquartered in Paris, France. </w:t>
      </w:r>
      <w:r w:rsidRPr="000850BD">
        <w:rPr>
          <w:lang w:val="en-GB"/>
        </w:rPr>
        <w:t xml:space="preserve">In February 2014, </w:t>
      </w:r>
      <w:proofErr w:type="spellStart"/>
      <w:r w:rsidRPr="000850BD">
        <w:rPr>
          <w:lang w:val="en-GB"/>
        </w:rPr>
        <w:t>Essilor</w:t>
      </w:r>
      <w:proofErr w:type="spellEnd"/>
      <w:r w:rsidRPr="000850BD">
        <w:rPr>
          <w:lang w:val="en-GB"/>
        </w:rPr>
        <w:t xml:space="preserve"> had acquired </w:t>
      </w:r>
      <w:proofErr w:type="gramStart"/>
      <w:r w:rsidRPr="000850BD">
        <w:rPr>
          <w:lang w:val="en-GB"/>
        </w:rPr>
        <w:t>Clearly</w:t>
      </w:r>
      <w:proofErr w:type="gramEnd"/>
      <w:r w:rsidRPr="000850BD">
        <w:rPr>
          <w:lang w:val="en-GB"/>
        </w:rPr>
        <w:t>, an online pure-play company,</w:t>
      </w:r>
      <w:r w:rsidRPr="000850BD">
        <w:rPr>
          <w:rStyle w:val="FootnoteReference"/>
          <w:lang w:val="en-GB"/>
        </w:rPr>
        <w:footnoteReference w:id="2"/>
      </w:r>
      <w:r w:rsidRPr="000850BD">
        <w:rPr>
          <w:lang w:val="en-GB"/>
        </w:rPr>
        <w:t xml:space="preserve"> and converted it into its own online division. The</w:t>
      </w:r>
      <w:r>
        <w:rPr>
          <w:lang w:val="en-GB"/>
        </w:rPr>
        <w:t>se</w:t>
      </w:r>
      <w:r w:rsidRPr="000850BD">
        <w:rPr>
          <w:lang w:val="en-GB"/>
        </w:rPr>
        <w:t xml:space="preserve"> move</w:t>
      </w:r>
      <w:r>
        <w:rPr>
          <w:lang w:val="en-GB"/>
        </w:rPr>
        <w:t>s on the part of both companies</w:t>
      </w:r>
      <w:r w:rsidRPr="000850BD">
        <w:rPr>
          <w:lang w:val="en-GB"/>
        </w:rPr>
        <w:t xml:space="preserve"> were part of an ongoing retail trend known as </w:t>
      </w:r>
      <w:proofErr w:type="spellStart"/>
      <w:r w:rsidRPr="000850BD">
        <w:rPr>
          <w:lang w:val="en-GB"/>
        </w:rPr>
        <w:t>omnichannel</w:t>
      </w:r>
      <w:proofErr w:type="spellEnd"/>
      <w:r w:rsidRPr="000850BD">
        <w:rPr>
          <w:lang w:val="en-GB"/>
        </w:rPr>
        <w:t xml:space="preserve"> retailing.</w:t>
      </w:r>
    </w:p>
    <w:p w:rsidR="00912D1D" w:rsidRPr="000850BD" w:rsidRDefault="00912D1D" w:rsidP="00912D1D">
      <w:pPr>
        <w:pStyle w:val="BodyTextMain"/>
        <w:rPr>
          <w:lang w:val="en-GB"/>
        </w:rPr>
      </w:pPr>
    </w:p>
    <w:p w:rsidR="00912D1D" w:rsidRPr="000850BD" w:rsidRDefault="00912D1D" w:rsidP="00912D1D">
      <w:pPr>
        <w:pStyle w:val="BodyTextMain"/>
        <w:rPr>
          <w:lang w:val="en-GB"/>
        </w:rPr>
      </w:pPr>
      <w:r w:rsidRPr="000850BD">
        <w:rPr>
          <w:lang w:val="en-GB"/>
        </w:rPr>
        <w:t>The market for eyewear was growing. For example, a study by the industry research journal</w:t>
      </w:r>
      <w:r w:rsidRPr="000850BD">
        <w:rPr>
          <w:i/>
          <w:lang w:val="en-GB"/>
        </w:rPr>
        <w:t xml:space="preserve"> </w:t>
      </w:r>
      <w:r w:rsidRPr="00F659CF">
        <w:rPr>
          <w:i/>
          <w:lang w:val="en-GB"/>
        </w:rPr>
        <w:t>Ophthalmology</w:t>
      </w:r>
      <w:r w:rsidRPr="000850BD">
        <w:rPr>
          <w:lang w:val="en-GB"/>
        </w:rPr>
        <w:t xml:space="preserve"> had shown that half </w:t>
      </w:r>
      <w:r>
        <w:rPr>
          <w:lang w:val="en-GB"/>
        </w:rPr>
        <w:t xml:space="preserve">of </w:t>
      </w:r>
      <w:r w:rsidRPr="000850BD">
        <w:rPr>
          <w:lang w:val="en-GB"/>
        </w:rPr>
        <w:t>the world’s population would be short-sighted by 2050,</w:t>
      </w:r>
      <w:r w:rsidRPr="000850BD">
        <w:rPr>
          <w:rStyle w:val="FootnoteReference"/>
          <w:lang w:val="en-GB"/>
        </w:rPr>
        <w:footnoteReference w:id="3"/>
      </w:r>
      <w:r w:rsidRPr="000850BD">
        <w:rPr>
          <w:lang w:val="en-GB"/>
        </w:rPr>
        <w:t xml:space="preserve"> which suggested </w:t>
      </w:r>
      <w:r>
        <w:rPr>
          <w:lang w:val="en-GB"/>
        </w:rPr>
        <w:t xml:space="preserve">that </w:t>
      </w:r>
      <w:r w:rsidRPr="000850BD">
        <w:rPr>
          <w:lang w:val="en-GB"/>
        </w:rPr>
        <w:t xml:space="preserve">there would potentially be nearly </w:t>
      </w:r>
      <w:r>
        <w:rPr>
          <w:lang w:val="en-GB"/>
        </w:rPr>
        <w:t>five</w:t>
      </w:r>
      <w:r w:rsidRPr="000850BD">
        <w:rPr>
          <w:lang w:val="en-GB"/>
        </w:rPr>
        <w:t xml:space="preserve"> billion consumers by then. In Canada, 30 per cent of the population, or 10.9 million consumers, were known to have myopia in 2016.</w:t>
      </w:r>
      <w:r w:rsidRPr="000850BD">
        <w:rPr>
          <w:rStyle w:val="FootnoteReference"/>
          <w:lang w:val="en-GB"/>
        </w:rPr>
        <w:footnoteReference w:id="4"/>
      </w:r>
      <w:r w:rsidRPr="000850BD">
        <w:rPr>
          <w:lang w:val="en-GB"/>
        </w:rPr>
        <w:t xml:space="preserve"> But as of 2016, only </w:t>
      </w:r>
      <w:r>
        <w:rPr>
          <w:lang w:val="en-GB"/>
        </w:rPr>
        <w:t xml:space="preserve">4 </w:t>
      </w:r>
      <w:r w:rsidRPr="000850BD">
        <w:rPr>
          <w:lang w:val="en-GB"/>
        </w:rPr>
        <w:t>per</w:t>
      </w:r>
      <w:r>
        <w:rPr>
          <w:lang w:val="en-GB"/>
        </w:rPr>
        <w:t xml:space="preserve"> </w:t>
      </w:r>
      <w:r w:rsidRPr="000850BD">
        <w:rPr>
          <w:lang w:val="en-GB"/>
        </w:rPr>
        <w:t>cent of consumers in Canada were fulfilling their vision</w:t>
      </w:r>
      <w:r>
        <w:rPr>
          <w:lang w:val="en-GB"/>
        </w:rPr>
        <w:t>-</w:t>
      </w:r>
      <w:r w:rsidRPr="000850BD">
        <w:rPr>
          <w:lang w:val="en-GB"/>
        </w:rPr>
        <w:t xml:space="preserve">correction needs online, according to Hessel. </w:t>
      </w:r>
    </w:p>
    <w:p w:rsidR="00912D1D" w:rsidRPr="000850BD" w:rsidRDefault="00912D1D" w:rsidP="00912D1D">
      <w:pPr>
        <w:pStyle w:val="BodyTextMain"/>
        <w:rPr>
          <w:lang w:val="en-GB"/>
        </w:rPr>
      </w:pPr>
    </w:p>
    <w:p w:rsidR="00912D1D" w:rsidRPr="000850BD" w:rsidRDefault="00912D1D" w:rsidP="00912D1D">
      <w:pPr>
        <w:pStyle w:val="BodyTextMain"/>
        <w:rPr>
          <w:lang w:val="en-GB"/>
        </w:rPr>
      </w:pPr>
      <w:r w:rsidRPr="000850BD">
        <w:rPr>
          <w:lang w:val="en-GB"/>
        </w:rPr>
        <w:lastRenderedPageBreak/>
        <w:t xml:space="preserve">In spite of the high potential for new customer acquisition and the growing influence of the digital world, the rate of annual growth in online sales of optical products was slow. For example, the online </w:t>
      </w:r>
      <w:proofErr w:type="gramStart"/>
      <w:r w:rsidRPr="000850BD">
        <w:rPr>
          <w:lang w:val="en-GB"/>
        </w:rPr>
        <w:t>sales of eyeglasses and contact lenses in the United States was</w:t>
      </w:r>
      <w:proofErr w:type="gramEnd"/>
      <w:r w:rsidRPr="000850BD">
        <w:rPr>
          <w:lang w:val="en-GB"/>
        </w:rPr>
        <w:t xml:space="preserve"> forecast to grow at an average annual rate of 3.4 per cent over the five-year period from 2016 to 2021.</w:t>
      </w:r>
      <w:r w:rsidRPr="000850BD">
        <w:rPr>
          <w:rStyle w:val="FootnoteReference"/>
          <w:lang w:val="en-GB"/>
        </w:rPr>
        <w:footnoteReference w:id="5"/>
      </w:r>
      <w:r w:rsidRPr="000850BD">
        <w:rPr>
          <w:lang w:val="en-GB"/>
        </w:rPr>
        <w:t xml:space="preserve"> </w:t>
      </w:r>
    </w:p>
    <w:p w:rsidR="00912D1D" w:rsidRPr="000850BD" w:rsidRDefault="00912D1D" w:rsidP="00912D1D">
      <w:pPr>
        <w:pStyle w:val="BodyTextMain"/>
        <w:rPr>
          <w:lang w:val="en-GB"/>
        </w:rPr>
      </w:pPr>
    </w:p>
    <w:p w:rsidR="00912D1D" w:rsidRPr="000850BD" w:rsidRDefault="00912D1D" w:rsidP="00912D1D">
      <w:pPr>
        <w:pStyle w:val="BodyTextMain"/>
        <w:rPr>
          <w:lang w:val="en-GB"/>
        </w:rPr>
      </w:pPr>
      <w:r w:rsidRPr="000850BD">
        <w:rPr>
          <w:lang w:val="en-GB"/>
        </w:rPr>
        <w:t>Hessel wondered how to approach this challenge:</w:t>
      </w:r>
    </w:p>
    <w:p w:rsidR="00912D1D" w:rsidRPr="000850BD" w:rsidRDefault="00912D1D" w:rsidP="00912D1D">
      <w:pPr>
        <w:pStyle w:val="BodyTextMain"/>
        <w:rPr>
          <w:lang w:val="en-GB"/>
        </w:rPr>
      </w:pPr>
    </w:p>
    <w:p w:rsidR="00912D1D" w:rsidRPr="000850BD" w:rsidRDefault="00912D1D" w:rsidP="00912D1D">
      <w:pPr>
        <w:pStyle w:val="BodyTextMain"/>
        <w:ind w:left="720"/>
        <w:rPr>
          <w:lang w:val="en-GB"/>
        </w:rPr>
      </w:pPr>
      <w:r w:rsidRPr="000850BD">
        <w:rPr>
          <w:lang w:val="en-GB"/>
        </w:rPr>
        <w:t xml:space="preserve">How do we increase online sales beyond the current 4 per cent of industry sales? As an online company, I want to bring the remaining 96 per cent of consumers online. That would be likely if online companies and eye-care practitioners (ECPs), traditionally fierce competitors, collaborate with one another. Technology and </w:t>
      </w:r>
      <w:proofErr w:type="spellStart"/>
      <w:r w:rsidRPr="000850BD">
        <w:rPr>
          <w:lang w:val="en-GB"/>
        </w:rPr>
        <w:t>omnichannel</w:t>
      </w:r>
      <w:proofErr w:type="spellEnd"/>
      <w:r w:rsidRPr="000850BD">
        <w:rPr>
          <w:lang w:val="en-GB"/>
        </w:rPr>
        <w:t xml:space="preserve"> are both enablers of industry-wide collaboration. But both online optical companies and ECPs need to break out of a deeply entrenched </w:t>
      </w:r>
      <w:proofErr w:type="spellStart"/>
      <w:r w:rsidRPr="000850BD">
        <w:rPr>
          <w:lang w:val="en-GB"/>
        </w:rPr>
        <w:t>mindset</w:t>
      </w:r>
      <w:proofErr w:type="spellEnd"/>
      <w:r w:rsidRPr="000850BD">
        <w:rPr>
          <w:lang w:val="en-GB"/>
        </w:rPr>
        <w:t xml:space="preserve"> of rivalry. How do we do it? That is the question my team and I have been asking as we head to Milan. </w:t>
      </w:r>
    </w:p>
    <w:p w:rsidR="00912D1D" w:rsidRPr="000850BD" w:rsidRDefault="00912D1D" w:rsidP="00912D1D">
      <w:pPr>
        <w:pStyle w:val="BodyTextMain"/>
        <w:rPr>
          <w:lang w:val="en-GB"/>
        </w:rPr>
      </w:pPr>
    </w:p>
    <w:p w:rsidR="00912D1D" w:rsidRPr="000850BD" w:rsidRDefault="00912D1D" w:rsidP="00912D1D">
      <w:pPr>
        <w:pStyle w:val="BodyTextMain"/>
        <w:rPr>
          <w:lang w:val="en-GB"/>
        </w:rPr>
      </w:pPr>
    </w:p>
    <w:p w:rsidR="00912D1D" w:rsidRPr="000850BD" w:rsidRDefault="00912D1D" w:rsidP="00912D1D">
      <w:pPr>
        <w:pStyle w:val="Casehead1"/>
        <w:rPr>
          <w:lang w:val="en-GB"/>
        </w:rPr>
      </w:pPr>
      <w:r w:rsidRPr="000850BD">
        <w:rPr>
          <w:lang w:val="en-GB"/>
        </w:rPr>
        <w:t>OMNICHANNEL RETAILING</w:t>
      </w:r>
    </w:p>
    <w:p w:rsidR="00912D1D" w:rsidRPr="000850BD" w:rsidRDefault="00912D1D" w:rsidP="00912D1D">
      <w:pPr>
        <w:pStyle w:val="BodyTextMain"/>
        <w:rPr>
          <w:lang w:val="en-GB"/>
        </w:rPr>
      </w:pPr>
    </w:p>
    <w:p w:rsidR="00912D1D" w:rsidRPr="000850BD" w:rsidRDefault="00912D1D" w:rsidP="00912D1D">
      <w:pPr>
        <w:pStyle w:val="BodyTextMain"/>
        <w:rPr>
          <w:rFonts w:eastAsia="Calibri"/>
          <w:color w:val="000000"/>
          <w:lang w:val="en-GB"/>
        </w:rPr>
      </w:pPr>
      <w:r w:rsidRPr="000850BD">
        <w:rPr>
          <w:rFonts w:eastAsia="Calibri"/>
          <w:color w:val="000000"/>
          <w:lang w:val="en-GB"/>
        </w:rPr>
        <w:t xml:space="preserve">Traditionally, retailers operated within brick-and-mortar or physical spaces where they provided direct access to products on display for customers walking into the stores. The physical medium was well-suited for products with both display and service requirements. The advent of the Internet in 1995 led to the launch of online pure-plays across several product categories: books, electronics, music, movies, and office supplies, to name a few. </w:t>
      </w:r>
    </w:p>
    <w:p w:rsidR="00912D1D" w:rsidRPr="000850BD" w:rsidRDefault="00912D1D" w:rsidP="00912D1D">
      <w:pPr>
        <w:pStyle w:val="BodyTextMain"/>
        <w:rPr>
          <w:rFonts w:eastAsia="Calibri"/>
          <w:color w:val="000000"/>
          <w:lang w:val="en-GB"/>
        </w:rPr>
      </w:pPr>
    </w:p>
    <w:p w:rsidR="00912D1D" w:rsidRPr="000850BD" w:rsidRDefault="00912D1D" w:rsidP="00912D1D">
      <w:pPr>
        <w:pStyle w:val="BodyTextMain"/>
        <w:rPr>
          <w:rFonts w:eastAsia="Calibri"/>
          <w:color w:val="000000"/>
          <w:lang w:val="en-GB"/>
        </w:rPr>
      </w:pPr>
      <w:r w:rsidRPr="000850BD">
        <w:rPr>
          <w:rFonts w:eastAsia="Calibri"/>
          <w:color w:val="000000"/>
          <w:lang w:val="en-GB"/>
        </w:rPr>
        <w:t>Brick-and-mortar retailers were beginning to lose sales because online prices were lower. A 2013 survey of specialty fashion retailers by the global consultancy firm Deloitte had shown, for example, that selling costs averaged 33 per cent of sales for store formats and dropped to 13 per cent of sales when the same product was ordered online.</w:t>
      </w:r>
      <w:r w:rsidRPr="000850BD">
        <w:rPr>
          <w:rStyle w:val="FootnoteReference"/>
          <w:rFonts w:eastAsia="Calibri"/>
          <w:color w:val="000000"/>
          <w:lang w:val="en-GB"/>
        </w:rPr>
        <w:footnoteReference w:id="6"/>
      </w:r>
      <w:r w:rsidRPr="000850BD">
        <w:rPr>
          <w:rFonts w:eastAsia="Calibri"/>
          <w:color w:val="000000"/>
          <w:lang w:val="en-GB"/>
        </w:rPr>
        <w:t xml:space="preserve"> Customers were catching on. They would examine merchandise at physical stores and proceed to purchase online in a trend known as showrooming. In a parallel trend called </w:t>
      </w:r>
      <w:proofErr w:type="spellStart"/>
      <w:r w:rsidRPr="000850BD">
        <w:rPr>
          <w:rFonts w:eastAsia="Calibri"/>
          <w:color w:val="000000"/>
          <w:lang w:val="en-GB"/>
        </w:rPr>
        <w:t>webrooming</w:t>
      </w:r>
      <w:proofErr w:type="spellEnd"/>
      <w:r w:rsidRPr="000850BD">
        <w:rPr>
          <w:rFonts w:eastAsia="Calibri"/>
          <w:color w:val="000000"/>
          <w:lang w:val="en-GB"/>
        </w:rPr>
        <w:t xml:space="preserve">, customers researched products online but visited a physical store to make the purchase. This was particularly evident in categories like shoes, sports equipment, and cosmetics. </w:t>
      </w:r>
      <w:proofErr w:type="spellStart"/>
      <w:r w:rsidRPr="000850BD">
        <w:rPr>
          <w:rFonts w:eastAsia="Calibri"/>
          <w:color w:val="000000"/>
          <w:lang w:val="en-GB"/>
        </w:rPr>
        <w:t>Omnichannel</w:t>
      </w:r>
      <w:proofErr w:type="spellEnd"/>
      <w:r w:rsidRPr="000850BD">
        <w:rPr>
          <w:rFonts w:eastAsia="Calibri"/>
          <w:color w:val="000000"/>
          <w:lang w:val="en-GB"/>
        </w:rPr>
        <w:t xml:space="preserve"> retailing was the result of the convergence of the two trends. </w:t>
      </w:r>
    </w:p>
    <w:p w:rsidR="00912D1D" w:rsidRPr="000850BD" w:rsidRDefault="00912D1D" w:rsidP="00912D1D">
      <w:pPr>
        <w:pStyle w:val="BodyTextMain"/>
        <w:rPr>
          <w:rFonts w:eastAsia="Calibri"/>
          <w:color w:val="000000"/>
          <w:lang w:val="en-GB"/>
        </w:rPr>
      </w:pPr>
    </w:p>
    <w:p w:rsidR="00912D1D" w:rsidRPr="000850BD" w:rsidRDefault="00912D1D" w:rsidP="00912D1D">
      <w:pPr>
        <w:pStyle w:val="BodyTextMain"/>
        <w:rPr>
          <w:rFonts w:eastAsia="Calibri"/>
          <w:color w:val="000000"/>
          <w:lang w:val="en-GB"/>
        </w:rPr>
      </w:pPr>
      <w:proofErr w:type="spellStart"/>
      <w:r w:rsidRPr="000850BD">
        <w:rPr>
          <w:rFonts w:eastAsia="Calibri"/>
          <w:color w:val="000000"/>
          <w:lang w:val="en-GB"/>
        </w:rPr>
        <w:t>Omnichannel</w:t>
      </w:r>
      <w:proofErr w:type="spellEnd"/>
      <w:r w:rsidRPr="000850BD">
        <w:rPr>
          <w:rFonts w:eastAsia="Calibri"/>
          <w:color w:val="000000"/>
          <w:lang w:val="en-GB"/>
        </w:rPr>
        <w:t xml:space="preserve"> retailing was also a logical evolution of what was known as multi-channel retailing, wherein companies sold simultaneously through several channels, such as physical stores, websites, kiosks, direct mail and catalogues, call centres, social media, mobile devices, gaming consoles, television, networked appliances, and home service. However, each of these channels was an independent silo; customers in a channel had no clue about the events in other channels, and retailers were also clueless about the shopping behaviour of individual customers in different channels.</w:t>
      </w:r>
    </w:p>
    <w:p w:rsidR="00912D1D" w:rsidRPr="000850BD" w:rsidRDefault="00912D1D" w:rsidP="00912D1D">
      <w:pPr>
        <w:pStyle w:val="BodyTextMain"/>
        <w:rPr>
          <w:rFonts w:eastAsia="Calibri"/>
          <w:color w:val="000000"/>
          <w:lang w:val="en-GB"/>
        </w:rPr>
      </w:pPr>
    </w:p>
    <w:p w:rsidR="00912D1D" w:rsidRPr="000850BD" w:rsidRDefault="00912D1D" w:rsidP="00912D1D">
      <w:pPr>
        <w:pStyle w:val="BodyTextMain"/>
        <w:rPr>
          <w:rFonts w:eastAsia="Calibri"/>
          <w:color w:val="000000"/>
          <w:lang w:val="en-GB"/>
        </w:rPr>
      </w:pPr>
      <w:r w:rsidRPr="000850BD">
        <w:rPr>
          <w:rFonts w:eastAsia="Calibri"/>
          <w:color w:val="000000"/>
          <w:lang w:val="en-GB"/>
        </w:rPr>
        <w:t xml:space="preserve">Hessel noted how </w:t>
      </w:r>
      <w:proofErr w:type="spellStart"/>
      <w:r w:rsidRPr="000850BD">
        <w:rPr>
          <w:rFonts w:eastAsia="Calibri"/>
          <w:color w:val="000000"/>
          <w:lang w:val="en-GB"/>
        </w:rPr>
        <w:t>omnichannel</w:t>
      </w:r>
      <w:proofErr w:type="spellEnd"/>
      <w:r w:rsidRPr="000850BD">
        <w:rPr>
          <w:rFonts w:eastAsia="Calibri"/>
          <w:color w:val="000000"/>
          <w:lang w:val="en-GB"/>
        </w:rPr>
        <w:t xml:space="preserve"> retailing differed:</w:t>
      </w:r>
    </w:p>
    <w:p w:rsidR="00912D1D" w:rsidRPr="000850BD" w:rsidRDefault="00912D1D" w:rsidP="00912D1D">
      <w:pPr>
        <w:pStyle w:val="BodyTextMain"/>
        <w:rPr>
          <w:rFonts w:eastAsia="Calibri"/>
          <w:color w:val="000000"/>
          <w:lang w:val="en-GB"/>
        </w:rPr>
      </w:pPr>
    </w:p>
    <w:p w:rsidR="00912D1D" w:rsidRPr="000850BD" w:rsidRDefault="00912D1D" w:rsidP="00912D1D">
      <w:pPr>
        <w:pStyle w:val="BodyTextMain"/>
        <w:ind w:left="720"/>
        <w:rPr>
          <w:rFonts w:eastAsia="Calibri"/>
          <w:lang w:val="en-GB"/>
        </w:rPr>
      </w:pPr>
      <w:r w:rsidRPr="000850BD">
        <w:rPr>
          <w:rFonts w:eastAsia="Calibri"/>
          <w:color w:val="000000"/>
          <w:lang w:val="en-GB"/>
        </w:rPr>
        <w:t>I</w:t>
      </w:r>
      <w:r w:rsidRPr="000850BD">
        <w:rPr>
          <w:rFonts w:eastAsia="Calibri"/>
          <w:lang w:val="en-GB"/>
        </w:rPr>
        <w:t xml:space="preserve">n </w:t>
      </w:r>
      <w:proofErr w:type="spellStart"/>
      <w:r w:rsidRPr="000850BD">
        <w:rPr>
          <w:rFonts w:eastAsia="Calibri"/>
          <w:lang w:val="en-GB"/>
        </w:rPr>
        <w:t>omnichannel</w:t>
      </w:r>
      <w:proofErr w:type="spellEnd"/>
      <w:r w:rsidRPr="000850BD">
        <w:rPr>
          <w:rFonts w:eastAsia="Calibri"/>
          <w:lang w:val="en-GB"/>
        </w:rPr>
        <w:t xml:space="preserve"> retailing, a customer can switch channels—buy online and pick up in-store, or use mobile in-store to research or make a purchase, or buy in-store and make a return online. The retailer also gets a 360-degree view of a customer’s purchases across all channels. Two core </w:t>
      </w:r>
      <w:proofErr w:type="gramStart"/>
      <w:r w:rsidRPr="000850BD">
        <w:rPr>
          <w:rFonts w:eastAsia="Calibri"/>
          <w:lang w:val="en-GB"/>
        </w:rPr>
        <w:lastRenderedPageBreak/>
        <w:t>capabilities</w:t>
      </w:r>
      <w:proofErr w:type="gramEnd"/>
      <w:r w:rsidRPr="000850BD">
        <w:rPr>
          <w:rFonts w:eastAsia="Calibri"/>
          <w:lang w:val="en-GB"/>
        </w:rPr>
        <w:t xml:space="preserve"> are thus crucial, on the part of a retailer, to the success of </w:t>
      </w:r>
      <w:proofErr w:type="spellStart"/>
      <w:r w:rsidRPr="000850BD">
        <w:rPr>
          <w:rFonts w:eastAsia="Calibri"/>
          <w:lang w:val="en-GB"/>
        </w:rPr>
        <w:t>omnichannel</w:t>
      </w:r>
      <w:proofErr w:type="spellEnd"/>
      <w:r w:rsidRPr="000850BD">
        <w:rPr>
          <w:rFonts w:eastAsia="Calibri"/>
          <w:lang w:val="en-GB"/>
        </w:rPr>
        <w:t xml:space="preserve"> retailing: enabling the customer to order online and pick up in-store and [enabling the customer] to buy in-store and return online. </w:t>
      </w:r>
    </w:p>
    <w:p w:rsidR="00912D1D" w:rsidRPr="000850B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proofErr w:type="spellStart"/>
      <w:r w:rsidRPr="000850BD">
        <w:rPr>
          <w:rFonts w:eastAsia="Calibri"/>
          <w:lang w:val="en-GB"/>
        </w:rPr>
        <w:t>Omnichannel</w:t>
      </w:r>
      <w:proofErr w:type="spellEnd"/>
      <w:r w:rsidRPr="000850BD">
        <w:rPr>
          <w:rFonts w:eastAsia="Calibri"/>
          <w:lang w:val="en-GB"/>
        </w:rPr>
        <w:t xml:space="preserve"> retailing not only bridged the gap between traditional and online transactions, but it </w:t>
      </w:r>
      <w:r>
        <w:rPr>
          <w:rFonts w:eastAsia="Calibri"/>
          <w:lang w:val="en-GB"/>
        </w:rPr>
        <w:t xml:space="preserve">also </w:t>
      </w:r>
      <w:r w:rsidRPr="000850BD">
        <w:rPr>
          <w:rFonts w:eastAsia="Calibri"/>
          <w:lang w:val="en-GB"/>
        </w:rPr>
        <w:t xml:space="preserve">brought unique competitive advantages to both. </w:t>
      </w:r>
      <w:r>
        <w:rPr>
          <w:rFonts w:eastAsia="Calibri"/>
          <w:lang w:val="en-GB"/>
        </w:rPr>
        <w:t>A retailer’s</w:t>
      </w:r>
      <w:r w:rsidRPr="000850BD">
        <w:rPr>
          <w:rFonts w:eastAsia="Calibri"/>
          <w:lang w:val="en-GB"/>
        </w:rPr>
        <w:t xml:space="preserve"> multi-channel shoppers spent an average </w:t>
      </w:r>
      <w:r>
        <w:rPr>
          <w:rFonts w:eastAsia="Calibri"/>
          <w:lang w:val="en-GB"/>
        </w:rPr>
        <w:t xml:space="preserve">of </w:t>
      </w:r>
      <w:r w:rsidRPr="000850BD">
        <w:rPr>
          <w:rFonts w:eastAsia="Calibri"/>
          <w:lang w:val="en-GB"/>
        </w:rPr>
        <w:t>15–30 per</w:t>
      </w:r>
      <w:r>
        <w:rPr>
          <w:rFonts w:eastAsia="Calibri"/>
          <w:lang w:val="en-GB"/>
        </w:rPr>
        <w:t> </w:t>
      </w:r>
      <w:r w:rsidRPr="000850BD">
        <w:rPr>
          <w:rFonts w:eastAsia="Calibri"/>
          <w:lang w:val="en-GB"/>
        </w:rPr>
        <w:t>cent more than one</w:t>
      </w:r>
      <w:r>
        <w:rPr>
          <w:rFonts w:eastAsia="Calibri"/>
          <w:lang w:val="en-GB"/>
        </w:rPr>
        <w:t>-</w:t>
      </w:r>
      <w:r w:rsidRPr="000850BD">
        <w:rPr>
          <w:rFonts w:eastAsia="Calibri"/>
          <w:lang w:val="en-GB"/>
        </w:rPr>
        <w:t>channel</w:t>
      </w:r>
      <w:r>
        <w:rPr>
          <w:rFonts w:eastAsia="Calibri"/>
          <w:lang w:val="en-GB"/>
        </w:rPr>
        <w:t xml:space="preserve"> shoppers. However, a retailer’s</w:t>
      </w:r>
      <w:r w:rsidRPr="000850BD">
        <w:rPr>
          <w:rFonts w:eastAsia="Calibri"/>
          <w:lang w:val="en-GB"/>
        </w:rPr>
        <w:t xml:space="preserve"> </w:t>
      </w:r>
      <w:proofErr w:type="spellStart"/>
      <w:r w:rsidRPr="000850BD">
        <w:rPr>
          <w:rFonts w:eastAsia="Calibri"/>
          <w:lang w:val="en-GB"/>
        </w:rPr>
        <w:t>omnichannel</w:t>
      </w:r>
      <w:proofErr w:type="spellEnd"/>
      <w:r w:rsidRPr="000850BD">
        <w:rPr>
          <w:rFonts w:eastAsia="Calibri"/>
          <w:lang w:val="en-GB"/>
        </w:rPr>
        <w:t xml:space="preserve"> shoppers spent 15–30 per cent more than multi-channel consumers.</w:t>
      </w:r>
      <w:r w:rsidRPr="000850BD">
        <w:rPr>
          <w:rStyle w:val="FootnoteReference"/>
          <w:rFonts w:eastAsia="Calibri"/>
          <w:color w:val="000000"/>
          <w:lang w:val="en-GB"/>
        </w:rPr>
        <w:footnoteReference w:id="7"/>
      </w:r>
      <w:r w:rsidRPr="000850BD">
        <w:rPr>
          <w:rFonts w:eastAsia="Calibri"/>
          <w:lang w:val="en-GB"/>
        </w:rPr>
        <w:t xml:space="preserve"> Consumers who were provided with a seamless experience across channels shopped more frequently and made more purchases across product categories. In Canada, online sales were forecast to reach $34 billion</w:t>
      </w:r>
      <w:r w:rsidRPr="000850BD">
        <w:rPr>
          <w:rStyle w:val="FootnoteReference"/>
          <w:rFonts w:eastAsia="Calibri"/>
          <w:lang w:val="en-GB"/>
        </w:rPr>
        <w:footnoteReference w:id="8"/>
      </w:r>
      <w:r w:rsidRPr="000850BD">
        <w:rPr>
          <w:rFonts w:eastAsia="Calibri"/>
          <w:lang w:val="en-GB"/>
        </w:rPr>
        <w:t xml:space="preserve"> by 2018, which represented 5.3 per cent of retail sales; this was short of the average for all G-20 nations, where online sales represented 6.0 per cent of retail sales.</w:t>
      </w:r>
      <w:r w:rsidRPr="000850BD">
        <w:rPr>
          <w:rStyle w:val="FootnoteReference"/>
          <w:rFonts w:eastAsia="Calibri"/>
          <w:color w:val="000000"/>
          <w:lang w:val="en-GB"/>
        </w:rPr>
        <w:footnoteReference w:id="9"/>
      </w:r>
      <w:r w:rsidRPr="000850BD">
        <w:rPr>
          <w:rFonts w:eastAsia="Calibri"/>
          <w:lang w:val="en-GB"/>
        </w:rPr>
        <w:t xml:space="preserve"> The reasons for slow growth were Canada’s large geographical size and sparse population, which made distribution costly.  </w:t>
      </w:r>
    </w:p>
    <w:p w:rsidR="00912D1D" w:rsidRPr="000850B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r w:rsidRPr="000850BD">
        <w:rPr>
          <w:rFonts w:eastAsia="Calibri"/>
          <w:lang w:val="en-GB"/>
        </w:rPr>
        <w:t xml:space="preserve">A 2014 study on </w:t>
      </w:r>
      <w:proofErr w:type="spellStart"/>
      <w:r w:rsidRPr="000850BD">
        <w:rPr>
          <w:rFonts w:eastAsia="Calibri"/>
          <w:lang w:val="en-GB"/>
        </w:rPr>
        <w:t>omnichannel</w:t>
      </w:r>
      <w:proofErr w:type="spellEnd"/>
      <w:r w:rsidRPr="000850BD">
        <w:rPr>
          <w:rFonts w:eastAsia="Calibri"/>
          <w:lang w:val="en-GB"/>
        </w:rPr>
        <w:t xml:space="preserve"> shopping preferences by the consulting firm A.T. Kearney revealed that over 90 per cent of people still preferred to shop in person. Despite the increasing trend of consumers using smartphones to research products and prices, 61 per cent of the consumers A.T. Kearney surveyed noted that they “highly valued” asking a sales associate for product </w:t>
      </w:r>
      <w:proofErr w:type="gramStart"/>
      <w:r w:rsidRPr="000850BD">
        <w:rPr>
          <w:rFonts w:eastAsia="Calibri"/>
          <w:lang w:val="en-GB"/>
        </w:rPr>
        <w:t>recommendations,</w:t>
      </w:r>
      <w:proofErr w:type="gramEnd"/>
      <w:r w:rsidRPr="000850BD">
        <w:rPr>
          <w:rFonts w:eastAsia="Calibri"/>
          <w:lang w:val="en-GB"/>
        </w:rPr>
        <w:t xml:space="preserve"> and 72 per cent of consumers were also “inclined” to ask a sales associate if another store had a product in stock. Only 28 per cent preferred to fulfil these needs themselves via their mobile devices.</w:t>
      </w:r>
      <w:r w:rsidRPr="000850BD">
        <w:rPr>
          <w:rStyle w:val="FootnoteReference"/>
          <w:rFonts w:eastAsia="Calibri"/>
          <w:color w:val="000000"/>
          <w:lang w:val="en-GB"/>
        </w:rPr>
        <w:footnoteReference w:id="10"/>
      </w:r>
      <w:r w:rsidRPr="000850BD">
        <w:rPr>
          <w:rFonts w:eastAsia="Calibri"/>
          <w:lang w:val="en-GB"/>
        </w:rPr>
        <w:t xml:space="preserve">   </w:t>
      </w:r>
    </w:p>
    <w:p w:rsidR="00912D1D" w:rsidRPr="000850B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r w:rsidRPr="000850BD">
        <w:rPr>
          <w:rFonts w:eastAsia="Calibri"/>
          <w:lang w:val="en-GB"/>
        </w:rPr>
        <w:t xml:space="preserve">Online retailers were establishing storefronts in order to build customer relationships, engage in real-time market research, and provide hands-on assistance to those </w:t>
      </w:r>
      <w:r>
        <w:rPr>
          <w:rFonts w:eastAsia="Calibri"/>
          <w:lang w:val="en-GB"/>
        </w:rPr>
        <w:t xml:space="preserve">consumers who were </w:t>
      </w:r>
      <w:r w:rsidRPr="000850BD">
        <w:rPr>
          <w:rFonts w:eastAsia="Calibri"/>
          <w:lang w:val="en-GB"/>
        </w:rPr>
        <w:t xml:space="preserve">wary of shopping online. </w:t>
      </w:r>
      <w:r>
        <w:rPr>
          <w:rFonts w:eastAsia="Calibri"/>
          <w:lang w:val="en-GB"/>
        </w:rPr>
        <w:t>Consumers</w:t>
      </w:r>
      <w:r w:rsidRPr="000850BD">
        <w:rPr>
          <w:rFonts w:eastAsia="Calibri"/>
          <w:lang w:val="en-GB"/>
        </w:rPr>
        <w:t xml:space="preserve"> saw </w:t>
      </w:r>
      <w:r>
        <w:rPr>
          <w:rFonts w:eastAsia="Calibri"/>
          <w:lang w:val="en-GB"/>
        </w:rPr>
        <w:t>physical locations</w:t>
      </w:r>
      <w:r w:rsidRPr="000850BD">
        <w:rPr>
          <w:rFonts w:eastAsia="Calibri"/>
          <w:lang w:val="en-GB"/>
        </w:rPr>
        <w:t xml:space="preserve"> not only as stores</w:t>
      </w:r>
      <w:r>
        <w:rPr>
          <w:rFonts w:eastAsia="Calibri"/>
          <w:lang w:val="en-GB"/>
        </w:rPr>
        <w:t>,</w:t>
      </w:r>
      <w:r w:rsidRPr="000850BD">
        <w:rPr>
          <w:rFonts w:eastAsia="Calibri"/>
          <w:lang w:val="en-GB"/>
        </w:rPr>
        <w:t xml:space="preserve"> but also as spaces where opinions, reviews, social media, touch-and-feel experiences, and technology combined to create seamless connections. Two examples were noteworthy: Amazon, the world’s largest e-</w:t>
      </w:r>
      <w:proofErr w:type="spellStart"/>
      <w:r w:rsidRPr="000850BD">
        <w:rPr>
          <w:rFonts w:eastAsia="Calibri"/>
          <w:lang w:val="en-GB"/>
        </w:rPr>
        <w:t>tailer</w:t>
      </w:r>
      <w:proofErr w:type="spellEnd"/>
      <w:r w:rsidRPr="000850BD">
        <w:rPr>
          <w:rFonts w:eastAsia="Calibri"/>
          <w:lang w:val="en-GB"/>
        </w:rPr>
        <w:t>, had launched a storefront in October 2014 in New York City and was on the verge of opening its second storefront at a mall near the University of California in San Diego.</w:t>
      </w:r>
      <w:r w:rsidRPr="000850BD">
        <w:rPr>
          <w:rStyle w:val="FootnoteReference"/>
          <w:rFonts w:eastAsia="Calibri"/>
          <w:color w:val="000000"/>
          <w:lang w:val="en-GB"/>
        </w:rPr>
        <w:footnoteReference w:id="11"/>
      </w:r>
      <w:r w:rsidRPr="000850BD">
        <w:rPr>
          <w:rFonts w:eastAsia="Calibri"/>
          <w:lang w:val="en-GB"/>
        </w:rPr>
        <w:t xml:space="preserve"> It had plans to set up more storefronts to manage inventory pertaining to same-day delivery and product returns. </w:t>
      </w:r>
      <w:proofErr w:type="spellStart"/>
      <w:r w:rsidRPr="000850BD">
        <w:rPr>
          <w:rFonts w:eastAsia="Calibri"/>
          <w:lang w:val="en-GB"/>
        </w:rPr>
        <w:t>Warby</w:t>
      </w:r>
      <w:proofErr w:type="spellEnd"/>
      <w:r w:rsidRPr="000850BD">
        <w:rPr>
          <w:rFonts w:eastAsia="Calibri"/>
          <w:lang w:val="en-GB"/>
        </w:rPr>
        <w:t xml:space="preserve"> Parker, an American online eyeglass company founded in 2010, had opened its first storefront in 2013 and followed up with eight more in the United States within a year. Each </w:t>
      </w:r>
      <w:proofErr w:type="spellStart"/>
      <w:r w:rsidRPr="000850BD">
        <w:rPr>
          <w:rFonts w:eastAsia="Calibri"/>
          <w:lang w:val="en-GB"/>
        </w:rPr>
        <w:t>Warby</w:t>
      </w:r>
      <w:proofErr w:type="spellEnd"/>
      <w:r w:rsidRPr="000850BD">
        <w:rPr>
          <w:rFonts w:eastAsia="Calibri"/>
          <w:lang w:val="en-GB"/>
        </w:rPr>
        <w:t xml:space="preserve"> Parker storefront featured full-length mirrors and photo booths.</w:t>
      </w:r>
      <w:r w:rsidRPr="000850BD">
        <w:rPr>
          <w:rStyle w:val="FootnoteReference"/>
          <w:rFonts w:eastAsia="Calibri"/>
          <w:color w:val="000000"/>
          <w:lang w:val="en-GB"/>
        </w:rPr>
        <w:footnoteReference w:id="12"/>
      </w:r>
    </w:p>
    <w:p w:rsidR="00912D1D" w:rsidRPr="000850B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p>
    <w:p w:rsidR="00912D1D" w:rsidRPr="000850BD" w:rsidRDefault="00912D1D" w:rsidP="00912D1D">
      <w:pPr>
        <w:pStyle w:val="Casehead1"/>
        <w:rPr>
          <w:rFonts w:eastAsia="Calibri"/>
          <w:lang w:val="en-GB"/>
        </w:rPr>
      </w:pPr>
      <w:r w:rsidRPr="000850BD">
        <w:rPr>
          <w:rFonts w:eastAsia="Calibri"/>
          <w:lang w:val="en-GB"/>
        </w:rPr>
        <w:t>OPTICAL PRODUCTS INDUSTRY</w:t>
      </w:r>
    </w:p>
    <w:p w:rsidR="00912D1D" w:rsidRPr="000850B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r w:rsidRPr="000850BD">
        <w:rPr>
          <w:rFonts w:eastAsia="Calibri"/>
          <w:lang w:val="en-GB"/>
        </w:rPr>
        <w:t xml:space="preserve">Globally, the optical products industry had revenues of $120.8 billion in 2016 (see Exhibit 1). It had grown at a rate of 0.6 per cent over 2015 but was forecast to grow at 3–4 per cent per annum over the period up to 2021. It was segmented into two major categories: contact lenses and spectacles. Each </w:t>
      </w:r>
      <w:r w:rsidRPr="000850BD">
        <w:rPr>
          <w:rFonts w:eastAsia="Calibri"/>
          <w:lang w:val="en-GB"/>
        </w:rPr>
        <w:lastRenderedPageBreak/>
        <w:t xml:space="preserve">category had several subcategories. Luxottica Group </w:t>
      </w:r>
      <w:proofErr w:type="spellStart"/>
      <w:r w:rsidRPr="000850BD">
        <w:rPr>
          <w:rFonts w:eastAsia="Calibri"/>
          <w:lang w:val="en-GB"/>
        </w:rPr>
        <w:t>SpA</w:t>
      </w:r>
      <w:proofErr w:type="spellEnd"/>
      <w:r w:rsidRPr="000850BD">
        <w:rPr>
          <w:rFonts w:eastAsia="Calibri"/>
          <w:lang w:val="en-GB"/>
        </w:rPr>
        <w:t xml:space="preserve">, based in Milan, Italy, was the industry leader, with a 14.1 per cent market share worldwide in 2015 (see Exhibit 2). </w:t>
      </w:r>
    </w:p>
    <w:p w:rsidR="00912D1D" w:rsidRPr="000850B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r w:rsidRPr="000850BD">
        <w:rPr>
          <w:rFonts w:eastAsia="Calibri"/>
          <w:lang w:val="en-GB"/>
        </w:rPr>
        <w:t>The optical products industry in Canada had revenues of $4</w:t>
      </w:r>
      <w:r>
        <w:rPr>
          <w:rFonts w:eastAsia="Calibri"/>
          <w:lang w:val="en-GB"/>
        </w:rPr>
        <w:t>.7</w:t>
      </w:r>
      <w:r w:rsidRPr="000850BD">
        <w:rPr>
          <w:rFonts w:eastAsia="Calibri"/>
          <w:lang w:val="en-GB"/>
        </w:rPr>
        <w:t xml:space="preserve"> </w:t>
      </w:r>
      <w:r>
        <w:rPr>
          <w:rFonts w:eastAsia="Calibri"/>
          <w:lang w:val="en-GB"/>
        </w:rPr>
        <w:t>b</w:t>
      </w:r>
      <w:r w:rsidRPr="000850BD">
        <w:rPr>
          <w:rFonts w:eastAsia="Calibri"/>
          <w:lang w:val="en-GB"/>
        </w:rPr>
        <w:t xml:space="preserve">illion in 2016 (see Exhibit 3). It had grown at 3.6 per cent over 2015 and was forecast to grow at about the same rate per annum over the period up to 2021. </w:t>
      </w:r>
      <w:proofErr w:type="spellStart"/>
      <w:r w:rsidRPr="000850BD">
        <w:rPr>
          <w:rFonts w:eastAsia="Calibri"/>
          <w:lang w:val="en-GB"/>
        </w:rPr>
        <w:t>Essilor</w:t>
      </w:r>
      <w:proofErr w:type="spellEnd"/>
      <w:r w:rsidRPr="000850BD">
        <w:rPr>
          <w:rFonts w:eastAsia="Calibri"/>
          <w:lang w:val="en-GB"/>
        </w:rPr>
        <w:t xml:space="preserve"> Canada was the industry leader in Canada, with a 33.9 per cent market share in 2015 (see Exhibit 4).</w:t>
      </w:r>
    </w:p>
    <w:p w:rsidR="00912D1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r w:rsidRPr="000850BD">
        <w:rPr>
          <w:rFonts w:eastAsia="Calibri"/>
          <w:lang w:val="en-GB"/>
        </w:rPr>
        <w:t xml:space="preserve">Independent ECPs held about 50 per cent of the market share for overall vision care, but they were a fragmented lot, consisting of many small players. Prior to the arrival of online players led by </w:t>
      </w:r>
      <w:proofErr w:type="gramStart"/>
      <w:r w:rsidRPr="000850BD">
        <w:rPr>
          <w:rFonts w:eastAsia="Calibri"/>
          <w:lang w:val="en-GB"/>
        </w:rPr>
        <w:t>Clearly</w:t>
      </w:r>
      <w:proofErr w:type="gramEnd"/>
      <w:r w:rsidRPr="000850BD">
        <w:rPr>
          <w:rFonts w:eastAsia="Calibri"/>
          <w:lang w:val="en-GB"/>
        </w:rPr>
        <w:t>, independent ECPs had competed only with retail chains owned by optical corporations that employed ECPs of their own. In recent years, however, independent ECPs faced competition from a new source: mass merchandisers. Wal-Mart and Costco, for example, had replicated the tried and tested model of independent ECPs in their store</w:t>
      </w:r>
      <w:r>
        <w:rPr>
          <w:rFonts w:eastAsia="Calibri"/>
          <w:lang w:val="en-GB"/>
        </w:rPr>
        <w:t>s</w:t>
      </w:r>
      <w:r w:rsidRPr="000850BD">
        <w:rPr>
          <w:rFonts w:eastAsia="Calibri"/>
          <w:lang w:val="en-GB"/>
        </w:rPr>
        <w:t xml:space="preserve">. Their ability to leverage scale to </w:t>
      </w:r>
      <w:r>
        <w:rPr>
          <w:rFonts w:eastAsia="Calibri"/>
          <w:lang w:val="en-GB"/>
        </w:rPr>
        <w:t xml:space="preserve">offer </w:t>
      </w:r>
      <w:r w:rsidRPr="000850BD">
        <w:rPr>
          <w:rFonts w:eastAsia="Calibri"/>
          <w:lang w:val="en-GB"/>
        </w:rPr>
        <w:t xml:space="preserve">lower prices and an efficient retail ambiance posed a significant threat to independent ECPs.  </w:t>
      </w:r>
    </w:p>
    <w:p w:rsidR="00912D1D" w:rsidRPr="000850B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r w:rsidRPr="000850BD">
        <w:rPr>
          <w:rFonts w:eastAsia="Calibri"/>
          <w:lang w:val="en-GB"/>
        </w:rPr>
        <w:t xml:space="preserve">ECPs were the first point of contact for eyewear consumers in the optical ecosystem. They conducted eye examinations and provided customers with prescriptions, for which they charged a fee. This fee was a steady source of income for </w:t>
      </w:r>
      <w:r>
        <w:rPr>
          <w:rFonts w:eastAsia="Calibri"/>
          <w:lang w:val="en-GB"/>
        </w:rPr>
        <w:t>EPCs</w:t>
      </w:r>
      <w:r w:rsidRPr="000850BD">
        <w:rPr>
          <w:rFonts w:eastAsia="Calibri"/>
          <w:lang w:val="en-GB"/>
        </w:rPr>
        <w:t>. Their second source of income was the sale of eyewear</w:t>
      </w:r>
      <w:r>
        <w:rPr>
          <w:rFonts w:eastAsia="Calibri"/>
          <w:lang w:val="en-GB"/>
        </w:rPr>
        <w:t>, which was</w:t>
      </w:r>
      <w:r w:rsidRPr="000850BD">
        <w:rPr>
          <w:rFonts w:eastAsia="Calibri"/>
          <w:lang w:val="en-GB"/>
        </w:rPr>
        <w:t xml:space="preserve"> </w:t>
      </w:r>
      <w:r>
        <w:rPr>
          <w:rFonts w:eastAsia="Calibri"/>
          <w:lang w:val="en-GB"/>
        </w:rPr>
        <w:t>conveniently linked</w:t>
      </w:r>
      <w:r w:rsidRPr="000850BD">
        <w:rPr>
          <w:rFonts w:eastAsia="Calibri"/>
          <w:lang w:val="en-GB"/>
        </w:rPr>
        <w:t xml:space="preserve"> with the prescription</w:t>
      </w:r>
      <w:r>
        <w:rPr>
          <w:rFonts w:eastAsia="Calibri"/>
          <w:lang w:val="en-GB"/>
        </w:rPr>
        <w:t>. C</w:t>
      </w:r>
      <w:r w:rsidRPr="000850BD">
        <w:rPr>
          <w:rFonts w:eastAsia="Calibri"/>
          <w:lang w:val="en-GB"/>
        </w:rPr>
        <w:t>ustomers could choose to buy th</w:t>
      </w:r>
      <w:r>
        <w:rPr>
          <w:rFonts w:eastAsia="Calibri"/>
          <w:lang w:val="en-GB"/>
        </w:rPr>
        <w:t>eir prescribed eyewear</w:t>
      </w:r>
      <w:r w:rsidRPr="000850BD">
        <w:rPr>
          <w:rFonts w:eastAsia="Calibri"/>
          <w:lang w:val="en-GB"/>
        </w:rPr>
        <w:t xml:space="preserve"> directly from the examining ECP, </w:t>
      </w:r>
      <w:r>
        <w:rPr>
          <w:rFonts w:eastAsia="Calibri"/>
          <w:lang w:val="en-GB"/>
        </w:rPr>
        <w:t xml:space="preserve">rather than </w:t>
      </w:r>
      <w:r w:rsidRPr="000850BD">
        <w:rPr>
          <w:rFonts w:eastAsia="Calibri"/>
          <w:lang w:val="en-GB"/>
        </w:rPr>
        <w:t xml:space="preserve">from a retail store, mass merchandiser, or online. Another major source of revenue for ECPs, particularly in the United States, was managed vision care providers. These </w:t>
      </w:r>
      <w:r>
        <w:rPr>
          <w:rFonts w:eastAsia="Calibri"/>
          <w:lang w:val="en-GB"/>
        </w:rPr>
        <w:t xml:space="preserve">sources </w:t>
      </w:r>
      <w:r w:rsidRPr="000850BD">
        <w:rPr>
          <w:rFonts w:eastAsia="Calibri"/>
          <w:lang w:val="en-GB"/>
        </w:rPr>
        <w:t>brought in referrals from small and large businesses that bore the cost of healthcare for their employees. ECPs were also the distribution channel for the industry, accounting for 73 per cent of eye</w:t>
      </w:r>
      <w:r>
        <w:rPr>
          <w:rFonts w:eastAsia="Calibri"/>
          <w:lang w:val="en-GB"/>
        </w:rPr>
        <w:t>-</w:t>
      </w:r>
      <w:r w:rsidRPr="000850BD">
        <w:rPr>
          <w:rFonts w:eastAsia="Calibri"/>
          <w:lang w:val="en-GB"/>
        </w:rPr>
        <w:t xml:space="preserve">care patients by volume, worldwide.  </w:t>
      </w:r>
    </w:p>
    <w:p w:rsidR="00912D1D" w:rsidRPr="000850B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r w:rsidRPr="000850BD">
        <w:rPr>
          <w:rFonts w:eastAsia="Calibri"/>
          <w:lang w:val="en-GB"/>
        </w:rPr>
        <w:t xml:space="preserve">Independent ECPs had several competitive advantages over both corporate chains and mass merchandisers. </w:t>
      </w:r>
      <w:r>
        <w:rPr>
          <w:rFonts w:eastAsia="Calibri"/>
          <w:lang w:val="en-GB"/>
        </w:rPr>
        <w:t>One advantage</w:t>
      </w:r>
      <w:r w:rsidRPr="000850BD">
        <w:rPr>
          <w:rFonts w:eastAsia="Calibri"/>
          <w:lang w:val="en-GB"/>
        </w:rPr>
        <w:t xml:space="preserve"> was the depth of their relationships with individual patients, which </w:t>
      </w:r>
      <w:r>
        <w:rPr>
          <w:rFonts w:eastAsia="Calibri"/>
          <w:lang w:val="en-GB"/>
        </w:rPr>
        <w:t>resulted in</w:t>
      </w:r>
      <w:r w:rsidRPr="000850BD">
        <w:rPr>
          <w:rFonts w:eastAsia="Calibri"/>
          <w:lang w:val="en-GB"/>
        </w:rPr>
        <w:t xml:space="preserve"> patients return</w:t>
      </w:r>
      <w:r>
        <w:rPr>
          <w:rFonts w:eastAsia="Calibri"/>
          <w:lang w:val="en-GB"/>
        </w:rPr>
        <w:t>ing</w:t>
      </w:r>
      <w:r w:rsidRPr="000850BD">
        <w:rPr>
          <w:rFonts w:eastAsia="Calibri"/>
          <w:lang w:val="en-GB"/>
        </w:rPr>
        <w:t xml:space="preserve"> to the ECP for their next eye exams</w:t>
      </w:r>
      <w:r>
        <w:rPr>
          <w:rFonts w:eastAsia="Calibri"/>
          <w:lang w:val="en-GB"/>
        </w:rPr>
        <w:t>,</w:t>
      </w:r>
      <w:r w:rsidRPr="000850BD">
        <w:rPr>
          <w:rFonts w:eastAsia="Calibri"/>
          <w:lang w:val="en-GB"/>
        </w:rPr>
        <w:t xml:space="preserve"> recommend</w:t>
      </w:r>
      <w:r>
        <w:rPr>
          <w:rFonts w:eastAsia="Calibri"/>
          <w:lang w:val="en-GB"/>
        </w:rPr>
        <w:t>ations</w:t>
      </w:r>
      <w:r w:rsidRPr="000850BD">
        <w:rPr>
          <w:rFonts w:eastAsia="Calibri"/>
          <w:lang w:val="en-GB"/>
        </w:rPr>
        <w:t xml:space="preserve"> to others</w:t>
      </w:r>
      <w:r>
        <w:rPr>
          <w:rFonts w:eastAsia="Calibri"/>
          <w:lang w:val="en-GB"/>
        </w:rPr>
        <w:t>, and</w:t>
      </w:r>
      <w:r w:rsidRPr="000850BD">
        <w:rPr>
          <w:rFonts w:eastAsia="Calibri"/>
          <w:lang w:val="en-GB"/>
        </w:rPr>
        <w:t xml:space="preserve"> overall customer satisfaction rate. Independent ECPs were also quick to adapt to new technology. They ran lean operations and had lower staff turnover. They also provided a critical touch-and-feel experience to customers. </w:t>
      </w:r>
    </w:p>
    <w:p w:rsidR="00912D1D" w:rsidRPr="000850BD" w:rsidRDefault="00912D1D" w:rsidP="00912D1D">
      <w:pPr>
        <w:pStyle w:val="BodyTextMain"/>
        <w:rPr>
          <w:rFonts w:eastAsia="Calibri"/>
          <w:lang w:val="en-GB"/>
        </w:rPr>
      </w:pPr>
    </w:p>
    <w:p w:rsidR="00912D1D" w:rsidRPr="000850BD" w:rsidRDefault="00912D1D" w:rsidP="00912D1D">
      <w:pPr>
        <w:pStyle w:val="BodyTextMain"/>
        <w:rPr>
          <w:lang w:val="en-GB"/>
        </w:rPr>
      </w:pPr>
      <w:r w:rsidRPr="000850BD">
        <w:rPr>
          <w:lang w:val="en-GB"/>
        </w:rPr>
        <w:t>Said Hessel,</w:t>
      </w:r>
    </w:p>
    <w:p w:rsidR="00912D1D" w:rsidRPr="000850BD" w:rsidRDefault="00912D1D" w:rsidP="00912D1D">
      <w:pPr>
        <w:pStyle w:val="BodyTextMain"/>
        <w:rPr>
          <w:lang w:val="en-GB"/>
        </w:rPr>
      </w:pPr>
    </w:p>
    <w:p w:rsidR="00912D1D" w:rsidRPr="000850BD" w:rsidRDefault="00912D1D" w:rsidP="00912D1D">
      <w:pPr>
        <w:pStyle w:val="BodyTextMain"/>
        <w:ind w:left="720"/>
        <w:rPr>
          <w:lang w:val="en-GB"/>
        </w:rPr>
      </w:pPr>
      <w:r w:rsidRPr="000850BD">
        <w:rPr>
          <w:lang w:val="en-GB"/>
        </w:rPr>
        <w:t xml:space="preserve">The role of ECPs is central to the ecosystem of optical retailing. The process of buying eyeglasses starts with an annual eye exam, which can be performed only by an ECP. In ensuring healthy vision, a goal in which everyone has a stake, ECPs are thus irreplaceable. ECPs represent the standard to which optical retailers in general must aspire. Their sense of detail, commitment, passion, and personal connection to individual consumers is a competitive advantage that large retailers or corporate chains cannot replicate. </w:t>
      </w:r>
    </w:p>
    <w:p w:rsidR="00912D1D" w:rsidRPr="000850BD" w:rsidRDefault="00912D1D" w:rsidP="00912D1D">
      <w:pPr>
        <w:pStyle w:val="BodyTextMain"/>
        <w:rPr>
          <w:lang w:val="en-GB"/>
        </w:rPr>
      </w:pPr>
    </w:p>
    <w:p w:rsidR="00912D1D" w:rsidRPr="000850BD" w:rsidRDefault="00912D1D" w:rsidP="00912D1D">
      <w:pPr>
        <w:pStyle w:val="BodyTextMain"/>
        <w:rPr>
          <w:rFonts w:eastAsia="Calibri"/>
          <w:color w:val="000000"/>
          <w:lang w:val="en-GB"/>
        </w:rPr>
      </w:pPr>
      <w:r w:rsidRPr="000850BD">
        <w:rPr>
          <w:rFonts w:eastAsia="Calibri"/>
          <w:lang w:val="en-GB"/>
        </w:rPr>
        <w:t>The main disadvantages</w:t>
      </w:r>
      <w:r>
        <w:rPr>
          <w:rFonts w:eastAsia="Calibri"/>
          <w:lang w:val="en-GB"/>
        </w:rPr>
        <w:t xml:space="preserve"> of ECPs</w:t>
      </w:r>
      <w:r w:rsidRPr="000850BD">
        <w:rPr>
          <w:rFonts w:eastAsia="Calibri"/>
          <w:lang w:val="en-GB"/>
        </w:rPr>
        <w:t xml:space="preserve">, however, were a lack of online capabilities and an inability to scale up. </w:t>
      </w:r>
      <w:r w:rsidRPr="000850BD">
        <w:rPr>
          <w:rFonts w:eastAsia="Calibri"/>
          <w:color w:val="000000"/>
          <w:lang w:val="en-GB"/>
        </w:rPr>
        <w:t xml:space="preserve">The arrival of e-commerce had </w:t>
      </w:r>
      <w:r>
        <w:rPr>
          <w:rFonts w:eastAsia="Calibri"/>
          <w:color w:val="000000"/>
          <w:lang w:val="en-GB"/>
        </w:rPr>
        <w:t>the potential to change</w:t>
      </w:r>
      <w:r w:rsidRPr="000850BD">
        <w:rPr>
          <w:rFonts w:eastAsia="Calibri"/>
          <w:color w:val="000000"/>
          <w:lang w:val="en-GB"/>
        </w:rPr>
        <w:t xml:space="preserve"> the traditional model of ECPs altogether. Online prices were as much as 70 per cent lower than the prices offered by ECPs. Online sourcing offered price transparency, a hitherto unfamiliar aspect of optical retailing. It also offered convenience. However, the touch-and-feel factor </w:t>
      </w:r>
      <w:r>
        <w:rPr>
          <w:rFonts w:eastAsia="Calibri"/>
          <w:color w:val="000000"/>
          <w:lang w:val="en-GB"/>
        </w:rPr>
        <w:t>that</w:t>
      </w:r>
      <w:r w:rsidRPr="000850BD">
        <w:rPr>
          <w:rFonts w:eastAsia="Calibri"/>
          <w:color w:val="000000"/>
          <w:lang w:val="en-GB"/>
        </w:rPr>
        <w:t xml:space="preserve"> ECPs</w:t>
      </w:r>
      <w:r>
        <w:rPr>
          <w:rFonts w:eastAsia="Calibri"/>
          <w:color w:val="000000"/>
          <w:lang w:val="en-GB"/>
        </w:rPr>
        <w:t xml:space="preserve"> enjoyed was a feature</w:t>
      </w:r>
      <w:r w:rsidRPr="000850BD">
        <w:rPr>
          <w:rFonts w:eastAsia="Calibri"/>
          <w:color w:val="000000"/>
          <w:lang w:val="en-GB"/>
        </w:rPr>
        <w:t xml:space="preserve"> that online companies could not </w:t>
      </w:r>
      <w:r>
        <w:rPr>
          <w:rFonts w:eastAsia="Calibri"/>
          <w:color w:val="000000"/>
          <w:lang w:val="en-GB"/>
        </w:rPr>
        <w:t>match</w:t>
      </w:r>
      <w:r w:rsidRPr="000850BD">
        <w:rPr>
          <w:rFonts w:eastAsia="Calibri"/>
          <w:color w:val="000000"/>
          <w:lang w:val="en-GB"/>
        </w:rPr>
        <w:t xml:space="preserve">. Online retailers were therefore relying on technology to up their ante. </w:t>
      </w:r>
    </w:p>
    <w:p w:rsidR="00912D1D" w:rsidRPr="000850BD" w:rsidRDefault="00912D1D" w:rsidP="00912D1D">
      <w:pPr>
        <w:pStyle w:val="BodyTextMain"/>
        <w:rPr>
          <w:rFonts w:eastAsia="Calibri"/>
          <w:color w:val="000000"/>
          <w:lang w:val="en-GB"/>
        </w:rPr>
      </w:pPr>
      <w:r w:rsidRPr="000850BD">
        <w:rPr>
          <w:rFonts w:eastAsia="Calibri"/>
          <w:color w:val="000000"/>
          <w:lang w:val="en-GB"/>
        </w:rPr>
        <w:lastRenderedPageBreak/>
        <w:t>For example, consumers could opt for virtual fittings, wherein they could record a video of themselves as they tried on different spectacle frames and sunglasses and see a 180-degree view of the eyewear as they “wore” it. This facility was offered by companies like 4Care GmbH in Germany, Ditto Technologies Inc.</w:t>
      </w:r>
      <w:r w:rsidRPr="000850BD" w:rsidDel="00D11DC6">
        <w:rPr>
          <w:rFonts w:eastAsia="Calibri"/>
          <w:color w:val="000000"/>
          <w:lang w:val="en-GB"/>
        </w:rPr>
        <w:t xml:space="preserve"> </w:t>
      </w:r>
      <w:r w:rsidRPr="000850BD">
        <w:rPr>
          <w:rFonts w:eastAsia="Calibri"/>
          <w:color w:val="000000"/>
          <w:lang w:val="en-GB"/>
        </w:rPr>
        <w:t xml:space="preserve">in the United States, and ACEP in France, which had acquired </w:t>
      </w:r>
      <w:proofErr w:type="spellStart"/>
      <w:r w:rsidRPr="000850BD">
        <w:rPr>
          <w:rFonts w:eastAsia="Calibri"/>
          <w:color w:val="000000"/>
          <w:lang w:val="en-GB"/>
        </w:rPr>
        <w:t>TryLive</w:t>
      </w:r>
      <w:proofErr w:type="spellEnd"/>
      <w:r w:rsidRPr="000850BD">
        <w:rPr>
          <w:rFonts w:eastAsia="Calibri"/>
          <w:color w:val="000000"/>
          <w:lang w:val="en-GB"/>
        </w:rPr>
        <w:t xml:space="preserve"> in November 2015.</w:t>
      </w:r>
      <w:r w:rsidRPr="000850BD">
        <w:rPr>
          <w:rStyle w:val="FootnoteReference"/>
          <w:rFonts w:eastAsia="Calibri"/>
          <w:color w:val="000000"/>
          <w:lang w:val="en-GB"/>
        </w:rPr>
        <w:footnoteReference w:id="13"/>
      </w:r>
      <w:r w:rsidRPr="000850BD">
        <w:rPr>
          <w:rFonts w:eastAsia="Calibri"/>
          <w:color w:val="000000"/>
          <w:lang w:val="en-GB"/>
        </w:rPr>
        <w:t xml:space="preserve"> These companies also had a provision for crowdsourcing advice: users could view and vote for favourite eyewear fittings online, and when an individual user had received sufficient votes, they would receive an email from the company informing them </w:t>
      </w:r>
      <w:r>
        <w:rPr>
          <w:rFonts w:eastAsia="Calibri"/>
          <w:color w:val="000000"/>
          <w:lang w:val="en-GB"/>
        </w:rPr>
        <w:t xml:space="preserve">of </w:t>
      </w:r>
      <w:r w:rsidRPr="000850BD">
        <w:rPr>
          <w:rFonts w:eastAsia="Calibri"/>
          <w:color w:val="000000"/>
          <w:lang w:val="en-GB"/>
        </w:rPr>
        <w:t xml:space="preserve">which pair the general public thought looked best on them. Some online companies, such as </w:t>
      </w:r>
      <w:proofErr w:type="spellStart"/>
      <w:r w:rsidRPr="000850BD">
        <w:rPr>
          <w:rFonts w:eastAsia="Calibri"/>
          <w:color w:val="000000"/>
          <w:lang w:val="en-GB"/>
        </w:rPr>
        <w:t>Warby</w:t>
      </w:r>
      <w:proofErr w:type="spellEnd"/>
      <w:r w:rsidRPr="000850BD">
        <w:rPr>
          <w:rFonts w:eastAsia="Calibri"/>
          <w:color w:val="000000"/>
          <w:lang w:val="en-GB"/>
        </w:rPr>
        <w:t xml:space="preserve"> Parker, offered online customers up to five frames for a no-cost trial for a period of five days.</w:t>
      </w:r>
      <w:r w:rsidRPr="000850BD">
        <w:rPr>
          <w:rStyle w:val="FootnoteReference"/>
          <w:rFonts w:eastAsia="Calibri"/>
          <w:color w:val="000000"/>
          <w:lang w:val="en-GB"/>
        </w:rPr>
        <w:footnoteReference w:id="14"/>
      </w:r>
      <w:r w:rsidRPr="000850BD">
        <w:rPr>
          <w:rFonts w:eastAsia="Calibri"/>
          <w:color w:val="000000"/>
          <w:lang w:val="en-GB"/>
        </w:rPr>
        <w:t xml:space="preserve"> After the trial period, customers could ship frames back to the online retailer, again at no cost. Although this initiative was effective, the cost </w:t>
      </w:r>
      <w:r>
        <w:rPr>
          <w:rFonts w:eastAsia="Calibri"/>
          <w:color w:val="000000"/>
          <w:lang w:val="en-GB"/>
        </w:rPr>
        <w:t xml:space="preserve">to the retailer </w:t>
      </w:r>
      <w:r w:rsidRPr="000850BD">
        <w:rPr>
          <w:rFonts w:eastAsia="Calibri"/>
          <w:color w:val="000000"/>
          <w:lang w:val="en-GB"/>
        </w:rPr>
        <w:t xml:space="preserve">was clearly </w:t>
      </w:r>
      <w:r>
        <w:rPr>
          <w:rFonts w:eastAsia="Calibri"/>
          <w:color w:val="000000"/>
          <w:lang w:val="en-GB"/>
        </w:rPr>
        <w:t>a concern</w:t>
      </w:r>
      <w:r w:rsidRPr="000850BD">
        <w:rPr>
          <w:rFonts w:eastAsia="Calibri"/>
          <w:color w:val="000000"/>
          <w:lang w:val="en-GB"/>
        </w:rPr>
        <w:t>.</w:t>
      </w:r>
    </w:p>
    <w:p w:rsidR="00912D1D" w:rsidRPr="000850B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p>
    <w:p w:rsidR="00912D1D" w:rsidRPr="000850BD" w:rsidRDefault="00912D1D" w:rsidP="00912D1D">
      <w:pPr>
        <w:pStyle w:val="Casehead1"/>
        <w:rPr>
          <w:rFonts w:eastAsia="Calibri"/>
          <w:lang w:val="en-GB"/>
        </w:rPr>
      </w:pPr>
      <w:r w:rsidRPr="000850BD">
        <w:rPr>
          <w:rFonts w:eastAsia="Calibri"/>
          <w:lang w:val="en-GB"/>
        </w:rPr>
        <w:t xml:space="preserve">CLEARLY: COMPANY BACKGROUND </w:t>
      </w:r>
    </w:p>
    <w:p w:rsidR="00912D1D" w:rsidRPr="000850B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r w:rsidRPr="000850BD">
        <w:rPr>
          <w:rFonts w:eastAsia="Calibri"/>
          <w:lang w:val="en-GB"/>
        </w:rPr>
        <w:t>The company was founded in October 200</w:t>
      </w:r>
      <w:r>
        <w:rPr>
          <w:rFonts w:eastAsia="Calibri"/>
          <w:lang w:val="en-GB"/>
        </w:rPr>
        <w:t>0</w:t>
      </w:r>
      <w:r w:rsidRPr="000850BD">
        <w:rPr>
          <w:rFonts w:eastAsia="Calibri"/>
          <w:lang w:val="en-GB"/>
        </w:rPr>
        <w:t xml:space="preserve"> as Coastal Contacts by Roger Hardy, a Vancouver-based entrepreneur. Having worked earlier in the optical industry, Hardy knew that eyewear was an expensive consumer product because it was padded with retail </w:t>
      </w:r>
      <w:proofErr w:type="spellStart"/>
      <w:r w:rsidRPr="000850BD">
        <w:rPr>
          <w:rFonts w:eastAsia="Calibri"/>
          <w:lang w:val="en-GB"/>
        </w:rPr>
        <w:t>markups</w:t>
      </w:r>
      <w:proofErr w:type="spellEnd"/>
      <w:r w:rsidRPr="000850BD">
        <w:rPr>
          <w:rFonts w:eastAsia="Calibri"/>
          <w:lang w:val="en-GB"/>
        </w:rPr>
        <w:t xml:space="preserve"> and could therefore be sold at lower prices, and he was convinced that the disintermediation of online retailing would reduce prices further. </w:t>
      </w:r>
    </w:p>
    <w:p w:rsidR="00912D1D" w:rsidRPr="000850B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r w:rsidRPr="000850BD">
        <w:rPr>
          <w:rFonts w:eastAsia="Calibri"/>
          <w:lang w:val="en-GB"/>
        </w:rPr>
        <w:t xml:space="preserve">Contact lenses were ideal for online retailing because they did not require elaborate fitting. They also cost less than spectacles to deliver to customers, as </w:t>
      </w:r>
      <w:proofErr w:type="gramStart"/>
      <w:r w:rsidRPr="000850BD">
        <w:rPr>
          <w:rFonts w:eastAsia="Calibri"/>
          <w:lang w:val="en-GB"/>
        </w:rPr>
        <w:t>Clearly</w:t>
      </w:r>
      <w:proofErr w:type="gramEnd"/>
      <w:r w:rsidRPr="000850BD">
        <w:rPr>
          <w:rFonts w:eastAsia="Calibri"/>
          <w:lang w:val="en-GB"/>
        </w:rPr>
        <w:t xml:space="preserve"> learned in later years (see Exhibit 5). The start-up recorded $1 million in revenue in its first year of operations by changing the way consumers could buy contact lenses. The company had three call centres: one each in Vancouver, Manila, and Tokyo. The Tokyo call centre focused on the Japanese market, where the company had a distribution centre, while the other two serviced a global market. In 2008, the company moved into the sale of eye glasses and spectacle frames by incorporating innovations like virtual fittings and virtual advice. </w:t>
      </w:r>
    </w:p>
    <w:p w:rsidR="00912D1D" w:rsidRPr="000850B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r w:rsidRPr="000850BD">
        <w:rPr>
          <w:rFonts w:eastAsia="Calibri"/>
          <w:lang w:val="en-GB"/>
        </w:rPr>
        <w:t xml:space="preserve">Hessel was a former venture capitalist who had worked in online </w:t>
      </w:r>
      <w:proofErr w:type="spellStart"/>
      <w:r w:rsidRPr="000850BD">
        <w:rPr>
          <w:rFonts w:eastAsia="Calibri"/>
          <w:lang w:val="en-GB"/>
        </w:rPr>
        <w:t>opticals</w:t>
      </w:r>
      <w:proofErr w:type="spellEnd"/>
      <w:r w:rsidRPr="000850BD">
        <w:rPr>
          <w:rFonts w:eastAsia="Calibri"/>
          <w:lang w:val="en-GB"/>
        </w:rPr>
        <w:t xml:space="preserve"> for more than a decade—first with his own start-up, </w:t>
      </w:r>
      <w:proofErr w:type="spellStart"/>
      <w:r w:rsidRPr="000850BD">
        <w:rPr>
          <w:rFonts w:eastAsia="Calibri"/>
          <w:lang w:val="en-GB"/>
        </w:rPr>
        <w:t>EyeBuyDirect</w:t>
      </w:r>
      <w:proofErr w:type="spellEnd"/>
      <w:r w:rsidRPr="000850BD">
        <w:rPr>
          <w:rFonts w:eastAsia="Calibri"/>
          <w:lang w:val="en-GB"/>
        </w:rPr>
        <w:t xml:space="preserve">, and then with </w:t>
      </w:r>
      <w:proofErr w:type="spellStart"/>
      <w:r w:rsidRPr="000850BD">
        <w:rPr>
          <w:rFonts w:eastAsia="Calibri"/>
          <w:lang w:val="en-GB"/>
        </w:rPr>
        <w:t>Essilor</w:t>
      </w:r>
      <w:proofErr w:type="spellEnd"/>
      <w:r w:rsidRPr="000850BD">
        <w:rPr>
          <w:rFonts w:eastAsia="Calibri"/>
          <w:lang w:val="en-GB"/>
        </w:rPr>
        <w:t xml:space="preserve"> after it acquired </w:t>
      </w:r>
      <w:proofErr w:type="spellStart"/>
      <w:r w:rsidRPr="000850BD">
        <w:rPr>
          <w:rFonts w:eastAsia="Calibri"/>
          <w:lang w:val="en-GB"/>
        </w:rPr>
        <w:t>EyeBuyDirect</w:t>
      </w:r>
      <w:proofErr w:type="spellEnd"/>
      <w:r w:rsidRPr="000850BD">
        <w:rPr>
          <w:rFonts w:eastAsia="Calibri"/>
          <w:lang w:val="en-GB"/>
        </w:rPr>
        <w:t xml:space="preserve">. He had become the CEO of Clearly when it was acquired by </w:t>
      </w:r>
      <w:proofErr w:type="spellStart"/>
      <w:r w:rsidRPr="000850BD">
        <w:rPr>
          <w:rFonts w:eastAsia="Calibri"/>
          <w:lang w:val="en-GB"/>
        </w:rPr>
        <w:t>Essilor</w:t>
      </w:r>
      <w:proofErr w:type="spellEnd"/>
      <w:r w:rsidRPr="000850BD">
        <w:rPr>
          <w:rFonts w:eastAsia="Calibri"/>
          <w:lang w:val="en-GB"/>
        </w:rPr>
        <w:t xml:space="preserve">. Hessel brought a sense of renewed engagement with the ECPs because, unlike the founder of </w:t>
      </w:r>
      <w:proofErr w:type="gramStart"/>
      <w:r w:rsidRPr="000850BD">
        <w:rPr>
          <w:rFonts w:eastAsia="Calibri"/>
          <w:lang w:val="en-GB"/>
        </w:rPr>
        <w:t>Clearly</w:t>
      </w:r>
      <w:proofErr w:type="gramEnd"/>
      <w:r w:rsidRPr="000850BD">
        <w:rPr>
          <w:rFonts w:eastAsia="Calibri"/>
          <w:lang w:val="en-GB"/>
        </w:rPr>
        <w:t xml:space="preserve">, he recognized that ECPs played the role of first responders and were therefore indispensable. </w:t>
      </w:r>
    </w:p>
    <w:p w:rsidR="00912D1D" w:rsidRPr="000850B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r w:rsidRPr="000850BD">
        <w:rPr>
          <w:rFonts w:eastAsia="Calibri"/>
          <w:lang w:val="en-GB"/>
        </w:rPr>
        <w:t xml:space="preserve">Within weeks of becoming CEO, Hessel took </w:t>
      </w:r>
      <w:r>
        <w:rPr>
          <w:rFonts w:eastAsia="Calibri"/>
          <w:lang w:val="en-GB"/>
        </w:rPr>
        <w:t>various</w:t>
      </w:r>
      <w:r w:rsidRPr="000850BD">
        <w:rPr>
          <w:rFonts w:eastAsia="Calibri"/>
          <w:lang w:val="en-GB"/>
        </w:rPr>
        <w:t xml:space="preserve"> strategic </w:t>
      </w:r>
      <w:r>
        <w:rPr>
          <w:rFonts w:eastAsia="Calibri"/>
          <w:lang w:val="en-GB"/>
        </w:rPr>
        <w:t>steps</w:t>
      </w:r>
      <w:r w:rsidRPr="000850BD">
        <w:rPr>
          <w:rFonts w:eastAsia="Calibri"/>
          <w:lang w:val="en-GB"/>
        </w:rPr>
        <w:t xml:space="preserve"> aimed at building bridges with ECPs</w:t>
      </w:r>
      <w:r>
        <w:rPr>
          <w:rFonts w:eastAsia="Calibri"/>
          <w:lang w:val="en-GB"/>
        </w:rPr>
        <w:t>.</w:t>
      </w:r>
      <w:r w:rsidRPr="000850BD">
        <w:rPr>
          <w:rFonts w:eastAsia="Calibri"/>
          <w:lang w:val="en-GB"/>
        </w:rPr>
        <w:t xml:space="preserve"> He dispensed with price comparisons on the website and toned down its confrontational language. He </w:t>
      </w:r>
      <w:r>
        <w:rPr>
          <w:rFonts w:eastAsia="Calibri"/>
          <w:lang w:val="en-GB"/>
        </w:rPr>
        <w:t xml:space="preserve">then </w:t>
      </w:r>
      <w:r w:rsidRPr="000850BD">
        <w:rPr>
          <w:rFonts w:eastAsia="Calibri"/>
          <w:lang w:val="en-GB"/>
        </w:rPr>
        <w:t xml:space="preserve">moved the company’s products slightly upmarket, focusing less on offering discounts. He </w:t>
      </w:r>
      <w:r>
        <w:rPr>
          <w:rFonts w:eastAsia="Calibri"/>
          <w:lang w:val="en-GB"/>
        </w:rPr>
        <w:t xml:space="preserve">also </w:t>
      </w:r>
      <w:r w:rsidRPr="000850BD">
        <w:rPr>
          <w:rFonts w:eastAsia="Calibri"/>
          <w:lang w:val="en-GB"/>
        </w:rPr>
        <w:t>invited members of the Opticians Association of Canada, a national industry association, to tour company facilities and discuss opportunities for collaboration.</w:t>
      </w:r>
    </w:p>
    <w:p w:rsidR="00912D1D" w:rsidRDefault="00912D1D" w:rsidP="00912D1D">
      <w:pPr>
        <w:pStyle w:val="BodyTextMain"/>
        <w:rPr>
          <w:rFonts w:eastAsia="Calibri"/>
          <w:lang w:val="en-GB"/>
        </w:rPr>
      </w:pPr>
    </w:p>
    <w:p w:rsidR="00912D1D" w:rsidRPr="000850BD" w:rsidRDefault="00912D1D" w:rsidP="00912D1D">
      <w:pPr>
        <w:pStyle w:val="BodyTextMain"/>
        <w:rPr>
          <w:rFonts w:eastAsia="Calibri"/>
          <w:lang w:val="en-GB"/>
        </w:rPr>
      </w:pPr>
    </w:p>
    <w:p w:rsidR="00912D1D" w:rsidRPr="000850BD" w:rsidRDefault="00912D1D" w:rsidP="00912D1D">
      <w:pPr>
        <w:pStyle w:val="Casehead1"/>
        <w:rPr>
          <w:lang w:val="en-GB"/>
        </w:rPr>
      </w:pPr>
      <w:r w:rsidRPr="000850BD">
        <w:rPr>
          <w:lang w:val="en-GB"/>
        </w:rPr>
        <w:t xml:space="preserve">THE PROMISE OF OMNICHANNEL </w:t>
      </w:r>
    </w:p>
    <w:p w:rsidR="00912D1D" w:rsidRPr="000850BD" w:rsidRDefault="00912D1D" w:rsidP="00912D1D">
      <w:pPr>
        <w:pStyle w:val="BodyTextMain"/>
        <w:rPr>
          <w:lang w:val="en-GB"/>
        </w:rPr>
      </w:pPr>
    </w:p>
    <w:p w:rsidR="00912D1D" w:rsidRPr="000850BD" w:rsidRDefault="00912D1D" w:rsidP="00912D1D">
      <w:pPr>
        <w:pStyle w:val="BodyTextMain"/>
        <w:rPr>
          <w:lang w:val="en-GB"/>
        </w:rPr>
      </w:pPr>
      <w:proofErr w:type="gramStart"/>
      <w:r w:rsidRPr="000850BD">
        <w:rPr>
          <w:lang w:val="en-GB"/>
        </w:rPr>
        <w:t>Clearly opened its first physical store in March 2013 on Robson Street in downtown Vancouver</w:t>
      </w:r>
      <w:r>
        <w:rPr>
          <w:lang w:val="en-GB"/>
        </w:rPr>
        <w:t>.</w:t>
      </w:r>
      <w:proofErr w:type="gramEnd"/>
      <w:r>
        <w:rPr>
          <w:lang w:val="en-GB"/>
        </w:rPr>
        <w:t xml:space="preserve"> The store opening</w:t>
      </w:r>
      <w:r w:rsidRPr="000850BD">
        <w:rPr>
          <w:lang w:val="en-GB"/>
        </w:rPr>
        <w:t xml:space="preserve"> contrasted with the predominant trend of brick-and-mortar companies moving online. The company opened a second store in the </w:t>
      </w:r>
      <w:proofErr w:type="spellStart"/>
      <w:r w:rsidRPr="000850BD">
        <w:rPr>
          <w:lang w:val="en-GB"/>
        </w:rPr>
        <w:t>Kitsilano</w:t>
      </w:r>
      <w:proofErr w:type="spellEnd"/>
      <w:r w:rsidRPr="000850BD">
        <w:rPr>
          <w:lang w:val="en-GB"/>
        </w:rPr>
        <w:t xml:space="preserve"> neighbourhood of Vancouver</w:t>
      </w:r>
      <w:r w:rsidRPr="000850BD" w:rsidDel="00FB3504">
        <w:rPr>
          <w:lang w:val="en-GB"/>
        </w:rPr>
        <w:t xml:space="preserve"> </w:t>
      </w:r>
      <w:r w:rsidRPr="000850BD">
        <w:rPr>
          <w:lang w:val="en-GB"/>
        </w:rPr>
        <w:t xml:space="preserve">in October </w:t>
      </w:r>
      <w:r>
        <w:rPr>
          <w:lang w:val="en-GB"/>
        </w:rPr>
        <w:t xml:space="preserve">of </w:t>
      </w:r>
      <w:r w:rsidRPr="000850BD">
        <w:rPr>
          <w:lang w:val="en-GB"/>
        </w:rPr>
        <w:t xml:space="preserve">that year and </w:t>
      </w:r>
      <w:r w:rsidRPr="000850BD">
        <w:rPr>
          <w:lang w:val="en-GB"/>
        </w:rPr>
        <w:lastRenderedPageBreak/>
        <w:t xml:space="preserve">a third, on Queen Street West in Toronto, in December. Together, the three stores represented investments in </w:t>
      </w:r>
      <w:proofErr w:type="spellStart"/>
      <w:r w:rsidRPr="000850BD">
        <w:rPr>
          <w:lang w:val="en-GB"/>
        </w:rPr>
        <w:t>omnichannel</w:t>
      </w:r>
      <w:proofErr w:type="spellEnd"/>
      <w:r w:rsidRPr="000850BD">
        <w:rPr>
          <w:lang w:val="en-GB"/>
        </w:rPr>
        <w:t xml:space="preserve"> capabilities. The company saw the physical stores as a medium for conversations with walk-in customers and as a way to demonstrate the ease with which optical products could be purchased online. In addition to creating product awareness, the physical store was an opportunity to build the brand and project an image of a digitally forward-looking company. An online attribute that fascinated many </w:t>
      </w:r>
      <w:r>
        <w:rPr>
          <w:lang w:val="en-GB"/>
        </w:rPr>
        <w:t xml:space="preserve">customers </w:t>
      </w:r>
      <w:r w:rsidRPr="000850BD">
        <w:rPr>
          <w:lang w:val="en-GB"/>
        </w:rPr>
        <w:t>was th</w:t>
      </w:r>
      <w:r>
        <w:rPr>
          <w:lang w:val="en-GB"/>
        </w:rPr>
        <w:t>e ability to</w:t>
      </w:r>
      <w:r w:rsidRPr="000850BD">
        <w:rPr>
          <w:lang w:val="en-GB"/>
        </w:rPr>
        <w:t xml:space="preserve"> save their favourite frames to retrieve later.</w:t>
      </w:r>
    </w:p>
    <w:p w:rsidR="00912D1D" w:rsidRPr="000850BD" w:rsidRDefault="00912D1D" w:rsidP="00912D1D">
      <w:pPr>
        <w:pStyle w:val="BodyTextMain"/>
        <w:rPr>
          <w:lang w:val="en-GB"/>
        </w:rPr>
      </w:pPr>
    </w:p>
    <w:p w:rsidR="00912D1D" w:rsidRPr="000850BD" w:rsidRDefault="00912D1D" w:rsidP="00912D1D">
      <w:pPr>
        <w:pStyle w:val="BodyTextMain"/>
        <w:rPr>
          <w:lang w:val="en-GB"/>
        </w:rPr>
      </w:pPr>
      <w:r w:rsidRPr="000850BD">
        <w:rPr>
          <w:lang w:val="en-GB"/>
        </w:rPr>
        <w:t xml:space="preserve">The company did not expect to make sales at the stores, but as it happened, sales at the stores were soon complementing online sales (see Exhibits 6 and 7). Sixty per cent of the customers walking into </w:t>
      </w:r>
      <w:proofErr w:type="spellStart"/>
      <w:proofErr w:type="gramStart"/>
      <w:r w:rsidRPr="000850BD">
        <w:rPr>
          <w:lang w:val="en-GB"/>
        </w:rPr>
        <w:t>Clearly’s</w:t>
      </w:r>
      <w:proofErr w:type="spellEnd"/>
      <w:proofErr w:type="gramEnd"/>
      <w:r w:rsidRPr="000850BD">
        <w:rPr>
          <w:lang w:val="en-GB"/>
        </w:rPr>
        <w:t xml:space="preserve"> stores were first-time visitors</w:t>
      </w:r>
      <w:r>
        <w:rPr>
          <w:lang w:val="en-GB"/>
        </w:rPr>
        <w:t xml:space="preserve"> who were</w:t>
      </w:r>
      <w:r w:rsidRPr="000850BD">
        <w:rPr>
          <w:lang w:val="en-GB"/>
        </w:rPr>
        <w:t xml:space="preserve"> new to the company</w:t>
      </w:r>
      <w:r>
        <w:rPr>
          <w:lang w:val="en-GB"/>
        </w:rPr>
        <w:t>, whereas</w:t>
      </w:r>
      <w:r w:rsidRPr="000850BD">
        <w:rPr>
          <w:lang w:val="en-GB"/>
        </w:rPr>
        <w:t xml:space="preserve"> 40 per cent of its online customers were new</w:t>
      </w:r>
      <w:r>
        <w:rPr>
          <w:lang w:val="en-GB"/>
        </w:rPr>
        <w:t xml:space="preserve"> clients</w:t>
      </w:r>
      <w:r w:rsidRPr="000850BD">
        <w:rPr>
          <w:lang w:val="en-GB"/>
        </w:rPr>
        <w:t xml:space="preserve">. </w:t>
      </w:r>
    </w:p>
    <w:p w:rsidR="00912D1D" w:rsidRPr="000850BD" w:rsidRDefault="00912D1D" w:rsidP="00912D1D">
      <w:pPr>
        <w:pStyle w:val="BodyTextMain"/>
        <w:rPr>
          <w:lang w:val="en-GB"/>
        </w:rPr>
      </w:pPr>
    </w:p>
    <w:p w:rsidR="00912D1D" w:rsidRDefault="00912D1D" w:rsidP="00912D1D">
      <w:pPr>
        <w:pStyle w:val="BodyTextMain"/>
      </w:pPr>
      <w:proofErr w:type="gramStart"/>
      <w:r>
        <w:t>Clearly had set a target of achieving sales of $500 million by 2018,</w:t>
      </w:r>
      <w:r w:rsidRPr="00DA2CA7">
        <w:rPr>
          <w:rStyle w:val="FootnoteReference"/>
        </w:rPr>
        <w:footnoteReference w:id="15"/>
      </w:r>
      <w:r w:rsidRPr="00DA2CA7">
        <w:t xml:space="preserve"> and doing so profitably.</w:t>
      </w:r>
      <w:proofErr w:type="gramEnd"/>
      <w:r w:rsidRPr="00DA2CA7">
        <w:t xml:space="preserve"> In spite of being positioned as fashion accessories, eye wear products were witnessing online penetration of only </w:t>
      </w:r>
      <w:r>
        <w:t>4</w:t>
      </w:r>
      <w:r w:rsidRPr="00DA2CA7">
        <w:t xml:space="preserve"> per cent. The company had launched a promotional offer called</w:t>
      </w:r>
      <w:r>
        <w:t xml:space="preserve"> First Pair Free (FPF) for a limited period, </w:t>
      </w:r>
      <w:r w:rsidRPr="00DA2CA7">
        <w:t>wherein customers paid only for shipping and handling while getting the frame, uncoated lenses</w:t>
      </w:r>
      <w:r>
        <w:t>,</w:t>
      </w:r>
      <w:r w:rsidRPr="00DA2CA7">
        <w:t xml:space="preserve"> and a case for their first order</w:t>
      </w:r>
      <w:r>
        <w:t>.</w:t>
      </w:r>
    </w:p>
    <w:p w:rsidR="00912D1D" w:rsidRDefault="00912D1D" w:rsidP="00912D1D">
      <w:pPr>
        <w:pStyle w:val="BodyTextMain"/>
      </w:pPr>
    </w:p>
    <w:p w:rsidR="00912D1D" w:rsidRPr="000850BD" w:rsidRDefault="00912D1D" w:rsidP="00912D1D">
      <w:pPr>
        <w:pStyle w:val="BodyTextMain"/>
        <w:rPr>
          <w:lang w:val="en-GB"/>
        </w:rPr>
      </w:pPr>
      <w:r w:rsidRPr="000850BD">
        <w:rPr>
          <w:lang w:val="en-GB"/>
        </w:rPr>
        <w:t xml:space="preserve">After 2014, </w:t>
      </w:r>
      <w:proofErr w:type="gramStart"/>
      <w:r w:rsidRPr="000850BD">
        <w:rPr>
          <w:lang w:val="en-GB"/>
        </w:rPr>
        <w:t>Clearly</w:t>
      </w:r>
      <w:proofErr w:type="gramEnd"/>
      <w:r w:rsidRPr="000850BD">
        <w:rPr>
          <w:lang w:val="en-GB"/>
        </w:rPr>
        <w:t xml:space="preserve"> sought to understand the demographic and psychographic attributes of its customers. It commissioned </w:t>
      </w:r>
      <w:proofErr w:type="spellStart"/>
      <w:r w:rsidRPr="000850BD">
        <w:rPr>
          <w:lang w:val="en-GB"/>
        </w:rPr>
        <w:t>Environics</w:t>
      </w:r>
      <w:proofErr w:type="spellEnd"/>
      <w:r w:rsidRPr="000850BD">
        <w:rPr>
          <w:lang w:val="en-GB"/>
        </w:rPr>
        <w:t xml:space="preserve"> Research, a Toronto-based marketing and analytical services company, to undertake an analysis of its existing customers in Canada, who numbered nearly 90,000 (excluding Quebec). The analysis showed that </w:t>
      </w:r>
      <w:proofErr w:type="spellStart"/>
      <w:proofErr w:type="gramStart"/>
      <w:r w:rsidRPr="000850BD">
        <w:rPr>
          <w:lang w:val="en-GB"/>
        </w:rPr>
        <w:t>Clearly’s</w:t>
      </w:r>
      <w:proofErr w:type="spellEnd"/>
      <w:proofErr w:type="gramEnd"/>
      <w:r w:rsidRPr="000850BD">
        <w:rPr>
          <w:lang w:val="en-GB"/>
        </w:rPr>
        <w:t xml:space="preserve"> customers tended to be younger, urban singles and couples with an average annual income of $85,000. They were university educated, held white-collar occupations, and lived in apartments and condominiums in urban communities</w:t>
      </w:r>
      <w:r>
        <w:rPr>
          <w:lang w:val="en-GB"/>
        </w:rPr>
        <w:t>, which</w:t>
      </w:r>
      <w:r w:rsidRPr="000850BD">
        <w:rPr>
          <w:lang w:val="en-GB"/>
        </w:rPr>
        <w:t xml:space="preserve"> 55 per cent of them rented. About 20 per cent had taken advantage of </w:t>
      </w:r>
      <w:proofErr w:type="spellStart"/>
      <w:proofErr w:type="gramStart"/>
      <w:r w:rsidRPr="000850BD">
        <w:rPr>
          <w:lang w:val="en-GB"/>
        </w:rPr>
        <w:t>Clearly’s</w:t>
      </w:r>
      <w:proofErr w:type="spellEnd"/>
      <w:proofErr w:type="gramEnd"/>
      <w:r w:rsidRPr="000850BD">
        <w:rPr>
          <w:lang w:val="en-GB"/>
        </w:rPr>
        <w:t xml:space="preserve"> FPF promotion, and 62 per cent of these customers had made at least one subsequent purchase. A full 89 per cent of the company’s customers were Internet users, and 44 per cent were readers of daily newspapers. </w:t>
      </w:r>
      <w:proofErr w:type="spellStart"/>
      <w:r w:rsidRPr="000850BD">
        <w:rPr>
          <w:lang w:val="en-GB"/>
        </w:rPr>
        <w:t>Clearly’s</w:t>
      </w:r>
      <w:proofErr w:type="spellEnd"/>
      <w:r w:rsidRPr="000850BD">
        <w:rPr>
          <w:lang w:val="en-GB"/>
        </w:rPr>
        <w:t xml:space="preserve"> customers were nearly two times more likely than the general population to attend film festivals; about 1.5 times more likely to attend ballet, opera, symphony, or music festivals; and about one-third more likely to visit nightclubs or bars, </w:t>
      </w:r>
      <w:r>
        <w:rPr>
          <w:lang w:val="en-GB"/>
        </w:rPr>
        <w:t xml:space="preserve">attend </w:t>
      </w:r>
      <w:r w:rsidRPr="000850BD">
        <w:rPr>
          <w:lang w:val="en-GB"/>
        </w:rPr>
        <w:t xml:space="preserve">food and wine shows, and </w:t>
      </w:r>
      <w:r>
        <w:rPr>
          <w:lang w:val="en-GB"/>
        </w:rPr>
        <w:t>see</w:t>
      </w:r>
      <w:r w:rsidRPr="000850BD">
        <w:rPr>
          <w:lang w:val="en-GB"/>
        </w:rPr>
        <w:t xml:space="preserve"> live theatre performances. They participated in sports such as marathon running, racquet sports, snowboarding, billiards, inline skating, and adventure sports, and they tended to use words like “eco-friendly products,” “stylish,” and “independent.”</w:t>
      </w:r>
    </w:p>
    <w:p w:rsidR="00912D1D" w:rsidRPr="000850BD" w:rsidRDefault="00912D1D" w:rsidP="00912D1D">
      <w:pPr>
        <w:pStyle w:val="BodyTextMain"/>
        <w:rPr>
          <w:lang w:val="en-GB"/>
        </w:rPr>
      </w:pPr>
    </w:p>
    <w:p w:rsidR="00912D1D" w:rsidRPr="000850BD" w:rsidRDefault="00912D1D" w:rsidP="00912D1D">
      <w:pPr>
        <w:pStyle w:val="BodyTextMain"/>
        <w:rPr>
          <w:lang w:val="en-GB"/>
        </w:rPr>
      </w:pPr>
      <w:r>
        <w:rPr>
          <w:lang w:val="en-GB"/>
        </w:rPr>
        <w:t>While eye</w:t>
      </w:r>
      <w:r w:rsidRPr="000850BD">
        <w:rPr>
          <w:lang w:val="en-GB"/>
        </w:rPr>
        <w:t xml:space="preserve">wear products were positioned as fashion accessories, </w:t>
      </w:r>
      <w:proofErr w:type="spellStart"/>
      <w:proofErr w:type="gramStart"/>
      <w:r w:rsidRPr="000850BD">
        <w:rPr>
          <w:lang w:val="en-GB"/>
        </w:rPr>
        <w:t>Clearly’s</w:t>
      </w:r>
      <w:proofErr w:type="spellEnd"/>
      <w:proofErr w:type="gramEnd"/>
      <w:r w:rsidRPr="000850BD">
        <w:rPr>
          <w:lang w:val="en-GB"/>
        </w:rPr>
        <w:t xml:space="preserve"> online sales were penetrating only 4 per cent of the available market. The slow rate of growth of the online optical market was primarily due to two reasons: the historical battle with ECPs and the dynamics of </w:t>
      </w:r>
      <w:proofErr w:type="spellStart"/>
      <w:r w:rsidRPr="000850BD">
        <w:rPr>
          <w:lang w:val="en-GB"/>
        </w:rPr>
        <w:t>omnichannel</w:t>
      </w:r>
      <w:proofErr w:type="spellEnd"/>
      <w:r w:rsidRPr="000850BD">
        <w:rPr>
          <w:lang w:val="en-GB"/>
        </w:rPr>
        <w:t xml:space="preserve"> retailing. Hessel had to find a way to address these two issues.</w:t>
      </w:r>
    </w:p>
    <w:p w:rsidR="00912D1D" w:rsidRPr="000850BD" w:rsidRDefault="00912D1D" w:rsidP="00912D1D">
      <w:pPr>
        <w:pStyle w:val="BodyTextMain"/>
        <w:rPr>
          <w:lang w:val="en-GB"/>
        </w:rPr>
      </w:pPr>
    </w:p>
    <w:p w:rsidR="00912D1D" w:rsidRPr="000850BD" w:rsidRDefault="00912D1D" w:rsidP="00912D1D">
      <w:pPr>
        <w:pStyle w:val="BodyTextMain"/>
        <w:rPr>
          <w:lang w:val="en-GB"/>
        </w:rPr>
      </w:pPr>
      <w:r w:rsidRPr="000850BD">
        <w:rPr>
          <w:lang w:val="en-GB"/>
        </w:rPr>
        <w:t>Keith Baker, the senior director of the company’s global business and retail operations described the challenge:</w:t>
      </w:r>
    </w:p>
    <w:p w:rsidR="00912D1D" w:rsidRPr="000850BD" w:rsidRDefault="00912D1D" w:rsidP="00912D1D">
      <w:pPr>
        <w:pStyle w:val="BodyTextMain"/>
        <w:rPr>
          <w:lang w:val="en-GB"/>
        </w:rPr>
      </w:pPr>
    </w:p>
    <w:p w:rsidR="00912D1D" w:rsidRPr="000850BD" w:rsidRDefault="00912D1D" w:rsidP="00912D1D">
      <w:pPr>
        <w:pStyle w:val="BodyTextMain"/>
        <w:ind w:left="720"/>
        <w:rPr>
          <w:lang w:val="en-GB"/>
        </w:rPr>
      </w:pPr>
      <w:r w:rsidRPr="000850BD">
        <w:rPr>
          <w:lang w:val="en-GB"/>
        </w:rPr>
        <w:t xml:space="preserve">We are examining the way forward with physical retailing in terms of the prospects for customer interaction. There are several possibilities. We could have showrooms where our latest collections could be displayed for customers and, more particularly, for individual ECPs. We could have innovation hubs where our product teams could interact with customers in a bid to identify unmet optical needs and new design opportunities. We could have service centres where customers could get their glasses cleaned, defects corrected, and fits adjusted by our associates. We could </w:t>
      </w:r>
      <w:r w:rsidRPr="000850BD">
        <w:rPr>
          <w:lang w:val="en-GB"/>
        </w:rPr>
        <w:lastRenderedPageBreak/>
        <w:t xml:space="preserve">have kiosks where customers (even of competitor brands) could turn over used glasses for recycling and get a credit on the purchase of a </w:t>
      </w:r>
      <w:proofErr w:type="gramStart"/>
      <w:r w:rsidRPr="000850BD">
        <w:rPr>
          <w:lang w:val="en-GB"/>
        </w:rPr>
        <w:t>Clearly</w:t>
      </w:r>
      <w:proofErr w:type="gramEnd"/>
      <w:r w:rsidRPr="000850BD">
        <w:rPr>
          <w:lang w:val="en-GB"/>
        </w:rPr>
        <w:t xml:space="preserve"> product. </w:t>
      </w:r>
    </w:p>
    <w:p w:rsidR="00912D1D" w:rsidRDefault="00912D1D" w:rsidP="00912D1D">
      <w:pPr>
        <w:pStyle w:val="BodyTextMain"/>
        <w:rPr>
          <w:lang w:val="en-GB"/>
        </w:rPr>
      </w:pPr>
    </w:p>
    <w:p w:rsidR="00912D1D" w:rsidRPr="000850BD" w:rsidRDefault="00912D1D" w:rsidP="00912D1D">
      <w:pPr>
        <w:pStyle w:val="BodyTextMain"/>
        <w:rPr>
          <w:lang w:val="en-GB"/>
        </w:rPr>
      </w:pPr>
    </w:p>
    <w:p w:rsidR="00912D1D" w:rsidRPr="000850BD" w:rsidRDefault="00912D1D" w:rsidP="00912D1D">
      <w:pPr>
        <w:pStyle w:val="Casehead2"/>
        <w:rPr>
          <w:lang w:val="en-GB"/>
        </w:rPr>
      </w:pPr>
      <w:r w:rsidRPr="000850BD">
        <w:rPr>
          <w:lang w:val="en-GB"/>
        </w:rPr>
        <w:t>Mending fences with ECPs</w:t>
      </w:r>
    </w:p>
    <w:p w:rsidR="00912D1D" w:rsidRPr="00912D1D" w:rsidRDefault="00912D1D" w:rsidP="00912D1D">
      <w:pPr>
        <w:pStyle w:val="BodyTextMain"/>
        <w:rPr>
          <w:lang w:val="en-GB"/>
        </w:rPr>
      </w:pPr>
    </w:p>
    <w:p w:rsidR="00912D1D" w:rsidRPr="000850BD" w:rsidRDefault="00912D1D" w:rsidP="00912D1D">
      <w:pPr>
        <w:pStyle w:val="BodyTextMain"/>
        <w:rPr>
          <w:lang w:val="en-GB"/>
        </w:rPr>
      </w:pPr>
      <w:r w:rsidRPr="000850BD">
        <w:rPr>
          <w:lang w:val="en-GB"/>
        </w:rPr>
        <w:t xml:space="preserve">Although the messaging on the website had been toned down since Hessel’s arrival, the tension between </w:t>
      </w:r>
      <w:proofErr w:type="gramStart"/>
      <w:r w:rsidRPr="000850BD">
        <w:rPr>
          <w:lang w:val="en-GB"/>
        </w:rPr>
        <w:t>Clearly</w:t>
      </w:r>
      <w:proofErr w:type="gramEnd"/>
      <w:r w:rsidRPr="000850BD">
        <w:rPr>
          <w:lang w:val="en-GB"/>
        </w:rPr>
        <w:t xml:space="preserve"> and ECPs had remained high. An ongoing court case, </w:t>
      </w:r>
      <w:r w:rsidRPr="004030FE">
        <w:rPr>
          <w:i/>
          <w:lang w:val="en-GB"/>
        </w:rPr>
        <w:t>College of Optometrists of Quebec v. Coastal Contacts Inc.,</w:t>
      </w:r>
      <w:r w:rsidRPr="000850BD">
        <w:rPr>
          <w:lang w:val="en-GB"/>
        </w:rPr>
        <w:t xml:space="preserve"> had progressed to the Court of Appeal.  </w:t>
      </w:r>
    </w:p>
    <w:p w:rsidR="00912D1D" w:rsidRPr="000850BD" w:rsidRDefault="00912D1D" w:rsidP="00912D1D">
      <w:pPr>
        <w:pStyle w:val="BodyTextMain"/>
        <w:rPr>
          <w:lang w:val="en-GB"/>
        </w:rPr>
      </w:pPr>
    </w:p>
    <w:p w:rsidR="00912D1D" w:rsidRPr="000850BD" w:rsidRDefault="00912D1D" w:rsidP="00912D1D">
      <w:pPr>
        <w:pStyle w:val="BodyTextMain"/>
        <w:rPr>
          <w:lang w:val="en-GB"/>
        </w:rPr>
      </w:pPr>
      <w:r w:rsidRPr="000850BD">
        <w:rPr>
          <w:lang w:val="en-GB"/>
        </w:rPr>
        <w:t>Hessel saw that the task of getting ECPs on board could be done best by appealing to ECP’s self-interest. The company needed to focus on improving the performance metrics that an ECP would track regularly, such as customer retention rate, average order value, and repeat purchase rate. He noted,</w:t>
      </w:r>
    </w:p>
    <w:p w:rsidR="00912D1D" w:rsidRPr="000850BD" w:rsidRDefault="00912D1D" w:rsidP="00912D1D">
      <w:pPr>
        <w:pStyle w:val="BodyTextMain"/>
        <w:rPr>
          <w:lang w:val="en-GB"/>
        </w:rPr>
      </w:pPr>
    </w:p>
    <w:p w:rsidR="00912D1D" w:rsidRPr="000850BD" w:rsidRDefault="00912D1D" w:rsidP="00912D1D">
      <w:pPr>
        <w:pStyle w:val="BodyTextMain"/>
        <w:ind w:left="720"/>
        <w:rPr>
          <w:lang w:val="en-GB"/>
        </w:rPr>
      </w:pPr>
      <w:r w:rsidRPr="000850BD">
        <w:rPr>
          <w:lang w:val="en-GB"/>
        </w:rPr>
        <w:t xml:space="preserve">This is where I propose what I call a shared value model for the ECPs. It has three components. First, it will link the business platform of an individual ECP with customers from </w:t>
      </w:r>
      <w:proofErr w:type="spellStart"/>
      <w:proofErr w:type="gramStart"/>
      <w:r w:rsidRPr="000850BD">
        <w:rPr>
          <w:lang w:val="en-GB"/>
        </w:rPr>
        <w:t>Clearly’s</w:t>
      </w:r>
      <w:proofErr w:type="spellEnd"/>
      <w:proofErr w:type="gramEnd"/>
      <w:r w:rsidRPr="000850BD">
        <w:rPr>
          <w:lang w:val="en-GB"/>
        </w:rPr>
        <w:t xml:space="preserve"> digital platform, numbering millions worldwide. The linkage will extend the reach of ECPs beyond the confines of their personal customer pool, personal domain, and personal time. </w:t>
      </w:r>
      <w:proofErr w:type="gramStart"/>
      <w:r w:rsidRPr="000850BD">
        <w:rPr>
          <w:lang w:val="en-GB"/>
        </w:rPr>
        <w:t>Clearly will provide its online customers with a choice of ECPs who are part of its platform.</w:t>
      </w:r>
      <w:proofErr w:type="gramEnd"/>
      <w:r w:rsidRPr="000850BD">
        <w:rPr>
          <w:lang w:val="en-GB"/>
        </w:rPr>
        <w:t xml:space="preserve"> The referrals from </w:t>
      </w:r>
      <w:proofErr w:type="gramStart"/>
      <w:r w:rsidRPr="000850BD">
        <w:rPr>
          <w:lang w:val="en-GB"/>
        </w:rPr>
        <w:t>Clearly</w:t>
      </w:r>
      <w:proofErr w:type="gramEnd"/>
      <w:r w:rsidRPr="000850BD">
        <w:rPr>
          <w:lang w:val="en-GB"/>
        </w:rPr>
        <w:t xml:space="preserve"> will enable ECPs to scale up their operations quickly and generate revenues. Second, </w:t>
      </w:r>
      <w:proofErr w:type="gramStart"/>
      <w:r w:rsidRPr="000850BD">
        <w:rPr>
          <w:lang w:val="en-GB"/>
        </w:rPr>
        <w:t>Clearly</w:t>
      </w:r>
      <w:proofErr w:type="gramEnd"/>
      <w:r w:rsidRPr="000850BD">
        <w:rPr>
          <w:lang w:val="en-GB"/>
        </w:rPr>
        <w:t xml:space="preserve"> will also give ECPs access to its ongoing innovations in optical technology. Optical frames have already evolved from being vision-correction accessories to fashion accessories, and they will soon become data-carrying tools in their own right. Google Glass, for example, is an indication of the shape of tools to come, although it has been unsuccessful. Third, </w:t>
      </w:r>
      <w:proofErr w:type="gramStart"/>
      <w:r w:rsidRPr="000850BD">
        <w:rPr>
          <w:lang w:val="en-GB"/>
        </w:rPr>
        <w:t>Clearly</w:t>
      </w:r>
      <w:proofErr w:type="gramEnd"/>
      <w:r w:rsidRPr="000850BD">
        <w:rPr>
          <w:lang w:val="en-GB"/>
        </w:rPr>
        <w:t xml:space="preserve"> will provide turnkey solutions to individual ECPs. Powered by enabling technologies like cloud computing and big data, the solutions will encompass everything that an ECP would need—supply chain, customer communications, content management, billing, and payment processing—to activate </w:t>
      </w:r>
      <w:r>
        <w:rPr>
          <w:lang w:val="en-GB"/>
        </w:rPr>
        <w:t>[its]</w:t>
      </w:r>
      <w:r w:rsidRPr="000850BD">
        <w:rPr>
          <w:lang w:val="en-GB"/>
        </w:rPr>
        <w:t xml:space="preserve"> own online optical store with a customized </w:t>
      </w:r>
      <w:r>
        <w:rPr>
          <w:lang w:val="en-GB"/>
        </w:rPr>
        <w:t>[application]</w:t>
      </w:r>
      <w:r w:rsidRPr="000850BD">
        <w:rPr>
          <w:lang w:val="en-GB"/>
        </w:rPr>
        <w:t xml:space="preserve"> that will be quick, inexpensive, and easily scalable. </w:t>
      </w:r>
    </w:p>
    <w:p w:rsidR="00912D1D" w:rsidRPr="000850BD" w:rsidRDefault="00912D1D" w:rsidP="00912D1D">
      <w:pPr>
        <w:pStyle w:val="BodyTextMain"/>
        <w:rPr>
          <w:lang w:val="en-GB"/>
        </w:rPr>
      </w:pPr>
    </w:p>
    <w:p w:rsidR="00912D1D" w:rsidRPr="000850BD" w:rsidRDefault="00912D1D" w:rsidP="00912D1D">
      <w:pPr>
        <w:pStyle w:val="BodyTextMain"/>
        <w:rPr>
          <w:lang w:val="en-GB"/>
        </w:rPr>
      </w:pPr>
      <w:r w:rsidRPr="000850BD">
        <w:rPr>
          <w:lang w:val="en-GB"/>
        </w:rPr>
        <w:t xml:space="preserve">In calling for a truce, Hessel had to leverage the new identity of </w:t>
      </w:r>
      <w:proofErr w:type="gramStart"/>
      <w:r w:rsidRPr="000850BD">
        <w:rPr>
          <w:lang w:val="en-GB"/>
        </w:rPr>
        <w:t>Clearly</w:t>
      </w:r>
      <w:proofErr w:type="gramEnd"/>
      <w:r w:rsidRPr="000850BD">
        <w:rPr>
          <w:lang w:val="en-GB"/>
        </w:rPr>
        <w:t xml:space="preserve">. It was no longer an e-commerce company that had chosen optical products, as it had been in the beginning. As a division of </w:t>
      </w:r>
      <w:proofErr w:type="spellStart"/>
      <w:r w:rsidRPr="000850BD">
        <w:rPr>
          <w:lang w:val="en-GB"/>
        </w:rPr>
        <w:t>Essilor</w:t>
      </w:r>
      <w:proofErr w:type="spellEnd"/>
      <w:r w:rsidRPr="000850BD">
        <w:rPr>
          <w:lang w:val="en-GB"/>
        </w:rPr>
        <w:t xml:space="preserve">, it was now part of an optical company with extensive research, development, and supply-chain capabilities. It was no longer an outsider but an insider with a mandate to make optical products affordable and more widely available. </w:t>
      </w:r>
    </w:p>
    <w:p w:rsidR="00912D1D" w:rsidRPr="000850BD" w:rsidRDefault="00912D1D" w:rsidP="00912D1D">
      <w:pPr>
        <w:pStyle w:val="BodyTextMain"/>
        <w:rPr>
          <w:lang w:val="en-GB"/>
        </w:rPr>
      </w:pPr>
    </w:p>
    <w:p w:rsidR="00912D1D" w:rsidRPr="000850BD" w:rsidRDefault="00912D1D" w:rsidP="00912D1D">
      <w:pPr>
        <w:pStyle w:val="BodyTextMain"/>
        <w:rPr>
          <w:lang w:val="en-GB"/>
        </w:rPr>
      </w:pPr>
      <w:r w:rsidRPr="000850BD">
        <w:rPr>
          <w:lang w:val="en-GB"/>
        </w:rPr>
        <w:t xml:space="preserve">As he pondered </w:t>
      </w:r>
      <w:proofErr w:type="spellStart"/>
      <w:r w:rsidRPr="000850BD">
        <w:rPr>
          <w:lang w:val="en-GB"/>
        </w:rPr>
        <w:t>Clearly’s</w:t>
      </w:r>
      <w:proofErr w:type="spellEnd"/>
      <w:r w:rsidRPr="000850BD">
        <w:rPr>
          <w:lang w:val="en-GB"/>
        </w:rPr>
        <w:t xml:space="preserve"> strategy for going forward, several questions requiring urgent resolution arose in Hessel’s mind: How did </w:t>
      </w:r>
      <w:proofErr w:type="spellStart"/>
      <w:r w:rsidRPr="000850BD">
        <w:rPr>
          <w:lang w:val="en-GB"/>
        </w:rPr>
        <w:t>Clearly’s</w:t>
      </w:r>
      <w:proofErr w:type="spellEnd"/>
      <w:r w:rsidRPr="000850BD">
        <w:rPr>
          <w:lang w:val="en-GB"/>
        </w:rPr>
        <w:t xml:space="preserve"> multiple channels compare with respect to foot traffic and subsequent conversion to sales? Were the three physical storefronts cannibalizing online sales, or were they generating incremental sales? Were the customers using </w:t>
      </w:r>
      <w:proofErr w:type="spellStart"/>
      <w:proofErr w:type="gramStart"/>
      <w:r w:rsidRPr="000850BD">
        <w:rPr>
          <w:lang w:val="en-GB"/>
        </w:rPr>
        <w:t>Clearly’s</w:t>
      </w:r>
      <w:proofErr w:type="spellEnd"/>
      <w:proofErr w:type="gramEnd"/>
      <w:r w:rsidRPr="000850BD">
        <w:rPr>
          <w:lang w:val="en-GB"/>
        </w:rPr>
        <w:t xml:space="preserve"> multiple channels shopping more frequently and making more purchases? Were the</w:t>
      </w:r>
      <w:r>
        <w:rPr>
          <w:lang w:val="en-GB"/>
        </w:rPr>
        <w:t xml:space="preserve"> multiple channels</w:t>
      </w:r>
      <w:r w:rsidRPr="000850BD">
        <w:rPr>
          <w:lang w:val="en-GB"/>
        </w:rPr>
        <w:t xml:space="preserve"> more profitable</w:t>
      </w:r>
      <w:r>
        <w:rPr>
          <w:lang w:val="en-GB"/>
        </w:rPr>
        <w:t xml:space="preserve"> than online only</w:t>
      </w:r>
      <w:r w:rsidRPr="000850BD">
        <w:rPr>
          <w:lang w:val="en-GB"/>
        </w:rPr>
        <w:t xml:space="preserve">? </w:t>
      </w:r>
    </w:p>
    <w:p w:rsidR="00912D1D" w:rsidRPr="000850BD" w:rsidRDefault="00912D1D" w:rsidP="00912D1D">
      <w:pPr>
        <w:pStyle w:val="Casehead1"/>
        <w:jc w:val="center"/>
        <w:rPr>
          <w:lang w:val="en-GB"/>
        </w:rPr>
      </w:pPr>
      <w:r w:rsidRPr="000850BD">
        <w:rPr>
          <w:lang w:val="en-GB"/>
        </w:rPr>
        <w:br w:type="page"/>
      </w:r>
      <w:r w:rsidRPr="000850BD">
        <w:rPr>
          <w:lang w:val="en-GB"/>
        </w:rPr>
        <w:lastRenderedPageBreak/>
        <w:t>Exhibit 1: GLOBAL EYEWEAR PRODUCT SALES, 2012–2016</w:t>
      </w:r>
      <w:r>
        <w:rPr>
          <w:lang w:val="en-GB"/>
        </w:rPr>
        <w:t xml:space="preserve"> </w:t>
      </w:r>
      <w:r w:rsidRPr="000850BD">
        <w:rPr>
          <w:lang w:val="en-GB"/>
        </w:rPr>
        <w:t>(millions)</w:t>
      </w:r>
    </w:p>
    <w:p w:rsidR="00912D1D" w:rsidRPr="000850BD" w:rsidRDefault="00912D1D" w:rsidP="00912D1D">
      <w:pPr>
        <w:pStyle w:val="BodyTextMain"/>
        <w:rPr>
          <w:sz w:val="16"/>
          <w:szCs w:val="16"/>
          <w:lang w:val="en-GB"/>
        </w:rPr>
      </w:pPr>
    </w:p>
    <w:tbl>
      <w:tblPr>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5"/>
        <w:gridCol w:w="1197"/>
        <w:gridCol w:w="1197"/>
        <w:gridCol w:w="1197"/>
        <w:gridCol w:w="1197"/>
        <w:gridCol w:w="1197"/>
      </w:tblGrid>
      <w:tr w:rsidR="00912D1D" w:rsidRPr="000850BD" w:rsidTr="00955019">
        <w:trPr>
          <w:jc w:val="center"/>
        </w:trPr>
        <w:tc>
          <w:tcPr>
            <w:tcW w:w="1895" w:type="dxa"/>
            <w:shd w:val="clear" w:color="auto" w:fill="auto"/>
          </w:tcPr>
          <w:p w:rsidR="00912D1D" w:rsidRPr="000850BD" w:rsidRDefault="00912D1D" w:rsidP="00955019">
            <w:pPr>
              <w:rPr>
                <w:rFonts w:ascii="Arial" w:hAnsi="Arial" w:cs="Arial"/>
                <w:sz w:val="18"/>
                <w:szCs w:val="18"/>
                <w:lang w:val="en-GB"/>
              </w:rPr>
            </w:pPr>
          </w:p>
        </w:tc>
        <w:tc>
          <w:tcPr>
            <w:tcW w:w="1197"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2016</w:t>
            </w:r>
          </w:p>
        </w:tc>
        <w:tc>
          <w:tcPr>
            <w:tcW w:w="1197"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2015</w:t>
            </w:r>
          </w:p>
        </w:tc>
        <w:tc>
          <w:tcPr>
            <w:tcW w:w="1197"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2014</w:t>
            </w:r>
          </w:p>
        </w:tc>
        <w:tc>
          <w:tcPr>
            <w:tcW w:w="1197"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2013</w:t>
            </w:r>
          </w:p>
        </w:tc>
        <w:tc>
          <w:tcPr>
            <w:tcW w:w="1197"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2012</w:t>
            </w:r>
          </w:p>
        </w:tc>
      </w:tr>
      <w:tr w:rsidR="00912D1D" w:rsidRPr="000850BD" w:rsidTr="00955019">
        <w:trPr>
          <w:jc w:val="center"/>
        </w:trPr>
        <w:tc>
          <w:tcPr>
            <w:tcW w:w="1895" w:type="dxa"/>
            <w:shd w:val="clear" w:color="auto" w:fill="auto"/>
          </w:tcPr>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Retail Value (</w:t>
            </w:r>
            <w:r>
              <w:rPr>
                <w:rFonts w:ascii="Arial" w:hAnsi="Arial" w:cs="Arial"/>
                <w:sz w:val="18"/>
                <w:szCs w:val="18"/>
                <w:lang w:val="en-GB"/>
              </w:rPr>
              <w:t>US</w:t>
            </w:r>
            <w:r w:rsidRPr="000850BD">
              <w:rPr>
                <w:rFonts w:ascii="Arial" w:hAnsi="Arial" w:cs="Arial"/>
                <w:sz w:val="18"/>
                <w:szCs w:val="18"/>
                <w:lang w:val="en-GB"/>
              </w:rPr>
              <w:t>$)</w:t>
            </w:r>
          </w:p>
        </w:tc>
        <w:tc>
          <w:tcPr>
            <w:tcW w:w="1197"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120,845</w:t>
            </w:r>
          </w:p>
        </w:tc>
        <w:tc>
          <w:tcPr>
            <w:tcW w:w="1197"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120,126</w:t>
            </w:r>
          </w:p>
        </w:tc>
        <w:tc>
          <w:tcPr>
            <w:tcW w:w="1197"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128,524</w:t>
            </w:r>
          </w:p>
        </w:tc>
        <w:tc>
          <w:tcPr>
            <w:tcW w:w="1197"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125,467</w:t>
            </w:r>
          </w:p>
        </w:tc>
        <w:tc>
          <w:tcPr>
            <w:tcW w:w="1197"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121,545</w:t>
            </w:r>
          </w:p>
        </w:tc>
      </w:tr>
      <w:tr w:rsidR="00912D1D" w:rsidRPr="000850BD" w:rsidTr="00955019">
        <w:trPr>
          <w:jc w:val="center"/>
        </w:trPr>
        <w:tc>
          <w:tcPr>
            <w:tcW w:w="1895" w:type="dxa"/>
            <w:shd w:val="clear" w:color="auto" w:fill="auto"/>
          </w:tcPr>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Retail Volume (no.)</w:t>
            </w:r>
          </w:p>
        </w:tc>
        <w:tc>
          <w:tcPr>
            <w:tcW w:w="1197"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9,343</w:t>
            </w:r>
          </w:p>
        </w:tc>
        <w:tc>
          <w:tcPr>
            <w:tcW w:w="1197"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9,020</w:t>
            </w:r>
          </w:p>
        </w:tc>
        <w:tc>
          <w:tcPr>
            <w:tcW w:w="1197"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8,706</w:t>
            </w:r>
          </w:p>
        </w:tc>
        <w:tc>
          <w:tcPr>
            <w:tcW w:w="1197"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8,388</w:t>
            </w:r>
          </w:p>
        </w:tc>
        <w:tc>
          <w:tcPr>
            <w:tcW w:w="1197"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7,987</w:t>
            </w:r>
          </w:p>
        </w:tc>
      </w:tr>
    </w:tbl>
    <w:p w:rsidR="00F06805" w:rsidRDefault="00F06805" w:rsidP="00912D1D">
      <w:pPr>
        <w:pStyle w:val="FootnoteText1"/>
        <w:rPr>
          <w:lang w:val="en-GB"/>
        </w:rPr>
      </w:pPr>
    </w:p>
    <w:p w:rsidR="00912D1D" w:rsidRPr="00912D1D" w:rsidRDefault="00912D1D" w:rsidP="00912D1D">
      <w:pPr>
        <w:pStyle w:val="FootnoteText1"/>
        <w:rPr>
          <w:i/>
          <w:lang w:val="en-GB"/>
        </w:rPr>
      </w:pPr>
      <w:r w:rsidRPr="00912D1D">
        <w:rPr>
          <w:lang w:val="en-GB"/>
        </w:rPr>
        <w:t>Note: Historic regional/global values are aggregated from local currency data at current prices converted into the common currency using year-to-year exchange rates.</w:t>
      </w:r>
    </w:p>
    <w:p w:rsidR="00912D1D" w:rsidRPr="00912D1D" w:rsidRDefault="00912D1D" w:rsidP="00912D1D">
      <w:pPr>
        <w:pStyle w:val="FootnoteText1"/>
        <w:rPr>
          <w:i/>
          <w:lang w:val="en-GB"/>
        </w:rPr>
      </w:pPr>
      <w:r w:rsidRPr="00912D1D">
        <w:rPr>
          <w:lang w:val="en-GB"/>
        </w:rPr>
        <w:t xml:space="preserve">Source:  </w:t>
      </w:r>
      <w:r w:rsidR="001B5473">
        <w:rPr>
          <w:lang w:val="en-GB"/>
        </w:rPr>
        <w:t xml:space="preserve">“Eyewear in 2017: Key Insights and System Refresher,” </w:t>
      </w:r>
      <w:proofErr w:type="spellStart"/>
      <w:r w:rsidR="001B5473">
        <w:rPr>
          <w:lang w:val="en-GB"/>
        </w:rPr>
        <w:t>Euromonitor</w:t>
      </w:r>
      <w:proofErr w:type="spellEnd"/>
      <w:r w:rsidR="001B5473">
        <w:rPr>
          <w:lang w:val="en-GB"/>
        </w:rPr>
        <w:t xml:space="preserve">, International 2017, accessed May 10, 2017, </w:t>
      </w:r>
      <w:r w:rsidRPr="00912D1D">
        <w:rPr>
          <w:lang w:val="en-GB"/>
        </w:rPr>
        <w:t>www.portal.euromonitor.com.proxy1.lib.uwo.ca/portal/statistics/tab</w:t>
      </w:r>
      <w:r w:rsidR="001B5473">
        <w:rPr>
          <w:lang w:val="en-GB"/>
        </w:rPr>
        <w:t>.</w:t>
      </w:r>
    </w:p>
    <w:p w:rsidR="00912D1D" w:rsidRPr="000850BD" w:rsidRDefault="00912D1D" w:rsidP="00912D1D">
      <w:pPr>
        <w:pStyle w:val="BodyTextMain"/>
        <w:rPr>
          <w:lang w:val="en-GB"/>
        </w:rPr>
      </w:pPr>
    </w:p>
    <w:p w:rsidR="00912D1D" w:rsidRPr="000850BD" w:rsidRDefault="00912D1D" w:rsidP="00912D1D">
      <w:pPr>
        <w:pStyle w:val="BodyTextMain"/>
        <w:rPr>
          <w:lang w:val="en-GB"/>
        </w:rPr>
      </w:pPr>
    </w:p>
    <w:p w:rsidR="00912D1D" w:rsidRPr="000850BD" w:rsidRDefault="00912D1D" w:rsidP="00912D1D">
      <w:pPr>
        <w:pStyle w:val="Casehead1"/>
        <w:jc w:val="center"/>
        <w:rPr>
          <w:lang w:val="en-GB"/>
        </w:rPr>
      </w:pPr>
      <w:r w:rsidRPr="000850BD">
        <w:rPr>
          <w:lang w:val="en-GB"/>
        </w:rPr>
        <w:t>Exhibit 2: GLOBAL OPTICAL INDUSTRY—LEADING MARKET SHARES (%)</w:t>
      </w:r>
    </w:p>
    <w:p w:rsidR="00912D1D" w:rsidRPr="000850BD" w:rsidRDefault="00912D1D" w:rsidP="00912D1D">
      <w:pPr>
        <w:pStyle w:val="BodyTextMain"/>
        <w:rPr>
          <w:lang w:val="en-GB"/>
        </w:rPr>
      </w:pPr>
    </w:p>
    <w:tbl>
      <w:tblPr>
        <w:tblW w:w="9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842"/>
        <w:gridCol w:w="851"/>
        <w:gridCol w:w="1012"/>
        <w:gridCol w:w="972"/>
        <w:gridCol w:w="1008"/>
        <w:gridCol w:w="1008"/>
      </w:tblGrid>
      <w:tr w:rsidR="00912D1D" w:rsidRPr="009D70BC" w:rsidTr="00955019">
        <w:trPr>
          <w:jc w:val="center"/>
        </w:trPr>
        <w:tc>
          <w:tcPr>
            <w:tcW w:w="2410" w:type="dxa"/>
            <w:shd w:val="clear" w:color="auto" w:fill="auto"/>
          </w:tcPr>
          <w:p w:rsidR="00912D1D" w:rsidRPr="000850BD" w:rsidRDefault="00912D1D" w:rsidP="00955019">
            <w:pPr>
              <w:jc w:val="center"/>
              <w:rPr>
                <w:rFonts w:ascii="Arial" w:hAnsi="Arial" w:cs="Arial"/>
                <w:b/>
                <w:sz w:val="18"/>
                <w:szCs w:val="18"/>
                <w:lang w:val="en-GB"/>
              </w:rPr>
            </w:pPr>
            <w:r w:rsidRPr="009D70BC">
              <w:rPr>
                <w:rFonts w:ascii="Arial" w:hAnsi="Arial" w:cs="Arial"/>
                <w:b/>
                <w:sz w:val="18"/>
                <w:szCs w:val="18"/>
                <w:lang w:val="en-GB"/>
              </w:rPr>
              <w:t xml:space="preserve">Company Name </w:t>
            </w:r>
          </w:p>
        </w:tc>
        <w:tc>
          <w:tcPr>
            <w:tcW w:w="1842" w:type="dxa"/>
            <w:shd w:val="clear" w:color="auto" w:fill="auto"/>
          </w:tcPr>
          <w:p w:rsidR="00912D1D" w:rsidRPr="000850BD" w:rsidRDefault="00912D1D" w:rsidP="00955019">
            <w:pPr>
              <w:jc w:val="center"/>
              <w:rPr>
                <w:rFonts w:ascii="Arial" w:hAnsi="Arial" w:cs="Arial"/>
                <w:b/>
                <w:sz w:val="18"/>
                <w:szCs w:val="18"/>
                <w:lang w:val="en-GB"/>
              </w:rPr>
            </w:pPr>
            <w:r w:rsidRPr="009D70BC">
              <w:rPr>
                <w:rFonts w:ascii="Arial" w:hAnsi="Arial" w:cs="Arial"/>
                <w:b/>
                <w:sz w:val="18"/>
                <w:szCs w:val="18"/>
                <w:lang w:val="en-GB"/>
              </w:rPr>
              <w:t xml:space="preserve">Country </w:t>
            </w:r>
          </w:p>
        </w:tc>
        <w:tc>
          <w:tcPr>
            <w:tcW w:w="851" w:type="dxa"/>
            <w:shd w:val="clear" w:color="auto" w:fill="auto"/>
          </w:tcPr>
          <w:p w:rsidR="00912D1D" w:rsidRPr="000850BD" w:rsidRDefault="00912D1D" w:rsidP="00955019">
            <w:pPr>
              <w:jc w:val="center"/>
              <w:rPr>
                <w:rFonts w:ascii="Arial" w:hAnsi="Arial" w:cs="Arial"/>
                <w:b/>
                <w:sz w:val="18"/>
                <w:szCs w:val="18"/>
                <w:lang w:val="en-GB"/>
              </w:rPr>
            </w:pPr>
            <w:r w:rsidRPr="009D70BC">
              <w:rPr>
                <w:rFonts w:ascii="Arial" w:hAnsi="Arial" w:cs="Arial"/>
                <w:b/>
                <w:sz w:val="18"/>
                <w:szCs w:val="18"/>
                <w:lang w:val="en-GB"/>
              </w:rPr>
              <w:t>2015</w:t>
            </w:r>
          </w:p>
        </w:tc>
        <w:tc>
          <w:tcPr>
            <w:tcW w:w="1012" w:type="dxa"/>
            <w:shd w:val="clear" w:color="auto" w:fill="auto"/>
          </w:tcPr>
          <w:p w:rsidR="00912D1D" w:rsidRPr="000850BD" w:rsidRDefault="00912D1D" w:rsidP="00955019">
            <w:pPr>
              <w:jc w:val="center"/>
              <w:rPr>
                <w:rFonts w:ascii="Arial" w:hAnsi="Arial" w:cs="Arial"/>
                <w:b/>
                <w:sz w:val="18"/>
                <w:szCs w:val="18"/>
                <w:lang w:val="en-GB"/>
              </w:rPr>
            </w:pPr>
            <w:r w:rsidRPr="009D70BC">
              <w:rPr>
                <w:rFonts w:ascii="Arial" w:hAnsi="Arial" w:cs="Arial"/>
                <w:b/>
                <w:sz w:val="18"/>
                <w:szCs w:val="18"/>
                <w:lang w:val="en-GB"/>
              </w:rPr>
              <w:t>2014</w:t>
            </w:r>
          </w:p>
        </w:tc>
        <w:tc>
          <w:tcPr>
            <w:tcW w:w="972" w:type="dxa"/>
            <w:shd w:val="clear" w:color="auto" w:fill="auto"/>
          </w:tcPr>
          <w:p w:rsidR="00912D1D" w:rsidRPr="000850BD" w:rsidRDefault="00912D1D" w:rsidP="00955019">
            <w:pPr>
              <w:jc w:val="center"/>
              <w:rPr>
                <w:rFonts w:ascii="Arial" w:hAnsi="Arial" w:cs="Arial"/>
                <w:b/>
                <w:sz w:val="18"/>
                <w:szCs w:val="18"/>
                <w:lang w:val="en-GB"/>
              </w:rPr>
            </w:pPr>
            <w:r w:rsidRPr="009D70BC">
              <w:rPr>
                <w:rFonts w:ascii="Arial" w:hAnsi="Arial" w:cs="Arial"/>
                <w:b/>
                <w:sz w:val="18"/>
                <w:szCs w:val="18"/>
                <w:lang w:val="en-GB"/>
              </w:rPr>
              <w:t>2013</w:t>
            </w:r>
          </w:p>
        </w:tc>
        <w:tc>
          <w:tcPr>
            <w:tcW w:w="1008" w:type="dxa"/>
            <w:shd w:val="clear" w:color="auto" w:fill="auto"/>
          </w:tcPr>
          <w:p w:rsidR="00912D1D" w:rsidRPr="000850BD" w:rsidRDefault="00912D1D" w:rsidP="00955019">
            <w:pPr>
              <w:jc w:val="center"/>
              <w:rPr>
                <w:rFonts w:ascii="Arial" w:hAnsi="Arial" w:cs="Arial"/>
                <w:b/>
                <w:sz w:val="18"/>
                <w:szCs w:val="18"/>
                <w:lang w:val="en-GB"/>
              </w:rPr>
            </w:pPr>
            <w:r w:rsidRPr="009D70BC">
              <w:rPr>
                <w:rFonts w:ascii="Arial" w:hAnsi="Arial" w:cs="Arial"/>
                <w:b/>
                <w:sz w:val="18"/>
                <w:szCs w:val="18"/>
                <w:lang w:val="en-GB"/>
              </w:rPr>
              <w:t>2012</w:t>
            </w:r>
          </w:p>
        </w:tc>
        <w:tc>
          <w:tcPr>
            <w:tcW w:w="1008" w:type="dxa"/>
            <w:shd w:val="clear" w:color="auto" w:fill="auto"/>
          </w:tcPr>
          <w:p w:rsidR="00912D1D" w:rsidRPr="000850BD" w:rsidRDefault="00912D1D" w:rsidP="00955019">
            <w:pPr>
              <w:jc w:val="center"/>
              <w:rPr>
                <w:rFonts w:ascii="Arial" w:hAnsi="Arial" w:cs="Arial"/>
                <w:b/>
                <w:sz w:val="18"/>
                <w:szCs w:val="18"/>
                <w:lang w:val="en-GB"/>
              </w:rPr>
            </w:pPr>
            <w:r w:rsidRPr="009D70BC">
              <w:rPr>
                <w:rFonts w:ascii="Arial" w:hAnsi="Arial" w:cs="Arial"/>
                <w:b/>
                <w:sz w:val="18"/>
                <w:szCs w:val="18"/>
                <w:lang w:val="en-GB"/>
              </w:rPr>
              <w:t>2011</w:t>
            </w:r>
          </w:p>
        </w:tc>
      </w:tr>
      <w:tr w:rsidR="00912D1D" w:rsidRPr="000850BD" w:rsidTr="00955019">
        <w:trPr>
          <w:jc w:val="center"/>
        </w:trPr>
        <w:tc>
          <w:tcPr>
            <w:tcW w:w="2410" w:type="dxa"/>
            <w:shd w:val="clear" w:color="auto" w:fill="auto"/>
          </w:tcPr>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Luxottica Group</w:t>
            </w:r>
          </w:p>
          <w:p w:rsidR="00912D1D" w:rsidRPr="000850BD" w:rsidRDefault="00912D1D" w:rsidP="00955019">
            <w:pPr>
              <w:rPr>
                <w:rFonts w:ascii="Arial" w:hAnsi="Arial" w:cs="Arial"/>
                <w:sz w:val="18"/>
                <w:szCs w:val="18"/>
                <w:lang w:val="en-GB"/>
              </w:rPr>
            </w:pPr>
            <w:proofErr w:type="spellStart"/>
            <w:r w:rsidRPr="000850BD">
              <w:rPr>
                <w:rFonts w:ascii="Arial" w:hAnsi="Arial" w:cs="Arial"/>
                <w:sz w:val="18"/>
                <w:szCs w:val="18"/>
                <w:lang w:val="en-GB"/>
              </w:rPr>
              <w:t>Essilor</w:t>
            </w:r>
            <w:proofErr w:type="spellEnd"/>
            <w:r w:rsidRPr="000850BD">
              <w:rPr>
                <w:rFonts w:ascii="Arial" w:hAnsi="Arial" w:cs="Arial"/>
                <w:sz w:val="18"/>
                <w:szCs w:val="18"/>
                <w:lang w:val="en-GB"/>
              </w:rPr>
              <w:t xml:space="preserve"> International SA</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Johnson &amp; Johnson Inc.</w:t>
            </w:r>
          </w:p>
          <w:p w:rsidR="00912D1D" w:rsidRPr="000850BD" w:rsidRDefault="00912D1D" w:rsidP="00955019">
            <w:pPr>
              <w:rPr>
                <w:rFonts w:ascii="Arial" w:hAnsi="Arial" w:cs="Arial"/>
                <w:sz w:val="18"/>
                <w:szCs w:val="18"/>
                <w:lang w:val="en-GB"/>
              </w:rPr>
            </w:pPr>
            <w:proofErr w:type="spellStart"/>
            <w:r w:rsidRPr="000850BD">
              <w:rPr>
                <w:rFonts w:ascii="Arial" w:hAnsi="Arial" w:cs="Arial"/>
                <w:sz w:val="18"/>
                <w:szCs w:val="18"/>
                <w:lang w:val="en-GB"/>
              </w:rPr>
              <w:t>Safilo</w:t>
            </w:r>
            <w:proofErr w:type="spellEnd"/>
            <w:r w:rsidRPr="000850BD">
              <w:rPr>
                <w:rFonts w:ascii="Arial" w:hAnsi="Arial" w:cs="Arial"/>
                <w:sz w:val="18"/>
                <w:szCs w:val="18"/>
                <w:lang w:val="en-GB"/>
              </w:rPr>
              <w:t xml:space="preserve"> Group </w:t>
            </w:r>
            <w:proofErr w:type="spellStart"/>
            <w:r w:rsidRPr="000850BD">
              <w:rPr>
                <w:rFonts w:ascii="Arial" w:hAnsi="Arial" w:cs="Arial"/>
                <w:sz w:val="18"/>
                <w:szCs w:val="18"/>
                <w:lang w:val="en-GB"/>
              </w:rPr>
              <w:t>SpA</w:t>
            </w:r>
            <w:proofErr w:type="spellEnd"/>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Hoya Corp.</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Novartis AG</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Carl Zeiss AG</w:t>
            </w:r>
          </w:p>
          <w:p w:rsidR="00912D1D" w:rsidRPr="000850BD" w:rsidRDefault="00912D1D" w:rsidP="00955019">
            <w:pPr>
              <w:rPr>
                <w:rFonts w:ascii="Arial" w:hAnsi="Arial" w:cs="Arial"/>
                <w:b/>
                <w:sz w:val="18"/>
                <w:szCs w:val="18"/>
                <w:lang w:val="en-GB"/>
              </w:rPr>
            </w:pPr>
            <w:r w:rsidRPr="000850BD">
              <w:rPr>
                <w:rFonts w:ascii="Arial" w:hAnsi="Arial" w:cs="Arial"/>
                <w:sz w:val="18"/>
                <w:szCs w:val="18"/>
                <w:lang w:val="en-GB"/>
              </w:rPr>
              <w:t>Cooper Cos. Inc.</w:t>
            </w:r>
          </w:p>
        </w:tc>
        <w:tc>
          <w:tcPr>
            <w:tcW w:w="1842" w:type="dxa"/>
            <w:shd w:val="clear" w:color="auto" w:fill="auto"/>
          </w:tcPr>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Italy</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France</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USA</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Italy</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Japan</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Switzerland</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Germany</w:t>
            </w:r>
          </w:p>
          <w:p w:rsidR="00912D1D" w:rsidRPr="000850BD" w:rsidRDefault="00912D1D" w:rsidP="00955019">
            <w:pPr>
              <w:rPr>
                <w:rFonts w:ascii="Arial" w:hAnsi="Arial" w:cs="Arial"/>
                <w:b/>
                <w:sz w:val="18"/>
                <w:szCs w:val="18"/>
                <w:lang w:val="en-GB"/>
              </w:rPr>
            </w:pPr>
            <w:r w:rsidRPr="000850BD">
              <w:rPr>
                <w:rFonts w:ascii="Arial" w:hAnsi="Arial" w:cs="Arial"/>
                <w:sz w:val="18"/>
                <w:szCs w:val="18"/>
                <w:lang w:val="en-GB"/>
              </w:rPr>
              <w:t>USA</w:t>
            </w:r>
          </w:p>
        </w:tc>
        <w:tc>
          <w:tcPr>
            <w:tcW w:w="851"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14.1</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13.1</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3.9</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3.7</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3.2</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2.6</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2.5</w:t>
            </w:r>
          </w:p>
          <w:p w:rsidR="00912D1D" w:rsidRPr="000850BD" w:rsidRDefault="00912D1D" w:rsidP="00955019">
            <w:pPr>
              <w:jc w:val="right"/>
              <w:rPr>
                <w:rFonts w:ascii="Arial" w:hAnsi="Arial" w:cs="Arial"/>
                <w:b/>
                <w:sz w:val="18"/>
                <w:szCs w:val="18"/>
                <w:lang w:val="en-GB"/>
              </w:rPr>
            </w:pPr>
            <w:r w:rsidRPr="000850BD">
              <w:rPr>
                <w:rFonts w:ascii="Arial" w:hAnsi="Arial" w:cs="Arial"/>
                <w:sz w:val="18"/>
                <w:szCs w:val="18"/>
                <w:lang w:val="en-GB"/>
              </w:rPr>
              <w:t xml:space="preserve">      1.5</w:t>
            </w:r>
          </w:p>
        </w:tc>
        <w:tc>
          <w:tcPr>
            <w:tcW w:w="1012"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13.1</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12.4</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3.8</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3.7</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3.1</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2.6</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2.5</w:t>
            </w:r>
          </w:p>
          <w:p w:rsidR="00912D1D" w:rsidRPr="000850BD" w:rsidRDefault="00912D1D" w:rsidP="00955019">
            <w:pPr>
              <w:jc w:val="right"/>
              <w:rPr>
                <w:rFonts w:ascii="Arial" w:hAnsi="Arial" w:cs="Arial"/>
                <w:b/>
                <w:sz w:val="18"/>
                <w:szCs w:val="18"/>
                <w:lang w:val="en-GB"/>
              </w:rPr>
            </w:pPr>
            <w:r w:rsidRPr="000850BD">
              <w:rPr>
                <w:rFonts w:ascii="Arial" w:hAnsi="Arial" w:cs="Arial"/>
                <w:sz w:val="18"/>
                <w:szCs w:val="18"/>
                <w:lang w:val="en-GB"/>
              </w:rPr>
              <w:t xml:space="preserve">          1.4</w:t>
            </w:r>
          </w:p>
        </w:tc>
        <w:tc>
          <w:tcPr>
            <w:tcW w:w="972"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13.3</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11.8</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3.9</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3.6</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2.8</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1.6</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2.7</w:t>
            </w:r>
          </w:p>
          <w:p w:rsidR="00912D1D" w:rsidRPr="000850BD" w:rsidRDefault="00912D1D" w:rsidP="00955019">
            <w:pPr>
              <w:jc w:val="right"/>
              <w:rPr>
                <w:rFonts w:ascii="Arial" w:hAnsi="Arial" w:cs="Arial"/>
                <w:b/>
                <w:sz w:val="18"/>
                <w:szCs w:val="18"/>
                <w:lang w:val="en-GB"/>
              </w:rPr>
            </w:pPr>
            <w:r w:rsidRPr="000850BD">
              <w:rPr>
                <w:rFonts w:ascii="Arial" w:hAnsi="Arial" w:cs="Arial"/>
                <w:sz w:val="18"/>
                <w:szCs w:val="18"/>
                <w:lang w:val="en-GB"/>
              </w:rPr>
              <w:t xml:space="preserve">          1.2</w:t>
            </w:r>
          </w:p>
        </w:tc>
        <w:tc>
          <w:tcPr>
            <w:tcW w:w="1008"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12.7</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11.4</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4.2</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4.0</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2.7</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2.7</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2.7</w:t>
            </w:r>
          </w:p>
          <w:p w:rsidR="00912D1D" w:rsidRPr="000850BD" w:rsidRDefault="00912D1D" w:rsidP="00955019">
            <w:pPr>
              <w:jc w:val="right"/>
              <w:rPr>
                <w:rFonts w:ascii="Arial" w:hAnsi="Arial" w:cs="Arial"/>
                <w:b/>
                <w:sz w:val="18"/>
                <w:szCs w:val="18"/>
                <w:lang w:val="en-GB"/>
              </w:rPr>
            </w:pPr>
            <w:r w:rsidRPr="000850BD">
              <w:rPr>
                <w:rFonts w:ascii="Arial" w:hAnsi="Arial" w:cs="Arial"/>
                <w:sz w:val="18"/>
                <w:szCs w:val="18"/>
                <w:lang w:val="en-GB"/>
              </w:rPr>
              <w:t xml:space="preserve">          1.3</w:t>
            </w:r>
          </w:p>
        </w:tc>
        <w:tc>
          <w:tcPr>
            <w:tcW w:w="1008"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12.8</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11.3</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4.0</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4.1</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2.7</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2.6</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2.7</w:t>
            </w:r>
          </w:p>
          <w:p w:rsidR="00912D1D" w:rsidRPr="000850BD" w:rsidRDefault="00912D1D" w:rsidP="00955019">
            <w:pPr>
              <w:jc w:val="right"/>
              <w:rPr>
                <w:rFonts w:ascii="Arial" w:hAnsi="Arial" w:cs="Arial"/>
                <w:b/>
                <w:sz w:val="18"/>
                <w:szCs w:val="18"/>
                <w:lang w:val="en-GB"/>
              </w:rPr>
            </w:pPr>
            <w:r w:rsidRPr="000850BD">
              <w:rPr>
                <w:rFonts w:ascii="Arial" w:hAnsi="Arial" w:cs="Arial"/>
                <w:sz w:val="18"/>
                <w:szCs w:val="18"/>
                <w:lang w:val="en-GB"/>
              </w:rPr>
              <w:t xml:space="preserve">          1.3</w:t>
            </w:r>
          </w:p>
        </w:tc>
      </w:tr>
    </w:tbl>
    <w:p w:rsidR="00F06805" w:rsidRDefault="00F06805" w:rsidP="001B5473">
      <w:pPr>
        <w:pStyle w:val="FootnoteText1"/>
        <w:rPr>
          <w:lang w:val="en-GB"/>
        </w:rPr>
      </w:pPr>
    </w:p>
    <w:p w:rsidR="001B5473" w:rsidRPr="00912D1D" w:rsidRDefault="001B5473" w:rsidP="001B5473">
      <w:pPr>
        <w:pStyle w:val="FootnoteText1"/>
        <w:rPr>
          <w:i/>
          <w:lang w:val="en-GB"/>
        </w:rPr>
      </w:pPr>
      <w:r w:rsidRPr="00912D1D">
        <w:rPr>
          <w:lang w:val="en-GB"/>
        </w:rPr>
        <w:t xml:space="preserve">Source:  </w:t>
      </w:r>
      <w:r>
        <w:rPr>
          <w:lang w:val="en-GB"/>
        </w:rPr>
        <w:t xml:space="preserve">“Eyewear in 2017: Key Insights and System Refresher,” </w:t>
      </w:r>
      <w:proofErr w:type="spellStart"/>
      <w:r>
        <w:rPr>
          <w:lang w:val="en-GB"/>
        </w:rPr>
        <w:t>Euromonitor</w:t>
      </w:r>
      <w:proofErr w:type="spellEnd"/>
      <w:r>
        <w:rPr>
          <w:lang w:val="en-GB"/>
        </w:rPr>
        <w:t xml:space="preserve">, International 2017, accessed May 10, 2017, </w:t>
      </w:r>
      <w:r w:rsidRPr="00912D1D">
        <w:rPr>
          <w:lang w:val="en-GB"/>
        </w:rPr>
        <w:t>www.portal.euromonitor.com.proxy1.lib.uwo.ca/portal/statistics/tab</w:t>
      </w:r>
      <w:r>
        <w:rPr>
          <w:lang w:val="en-GB"/>
        </w:rPr>
        <w:t>.</w:t>
      </w:r>
    </w:p>
    <w:p w:rsidR="00912D1D" w:rsidRPr="00912D1D" w:rsidRDefault="00912D1D" w:rsidP="00912D1D">
      <w:pPr>
        <w:pStyle w:val="BodyTextMain"/>
        <w:rPr>
          <w:lang w:val="en-GB"/>
        </w:rPr>
      </w:pPr>
    </w:p>
    <w:p w:rsidR="00912D1D" w:rsidRPr="000850BD" w:rsidRDefault="00912D1D" w:rsidP="00912D1D">
      <w:pPr>
        <w:pStyle w:val="BodyTextMain"/>
        <w:rPr>
          <w:lang w:val="en-GB"/>
        </w:rPr>
      </w:pPr>
    </w:p>
    <w:p w:rsidR="00912D1D" w:rsidRPr="000850BD" w:rsidRDefault="00912D1D" w:rsidP="00912D1D">
      <w:pPr>
        <w:pStyle w:val="Casehead1"/>
        <w:jc w:val="center"/>
        <w:rPr>
          <w:lang w:val="en-GB"/>
        </w:rPr>
      </w:pPr>
      <w:r w:rsidRPr="000850BD">
        <w:rPr>
          <w:lang w:val="en-GB"/>
        </w:rPr>
        <w:t>Exhibit 3: CANADIAN EYEWEAR PRODUCT SALES, 2012–2016</w:t>
      </w:r>
      <w:r>
        <w:rPr>
          <w:lang w:val="en-GB"/>
        </w:rPr>
        <w:t xml:space="preserve"> </w:t>
      </w:r>
    </w:p>
    <w:p w:rsidR="00912D1D" w:rsidRPr="000850BD" w:rsidRDefault="00912D1D" w:rsidP="00912D1D">
      <w:pPr>
        <w:pStyle w:val="BodyTextMain"/>
        <w:rPr>
          <w:sz w:val="16"/>
          <w:szCs w:val="16"/>
          <w:lang w:val="en-GB"/>
        </w:rPr>
      </w:pPr>
    </w:p>
    <w:tbl>
      <w:tblPr>
        <w:tblW w:w="0" w:type="auto"/>
        <w:jc w:val="center"/>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1800"/>
        <w:gridCol w:w="1017"/>
        <w:gridCol w:w="1017"/>
        <w:gridCol w:w="1017"/>
        <w:gridCol w:w="1017"/>
        <w:gridCol w:w="1039"/>
      </w:tblGrid>
      <w:tr w:rsidR="00912D1D" w:rsidRPr="009D70BC" w:rsidTr="00955019">
        <w:trPr>
          <w:jc w:val="center"/>
        </w:trPr>
        <w:tc>
          <w:tcPr>
            <w:tcW w:w="2471" w:type="dxa"/>
            <w:shd w:val="clear" w:color="auto" w:fill="auto"/>
          </w:tcPr>
          <w:p w:rsidR="00912D1D" w:rsidRPr="000850BD" w:rsidRDefault="00912D1D" w:rsidP="00955019">
            <w:pPr>
              <w:rPr>
                <w:rFonts w:ascii="Arial" w:hAnsi="Arial" w:cs="Arial"/>
                <w:sz w:val="18"/>
                <w:szCs w:val="18"/>
                <w:lang w:val="en-GB"/>
              </w:rPr>
            </w:pPr>
          </w:p>
        </w:tc>
        <w:tc>
          <w:tcPr>
            <w:tcW w:w="1800"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Category</w:t>
            </w:r>
          </w:p>
        </w:tc>
        <w:tc>
          <w:tcPr>
            <w:tcW w:w="988"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2016</w:t>
            </w:r>
          </w:p>
        </w:tc>
        <w:tc>
          <w:tcPr>
            <w:tcW w:w="990"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2015</w:t>
            </w:r>
          </w:p>
        </w:tc>
        <w:tc>
          <w:tcPr>
            <w:tcW w:w="990"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2014</w:t>
            </w:r>
          </w:p>
        </w:tc>
        <w:tc>
          <w:tcPr>
            <w:tcW w:w="984"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2013</w:t>
            </w:r>
          </w:p>
        </w:tc>
        <w:tc>
          <w:tcPr>
            <w:tcW w:w="1039"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2012</w:t>
            </w:r>
          </w:p>
        </w:tc>
      </w:tr>
      <w:tr w:rsidR="00912D1D" w:rsidRPr="000850BD" w:rsidTr="00955019">
        <w:trPr>
          <w:trHeight w:val="155"/>
          <w:jc w:val="center"/>
        </w:trPr>
        <w:tc>
          <w:tcPr>
            <w:tcW w:w="2471" w:type="dxa"/>
            <w:vMerge w:val="restart"/>
            <w:shd w:val="clear" w:color="auto" w:fill="auto"/>
          </w:tcPr>
          <w:p w:rsidR="00912D1D" w:rsidRPr="000850BD" w:rsidRDefault="00912D1D" w:rsidP="00955019">
            <w:pPr>
              <w:rPr>
                <w:rFonts w:ascii="Arial" w:hAnsi="Arial" w:cs="Arial"/>
                <w:sz w:val="18"/>
                <w:szCs w:val="18"/>
                <w:lang w:val="en-GB"/>
              </w:rPr>
            </w:pP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Retail</w:t>
            </w:r>
            <w:r>
              <w:rPr>
                <w:rFonts w:ascii="Arial" w:hAnsi="Arial" w:cs="Arial"/>
                <w:sz w:val="18"/>
                <w:szCs w:val="18"/>
                <w:lang w:val="en-GB"/>
              </w:rPr>
              <w:t xml:space="preserve"> </w:t>
            </w:r>
            <w:r w:rsidRPr="000850BD">
              <w:rPr>
                <w:rFonts w:ascii="Arial" w:hAnsi="Arial" w:cs="Arial"/>
                <w:sz w:val="18"/>
                <w:szCs w:val="18"/>
                <w:lang w:val="en-GB"/>
              </w:rPr>
              <w:t>Value (</w:t>
            </w:r>
            <w:r>
              <w:rPr>
                <w:rFonts w:ascii="Arial" w:hAnsi="Arial" w:cs="Arial"/>
                <w:sz w:val="18"/>
                <w:szCs w:val="18"/>
                <w:lang w:val="en-GB"/>
              </w:rPr>
              <w:t>in CA</w:t>
            </w:r>
            <w:r w:rsidRPr="000850BD">
              <w:rPr>
                <w:rFonts w:ascii="Arial" w:hAnsi="Arial" w:cs="Arial"/>
                <w:sz w:val="18"/>
                <w:szCs w:val="18"/>
                <w:lang w:val="en-GB"/>
              </w:rPr>
              <w:t>$</w:t>
            </w:r>
            <w:r>
              <w:rPr>
                <w:rFonts w:ascii="Arial" w:hAnsi="Arial" w:cs="Arial"/>
                <w:sz w:val="18"/>
                <w:szCs w:val="18"/>
                <w:lang w:val="en-GB"/>
              </w:rPr>
              <w:t xml:space="preserve"> million</w:t>
            </w:r>
            <w:r w:rsidRPr="000850BD">
              <w:rPr>
                <w:rFonts w:ascii="Arial" w:hAnsi="Arial" w:cs="Arial"/>
                <w:sz w:val="18"/>
                <w:szCs w:val="18"/>
                <w:lang w:val="en-GB"/>
              </w:rPr>
              <w:t>)</w:t>
            </w:r>
          </w:p>
        </w:tc>
        <w:tc>
          <w:tcPr>
            <w:tcW w:w="1800" w:type="dxa"/>
            <w:shd w:val="clear" w:color="auto" w:fill="auto"/>
          </w:tcPr>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Contact Lenses</w:t>
            </w:r>
          </w:p>
        </w:tc>
        <w:tc>
          <w:tcPr>
            <w:tcW w:w="988"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461.1</w:t>
            </w:r>
          </w:p>
        </w:tc>
        <w:tc>
          <w:tcPr>
            <w:tcW w:w="990"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441.3</w:t>
            </w:r>
          </w:p>
        </w:tc>
        <w:tc>
          <w:tcPr>
            <w:tcW w:w="990"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409.6</w:t>
            </w:r>
          </w:p>
        </w:tc>
        <w:tc>
          <w:tcPr>
            <w:tcW w:w="984"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403.2</w:t>
            </w:r>
          </w:p>
        </w:tc>
        <w:tc>
          <w:tcPr>
            <w:tcW w:w="1039"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405.4</w:t>
            </w:r>
          </w:p>
        </w:tc>
      </w:tr>
      <w:tr w:rsidR="00912D1D" w:rsidRPr="000850BD" w:rsidTr="00955019">
        <w:trPr>
          <w:trHeight w:val="155"/>
          <w:jc w:val="center"/>
        </w:trPr>
        <w:tc>
          <w:tcPr>
            <w:tcW w:w="2471" w:type="dxa"/>
            <w:vMerge/>
            <w:shd w:val="clear" w:color="auto" w:fill="auto"/>
          </w:tcPr>
          <w:p w:rsidR="00912D1D" w:rsidRPr="000850BD" w:rsidRDefault="00912D1D" w:rsidP="00955019">
            <w:pPr>
              <w:rPr>
                <w:rFonts w:ascii="Arial" w:hAnsi="Arial" w:cs="Arial"/>
                <w:sz w:val="18"/>
                <w:szCs w:val="18"/>
                <w:lang w:val="en-GB"/>
              </w:rPr>
            </w:pPr>
          </w:p>
        </w:tc>
        <w:tc>
          <w:tcPr>
            <w:tcW w:w="1800" w:type="dxa"/>
            <w:shd w:val="clear" w:color="auto" w:fill="auto"/>
          </w:tcPr>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Spectacles</w:t>
            </w:r>
          </w:p>
        </w:tc>
        <w:tc>
          <w:tcPr>
            <w:tcW w:w="988"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4,204.6</w:t>
            </w:r>
          </w:p>
        </w:tc>
        <w:tc>
          <w:tcPr>
            <w:tcW w:w="990"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4,060.8</w:t>
            </w:r>
          </w:p>
        </w:tc>
        <w:tc>
          <w:tcPr>
            <w:tcW w:w="990"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3,839.4</w:t>
            </w:r>
          </w:p>
        </w:tc>
        <w:tc>
          <w:tcPr>
            <w:tcW w:w="984"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3,524.4</w:t>
            </w:r>
          </w:p>
        </w:tc>
        <w:tc>
          <w:tcPr>
            <w:tcW w:w="1039"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3,375.4</w:t>
            </w:r>
          </w:p>
        </w:tc>
      </w:tr>
      <w:tr w:rsidR="00912D1D" w:rsidRPr="000850BD" w:rsidTr="00955019">
        <w:trPr>
          <w:trHeight w:val="155"/>
          <w:jc w:val="center"/>
        </w:trPr>
        <w:tc>
          <w:tcPr>
            <w:tcW w:w="2471" w:type="dxa"/>
            <w:vMerge/>
            <w:shd w:val="clear" w:color="auto" w:fill="auto"/>
          </w:tcPr>
          <w:p w:rsidR="00912D1D" w:rsidRPr="000850BD" w:rsidRDefault="00912D1D" w:rsidP="00955019">
            <w:pPr>
              <w:rPr>
                <w:rFonts w:ascii="Arial" w:hAnsi="Arial" w:cs="Arial"/>
                <w:sz w:val="18"/>
                <w:szCs w:val="18"/>
                <w:lang w:val="en-GB"/>
              </w:rPr>
            </w:pPr>
          </w:p>
        </w:tc>
        <w:tc>
          <w:tcPr>
            <w:tcW w:w="1800" w:type="dxa"/>
            <w:shd w:val="clear" w:color="auto" w:fill="auto"/>
          </w:tcPr>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Total Eyewear</w:t>
            </w:r>
          </w:p>
        </w:tc>
        <w:tc>
          <w:tcPr>
            <w:tcW w:w="988"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4,665.7</w:t>
            </w:r>
          </w:p>
        </w:tc>
        <w:tc>
          <w:tcPr>
            <w:tcW w:w="990"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4,502.1</w:t>
            </w:r>
          </w:p>
        </w:tc>
        <w:tc>
          <w:tcPr>
            <w:tcW w:w="990"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4,249.0</w:t>
            </w:r>
          </w:p>
        </w:tc>
        <w:tc>
          <w:tcPr>
            <w:tcW w:w="984"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3,927.6</w:t>
            </w:r>
          </w:p>
        </w:tc>
        <w:tc>
          <w:tcPr>
            <w:tcW w:w="1039"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3,780.8</w:t>
            </w:r>
          </w:p>
        </w:tc>
      </w:tr>
      <w:tr w:rsidR="00912D1D" w:rsidRPr="000850BD" w:rsidTr="00955019">
        <w:trPr>
          <w:trHeight w:val="155"/>
          <w:jc w:val="center"/>
        </w:trPr>
        <w:tc>
          <w:tcPr>
            <w:tcW w:w="2471" w:type="dxa"/>
            <w:vMerge w:val="restart"/>
            <w:shd w:val="clear" w:color="auto" w:fill="auto"/>
          </w:tcPr>
          <w:p w:rsidR="00912D1D" w:rsidRDefault="00912D1D" w:rsidP="00955019">
            <w:pPr>
              <w:rPr>
                <w:rFonts w:ascii="Arial" w:hAnsi="Arial" w:cs="Arial"/>
                <w:sz w:val="18"/>
                <w:szCs w:val="18"/>
                <w:lang w:val="en-GB"/>
              </w:rPr>
            </w:pP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Retail Volume (no.)</w:t>
            </w:r>
          </w:p>
        </w:tc>
        <w:tc>
          <w:tcPr>
            <w:tcW w:w="1800" w:type="dxa"/>
            <w:shd w:val="clear" w:color="auto" w:fill="auto"/>
          </w:tcPr>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Contact Lenses</w:t>
            </w:r>
          </w:p>
        </w:tc>
        <w:tc>
          <w:tcPr>
            <w:tcW w:w="988"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46,198</w:t>
            </w:r>
            <w:r w:rsidR="00F06805">
              <w:rPr>
                <w:rFonts w:ascii="Arial" w:hAnsi="Arial" w:cs="Arial"/>
                <w:sz w:val="18"/>
                <w:szCs w:val="18"/>
                <w:lang w:val="en-GB"/>
              </w:rPr>
              <w:t>.0</w:t>
            </w:r>
          </w:p>
        </w:tc>
        <w:tc>
          <w:tcPr>
            <w:tcW w:w="990"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44,191</w:t>
            </w:r>
          </w:p>
        </w:tc>
        <w:tc>
          <w:tcPr>
            <w:tcW w:w="990"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40,734</w:t>
            </w:r>
            <w:r w:rsidR="00F06805">
              <w:rPr>
                <w:rFonts w:ascii="Arial" w:hAnsi="Arial" w:cs="Arial"/>
                <w:sz w:val="18"/>
                <w:szCs w:val="18"/>
                <w:lang w:val="en-GB"/>
              </w:rPr>
              <w:t>.0</w:t>
            </w:r>
          </w:p>
        </w:tc>
        <w:tc>
          <w:tcPr>
            <w:tcW w:w="984"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39,946</w:t>
            </w:r>
            <w:r w:rsidR="00F06805">
              <w:rPr>
                <w:rFonts w:ascii="Arial" w:hAnsi="Arial" w:cs="Arial"/>
                <w:sz w:val="18"/>
                <w:szCs w:val="18"/>
                <w:lang w:val="en-GB"/>
              </w:rPr>
              <w:t>.0</w:t>
            </w:r>
          </w:p>
        </w:tc>
        <w:tc>
          <w:tcPr>
            <w:tcW w:w="1039"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40,275</w:t>
            </w:r>
            <w:r w:rsidR="00F06805">
              <w:rPr>
                <w:rFonts w:ascii="Arial" w:hAnsi="Arial" w:cs="Arial"/>
                <w:sz w:val="18"/>
                <w:szCs w:val="18"/>
                <w:lang w:val="en-GB"/>
              </w:rPr>
              <w:t>.0</w:t>
            </w:r>
          </w:p>
        </w:tc>
      </w:tr>
      <w:tr w:rsidR="00912D1D" w:rsidRPr="000850BD" w:rsidTr="00955019">
        <w:trPr>
          <w:trHeight w:val="155"/>
          <w:jc w:val="center"/>
        </w:trPr>
        <w:tc>
          <w:tcPr>
            <w:tcW w:w="2471" w:type="dxa"/>
            <w:vMerge/>
            <w:shd w:val="clear" w:color="auto" w:fill="auto"/>
          </w:tcPr>
          <w:p w:rsidR="00912D1D" w:rsidRPr="000850BD" w:rsidRDefault="00912D1D" w:rsidP="00955019">
            <w:pPr>
              <w:rPr>
                <w:rFonts w:ascii="Arial" w:hAnsi="Arial" w:cs="Arial"/>
                <w:sz w:val="18"/>
                <w:szCs w:val="18"/>
                <w:lang w:val="en-GB"/>
              </w:rPr>
            </w:pPr>
          </w:p>
        </w:tc>
        <w:tc>
          <w:tcPr>
            <w:tcW w:w="1800" w:type="dxa"/>
            <w:shd w:val="clear" w:color="auto" w:fill="auto"/>
          </w:tcPr>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Spectacles</w:t>
            </w:r>
          </w:p>
        </w:tc>
        <w:tc>
          <w:tcPr>
            <w:tcW w:w="988"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67,856</w:t>
            </w:r>
            <w:r w:rsidR="00F06805">
              <w:rPr>
                <w:rFonts w:ascii="Arial" w:hAnsi="Arial" w:cs="Arial"/>
                <w:sz w:val="18"/>
                <w:szCs w:val="18"/>
                <w:lang w:val="en-GB"/>
              </w:rPr>
              <w:t>.0</w:t>
            </w:r>
          </w:p>
        </w:tc>
        <w:tc>
          <w:tcPr>
            <w:tcW w:w="990"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67,026</w:t>
            </w:r>
            <w:r w:rsidR="00F06805">
              <w:rPr>
                <w:rFonts w:ascii="Arial" w:hAnsi="Arial" w:cs="Arial"/>
                <w:sz w:val="18"/>
                <w:szCs w:val="18"/>
                <w:lang w:val="en-GB"/>
              </w:rPr>
              <w:t>.0</w:t>
            </w:r>
          </w:p>
        </w:tc>
        <w:tc>
          <w:tcPr>
            <w:tcW w:w="990"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62,145</w:t>
            </w:r>
            <w:r w:rsidR="00F06805">
              <w:rPr>
                <w:rFonts w:ascii="Arial" w:hAnsi="Arial" w:cs="Arial"/>
                <w:sz w:val="18"/>
                <w:szCs w:val="18"/>
                <w:lang w:val="en-GB"/>
              </w:rPr>
              <w:t>.0</w:t>
            </w:r>
          </w:p>
        </w:tc>
        <w:tc>
          <w:tcPr>
            <w:tcW w:w="984"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60,430</w:t>
            </w:r>
            <w:r w:rsidR="00F06805">
              <w:rPr>
                <w:rFonts w:ascii="Arial" w:hAnsi="Arial" w:cs="Arial"/>
                <w:sz w:val="18"/>
                <w:szCs w:val="18"/>
                <w:lang w:val="en-GB"/>
              </w:rPr>
              <w:t>.0</w:t>
            </w:r>
          </w:p>
        </w:tc>
        <w:tc>
          <w:tcPr>
            <w:tcW w:w="1039"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59,150</w:t>
            </w:r>
            <w:r w:rsidR="00F06805">
              <w:rPr>
                <w:rFonts w:ascii="Arial" w:hAnsi="Arial" w:cs="Arial"/>
                <w:sz w:val="18"/>
                <w:szCs w:val="18"/>
                <w:lang w:val="en-GB"/>
              </w:rPr>
              <w:t>.0</w:t>
            </w:r>
          </w:p>
        </w:tc>
      </w:tr>
      <w:tr w:rsidR="00912D1D" w:rsidRPr="000850BD" w:rsidTr="00955019">
        <w:trPr>
          <w:trHeight w:val="155"/>
          <w:jc w:val="center"/>
        </w:trPr>
        <w:tc>
          <w:tcPr>
            <w:tcW w:w="2471" w:type="dxa"/>
            <w:vMerge/>
            <w:shd w:val="clear" w:color="auto" w:fill="auto"/>
          </w:tcPr>
          <w:p w:rsidR="00912D1D" w:rsidRPr="000850BD" w:rsidRDefault="00912D1D" w:rsidP="00955019">
            <w:pPr>
              <w:rPr>
                <w:rFonts w:ascii="Arial" w:hAnsi="Arial" w:cs="Arial"/>
                <w:sz w:val="18"/>
                <w:szCs w:val="18"/>
                <w:lang w:val="en-GB"/>
              </w:rPr>
            </w:pPr>
          </w:p>
        </w:tc>
        <w:tc>
          <w:tcPr>
            <w:tcW w:w="1800" w:type="dxa"/>
            <w:shd w:val="clear" w:color="auto" w:fill="auto"/>
          </w:tcPr>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Total Eyewear</w:t>
            </w:r>
          </w:p>
        </w:tc>
        <w:tc>
          <w:tcPr>
            <w:tcW w:w="988"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114,054</w:t>
            </w:r>
            <w:r w:rsidR="00F06805">
              <w:rPr>
                <w:rFonts w:ascii="Arial" w:hAnsi="Arial" w:cs="Arial"/>
                <w:sz w:val="18"/>
                <w:szCs w:val="18"/>
                <w:lang w:val="en-GB"/>
              </w:rPr>
              <w:t>.0</w:t>
            </w:r>
          </w:p>
        </w:tc>
        <w:tc>
          <w:tcPr>
            <w:tcW w:w="990"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111,271</w:t>
            </w:r>
            <w:r w:rsidR="00F06805">
              <w:rPr>
                <w:rFonts w:ascii="Arial" w:hAnsi="Arial" w:cs="Arial"/>
                <w:sz w:val="18"/>
                <w:szCs w:val="18"/>
                <w:lang w:val="en-GB"/>
              </w:rPr>
              <w:t>.0</w:t>
            </w:r>
          </w:p>
        </w:tc>
        <w:tc>
          <w:tcPr>
            <w:tcW w:w="990"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102,879</w:t>
            </w:r>
            <w:r w:rsidR="00F06805">
              <w:rPr>
                <w:rFonts w:ascii="Arial" w:hAnsi="Arial" w:cs="Arial"/>
                <w:sz w:val="18"/>
                <w:szCs w:val="18"/>
                <w:lang w:val="en-GB"/>
              </w:rPr>
              <w:t>.0</w:t>
            </w:r>
          </w:p>
        </w:tc>
        <w:tc>
          <w:tcPr>
            <w:tcW w:w="984"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100,376</w:t>
            </w:r>
            <w:r w:rsidR="00F06805">
              <w:rPr>
                <w:rFonts w:ascii="Arial" w:hAnsi="Arial" w:cs="Arial"/>
                <w:sz w:val="18"/>
                <w:szCs w:val="18"/>
                <w:lang w:val="en-GB"/>
              </w:rPr>
              <w:t>.0</w:t>
            </w:r>
          </w:p>
        </w:tc>
        <w:tc>
          <w:tcPr>
            <w:tcW w:w="1039"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99,425</w:t>
            </w:r>
            <w:r w:rsidR="00F06805">
              <w:rPr>
                <w:rFonts w:ascii="Arial" w:hAnsi="Arial" w:cs="Arial"/>
                <w:sz w:val="18"/>
                <w:szCs w:val="18"/>
                <w:lang w:val="en-GB"/>
              </w:rPr>
              <w:t>.0</w:t>
            </w:r>
          </w:p>
        </w:tc>
      </w:tr>
    </w:tbl>
    <w:p w:rsidR="00F06805" w:rsidRDefault="00F06805" w:rsidP="00912D1D">
      <w:pPr>
        <w:pStyle w:val="FootnoteText1"/>
        <w:rPr>
          <w:lang w:val="en-GB"/>
        </w:rPr>
      </w:pPr>
    </w:p>
    <w:p w:rsidR="00912D1D" w:rsidRPr="00E77176" w:rsidRDefault="00912D1D" w:rsidP="00912D1D">
      <w:pPr>
        <w:pStyle w:val="FootnoteText1"/>
        <w:rPr>
          <w:i/>
          <w:lang w:val="en-GB"/>
        </w:rPr>
      </w:pPr>
      <w:r w:rsidRPr="00E77176">
        <w:rPr>
          <w:lang w:val="en-GB"/>
        </w:rPr>
        <w:t xml:space="preserve">Source: </w:t>
      </w:r>
      <w:proofErr w:type="spellStart"/>
      <w:r w:rsidRPr="00E77176">
        <w:rPr>
          <w:lang w:val="en-GB"/>
        </w:rPr>
        <w:t>Euromonitor</w:t>
      </w:r>
      <w:proofErr w:type="spellEnd"/>
      <w:r w:rsidRPr="00E77176">
        <w:rPr>
          <w:lang w:val="en-GB"/>
        </w:rPr>
        <w:t xml:space="preserve"> International, “Eyewear in Canada: July 2016,” </w:t>
      </w:r>
      <w:proofErr w:type="spellStart"/>
      <w:r w:rsidRPr="00E77176">
        <w:rPr>
          <w:lang w:val="en-GB"/>
        </w:rPr>
        <w:t>Euromonitor</w:t>
      </w:r>
      <w:proofErr w:type="spellEnd"/>
      <w:r w:rsidRPr="00E77176">
        <w:rPr>
          <w:lang w:val="en-GB"/>
        </w:rPr>
        <w:t xml:space="preserve"> International Report, July 2016, accessed December 16, 2016, www.euromonitor.com/eyewear-in-canada/report.</w:t>
      </w:r>
    </w:p>
    <w:p w:rsidR="00912D1D" w:rsidRPr="000850BD" w:rsidRDefault="00912D1D" w:rsidP="00912D1D">
      <w:pPr>
        <w:pStyle w:val="BodyTextMain"/>
        <w:rPr>
          <w:lang w:val="en-GB"/>
        </w:rPr>
      </w:pPr>
    </w:p>
    <w:p w:rsidR="00912D1D" w:rsidRPr="000850BD" w:rsidRDefault="00912D1D" w:rsidP="00912D1D">
      <w:pPr>
        <w:pStyle w:val="BodyTextMain"/>
        <w:rPr>
          <w:lang w:val="en-GB"/>
        </w:rPr>
      </w:pPr>
    </w:p>
    <w:p w:rsidR="00912D1D" w:rsidRPr="000850BD" w:rsidRDefault="00912D1D" w:rsidP="00912D1D">
      <w:pPr>
        <w:pStyle w:val="Casehead1"/>
        <w:jc w:val="center"/>
        <w:rPr>
          <w:lang w:val="en-GB"/>
        </w:rPr>
      </w:pPr>
      <w:r w:rsidRPr="000850BD">
        <w:rPr>
          <w:lang w:val="en-GB"/>
        </w:rPr>
        <w:t>Exhibit 4: CANADIAN OPTICAL INDUSTRY—LEADING MARKET SHARES, 2015 (%)</w:t>
      </w:r>
    </w:p>
    <w:p w:rsidR="00912D1D" w:rsidRPr="000850BD" w:rsidRDefault="00912D1D" w:rsidP="00912D1D">
      <w:pPr>
        <w:pStyle w:val="BodyTextMain"/>
        <w:rPr>
          <w:sz w:val="16"/>
          <w:szCs w:val="16"/>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1915"/>
        <w:gridCol w:w="958"/>
        <w:gridCol w:w="958"/>
        <w:gridCol w:w="958"/>
        <w:gridCol w:w="958"/>
        <w:gridCol w:w="958"/>
      </w:tblGrid>
      <w:tr w:rsidR="00912D1D" w:rsidRPr="009D70BC" w:rsidTr="00955019">
        <w:trPr>
          <w:jc w:val="center"/>
        </w:trPr>
        <w:tc>
          <w:tcPr>
            <w:tcW w:w="2479"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 xml:space="preserve">Company Name </w:t>
            </w:r>
          </w:p>
        </w:tc>
        <w:tc>
          <w:tcPr>
            <w:tcW w:w="1915"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 xml:space="preserve">Country </w:t>
            </w:r>
          </w:p>
        </w:tc>
        <w:tc>
          <w:tcPr>
            <w:tcW w:w="958"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2015</w:t>
            </w:r>
          </w:p>
        </w:tc>
        <w:tc>
          <w:tcPr>
            <w:tcW w:w="958"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2014</w:t>
            </w:r>
          </w:p>
        </w:tc>
        <w:tc>
          <w:tcPr>
            <w:tcW w:w="958"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2013</w:t>
            </w:r>
          </w:p>
        </w:tc>
        <w:tc>
          <w:tcPr>
            <w:tcW w:w="958"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2012</w:t>
            </w:r>
          </w:p>
        </w:tc>
        <w:tc>
          <w:tcPr>
            <w:tcW w:w="958" w:type="dxa"/>
            <w:shd w:val="clear" w:color="auto" w:fill="auto"/>
          </w:tcPr>
          <w:p w:rsidR="00912D1D" w:rsidRPr="009D70BC" w:rsidRDefault="00912D1D" w:rsidP="00955019">
            <w:pPr>
              <w:jc w:val="center"/>
              <w:rPr>
                <w:rFonts w:ascii="Arial" w:hAnsi="Arial" w:cs="Arial"/>
                <w:b/>
                <w:sz w:val="18"/>
                <w:szCs w:val="18"/>
                <w:lang w:val="en-GB"/>
              </w:rPr>
            </w:pPr>
            <w:r w:rsidRPr="009D70BC">
              <w:rPr>
                <w:rFonts w:ascii="Arial" w:hAnsi="Arial" w:cs="Arial"/>
                <w:b/>
                <w:sz w:val="18"/>
                <w:szCs w:val="18"/>
                <w:lang w:val="en-GB"/>
              </w:rPr>
              <w:t>2011</w:t>
            </w:r>
          </w:p>
        </w:tc>
      </w:tr>
      <w:tr w:rsidR="00912D1D" w:rsidRPr="000850BD" w:rsidTr="00955019">
        <w:trPr>
          <w:jc w:val="center"/>
        </w:trPr>
        <w:tc>
          <w:tcPr>
            <w:tcW w:w="2479" w:type="dxa"/>
            <w:shd w:val="clear" w:color="auto" w:fill="auto"/>
          </w:tcPr>
          <w:p w:rsidR="00912D1D" w:rsidRPr="009B7B2E" w:rsidRDefault="00912D1D" w:rsidP="00955019">
            <w:pPr>
              <w:rPr>
                <w:rFonts w:ascii="Arial" w:hAnsi="Arial" w:cs="Arial"/>
                <w:sz w:val="18"/>
                <w:szCs w:val="18"/>
                <w:lang w:val="es-MX"/>
              </w:rPr>
            </w:pPr>
            <w:proofErr w:type="spellStart"/>
            <w:r w:rsidRPr="009B7B2E">
              <w:rPr>
                <w:rFonts w:ascii="Arial" w:hAnsi="Arial" w:cs="Arial"/>
                <w:sz w:val="18"/>
                <w:szCs w:val="18"/>
                <w:lang w:val="es-MX"/>
              </w:rPr>
              <w:t>Essilor</w:t>
            </w:r>
            <w:proofErr w:type="spellEnd"/>
            <w:r w:rsidRPr="009B7B2E">
              <w:rPr>
                <w:rFonts w:ascii="Arial" w:hAnsi="Arial" w:cs="Arial"/>
                <w:sz w:val="18"/>
                <w:szCs w:val="18"/>
                <w:lang w:val="es-MX"/>
              </w:rPr>
              <w:t xml:space="preserve"> </w:t>
            </w:r>
            <w:proofErr w:type="spellStart"/>
            <w:r w:rsidRPr="009B7B2E">
              <w:rPr>
                <w:rFonts w:ascii="Arial" w:hAnsi="Arial" w:cs="Arial"/>
                <w:sz w:val="18"/>
                <w:szCs w:val="18"/>
                <w:lang w:val="es-MX"/>
              </w:rPr>
              <w:t>Canada</w:t>
            </w:r>
            <w:proofErr w:type="spellEnd"/>
            <w:r w:rsidRPr="009B7B2E">
              <w:rPr>
                <w:rFonts w:ascii="Arial" w:hAnsi="Arial" w:cs="Arial"/>
                <w:sz w:val="18"/>
                <w:szCs w:val="18"/>
                <w:lang w:val="es-MX"/>
              </w:rPr>
              <w:t xml:space="preserve"> Ltd.</w:t>
            </w:r>
          </w:p>
          <w:p w:rsidR="00912D1D" w:rsidRPr="009B7B2E" w:rsidRDefault="00912D1D" w:rsidP="00955019">
            <w:pPr>
              <w:rPr>
                <w:rFonts w:ascii="Arial" w:hAnsi="Arial" w:cs="Arial"/>
                <w:sz w:val="18"/>
                <w:szCs w:val="18"/>
                <w:lang w:val="es-MX"/>
              </w:rPr>
            </w:pPr>
            <w:proofErr w:type="spellStart"/>
            <w:r w:rsidRPr="009B7B2E">
              <w:rPr>
                <w:rFonts w:ascii="Arial" w:hAnsi="Arial" w:cs="Arial"/>
                <w:sz w:val="18"/>
                <w:szCs w:val="18"/>
                <w:lang w:val="es-MX"/>
              </w:rPr>
              <w:t>Luxottica</w:t>
            </w:r>
            <w:proofErr w:type="spellEnd"/>
            <w:r w:rsidRPr="009B7B2E">
              <w:rPr>
                <w:rFonts w:ascii="Arial" w:hAnsi="Arial" w:cs="Arial"/>
                <w:sz w:val="18"/>
                <w:szCs w:val="18"/>
                <w:lang w:val="es-MX"/>
              </w:rPr>
              <w:t xml:space="preserve"> </w:t>
            </w:r>
            <w:proofErr w:type="spellStart"/>
            <w:r w:rsidRPr="009B7B2E">
              <w:rPr>
                <w:rFonts w:ascii="Arial" w:hAnsi="Arial" w:cs="Arial"/>
                <w:sz w:val="18"/>
                <w:szCs w:val="18"/>
                <w:lang w:val="es-MX"/>
              </w:rPr>
              <w:t>Canada</w:t>
            </w:r>
            <w:proofErr w:type="spellEnd"/>
            <w:r w:rsidRPr="009B7B2E">
              <w:rPr>
                <w:rFonts w:ascii="Arial" w:hAnsi="Arial" w:cs="Arial"/>
                <w:sz w:val="18"/>
                <w:szCs w:val="18"/>
                <w:lang w:val="es-MX"/>
              </w:rPr>
              <w:t xml:space="preserve"> Inc.</w:t>
            </w:r>
          </w:p>
          <w:p w:rsidR="00912D1D" w:rsidRPr="009B7B2E" w:rsidRDefault="00912D1D" w:rsidP="00955019">
            <w:pPr>
              <w:rPr>
                <w:rFonts w:ascii="Arial" w:hAnsi="Arial" w:cs="Arial"/>
                <w:sz w:val="18"/>
                <w:szCs w:val="18"/>
                <w:lang w:val="es-MX"/>
              </w:rPr>
            </w:pPr>
            <w:proofErr w:type="spellStart"/>
            <w:r w:rsidRPr="009B7B2E">
              <w:rPr>
                <w:rFonts w:ascii="Arial" w:hAnsi="Arial" w:cs="Arial"/>
                <w:sz w:val="18"/>
                <w:szCs w:val="18"/>
                <w:lang w:val="es-MX"/>
              </w:rPr>
              <w:t>Oakley</w:t>
            </w:r>
            <w:proofErr w:type="spellEnd"/>
            <w:r w:rsidRPr="009B7B2E">
              <w:rPr>
                <w:rFonts w:ascii="Arial" w:hAnsi="Arial" w:cs="Arial"/>
                <w:sz w:val="18"/>
                <w:szCs w:val="18"/>
                <w:lang w:val="es-MX"/>
              </w:rPr>
              <w:t xml:space="preserve"> Inc.</w:t>
            </w:r>
          </w:p>
          <w:p w:rsidR="00912D1D" w:rsidRPr="009B7B2E" w:rsidRDefault="00912D1D" w:rsidP="00955019">
            <w:pPr>
              <w:rPr>
                <w:rFonts w:ascii="Arial" w:hAnsi="Arial" w:cs="Arial"/>
                <w:sz w:val="18"/>
                <w:szCs w:val="18"/>
                <w:lang w:val="es-MX"/>
              </w:rPr>
            </w:pPr>
            <w:r w:rsidRPr="009B7B2E">
              <w:rPr>
                <w:rFonts w:ascii="Arial" w:hAnsi="Arial" w:cs="Arial"/>
                <w:sz w:val="18"/>
                <w:szCs w:val="18"/>
                <w:lang w:val="es-MX"/>
              </w:rPr>
              <w:t xml:space="preserve">Hoya Lens </w:t>
            </w:r>
            <w:proofErr w:type="spellStart"/>
            <w:r w:rsidRPr="009B7B2E">
              <w:rPr>
                <w:rFonts w:ascii="Arial" w:hAnsi="Arial" w:cs="Arial"/>
                <w:sz w:val="18"/>
                <w:szCs w:val="18"/>
                <w:lang w:val="es-MX"/>
              </w:rPr>
              <w:t>Canada</w:t>
            </w:r>
            <w:proofErr w:type="spellEnd"/>
            <w:r w:rsidRPr="009B7B2E">
              <w:rPr>
                <w:rFonts w:ascii="Arial" w:hAnsi="Arial" w:cs="Arial"/>
                <w:sz w:val="18"/>
                <w:szCs w:val="18"/>
                <w:lang w:val="es-MX"/>
              </w:rPr>
              <w:t xml:space="preserve"> Ltd.</w:t>
            </w:r>
          </w:p>
          <w:p w:rsidR="00912D1D" w:rsidRPr="009B7B2E" w:rsidRDefault="00912D1D" w:rsidP="00955019">
            <w:pPr>
              <w:rPr>
                <w:rFonts w:ascii="Arial" w:hAnsi="Arial" w:cs="Arial"/>
                <w:sz w:val="18"/>
                <w:szCs w:val="18"/>
                <w:lang w:val="es-MX"/>
              </w:rPr>
            </w:pPr>
            <w:r w:rsidRPr="009B7B2E">
              <w:rPr>
                <w:rFonts w:ascii="Arial" w:hAnsi="Arial" w:cs="Arial"/>
                <w:sz w:val="18"/>
                <w:szCs w:val="18"/>
                <w:lang w:val="es-MX"/>
              </w:rPr>
              <w:t xml:space="preserve">Carl </w:t>
            </w:r>
            <w:proofErr w:type="spellStart"/>
            <w:r w:rsidRPr="009B7B2E">
              <w:rPr>
                <w:rFonts w:ascii="Arial" w:hAnsi="Arial" w:cs="Arial"/>
                <w:sz w:val="18"/>
                <w:szCs w:val="18"/>
                <w:lang w:val="es-MX"/>
              </w:rPr>
              <w:t>Zeiss</w:t>
            </w:r>
            <w:proofErr w:type="spellEnd"/>
            <w:r w:rsidRPr="009B7B2E">
              <w:rPr>
                <w:rFonts w:ascii="Arial" w:hAnsi="Arial" w:cs="Arial"/>
                <w:sz w:val="18"/>
                <w:szCs w:val="18"/>
                <w:lang w:val="es-MX"/>
              </w:rPr>
              <w:t xml:space="preserve"> </w:t>
            </w:r>
            <w:proofErr w:type="spellStart"/>
            <w:r w:rsidRPr="009B7B2E">
              <w:rPr>
                <w:rFonts w:ascii="Arial" w:hAnsi="Arial" w:cs="Arial"/>
                <w:sz w:val="18"/>
                <w:szCs w:val="18"/>
                <w:lang w:val="es-MX"/>
              </w:rPr>
              <w:t>Canada</w:t>
            </w:r>
            <w:proofErr w:type="spellEnd"/>
            <w:r w:rsidRPr="009B7B2E">
              <w:rPr>
                <w:rFonts w:ascii="Arial" w:hAnsi="Arial" w:cs="Arial"/>
                <w:sz w:val="18"/>
                <w:szCs w:val="18"/>
                <w:lang w:val="es-MX"/>
              </w:rPr>
              <w:t xml:space="preserve"> Ltd.</w:t>
            </w:r>
          </w:p>
          <w:p w:rsidR="00912D1D" w:rsidRPr="009B7B2E" w:rsidRDefault="00912D1D" w:rsidP="00955019">
            <w:pPr>
              <w:rPr>
                <w:rFonts w:ascii="Arial" w:hAnsi="Arial" w:cs="Arial"/>
                <w:sz w:val="18"/>
                <w:szCs w:val="18"/>
                <w:lang w:val="es-MX"/>
              </w:rPr>
            </w:pPr>
            <w:proofErr w:type="spellStart"/>
            <w:r w:rsidRPr="009B7B2E">
              <w:rPr>
                <w:rFonts w:ascii="Arial" w:hAnsi="Arial" w:cs="Arial"/>
                <w:sz w:val="18"/>
                <w:szCs w:val="18"/>
                <w:lang w:val="es-MX"/>
              </w:rPr>
              <w:t>Rodenstock</w:t>
            </w:r>
            <w:proofErr w:type="spellEnd"/>
            <w:r w:rsidRPr="009B7B2E">
              <w:rPr>
                <w:rFonts w:ascii="Arial" w:hAnsi="Arial" w:cs="Arial"/>
                <w:sz w:val="18"/>
                <w:szCs w:val="18"/>
                <w:lang w:val="es-MX"/>
              </w:rPr>
              <w:t xml:space="preserve"> </w:t>
            </w:r>
            <w:proofErr w:type="spellStart"/>
            <w:r w:rsidRPr="009B7B2E">
              <w:rPr>
                <w:rFonts w:ascii="Arial" w:hAnsi="Arial" w:cs="Arial"/>
                <w:sz w:val="18"/>
                <w:szCs w:val="18"/>
                <w:lang w:val="es-MX"/>
              </w:rPr>
              <w:t>Canada</w:t>
            </w:r>
            <w:proofErr w:type="spellEnd"/>
            <w:r w:rsidRPr="009B7B2E">
              <w:rPr>
                <w:rFonts w:ascii="Arial" w:hAnsi="Arial" w:cs="Arial"/>
                <w:sz w:val="18"/>
                <w:szCs w:val="18"/>
                <w:lang w:val="es-MX"/>
              </w:rPr>
              <w:t xml:space="preserve"> Inc.</w:t>
            </w:r>
          </w:p>
          <w:p w:rsidR="00912D1D" w:rsidRPr="009D70BC" w:rsidRDefault="00912D1D" w:rsidP="00955019">
            <w:pPr>
              <w:rPr>
                <w:rFonts w:ascii="Arial" w:hAnsi="Arial" w:cs="Arial"/>
                <w:sz w:val="18"/>
                <w:szCs w:val="18"/>
                <w:lang w:val="es-MX"/>
              </w:rPr>
            </w:pPr>
            <w:proofErr w:type="spellStart"/>
            <w:r w:rsidRPr="009D70BC">
              <w:rPr>
                <w:rFonts w:ascii="Arial" w:hAnsi="Arial" w:cs="Arial"/>
                <w:sz w:val="18"/>
                <w:szCs w:val="18"/>
                <w:lang w:val="es-MX"/>
              </w:rPr>
              <w:t>VisionCare</w:t>
            </w:r>
            <w:proofErr w:type="spellEnd"/>
            <w:r w:rsidRPr="009D70BC">
              <w:rPr>
                <w:rFonts w:ascii="Arial" w:hAnsi="Arial" w:cs="Arial"/>
                <w:sz w:val="18"/>
                <w:szCs w:val="18"/>
                <w:lang w:val="es-MX"/>
              </w:rPr>
              <w:t xml:space="preserve"> </w:t>
            </w:r>
            <w:proofErr w:type="spellStart"/>
            <w:r w:rsidRPr="009D70BC">
              <w:rPr>
                <w:rFonts w:ascii="Arial" w:hAnsi="Arial" w:cs="Arial"/>
                <w:sz w:val="18"/>
                <w:szCs w:val="18"/>
                <w:lang w:val="es-MX"/>
              </w:rPr>
              <w:t>Canada</w:t>
            </w:r>
            <w:proofErr w:type="spellEnd"/>
          </w:p>
          <w:p w:rsidR="00912D1D" w:rsidRPr="009D70BC" w:rsidRDefault="00912D1D" w:rsidP="00955019">
            <w:pPr>
              <w:rPr>
                <w:rFonts w:ascii="Arial" w:hAnsi="Arial" w:cs="Arial"/>
                <w:sz w:val="18"/>
                <w:szCs w:val="18"/>
                <w:lang w:val="es-MX"/>
              </w:rPr>
            </w:pPr>
            <w:proofErr w:type="spellStart"/>
            <w:r w:rsidRPr="009D70BC">
              <w:rPr>
                <w:rFonts w:ascii="Arial" w:hAnsi="Arial" w:cs="Arial"/>
                <w:sz w:val="18"/>
                <w:szCs w:val="18"/>
                <w:lang w:val="es-MX"/>
              </w:rPr>
              <w:t>Ciba</w:t>
            </w:r>
            <w:proofErr w:type="spellEnd"/>
            <w:r w:rsidRPr="009D70BC">
              <w:rPr>
                <w:rFonts w:ascii="Arial" w:hAnsi="Arial" w:cs="Arial"/>
                <w:sz w:val="18"/>
                <w:szCs w:val="18"/>
                <w:lang w:val="es-MX"/>
              </w:rPr>
              <w:t xml:space="preserve"> </w:t>
            </w:r>
            <w:proofErr w:type="spellStart"/>
            <w:r w:rsidRPr="009D70BC">
              <w:rPr>
                <w:rFonts w:ascii="Arial" w:hAnsi="Arial" w:cs="Arial"/>
                <w:sz w:val="18"/>
                <w:szCs w:val="18"/>
                <w:lang w:val="es-MX"/>
              </w:rPr>
              <w:t>Canada</w:t>
            </w:r>
            <w:proofErr w:type="spellEnd"/>
            <w:r w:rsidRPr="009D70BC">
              <w:rPr>
                <w:rFonts w:ascii="Arial" w:hAnsi="Arial" w:cs="Arial"/>
                <w:sz w:val="18"/>
                <w:szCs w:val="18"/>
                <w:lang w:val="es-MX"/>
              </w:rPr>
              <w:t xml:space="preserve"> Inc.</w:t>
            </w:r>
          </w:p>
        </w:tc>
        <w:tc>
          <w:tcPr>
            <w:tcW w:w="1915" w:type="dxa"/>
            <w:shd w:val="clear" w:color="auto" w:fill="auto"/>
          </w:tcPr>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France</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Italy</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USA</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Japan</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Germany</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Germany</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USA</w:t>
            </w:r>
          </w:p>
          <w:p w:rsidR="00912D1D" w:rsidRPr="000850BD" w:rsidRDefault="00912D1D" w:rsidP="00955019">
            <w:pPr>
              <w:rPr>
                <w:rFonts w:ascii="Arial" w:hAnsi="Arial" w:cs="Arial"/>
                <w:sz w:val="18"/>
                <w:szCs w:val="18"/>
                <w:lang w:val="en-GB"/>
              </w:rPr>
            </w:pPr>
            <w:r w:rsidRPr="000850BD">
              <w:rPr>
                <w:rFonts w:ascii="Arial" w:hAnsi="Arial" w:cs="Arial"/>
                <w:sz w:val="18"/>
                <w:szCs w:val="18"/>
                <w:lang w:val="en-GB"/>
              </w:rPr>
              <w:t>USA</w:t>
            </w:r>
          </w:p>
        </w:tc>
        <w:tc>
          <w:tcPr>
            <w:tcW w:w="958"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33.9</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22.1</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10.1</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7.9</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2.8</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1.5</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1.5</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0.9</w:t>
            </w:r>
          </w:p>
        </w:tc>
        <w:tc>
          <w:tcPr>
            <w:tcW w:w="958"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33.3</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22.3</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10.5</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7.3</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1.8</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1.7</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1.8</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0.9</w:t>
            </w:r>
          </w:p>
        </w:tc>
        <w:tc>
          <w:tcPr>
            <w:tcW w:w="958"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31.3</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23.7</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11.1</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6.3</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2.5</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1.9</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2.4</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0.9</w:t>
            </w:r>
          </w:p>
        </w:tc>
        <w:tc>
          <w:tcPr>
            <w:tcW w:w="958"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31.5</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24.1</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11.3</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5.2</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2.8</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2.0</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2.4</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0.9</w:t>
            </w:r>
          </w:p>
        </w:tc>
        <w:tc>
          <w:tcPr>
            <w:tcW w:w="958" w:type="dxa"/>
            <w:shd w:val="clear" w:color="auto" w:fill="auto"/>
          </w:tcPr>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30.9</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24.1</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11.6</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5.4</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2.0</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2.1</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2.8</w:t>
            </w:r>
          </w:p>
          <w:p w:rsidR="00912D1D" w:rsidRPr="000850BD" w:rsidRDefault="00912D1D" w:rsidP="00955019">
            <w:pPr>
              <w:jc w:val="right"/>
              <w:rPr>
                <w:rFonts w:ascii="Arial" w:hAnsi="Arial" w:cs="Arial"/>
                <w:sz w:val="18"/>
                <w:szCs w:val="18"/>
                <w:lang w:val="en-GB"/>
              </w:rPr>
            </w:pPr>
            <w:r w:rsidRPr="000850BD">
              <w:rPr>
                <w:rFonts w:ascii="Arial" w:hAnsi="Arial" w:cs="Arial"/>
                <w:sz w:val="18"/>
                <w:szCs w:val="18"/>
                <w:lang w:val="en-GB"/>
              </w:rPr>
              <w:t>1.0</w:t>
            </w:r>
          </w:p>
        </w:tc>
      </w:tr>
    </w:tbl>
    <w:p w:rsidR="00F06805" w:rsidRDefault="00F06805" w:rsidP="00912D1D">
      <w:pPr>
        <w:pStyle w:val="FootnoteText1"/>
        <w:rPr>
          <w:lang w:val="en-GB"/>
        </w:rPr>
      </w:pPr>
    </w:p>
    <w:p w:rsidR="00912D1D" w:rsidRPr="00E77176" w:rsidRDefault="00912D1D" w:rsidP="00912D1D">
      <w:pPr>
        <w:pStyle w:val="FootnoteText1"/>
        <w:rPr>
          <w:i/>
          <w:lang w:val="en-GB"/>
        </w:rPr>
      </w:pPr>
      <w:r w:rsidRPr="00E77176">
        <w:rPr>
          <w:lang w:val="en-GB"/>
        </w:rPr>
        <w:t xml:space="preserve">Source: </w:t>
      </w:r>
      <w:proofErr w:type="spellStart"/>
      <w:r w:rsidRPr="00E77176">
        <w:rPr>
          <w:lang w:val="en-GB"/>
        </w:rPr>
        <w:t>Euromonitor</w:t>
      </w:r>
      <w:proofErr w:type="spellEnd"/>
      <w:r w:rsidRPr="00E77176">
        <w:rPr>
          <w:lang w:val="en-GB"/>
        </w:rPr>
        <w:t xml:space="preserve"> International, “Eyewear in Canada: July 2016,” </w:t>
      </w:r>
      <w:proofErr w:type="spellStart"/>
      <w:r w:rsidRPr="00E77176">
        <w:rPr>
          <w:lang w:val="en-GB"/>
        </w:rPr>
        <w:t>Euromonitor</w:t>
      </w:r>
      <w:proofErr w:type="spellEnd"/>
      <w:r w:rsidRPr="00E77176">
        <w:rPr>
          <w:lang w:val="en-GB"/>
        </w:rPr>
        <w:t xml:space="preserve"> International Report, July 2016, accessed December 16, 2016, www.euromonitor.com/eyewear-in-canada/report.</w:t>
      </w:r>
    </w:p>
    <w:p w:rsidR="00912D1D" w:rsidRPr="000850BD" w:rsidRDefault="00912D1D" w:rsidP="00912D1D">
      <w:pPr>
        <w:pStyle w:val="Casehead1"/>
        <w:jc w:val="center"/>
        <w:rPr>
          <w:rFonts w:eastAsia="Calibri"/>
          <w:lang w:val="en-GB"/>
        </w:rPr>
      </w:pPr>
      <w:r>
        <w:rPr>
          <w:lang w:val="en-GB"/>
        </w:rPr>
        <w:br w:type="page"/>
      </w:r>
      <w:r w:rsidRPr="000850BD">
        <w:rPr>
          <w:rFonts w:eastAsia="Calibri"/>
          <w:lang w:val="en-GB"/>
        </w:rPr>
        <w:lastRenderedPageBreak/>
        <w:t>Exhibit 5: CLEARLY—UNIT COSTS</w:t>
      </w:r>
    </w:p>
    <w:p w:rsidR="00912D1D" w:rsidRPr="000850BD" w:rsidRDefault="00912D1D" w:rsidP="00912D1D">
      <w:pPr>
        <w:pStyle w:val="BodyTextMain"/>
        <w:keepNext/>
        <w:keepLines/>
        <w:rPr>
          <w:rFonts w:eastAsia="Calibri"/>
          <w:sz w:val="16"/>
          <w:szCs w:val="16"/>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8"/>
        <w:gridCol w:w="1620"/>
        <w:gridCol w:w="1530"/>
      </w:tblGrid>
      <w:tr w:rsidR="00912D1D" w:rsidRPr="009D70BC" w:rsidTr="00F06805">
        <w:trPr>
          <w:jc w:val="center"/>
        </w:trPr>
        <w:tc>
          <w:tcPr>
            <w:tcW w:w="2738" w:type="dxa"/>
            <w:shd w:val="clear" w:color="auto" w:fill="auto"/>
          </w:tcPr>
          <w:p w:rsidR="00912D1D" w:rsidRPr="009D70BC" w:rsidRDefault="00912D1D" w:rsidP="00955019">
            <w:pPr>
              <w:keepNext/>
              <w:keepLines/>
              <w:spacing w:before="100" w:beforeAutospacing="1" w:after="100" w:afterAutospacing="1"/>
              <w:jc w:val="center"/>
              <w:rPr>
                <w:rFonts w:ascii="Arial" w:eastAsia="Calibri" w:hAnsi="Arial" w:cs="Arial"/>
                <w:b/>
                <w:sz w:val="18"/>
                <w:szCs w:val="18"/>
                <w:lang w:val="en-GB"/>
              </w:rPr>
            </w:pPr>
            <w:r w:rsidRPr="009D70BC">
              <w:rPr>
                <w:rFonts w:ascii="Arial" w:eastAsia="Calibri" w:hAnsi="Arial" w:cs="Arial"/>
                <w:b/>
                <w:sz w:val="18"/>
                <w:szCs w:val="18"/>
                <w:lang w:val="en-GB"/>
              </w:rPr>
              <w:t xml:space="preserve">Element of Cost (in </w:t>
            </w:r>
            <w:r>
              <w:rPr>
                <w:rFonts w:ascii="Arial" w:eastAsia="Calibri" w:hAnsi="Arial" w:cs="Arial"/>
                <w:b/>
                <w:sz w:val="18"/>
                <w:szCs w:val="18"/>
                <w:lang w:val="en-GB"/>
              </w:rPr>
              <w:t>CA</w:t>
            </w:r>
            <w:r w:rsidRPr="009D70BC">
              <w:rPr>
                <w:rFonts w:ascii="Arial" w:eastAsia="Calibri" w:hAnsi="Arial" w:cs="Arial"/>
                <w:b/>
                <w:sz w:val="18"/>
                <w:szCs w:val="18"/>
                <w:lang w:val="en-GB"/>
              </w:rPr>
              <w:t>$)</w:t>
            </w:r>
          </w:p>
        </w:tc>
        <w:tc>
          <w:tcPr>
            <w:tcW w:w="1620" w:type="dxa"/>
            <w:shd w:val="clear" w:color="auto" w:fill="auto"/>
          </w:tcPr>
          <w:p w:rsidR="00912D1D" w:rsidRPr="009D70BC" w:rsidRDefault="00912D1D" w:rsidP="00955019">
            <w:pPr>
              <w:keepNext/>
              <w:keepLines/>
              <w:spacing w:before="100" w:beforeAutospacing="1" w:after="100" w:afterAutospacing="1"/>
              <w:jc w:val="center"/>
              <w:rPr>
                <w:rFonts w:ascii="Arial" w:eastAsia="Calibri" w:hAnsi="Arial" w:cs="Arial"/>
                <w:b/>
                <w:sz w:val="18"/>
                <w:szCs w:val="18"/>
                <w:lang w:val="en-GB"/>
              </w:rPr>
            </w:pPr>
            <w:r w:rsidRPr="009D70BC">
              <w:rPr>
                <w:rFonts w:ascii="Arial" w:eastAsia="Calibri" w:hAnsi="Arial" w:cs="Arial"/>
                <w:b/>
                <w:sz w:val="18"/>
                <w:szCs w:val="18"/>
                <w:lang w:val="en-GB"/>
              </w:rPr>
              <w:t>Contact Lens</w:t>
            </w:r>
          </w:p>
        </w:tc>
        <w:tc>
          <w:tcPr>
            <w:tcW w:w="1530" w:type="dxa"/>
            <w:shd w:val="clear" w:color="auto" w:fill="auto"/>
          </w:tcPr>
          <w:p w:rsidR="00912D1D" w:rsidRPr="009D70BC" w:rsidRDefault="00912D1D" w:rsidP="00955019">
            <w:pPr>
              <w:keepNext/>
              <w:keepLines/>
              <w:spacing w:before="100" w:beforeAutospacing="1" w:after="100" w:afterAutospacing="1"/>
              <w:jc w:val="center"/>
              <w:rPr>
                <w:rFonts w:ascii="Arial" w:eastAsia="Calibri" w:hAnsi="Arial" w:cs="Arial"/>
                <w:b/>
                <w:sz w:val="18"/>
                <w:szCs w:val="18"/>
                <w:lang w:val="en-GB"/>
              </w:rPr>
            </w:pPr>
            <w:r w:rsidRPr="009D70BC">
              <w:rPr>
                <w:rFonts w:ascii="Arial" w:eastAsia="Calibri" w:hAnsi="Arial" w:cs="Arial"/>
                <w:b/>
                <w:sz w:val="18"/>
                <w:szCs w:val="18"/>
                <w:lang w:val="en-GB"/>
              </w:rPr>
              <w:t>Spectacle</w:t>
            </w:r>
          </w:p>
        </w:tc>
      </w:tr>
      <w:tr w:rsidR="00912D1D" w:rsidRPr="000850BD" w:rsidTr="00F06805">
        <w:trPr>
          <w:jc w:val="center"/>
        </w:trPr>
        <w:tc>
          <w:tcPr>
            <w:tcW w:w="2738" w:type="dxa"/>
            <w:shd w:val="clear" w:color="auto" w:fill="auto"/>
          </w:tcPr>
          <w:p w:rsidR="00912D1D" w:rsidRPr="000850BD" w:rsidRDefault="00912D1D" w:rsidP="00955019">
            <w:pPr>
              <w:keepNext/>
              <w:keepLines/>
              <w:rPr>
                <w:rFonts w:ascii="Arial" w:eastAsia="Calibri" w:hAnsi="Arial" w:cs="Arial"/>
                <w:sz w:val="18"/>
                <w:szCs w:val="18"/>
                <w:lang w:val="en-GB"/>
              </w:rPr>
            </w:pPr>
            <w:r w:rsidRPr="000850BD">
              <w:rPr>
                <w:rFonts w:ascii="Arial" w:eastAsia="Calibri" w:hAnsi="Arial" w:cs="Arial"/>
                <w:sz w:val="18"/>
                <w:szCs w:val="18"/>
                <w:lang w:val="en-GB"/>
              </w:rPr>
              <w:t>Manufacturing</w:t>
            </w:r>
          </w:p>
          <w:p w:rsidR="00912D1D" w:rsidRPr="000850BD" w:rsidRDefault="00912D1D" w:rsidP="00955019">
            <w:pPr>
              <w:keepNext/>
              <w:keepLines/>
              <w:rPr>
                <w:rFonts w:ascii="Arial" w:eastAsia="Calibri" w:hAnsi="Arial" w:cs="Arial"/>
                <w:sz w:val="18"/>
                <w:szCs w:val="18"/>
                <w:lang w:val="en-GB"/>
              </w:rPr>
            </w:pPr>
            <w:r w:rsidRPr="000850BD">
              <w:rPr>
                <w:rFonts w:ascii="Arial" w:eastAsia="Calibri" w:hAnsi="Arial" w:cs="Arial"/>
                <w:sz w:val="18"/>
                <w:szCs w:val="18"/>
                <w:lang w:val="en-GB"/>
              </w:rPr>
              <w:t>Pick, Pack, and Ship</w:t>
            </w:r>
          </w:p>
          <w:p w:rsidR="00912D1D" w:rsidRPr="000850BD" w:rsidRDefault="00912D1D" w:rsidP="00955019">
            <w:pPr>
              <w:keepNext/>
              <w:keepLines/>
              <w:rPr>
                <w:rFonts w:ascii="Arial" w:eastAsia="Calibri" w:hAnsi="Arial" w:cs="Arial"/>
                <w:sz w:val="18"/>
                <w:szCs w:val="18"/>
                <w:lang w:val="en-GB"/>
              </w:rPr>
            </w:pPr>
            <w:r w:rsidRPr="000850BD">
              <w:rPr>
                <w:rFonts w:ascii="Arial" w:eastAsia="Calibri" w:hAnsi="Arial" w:cs="Arial"/>
                <w:sz w:val="18"/>
                <w:szCs w:val="18"/>
                <w:lang w:val="en-GB"/>
              </w:rPr>
              <w:t>Call Centre</w:t>
            </w:r>
          </w:p>
          <w:p w:rsidR="00912D1D" w:rsidRPr="000850BD" w:rsidRDefault="00912D1D" w:rsidP="00955019">
            <w:pPr>
              <w:keepNext/>
              <w:keepLines/>
              <w:rPr>
                <w:rFonts w:ascii="Arial" w:eastAsia="Calibri" w:hAnsi="Arial" w:cs="Arial"/>
                <w:sz w:val="18"/>
                <w:szCs w:val="18"/>
                <w:lang w:val="en-GB"/>
              </w:rPr>
            </w:pPr>
            <w:r w:rsidRPr="000850BD">
              <w:rPr>
                <w:rFonts w:ascii="Arial" w:eastAsia="Calibri" w:hAnsi="Arial" w:cs="Arial"/>
                <w:sz w:val="18"/>
                <w:szCs w:val="18"/>
                <w:lang w:val="en-GB"/>
              </w:rPr>
              <w:t>Total</w:t>
            </w:r>
          </w:p>
        </w:tc>
        <w:tc>
          <w:tcPr>
            <w:tcW w:w="1620" w:type="dxa"/>
            <w:shd w:val="clear" w:color="auto" w:fill="auto"/>
          </w:tcPr>
          <w:p w:rsidR="00912D1D" w:rsidRPr="000850BD" w:rsidRDefault="00912D1D" w:rsidP="00955019">
            <w:pPr>
              <w:keepNext/>
              <w:keepLines/>
              <w:jc w:val="right"/>
              <w:rPr>
                <w:rFonts w:ascii="Arial" w:eastAsia="Calibri" w:hAnsi="Arial" w:cs="Arial"/>
                <w:sz w:val="18"/>
                <w:szCs w:val="18"/>
                <w:lang w:val="en-GB"/>
              </w:rPr>
            </w:pPr>
            <w:r w:rsidRPr="000850BD">
              <w:rPr>
                <w:rFonts w:ascii="Arial" w:eastAsia="Calibri" w:hAnsi="Arial" w:cs="Arial"/>
                <w:sz w:val="18"/>
                <w:szCs w:val="18"/>
                <w:lang w:val="en-GB"/>
              </w:rPr>
              <w:t>-</w:t>
            </w:r>
          </w:p>
          <w:p w:rsidR="00912D1D" w:rsidRPr="000850BD" w:rsidRDefault="00912D1D" w:rsidP="00955019">
            <w:pPr>
              <w:keepNext/>
              <w:keepLines/>
              <w:jc w:val="right"/>
              <w:rPr>
                <w:rFonts w:ascii="Arial" w:eastAsia="Calibri" w:hAnsi="Arial" w:cs="Arial"/>
                <w:sz w:val="18"/>
                <w:szCs w:val="18"/>
                <w:lang w:val="en-GB"/>
              </w:rPr>
            </w:pPr>
            <w:r w:rsidRPr="000850BD">
              <w:rPr>
                <w:rFonts w:ascii="Arial" w:eastAsia="Calibri" w:hAnsi="Arial" w:cs="Arial"/>
                <w:sz w:val="18"/>
                <w:szCs w:val="18"/>
                <w:lang w:val="en-GB"/>
              </w:rPr>
              <w:t>14.31</w:t>
            </w:r>
          </w:p>
          <w:p w:rsidR="00912D1D" w:rsidRPr="000850BD" w:rsidRDefault="00912D1D" w:rsidP="00955019">
            <w:pPr>
              <w:keepNext/>
              <w:keepLines/>
              <w:jc w:val="right"/>
              <w:rPr>
                <w:rFonts w:ascii="Arial" w:eastAsia="Calibri" w:hAnsi="Arial" w:cs="Arial"/>
                <w:sz w:val="18"/>
                <w:szCs w:val="18"/>
                <w:lang w:val="en-GB"/>
              </w:rPr>
            </w:pPr>
            <w:r w:rsidRPr="000850BD">
              <w:rPr>
                <w:rFonts w:ascii="Arial" w:eastAsia="Calibri" w:hAnsi="Arial" w:cs="Arial"/>
                <w:sz w:val="18"/>
                <w:szCs w:val="18"/>
                <w:lang w:val="en-GB"/>
              </w:rPr>
              <w:t>3.62</w:t>
            </w:r>
          </w:p>
          <w:p w:rsidR="00912D1D" w:rsidRPr="000850BD" w:rsidRDefault="00912D1D" w:rsidP="00955019">
            <w:pPr>
              <w:keepNext/>
              <w:keepLines/>
              <w:jc w:val="right"/>
              <w:rPr>
                <w:rFonts w:ascii="Arial" w:eastAsia="Calibri" w:hAnsi="Arial" w:cs="Arial"/>
                <w:sz w:val="18"/>
                <w:szCs w:val="18"/>
                <w:lang w:val="en-GB"/>
              </w:rPr>
            </w:pPr>
            <w:r w:rsidRPr="000850BD">
              <w:rPr>
                <w:rFonts w:ascii="Arial" w:eastAsia="Calibri" w:hAnsi="Arial" w:cs="Arial"/>
                <w:sz w:val="18"/>
                <w:szCs w:val="18"/>
                <w:lang w:val="en-GB"/>
              </w:rPr>
              <w:t>17.93</w:t>
            </w:r>
          </w:p>
        </w:tc>
        <w:tc>
          <w:tcPr>
            <w:tcW w:w="1530" w:type="dxa"/>
            <w:shd w:val="clear" w:color="auto" w:fill="auto"/>
          </w:tcPr>
          <w:p w:rsidR="00912D1D" w:rsidRPr="000850BD" w:rsidRDefault="00912D1D" w:rsidP="00955019">
            <w:pPr>
              <w:keepNext/>
              <w:keepLines/>
              <w:jc w:val="right"/>
              <w:rPr>
                <w:rFonts w:ascii="Arial" w:eastAsia="Calibri" w:hAnsi="Arial" w:cs="Arial"/>
                <w:sz w:val="18"/>
                <w:szCs w:val="18"/>
                <w:lang w:val="en-GB"/>
              </w:rPr>
            </w:pPr>
            <w:r w:rsidRPr="000850BD">
              <w:rPr>
                <w:rFonts w:ascii="Arial" w:eastAsia="Calibri" w:hAnsi="Arial" w:cs="Arial"/>
                <w:sz w:val="18"/>
                <w:szCs w:val="18"/>
                <w:lang w:val="en-GB"/>
              </w:rPr>
              <w:t>25.18</w:t>
            </w:r>
          </w:p>
          <w:p w:rsidR="00912D1D" w:rsidRPr="000850BD" w:rsidRDefault="00912D1D" w:rsidP="00955019">
            <w:pPr>
              <w:keepNext/>
              <w:keepLines/>
              <w:jc w:val="right"/>
              <w:rPr>
                <w:rFonts w:ascii="Arial" w:eastAsia="Calibri" w:hAnsi="Arial" w:cs="Arial"/>
                <w:sz w:val="18"/>
                <w:szCs w:val="18"/>
                <w:lang w:val="en-GB"/>
              </w:rPr>
            </w:pPr>
            <w:r w:rsidRPr="000850BD">
              <w:rPr>
                <w:rFonts w:ascii="Arial" w:eastAsia="Calibri" w:hAnsi="Arial" w:cs="Arial"/>
                <w:sz w:val="18"/>
                <w:szCs w:val="18"/>
                <w:lang w:val="en-GB"/>
              </w:rPr>
              <w:t>14.87</w:t>
            </w:r>
          </w:p>
          <w:p w:rsidR="00912D1D" w:rsidRPr="000850BD" w:rsidRDefault="00912D1D" w:rsidP="00955019">
            <w:pPr>
              <w:keepNext/>
              <w:keepLines/>
              <w:jc w:val="right"/>
              <w:rPr>
                <w:rFonts w:ascii="Arial" w:eastAsia="Calibri" w:hAnsi="Arial" w:cs="Arial"/>
                <w:sz w:val="18"/>
                <w:szCs w:val="18"/>
                <w:lang w:val="en-GB"/>
              </w:rPr>
            </w:pPr>
            <w:r w:rsidRPr="000850BD">
              <w:rPr>
                <w:rFonts w:ascii="Arial" w:eastAsia="Calibri" w:hAnsi="Arial" w:cs="Arial"/>
                <w:sz w:val="18"/>
                <w:szCs w:val="18"/>
                <w:lang w:val="en-GB"/>
              </w:rPr>
              <w:t>9.15</w:t>
            </w:r>
          </w:p>
          <w:p w:rsidR="00912D1D" w:rsidRPr="000850BD" w:rsidRDefault="00912D1D" w:rsidP="00955019">
            <w:pPr>
              <w:keepNext/>
              <w:keepLines/>
              <w:jc w:val="right"/>
              <w:rPr>
                <w:rFonts w:ascii="Arial" w:eastAsia="Calibri" w:hAnsi="Arial" w:cs="Arial"/>
                <w:sz w:val="18"/>
                <w:szCs w:val="18"/>
                <w:lang w:val="en-GB"/>
              </w:rPr>
            </w:pPr>
            <w:r w:rsidRPr="000850BD">
              <w:rPr>
                <w:rFonts w:ascii="Arial" w:eastAsia="Calibri" w:hAnsi="Arial" w:cs="Arial"/>
                <w:sz w:val="18"/>
                <w:szCs w:val="18"/>
                <w:lang w:val="en-GB"/>
              </w:rPr>
              <w:t>49.20</w:t>
            </w:r>
          </w:p>
        </w:tc>
      </w:tr>
    </w:tbl>
    <w:p w:rsidR="009B378C" w:rsidRDefault="009B378C" w:rsidP="00912D1D">
      <w:pPr>
        <w:pStyle w:val="FootnoteText1"/>
        <w:keepNext/>
        <w:keepLines/>
        <w:rPr>
          <w:rFonts w:eastAsia="Calibri"/>
          <w:lang w:val="en-GB"/>
        </w:rPr>
      </w:pPr>
    </w:p>
    <w:p w:rsidR="00912D1D" w:rsidRPr="00E77176" w:rsidRDefault="00912D1D" w:rsidP="00912D1D">
      <w:pPr>
        <w:pStyle w:val="FootnoteText1"/>
        <w:keepNext/>
        <w:keepLines/>
        <w:rPr>
          <w:rFonts w:eastAsia="Calibri"/>
          <w:i/>
          <w:lang w:val="en-GB"/>
        </w:rPr>
      </w:pPr>
      <w:r w:rsidRPr="00E77176">
        <w:rPr>
          <w:rFonts w:eastAsia="Calibri"/>
          <w:lang w:val="en-GB"/>
        </w:rPr>
        <w:t>Source: Company files.</w:t>
      </w:r>
    </w:p>
    <w:p w:rsidR="00912D1D" w:rsidRDefault="00912D1D" w:rsidP="00912D1D">
      <w:pPr>
        <w:pStyle w:val="BodyTextMain"/>
        <w:rPr>
          <w:rFonts w:eastAsia="Calibri"/>
          <w:lang w:val="en-GB"/>
        </w:rPr>
      </w:pPr>
    </w:p>
    <w:p w:rsidR="00912D1D" w:rsidRDefault="00912D1D" w:rsidP="00912D1D">
      <w:pPr>
        <w:pStyle w:val="BodyTextMain"/>
        <w:rPr>
          <w:rFonts w:eastAsia="Calibri"/>
          <w:lang w:val="en-GB"/>
        </w:rPr>
      </w:pPr>
    </w:p>
    <w:p w:rsidR="00912D1D" w:rsidRPr="000850BD" w:rsidRDefault="00912D1D" w:rsidP="00912D1D">
      <w:pPr>
        <w:pStyle w:val="Casehead1"/>
        <w:jc w:val="center"/>
        <w:rPr>
          <w:lang w:val="en-GB"/>
        </w:rPr>
      </w:pPr>
      <w:r w:rsidRPr="000850BD">
        <w:rPr>
          <w:lang w:val="en-GB"/>
        </w:rPr>
        <w:t>Exhibit 6: CLEARLY—TRAFFIC AND ORDERS BY CHANNEL BY WEEK</w:t>
      </w:r>
    </w:p>
    <w:p w:rsidR="00912D1D" w:rsidRPr="000850BD" w:rsidRDefault="00912D1D" w:rsidP="00912D1D">
      <w:pPr>
        <w:pStyle w:val="Casehead2"/>
        <w:jc w:val="center"/>
        <w:rPr>
          <w:lang w:val="en-GB"/>
        </w:rPr>
      </w:pPr>
      <w:r w:rsidRPr="000850BD">
        <w:rPr>
          <w:lang w:val="en-GB"/>
        </w:rPr>
        <w:t>(January 1 to September 30, 2015)</w:t>
      </w:r>
    </w:p>
    <w:p w:rsidR="00912D1D" w:rsidRPr="009B378C" w:rsidRDefault="00912D1D" w:rsidP="00912D1D">
      <w:pPr>
        <w:pStyle w:val="BodyTextMain"/>
        <w:rPr>
          <w:sz w:val="16"/>
          <w:szCs w:val="16"/>
          <w:lang w:val="en-GB"/>
        </w:rPr>
      </w:pPr>
    </w:p>
    <w:p w:rsidR="00881400" w:rsidRPr="00116015" w:rsidRDefault="009B378C" w:rsidP="00881400">
      <w:pPr>
        <w:pStyle w:val="BodyTextMain"/>
        <w:jc w:val="center"/>
        <w:rPr>
          <w:sz w:val="18"/>
          <w:szCs w:val="18"/>
          <w:lang w:val="en-GB"/>
        </w:rPr>
      </w:pPr>
      <w:r>
        <w:rPr>
          <w:sz w:val="18"/>
          <w:szCs w:val="18"/>
          <w:lang w:val="en-GB"/>
        </w:rPr>
        <w:object w:dxaOrig="10755" w:dyaOrig="11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pt;height:435.2pt" o:ole="">
            <v:imagedata r:id="rId12" o:title=""/>
          </v:shape>
          <o:OLEObject Type="Embed" ProgID="Excel.Sheet.12" ShapeID="_x0000_i1025" DrawAspect="Content" ObjectID="_1559110711" r:id="rId13"/>
        </w:object>
      </w:r>
    </w:p>
    <w:p w:rsidR="009B378C" w:rsidRDefault="009B378C" w:rsidP="00912D1D">
      <w:pPr>
        <w:pStyle w:val="FootnoteText1"/>
        <w:rPr>
          <w:lang w:val="en-GB"/>
        </w:rPr>
      </w:pPr>
    </w:p>
    <w:p w:rsidR="00912D1D" w:rsidRPr="00E77176" w:rsidRDefault="00912D1D" w:rsidP="00912D1D">
      <w:pPr>
        <w:pStyle w:val="FootnoteText1"/>
        <w:rPr>
          <w:i/>
          <w:lang w:val="en-GB"/>
        </w:rPr>
      </w:pPr>
      <w:r w:rsidRPr="00E77176">
        <w:rPr>
          <w:lang w:val="en-GB"/>
        </w:rPr>
        <w:t>Note: Ave = Avenue; W = West, St = Street; the foot-traffic data for weeks 26–36 for the West 4th Avenue location are anomalies.</w:t>
      </w:r>
    </w:p>
    <w:p w:rsidR="00912D1D" w:rsidRPr="000850BD" w:rsidRDefault="00912D1D" w:rsidP="00881400">
      <w:pPr>
        <w:pStyle w:val="FootnoteText1"/>
        <w:rPr>
          <w:lang w:val="en-GB"/>
        </w:rPr>
      </w:pPr>
      <w:r w:rsidRPr="00E77176">
        <w:rPr>
          <w:lang w:val="en-GB"/>
        </w:rPr>
        <w:t>Source: Company files.</w:t>
      </w:r>
    </w:p>
    <w:p w:rsidR="00912D1D" w:rsidRPr="000850BD" w:rsidRDefault="00912D1D" w:rsidP="00912D1D">
      <w:pPr>
        <w:pStyle w:val="Casehead1"/>
        <w:jc w:val="center"/>
        <w:rPr>
          <w:lang w:val="en-GB"/>
        </w:rPr>
      </w:pPr>
      <w:r w:rsidRPr="000850BD">
        <w:rPr>
          <w:i/>
          <w:lang w:val="en-GB"/>
        </w:rPr>
        <w:br w:type="page"/>
      </w:r>
      <w:r w:rsidRPr="000850BD">
        <w:rPr>
          <w:lang w:val="en-GB"/>
        </w:rPr>
        <w:lastRenderedPageBreak/>
        <w:t>Exhibit 7: EXCERPT FROM CLEARLY—CUSTOMER ORDERING DATA</w:t>
      </w:r>
    </w:p>
    <w:p w:rsidR="00912D1D" w:rsidRPr="000850BD" w:rsidRDefault="00912D1D" w:rsidP="00912D1D">
      <w:pPr>
        <w:pStyle w:val="Casehead2"/>
        <w:jc w:val="center"/>
        <w:rPr>
          <w:lang w:val="en-GB"/>
        </w:rPr>
      </w:pPr>
      <w:r w:rsidRPr="000850BD">
        <w:rPr>
          <w:lang w:val="en-GB"/>
        </w:rPr>
        <w:t>(January 1, 2014 to September 30, 2015)</w:t>
      </w:r>
    </w:p>
    <w:p w:rsidR="00912D1D" w:rsidRPr="000850BD" w:rsidRDefault="00912D1D" w:rsidP="00912D1D">
      <w:pPr>
        <w:pStyle w:val="BodyTextMain"/>
        <w:rPr>
          <w:lang w:val="en-GB"/>
        </w:rPr>
      </w:pPr>
    </w:p>
    <w:p w:rsidR="00912D1D" w:rsidRPr="000850BD" w:rsidRDefault="00474E8C" w:rsidP="00912D1D">
      <w:pPr>
        <w:pStyle w:val="BodyTextMain"/>
        <w:jc w:val="center"/>
        <w:rPr>
          <w:lang w:val="en-GB"/>
        </w:rPr>
      </w:pPr>
      <w:r>
        <w:rPr>
          <w:noProof/>
          <w:lang w:val="en-GB" w:eastAsia="en-GB"/>
        </w:rPr>
        <w:drawing>
          <wp:inline distT="0" distB="0" distL="0" distR="0" wp14:anchorId="3290D408" wp14:editId="5262D441">
            <wp:extent cx="5882640" cy="6774180"/>
            <wp:effectExtent l="0" t="0" r="3810" b="762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174" cy="6778250"/>
                    </a:xfrm>
                    <a:prstGeom prst="rect">
                      <a:avLst/>
                    </a:prstGeom>
                    <a:noFill/>
                    <a:ln>
                      <a:noFill/>
                    </a:ln>
                  </pic:spPr>
                </pic:pic>
              </a:graphicData>
            </a:graphic>
          </wp:inline>
        </w:drawing>
      </w:r>
    </w:p>
    <w:p w:rsidR="009B378C" w:rsidRDefault="009B378C" w:rsidP="00912D1D">
      <w:pPr>
        <w:pStyle w:val="FootnoteText1"/>
        <w:rPr>
          <w:lang w:val="en-GB"/>
        </w:rPr>
      </w:pPr>
    </w:p>
    <w:p w:rsidR="00912D1D" w:rsidRPr="00E77176" w:rsidRDefault="00912D1D" w:rsidP="00912D1D">
      <w:pPr>
        <w:pStyle w:val="FootnoteText1"/>
        <w:rPr>
          <w:i/>
          <w:lang w:val="en-GB"/>
        </w:rPr>
      </w:pPr>
      <w:r w:rsidRPr="00E77176">
        <w:rPr>
          <w:lang w:val="en-GB"/>
        </w:rPr>
        <w:t xml:space="preserve">Note: The variables with the prefix </w:t>
      </w:r>
      <w:proofErr w:type="spellStart"/>
      <w:r w:rsidRPr="00E77176">
        <w:rPr>
          <w:lang w:val="en-GB"/>
        </w:rPr>
        <w:t>dist</w:t>
      </w:r>
      <w:proofErr w:type="spellEnd"/>
      <w:r w:rsidRPr="00E77176">
        <w:rPr>
          <w:lang w:val="en-GB"/>
        </w:rPr>
        <w:t xml:space="preserve">_ represent the distance (in km) of the customer from each of </w:t>
      </w:r>
      <w:proofErr w:type="spellStart"/>
      <w:r w:rsidRPr="00E77176">
        <w:rPr>
          <w:lang w:val="en-GB"/>
        </w:rPr>
        <w:t>Clearly’s</w:t>
      </w:r>
      <w:proofErr w:type="spellEnd"/>
      <w:r w:rsidRPr="00E77176">
        <w:rPr>
          <w:lang w:val="en-GB"/>
        </w:rPr>
        <w:t xml:space="preserve"> three brick-and-mortar stores; </w:t>
      </w:r>
      <w:proofErr w:type="spellStart"/>
      <w:r w:rsidRPr="00E77176">
        <w:rPr>
          <w:lang w:val="en-GB"/>
        </w:rPr>
        <w:t>fpf</w:t>
      </w:r>
      <w:proofErr w:type="spellEnd"/>
      <w:r w:rsidRPr="00E77176">
        <w:rPr>
          <w:lang w:val="en-GB"/>
        </w:rPr>
        <w:t xml:space="preserve"> indicates whether the order was subject to the “First Pair Free” promotion; the composition of the order (whether for glasses, contact lenses, sunglasses, and/or accessories) is indicated with these variables; n_ orders represents the total number of orders each customer was observed to place over the observation period. </w:t>
      </w:r>
    </w:p>
    <w:p w:rsidR="00465348" w:rsidRPr="009C2666" w:rsidRDefault="00912D1D" w:rsidP="00881400">
      <w:pPr>
        <w:pStyle w:val="FootnoteText1"/>
      </w:pPr>
      <w:r w:rsidRPr="00E77176">
        <w:rPr>
          <w:lang w:val="en-GB"/>
        </w:rPr>
        <w:t>Source: Company files.</w:t>
      </w:r>
    </w:p>
    <w:sectPr w:rsidR="00465348" w:rsidRPr="009C2666"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019" w:rsidRDefault="00955019" w:rsidP="00D75295">
      <w:r>
        <w:separator/>
      </w:r>
    </w:p>
  </w:endnote>
  <w:endnote w:type="continuationSeparator" w:id="0">
    <w:p w:rsidR="00955019" w:rsidRDefault="0095501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Xerox Sans">
    <w:altName w:val="Xerox Sans"/>
    <w:panose1 w:val="00000000000000000000"/>
    <w:charset w:val="00"/>
    <w:family w:val="swiss"/>
    <w:notTrueType/>
    <w:pitch w:val="default"/>
    <w:sig w:usb0="00000003" w:usb1="00000000" w:usb2="00000000" w:usb3="00000000" w:csb0="00000001" w:csb1="00000000"/>
  </w:font>
  <w:font w:name="Minion Pro">
    <w:panose1 w:val="02040503050201020203"/>
    <w:charset w:val="00"/>
    <w:family w:val="roman"/>
    <w:notTrueType/>
    <w:pitch w:val="variable"/>
    <w:sig w:usb0="60000287" w:usb1="00000001" w:usb2="00000000" w:usb3="00000000" w:csb0="0000019F" w:csb1="00000000"/>
  </w:font>
  <w:font w:name="Pratt Pro">
    <w:altName w:val="Pratt Pr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019" w:rsidRDefault="00955019" w:rsidP="00D75295">
      <w:r>
        <w:separator/>
      </w:r>
    </w:p>
  </w:footnote>
  <w:footnote w:type="continuationSeparator" w:id="0">
    <w:p w:rsidR="00955019" w:rsidRDefault="00955019" w:rsidP="00D75295">
      <w:r>
        <w:continuationSeparator/>
      </w:r>
    </w:p>
  </w:footnote>
  <w:footnote w:id="1">
    <w:p w:rsidR="00F06805" w:rsidRPr="00F06805" w:rsidRDefault="00F06805" w:rsidP="00F06805">
      <w:pPr>
        <w:pStyle w:val="FootnoteText1"/>
        <w:rPr>
          <w:lang w:val="es-MX"/>
        </w:rPr>
      </w:pPr>
      <w:r>
        <w:rPr>
          <w:rStyle w:val="FootnoteReference"/>
        </w:rPr>
        <w:footnoteRef/>
      </w:r>
      <w:r w:rsidRPr="00F06805">
        <w:rPr>
          <w:lang w:val="es-MX"/>
        </w:rPr>
        <w:t xml:space="preserve"> </w:t>
      </w:r>
      <w:proofErr w:type="spellStart"/>
      <w:r w:rsidRPr="009D70BC">
        <w:rPr>
          <w:lang w:val="es-MX"/>
        </w:rPr>
        <w:t>Mostra</w:t>
      </w:r>
      <w:proofErr w:type="spellEnd"/>
      <w:r w:rsidRPr="009D70BC">
        <w:rPr>
          <w:lang w:val="es-MX"/>
        </w:rPr>
        <w:t xml:space="preserve"> </w:t>
      </w:r>
      <w:proofErr w:type="spellStart"/>
      <w:r w:rsidRPr="009D70BC">
        <w:rPr>
          <w:lang w:val="es-MX"/>
        </w:rPr>
        <w:t>Internazionale</w:t>
      </w:r>
      <w:proofErr w:type="spellEnd"/>
      <w:r w:rsidRPr="009D70BC">
        <w:rPr>
          <w:lang w:val="es-MX"/>
        </w:rPr>
        <w:t xml:space="preserve"> di </w:t>
      </w:r>
      <w:proofErr w:type="spellStart"/>
      <w:r w:rsidRPr="009D70BC">
        <w:rPr>
          <w:lang w:val="es-MX"/>
        </w:rPr>
        <w:t>Ottica</w:t>
      </w:r>
      <w:proofErr w:type="spellEnd"/>
      <w:r w:rsidRPr="009D70BC">
        <w:rPr>
          <w:lang w:val="es-MX"/>
        </w:rPr>
        <w:t xml:space="preserve">, </w:t>
      </w:r>
      <w:proofErr w:type="spellStart"/>
      <w:r w:rsidRPr="009D70BC">
        <w:rPr>
          <w:lang w:val="es-MX"/>
        </w:rPr>
        <w:t>Optometria</w:t>
      </w:r>
      <w:proofErr w:type="spellEnd"/>
      <w:r w:rsidRPr="009D70BC">
        <w:rPr>
          <w:lang w:val="es-MX"/>
        </w:rPr>
        <w:t xml:space="preserve"> e </w:t>
      </w:r>
      <w:proofErr w:type="spellStart"/>
      <w:r w:rsidRPr="009D70BC">
        <w:rPr>
          <w:lang w:val="es-MX"/>
        </w:rPr>
        <w:t>Oftalmologia</w:t>
      </w:r>
      <w:proofErr w:type="spellEnd"/>
    </w:p>
  </w:footnote>
  <w:footnote w:id="2">
    <w:p w:rsidR="00955019" w:rsidRPr="009F47F9" w:rsidRDefault="00955019" w:rsidP="00F06805">
      <w:pPr>
        <w:pStyle w:val="FootnoteText1"/>
        <w:rPr>
          <w:lang w:val="en-CA"/>
        </w:rPr>
      </w:pPr>
      <w:r w:rsidRPr="009F47F9">
        <w:rPr>
          <w:rStyle w:val="FootnoteReference"/>
        </w:rPr>
        <w:footnoteRef/>
      </w:r>
      <w:r w:rsidRPr="009F47F9">
        <w:t xml:space="preserve"> </w:t>
      </w:r>
      <w:r w:rsidRPr="009F47F9">
        <w:rPr>
          <w:lang w:val="en-CA"/>
        </w:rPr>
        <w:t>A pure</w:t>
      </w:r>
      <w:r>
        <w:rPr>
          <w:lang w:val="en-CA"/>
        </w:rPr>
        <w:t>-</w:t>
      </w:r>
      <w:r w:rsidRPr="009F47F9">
        <w:rPr>
          <w:lang w:val="en-CA"/>
        </w:rPr>
        <w:t xml:space="preserve">play </w:t>
      </w:r>
      <w:r>
        <w:rPr>
          <w:lang w:val="en-CA"/>
        </w:rPr>
        <w:t xml:space="preserve">company </w:t>
      </w:r>
      <w:r w:rsidRPr="009F47F9">
        <w:rPr>
          <w:lang w:val="en-CA"/>
        </w:rPr>
        <w:t xml:space="preserve">is characterized by </w:t>
      </w:r>
      <w:r>
        <w:rPr>
          <w:lang w:val="en-CA"/>
        </w:rPr>
        <w:t xml:space="preserve">a </w:t>
      </w:r>
      <w:r w:rsidRPr="009F47F9">
        <w:rPr>
          <w:lang w:val="en-CA"/>
        </w:rPr>
        <w:t>sharp focus in terms of industry, channel of distribution</w:t>
      </w:r>
      <w:r>
        <w:rPr>
          <w:lang w:val="en-CA"/>
        </w:rPr>
        <w:t>,</w:t>
      </w:r>
      <w:r w:rsidRPr="009F47F9">
        <w:rPr>
          <w:lang w:val="en-CA"/>
        </w:rPr>
        <w:t xml:space="preserve"> or product line. In the context of retailing, the term is associated with the strategy of relying solely on online sales.  </w:t>
      </w:r>
    </w:p>
  </w:footnote>
  <w:footnote w:id="3">
    <w:p w:rsidR="00955019" w:rsidRPr="00AB6496" w:rsidRDefault="00955019" w:rsidP="00F06805">
      <w:pPr>
        <w:pStyle w:val="FootnoteText1"/>
        <w:rPr>
          <w:lang w:val="en-CA"/>
        </w:rPr>
      </w:pPr>
      <w:r w:rsidRPr="009F47F9">
        <w:rPr>
          <w:rStyle w:val="FootnoteReference"/>
        </w:rPr>
        <w:footnoteRef/>
      </w:r>
      <w:r w:rsidRPr="009F47F9">
        <w:t xml:space="preserve"> </w:t>
      </w:r>
      <w:r w:rsidRPr="00AB6496">
        <w:t>Brien A. Holden</w:t>
      </w:r>
      <w:r>
        <w:t>,</w:t>
      </w:r>
      <w:r w:rsidRPr="00AB6496">
        <w:t xml:space="preserve"> Timothy R. Fricke, David A. Wilson, Monica Jong, </w:t>
      </w:r>
      <w:proofErr w:type="spellStart"/>
      <w:r w:rsidRPr="00AB6496">
        <w:t>Kovin</w:t>
      </w:r>
      <w:proofErr w:type="spellEnd"/>
      <w:r w:rsidRPr="00AB6496">
        <w:t xml:space="preserve"> S. Naidoo, </w:t>
      </w:r>
      <w:proofErr w:type="spellStart"/>
      <w:r w:rsidRPr="00AB6496">
        <w:t>Padmaja</w:t>
      </w:r>
      <w:proofErr w:type="spellEnd"/>
      <w:r w:rsidRPr="00AB6496">
        <w:t xml:space="preserve"> </w:t>
      </w:r>
      <w:proofErr w:type="spellStart"/>
      <w:r w:rsidRPr="00AB6496">
        <w:t>Sankaridurg</w:t>
      </w:r>
      <w:proofErr w:type="spellEnd"/>
      <w:r w:rsidRPr="00AB6496">
        <w:t xml:space="preserve">, Tien Y. Wong, Thomas J. </w:t>
      </w:r>
      <w:proofErr w:type="spellStart"/>
      <w:r w:rsidRPr="00AB6496">
        <w:t>Naduvilath</w:t>
      </w:r>
      <w:proofErr w:type="spellEnd"/>
      <w:r w:rsidRPr="00AB6496">
        <w:t xml:space="preserve">, and Serge </w:t>
      </w:r>
      <w:proofErr w:type="spellStart"/>
      <w:r w:rsidRPr="00AB6496">
        <w:t>Resnikoff</w:t>
      </w:r>
      <w:proofErr w:type="spellEnd"/>
      <w:r w:rsidRPr="005B789E">
        <w:t>, “Global Prevalence of Myopia and High Myopia and Temporal Trends from 2000 through 2050</w:t>
      </w:r>
      <w:r w:rsidRPr="00AB6496">
        <w:t xml:space="preserve">,” </w:t>
      </w:r>
      <w:r w:rsidRPr="009D70BC">
        <w:rPr>
          <w:i/>
        </w:rPr>
        <w:t>Ophthalmology</w:t>
      </w:r>
      <w:r w:rsidRPr="00AB6496">
        <w:t xml:space="preserve"> 123, no. 5, accessed July 2, 2016, www.aaojournal.org/article/S0161-</w:t>
      </w:r>
      <w:proofErr w:type="gramStart"/>
      <w:r w:rsidRPr="00AB6496">
        <w:t>6420(</w:t>
      </w:r>
      <w:proofErr w:type="gramEnd"/>
      <w:r w:rsidRPr="00AB6496">
        <w:t xml:space="preserve">16)00025-7/abstract. </w:t>
      </w:r>
    </w:p>
  </w:footnote>
  <w:footnote w:id="4">
    <w:p w:rsidR="00955019" w:rsidRPr="005B789E" w:rsidRDefault="00955019" w:rsidP="00F06805">
      <w:pPr>
        <w:pStyle w:val="FootnoteText1"/>
        <w:rPr>
          <w:lang w:val="en-CA" w:eastAsia="en-CA"/>
        </w:rPr>
      </w:pPr>
      <w:r w:rsidRPr="00AB6496">
        <w:rPr>
          <w:rStyle w:val="FootnoteReference"/>
        </w:rPr>
        <w:footnoteRef/>
      </w:r>
      <w:r w:rsidRPr="00AB6496">
        <w:t xml:space="preserve"> </w:t>
      </w:r>
      <w:proofErr w:type="spellStart"/>
      <w:r w:rsidRPr="00AB6496">
        <w:t>Euromonitor</w:t>
      </w:r>
      <w:proofErr w:type="spellEnd"/>
      <w:r w:rsidRPr="00AB6496">
        <w:t xml:space="preserve"> International, “Eyewear in Canada: July 2016,” Report, accessed December 16, 2016</w:t>
      </w:r>
      <w:r w:rsidRPr="006A4D57">
        <w:t>, www.euromonitor.com/eyewear-in-canada/report</w:t>
      </w:r>
      <w:r w:rsidRPr="005B789E">
        <w:t>.</w:t>
      </w:r>
    </w:p>
  </w:footnote>
  <w:footnote w:id="5">
    <w:p w:rsidR="00955019" w:rsidRPr="00AB6496" w:rsidRDefault="00955019" w:rsidP="003C3CF2">
      <w:pPr>
        <w:pStyle w:val="FootnoteText1"/>
        <w:rPr>
          <w:lang w:val="en-CA"/>
        </w:rPr>
      </w:pPr>
      <w:r w:rsidRPr="005B789E">
        <w:rPr>
          <w:rStyle w:val="FootnoteReference"/>
        </w:rPr>
        <w:footnoteRef/>
      </w:r>
      <w:r w:rsidRPr="005B789E">
        <w:t xml:space="preserve"> IBIS World</w:t>
      </w:r>
      <w:r w:rsidRPr="00A81BD1">
        <w:t>, “Online Eyeglasses &amp; Contact Lens Sales in the US,</w:t>
      </w:r>
      <w:r w:rsidRPr="00AB6496">
        <w:t>” IBIS World Industry Report OD5089, September 2016, accessed December 16, 2016</w:t>
      </w:r>
      <w:r>
        <w:t xml:space="preserve">, </w:t>
      </w:r>
      <w:r w:rsidRPr="006A4D57">
        <w:t>www.ibisworld.com/industry/online-eyeglasses-contact-lens-sales.html</w:t>
      </w:r>
      <w:r w:rsidRPr="00AB6496">
        <w:t>.</w:t>
      </w:r>
    </w:p>
  </w:footnote>
  <w:footnote w:id="6">
    <w:p w:rsidR="00955019" w:rsidRPr="009F47F9" w:rsidRDefault="00955019" w:rsidP="003C3CF2">
      <w:pPr>
        <w:pStyle w:val="FootnoteText1"/>
        <w:rPr>
          <w:lang w:val="en-CA"/>
        </w:rPr>
      </w:pPr>
      <w:r w:rsidRPr="00AB6496">
        <w:rPr>
          <w:rStyle w:val="FootnoteReference"/>
        </w:rPr>
        <w:footnoteRef/>
      </w:r>
      <w:r w:rsidRPr="00AB6496">
        <w:t xml:space="preserve"> M</w:t>
      </w:r>
      <w:r>
        <w:t>.</w:t>
      </w:r>
      <w:r w:rsidRPr="00AB6496">
        <w:t xml:space="preserve"> Corey Goldman, “Creating a Whole New Kind of Business out of Omni-Channel Retailing,” </w:t>
      </w:r>
      <w:r w:rsidRPr="009D70BC">
        <w:t>Financial Post</w:t>
      </w:r>
      <w:r w:rsidRPr="00AB6496">
        <w:t xml:space="preserve">, June 3, 2014, accessed October 4, 2015, http://business.financialpost.com/executive/smart-shift/creating-a-whole-new-kind-of-business-out-of-omni-channel-retailing. </w:t>
      </w:r>
    </w:p>
  </w:footnote>
  <w:footnote w:id="7">
    <w:p w:rsidR="00955019" w:rsidRPr="009F47F9" w:rsidRDefault="00955019" w:rsidP="00912D1D">
      <w:pPr>
        <w:pStyle w:val="FootnoteText1"/>
        <w:rPr>
          <w:lang w:val="en-CA"/>
        </w:rPr>
      </w:pPr>
      <w:r w:rsidRPr="00AB6496">
        <w:rPr>
          <w:rStyle w:val="FootnoteReference"/>
        </w:rPr>
        <w:footnoteRef/>
      </w:r>
      <w:r w:rsidRPr="00AB6496">
        <w:t xml:space="preserve"> </w:t>
      </w:r>
      <w:r w:rsidRPr="00F30B4F">
        <w:t>Chuck Schaeffer, “</w:t>
      </w:r>
      <w:r w:rsidRPr="00AB6496">
        <w:t>How to Succeed in Omni-Channel Retailing:</w:t>
      </w:r>
      <w:r w:rsidRPr="00F30B4F">
        <w:t xml:space="preserve"> </w:t>
      </w:r>
      <w:r w:rsidRPr="00AB6496">
        <w:t xml:space="preserve">An Omni-Channel Strategy and Framework,” </w:t>
      </w:r>
      <w:proofErr w:type="spellStart"/>
      <w:r w:rsidRPr="00D11DC6">
        <w:t>CRMSea</w:t>
      </w:r>
      <w:r w:rsidRPr="005B789E">
        <w:t>rch</w:t>
      </w:r>
      <w:proofErr w:type="spellEnd"/>
      <w:r w:rsidRPr="005B789E">
        <w:t xml:space="preserve">, </w:t>
      </w:r>
      <w:r w:rsidRPr="00F30B4F">
        <w:t>accessed October 4, 2015, www.crmsearch.com/omnichannel.php#sthash.errEt0dn.dpuf.</w:t>
      </w:r>
    </w:p>
  </w:footnote>
  <w:footnote w:id="8">
    <w:p w:rsidR="00955019" w:rsidRPr="004964FE" w:rsidRDefault="00955019" w:rsidP="00912D1D">
      <w:pPr>
        <w:pStyle w:val="Footnote"/>
      </w:pPr>
      <w:r w:rsidRPr="004964FE">
        <w:rPr>
          <w:rStyle w:val="FootnoteReference"/>
        </w:rPr>
        <w:footnoteRef/>
      </w:r>
      <w:r w:rsidRPr="004964FE">
        <w:t xml:space="preserve"> All currency amounts are in CA$ unless otherwise specified.</w:t>
      </w:r>
    </w:p>
  </w:footnote>
  <w:footnote w:id="9">
    <w:p w:rsidR="00955019" w:rsidRPr="009F47F9" w:rsidRDefault="00955019" w:rsidP="00912D1D">
      <w:pPr>
        <w:pStyle w:val="FootnoteText1"/>
        <w:rPr>
          <w:lang w:val="en-CA"/>
        </w:rPr>
      </w:pPr>
      <w:r w:rsidRPr="009F47F9">
        <w:rPr>
          <w:rStyle w:val="FootnoteReference"/>
        </w:rPr>
        <w:footnoteRef/>
      </w:r>
      <w:r w:rsidRPr="009F47F9">
        <w:t xml:space="preserve"> </w:t>
      </w:r>
      <w:r>
        <w:t xml:space="preserve">L2ThinkTank.com, </w:t>
      </w:r>
      <w:proofErr w:type="spellStart"/>
      <w:r w:rsidRPr="009D70BC">
        <w:t>Omnichannel</w:t>
      </w:r>
      <w:proofErr w:type="spellEnd"/>
      <w:r w:rsidRPr="009D70BC">
        <w:t xml:space="preserve"> Retail: Canada: L2 Intelligence </w:t>
      </w:r>
      <w:proofErr w:type="gramStart"/>
      <w:r w:rsidRPr="009D70BC">
        <w:t>Report</w:t>
      </w:r>
      <w:r>
        <w:t>,</w:t>
      </w:r>
      <w:proofErr w:type="gramEnd"/>
      <w:r>
        <w:t xml:space="preserve"> accessed July 2, 2016, </w:t>
      </w:r>
      <w:r w:rsidRPr="009D70BC">
        <w:t>https://think.storage.googleapis.com/docs/omnichannel-retail-canada_researchstudy.pdf</w:t>
      </w:r>
      <w:r>
        <w:t>.</w:t>
      </w:r>
    </w:p>
  </w:footnote>
  <w:footnote w:id="10">
    <w:p w:rsidR="00955019" w:rsidRPr="009F47F9" w:rsidRDefault="00955019" w:rsidP="00912D1D">
      <w:pPr>
        <w:pStyle w:val="FootnoteText1"/>
        <w:rPr>
          <w:lang w:val="en-CA"/>
        </w:rPr>
      </w:pPr>
      <w:r w:rsidRPr="009F47F9">
        <w:rPr>
          <w:rStyle w:val="FootnoteReference"/>
        </w:rPr>
        <w:footnoteRef/>
      </w:r>
      <w:r w:rsidRPr="009F47F9">
        <w:t xml:space="preserve"> Michael Brown, </w:t>
      </w:r>
      <w:r w:rsidRPr="009D70BC">
        <w:t xml:space="preserve">On Solid Ground: Brick-and-Mortar </w:t>
      </w:r>
      <w:r>
        <w:t>I</w:t>
      </w:r>
      <w:r w:rsidRPr="009D70BC">
        <w:t xml:space="preserve">s the Foundation of </w:t>
      </w:r>
      <w:proofErr w:type="spellStart"/>
      <w:r w:rsidRPr="009D70BC">
        <w:t>Omnichannel</w:t>
      </w:r>
      <w:proofErr w:type="spellEnd"/>
      <w:r w:rsidRPr="009D70BC">
        <w:t xml:space="preserve"> Retailing</w:t>
      </w:r>
      <w:r w:rsidRPr="009F47F9">
        <w:t xml:space="preserve">, </w:t>
      </w:r>
      <w:r w:rsidRPr="008A6B1D">
        <w:t>A.T. Kearney, Inc.</w:t>
      </w:r>
      <w:r>
        <w:t xml:space="preserve">, accessed October 3, 2016, </w:t>
      </w:r>
      <w:r w:rsidRPr="00116015">
        <w:t xml:space="preserve">https://www.atkearney.com/documents/10192/4683364/On+Solid+Ground.pdf/f96d82ce-e40c-450d-97bb-884b017f4cd7. </w:t>
      </w:r>
    </w:p>
  </w:footnote>
  <w:footnote w:id="11">
    <w:p w:rsidR="00955019" w:rsidRPr="009F47F9" w:rsidRDefault="00955019" w:rsidP="00912D1D">
      <w:pPr>
        <w:pStyle w:val="FootnoteText1"/>
        <w:rPr>
          <w:lang w:val="en-CA"/>
        </w:rPr>
      </w:pPr>
      <w:r w:rsidRPr="009F47F9">
        <w:rPr>
          <w:rStyle w:val="FootnoteReference"/>
        </w:rPr>
        <w:footnoteRef/>
      </w:r>
      <w:r w:rsidRPr="009F47F9">
        <w:t xml:space="preserve"> </w:t>
      </w:r>
      <w:r w:rsidRPr="00AB6496">
        <w:t>Jennifer Van Grove and Shan Li</w:t>
      </w:r>
      <w:r>
        <w:t>, “</w:t>
      </w:r>
      <w:r w:rsidRPr="00AB6496">
        <w:t>Amazon to Open 2nd Physical Bookstore, This One in Southern California</w:t>
      </w:r>
      <w:r>
        <w:t>,”</w:t>
      </w:r>
      <w:r w:rsidRPr="00AB6496">
        <w:t xml:space="preserve"> </w:t>
      </w:r>
      <w:r w:rsidRPr="009D70BC">
        <w:t>Los Angeles Times</w:t>
      </w:r>
      <w:r>
        <w:t xml:space="preserve">, March 8, 2016, accessed October 10, 2016, </w:t>
      </w:r>
      <w:r w:rsidRPr="009F47F9">
        <w:t>www.latimes.com/business/la-fi-amazonbooks-malls-20160308-story.html</w:t>
      </w:r>
      <w:r>
        <w:t>.</w:t>
      </w:r>
    </w:p>
  </w:footnote>
  <w:footnote w:id="12">
    <w:p w:rsidR="00955019" w:rsidRPr="009F47F9" w:rsidRDefault="00955019" w:rsidP="00912D1D">
      <w:pPr>
        <w:pStyle w:val="FootnoteText1"/>
        <w:rPr>
          <w:lang w:val="en-CA"/>
        </w:rPr>
      </w:pPr>
      <w:r w:rsidRPr="009F47F9">
        <w:rPr>
          <w:rStyle w:val="FootnoteReference"/>
        </w:rPr>
        <w:footnoteRef/>
      </w:r>
      <w:r w:rsidRPr="009F47F9">
        <w:t xml:space="preserve"> </w:t>
      </w:r>
      <w:r>
        <w:t>Douglas Macmillan, “</w:t>
      </w:r>
      <w:proofErr w:type="spellStart"/>
      <w:r w:rsidRPr="00AB6496">
        <w:t>Warby</w:t>
      </w:r>
      <w:proofErr w:type="spellEnd"/>
      <w:r w:rsidRPr="00AB6496">
        <w:t xml:space="preserve"> Parker Adds Storefronts to Its Sales Strategy</w:t>
      </w:r>
      <w:r>
        <w:t xml:space="preserve">,” </w:t>
      </w:r>
      <w:r w:rsidRPr="009D70BC">
        <w:t>Wall Street Journal</w:t>
      </w:r>
      <w:r>
        <w:t xml:space="preserve">, November 17, 2014, accessed October 10, 2016, </w:t>
      </w:r>
      <w:r w:rsidRPr="009F47F9">
        <w:t>www.wsj.com/articles/warby-parker-adds-storefronts-to-its-sales-strategy-1416251866</w:t>
      </w:r>
      <w:r>
        <w:t>.</w:t>
      </w:r>
    </w:p>
  </w:footnote>
  <w:footnote w:id="13">
    <w:p w:rsidR="00955019" w:rsidRPr="00D11DC6" w:rsidRDefault="00955019" w:rsidP="00912D1D">
      <w:pPr>
        <w:pStyle w:val="FootnoteText"/>
        <w:rPr>
          <w:rFonts w:ascii="Arial" w:hAnsi="Arial" w:cs="Arial"/>
          <w:sz w:val="17"/>
          <w:szCs w:val="17"/>
          <w:lang w:val="en-CA"/>
        </w:rPr>
      </w:pPr>
      <w:r w:rsidRPr="00D11DC6">
        <w:rPr>
          <w:rStyle w:val="FootnoteReference"/>
          <w:rFonts w:ascii="Arial" w:hAnsi="Arial" w:cs="Arial"/>
          <w:sz w:val="17"/>
          <w:szCs w:val="17"/>
        </w:rPr>
        <w:footnoteRef/>
      </w:r>
      <w:r w:rsidRPr="00D11DC6">
        <w:rPr>
          <w:rFonts w:ascii="Arial" w:hAnsi="Arial" w:cs="Arial"/>
          <w:sz w:val="17"/>
          <w:szCs w:val="17"/>
        </w:rPr>
        <w:t xml:space="preserve"> “Virtual Fitting Room</w:t>
      </w:r>
      <w:r>
        <w:rPr>
          <w:rFonts w:ascii="Arial" w:hAnsi="Arial" w:cs="Arial"/>
          <w:sz w:val="17"/>
          <w:szCs w:val="17"/>
        </w:rPr>
        <w:t>—</w:t>
      </w:r>
      <w:proofErr w:type="spellStart"/>
      <w:r w:rsidRPr="00D11DC6">
        <w:rPr>
          <w:rFonts w:ascii="Arial" w:hAnsi="Arial" w:cs="Arial"/>
          <w:sz w:val="17"/>
          <w:szCs w:val="17"/>
        </w:rPr>
        <w:t>TryLive</w:t>
      </w:r>
      <w:proofErr w:type="spellEnd"/>
      <w:r w:rsidRPr="00D11DC6">
        <w:rPr>
          <w:rFonts w:ascii="Arial" w:hAnsi="Arial" w:cs="Arial"/>
          <w:sz w:val="17"/>
          <w:szCs w:val="17"/>
        </w:rPr>
        <w:t xml:space="preserve"> Eyewear by Total Immersion Augmented Reality,” YouTube video, 1:59, posted by “Total Immersion AR,” February 10, 2012, accessed December 16, 2016,</w:t>
      </w:r>
      <w:r w:rsidRPr="00D11DC6" w:rsidDel="00D11DC6">
        <w:rPr>
          <w:rFonts w:ascii="Arial" w:hAnsi="Arial" w:cs="Arial"/>
          <w:sz w:val="17"/>
          <w:szCs w:val="17"/>
        </w:rPr>
        <w:t xml:space="preserve"> </w:t>
      </w:r>
      <w:hyperlink r:id="rId1" w:history="1">
        <w:r w:rsidRPr="00D11DC6">
          <w:rPr>
            <w:rStyle w:val="Hyperlink"/>
            <w:rFonts w:ascii="Arial" w:hAnsi="Arial" w:cs="Arial"/>
            <w:color w:val="auto"/>
            <w:sz w:val="17"/>
            <w:szCs w:val="17"/>
            <w:u w:val="none"/>
          </w:rPr>
          <w:t>https://www.youtube.com/watch?v=kpwhjGOi5KQ</w:t>
        </w:r>
      </w:hyperlink>
      <w:r w:rsidRPr="00D11DC6">
        <w:rPr>
          <w:rFonts w:ascii="Arial" w:hAnsi="Arial" w:cs="Arial"/>
          <w:sz w:val="17"/>
          <w:szCs w:val="17"/>
        </w:rPr>
        <w:t xml:space="preserve">. </w:t>
      </w:r>
    </w:p>
  </w:footnote>
  <w:footnote w:id="14">
    <w:p w:rsidR="00955019" w:rsidRPr="00D669F8" w:rsidRDefault="00955019" w:rsidP="00912D1D">
      <w:pPr>
        <w:rPr>
          <w:lang w:val="en-CA"/>
        </w:rPr>
      </w:pPr>
      <w:r w:rsidRPr="00D11DC6">
        <w:rPr>
          <w:rStyle w:val="FootnoteReference"/>
          <w:rFonts w:ascii="Arial" w:hAnsi="Arial" w:cs="Arial"/>
          <w:sz w:val="17"/>
          <w:szCs w:val="17"/>
        </w:rPr>
        <w:footnoteRef/>
      </w:r>
      <w:r w:rsidRPr="00D11DC6">
        <w:rPr>
          <w:rFonts w:ascii="Arial" w:hAnsi="Arial" w:cs="Arial"/>
          <w:sz w:val="17"/>
          <w:szCs w:val="17"/>
        </w:rPr>
        <w:t xml:space="preserve"> David R. Bell, Santiago </w:t>
      </w:r>
      <w:proofErr w:type="spellStart"/>
      <w:r w:rsidRPr="00D11DC6">
        <w:rPr>
          <w:rFonts w:ascii="Arial" w:hAnsi="Arial" w:cs="Arial"/>
          <w:sz w:val="17"/>
          <w:szCs w:val="17"/>
        </w:rPr>
        <w:t>Gallino</w:t>
      </w:r>
      <w:proofErr w:type="spellEnd"/>
      <w:r w:rsidRPr="00D11DC6">
        <w:rPr>
          <w:rFonts w:ascii="Arial" w:hAnsi="Arial" w:cs="Arial"/>
          <w:sz w:val="17"/>
          <w:szCs w:val="17"/>
        </w:rPr>
        <w:t xml:space="preserve">, and Antonio Moreno, “How to Win in an Omni-Channel World,” </w:t>
      </w:r>
      <w:r w:rsidRPr="009D70BC">
        <w:rPr>
          <w:rFonts w:ascii="Arial" w:hAnsi="Arial" w:cs="Arial"/>
          <w:i/>
          <w:sz w:val="17"/>
          <w:szCs w:val="17"/>
        </w:rPr>
        <w:t>MIT Sloan Management Review</w:t>
      </w:r>
      <w:r w:rsidRPr="00D11DC6">
        <w:rPr>
          <w:rFonts w:ascii="Arial" w:hAnsi="Arial" w:cs="Arial"/>
          <w:sz w:val="17"/>
          <w:szCs w:val="17"/>
        </w:rPr>
        <w:t xml:space="preserve">, </w:t>
      </w:r>
      <w:proofErr w:type="gramStart"/>
      <w:r w:rsidRPr="00D11DC6">
        <w:rPr>
          <w:rFonts w:ascii="Arial" w:hAnsi="Arial" w:cs="Arial"/>
          <w:sz w:val="17"/>
          <w:szCs w:val="17"/>
        </w:rPr>
        <w:t>Fall</w:t>
      </w:r>
      <w:proofErr w:type="gramEnd"/>
      <w:r w:rsidRPr="00D11DC6">
        <w:rPr>
          <w:rFonts w:ascii="Arial" w:hAnsi="Arial" w:cs="Arial"/>
          <w:sz w:val="17"/>
          <w:szCs w:val="17"/>
        </w:rPr>
        <w:t xml:space="preserve"> 2014, 1–11. </w:t>
      </w:r>
      <w:proofErr w:type="gramStart"/>
      <w:r w:rsidRPr="00D11DC6">
        <w:rPr>
          <w:rFonts w:ascii="Arial" w:hAnsi="Arial" w:cs="Arial"/>
          <w:sz w:val="17"/>
          <w:szCs w:val="17"/>
        </w:rPr>
        <w:t>Available from Ivey Publishing, product</w:t>
      </w:r>
      <w:r>
        <w:rPr>
          <w:rFonts w:ascii="Arial" w:hAnsi="Arial" w:cs="Arial"/>
          <w:sz w:val="17"/>
          <w:szCs w:val="17"/>
        </w:rPr>
        <w:t xml:space="preserve"> no.</w:t>
      </w:r>
      <w:proofErr w:type="gramEnd"/>
      <w:r>
        <w:rPr>
          <w:rFonts w:ascii="Arial" w:hAnsi="Arial" w:cs="Arial"/>
          <w:sz w:val="17"/>
          <w:szCs w:val="17"/>
        </w:rPr>
        <w:t xml:space="preserve"> </w:t>
      </w:r>
      <w:r w:rsidRPr="00D11DC6">
        <w:rPr>
          <w:rFonts w:ascii="Arial" w:hAnsi="Arial" w:cs="Arial"/>
          <w:sz w:val="17"/>
          <w:szCs w:val="17"/>
        </w:rPr>
        <w:t>SMR56115</w:t>
      </w:r>
      <w:r>
        <w:rPr>
          <w:rFonts w:ascii="Arial" w:hAnsi="Arial" w:cs="Arial"/>
          <w:sz w:val="17"/>
          <w:szCs w:val="17"/>
        </w:rPr>
        <w:t>.</w:t>
      </w:r>
    </w:p>
  </w:footnote>
  <w:footnote w:id="15">
    <w:p w:rsidR="00955019" w:rsidRPr="0084353D" w:rsidRDefault="00955019" w:rsidP="00912D1D">
      <w:pPr>
        <w:pStyle w:val="FootnoteText"/>
        <w:rPr>
          <w:rFonts w:ascii="Arial" w:hAnsi="Arial" w:cs="Arial"/>
          <w:sz w:val="17"/>
          <w:szCs w:val="17"/>
          <w:lang w:val="en-CA"/>
        </w:rPr>
      </w:pPr>
      <w:r w:rsidRPr="0084353D">
        <w:rPr>
          <w:rStyle w:val="FootnoteReference"/>
          <w:rFonts w:ascii="Arial" w:hAnsi="Arial" w:cs="Arial"/>
          <w:sz w:val="17"/>
          <w:szCs w:val="17"/>
        </w:rPr>
        <w:footnoteRef/>
      </w:r>
      <w:r w:rsidRPr="0084353D">
        <w:rPr>
          <w:rFonts w:ascii="Arial" w:hAnsi="Arial" w:cs="Arial"/>
          <w:sz w:val="17"/>
          <w:szCs w:val="17"/>
        </w:rPr>
        <w:t xml:space="preserve"> </w:t>
      </w:r>
      <w:r>
        <w:rPr>
          <w:rFonts w:ascii="Arial" w:hAnsi="Arial" w:cs="Arial"/>
          <w:sz w:val="17"/>
          <w:szCs w:val="17"/>
        </w:rPr>
        <w:t>“</w:t>
      </w:r>
      <w:r w:rsidRPr="00BB07BC">
        <w:rPr>
          <w:rFonts w:ascii="Arial" w:hAnsi="Arial" w:cs="Arial"/>
          <w:sz w:val="17"/>
          <w:szCs w:val="17"/>
        </w:rPr>
        <w:t>Roy Hessel, The New Face of Clearly</w:t>
      </w:r>
      <w:r>
        <w:rPr>
          <w:rFonts w:ascii="Arial" w:hAnsi="Arial" w:cs="Arial"/>
          <w:sz w:val="17"/>
          <w:szCs w:val="17"/>
        </w:rPr>
        <w:t xml:space="preserve">,” YouTube video, 6:37, posted by “Clearly.ca,” </w:t>
      </w:r>
      <w:r w:rsidRPr="00BB07BC">
        <w:rPr>
          <w:rFonts w:ascii="Arial" w:hAnsi="Arial" w:cs="Arial"/>
          <w:sz w:val="17"/>
          <w:szCs w:val="17"/>
        </w:rPr>
        <w:t>Jul</w:t>
      </w:r>
      <w:r>
        <w:rPr>
          <w:rFonts w:ascii="Arial" w:hAnsi="Arial" w:cs="Arial"/>
          <w:sz w:val="17"/>
          <w:szCs w:val="17"/>
        </w:rPr>
        <w:t>y</w:t>
      </w:r>
      <w:r w:rsidRPr="00BB07BC">
        <w:rPr>
          <w:rFonts w:ascii="Arial" w:hAnsi="Arial" w:cs="Arial"/>
          <w:sz w:val="17"/>
          <w:szCs w:val="17"/>
        </w:rPr>
        <w:t xml:space="preserve"> 16, 2015</w:t>
      </w:r>
      <w:r>
        <w:rPr>
          <w:rFonts w:ascii="Arial" w:hAnsi="Arial" w:cs="Arial"/>
          <w:sz w:val="17"/>
          <w:szCs w:val="17"/>
        </w:rPr>
        <w:t xml:space="preserve">, </w:t>
      </w:r>
      <w:r w:rsidRPr="0084353D">
        <w:rPr>
          <w:rFonts w:ascii="Arial" w:hAnsi="Arial" w:cs="Arial"/>
          <w:sz w:val="17"/>
          <w:szCs w:val="17"/>
        </w:rPr>
        <w:t>accessed February 19, 2017</w:t>
      </w:r>
      <w:r>
        <w:rPr>
          <w:rFonts w:ascii="Arial" w:hAnsi="Arial" w:cs="Arial"/>
          <w:sz w:val="17"/>
          <w:szCs w:val="17"/>
        </w:rPr>
        <w:t xml:space="preserve">, </w:t>
      </w:r>
      <w:r w:rsidRPr="00116015">
        <w:rPr>
          <w:rFonts w:ascii="Arial" w:hAnsi="Arial" w:cs="Arial"/>
          <w:sz w:val="17"/>
          <w:szCs w:val="17"/>
        </w:rPr>
        <w:t>www.youtube.com/watch?v=sDga2gx9jXQ</w:t>
      </w:r>
      <w:r>
        <w:rPr>
          <w:rFonts w:ascii="Arial" w:hAnsi="Arial" w:cs="Arial"/>
          <w:sz w:val="17"/>
          <w:szCs w:val="17"/>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019" w:rsidRPr="00C92CC4" w:rsidRDefault="0095501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D46E8">
      <w:rPr>
        <w:rFonts w:ascii="Arial" w:hAnsi="Arial"/>
        <w:b/>
        <w:noProof/>
      </w:rPr>
      <w:t>2</w:t>
    </w:r>
    <w:r>
      <w:rPr>
        <w:rFonts w:ascii="Arial" w:hAnsi="Arial"/>
        <w:b/>
      </w:rPr>
      <w:fldChar w:fldCharType="end"/>
    </w:r>
    <w:r>
      <w:rPr>
        <w:rFonts w:ascii="Arial" w:hAnsi="Arial"/>
        <w:b/>
      </w:rPr>
      <w:tab/>
      <w:t>9B17A025</w:t>
    </w:r>
  </w:p>
  <w:p w:rsidR="00955019" w:rsidRDefault="00955019" w:rsidP="00D13667">
    <w:pPr>
      <w:pStyle w:val="Header"/>
      <w:tabs>
        <w:tab w:val="clear" w:pos="4680"/>
      </w:tabs>
      <w:rPr>
        <w:sz w:val="18"/>
        <w:szCs w:val="18"/>
      </w:rPr>
    </w:pPr>
  </w:p>
  <w:p w:rsidR="00955019" w:rsidRPr="00C92CC4" w:rsidRDefault="00955019"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ABF2B86"/>
    <w:multiLevelType w:val="hybridMultilevel"/>
    <w:tmpl w:val="7E50273E"/>
    <w:lvl w:ilvl="0" w:tplc="FC18D3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6"/>
  </w:num>
  <w:num w:numId="13">
    <w:abstractNumId w:val="15"/>
  </w:num>
  <w:num w:numId="14">
    <w:abstractNumId w:val="28"/>
  </w:num>
  <w:num w:numId="15">
    <w:abstractNumId w:val="37"/>
  </w:num>
  <w:num w:numId="16">
    <w:abstractNumId w:val="17"/>
  </w:num>
  <w:num w:numId="17">
    <w:abstractNumId w:val="24"/>
  </w:num>
  <w:num w:numId="18">
    <w:abstractNumId w:val="16"/>
  </w:num>
  <w:num w:numId="19">
    <w:abstractNumId w:val="20"/>
  </w:num>
  <w:num w:numId="20">
    <w:abstractNumId w:val="35"/>
  </w:num>
  <w:num w:numId="21">
    <w:abstractNumId w:val="26"/>
  </w:num>
  <w:num w:numId="22">
    <w:abstractNumId w:val="27"/>
  </w:num>
  <w:num w:numId="23">
    <w:abstractNumId w:val="10"/>
  </w:num>
  <w:num w:numId="24">
    <w:abstractNumId w:val="13"/>
  </w:num>
  <w:num w:numId="25">
    <w:abstractNumId w:val="38"/>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 w:numId="40">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C5355"/>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B5473"/>
    <w:rsid w:val="001C7777"/>
    <w:rsid w:val="001E364F"/>
    <w:rsid w:val="00203AA1"/>
    <w:rsid w:val="00213E98"/>
    <w:rsid w:val="0023081A"/>
    <w:rsid w:val="002F460C"/>
    <w:rsid w:val="002F48D6"/>
    <w:rsid w:val="00312EE7"/>
    <w:rsid w:val="00317391"/>
    <w:rsid w:val="00326216"/>
    <w:rsid w:val="00336580"/>
    <w:rsid w:val="00354899"/>
    <w:rsid w:val="00355FD6"/>
    <w:rsid w:val="00364A5C"/>
    <w:rsid w:val="00373FB1"/>
    <w:rsid w:val="00396C76"/>
    <w:rsid w:val="003B30D8"/>
    <w:rsid w:val="003B7EF2"/>
    <w:rsid w:val="003C3CF2"/>
    <w:rsid w:val="003C3FA4"/>
    <w:rsid w:val="003F2B0C"/>
    <w:rsid w:val="004105B2"/>
    <w:rsid w:val="004221E4"/>
    <w:rsid w:val="004273F8"/>
    <w:rsid w:val="004355A3"/>
    <w:rsid w:val="00446546"/>
    <w:rsid w:val="00452769"/>
    <w:rsid w:val="00465348"/>
    <w:rsid w:val="00474E8C"/>
    <w:rsid w:val="004A12E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D46E8"/>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81400"/>
    <w:rsid w:val="008A4DC4"/>
    <w:rsid w:val="008B438C"/>
    <w:rsid w:val="008D3A46"/>
    <w:rsid w:val="008E3DDD"/>
    <w:rsid w:val="009067A4"/>
    <w:rsid w:val="00912D1D"/>
    <w:rsid w:val="00933D68"/>
    <w:rsid w:val="009340DB"/>
    <w:rsid w:val="0094618C"/>
    <w:rsid w:val="00955019"/>
    <w:rsid w:val="0095684B"/>
    <w:rsid w:val="00972498"/>
    <w:rsid w:val="0097481F"/>
    <w:rsid w:val="00974CC6"/>
    <w:rsid w:val="00976AD4"/>
    <w:rsid w:val="00995547"/>
    <w:rsid w:val="009A312F"/>
    <w:rsid w:val="009A5348"/>
    <w:rsid w:val="009B0AB7"/>
    <w:rsid w:val="009B378C"/>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46FB7"/>
    <w:rsid w:val="00C67102"/>
    <w:rsid w:val="00C81491"/>
    <w:rsid w:val="00C81676"/>
    <w:rsid w:val="00C85C5D"/>
    <w:rsid w:val="00C92CC4"/>
    <w:rsid w:val="00CA0AFB"/>
    <w:rsid w:val="00CA2CE1"/>
    <w:rsid w:val="00CA3976"/>
    <w:rsid w:val="00CA50E3"/>
    <w:rsid w:val="00CA63FD"/>
    <w:rsid w:val="00CA757B"/>
    <w:rsid w:val="00CC1787"/>
    <w:rsid w:val="00CC182C"/>
    <w:rsid w:val="00CD0824"/>
    <w:rsid w:val="00CD2908"/>
    <w:rsid w:val="00D03A82"/>
    <w:rsid w:val="00D13667"/>
    <w:rsid w:val="00D15344"/>
    <w:rsid w:val="00D23F57"/>
    <w:rsid w:val="00D27B84"/>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77176"/>
    <w:rsid w:val="00EC6E0A"/>
    <w:rsid w:val="00ED4E18"/>
    <w:rsid w:val="00EE1F37"/>
    <w:rsid w:val="00F0159C"/>
    <w:rsid w:val="00F06805"/>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0680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MediumGrid2Char">
    <w:name w:val="Medium Grid 2 Char"/>
    <w:link w:val="MediumGrid2"/>
    <w:uiPriority w:val="1"/>
    <w:rsid w:val="00912D1D"/>
    <w:rPr>
      <w:sz w:val="22"/>
      <w:szCs w:val="22"/>
      <w:lang w:val="en-IN" w:eastAsia="en-US" w:bidi="ar-SA"/>
    </w:rPr>
  </w:style>
  <w:style w:type="paragraph" w:customStyle="1" w:styleId="Default">
    <w:name w:val="Default"/>
    <w:rsid w:val="00912D1D"/>
    <w:pPr>
      <w:autoSpaceDE w:val="0"/>
      <w:autoSpaceDN w:val="0"/>
      <w:adjustRightInd w:val="0"/>
      <w:spacing w:after="0" w:line="240" w:lineRule="auto"/>
    </w:pPr>
    <w:rPr>
      <w:rFonts w:ascii="Verdana" w:eastAsia="Calibri" w:hAnsi="Verdana" w:cs="Verdana"/>
      <w:color w:val="000000"/>
      <w:sz w:val="24"/>
      <w:szCs w:val="24"/>
    </w:rPr>
  </w:style>
  <w:style w:type="character" w:styleId="HTMLCite">
    <w:name w:val="HTML Cite"/>
    <w:uiPriority w:val="99"/>
    <w:semiHidden/>
    <w:unhideWhenUsed/>
    <w:rsid w:val="00912D1D"/>
    <w:rPr>
      <w:i/>
      <w:iCs/>
    </w:rPr>
  </w:style>
  <w:style w:type="paragraph" w:customStyle="1" w:styleId="AutoCorrect">
    <w:name w:val="AutoCorrect"/>
    <w:rsid w:val="00912D1D"/>
    <w:rPr>
      <w:rFonts w:ascii="Calibri" w:eastAsia="Times New Roman" w:hAnsi="Calibri" w:cs="Times New Roman"/>
    </w:rPr>
  </w:style>
  <w:style w:type="character" w:customStyle="1" w:styleId="A1">
    <w:name w:val="A1"/>
    <w:uiPriority w:val="99"/>
    <w:rsid w:val="00912D1D"/>
    <w:rPr>
      <w:rFonts w:cs="Xerox Sans"/>
      <w:color w:val="000000"/>
      <w:sz w:val="20"/>
      <w:szCs w:val="20"/>
    </w:rPr>
  </w:style>
  <w:style w:type="paragraph" w:customStyle="1" w:styleId="ecxmsonormal">
    <w:name w:val="ecxmsonormal"/>
    <w:basedOn w:val="Normal"/>
    <w:rsid w:val="00912D1D"/>
    <w:pPr>
      <w:spacing w:before="100" w:beforeAutospacing="1" w:after="100" w:afterAutospacing="1"/>
    </w:pPr>
    <w:rPr>
      <w:sz w:val="24"/>
      <w:szCs w:val="24"/>
    </w:rPr>
  </w:style>
  <w:style w:type="paragraph" w:customStyle="1" w:styleId="Pa7">
    <w:name w:val="Pa7"/>
    <w:basedOn w:val="Default"/>
    <w:next w:val="Default"/>
    <w:uiPriority w:val="99"/>
    <w:rsid w:val="00912D1D"/>
    <w:pPr>
      <w:spacing w:line="196" w:lineRule="atLeast"/>
    </w:pPr>
    <w:rPr>
      <w:rFonts w:ascii="Minion Pro" w:hAnsi="Minion Pro" w:cs="Times New Roman"/>
      <w:color w:val="auto"/>
    </w:rPr>
  </w:style>
  <w:style w:type="paragraph" w:customStyle="1" w:styleId="body-paragraph">
    <w:name w:val="body-paragraph"/>
    <w:basedOn w:val="Normal"/>
    <w:rsid w:val="00912D1D"/>
    <w:pPr>
      <w:spacing w:before="100" w:beforeAutospacing="1" w:after="100" w:afterAutospacing="1"/>
    </w:pPr>
    <w:rPr>
      <w:sz w:val="24"/>
      <w:szCs w:val="24"/>
    </w:rPr>
  </w:style>
  <w:style w:type="character" w:customStyle="1" w:styleId="A2">
    <w:name w:val="A2"/>
    <w:uiPriority w:val="99"/>
    <w:rsid w:val="00912D1D"/>
    <w:rPr>
      <w:rFonts w:cs="Pratt Pro"/>
      <w:color w:val="000000"/>
      <w:sz w:val="20"/>
      <w:szCs w:val="20"/>
    </w:rPr>
  </w:style>
  <w:style w:type="character" w:customStyle="1" w:styleId="A3">
    <w:name w:val="A3"/>
    <w:uiPriority w:val="99"/>
    <w:rsid w:val="00912D1D"/>
    <w:rPr>
      <w:rFonts w:cs="Pratt Pro"/>
      <w:color w:val="000000"/>
      <w:sz w:val="11"/>
      <w:szCs w:val="11"/>
    </w:rPr>
  </w:style>
  <w:style w:type="character" w:customStyle="1" w:styleId="A4">
    <w:name w:val="A4"/>
    <w:uiPriority w:val="99"/>
    <w:rsid w:val="00912D1D"/>
    <w:rPr>
      <w:rFonts w:cs="Pratt Pro"/>
      <w:color w:val="000000"/>
      <w:sz w:val="20"/>
      <w:szCs w:val="20"/>
    </w:rPr>
  </w:style>
  <w:style w:type="table" w:styleId="MediumGrid2">
    <w:name w:val="Medium Grid 2"/>
    <w:basedOn w:val="TableNormal"/>
    <w:link w:val="MediumGrid2Char"/>
    <w:uiPriority w:val="1"/>
    <w:rsid w:val="00912D1D"/>
    <w:pPr>
      <w:spacing w:after="0" w:line="240" w:lineRule="auto"/>
    </w:pPr>
    <w:rPr>
      <w:lang w:val="en-I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0680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MediumGrid2Char">
    <w:name w:val="Medium Grid 2 Char"/>
    <w:link w:val="MediumGrid2"/>
    <w:uiPriority w:val="1"/>
    <w:rsid w:val="00912D1D"/>
    <w:rPr>
      <w:sz w:val="22"/>
      <w:szCs w:val="22"/>
      <w:lang w:val="en-IN" w:eastAsia="en-US" w:bidi="ar-SA"/>
    </w:rPr>
  </w:style>
  <w:style w:type="paragraph" w:customStyle="1" w:styleId="Default">
    <w:name w:val="Default"/>
    <w:rsid w:val="00912D1D"/>
    <w:pPr>
      <w:autoSpaceDE w:val="0"/>
      <w:autoSpaceDN w:val="0"/>
      <w:adjustRightInd w:val="0"/>
      <w:spacing w:after="0" w:line="240" w:lineRule="auto"/>
    </w:pPr>
    <w:rPr>
      <w:rFonts w:ascii="Verdana" w:eastAsia="Calibri" w:hAnsi="Verdana" w:cs="Verdana"/>
      <w:color w:val="000000"/>
      <w:sz w:val="24"/>
      <w:szCs w:val="24"/>
    </w:rPr>
  </w:style>
  <w:style w:type="character" w:styleId="HTMLCite">
    <w:name w:val="HTML Cite"/>
    <w:uiPriority w:val="99"/>
    <w:semiHidden/>
    <w:unhideWhenUsed/>
    <w:rsid w:val="00912D1D"/>
    <w:rPr>
      <w:i/>
      <w:iCs/>
    </w:rPr>
  </w:style>
  <w:style w:type="paragraph" w:customStyle="1" w:styleId="AutoCorrect">
    <w:name w:val="AutoCorrect"/>
    <w:rsid w:val="00912D1D"/>
    <w:rPr>
      <w:rFonts w:ascii="Calibri" w:eastAsia="Times New Roman" w:hAnsi="Calibri" w:cs="Times New Roman"/>
    </w:rPr>
  </w:style>
  <w:style w:type="character" w:customStyle="1" w:styleId="A1">
    <w:name w:val="A1"/>
    <w:uiPriority w:val="99"/>
    <w:rsid w:val="00912D1D"/>
    <w:rPr>
      <w:rFonts w:cs="Xerox Sans"/>
      <w:color w:val="000000"/>
      <w:sz w:val="20"/>
      <w:szCs w:val="20"/>
    </w:rPr>
  </w:style>
  <w:style w:type="paragraph" w:customStyle="1" w:styleId="ecxmsonormal">
    <w:name w:val="ecxmsonormal"/>
    <w:basedOn w:val="Normal"/>
    <w:rsid w:val="00912D1D"/>
    <w:pPr>
      <w:spacing w:before="100" w:beforeAutospacing="1" w:after="100" w:afterAutospacing="1"/>
    </w:pPr>
    <w:rPr>
      <w:sz w:val="24"/>
      <w:szCs w:val="24"/>
    </w:rPr>
  </w:style>
  <w:style w:type="paragraph" w:customStyle="1" w:styleId="Pa7">
    <w:name w:val="Pa7"/>
    <w:basedOn w:val="Default"/>
    <w:next w:val="Default"/>
    <w:uiPriority w:val="99"/>
    <w:rsid w:val="00912D1D"/>
    <w:pPr>
      <w:spacing w:line="196" w:lineRule="atLeast"/>
    </w:pPr>
    <w:rPr>
      <w:rFonts w:ascii="Minion Pro" w:hAnsi="Minion Pro" w:cs="Times New Roman"/>
      <w:color w:val="auto"/>
    </w:rPr>
  </w:style>
  <w:style w:type="paragraph" w:customStyle="1" w:styleId="body-paragraph">
    <w:name w:val="body-paragraph"/>
    <w:basedOn w:val="Normal"/>
    <w:rsid w:val="00912D1D"/>
    <w:pPr>
      <w:spacing w:before="100" w:beforeAutospacing="1" w:after="100" w:afterAutospacing="1"/>
    </w:pPr>
    <w:rPr>
      <w:sz w:val="24"/>
      <w:szCs w:val="24"/>
    </w:rPr>
  </w:style>
  <w:style w:type="character" w:customStyle="1" w:styleId="A2">
    <w:name w:val="A2"/>
    <w:uiPriority w:val="99"/>
    <w:rsid w:val="00912D1D"/>
    <w:rPr>
      <w:rFonts w:cs="Pratt Pro"/>
      <w:color w:val="000000"/>
      <w:sz w:val="20"/>
      <w:szCs w:val="20"/>
    </w:rPr>
  </w:style>
  <w:style w:type="character" w:customStyle="1" w:styleId="A3">
    <w:name w:val="A3"/>
    <w:uiPriority w:val="99"/>
    <w:rsid w:val="00912D1D"/>
    <w:rPr>
      <w:rFonts w:cs="Pratt Pro"/>
      <w:color w:val="000000"/>
      <w:sz w:val="11"/>
      <w:szCs w:val="11"/>
    </w:rPr>
  </w:style>
  <w:style w:type="character" w:customStyle="1" w:styleId="A4">
    <w:name w:val="A4"/>
    <w:uiPriority w:val="99"/>
    <w:rsid w:val="00912D1D"/>
    <w:rPr>
      <w:rFonts w:cs="Pratt Pro"/>
      <w:color w:val="000000"/>
      <w:sz w:val="20"/>
      <w:szCs w:val="20"/>
    </w:rPr>
  </w:style>
  <w:style w:type="table" w:styleId="MediumGrid2">
    <w:name w:val="Medium Grid 2"/>
    <w:basedOn w:val="TableNormal"/>
    <w:link w:val="MediumGrid2Char"/>
    <w:uiPriority w:val="1"/>
    <w:rsid w:val="00912D1D"/>
    <w:pPr>
      <w:spacing w:after="0" w:line="240" w:lineRule="auto"/>
    </w:pPr>
    <w:rPr>
      <w:lang w:val="en-I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7620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kpwhjGOi5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77601-167B-4512-BFCF-FDDC3605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3976</Words>
  <Characters>22666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14</cp:revision>
  <cp:lastPrinted>2015-03-04T20:34:00Z</cp:lastPrinted>
  <dcterms:created xsi:type="dcterms:W3CDTF">2017-05-09T18:10:00Z</dcterms:created>
  <dcterms:modified xsi:type="dcterms:W3CDTF">2017-06-16T13:32:00Z</dcterms:modified>
</cp:coreProperties>
</file>