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12760" w14:textId="77777777" w:rsidR="00A6084A" w:rsidRPr="00BC434A" w:rsidRDefault="00A6084A" w:rsidP="00B65245">
      <w:pPr>
        <w:tabs>
          <w:tab w:val="right" w:pos="9360"/>
        </w:tabs>
        <w:autoSpaceDE w:val="0"/>
        <w:autoSpaceDN w:val="0"/>
        <w:adjustRightInd w:val="0"/>
        <w:jc w:val="both"/>
        <w:textAlignment w:val="center"/>
        <w:rPr>
          <w:rFonts w:ascii="Arial" w:hAnsi="Arial"/>
          <w:i/>
          <w:iCs/>
          <w:color w:val="000000"/>
          <w:sz w:val="16"/>
        </w:rPr>
      </w:pPr>
      <w:r w:rsidRPr="00BC434A">
        <w:rPr>
          <w:rFonts w:ascii="Arial" w:hAnsi="Arial" w:cs="Arial"/>
          <w:b/>
          <w:noProof/>
          <w:sz w:val="24"/>
          <w:szCs w:val="16"/>
          <w:lang w:val="en-CA" w:eastAsia="en-CA"/>
        </w:rPr>
        <w:drawing>
          <wp:inline distT="0" distB="0" distL="0" distR="0" wp14:anchorId="1F30870A" wp14:editId="23B93EB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97790DD" w14:textId="77777777" w:rsidR="00856D9F" w:rsidRPr="00BC434A" w:rsidRDefault="00856D9F" w:rsidP="008467D5">
      <w:pPr>
        <w:pBdr>
          <w:bottom w:val="single" w:sz="18" w:space="1" w:color="auto"/>
        </w:pBdr>
        <w:tabs>
          <w:tab w:val="left" w:pos="-1440"/>
          <w:tab w:val="left" w:pos="-720"/>
          <w:tab w:val="left" w:pos="1"/>
        </w:tabs>
        <w:jc w:val="both"/>
        <w:rPr>
          <w:rFonts w:ascii="Arial" w:hAnsi="Arial"/>
          <w:b/>
          <w:sz w:val="24"/>
        </w:rPr>
      </w:pPr>
    </w:p>
    <w:p w14:paraId="0AFD4B5A" w14:textId="2DCE91E6" w:rsidR="00D75295" w:rsidRPr="00BC434A" w:rsidRDefault="00CB562F" w:rsidP="00F105B7">
      <w:pPr>
        <w:pStyle w:val="ProductNumber"/>
      </w:pPr>
      <w:r w:rsidRPr="00BC434A">
        <w:t>9B17A039</w:t>
      </w:r>
    </w:p>
    <w:p w14:paraId="32405FBD" w14:textId="77777777" w:rsidR="00D75295" w:rsidRPr="00BC434A" w:rsidRDefault="00D75295" w:rsidP="00D75295">
      <w:pPr>
        <w:jc w:val="right"/>
        <w:rPr>
          <w:rFonts w:ascii="Arial" w:hAnsi="Arial"/>
          <w:b/>
          <w:sz w:val="28"/>
          <w:szCs w:val="28"/>
        </w:rPr>
      </w:pPr>
    </w:p>
    <w:p w14:paraId="6AA5974C" w14:textId="77777777" w:rsidR="00866F6D" w:rsidRPr="00BC434A" w:rsidRDefault="00866F6D" w:rsidP="00D75295">
      <w:pPr>
        <w:jc w:val="right"/>
        <w:rPr>
          <w:rFonts w:ascii="Arial" w:hAnsi="Arial"/>
          <w:b/>
          <w:sz w:val="28"/>
          <w:szCs w:val="28"/>
        </w:rPr>
      </w:pPr>
    </w:p>
    <w:p w14:paraId="32253DB1" w14:textId="3FB8CD0D" w:rsidR="00013360" w:rsidRPr="003A3DD0" w:rsidRDefault="008E599A" w:rsidP="003A3DD0">
      <w:pPr>
        <w:autoSpaceDE w:val="0"/>
        <w:autoSpaceDN w:val="0"/>
        <w:adjustRightInd w:val="0"/>
        <w:textAlignment w:val="center"/>
        <w:rPr>
          <w:rFonts w:ascii="Arial" w:eastAsiaTheme="minorHAnsi" w:hAnsi="Arial" w:cs="Arial"/>
          <w:b/>
          <w:bCs/>
          <w:caps/>
          <w:color w:val="000000"/>
        </w:rPr>
      </w:pPr>
      <w:r w:rsidRPr="00BC434A">
        <w:rPr>
          <w:rFonts w:ascii="Arial" w:eastAsiaTheme="minorHAnsi" w:hAnsi="Arial" w:cs="Arial"/>
          <w:b/>
          <w:bCs/>
          <w:caps/>
          <w:color w:val="000000"/>
          <w:sz w:val="28"/>
          <w:szCs w:val="28"/>
        </w:rPr>
        <w:t>KITKAT IN JA</w:t>
      </w:r>
      <w:r w:rsidR="009E0E12" w:rsidRPr="00BC434A">
        <w:rPr>
          <w:rFonts w:ascii="Arial" w:eastAsiaTheme="minorHAnsi" w:hAnsi="Arial" w:cs="Arial"/>
          <w:b/>
          <w:bCs/>
          <w:caps/>
          <w:color w:val="000000"/>
          <w:sz w:val="28"/>
          <w:szCs w:val="28"/>
        </w:rPr>
        <w:t xml:space="preserve">PAN (C): </w:t>
      </w:r>
      <w:r w:rsidR="0048486D" w:rsidRPr="00BC434A">
        <w:rPr>
          <w:rFonts w:ascii="Arial" w:eastAsiaTheme="minorHAnsi" w:hAnsi="Arial" w:cs="Arial"/>
          <w:b/>
          <w:bCs/>
          <w:caps/>
          <w:color w:val="000000"/>
          <w:sz w:val="28"/>
          <w:szCs w:val="28"/>
        </w:rPr>
        <w:t xml:space="preserve">power of </w:t>
      </w:r>
      <w:r w:rsidR="00BC434A" w:rsidRPr="00BC434A">
        <w:rPr>
          <w:rFonts w:ascii="Arial" w:eastAsiaTheme="minorHAnsi" w:hAnsi="Arial" w:cs="Arial"/>
          <w:b/>
          <w:bCs/>
          <w:caps/>
          <w:color w:val="000000"/>
          <w:sz w:val="28"/>
          <w:szCs w:val="28"/>
        </w:rPr>
        <w:t xml:space="preserve">the </w:t>
      </w:r>
      <w:r w:rsidR="0048486D" w:rsidRPr="00BC434A">
        <w:rPr>
          <w:rFonts w:ascii="Arial" w:eastAsiaTheme="minorHAnsi" w:hAnsi="Arial" w:cs="Arial"/>
          <w:b/>
          <w:bCs/>
          <w:caps/>
          <w:color w:val="000000"/>
          <w:sz w:val="28"/>
          <w:szCs w:val="28"/>
        </w:rPr>
        <w:t>postal service</w:t>
      </w:r>
    </w:p>
    <w:p w14:paraId="59BC77C1" w14:textId="77777777" w:rsidR="00CA3976" w:rsidRPr="00BC434A" w:rsidRDefault="00CA3976" w:rsidP="00013360">
      <w:pPr>
        <w:pStyle w:val="CaseTitle"/>
        <w:spacing w:after="0" w:line="240" w:lineRule="auto"/>
        <w:rPr>
          <w:sz w:val="20"/>
          <w:szCs w:val="20"/>
        </w:rPr>
      </w:pPr>
    </w:p>
    <w:p w14:paraId="2E4B19C1" w14:textId="77777777" w:rsidR="00013360" w:rsidRPr="00BC434A" w:rsidRDefault="00013360" w:rsidP="00013360">
      <w:pPr>
        <w:pStyle w:val="CaseTitle"/>
        <w:spacing w:after="0" w:line="240" w:lineRule="auto"/>
        <w:rPr>
          <w:sz w:val="20"/>
          <w:szCs w:val="20"/>
        </w:rPr>
      </w:pPr>
    </w:p>
    <w:p w14:paraId="1227D782" w14:textId="313FEAC7" w:rsidR="00013360" w:rsidRPr="00BC434A" w:rsidRDefault="006E0587" w:rsidP="00104567">
      <w:pPr>
        <w:pStyle w:val="StyleCopyrightStatementAfter0ptBottomSinglesolidline1"/>
      </w:pPr>
      <w:r w:rsidRPr="00BC434A">
        <w:t xml:space="preserve">Philip Sugai </w:t>
      </w:r>
      <w:r w:rsidR="007E5921" w:rsidRPr="00BC434A">
        <w:t>wrote this case sol</w:t>
      </w:r>
      <w:r w:rsidR="00D75295" w:rsidRPr="00BC434A">
        <w:t>ely to provide material for class discussion. The</w:t>
      </w:r>
      <w:r w:rsidR="00346751" w:rsidRPr="00BC434A">
        <w:t xml:space="preserve"> author</w:t>
      </w:r>
      <w:r w:rsidR="00D75295" w:rsidRPr="00BC434A">
        <w:t xml:space="preserve"> do</w:t>
      </w:r>
      <w:r w:rsidR="00346751" w:rsidRPr="00BC434A">
        <w:t>es</w:t>
      </w:r>
      <w:r w:rsidR="00D75295" w:rsidRPr="00BC434A">
        <w:t xml:space="preserve"> not intend to illustrate either effective or ineffective handling of a m</w:t>
      </w:r>
      <w:r w:rsidR="00B13852" w:rsidRPr="00BC434A">
        <w:t>anagerial situation. The author</w:t>
      </w:r>
      <w:r w:rsidR="00D75295" w:rsidRPr="00BC434A">
        <w:t xml:space="preserve"> may have disguised certain names and other identifying information to protect confidentiality.</w:t>
      </w:r>
    </w:p>
    <w:p w14:paraId="1D835A44" w14:textId="77777777" w:rsidR="00013360" w:rsidRPr="00BC434A" w:rsidRDefault="00013360" w:rsidP="00104567">
      <w:pPr>
        <w:pStyle w:val="StyleCopyrightStatementAfter0ptBottomSinglesolidline1"/>
      </w:pPr>
    </w:p>
    <w:p w14:paraId="14A788D0" w14:textId="2249FA01" w:rsidR="00A6084A" w:rsidRPr="00BC434A" w:rsidRDefault="00A6084A" w:rsidP="00B65245">
      <w:pPr>
        <w:tabs>
          <w:tab w:val="right" w:pos="9360"/>
        </w:tabs>
        <w:autoSpaceDE w:val="0"/>
        <w:autoSpaceDN w:val="0"/>
        <w:adjustRightInd w:val="0"/>
        <w:jc w:val="both"/>
        <w:textAlignment w:val="center"/>
        <w:rPr>
          <w:rFonts w:ascii="Arial" w:hAnsi="Arial"/>
          <w:i/>
          <w:iCs/>
          <w:color w:val="000000"/>
          <w:sz w:val="16"/>
        </w:rPr>
      </w:pPr>
      <w:r w:rsidRPr="00BC434A">
        <w:rPr>
          <w:rFonts w:ascii="Arial" w:hAnsi="Arial"/>
          <w:i/>
          <w:iCs/>
          <w:color w:val="000000"/>
          <w:sz w:val="16"/>
        </w:rPr>
        <w:t>This publication may not be transmitted, photocopied, digitized</w:t>
      </w:r>
      <w:r w:rsidR="004A7358" w:rsidRPr="00BC434A">
        <w:rPr>
          <w:rFonts w:ascii="Arial" w:hAnsi="Arial"/>
          <w:i/>
          <w:iCs/>
          <w:color w:val="000000"/>
          <w:sz w:val="16"/>
        </w:rPr>
        <w:t>,</w:t>
      </w:r>
      <w:r w:rsidRPr="00BC434A">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BC434A">
          <w:rPr>
            <w:rFonts w:ascii="Arial" w:hAnsi="Arial"/>
            <w:i/>
            <w:iCs/>
            <w:color w:val="000000"/>
            <w:sz w:val="16"/>
          </w:rPr>
          <w:t>cases@ivey.ca</w:t>
        </w:r>
      </w:hyperlink>
      <w:r w:rsidRPr="00BC434A">
        <w:rPr>
          <w:rFonts w:ascii="Arial" w:hAnsi="Arial"/>
          <w:i/>
          <w:iCs/>
          <w:color w:val="000000"/>
          <w:sz w:val="16"/>
        </w:rPr>
        <w:t xml:space="preserve">; </w:t>
      </w:r>
      <w:hyperlink r:id="rId10" w:history="1">
        <w:r w:rsidRPr="00BC434A">
          <w:rPr>
            <w:rFonts w:ascii="Arial" w:hAnsi="Arial"/>
            <w:i/>
            <w:iCs/>
            <w:color w:val="000000"/>
            <w:sz w:val="16"/>
          </w:rPr>
          <w:t>www.iveycases.com</w:t>
        </w:r>
      </w:hyperlink>
      <w:r w:rsidRPr="00BC434A">
        <w:rPr>
          <w:rFonts w:ascii="Arial" w:hAnsi="Arial"/>
          <w:i/>
          <w:iCs/>
          <w:color w:val="000000"/>
          <w:sz w:val="16"/>
        </w:rPr>
        <w:t>.</w:t>
      </w:r>
    </w:p>
    <w:p w14:paraId="7A384BFB" w14:textId="77777777" w:rsidR="00A6084A" w:rsidRPr="00BC434A" w:rsidRDefault="00A6084A" w:rsidP="00B65245">
      <w:pPr>
        <w:tabs>
          <w:tab w:val="right" w:pos="9360"/>
        </w:tabs>
        <w:autoSpaceDE w:val="0"/>
        <w:autoSpaceDN w:val="0"/>
        <w:adjustRightInd w:val="0"/>
        <w:jc w:val="both"/>
        <w:textAlignment w:val="center"/>
        <w:rPr>
          <w:rFonts w:ascii="Arial" w:hAnsi="Arial"/>
          <w:i/>
          <w:iCs/>
          <w:color w:val="000000"/>
          <w:sz w:val="16"/>
        </w:rPr>
      </w:pPr>
    </w:p>
    <w:p w14:paraId="34F55CF6" w14:textId="79FFA1D6" w:rsidR="003B7EF2" w:rsidRPr="00BC434A" w:rsidRDefault="00A6084A" w:rsidP="001C684A">
      <w:pPr>
        <w:tabs>
          <w:tab w:val="right" w:pos="9360"/>
        </w:tabs>
        <w:autoSpaceDE w:val="0"/>
        <w:autoSpaceDN w:val="0"/>
        <w:adjustRightInd w:val="0"/>
        <w:jc w:val="both"/>
        <w:textAlignment w:val="center"/>
        <w:rPr>
          <w:rFonts w:ascii="Arial" w:hAnsi="Arial"/>
          <w:i/>
          <w:iCs/>
          <w:color w:val="000000"/>
          <w:sz w:val="16"/>
        </w:rPr>
      </w:pPr>
      <w:r w:rsidRPr="00BC434A">
        <w:rPr>
          <w:rFonts w:ascii="Arial" w:hAnsi="Arial"/>
          <w:i/>
          <w:iCs/>
          <w:color w:val="000000"/>
          <w:sz w:val="16"/>
        </w:rPr>
        <w:t>Copyright © 2017, Richard Ivey School of Business Foundation</w:t>
      </w:r>
      <w:r w:rsidR="003B7EF2" w:rsidRPr="00BC434A">
        <w:tab/>
      </w:r>
      <w:r w:rsidR="003B7EF2" w:rsidRPr="00BC434A">
        <w:rPr>
          <w:rFonts w:ascii="Arial" w:hAnsi="Arial" w:cs="Arial"/>
          <w:i/>
          <w:sz w:val="16"/>
        </w:rPr>
        <w:t xml:space="preserve">Version: </w:t>
      </w:r>
      <w:r w:rsidR="00361C8E" w:rsidRPr="00BC434A">
        <w:rPr>
          <w:rFonts w:ascii="Arial" w:hAnsi="Arial" w:cs="Arial"/>
          <w:i/>
          <w:sz w:val="16"/>
        </w:rPr>
        <w:t>201</w:t>
      </w:r>
      <w:r w:rsidR="007F51FC" w:rsidRPr="00BC434A">
        <w:rPr>
          <w:rFonts w:ascii="Arial" w:hAnsi="Arial" w:cs="Arial"/>
          <w:i/>
          <w:sz w:val="16"/>
        </w:rPr>
        <w:t>7</w:t>
      </w:r>
      <w:r w:rsidR="00361C8E" w:rsidRPr="00BC434A">
        <w:rPr>
          <w:rFonts w:ascii="Arial" w:hAnsi="Arial" w:cs="Arial"/>
          <w:i/>
          <w:sz w:val="16"/>
        </w:rPr>
        <w:t>-</w:t>
      </w:r>
      <w:r w:rsidR="006E0587" w:rsidRPr="00BC434A">
        <w:rPr>
          <w:rFonts w:ascii="Arial" w:hAnsi="Arial" w:cs="Arial"/>
          <w:i/>
          <w:sz w:val="16"/>
        </w:rPr>
        <w:t>0</w:t>
      </w:r>
      <w:r w:rsidR="00CB562F" w:rsidRPr="00BC434A">
        <w:rPr>
          <w:rFonts w:ascii="Arial" w:hAnsi="Arial" w:cs="Arial"/>
          <w:i/>
          <w:sz w:val="16"/>
        </w:rPr>
        <w:t>7</w:t>
      </w:r>
      <w:r w:rsidR="006E0587" w:rsidRPr="00BC434A">
        <w:rPr>
          <w:rFonts w:ascii="Arial" w:hAnsi="Arial" w:cs="Arial"/>
          <w:i/>
          <w:sz w:val="16"/>
        </w:rPr>
        <w:t>-</w:t>
      </w:r>
      <w:r w:rsidR="003A3DD0">
        <w:rPr>
          <w:rFonts w:ascii="Arial" w:hAnsi="Arial" w:cs="Arial"/>
          <w:i/>
          <w:sz w:val="16"/>
        </w:rPr>
        <w:t>14</w:t>
      </w:r>
    </w:p>
    <w:p w14:paraId="43FC0D2D" w14:textId="77777777" w:rsidR="003B7EF2" w:rsidRPr="00BC434A" w:rsidRDefault="003B7EF2" w:rsidP="00104567">
      <w:pPr>
        <w:pStyle w:val="StyleCopyrightStatementAfter0ptBottomSinglesolidline1"/>
        <w:rPr>
          <w:rFonts w:ascii="Times New Roman" w:hAnsi="Times New Roman"/>
          <w:sz w:val="20"/>
        </w:rPr>
      </w:pPr>
    </w:p>
    <w:p w14:paraId="69E140DF" w14:textId="77777777" w:rsidR="001C684A" w:rsidRPr="00BC434A" w:rsidRDefault="001C684A" w:rsidP="00104567">
      <w:pPr>
        <w:pStyle w:val="StyleCopyrightStatementAfter0ptBottomSinglesolidline1"/>
        <w:rPr>
          <w:rFonts w:ascii="Times New Roman" w:hAnsi="Times New Roman"/>
          <w:sz w:val="20"/>
        </w:rPr>
      </w:pPr>
    </w:p>
    <w:p w14:paraId="7AC682BA" w14:textId="6CF46518" w:rsidR="00D613A0" w:rsidRPr="00BC434A" w:rsidRDefault="0061618B" w:rsidP="00D613A0">
      <w:pPr>
        <w:pStyle w:val="BodyTextMain"/>
      </w:pPr>
      <w:r w:rsidRPr="00BC434A">
        <w:t>In the s</w:t>
      </w:r>
      <w:r w:rsidR="00D613A0" w:rsidRPr="00BC434A">
        <w:t>pring of 2009, Masafumi Ishibashi and Ryoji Maki</w:t>
      </w:r>
      <w:r w:rsidRPr="00BC434A">
        <w:t xml:space="preserve"> were fresh from a successful marketing campaign targeting students. After reviewing recent figures however, they</w:t>
      </w:r>
      <w:r w:rsidR="00D613A0" w:rsidRPr="00BC434A">
        <w:t xml:space="preserve"> realized that they had a crit</w:t>
      </w:r>
      <w:r w:rsidR="00361593" w:rsidRPr="00BC434A">
        <w:t>ical decision to make regarding</w:t>
      </w:r>
      <w:r w:rsidR="00D613A0" w:rsidRPr="00BC434A">
        <w:t xml:space="preserve"> the fate of the overall KITKAT brand portfolio</w:t>
      </w:r>
      <w:r w:rsidR="00361593" w:rsidRPr="00BC434A">
        <w:t>:</w:t>
      </w:r>
      <w:r w:rsidR="00D613A0" w:rsidRPr="00BC434A">
        <w:t xml:space="preserve"> was</w:t>
      </w:r>
      <w:r w:rsidR="00361593" w:rsidRPr="00BC434A">
        <w:t xml:space="preserve"> KITKAT</w:t>
      </w:r>
      <w:r w:rsidR="00D613A0" w:rsidRPr="00BC434A">
        <w:t xml:space="preserve"> “too sweet” fo</w:t>
      </w:r>
      <w:r w:rsidR="00361593" w:rsidRPr="00BC434A">
        <w:t>r some of their older customers?</w:t>
      </w:r>
      <w:r w:rsidR="00D613A0" w:rsidRPr="00BC434A">
        <w:t xml:space="preserve"> </w:t>
      </w:r>
      <w:r w:rsidR="00361593" w:rsidRPr="00BC434A">
        <w:t>H</w:t>
      </w:r>
      <w:r w:rsidR="00D613A0" w:rsidRPr="00BC434A">
        <w:t>ow</w:t>
      </w:r>
      <w:r w:rsidR="00361593" w:rsidRPr="00BC434A">
        <w:t xml:space="preserve"> could they</w:t>
      </w:r>
      <w:r w:rsidR="00D613A0" w:rsidRPr="00BC434A">
        <w:t xml:space="preserve"> address this issue of taste without undermining the overall brand that they had worked so hard </w:t>
      </w:r>
      <w:r w:rsidR="00361593" w:rsidRPr="00BC434A">
        <w:t>to create?</w:t>
      </w:r>
      <w:r w:rsidR="00D613A0" w:rsidRPr="00BC434A">
        <w:t xml:space="preserve"> Before making their final decision, they agreed to walk through the events that had gotten them to this point on last time to make sure they hadn’t missed any important detail</w:t>
      </w:r>
      <w:r w:rsidR="00361593" w:rsidRPr="00BC434A">
        <w:t>s</w:t>
      </w:r>
      <w:r w:rsidR="00D613A0" w:rsidRPr="00BC434A">
        <w:t>.</w:t>
      </w:r>
    </w:p>
    <w:p w14:paraId="4DA2D682" w14:textId="77777777" w:rsidR="00D613A0" w:rsidRPr="00BC434A" w:rsidRDefault="00D613A0" w:rsidP="00D77C70">
      <w:pPr>
        <w:pStyle w:val="BodyTextMain"/>
      </w:pPr>
    </w:p>
    <w:p w14:paraId="7FF6BCD7" w14:textId="77777777" w:rsidR="00361593" w:rsidRPr="00BC434A" w:rsidRDefault="00361593" w:rsidP="00D77C70">
      <w:pPr>
        <w:pStyle w:val="BodyTextMain"/>
      </w:pPr>
    </w:p>
    <w:p w14:paraId="1861EE11" w14:textId="77777777" w:rsidR="00361593" w:rsidRPr="00BC434A" w:rsidRDefault="00361593" w:rsidP="00361593">
      <w:pPr>
        <w:pStyle w:val="Casehead1"/>
      </w:pPr>
      <w:r w:rsidRPr="00BC434A">
        <w:t>INSPIRATION FROM HANDWRITTEN MESSAGES</w:t>
      </w:r>
    </w:p>
    <w:p w14:paraId="4E907EEB" w14:textId="77777777" w:rsidR="00361593" w:rsidRPr="00BC434A" w:rsidRDefault="00361593" w:rsidP="00D77C70">
      <w:pPr>
        <w:pStyle w:val="BodyTextMain"/>
      </w:pPr>
    </w:p>
    <w:p w14:paraId="5CA63805" w14:textId="3C5137D3" w:rsidR="00D00376" w:rsidRPr="00BC434A" w:rsidRDefault="00D00376" w:rsidP="00D77C70">
      <w:pPr>
        <w:pStyle w:val="BodyTextMain"/>
      </w:pPr>
      <w:r w:rsidRPr="00BC434A">
        <w:t xml:space="preserve">Ishibashi, </w:t>
      </w:r>
      <w:r w:rsidR="00D613A0" w:rsidRPr="00BC434A">
        <w:t xml:space="preserve">who was now serving as </w:t>
      </w:r>
      <w:r w:rsidR="00023D98" w:rsidRPr="00BC434A">
        <w:t xml:space="preserve">marketing manager </w:t>
      </w:r>
      <w:r w:rsidRPr="00BC434A">
        <w:t xml:space="preserve">of </w:t>
      </w:r>
      <w:r w:rsidR="00023D98" w:rsidRPr="00BC434A">
        <w:t xml:space="preserve">confectionery </w:t>
      </w:r>
      <w:r w:rsidRPr="00BC434A">
        <w:t xml:space="preserve">for </w:t>
      </w:r>
      <w:r w:rsidR="00533024" w:rsidRPr="00BC434A">
        <w:t>Nestlé Japan Co. Ltd. (</w:t>
      </w:r>
      <w:r w:rsidRPr="00BC434A">
        <w:t>Nestlé Japan</w:t>
      </w:r>
      <w:r w:rsidR="00533024" w:rsidRPr="00BC434A">
        <w:t>)</w:t>
      </w:r>
      <w:r w:rsidR="00023D98" w:rsidRPr="00BC434A">
        <w:t>,</w:t>
      </w:r>
      <w:r w:rsidRPr="00BC434A">
        <w:t xml:space="preserve"> </w:t>
      </w:r>
      <w:r w:rsidR="00D613A0" w:rsidRPr="00BC434A">
        <w:t xml:space="preserve">thought back to </w:t>
      </w:r>
      <w:r w:rsidRPr="00BC434A">
        <w:t xml:space="preserve">the first planning meeting for </w:t>
      </w:r>
      <w:r w:rsidR="007D1C5A" w:rsidRPr="00BC434A">
        <w:t>2008</w:t>
      </w:r>
      <w:r w:rsidR="004A7358" w:rsidRPr="00BC434A">
        <w:t>–</w:t>
      </w:r>
      <w:r w:rsidR="008376D9" w:rsidRPr="00BC434A">
        <w:t>2009</w:t>
      </w:r>
      <w:r w:rsidR="00F8371E" w:rsidRPr="00BC434A">
        <w:t>’s</w:t>
      </w:r>
      <w:r w:rsidR="00361593" w:rsidRPr="00BC434A">
        <w:t xml:space="preserve"> exciting</w:t>
      </w:r>
      <w:r w:rsidRPr="00BC434A">
        <w:t xml:space="preserve"> </w:t>
      </w:r>
      <w:r w:rsidR="00023D98" w:rsidRPr="00BC434A">
        <w:rPr>
          <w:i/>
        </w:rPr>
        <w:t>juken</w:t>
      </w:r>
      <w:r w:rsidR="00023D98" w:rsidRPr="00BC434A">
        <w:t xml:space="preserve"> </w:t>
      </w:r>
      <w:r w:rsidR="00361593" w:rsidRPr="00BC434A">
        <w:t>campaign</w:t>
      </w:r>
      <w:r w:rsidRPr="00BC434A">
        <w:t xml:space="preserve">. As the temperatures outside </w:t>
      </w:r>
      <w:r w:rsidR="00103A62" w:rsidRPr="00BC434A">
        <w:t xml:space="preserve">had begun </w:t>
      </w:r>
      <w:r w:rsidRPr="00BC434A">
        <w:t xml:space="preserve">to plunge with the onset of </w:t>
      </w:r>
      <w:r w:rsidR="00B56602" w:rsidRPr="00BC434A">
        <w:t>fall</w:t>
      </w:r>
      <w:r w:rsidRPr="00BC434A">
        <w:t xml:space="preserve"> in Japan, the meeting room that afternoon</w:t>
      </w:r>
      <w:r w:rsidR="00361593" w:rsidRPr="00BC434A">
        <w:t xml:space="preserve"> in 2008 had</w:t>
      </w:r>
      <w:r w:rsidRPr="00BC434A">
        <w:t xml:space="preserve"> seemed to defy the temperatures outside. Around the room, pictures of decorated boxes of </w:t>
      </w:r>
      <w:r w:rsidR="00023D98" w:rsidRPr="00BC434A">
        <w:rPr>
          <w:i/>
        </w:rPr>
        <w:t>juken</w:t>
      </w:r>
      <w:r w:rsidR="00491251" w:rsidRPr="00BC434A">
        <w:t>-</w:t>
      </w:r>
      <w:r w:rsidRPr="00BC434A">
        <w:t xml:space="preserve">season KITKAT boxes demonstrated that an important new set of behaviors </w:t>
      </w:r>
      <w:r w:rsidR="00023D98" w:rsidRPr="00BC434A">
        <w:t xml:space="preserve">was </w:t>
      </w:r>
      <w:r w:rsidRPr="00BC434A">
        <w:t xml:space="preserve">being championed by Japanese consumers to support young </w:t>
      </w:r>
      <w:r w:rsidR="00023D98" w:rsidRPr="00BC434A">
        <w:t>test-</w:t>
      </w:r>
      <w:r w:rsidRPr="00BC434A">
        <w:t xml:space="preserve">takers around the country. Without any prompts or suggestions from the Nestlé Japan team, friends and family members around the country would do their best to decorate the already </w:t>
      </w:r>
      <w:r w:rsidR="00A6084A" w:rsidRPr="00BC434A">
        <w:t>color</w:t>
      </w:r>
      <w:r w:rsidRPr="00BC434A">
        <w:t>ful KITKAT packages with messages, hand-drawn illustrations, and in some cases even stickers, glitter</w:t>
      </w:r>
      <w:r w:rsidR="00023D98" w:rsidRPr="00BC434A">
        <w:t>,</w:t>
      </w:r>
      <w:r w:rsidRPr="00BC434A">
        <w:t xml:space="preserve"> and bows to help cheer up student test-taker</w:t>
      </w:r>
      <w:r w:rsidR="00491251" w:rsidRPr="00BC434A">
        <w:t>s</w:t>
      </w:r>
      <w:r w:rsidRPr="00BC434A">
        <w:t>.</w:t>
      </w:r>
    </w:p>
    <w:p w14:paraId="6FC0097B" w14:textId="77777777" w:rsidR="00D00376" w:rsidRPr="00BC434A" w:rsidRDefault="00D00376" w:rsidP="00D77C70">
      <w:pPr>
        <w:pStyle w:val="BodyTextMain"/>
      </w:pPr>
    </w:p>
    <w:p w14:paraId="3538A294" w14:textId="474F331F" w:rsidR="00D00376" w:rsidRPr="00BC434A" w:rsidRDefault="00D00376" w:rsidP="00D77C70">
      <w:pPr>
        <w:pStyle w:val="BodyTextMain"/>
      </w:pPr>
      <w:r w:rsidRPr="00BC434A">
        <w:t>After seeing that remote friends and family members</w:t>
      </w:r>
      <w:r w:rsidR="00EE73AF" w:rsidRPr="00BC434A">
        <w:t>—</w:t>
      </w:r>
      <w:r w:rsidRPr="00BC434A">
        <w:t>even grandparents</w:t>
      </w:r>
      <w:r w:rsidR="00EE73AF" w:rsidRPr="00BC434A">
        <w:t>—</w:t>
      </w:r>
      <w:r w:rsidRPr="00BC434A">
        <w:t>were writing such messages and then sending the decorated box</w:t>
      </w:r>
      <w:r w:rsidR="00EE73AF" w:rsidRPr="00BC434A">
        <w:t>es</w:t>
      </w:r>
      <w:r w:rsidRPr="00BC434A">
        <w:t xml:space="preserve"> through the mail, the team wondered if this could be the</w:t>
      </w:r>
      <w:r w:rsidR="00B56602" w:rsidRPr="00BC434A">
        <w:t xml:space="preserve"> seeds of something much bigger. Ishibashi and his team wondered:</w:t>
      </w:r>
    </w:p>
    <w:p w14:paraId="58C1DB03" w14:textId="0DB28F64" w:rsidR="00D00376" w:rsidRPr="00BC434A" w:rsidRDefault="00491251" w:rsidP="00D00376">
      <w:pPr>
        <w:rPr>
          <w:sz w:val="22"/>
          <w:szCs w:val="22"/>
        </w:rPr>
      </w:pPr>
      <w:r w:rsidRPr="00BC434A">
        <w:rPr>
          <w:sz w:val="22"/>
          <w:szCs w:val="22"/>
        </w:rPr>
        <w:t xml:space="preserve"> </w:t>
      </w:r>
    </w:p>
    <w:p w14:paraId="1FFBD45D" w14:textId="42C274B0" w:rsidR="00D00376" w:rsidRPr="00BC434A" w:rsidRDefault="00B56602" w:rsidP="00D77C70">
      <w:pPr>
        <w:pStyle w:val="BodyTextMain"/>
        <w:ind w:left="720"/>
      </w:pPr>
      <w:r w:rsidRPr="00BC434A">
        <w:t>What if</w:t>
      </w:r>
      <w:r w:rsidR="00CF318D" w:rsidRPr="00BC434A">
        <w:t xml:space="preserve"> </w:t>
      </w:r>
      <w:r w:rsidR="00D00376" w:rsidRPr="00BC434A">
        <w:t xml:space="preserve">we could redesign the KITKAT box so that there was an open space for a message to be written, postage affixed, and the entire box of KITKAT </w:t>
      </w:r>
      <w:r w:rsidR="00EE73AF" w:rsidRPr="00BC434A">
        <w:t>would be</w:t>
      </w:r>
      <w:r w:rsidR="00491251" w:rsidRPr="00BC434A">
        <w:t xml:space="preserve"> </w:t>
      </w:r>
      <w:r w:rsidR="00D00376" w:rsidRPr="00BC434A">
        <w:t>sent through the mail, just as any standard small package, but wit</w:t>
      </w:r>
      <w:r w:rsidRPr="00BC434A">
        <w:t>hout the need for an envelope</w:t>
      </w:r>
      <w:r w:rsidR="00832F8D" w:rsidRPr="00BC434A">
        <w:t xml:space="preserve">? </w:t>
      </w:r>
      <w:r w:rsidR="00D00376" w:rsidRPr="00BC434A">
        <w:t xml:space="preserve">We knew that we could redesign the box and even the weight of the chocolate inside so that it would adhere to the Japan Post rules for small packages of this size. But what if the </w:t>
      </w:r>
      <w:r w:rsidR="001375D6" w:rsidRPr="00BC434A">
        <w:t xml:space="preserve">post office </w:t>
      </w:r>
      <w:r w:rsidR="00D00376" w:rsidRPr="00BC434A">
        <w:t>itself could actually sell these redesigned KITKAT boxe</w:t>
      </w:r>
      <w:r w:rsidRPr="00BC434A">
        <w:t xml:space="preserve">s in </w:t>
      </w:r>
      <w:r w:rsidR="001375D6" w:rsidRPr="00BC434A">
        <w:t xml:space="preserve">post offices </w:t>
      </w:r>
      <w:r w:rsidRPr="00BC434A">
        <w:t>around Japan?</w:t>
      </w:r>
    </w:p>
    <w:p w14:paraId="1EBD29C9" w14:textId="3D345BE6" w:rsidR="00D00376" w:rsidRPr="00BC434A" w:rsidRDefault="00D00376" w:rsidP="00D77C70">
      <w:pPr>
        <w:pStyle w:val="BodyTextMain"/>
      </w:pPr>
      <w:r w:rsidRPr="00BC434A">
        <w:lastRenderedPageBreak/>
        <w:t xml:space="preserve">The </w:t>
      </w:r>
      <w:r w:rsidR="00B56602" w:rsidRPr="00BC434A">
        <w:t>Nestlé Japan</w:t>
      </w:r>
      <w:r w:rsidRPr="00BC434A">
        <w:t xml:space="preserve"> team decided to explore this idea further, and </w:t>
      </w:r>
      <w:r w:rsidR="003B2122" w:rsidRPr="00BC434A">
        <w:t xml:space="preserve">the team divided up </w:t>
      </w:r>
      <w:r w:rsidRPr="00BC434A">
        <w:t xml:space="preserve">tasks, the most important of which was finding the right connection within Japan Post with whom to begin discussions about this possibility.  </w:t>
      </w:r>
    </w:p>
    <w:p w14:paraId="59F8D2C5" w14:textId="77777777" w:rsidR="00B56602" w:rsidRPr="00BC434A" w:rsidRDefault="00B56602" w:rsidP="004A7358">
      <w:pPr>
        <w:pStyle w:val="BodyTextMain"/>
      </w:pPr>
    </w:p>
    <w:p w14:paraId="39BAA5BC" w14:textId="77777777" w:rsidR="00D77C70" w:rsidRPr="00BC434A" w:rsidRDefault="00D77C70" w:rsidP="004A7358">
      <w:pPr>
        <w:pStyle w:val="BodyTextMain"/>
      </w:pPr>
    </w:p>
    <w:p w14:paraId="14B05BE0" w14:textId="77777777" w:rsidR="00D00376" w:rsidRPr="00BC434A" w:rsidRDefault="00D00376" w:rsidP="00F46978">
      <w:pPr>
        <w:pStyle w:val="Casehead1"/>
        <w:keepNext/>
        <w:keepLines/>
      </w:pPr>
      <w:r w:rsidRPr="00BC434A">
        <w:t>THE BIRTH OF KITKAT MAIL</w:t>
      </w:r>
    </w:p>
    <w:p w14:paraId="4CC14BD5" w14:textId="77777777" w:rsidR="00D77C70" w:rsidRPr="00BC434A" w:rsidRDefault="00D77C70" w:rsidP="00F46978">
      <w:pPr>
        <w:pStyle w:val="BodyTextMain"/>
        <w:keepNext/>
        <w:keepLines/>
      </w:pPr>
    </w:p>
    <w:p w14:paraId="2E8711B5" w14:textId="7068F052" w:rsidR="00D00376" w:rsidRPr="00BC434A" w:rsidRDefault="00D00376" w:rsidP="00F46978">
      <w:pPr>
        <w:pStyle w:val="BodyTextMain"/>
        <w:keepNext/>
        <w:keepLines/>
      </w:pPr>
      <w:r w:rsidRPr="00BC434A">
        <w:t xml:space="preserve">From the end of 2007 through all of 2008, Ishibashi, </w:t>
      </w:r>
      <w:r w:rsidR="00420389" w:rsidRPr="00BC434A">
        <w:t xml:space="preserve">KITKAT brand manager </w:t>
      </w:r>
      <w:r w:rsidR="00686F7F" w:rsidRPr="00BC434A">
        <w:t>Yuji Takeuchi</w:t>
      </w:r>
      <w:r w:rsidR="00420389" w:rsidRPr="00BC434A">
        <w:t xml:space="preserve">, </w:t>
      </w:r>
      <w:r w:rsidRPr="00BC434A">
        <w:t xml:space="preserve">and the entire </w:t>
      </w:r>
      <w:r w:rsidR="00B56602" w:rsidRPr="00BC434A">
        <w:t>Nestlé Japan</w:t>
      </w:r>
      <w:r w:rsidRPr="00BC434A">
        <w:t xml:space="preserve"> confectionery team embarked on the long process of modifying the packaging and contents of the </w:t>
      </w:r>
      <w:r w:rsidR="00832F8D" w:rsidRPr="00BC434A">
        <w:rPr>
          <w:i/>
        </w:rPr>
        <w:t>juken</w:t>
      </w:r>
      <w:r w:rsidR="00EE73AF" w:rsidRPr="00BC434A">
        <w:t>-</w:t>
      </w:r>
      <w:r w:rsidR="00832F8D" w:rsidRPr="00BC434A">
        <w:t xml:space="preserve">campaign </w:t>
      </w:r>
      <w:r w:rsidRPr="00BC434A">
        <w:t xml:space="preserve">KITKAT so that </w:t>
      </w:r>
      <w:r w:rsidR="00103A62" w:rsidRPr="00BC434A">
        <w:t xml:space="preserve">KITKAT </w:t>
      </w:r>
      <w:r w:rsidRPr="00BC434A">
        <w:t xml:space="preserve">could be sent directly through the mail without the need for an outer envelope. </w:t>
      </w:r>
      <w:r w:rsidR="006146D1" w:rsidRPr="00BC434A">
        <w:t>Nestlé Japan</w:t>
      </w:r>
      <w:r w:rsidR="006146D1" w:rsidRPr="00BC434A" w:rsidDel="006146D1">
        <w:t xml:space="preserve"> </w:t>
      </w:r>
      <w:r w:rsidR="00B56602" w:rsidRPr="00BC434A">
        <w:t>called this idea “KITKAT Mail”</w:t>
      </w:r>
      <w:r w:rsidRPr="00BC434A">
        <w:t xml:space="preserve"> and conducted multiple test</w:t>
      </w:r>
      <w:r w:rsidR="00832F8D" w:rsidRPr="00BC434A">
        <w:t>s</w:t>
      </w:r>
      <w:r w:rsidRPr="00BC434A">
        <w:t xml:space="preserve"> both internally and across Japan to make sure that this would be an attractive evolution of </w:t>
      </w:r>
      <w:r w:rsidR="006146D1" w:rsidRPr="00BC434A">
        <w:t xml:space="preserve">its </w:t>
      </w:r>
      <w:r w:rsidR="00832F8D" w:rsidRPr="00BC434A">
        <w:rPr>
          <w:i/>
        </w:rPr>
        <w:t>juken</w:t>
      </w:r>
      <w:r w:rsidR="00832F8D" w:rsidRPr="00BC434A">
        <w:t xml:space="preserve"> </w:t>
      </w:r>
      <w:r w:rsidRPr="00BC434A">
        <w:t xml:space="preserve">campaign.  </w:t>
      </w:r>
    </w:p>
    <w:p w14:paraId="0EBF12BE" w14:textId="77777777" w:rsidR="00D00376" w:rsidRPr="00BC434A" w:rsidRDefault="00D00376" w:rsidP="00D77C70">
      <w:pPr>
        <w:pStyle w:val="BodyTextMain"/>
      </w:pPr>
    </w:p>
    <w:p w14:paraId="533EA929" w14:textId="0B3A4250" w:rsidR="00D00376" w:rsidRPr="00BC434A" w:rsidRDefault="00D00376" w:rsidP="00D77C70">
      <w:pPr>
        <w:pStyle w:val="BodyTextMain"/>
      </w:pPr>
      <w:r w:rsidRPr="00BC434A">
        <w:t xml:space="preserve">Critical to these efforts were meetings with Japan Post to </w:t>
      </w:r>
      <w:r w:rsidR="003B2122" w:rsidRPr="00BC434A">
        <w:t xml:space="preserve">ensure that </w:t>
      </w:r>
      <w:r w:rsidRPr="00BC434A">
        <w:t xml:space="preserve">KITKAT Mail </w:t>
      </w:r>
      <w:r w:rsidR="003B2122" w:rsidRPr="00BC434A">
        <w:t>would be allowed to</w:t>
      </w:r>
      <w:r w:rsidRPr="00BC434A">
        <w:t xml:space="preserve"> be sold in </w:t>
      </w:r>
      <w:r w:rsidR="00832F8D" w:rsidRPr="00BC434A">
        <w:t xml:space="preserve">post offices </w:t>
      </w:r>
      <w:r w:rsidRPr="00BC434A">
        <w:t xml:space="preserve">throughout Japan. Together with </w:t>
      </w:r>
      <w:r w:rsidR="006146D1" w:rsidRPr="00BC434A">
        <w:t xml:space="preserve">its </w:t>
      </w:r>
      <w:r w:rsidR="001C684A" w:rsidRPr="00BC434A">
        <w:t xml:space="preserve">advertising </w:t>
      </w:r>
      <w:r w:rsidRPr="00BC434A">
        <w:t>agency, J. Walter Thompson</w:t>
      </w:r>
      <w:r w:rsidR="001C684A" w:rsidRPr="00BC434A">
        <w:t xml:space="preserve"> Japan</w:t>
      </w:r>
      <w:r w:rsidRPr="00BC434A">
        <w:t xml:space="preserve">, </w:t>
      </w:r>
      <w:r w:rsidR="006146D1" w:rsidRPr="00BC434A">
        <w:t>Nestlé Japan</w:t>
      </w:r>
      <w:r w:rsidR="006146D1" w:rsidRPr="00BC434A" w:rsidDel="006146D1">
        <w:t xml:space="preserve"> </w:t>
      </w:r>
      <w:r w:rsidRPr="00BC434A">
        <w:t>found ways to meet the key decision makers and after more than a year of negotiations and countless meetings (which made a 2008 launch of KITKAT Mail impossible)</w:t>
      </w:r>
      <w:r w:rsidR="00832F8D" w:rsidRPr="00BC434A">
        <w:t>,</w:t>
      </w:r>
      <w:r w:rsidRPr="00BC434A">
        <w:t xml:space="preserve"> the Nestlé Japan team was able to garner the support of senior officials within Japan Post for the idea of KITKAT Mail.  </w:t>
      </w:r>
    </w:p>
    <w:p w14:paraId="25EC7532" w14:textId="77777777" w:rsidR="00D00376" w:rsidRPr="00BC434A" w:rsidRDefault="00D00376" w:rsidP="00D77C70">
      <w:pPr>
        <w:pStyle w:val="BodyTextMain"/>
      </w:pPr>
    </w:p>
    <w:p w14:paraId="7B58B6D5" w14:textId="1B252CB4" w:rsidR="00D00376" w:rsidRPr="00BC434A" w:rsidRDefault="00D00376" w:rsidP="00D77C70">
      <w:pPr>
        <w:pStyle w:val="BodyTextMain"/>
      </w:pPr>
      <w:r w:rsidRPr="00BC434A">
        <w:t>After finalizing this landmark deal, in January 2009, KITKAT Mail launched in Japan</w:t>
      </w:r>
      <w:r w:rsidR="00BE7B62" w:rsidRPr="00BC434A">
        <w:t xml:space="preserve"> (see Exhibit 1)</w:t>
      </w:r>
      <w:r w:rsidRPr="00BC434A">
        <w:t xml:space="preserve">.  </w:t>
      </w:r>
    </w:p>
    <w:p w14:paraId="156B0803" w14:textId="77777777" w:rsidR="00D00376" w:rsidRPr="00BC434A" w:rsidRDefault="00D00376" w:rsidP="00D77C70">
      <w:pPr>
        <w:pStyle w:val="BodyTextMain"/>
      </w:pPr>
    </w:p>
    <w:p w14:paraId="461F0DAB" w14:textId="0E2D10C2" w:rsidR="00D00376" w:rsidRPr="00BC434A" w:rsidRDefault="00D00376" w:rsidP="00D77C70">
      <w:pPr>
        <w:pStyle w:val="BodyTextMain"/>
      </w:pPr>
      <w:r w:rsidRPr="00BC434A">
        <w:t>What was so notable about this launch was that</w:t>
      </w:r>
      <w:r w:rsidR="003B2122" w:rsidRPr="00BC434A">
        <w:t>,</w:t>
      </w:r>
      <w:r w:rsidRPr="00BC434A">
        <w:t xml:space="preserve"> on the exact same day, all 20,000+ </w:t>
      </w:r>
      <w:r w:rsidR="00832F8D" w:rsidRPr="00BC434A">
        <w:t xml:space="preserve">post offices </w:t>
      </w:r>
      <w:r w:rsidRPr="00BC434A">
        <w:t xml:space="preserve">around Japan began selling KITKAT. Aside from being the first branded chocolate to be sold through the </w:t>
      </w:r>
      <w:r w:rsidR="00832F8D" w:rsidRPr="00BC434A">
        <w:t>post office</w:t>
      </w:r>
      <w:r w:rsidRPr="00BC434A">
        <w:t>, the campaign proved that the KITKAT brand had moved well beyond</w:t>
      </w:r>
      <w:r w:rsidR="00B56602" w:rsidRPr="00BC434A">
        <w:t xml:space="preserve"> “the chocolate that mom bought”</w:t>
      </w:r>
      <w:r w:rsidRPr="00BC434A">
        <w:t xml:space="preserve"> to become a symbol for expressing messages of hope and support to anyone fighting to overcome a difficult challenge. With the support of Japan Post, sales during the </w:t>
      </w:r>
      <w:r w:rsidR="00832F8D" w:rsidRPr="00BC434A">
        <w:rPr>
          <w:i/>
        </w:rPr>
        <w:t>juken</w:t>
      </w:r>
      <w:r w:rsidR="00832F8D" w:rsidRPr="00BC434A">
        <w:t xml:space="preserve"> </w:t>
      </w:r>
      <w:r w:rsidRPr="00BC434A">
        <w:t xml:space="preserve">season from January </w:t>
      </w:r>
      <w:r w:rsidR="00832F8D" w:rsidRPr="00BC434A">
        <w:t xml:space="preserve">to </w:t>
      </w:r>
      <w:r w:rsidRPr="00BC434A">
        <w:t>February continued to grow steadily.</w:t>
      </w:r>
    </w:p>
    <w:p w14:paraId="305C23E7" w14:textId="77777777" w:rsidR="00D00376" w:rsidRPr="00BC434A" w:rsidRDefault="00D00376" w:rsidP="00D00376">
      <w:pPr>
        <w:rPr>
          <w:sz w:val="22"/>
          <w:szCs w:val="22"/>
        </w:rPr>
      </w:pPr>
    </w:p>
    <w:p w14:paraId="59DA1308" w14:textId="77777777" w:rsidR="006E0587" w:rsidRPr="00BC434A" w:rsidRDefault="006E0587" w:rsidP="004A7358">
      <w:pPr>
        <w:pStyle w:val="BodyTextMain"/>
      </w:pPr>
    </w:p>
    <w:p w14:paraId="1E190A00" w14:textId="77777777" w:rsidR="00D00376" w:rsidRPr="00BC434A" w:rsidRDefault="00D00376" w:rsidP="00D00376">
      <w:pPr>
        <w:pStyle w:val="Casehead1"/>
      </w:pPr>
      <w:r w:rsidRPr="00BC434A">
        <w:t>THE HARSH REALITIES OF AN AGING AND DECLINING POPULATION</w:t>
      </w:r>
    </w:p>
    <w:p w14:paraId="41A171A6" w14:textId="77777777" w:rsidR="00D00376" w:rsidRPr="00BC434A" w:rsidRDefault="00D00376" w:rsidP="004A7358">
      <w:pPr>
        <w:pStyle w:val="BodyTextMain"/>
      </w:pPr>
    </w:p>
    <w:p w14:paraId="6991CA5D" w14:textId="5EF0862D" w:rsidR="00D00376" w:rsidRPr="00BC434A" w:rsidRDefault="00D00376" w:rsidP="00D77C70">
      <w:pPr>
        <w:pStyle w:val="BodyTextMain"/>
      </w:pPr>
      <w:r w:rsidRPr="00BC434A">
        <w:t xml:space="preserve">As the excitement </w:t>
      </w:r>
      <w:r w:rsidR="00832F8D" w:rsidRPr="00BC434A">
        <w:t xml:space="preserve">subsided </w:t>
      </w:r>
      <w:r w:rsidRPr="00BC434A">
        <w:t xml:space="preserve">over the launch of KITKAT Mail and the significant seasonal boost it had on sales, Ishibashi and Takeuchi sat down to review the historical sales figures for the KITKAT brand and their projected future growth trajectory. Overall, KITKAT </w:t>
      </w:r>
      <w:r w:rsidR="0084200E" w:rsidRPr="00BC434A">
        <w:t xml:space="preserve">had </w:t>
      </w:r>
      <w:r w:rsidRPr="00BC434A">
        <w:t xml:space="preserve">continued to grow from 2003 to 2008, as both convenience stores and supermarkets were supportive of </w:t>
      </w:r>
      <w:r w:rsidR="00A6084A" w:rsidRPr="00BC434A">
        <w:t>flavor</w:t>
      </w:r>
      <w:r w:rsidRPr="00BC434A">
        <w:t xml:space="preserve"> variations of KITKAT and local communities proudly sold their </w:t>
      </w:r>
      <w:r w:rsidR="00686F7F" w:rsidRPr="00BC434A">
        <w:t>area’</w:t>
      </w:r>
      <w:r w:rsidRPr="00BC434A">
        <w:t xml:space="preserve">s </w:t>
      </w:r>
      <w:r w:rsidR="00832F8D" w:rsidRPr="00BC434A">
        <w:rPr>
          <w:i/>
        </w:rPr>
        <w:t>meibutsu</w:t>
      </w:r>
      <w:r w:rsidR="00832F8D" w:rsidRPr="00BC434A">
        <w:t>-</w:t>
      </w:r>
      <w:r w:rsidR="00A6084A" w:rsidRPr="00BC434A">
        <w:t>flavor</w:t>
      </w:r>
      <w:r w:rsidRPr="00BC434A">
        <w:t>ed KITKAT at rest stops, airports</w:t>
      </w:r>
      <w:r w:rsidR="00832F8D" w:rsidRPr="00BC434A">
        <w:t>,</w:t>
      </w:r>
      <w:r w:rsidRPr="00BC434A">
        <w:t xml:space="preserve"> and tourist areas across Japan. However, beginning in 2008 and in early 2009, Ishibashi, Takeuchi, and Maki, who was becoming increasingly involved in KITKAT’s overall business, noticed a clear trend.</w:t>
      </w:r>
      <w:r w:rsidR="00B56602" w:rsidRPr="00BC434A">
        <w:t xml:space="preserve"> Maki</w:t>
      </w:r>
      <w:r w:rsidR="00832F8D" w:rsidRPr="00BC434A">
        <w:t xml:space="preserve"> said</w:t>
      </w:r>
      <w:r w:rsidR="00B56602" w:rsidRPr="00BC434A">
        <w:t>:</w:t>
      </w:r>
    </w:p>
    <w:p w14:paraId="190D428E" w14:textId="1B6FEB66" w:rsidR="00D00376" w:rsidRPr="00BC434A" w:rsidRDefault="00D00376" w:rsidP="00D00376">
      <w:pPr>
        <w:rPr>
          <w:sz w:val="22"/>
          <w:szCs w:val="22"/>
        </w:rPr>
      </w:pPr>
    </w:p>
    <w:p w14:paraId="2CBF033A" w14:textId="6B289C0B" w:rsidR="00D00376" w:rsidRPr="00BC434A" w:rsidRDefault="00D00376" w:rsidP="00D77C70">
      <w:pPr>
        <w:pStyle w:val="BodyTextMain"/>
        <w:ind w:left="720"/>
      </w:pPr>
      <w:r w:rsidRPr="00BC434A">
        <w:t xml:space="preserve">We had developed the ability to create multiple taste and </w:t>
      </w:r>
      <w:r w:rsidR="00A6084A" w:rsidRPr="00BC434A">
        <w:t>color</w:t>
      </w:r>
      <w:r w:rsidRPr="00BC434A">
        <w:t xml:space="preserve"> variations</w:t>
      </w:r>
      <w:r w:rsidR="00832F8D" w:rsidRPr="00BC434A">
        <w:t>,</w:t>
      </w:r>
      <w:r w:rsidRPr="00BC434A">
        <w:t xml:space="preserve"> to the delight of our retail partners and especially younger </w:t>
      </w:r>
      <w:r w:rsidRPr="00BC434A">
        <w:rPr>
          <w:color w:val="000000" w:themeColor="text1"/>
        </w:rPr>
        <w:t>consumers</w:t>
      </w:r>
      <w:r w:rsidRPr="00BC434A">
        <w:t xml:space="preserve"> who frequented convenience stores almost every day and appreciated some of the taste variations that many even considered to be strange. We also had successfully created expectations for regular as well as seasonal </w:t>
      </w:r>
      <w:r w:rsidR="00A6084A" w:rsidRPr="00BC434A">
        <w:t>flavor</w:t>
      </w:r>
      <w:r w:rsidRPr="00BC434A">
        <w:t xml:space="preserve"> variations across our different retail channels, and our </w:t>
      </w:r>
      <w:r w:rsidR="00832F8D" w:rsidRPr="00BC434A">
        <w:rPr>
          <w:i/>
        </w:rPr>
        <w:t>juken</w:t>
      </w:r>
      <w:r w:rsidR="00832F8D" w:rsidRPr="00BC434A">
        <w:t xml:space="preserve"> </w:t>
      </w:r>
      <w:r w:rsidRPr="00BC434A">
        <w:t xml:space="preserve">campaign continued to bring us successful results each </w:t>
      </w:r>
      <w:r w:rsidR="00832F8D" w:rsidRPr="00BC434A">
        <w:t>winter</w:t>
      </w:r>
      <w:r w:rsidRPr="00BC434A">
        <w:t>/</w:t>
      </w:r>
      <w:r w:rsidR="00832F8D" w:rsidRPr="00BC434A">
        <w:t xml:space="preserve">spring </w:t>
      </w:r>
      <w:r w:rsidRPr="00BC434A">
        <w:t xml:space="preserve">season. But when we commissioned research to better understand some of the potential weaknesses of KITKAT, we found some </w:t>
      </w:r>
      <w:r w:rsidR="00B56602" w:rsidRPr="00BC434A">
        <w:t>unsettling insights.</w:t>
      </w:r>
    </w:p>
    <w:p w14:paraId="36EB800B" w14:textId="77777777" w:rsidR="00D00376" w:rsidRPr="00BC434A" w:rsidRDefault="00D00376" w:rsidP="00D00376">
      <w:pPr>
        <w:rPr>
          <w:sz w:val="22"/>
          <w:szCs w:val="22"/>
        </w:rPr>
      </w:pPr>
    </w:p>
    <w:p w14:paraId="039BF3C7" w14:textId="77777777" w:rsidR="00B56602" w:rsidRPr="00BC434A" w:rsidRDefault="00B56602" w:rsidP="0061618B">
      <w:pPr>
        <w:pStyle w:val="BodyTextMain"/>
        <w:keepNext/>
      </w:pPr>
      <w:r w:rsidRPr="00BC434A">
        <w:lastRenderedPageBreak/>
        <w:t xml:space="preserve">Ishibashi continued: </w:t>
      </w:r>
    </w:p>
    <w:p w14:paraId="10E3BB3D" w14:textId="77777777" w:rsidR="00B56602" w:rsidRPr="00BC434A" w:rsidRDefault="00B56602" w:rsidP="0061618B">
      <w:pPr>
        <w:keepNext/>
        <w:rPr>
          <w:sz w:val="22"/>
          <w:szCs w:val="22"/>
        </w:rPr>
      </w:pPr>
    </w:p>
    <w:p w14:paraId="0B92D181" w14:textId="3C1A7634" w:rsidR="00D00376" w:rsidRPr="00BC434A" w:rsidRDefault="00D00376" w:rsidP="0061618B">
      <w:pPr>
        <w:pStyle w:val="BodyTextMain"/>
        <w:keepNext/>
        <w:ind w:left="720"/>
      </w:pPr>
      <w:r w:rsidRPr="00BC434A">
        <w:t>What we</w:t>
      </w:r>
      <w:r w:rsidR="00B56602" w:rsidRPr="00BC434A">
        <w:t xml:space="preserve"> learned </w:t>
      </w:r>
      <w:r w:rsidRPr="00BC434A">
        <w:t xml:space="preserve">was that while the sweetness of KITKAT was appealing to the </w:t>
      </w:r>
      <w:r w:rsidRPr="00BC434A">
        <w:rPr>
          <w:color w:val="000000" w:themeColor="text1"/>
        </w:rPr>
        <w:t>majority of consumers</w:t>
      </w:r>
      <w:r w:rsidRPr="00BC434A">
        <w:t xml:space="preserve"> and to some people specifically looking for a sweet snack, many older consumers actually found KITKAT to be too sweet. This wasn</w:t>
      </w:r>
      <w:r w:rsidR="00686F7F" w:rsidRPr="00BC434A">
        <w:t>’</w:t>
      </w:r>
      <w:r w:rsidRPr="00BC434A">
        <w:t xml:space="preserve">t only for our traditional KITKAT but </w:t>
      </w:r>
      <w:r w:rsidR="00CF318D" w:rsidRPr="00BC434A">
        <w:t xml:space="preserve">also </w:t>
      </w:r>
      <w:r w:rsidRPr="00BC434A">
        <w:t>for the many taste variations that we we</w:t>
      </w:r>
      <w:r w:rsidR="00B56602" w:rsidRPr="00BC434A">
        <w:t>re launching each year as well.</w:t>
      </w:r>
    </w:p>
    <w:p w14:paraId="1A7BFA23" w14:textId="77777777" w:rsidR="00D00376" w:rsidRPr="00BC434A" w:rsidRDefault="00D00376" w:rsidP="00D00376">
      <w:pPr>
        <w:rPr>
          <w:sz w:val="22"/>
          <w:szCs w:val="22"/>
        </w:rPr>
      </w:pPr>
    </w:p>
    <w:p w14:paraId="2137D401" w14:textId="1AFFE3F8" w:rsidR="00D00376" w:rsidRPr="00BC434A" w:rsidRDefault="00D00376" w:rsidP="00D77C70">
      <w:pPr>
        <w:pStyle w:val="BodyTextMain"/>
      </w:pPr>
      <w:r w:rsidRPr="00BC434A">
        <w:t>These results were especially co</w:t>
      </w:r>
      <w:r w:rsidR="00686F7F" w:rsidRPr="00BC434A">
        <w:t>ncerning</w:t>
      </w:r>
      <w:r w:rsidR="00832F8D" w:rsidRPr="00BC434A">
        <w:t>,</w:t>
      </w:r>
      <w:r w:rsidR="00686F7F" w:rsidRPr="00BC434A">
        <w:t xml:space="preserve"> as Japan was the world’</w:t>
      </w:r>
      <w:r w:rsidRPr="00BC434A">
        <w:t xml:space="preserve">s most quickly aging country. As the population of Japan </w:t>
      </w:r>
      <w:r w:rsidR="00491251" w:rsidRPr="00BC434A">
        <w:t xml:space="preserve">was </w:t>
      </w:r>
      <w:r w:rsidRPr="00BC434A">
        <w:t xml:space="preserve">concentrated in the biggest cities of Tokyo and Osaka, the cost of living coupled with a number of other factors led to a net decrease in the number of children born each year, and consequently a rapid aging of the overall population. Mapping this reality against the new research results that the Nestlé Japan team had commissioned painted a dark picture for the future growth of KITKAT beyond the levels that </w:t>
      </w:r>
      <w:r w:rsidR="00832F8D" w:rsidRPr="00BC434A">
        <w:t xml:space="preserve">it </w:t>
      </w:r>
      <w:r w:rsidRPr="00BC434A">
        <w:t xml:space="preserve">had achieved up </w:t>
      </w:r>
      <w:r w:rsidR="009B4DBB" w:rsidRPr="00BC434A">
        <w:t xml:space="preserve">to </w:t>
      </w:r>
      <w:r w:rsidRPr="00BC434A">
        <w:t>2008.</w:t>
      </w:r>
    </w:p>
    <w:p w14:paraId="75CCE22F" w14:textId="77777777" w:rsidR="00D00376" w:rsidRPr="00BC434A" w:rsidRDefault="00D00376" w:rsidP="00D77C70">
      <w:pPr>
        <w:pStyle w:val="BodyTextMain"/>
      </w:pPr>
    </w:p>
    <w:p w14:paraId="500E0B47" w14:textId="65D973F6" w:rsidR="00D00376" w:rsidRPr="00BC434A" w:rsidRDefault="00E92FD0" w:rsidP="00D77C70">
      <w:pPr>
        <w:pStyle w:val="BodyTextMain"/>
      </w:pPr>
      <w:r w:rsidRPr="00BC434A">
        <w:t>W</w:t>
      </w:r>
      <w:r w:rsidR="00D00376" w:rsidRPr="00BC434A">
        <w:t xml:space="preserve">hile the </w:t>
      </w:r>
      <w:r w:rsidR="00832F8D" w:rsidRPr="00BC434A">
        <w:rPr>
          <w:i/>
        </w:rPr>
        <w:t>juken</w:t>
      </w:r>
      <w:r w:rsidR="00832F8D" w:rsidRPr="00BC434A">
        <w:t xml:space="preserve"> </w:t>
      </w:r>
      <w:r w:rsidR="00D00376" w:rsidRPr="00BC434A">
        <w:t xml:space="preserve">campaign led to an enormous deepening of the positive characteristics of the overall KITKAT brand as a </w:t>
      </w:r>
      <w:r w:rsidR="00832F8D" w:rsidRPr="00BC434A">
        <w:t>good-</w:t>
      </w:r>
      <w:r w:rsidR="00D00376" w:rsidRPr="00BC434A">
        <w:t xml:space="preserve">luck charm and platform for good wishes and positive feelings, that same population of </w:t>
      </w:r>
      <w:r w:rsidR="00420389" w:rsidRPr="00BC434A">
        <w:t>test</w:t>
      </w:r>
      <w:r w:rsidR="00420389" w:rsidRPr="00BC434A">
        <w:rPr>
          <w:rStyle w:val="CommentReference"/>
          <w:sz w:val="22"/>
          <w:szCs w:val="22"/>
        </w:rPr>
        <w:t>-</w:t>
      </w:r>
      <w:r w:rsidR="00D00376" w:rsidRPr="00BC434A">
        <w:t>takers was also projected to decline each year going forward.</w:t>
      </w:r>
    </w:p>
    <w:p w14:paraId="45D37357" w14:textId="77777777" w:rsidR="00D00376" w:rsidRPr="00BC434A" w:rsidRDefault="00D00376" w:rsidP="00D00376">
      <w:pPr>
        <w:rPr>
          <w:sz w:val="22"/>
          <w:szCs w:val="22"/>
        </w:rPr>
      </w:pPr>
    </w:p>
    <w:p w14:paraId="5BFCB48F" w14:textId="77777777" w:rsidR="006E0587" w:rsidRPr="00BC434A" w:rsidRDefault="006E0587" w:rsidP="004A7358">
      <w:pPr>
        <w:pStyle w:val="BodyTextMain"/>
      </w:pPr>
    </w:p>
    <w:p w14:paraId="08A7B7A1" w14:textId="77777777" w:rsidR="00D00376" w:rsidRPr="00BC434A" w:rsidRDefault="00D00376" w:rsidP="00D00376">
      <w:pPr>
        <w:pStyle w:val="Casehead1"/>
      </w:pPr>
      <w:r w:rsidRPr="00BC434A">
        <w:t>AVOIDING THE “NEW COKE” EFFECT</w:t>
      </w:r>
    </w:p>
    <w:p w14:paraId="253C61A0" w14:textId="77777777" w:rsidR="00D00376" w:rsidRPr="00BC434A" w:rsidRDefault="00D00376" w:rsidP="00D00376">
      <w:pPr>
        <w:rPr>
          <w:b/>
          <w:sz w:val="22"/>
          <w:szCs w:val="22"/>
        </w:rPr>
      </w:pPr>
    </w:p>
    <w:p w14:paraId="1879EB34" w14:textId="65D47C13" w:rsidR="00D00376" w:rsidRPr="00BC434A" w:rsidRDefault="00FC0C46" w:rsidP="00D77C70">
      <w:pPr>
        <w:pStyle w:val="BodyTextMain"/>
      </w:pPr>
      <w:r w:rsidRPr="00BC434A">
        <w:t xml:space="preserve">As Ishibashi and Maki continued their review, they focused on the implications that their decision would have on the overall brand.  </w:t>
      </w:r>
      <w:r w:rsidR="00B56602" w:rsidRPr="00BC434A">
        <w:t>Maki explained:</w:t>
      </w:r>
    </w:p>
    <w:p w14:paraId="1840E696" w14:textId="77777777" w:rsidR="00D00376" w:rsidRPr="00BC434A" w:rsidRDefault="00D00376" w:rsidP="00D00376">
      <w:pPr>
        <w:rPr>
          <w:sz w:val="22"/>
          <w:szCs w:val="22"/>
        </w:rPr>
      </w:pPr>
    </w:p>
    <w:p w14:paraId="0CDAC0EB" w14:textId="1C4E2B77" w:rsidR="00D00376" w:rsidRPr="00BC434A" w:rsidRDefault="00D00376" w:rsidP="00D77C70">
      <w:pPr>
        <w:pStyle w:val="BodyTextMain"/>
        <w:ind w:left="720"/>
      </w:pPr>
      <w:r w:rsidRPr="00BC434A">
        <w:t>As we looked at the data and began exploring</w:t>
      </w:r>
      <w:r w:rsidR="00B56602" w:rsidRPr="00BC434A">
        <w:t xml:space="preserve"> ways to deal with the results, </w:t>
      </w:r>
      <w:r w:rsidR="004D7923" w:rsidRPr="00BC434A">
        <w:t>I couldn’</w:t>
      </w:r>
      <w:r w:rsidRPr="00BC434A">
        <w:t xml:space="preserve">t help remembering the case of New Coke </w:t>
      </w:r>
      <w:r w:rsidR="00B56602" w:rsidRPr="00BC434A">
        <w:t>from the mid-</w:t>
      </w:r>
      <w:r w:rsidRPr="00BC434A">
        <w:t xml:space="preserve">1980s. We definitely needed to take action based on these research results, but in doing so, I did not want to make the same mistake that the executives at </w:t>
      </w:r>
      <w:r w:rsidR="00420389" w:rsidRPr="00BC434A">
        <w:t>Coca-</w:t>
      </w:r>
      <w:r w:rsidRPr="00BC434A">
        <w:t>Cola had made in misunderstanding the</w:t>
      </w:r>
      <w:r w:rsidR="00B56602" w:rsidRPr="00BC434A">
        <w:t xml:space="preserve"> power of their flagship brand.</w:t>
      </w:r>
      <w:r w:rsidRPr="00BC434A">
        <w:t xml:space="preserve">  </w:t>
      </w:r>
    </w:p>
    <w:p w14:paraId="3F27A23B" w14:textId="77777777" w:rsidR="00D00376" w:rsidRPr="00BC434A" w:rsidRDefault="00D00376" w:rsidP="00D00376">
      <w:pPr>
        <w:ind w:left="567" w:right="566"/>
        <w:rPr>
          <w:sz w:val="22"/>
          <w:szCs w:val="22"/>
        </w:rPr>
      </w:pPr>
    </w:p>
    <w:p w14:paraId="6E878760" w14:textId="37C0EA6B" w:rsidR="00D00376" w:rsidRPr="00BC434A" w:rsidRDefault="00D00376" w:rsidP="00D77C70">
      <w:pPr>
        <w:pStyle w:val="BodyTextMain"/>
      </w:pPr>
      <w:r w:rsidRPr="00BC434A">
        <w:t>The harsh reality was that the market share data showed th</w:t>
      </w:r>
      <w:r w:rsidR="0090789C" w:rsidRPr="00BC434A">
        <w:t>at overall KITKAT sales were</w:t>
      </w:r>
      <w:r w:rsidRPr="00BC434A">
        <w:t xml:space="preserve"> flat</w:t>
      </w:r>
      <w:r w:rsidR="00832F8D" w:rsidRPr="00BC434A">
        <w:t>,</w:t>
      </w:r>
      <w:r w:rsidRPr="00BC434A">
        <w:t xml:space="preserve"> even with all of the incredible advancements that </w:t>
      </w:r>
      <w:r w:rsidR="00851642" w:rsidRPr="00BC434A">
        <w:t xml:space="preserve">Nestlé Japan </w:t>
      </w:r>
      <w:r w:rsidRPr="00BC434A">
        <w:t xml:space="preserve">had made since </w:t>
      </w:r>
      <w:r w:rsidR="00851642" w:rsidRPr="00BC434A">
        <w:t>its</w:t>
      </w:r>
      <w:r w:rsidRPr="00BC434A">
        <w:t xml:space="preserve"> original efforts to revitalize the KITKAT brand. Worse yet, in </w:t>
      </w:r>
      <w:r w:rsidR="00832F8D" w:rsidRPr="00BC434A">
        <w:t xml:space="preserve">its </w:t>
      </w:r>
      <w:r w:rsidRPr="00BC434A">
        <w:t xml:space="preserve">2009 report on the Japanese confectionery market, research consultancy Datamonitor </w:t>
      </w:r>
      <w:r w:rsidR="004D7923" w:rsidRPr="00BC434A">
        <w:t xml:space="preserve">projected a </w:t>
      </w:r>
      <w:r w:rsidR="00420389" w:rsidRPr="00BC434A">
        <w:t>meagre</w:t>
      </w:r>
      <w:r w:rsidR="00851642" w:rsidRPr="00BC434A">
        <w:t xml:space="preserve"> </w:t>
      </w:r>
      <w:r w:rsidR="004D7923" w:rsidRPr="00BC434A">
        <w:t>1.2 per cent</w:t>
      </w:r>
      <w:r w:rsidRPr="00BC434A">
        <w:t xml:space="preserve"> </w:t>
      </w:r>
      <w:r w:rsidR="00875189" w:rsidRPr="00BC434A">
        <w:t xml:space="preserve">compound annual growth rate </w:t>
      </w:r>
      <w:r w:rsidR="009B4DBB" w:rsidRPr="00BC434A">
        <w:t xml:space="preserve">(CAGR) </w:t>
      </w:r>
      <w:r w:rsidRPr="00BC434A">
        <w:t>for the five years between 2009 and 2014</w:t>
      </w:r>
      <w:r w:rsidR="009D3F52" w:rsidRPr="00BC434A">
        <w:t xml:space="preserve"> (</w:t>
      </w:r>
      <w:r w:rsidR="004D7923" w:rsidRPr="00BC434A">
        <w:t xml:space="preserve">see </w:t>
      </w:r>
      <w:r w:rsidR="009D3F52" w:rsidRPr="00BC434A">
        <w:t xml:space="preserve">Exhibit </w:t>
      </w:r>
      <w:r w:rsidR="00CF7A12" w:rsidRPr="00BC434A">
        <w:t>2</w:t>
      </w:r>
      <w:r w:rsidR="009D3F52" w:rsidRPr="00BC434A">
        <w:t>)</w:t>
      </w:r>
      <w:r w:rsidRPr="00BC434A">
        <w:t xml:space="preserve">, </w:t>
      </w:r>
      <w:r w:rsidR="00851642" w:rsidRPr="00BC434A">
        <w:t xml:space="preserve">which meant Japan was </w:t>
      </w:r>
      <w:r w:rsidRPr="00BC434A">
        <w:t>far outpaced by other marke</w:t>
      </w:r>
      <w:r w:rsidR="00344F57" w:rsidRPr="00BC434A">
        <w:t>ts in Asia</w:t>
      </w:r>
      <w:r w:rsidR="00920090" w:rsidRPr="00BC434A">
        <w:t>,</w:t>
      </w:r>
      <w:r w:rsidR="00344F57" w:rsidRPr="00BC434A">
        <w:t xml:space="preserve"> like India and China:</w:t>
      </w:r>
    </w:p>
    <w:p w14:paraId="606154D3" w14:textId="77777777" w:rsidR="00D00376" w:rsidRPr="00BC434A" w:rsidRDefault="00D00376" w:rsidP="00D00376">
      <w:pPr>
        <w:rPr>
          <w:sz w:val="22"/>
          <w:szCs w:val="22"/>
        </w:rPr>
      </w:pPr>
    </w:p>
    <w:p w14:paraId="110012AC" w14:textId="608D661B" w:rsidR="00D00376" w:rsidRPr="00BC434A" w:rsidRDefault="00D00376" w:rsidP="00D77C70">
      <w:pPr>
        <w:pStyle w:val="BodyTextMain"/>
        <w:ind w:left="720"/>
      </w:pPr>
      <w:r w:rsidRPr="00BC434A">
        <w:t>Chocolate sales proved the most lucrative for the Japanese confectionery market in 2009, generating total revenues of</w:t>
      </w:r>
      <w:r w:rsidR="004D7923" w:rsidRPr="00BC434A">
        <w:t xml:space="preserve"> </w:t>
      </w:r>
      <w:r w:rsidR="00533024" w:rsidRPr="00BC434A">
        <w:t>US</w:t>
      </w:r>
      <w:r w:rsidR="004D7923" w:rsidRPr="00BC434A">
        <w:t>$5.1 billion,</w:t>
      </w:r>
      <w:r w:rsidR="00533024" w:rsidRPr="00BC434A">
        <w:rPr>
          <w:rStyle w:val="FootnoteReference"/>
        </w:rPr>
        <w:footnoteReference w:id="1"/>
      </w:r>
      <w:r w:rsidR="004D7923" w:rsidRPr="00BC434A">
        <w:t xml:space="preserve"> equivalent to 52 per cent</w:t>
      </w:r>
      <w:r w:rsidRPr="00BC434A">
        <w:t xml:space="preserve"> of the </w:t>
      </w:r>
      <w:r w:rsidR="00053F5A" w:rsidRPr="00BC434A">
        <w:t xml:space="preserve">market’s </w:t>
      </w:r>
      <w:r w:rsidRPr="00BC434A">
        <w:t xml:space="preserve">overall value. In comparison, sales of sugar confectionery generated revenues of $3.1 </w:t>
      </w:r>
      <w:r w:rsidR="004D7923" w:rsidRPr="00BC434A">
        <w:t>billion in 2009, equating to 32 per cent</w:t>
      </w:r>
      <w:r w:rsidRPr="00BC434A">
        <w:t xml:space="preserve"> of the </w:t>
      </w:r>
      <w:r w:rsidR="00053F5A" w:rsidRPr="00BC434A">
        <w:t xml:space="preserve">market’s </w:t>
      </w:r>
      <w:r w:rsidRPr="00BC434A">
        <w:t>aggregate revenues.</w:t>
      </w:r>
    </w:p>
    <w:p w14:paraId="4AD9192A" w14:textId="77777777" w:rsidR="00D00376" w:rsidRPr="00BC434A" w:rsidRDefault="00D00376" w:rsidP="00D77C70">
      <w:pPr>
        <w:pStyle w:val="BodyTextMain"/>
        <w:ind w:left="720"/>
      </w:pPr>
    </w:p>
    <w:p w14:paraId="05A74172" w14:textId="31150DB2" w:rsidR="00D00376" w:rsidRPr="00BC434A" w:rsidRDefault="00D00376" w:rsidP="00D77C70">
      <w:pPr>
        <w:pStyle w:val="BodyTextMain"/>
        <w:ind w:left="720"/>
      </w:pPr>
      <w:r w:rsidRPr="00BC434A">
        <w:t xml:space="preserve">The performance of the market is forecast to accelerate slightly, </w:t>
      </w:r>
      <w:r w:rsidR="004D7923" w:rsidRPr="00BC434A">
        <w:t>with an anticipated CAGR of 1.2 per cent</w:t>
      </w:r>
      <w:r w:rsidRPr="00BC434A">
        <w:t xml:space="preserve"> for the five-year period 2009</w:t>
      </w:r>
      <w:r w:rsidR="00053F5A" w:rsidRPr="00BC434A">
        <w:t>–</w:t>
      </w:r>
      <w:r w:rsidRPr="00BC434A">
        <w:t>2014, which is expected to drive the market to a value of $10.4 billion by the end of 2014. Comparatively, the Chinese and Indian mark</w:t>
      </w:r>
      <w:r w:rsidR="004D7923" w:rsidRPr="00BC434A">
        <w:t>ets will grow with CAGRs of 5.6 per cent and 12.2 per cent</w:t>
      </w:r>
      <w:r w:rsidR="00053F5A" w:rsidRPr="00BC434A">
        <w:t>,</w:t>
      </w:r>
      <w:r w:rsidR="004D7923" w:rsidRPr="00BC434A">
        <w:t xml:space="preserve"> </w:t>
      </w:r>
      <w:r w:rsidRPr="00BC434A">
        <w:t xml:space="preserve">respectively, over the same period, to reach respective values of $8.6 </w:t>
      </w:r>
      <w:r w:rsidR="00344F57" w:rsidRPr="00BC434A">
        <w:t>billion and $2 billion in 2014.</w:t>
      </w:r>
      <w:r w:rsidRPr="00BC434A">
        <w:rPr>
          <w:rStyle w:val="FootnoteReference"/>
        </w:rPr>
        <w:footnoteReference w:id="2"/>
      </w:r>
    </w:p>
    <w:p w14:paraId="48A128CA" w14:textId="673FF669" w:rsidR="00D00376" w:rsidRPr="00BC434A" w:rsidRDefault="00D00376" w:rsidP="00D77C70">
      <w:pPr>
        <w:pStyle w:val="BodyTextMain"/>
      </w:pPr>
      <w:r w:rsidRPr="00BC434A">
        <w:lastRenderedPageBreak/>
        <w:t>While Nestlé Japan still lagged behind other m</w:t>
      </w:r>
      <w:r w:rsidR="004D7923" w:rsidRPr="00BC434A">
        <w:t>ajor manufacturers within Japan’</w:t>
      </w:r>
      <w:r w:rsidRPr="00BC434A">
        <w:t xml:space="preserve">s confectionery market in terms of total market share, KITKAT itself was close to becoming the </w:t>
      </w:r>
      <w:r w:rsidR="00053F5A" w:rsidRPr="00BC434A">
        <w:t>top-</w:t>
      </w:r>
      <w:r w:rsidRPr="00BC434A">
        <w:t xml:space="preserve">selling chocolate brand in the market, with only a few percentage </w:t>
      </w:r>
      <w:r w:rsidR="004D7923" w:rsidRPr="00BC434A">
        <w:t xml:space="preserve">points separating it from </w:t>
      </w:r>
      <w:r w:rsidR="007F16E5" w:rsidRPr="00BC434A">
        <w:t xml:space="preserve">Ezaki </w:t>
      </w:r>
      <w:r w:rsidR="004D7923" w:rsidRPr="00BC434A">
        <w:t>Glico</w:t>
      </w:r>
      <w:r w:rsidR="007F16E5" w:rsidRPr="00BC434A">
        <w:t xml:space="preserve"> Co., Ltd</w:t>
      </w:r>
      <w:r w:rsidR="004D7923" w:rsidRPr="00BC434A">
        <w:t>’</w:t>
      </w:r>
      <w:r w:rsidRPr="00BC434A">
        <w:t>s top-selling Po</w:t>
      </w:r>
      <w:r w:rsidR="00420389" w:rsidRPr="00BC434A">
        <w:t>c</w:t>
      </w:r>
      <w:r w:rsidRPr="00BC434A">
        <w:t>ky brand.</w:t>
      </w:r>
    </w:p>
    <w:p w14:paraId="69A69A08" w14:textId="77777777" w:rsidR="00D00376" w:rsidRPr="00BC434A" w:rsidRDefault="00D00376" w:rsidP="00D77C70">
      <w:pPr>
        <w:pStyle w:val="BodyTextMain"/>
      </w:pPr>
    </w:p>
    <w:p w14:paraId="37701E24" w14:textId="41F1D197" w:rsidR="00D00376" w:rsidRPr="00BC434A" w:rsidRDefault="00D00376" w:rsidP="00D77C70">
      <w:pPr>
        <w:pStyle w:val="BodyTextMain"/>
      </w:pPr>
      <w:r w:rsidRPr="00BC434A">
        <w:t xml:space="preserve">As Maki and Ishibashi reviewed the details of the report data and the measures that </w:t>
      </w:r>
      <w:r w:rsidR="00851642" w:rsidRPr="00BC434A">
        <w:t>had</w:t>
      </w:r>
      <w:r w:rsidRPr="00BC434A">
        <w:t xml:space="preserve"> to </w:t>
      </w:r>
      <w:r w:rsidR="00851642" w:rsidRPr="00BC434A">
        <w:t xml:space="preserve">be </w:t>
      </w:r>
      <w:r w:rsidRPr="00BC434A">
        <w:t xml:space="preserve">put in place to deal with them, it was clear that answering the following two questions was vital </w:t>
      </w:r>
      <w:r w:rsidR="00B343B1" w:rsidRPr="00BC434A">
        <w:t xml:space="preserve">for </w:t>
      </w:r>
      <w:r w:rsidRPr="00BC434A">
        <w:t>spark</w:t>
      </w:r>
      <w:r w:rsidR="00B343B1" w:rsidRPr="00BC434A">
        <w:t>ing</w:t>
      </w:r>
      <w:r w:rsidRPr="00BC434A">
        <w:t xml:space="preserve"> their efforts to reignite the growth of KITKAT going forward:</w:t>
      </w:r>
    </w:p>
    <w:p w14:paraId="634120DF" w14:textId="77777777" w:rsidR="00D00376" w:rsidRPr="00BC434A" w:rsidRDefault="00D00376" w:rsidP="00D00376">
      <w:pPr>
        <w:rPr>
          <w:sz w:val="22"/>
          <w:szCs w:val="22"/>
        </w:rPr>
      </w:pPr>
    </w:p>
    <w:p w14:paraId="5496E407" w14:textId="77777777" w:rsidR="00D00376" w:rsidRPr="00BC434A" w:rsidRDefault="00D00376" w:rsidP="00D00376">
      <w:pPr>
        <w:pStyle w:val="ListParagraph"/>
        <w:widowControl w:val="0"/>
        <w:numPr>
          <w:ilvl w:val="0"/>
          <w:numId w:val="28"/>
        </w:numPr>
        <w:contextualSpacing w:val="0"/>
      </w:pPr>
      <w:r w:rsidRPr="00BC434A">
        <w:t>How could they maintain and grow the identity of the KITKAT brand while simultaneously addressing the issue of sweetness?</w:t>
      </w:r>
    </w:p>
    <w:p w14:paraId="3BB6B24A" w14:textId="77777777" w:rsidR="00D00376" w:rsidRPr="00BC434A" w:rsidRDefault="00D00376" w:rsidP="00D00376">
      <w:pPr>
        <w:pStyle w:val="ListParagraph"/>
        <w:widowControl w:val="0"/>
        <w:numPr>
          <w:ilvl w:val="0"/>
          <w:numId w:val="28"/>
        </w:numPr>
        <w:contextualSpacing w:val="0"/>
      </w:pPr>
      <w:r w:rsidRPr="00BC434A">
        <w:t xml:space="preserve">How could they further build upon the premiumization initiatives that they had so effectively championed over the past few years?  </w:t>
      </w:r>
    </w:p>
    <w:p w14:paraId="6AE2A13D" w14:textId="77777777" w:rsidR="00D00376" w:rsidRPr="00BC434A" w:rsidRDefault="00D00376" w:rsidP="00D00376">
      <w:pPr>
        <w:widowControl w:val="0"/>
      </w:pPr>
    </w:p>
    <w:p w14:paraId="135091A1" w14:textId="1C499781" w:rsidR="00D00376" w:rsidRPr="00BC434A" w:rsidRDefault="00D00376" w:rsidP="00D77C70">
      <w:pPr>
        <w:pStyle w:val="BodyTextMain"/>
      </w:pPr>
      <w:r w:rsidRPr="00BC434A">
        <w:t xml:space="preserve">As overall confectionery sales </w:t>
      </w:r>
      <w:r w:rsidR="00937337" w:rsidRPr="00BC434A">
        <w:t xml:space="preserve">in Japan </w:t>
      </w:r>
      <w:r w:rsidRPr="00BC434A">
        <w:t>were pr</w:t>
      </w:r>
      <w:r w:rsidR="004D7923" w:rsidRPr="00BC434A">
        <w:t xml:space="preserve">ojected to </w:t>
      </w:r>
      <w:r w:rsidR="00875189" w:rsidRPr="00BC434A">
        <w:t xml:space="preserve">have a CAGR of </w:t>
      </w:r>
      <w:r w:rsidR="004D7923" w:rsidRPr="00BC434A">
        <w:t>1.2 per cent</w:t>
      </w:r>
      <w:r w:rsidRPr="00BC434A">
        <w:t xml:space="preserve"> overall as a category, continuing to move the KITKAT brand into a more premium category would enable Nestlé Japan to continue to grow overall profitability. The question that needed to be answered now was </w:t>
      </w:r>
      <w:r w:rsidR="00053F5A" w:rsidRPr="00BC434A">
        <w:t xml:space="preserve">how </w:t>
      </w:r>
      <w:r w:rsidRPr="00BC434A">
        <w:t>exactly to make this happen.</w:t>
      </w:r>
    </w:p>
    <w:p w14:paraId="14EF99B1" w14:textId="77777777" w:rsidR="00D00376" w:rsidRPr="00BC434A" w:rsidRDefault="00D00376" w:rsidP="00D77C70">
      <w:pPr>
        <w:pStyle w:val="BodyTextMain"/>
      </w:pPr>
    </w:p>
    <w:p w14:paraId="46E7EABA" w14:textId="2989370C" w:rsidR="00D00376" w:rsidRPr="00BC434A" w:rsidRDefault="00BD5575" w:rsidP="00D77C70">
      <w:pPr>
        <w:pStyle w:val="BodyTextMain"/>
      </w:pPr>
      <w:r w:rsidRPr="00BC434A">
        <w:rPr>
          <w:noProof/>
          <w:lang w:val="en-CA" w:eastAsia="en-CA"/>
        </w:rPr>
        <mc:AlternateContent>
          <mc:Choice Requires="wps">
            <w:drawing>
              <wp:anchor distT="45720" distB="45720" distL="114300" distR="114300" simplePos="0" relativeHeight="251658240" behindDoc="0" locked="0" layoutInCell="1" allowOverlap="1" wp14:anchorId="7010057B" wp14:editId="17836F08">
                <wp:simplePos x="0" y="0"/>
                <wp:positionH relativeFrom="margin">
                  <wp:align>center</wp:align>
                </wp:positionH>
                <wp:positionV relativeFrom="paragraph">
                  <wp:posOffset>981710</wp:posOffset>
                </wp:positionV>
                <wp:extent cx="5413248" cy="256032"/>
                <wp:effectExtent l="0" t="0" r="16510" b="10795"/>
                <wp:wrapTight wrapText="bothSides">
                  <wp:wrapPolygon edited="0">
                    <wp:start x="0" y="0"/>
                    <wp:lineTo x="0" y="20903"/>
                    <wp:lineTo x="21590" y="20903"/>
                    <wp:lineTo x="21590"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3248" cy="256032"/>
                        </a:xfrm>
                        <a:prstGeom prst="rect">
                          <a:avLst/>
                        </a:prstGeom>
                        <a:solidFill>
                          <a:srgbClr val="FFFFFF"/>
                        </a:solidFill>
                        <a:ln w="9525">
                          <a:solidFill>
                            <a:srgbClr val="000000"/>
                          </a:solidFill>
                          <a:miter lim="800000"/>
                          <a:headEnd/>
                          <a:tailEnd/>
                        </a:ln>
                      </wps:spPr>
                      <wps:txbx>
                        <w:txbxContent>
                          <w:p w14:paraId="466E039C" w14:textId="553C5554" w:rsidR="00D77C70" w:rsidRDefault="004561D6" w:rsidP="00DA162D">
                            <w:pPr>
                              <w:pStyle w:val="Footnote"/>
                            </w:pPr>
                            <w:r>
                              <w:t>Philip Sugai is a professor of marketing at Doshisha University Graduate School of Business, Kyoto,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10057B" id="_x0000_t202" coordsize="21600,21600" o:spt="202" path="m,l,21600r21600,l21600,xe">
                <v:stroke joinstyle="miter"/>
                <v:path gradientshapeok="t" o:connecttype="rect"/>
              </v:shapetype>
              <v:shape id="Text Box 7" o:spid="_x0000_s1026" type="#_x0000_t202" style="position:absolute;left:0;text-align:left;margin-left:0;margin-top:77.3pt;width:426.25pt;height:20.1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">
                <v:textbox>
                  <w:txbxContent>
                    <w:p w14:paraId="466E039C" w14:textId="553C5554" w:rsidR="00D77C70" w:rsidRDefault="004561D6" w:rsidP="00DA162D">
                      <w:pPr>
                        <w:pStyle w:val="Footnote"/>
                      </w:pPr>
                      <w:r>
                        <w:t>Philip Sugai is a professor of marketing at Doshisha University Graduate School of Business, Kyoto, Japan.</w:t>
                      </w:r>
                    </w:p>
                  </w:txbxContent>
                </v:textbox>
                <w10:wrap type="tight" anchorx="margin"/>
              </v:shape>
            </w:pict>
          </mc:Fallback>
        </mc:AlternateContent>
      </w:r>
      <w:r w:rsidR="00D00376" w:rsidRPr="00BC434A">
        <w:t xml:space="preserve">The entire KITKAT team recognized the hard challenges that lay </w:t>
      </w:r>
      <w:r w:rsidR="00053F5A" w:rsidRPr="00BC434A">
        <w:t>ahead</w:t>
      </w:r>
      <w:r w:rsidR="00D00376" w:rsidRPr="00BC434A">
        <w:t xml:space="preserve">, and </w:t>
      </w:r>
      <w:r w:rsidR="00053F5A" w:rsidRPr="00BC434A">
        <w:t xml:space="preserve">members </w:t>
      </w:r>
      <w:r w:rsidR="00D00376" w:rsidRPr="00BC434A">
        <w:t xml:space="preserve">were feeling </w:t>
      </w:r>
      <w:r w:rsidR="00053F5A" w:rsidRPr="00BC434A">
        <w:t xml:space="preserve">that </w:t>
      </w:r>
      <w:r w:rsidR="00D00376" w:rsidRPr="00BC434A">
        <w:t>the KITKAT message</w:t>
      </w:r>
      <w:r w:rsidR="004D7923" w:rsidRPr="00BC434A">
        <w:t xml:space="preserve"> of </w:t>
      </w:r>
      <w:r w:rsidR="004561D6" w:rsidRPr="00BC434A">
        <w:rPr>
          <w:i/>
        </w:rPr>
        <w:t>kitto katsu</w:t>
      </w:r>
      <w:r w:rsidR="004561D6" w:rsidRPr="00BC434A">
        <w:t xml:space="preserve"> </w:t>
      </w:r>
      <w:r w:rsidR="00D00376" w:rsidRPr="00BC434A">
        <w:t>was even appropriate to their own efforts at work. They knew that there definitely was a way to succeed, but exactly how to create the path to the next level of success remained frustratingly unclear.</w:t>
      </w:r>
      <w:r w:rsidR="00D77C70" w:rsidRPr="00BC434A">
        <w:t xml:space="preserve"> </w:t>
      </w:r>
      <w:r w:rsidR="00D00376" w:rsidRPr="00BC434A">
        <w:br w:type="page"/>
      </w:r>
    </w:p>
    <w:p w14:paraId="4A24A9BA" w14:textId="1277B589" w:rsidR="009D3F52" w:rsidRPr="00BC434A" w:rsidRDefault="009D3F52" w:rsidP="009D3F52">
      <w:pPr>
        <w:jc w:val="center"/>
        <w:rPr>
          <w:rFonts w:ascii="Arial" w:hAnsi="Arial" w:cs="Arial"/>
          <w:b/>
        </w:rPr>
      </w:pPr>
      <w:r w:rsidRPr="00BC434A">
        <w:rPr>
          <w:rFonts w:ascii="Arial" w:hAnsi="Arial" w:cs="Arial"/>
          <w:b/>
        </w:rPr>
        <w:lastRenderedPageBreak/>
        <w:t xml:space="preserve">EXHIBIT </w:t>
      </w:r>
      <w:r w:rsidR="00AF551C" w:rsidRPr="00BC434A">
        <w:rPr>
          <w:rFonts w:ascii="Arial" w:hAnsi="Arial" w:cs="Arial"/>
          <w:b/>
        </w:rPr>
        <w:t>1: KITKAT MAIL</w:t>
      </w:r>
      <w:r w:rsidR="00053F5A" w:rsidRPr="00BC434A">
        <w:rPr>
          <w:rFonts w:ascii="Arial" w:hAnsi="Arial" w:cs="Arial"/>
          <w:b/>
        </w:rPr>
        <w:t>—</w:t>
      </w:r>
      <w:r w:rsidR="00AF551C" w:rsidRPr="00BC434A">
        <w:rPr>
          <w:rFonts w:ascii="Arial" w:hAnsi="Arial" w:cs="Arial"/>
          <w:b/>
        </w:rPr>
        <w:t>DISTRIBUTING K</w:t>
      </w:r>
      <w:r w:rsidRPr="00BC434A">
        <w:rPr>
          <w:rFonts w:ascii="Arial" w:hAnsi="Arial" w:cs="Arial"/>
          <w:b/>
        </w:rPr>
        <w:t>I</w:t>
      </w:r>
      <w:r w:rsidR="00067B5A" w:rsidRPr="00BC434A">
        <w:rPr>
          <w:rFonts w:ascii="Arial" w:hAnsi="Arial" w:cs="Arial"/>
          <w:b/>
        </w:rPr>
        <w:t>T</w:t>
      </w:r>
      <w:r w:rsidRPr="00BC434A">
        <w:rPr>
          <w:rFonts w:ascii="Arial" w:hAnsi="Arial" w:cs="Arial"/>
          <w:b/>
        </w:rPr>
        <w:t>KAT THROUGH POST OFFICES ACROSS JAPAN</w:t>
      </w:r>
    </w:p>
    <w:p w14:paraId="7B901B55" w14:textId="77777777" w:rsidR="009D3F52" w:rsidRPr="00BC434A" w:rsidRDefault="009D3F52" w:rsidP="009D3F52">
      <w:pPr>
        <w:jc w:val="center"/>
        <w:rPr>
          <w:sz w:val="22"/>
          <w:szCs w:val="22"/>
        </w:rPr>
      </w:pPr>
    </w:p>
    <w:p w14:paraId="6275991E" w14:textId="77777777" w:rsidR="009D3F52" w:rsidRPr="00BC434A" w:rsidRDefault="009D3F52" w:rsidP="009D3F52">
      <w:pPr>
        <w:jc w:val="center"/>
        <w:rPr>
          <w:sz w:val="22"/>
          <w:szCs w:val="22"/>
        </w:rPr>
      </w:pPr>
      <w:r w:rsidRPr="00BC434A">
        <w:rPr>
          <w:noProof/>
          <w:sz w:val="22"/>
          <w:szCs w:val="22"/>
          <w:lang w:val="en-CA" w:eastAsia="en-CA"/>
        </w:rPr>
        <w:drawing>
          <wp:inline distT="0" distB="0" distL="0" distR="0" wp14:anchorId="31AF426F" wp14:editId="5A8EC364">
            <wp:extent cx="3093057" cy="2315497"/>
            <wp:effectExtent l="0" t="0" r="0" b="8890"/>
            <wp:docPr id="8" name="Picture 0" descr="KIT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KAT.jpg"/>
                    <pic:cNvPicPr/>
                  </pic:nvPicPr>
                  <pic:blipFill>
                    <a:blip r:embed="rId11" cstate="email">
                      <a:grayscl/>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3156731" cy="2363164"/>
                    </a:xfrm>
                    <a:prstGeom prst="rect">
                      <a:avLst/>
                    </a:prstGeom>
                  </pic:spPr>
                </pic:pic>
              </a:graphicData>
            </a:graphic>
          </wp:inline>
        </w:drawing>
      </w:r>
    </w:p>
    <w:p w14:paraId="547FFCDF" w14:textId="77777777" w:rsidR="009D3F52" w:rsidRPr="00BC434A" w:rsidRDefault="009D3F52" w:rsidP="009D3F52">
      <w:pPr>
        <w:jc w:val="center"/>
        <w:rPr>
          <w:sz w:val="22"/>
          <w:szCs w:val="22"/>
        </w:rPr>
      </w:pPr>
    </w:p>
    <w:p w14:paraId="4D14E335" w14:textId="5E09D961" w:rsidR="00D77C70" w:rsidRPr="00BC434A" w:rsidRDefault="00D77C70" w:rsidP="00D77C70">
      <w:pPr>
        <w:pStyle w:val="Footnote"/>
      </w:pPr>
      <w:r w:rsidRPr="00BC434A">
        <w:t>Source:</w:t>
      </w:r>
      <w:r w:rsidR="00067B5A" w:rsidRPr="00BC434A">
        <w:t xml:space="preserve"> </w:t>
      </w:r>
      <w:r w:rsidR="00521539" w:rsidRPr="00BC434A">
        <w:t>Company</w:t>
      </w:r>
      <w:r w:rsidR="00053F5A" w:rsidRPr="00BC434A">
        <w:t xml:space="preserve"> documents.</w:t>
      </w:r>
    </w:p>
    <w:p w14:paraId="355D4D2F" w14:textId="77777777" w:rsidR="009D3F52" w:rsidRPr="00BC434A" w:rsidRDefault="009D3F52" w:rsidP="009D3F52">
      <w:pPr>
        <w:jc w:val="center"/>
        <w:rPr>
          <w:sz w:val="22"/>
          <w:szCs w:val="22"/>
        </w:rPr>
      </w:pPr>
    </w:p>
    <w:p w14:paraId="6CEAD7D7" w14:textId="77777777" w:rsidR="00B51B41" w:rsidRPr="00BC434A" w:rsidRDefault="00B51B41" w:rsidP="009D3F52">
      <w:pPr>
        <w:jc w:val="center"/>
        <w:rPr>
          <w:sz w:val="22"/>
          <w:szCs w:val="22"/>
        </w:rPr>
      </w:pPr>
    </w:p>
    <w:p w14:paraId="2AE1EED6" w14:textId="54C633E6" w:rsidR="003C2630" w:rsidRPr="00BC434A" w:rsidRDefault="003C2630" w:rsidP="003C2630">
      <w:pPr>
        <w:pStyle w:val="ExhibitHeading"/>
        <w:rPr>
          <w:rFonts w:eastAsiaTheme="minorEastAsia"/>
          <w:lang w:eastAsia="ja-JP"/>
        </w:rPr>
      </w:pPr>
      <w:r w:rsidRPr="00BC434A">
        <w:rPr>
          <w:rFonts w:eastAsiaTheme="minorEastAsia"/>
          <w:lang w:eastAsia="ja-JP"/>
        </w:rPr>
        <w:t>EXHIBIT 2</w:t>
      </w:r>
      <w:r w:rsidR="004A7358" w:rsidRPr="00BC434A">
        <w:rPr>
          <w:rFonts w:eastAsiaTheme="minorEastAsia"/>
          <w:lang w:eastAsia="ja-JP"/>
        </w:rPr>
        <w:t>:</w:t>
      </w:r>
      <w:r w:rsidRPr="00BC434A">
        <w:rPr>
          <w:rFonts w:eastAsiaTheme="minorEastAsia"/>
          <w:lang w:eastAsia="ja-JP"/>
        </w:rPr>
        <w:t xml:space="preserve"> Japan’s confection</w:t>
      </w:r>
      <w:r w:rsidR="00194B96" w:rsidRPr="00BC434A">
        <w:rPr>
          <w:rFonts w:eastAsiaTheme="minorEastAsia"/>
          <w:lang w:eastAsia="ja-JP"/>
        </w:rPr>
        <w:t>E</w:t>
      </w:r>
      <w:r w:rsidRPr="00BC434A">
        <w:rPr>
          <w:rFonts w:eastAsiaTheme="minorEastAsia"/>
          <w:lang w:eastAsia="ja-JP"/>
        </w:rPr>
        <w:t>ry sales</w:t>
      </w:r>
      <w:r w:rsidR="007F16E5" w:rsidRPr="00BC434A">
        <w:rPr>
          <w:rFonts w:eastAsiaTheme="minorEastAsia"/>
          <w:lang w:eastAsia="ja-JP"/>
        </w:rPr>
        <w:t xml:space="preserve"> by volume</w:t>
      </w:r>
      <w:r w:rsidR="004A7358" w:rsidRPr="00BC434A">
        <w:rPr>
          <w:rFonts w:eastAsiaTheme="minorEastAsia"/>
          <w:lang w:eastAsia="ja-JP"/>
        </w:rPr>
        <w:t>,</w:t>
      </w:r>
      <w:r w:rsidRPr="00BC434A">
        <w:rPr>
          <w:rFonts w:eastAsiaTheme="minorEastAsia"/>
          <w:lang w:eastAsia="ja-JP"/>
        </w:rPr>
        <w:t xml:space="preserve"> </w:t>
      </w:r>
      <w:r w:rsidR="007F16E5" w:rsidRPr="00BC434A">
        <w:rPr>
          <w:rFonts w:eastAsiaTheme="minorEastAsia"/>
          <w:lang w:eastAsia="ja-JP"/>
        </w:rPr>
        <w:t>2005-</w:t>
      </w:r>
      <w:r w:rsidRPr="00BC434A">
        <w:rPr>
          <w:rFonts w:eastAsiaTheme="minorEastAsia"/>
          <w:lang w:eastAsia="ja-JP"/>
        </w:rPr>
        <w:t>2009</w:t>
      </w:r>
    </w:p>
    <w:p w14:paraId="38945106" w14:textId="77777777" w:rsidR="003C2630" w:rsidRPr="00BC434A" w:rsidRDefault="003C2630" w:rsidP="003C2630">
      <w:pPr>
        <w:jc w:val="center"/>
        <w:rPr>
          <w:rFonts w:eastAsiaTheme="minorEastAsia"/>
          <w:b/>
          <w:sz w:val="22"/>
          <w:szCs w:val="22"/>
          <w:lang w:eastAsia="ja-JP"/>
        </w:rPr>
      </w:pPr>
    </w:p>
    <w:p w14:paraId="2CF51F62" w14:textId="77777777" w:rsidR="003C2630" w:rsidRPr="003A3DD0" w:rsidRDefault="003C2630" w:rsidP="003C2630">
      <w:pPr>
        <w:jc w:val="center"/>
        <w:rPr>
          <w:sz w:val="22"/>
          <w:szCs w:val="22"/>
        </w:rPr>
      </w:pPr>
      <w:r w:rsidRPr="00BC434A">
        <w:rPr>
          <w:lang w:eastAsia="ja-JP"/>
        </w:rPr>
        <w:t xml:space="preserve"> </w:t>
      </w:r>
      <w:r w:rsidRPr="003A3DD0">
        <w:rPr>
          <w:noProof/>
          <w:lang w:val="en-CA" w:eastAsia="en-CA"/>
        </w:rPr>
        <w:drawing>
          <wp:inline distT="0" distB="0" distL="0" distR="0" wp14:anchorId="3DD7206F" wp14:editId="7FC22883">
            <wp:extent cx="5398770" cy="2786332"/>
            <wp:effectExtent l="0" t="0" r="1143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00FFCB" w14:textId="77777777" w:rsidR="003C2630" w:rsidRPr="003A3DD0" w:rsidRDefault="003C2630" w:rsidP="003C2630">
      <w:pPr>
        <w:pStyle w:val="Footnote"/>
        <w:rPr>
          <w:sz w:val="16"/>
          <w:szCs w:val="16"/>
        </w:rPr>
      </w:pPr>
    </w:p>
    <w:tbl>
      <w:tblPr>
        <w:tblStyle w:val="GridTable4-Accent11"/>
        <w:tblW w:w="0" w:type="auto"/>
        <w:jc w:val="center"/>
        <w:tblLook w:val="04A0" w:firstRow="1" w:lastRow="0" w:firstColumn="1" w:lastColumn="0" w:noHBand="0" w:noVBand="1"/>
      </w:tblPr>
      <w:tblGrid>
        <w:gridCol w:w="2929"/>
        <w:gridCol w:w="2080"/>
      </w:tblGrid>
      <w:tr w:rsidR="009B227A" w:rsidRPr="00BC434A" w14:paraId="6F1E7D66" w14:textId="77777777" w:rsidTr="009B227A">
        <w:trPr>
          <w:cnfStyle w:val="100000000000" w:firstRow="1" w:lastRow="0" w:firstColumn="0" w:lastColumn="0" w:oddVBand="0" w:evenVBand="0" w:oddHBand="0"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5009" w:type="dxa"/>
            <w:gridSpan w:val="2"/>
            <w:shd w:val="clear" w:color="auto" w:fill="auto"/>
            <w:tcMar>
              <w:left w:w="58" w:type="dxa"/>
              <w:right w:w="58" w:type="dxa"/>
            </w:tcMar>
            <w:vAlign w:val="center"/>
          </w:tcPr>
          <w:p w14:paraId="5E61F5C5" w14:textId="77777777" w:rsidR="003C2630" w:rsidRPr="003A3DD0" w:rsidRDefault="003C2630" w:rsidP="00D15C19">
            <w:pPr>
              <w:jc w:val="center"/>
              <w:rPr>
                <w:rFonts w:ascii="Arial" w:hAnsi="Arial" w:cs="Arial"/>
                <w:color w:val="auto"/>
                <w:sz w:val="22"/>
                <w:szCs w:val="22"/>
              </w:rPr>
            </w:pPr>
            <w:r w:rsidRPr="003A3DD0">
              <w:rPr>
                <w:rFonts w:ascii="Arial" w:hAnsi="Arial" w:cs="Arial"/>
                <w:szCs w:val="22"/>
              </w:rPr>
              <w:t>Japan Confectionery Sales by Channel, 2009</w:t>
            </w:r>
          </w:p>
        </w:tc>
      </w:tr>
      <w:tr w:rsidR="003C2630" w:rsidRPr="00BC434A" w14:paraId="0F2E7C0D" w14:textId="77777777" w:rsidTr="009B227A">
        <w:trPr>
          <w:cnfStyle w:val="000000100000" w:firstRow="0" w:lastRow="0" w:firstColumn="0" w:lastColumn="0" w:oddVBand="0" w:evenVBand="0" w:oddHBand="1"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7FBDB567" w14:textId="77777777" w:rsidR="003C2630" w:rsidRPr="003A3DD0" w:rsidRDefault="003C2630" w:rsidP="00D15C19">
            <w:pPr>
              <w:rPr>
                <w:rFonts w:ascii="Arial" w:eastAsiaTheme="minorEastAsia" w:hAnsi="Arial" w:cs="Arial"/>
                <w:szCs w:val="22"/>
                <w:lang w:eastAsia="ja-JP"/>
              </w:rPr>
            </w:pPr>
            <w:r w:rsidRPr="003A3DD0">
              <w:rPr>
                <w:rFonts w:ascii="Arial" w:eastAsiaTheme="minorEastAsia" w:hAnsi="Arial" w:cs="Arial"/>
                <w:szCs w:val="22"/>
                <w:lang w:eastAsia="ja-JP"/>
              </w:rPr>
              <w:t>Channel</w:t>
            </w:r>
          </w:p>
        </w:tc>
        <w:tc>
          <w:tcPr>
            <w:tcW w:w="2080" w:type="dxa"/>
            <w:shd w:val="clear" w:color="auto" w:fill="auto"/>
            <w:tcMar>
              <w:left w:w="58" w:type="dxa"/>
              <w:right w:w="58" w:type="dxa"/>
            </w:tcMar>
            <w:vAlign w:val="center"/>
          </w:tcPr>
          <w:p w14:paraId="2BE51A4B" w14:textId="77777777" w:rsidR="003C2630" w:rsidRPr="003A3DD0" w:rsidRDefault="003C2630" w:rsidP="00D15C19">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szCs w:val="22"/>
                <w:lang w:eastAsia="ja-JP"/>
              </w:rPr>
            </w:pPr>
            <w:r w:rsidRPr="003A3DD0">
              <w:rPr>
                <w:rFonts w:ascii="Arial" w:eastAsiaTheme="minorEastAsia" w:hAnsi="Arial" w:cs="Arial"/>
                <w:b/>
                <w:szCs w:val="22"/>
                <w:lang w:eastAsia="ja-JP"/>
              </w:rPr>
              <w:t>% Share</w:t>
            </w:r>
          </w:p>
        </w:tc>
      </w:tr>
      <w:tr w:rsidR="003C2630" w:rsidRPr="00BC434A" w14:paraId="447295C0" w14:textId="77777777" w:rsidTr="009B227A">
        <w:trPr>
          <w:trHeight w:val="107"/>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0559B92C" w14:textId="77777777" w:rsidR="003C2630" w:rsidRPr="003A3DD0" w:rsidRDefault="003C2630" w:rsidP="00D15C19">
            <w:pPr>
              <w:rPr>
                <w:rFonts w:ascii="Arial" w:eastAsiaTheme="minorEastAsia" w:hAnsi="Arial" w:cs="Arial"/>
                <w:b w:val="0"/>
                <w:szCs w:val="22"/>
                <w:lang w:eastAsia="ja-JP"/>
              </w:rPr>
            </w:pPr>
            <w:r w:rsidRPr="003A3DD0">
              <w:rPr>
                <w:rFonts w:ascii="Arial" w:eastAsiaTheme="minorEastAsia" w:hAnsi="Arial" w:cs="Arial"/>
                <w:szCs w:val="22"/>
                <w:lang w:eastAsia="ja-JP"/>
              </w:rPr>
              <w:t>Independent Retailers</w:t>
            </w:r>
          </w:p>
        </w:tc>
        <w:tc>
          <w:tcPr>
            <w:tcW w:w="2080" w:type="dxa"/>
            <w:shd w:val="clear" w:color="auto" w:fill="auto"/>
            <w:tcMar>
              <w:left w:w="58" w:type="dxa"/>
              <w:right w:w="58" w:type="dxa"/>
            </w:tcMar>
            <w:vAlign w:val="center"/>
          </w:tcPr>
          <w:p w14:paraId="5E21742C" w14:textId="77777777" w:rsidR="003C2630" w:rsidRPr="003A3DD0" w:rsidRDefault="003C2630" w:rsidP="00D15C19">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2"/>
                <w:lang w:eastAsia="ja-JP"/>
              </w:rPr>
            </w:pPr>
            <w:r w:rsidRPr="003A3DD0">
              <w:rPr>
                <w:rFonts w:ascii="Arial" w:eastAsiaTheme="minorEastAsia" w:hAnsi="Arial" w:cs="Arial"/>
                <w:szCs w:val="22"/>
                <w:lang w:eastAsia="ja-JP"/>
              </w:rPr>
              <w:t>40.7</w:t>
            </w:r>
          </w:p>
        </w:tc>
      </w:tr>
      <w:tr w:rsidR="003C2630" w:rsidRPr="00BC434A" w14:paraId="0F13B086" w14:textId="77777777" w:rsidTr="009B227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7AE7B173" w14:textId="77777777" w:rsidR="003C2630" w:rsidRPr="003A3DD0" w:rsidRDefault="003C2630" w:rsidP="00D15C19">
            <w:pPr>
              <w:rPr>
                <w:rFonts w:ascii="Arial" w:eastAsiaTheme="minorEastAsia" w:hAnsi="Arial" w:cs="Arial"/>
                <w:b w:val="0"/>
                <w:szCs w:val="22"/>
                <w:lang w:eastAsia="ja-JP"/>
              </w:rPr>
            </w:pPr>
            <w:r w:rsidRPr="003A3DD0">
              <w:rPr>
                <w:rFonts w:ascii="Arial" w:eastAsiaTheme="minorEastAsia" w:hAnsi="Arial" w:cs="Arial"/>
                <w:szCs w:val="22"/>
                <w:lang w:eastAsia="ja-JP"/>
              </w:rPr>
              <w:t>Supermarkets/Hypermarkets</w:t>
            </w:r>
          </w:p>
        </w:tc>
        <w:tc>
          <w:tcPr>
            <w:tcW w:w="2080" w:type="dxa"/>
            <w:shd w:val="clear" w:color="auto" w:fill="auto"/>
            <w:tcMar>
              <w:left w:w="58" w:type="dxa"/>
              <w:right w:w="58" w:type="dxa"/>
            </w:tcMar>
            <w:vAlign w:val="center"/>
          </w:tcPr>
          <w:p w14:paraId="258F8CA7" w14:textId="77777777" w:rsidR="003C2630" w:rsidRPr="003A3DD0" w:rsidRDefault="003C2630" w:rsidP="00D15C19">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2"/>
                <w:lang w:eastAsia="ja-JP"/>
              </w:rPr>
            </w:pPr>
            <w:r w:rsidRPr="003A3DD0">
              <w:rPr>
                <w:rFonts w:ascii="Arial" w:eastAsiaTheme="minorEastAsia" w:hAnsi="Arial" w:cs="Arial"/>
                <w:szCs w:val="22"/>
                <w:lang w:eastAsia="ja-JP"/>
              </w:rPr>
              <w:t>23.3</w:t>
            </w:r>
          </w:p>
        </w:tc>
      </w:tr>
      <w:tr w:rsidR="003C2630" w:rsidRPr="00BC434A" w14:paraId="744959B2" w14:textId="77777777" w:rsidTr="009B227A">
        <w:trPr>
          <w:trHeight w:val="170"/>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0167AD98" w14:textId="77777777" w:rsidR="003C2630" w:rsidRPr="003A3DD0" w:rsidRDefault="003C2630" w:rsidP="00D15C19">
            <w:pPr>
              <w:rPr>
                <w:rFonts w:ascii="Arial" w:eastAsiaTheme="minorEastAsia" w:hAnsi="Arial" w:cs="Arial"/>
                <w:b w:val="0"/>
                <w:szCs w:val="22"/>
                <w:lang w:eastAsia="ja-JP"/>
              </w:rPr>
            </w:pPr>
            <w:r w:rsidRPr="003A3DD0">
              <w:rPr>
                <w:rFonts w:ascii="Arial" w:eastAsiaTheme="minorEastAsia" w:hAnsi="Arial" w:cs="Arial"/>
                <w:szCs w:val="22"/>
                <w:lang w:eastAsia="ja-JP"/>
              </w:rPr>
              <w:t>Convenience Stores</w:t>
            </w:r>
          </w:p>
        </w:tc>
        <w:tc>
          <w:tcPr>
            <w:tcW w:w="2080" w:type="dxa"/>
            <w:shd w:val="clear" w:color="auto" w:fill="auto"/>
            <w:tcMar>
              <w:left w:w="58" w:type="dxa"/>
              <w:right w:w="58" w:type="dxa"/>
            </w:tcMar>
            <w:vAlign w:val="center"/>
          </w:tcPr>
          <w:p w14:paraId="017B5A71" w14:textId="77777777" w:rsidR="003C2630" w:rsidRPr="003A3DD0" w:rsidRDefault="003C2630" w:rsidP="00D15C19">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2"/>
                <w:lang w:eastAsia="ja-JP"/>
              </w:rPr>
            </w:pPr>
            <w:r w:rsidRPr="003A3DD0">
              <w:rPr>
                <w:rFonts w:ascii="Arial" w:eastAsiaTheme="minorEastAsia" w:hAnsi="Arial" w:cs="Arial"/>
                <w:szCs w:val="22"/>
                <w:lang w:eastAsia="ja-JP"/>
              </w:rPr>
              <w:t>20.5</w:t>
            </w:r>
          </w:p>
        </w:tc>
      </w:tr>
      <w:tr w:rsidR="003C2630" w:rsidRPr="00BC434A" w14:paraId="64436E15" w14:textId="77777777" w:rsidTr="009B227A">
        <w:trPr>
          <w:cnfStyle w:val="000000100000" w:firstRow="0" w:lastRow="0" w:firstColumn="0" w:lastColumn="0" w:oddVBand="0" w:evenVBand="0" w:oddHBand="1"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3D02F34A" w14:textId="77777777" w:rsidR="003C2630" w:rsidRPr="003A3DD0" w:rsidRDefault="003C2630" w:rsidP="00D15C19">
            <w:pPr>
              <w:rPr>
                <w:rFonts w:ascii="Arial" w:eastAsiaTheme="minorEastAsia" w:hAnsi="Arial" w:cs="Arial"/>
                <w:b w:val="0"/>
                <w:szCs w:val="22"/>
                <w:lang w:eastAsia="ja-JP"/>
              </w:rPr>
            </w:pPr>
            <w:r w:rsidRPr="003A3DD0">
              <w:rPr>
                <w:rFonts w:ascii="Arial" w:eastAsiaTheme="minorEastAsia" w:hAnsi="Arial" w:cs="Arial"/>
                <w:szCs w:val="22"/>
                <w:lang w:eastAsia="ja-JP"/>
              </w:rPr>
              <w:t>Others</w:t>
            </w:r>
          </w:p>
        </w:tc>
        <w:tc>
          <w:tcPr>
            <w:tcW w:w="2080" w:type="dxa"/>
            <w:shd w:val="clear" w:color="auto" w:fill="auto"/>
            <w:tcMar>
              <w:left w:w="58" w:type="dxa"/>
              <w:right w:w="58" w:type="dxa"/>
            </w:tcMar>
            <w:vAlign w:val="center"/>
          </w:tcPr>
          <w:p w14:paraId="353C4582" w14:textId="77777777" w:rsidR="003C2630" w:rsidRPr="003A3DD0" w:rsidRDefault="003C2630" w:rsidP="00D15C19">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2"/>
                <w:lang w:eastAsia="ja-JP"/>
              </w:rPr>
            </w:pPr>
            <w:r w:rsidRPr="003A3DD0">
              <w:rPr>
                <w:rFonts w:ascii="Arial" w:eastAsiaTheme="minorEastAsia" w:hAnsi="Arial" w:cs="Arial"/>
                <w:szCs w:val="22"/>
                <w:lang w:eastAsia="ja-JP"/>
              </w:rPr>
              <w:t>15.5</w:t>
            </w:r>
          </w:p>
        </w:tc>
      </w:tr>
      <w:tr w:rsidR="003C2630" w:rsidRPr="00BC434A" w14:paraId="402407A1" w14:textId="77777777" w:rsidTr="009B227A">
        <w:trPr>
          <w:trHeight w:val="60"/>
          <w:jc w:val="center"/>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Mar>
              <w:left w:w="58" w:type="dxa"/>
              <w:right w:w="58" w:type="dxa"/>
            </w:tcMar>
            <w:vAlign w:val="center"/>
          </w:tcPr>
          <w:p w14:paraId="09E2FE03" w14:textId="77777777" w:rsidR="003C2630" w:rsidRPr="003A3DD0" w:rsidRDefault="003C2630" w:rsidP="00D15C19">
            <w:pPr>
              <w:rPr>
                <w:rFonts w:ascii="Arial" w:eastAsiaTheme="minorEastAsia" w:hAnsi="Arial" w:cs="Arial"/>
                <w:szCs w:val="22"/>
                <w:lang w:eastAsia="ja-JP"/>
              </w:rPr>
            </w:pPr>
            <w:r w:rsidRPr="003A3DD0">
              <w:rPr>
                <w:rFonts w:ascii="Arial" w:eastAsiaTheme="minorEastAsia" w:hAnsi="Arial" w:cs="Arial"/>
                <w:szCs w:val="22"/>
                <w:lang w:eastAsia="ja-JP"/>
              </w:rPr>
              <w:t>TOTAL</w:t>
            </w:r>
          </w:p>
        </w:tc>
        <w:tc>
          <w:tcPr>
            <w:tcW w:w="2080" w:type="dxa"/>
            <w:shd w:val="clear" w:color="auto" w:fill="auto"/>
            <w:tcMar>
              <w:left w:w="58" w:type="dxa"/>
              <w:right w:w="58" w:type="dxa"/>
            </w:tcMar>
            <w:vAlign w:val="center"/>
          </w:tcPr>
          <w:p w14:paraId="64377F85" w14:textId="77777777" w:rsidR="003C2630" w:rsidRPr="003A3DD0" w:rsidRDefault="003C2630" w:rsidP="00D15C19">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szCs w:val="22"/>
                <w:lang w:eastAsia="ja-JP"/>
              </w:rPr>
            </w:pPr>
            <w:r w:rsidRPr="003A3DD0">
              <w:rPr>
                <w:rFonts w:ascii="Arial" w:eastAsiaTheme="minorEastAsia" w:hAnsi="Arial" w:cs="Arial"/>
                <w:b/>
                <w:szCs w:val="22"/>
                <w:lang w:eastAsia="ja-JP"/>
              </w:rPr>
              <w:t>100</w:t>
            </w:r>
          </w:p>
        </w:tc>
      </w:tr>
    </w:tbl>
    <w:p w14:paraId="41457E0F" w14:textId="77777777" w:rsidR="003C2630" w:rsidRPr="003A3DD0" w:rsidRDefault="003C2630" w:rsidP="003C2630">
      <w:pPr>
        <w:jc w:val="center"/>
        <w:rPr>
          <w:sz w:val="22"/>
          <w:szCs w:val="22"/>
        </w:rPr>
      </w:pPr>
      <w:r w:rsidRPr="003A3DD0">
        <w:rPr>
          <w:lang w:eastAsia="ja-JP"/>
        </w:rPr>
        <w:t xml:space="preserve"> </w:t>
      </w:r>
    </w:p>
    <w:p w14:paraId="689E534E" w14:textId="1EA7B6D1" w:rsidR="003C2630" w:rsidRDefault="003C2630" w:rsidP="003C2630">
      <w:pPr>
        <w:pStyle w:val="Footnote"/>
      </w:pPr>
      <w:r w:rsidRPr="003A3DD0">
        <w:rPr>
          <w:rFonts w:eastAsiaTheme="minorEastAsia"/>
          <w:sz w:val="16"/>
          <w:szCs w:val="16"/>
          <w:lang w:eastAsia="ja-JP"/>
        </w:rPr>
        <w:t>Source:</w:t>
      </w:r>
      <w:r w:rsidR="007F16E5" w:rsidRPr="003A3DD0">
        <w:rPr>
          <w:rFonts w:eastAsiaTheme="minorEastAsia"/>
          <w:sz w:val="16"/>
          <w:szCs w:val="16"/>
          <w:lang w:eastAsia="ja-JP"/>
        </w:rPr>
        <w:t xml:space="preserve"> </w:t>
      </w:r>
      <w:r w:rsidRPr="003A3DD0">
        <w:t>“Confectionery Industry Profile</w:t>
      </w:r>
      <w:r w:rsidR="007F16E5" w:rsidRPr="003A3DD0">
        <w:t>: Japan</w:t>
      </w:r>
      <w:r w:rsidRPr="003A3DD0">
        <w:t>,” Datamonitor, 2009</w:t>
      </w:r>
      <w:r w:rsidR="004A7358" w:rsidRPr="003A3DD0">
        <w:t xml:space="preserve">, </w:t>
      </w:r>
      <w:r w:rsidRPr="003A3DD0">
        <w:t>accessed</w:t>
      </w:r>
      <w:r w:rsidR="00843C1E" w:rsidRPr="003A3DD0">
        <w:t xml:space="preserve"> April 7, 2017</w:t>
      </w:r>
      <w:r w:rsidR="00521539" w:rsidRPr="003A3DD0">
        <w:t>.</w:t>
      </w:r>
      <w:r w:rsidRPr="003A3DD0">
        <w:t xml:space="preserve"> </w:t>
      </w:r>
    </w:p>
    <w:p w14:paraId="2F9F3381" w14:textId="77777777" w:rsidR="003A3DD0" w:rsidRPr="003A3DD0" w:rsidRDefault="003A3DD0" w:rsidP="003C2630">
      <w:pPr>
        <w:pStyle w:val="Footnote"/>
      </w:pPr>
      <w:bookmarkStart w:id="0" w:name="_GoBack"/>
      <w:bookmarkEnd w:id="0"/>
    </w:p>
    <w:p w14:paraId="3768477F" w14:textId="2AAA0321" w:rsidR="00E1329F" w:rsidRPr="003A3DD0" w:rsidRDefault="00E1329F" w:rsidP="00E1329F">
      <w:pPr>
        <w:pStyle w:val="ExhibitHeading"/>
        <w:rPr>
          <w:rFonts w:eastAsiaTheme="minorEastAsia"/>
          <w:lang w:eastAsia="ja-JP"/>
        </w:rPr>
      </w:pPr>
      <w:r w:rsidRPr="003A3DD0">
        <w:rPr>
          <w:rFonts w:eastAsiaTheme="minorEastAsia"/>
          <w:lang w:eastAsia="ja-JP"/>
        </w:rPr>
        <w:lastRenderedPageBreak/>
        <w:t>EXHIBIT 3</w:t>
      </w:r>
      <w:r w:rsidR="00BC434A">
        <w:rPr>
          <w:rFonts w:eastAsiaTheme="minorEastAsia"/>
          <w:lang w:eastAsia="ja-JP"/>
        </w:rPr>
        <w:t>: Confection industry profile</w:t>
      </w:r>
    </w:p>
    <w:p w14:paraId="6ACECBAF" w14:textId="77777777" w:rsidR="00E1329F" w:rsidRPr="003A3DD0" w:rsidRDefault="00E1329F" w:rsidP="00E1329F">
      <w:pPr>
        <w:pStyle w:val="ExhibitHeading"/>
        <w:rPr>
          <w:rFonts w:eastAsiaTheme="minorEastAsia"/>
          <w:lang w:eastAsia="ja-JP"/>
        </w:rPr>
      </w:pPr>
    </w:p>
    <w:p w14:paraId="20AA7361" w14:textId="7997974E" w:rsidR="009D3F52" w:rsidRPr="003A3DD0" w:rsidRDefault="009D3F52" w:rsidP="00E1329F">
      <w:pPr>
        <w:pStyle w:val="ExhibitHeading"/>
        <w:numPr>
          <w:ilvl w:val="0"/>
          <w:numId w:val="30"/>
        </w:numPr>
        <w:rPr>
          <w:rFonts w:eastAsiaTheme="minorEastAsia"/>
          <w:sz w:val="22"/>
          <w:szCs w:val="22"/>
          <w:lang w:eastAsia="ja-JP"/>
        </w:rPr>
      </w:pPr>
      <w:r w:rsidRPr="003A3DD0">
        <w:rPr>
          <w:rFonts w:eastAsiaTheme="minorEastAsia"/>
          <w:lang w:eastAsia="ja-JP"/>
        </w:rPr>
        <w:t>PROJECTED REVENUE GROWTH IN JAPAN’S CONFECTIONERY INDUSTRY</w:t>
      </w:r>
    </w:p>
    <w:p w14:paraId="46191373" w14:textId="77777777" w:rsidR="009D3F52" w:rsidRPr="003A3DD0" w:rsidRDefault="009D3F52" w:rsidP="009D3F52">
      <w:pPr>
        <w:rPr>
          <w:sz w:val="22"/>
          <w:szCs w:val="22"/>
        </w:rPr>
      </w:pPr>
    </w:p>
    <w:p w14:paraId="4B0BF9FE" w14:textId="2C0EC19F" w:rsidR="009D3F52" w:rsidRPr="003A3DD0" w:rsidRDefault="00067B5A" w:rsidP="009D3F52">
      <w:pPr>
        <w:jc w:val="center"/>
        <w:rPr>
          <w:sz w:val="22"/>
          <w:szCs w:val="22"/>
        </w:rPr>
      </w:pPr>
      <w:r w:rsidRPr="003A3DD0">
        <w:rPr>
          <w:lang w:eastAsia="ja-JP"/>
        </w:rPr>
        <w:t xml:space="preserve"> </w:t>
      </w:r>
      <w:r w:rsidRPr="003A3DD0">
        <w:rPr>
          <w:noProof/>
          <w:lang w:val="en-CA" w:eastAsia="en-CA"/>
        </w:rPr>
        <w:drawing>
          <wp:inline distT="0" distB="0" distL="0" distR="0" wp14:anchorId="0E35E777" wp14:editId="4630784E">
            <wp:extent cx="5374640" cy="2889849"/>
            <wp:effectExtent l="0" t="0" r="1651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9235BE" w14:textId="77777777" w:rsidR="00E1329F" w:rsidRPr="003A3DD0" w:rsidRDefault="00E1329F" w:rsidP="009D3F52">
      <w:pPr>
        <w:rPr>
          <w:sz w:val="22"/>
          <w:szCs w:val="22"/>
        </w:rPr>
      </w:pPr>
    </w:p>
    <w:p w14:paraId="588B3EA4" w14:textId="77777777" w:rsidR="00E1329F" w:rsidRPr="003A3DD0" w:rsidRDefault="00E1329F" w:rsidP="009D3F52">
      <w:pPr>
        <w:rPr>
          <w:sz w:val="22"/>
          <w:szCs w:val="22"/>
        </w:rPr>
      </w:pPr>
    </w:p>
    <w:p w14:paraId="0EBC1B11" w14:textId="7EB41DE0" w:rsidR="009D3F52" w:rsidRPr="003A3DD0" w:rsidRDefault="00E1329F" w:rsidP="00E1329F">
      <w:pPr>
        <w:pStyle w:val="ExhibitHeading"/>
      </w:pPr>
      <w:r w:rsidRPr="003A3DD0">
        <w:t>(B): Japan Confectionery Market Value (in $ Millions), 2005</w:t>
      </w:r>
      <w:r w:rsidR="00BC434A">
        <w:t>–</w:t>
      </w:r>
      <w:r w:rsidRPr="003A3DD0">
        <w:t>2009</w:t>
      </w:r>
    </w:p>
    <w:p w14:paraId="469B8D5F" w14:textId="77777777" w:rsidR="00E1329F" w:rsidRPr="003A3DD0" w:rsidRDefault="00E1329F" w:rsidP="00E1329F">
      <w:pPr>
        <w:pStyle w:val="ExhibitHeading"/>
      </w:pPr>
    </w:p>
    <w:p w14:paraId="7D943215" w14:textId="2C3913DE" w:rsidR="002E44D6" w:rsidRPr="003A3DD0" w:rsidRDefault="00067B5A" w:rsidP="002E44D6">
      <w:pPr>
        <w:jc w:val="center"/>
        <w:rPr>
          <w:lang w:eastAsia="ja-JP"/>
        </w:rPr>
      </w:pPr>
      <w:r w:rsidRPr="003A3DD0">
        <w:rPr>
          <w:lang w:eastAsia="ja-JP"/>
        </w:rPr>
        <w:t xml:space="preserve"> </w:t>
      </w:r>
      <w:r w:rsidRPr="003A3DD0">
        <w:rPr>
          <w:noProof/>
          <w:lang w:val="en-CA" w:eastAsia="en-CA"/>
        </w:rPr>
        <w:drawing>
          <wp:inline distT="0" distB="0" distL="0" distR="0" wp14:anchorId="1EB356C8" wp14:editId="13273EE1">
            <wp:extent cx="5359400" cy="3114136"/>
            <wp:effectExtent l="0" t="0" r="1270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58E5E0" w14:textId="77777777" w:rsidR="003C2630" w:rsidRPr="003A3DD0" w:rsidRDefault="003C2630" w:rsidP="003C2630">
      <w:pPr>
        <w:pStyle w:val="Footnote"/>
        <w:rPr>
          <w:rFonts w:eastAsiaTheme="minorEastAsia"/>
          <w:sz w:val="16"/>
          <w:szCs w:val="16"/>
          <w:lang w:eastAsia="ja-JP"/>
        </w:rPr>
      </w:pPr>
    </w:p>
    <w:p w14:paraId="5E6A39D2" w14:textId="0C3BA4A7" w:rsidR="00BE7B62" w:rsidRPr="003A3DD0" w:rsidRDefault="003C2630" w:rsidP="003C2630">
      <w:pPr>
        <w:pStyle w:val="Footnote"/>
      </w:pPr>
      <w:r w:rsidRPr="003A3DD0">
        <w:rPr>
          <w:rFonts w:eastAsiaTheme="minorEastAsia"/>
          <w:sz w:val="16"/>
          <w:szCs w:val="16"/>
          <w:lang w:eastAsia="ja-JP"/>
        </w:rPr>
        <w:t xml:space="preserve">Source: </w:t>
      </w:r>
      <w:r w:rsidR="004A7358" w:rsidRPr="003A3DD0">
        <w:t>“Confectionery Industry Profile</w:t>
      </w:r>
      <w:r w:rsidR="009B227A" w:rsidRPr="003A3DD0">
        <w:t>: Japan</w:t>
      </w:r>
      <w:r w:rsidR="004A7358" w:rsidRPr="003A3DD0">
        <w:t>,” Datamonitor, 2009, accessed</w:t>
      </w:r>
      <w:r w:rsidR="00843C1E" w:rsidRPr="003A3DD0">
        <w:t xml:space="preserve"> April 7, 2017</w:t>
      </w:r>
      <w:r w:rsidR="00BC434A">
        <w:t>.</w:t>
      </w:r>
      <w:r w:rsidR="00843C1E" w:rsidRPr="003A3DD0">
        <w:t xml:space="preserve"> </w:t>
      </w:r>
    </w:p>
    <w:sectPr w:rsidR="00BE7B62" w:rsidRPr="003A3DD0"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800BC" w14:textId="77777777" w:rsidR="00AC4B38" w:rsidRDefault="00AC4B38" w:rsidP="00D75295">
      <w:r>
        <w:separator/>
      </w:r>
    </w:p>
  </w:endnote>
  <w:endnote w:type="continuationSeparator" w:id="0">
    <w:p w14:paraId="5BF68803" w14:textId="77777777" w:rsidR="00AC4B38" w:rsidRDefault="00AC4B3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65C9F" w14:textId="77777777" w:rsidR="00AC4B38" w:rsidRDefault="00AC4B38" w:rsidP="00D75295">
      <w:r>
        <w:separator/>
      </w:r>
    </w:p>
  </w:footnote>
  <w:footnote w:type="continuationSeparator" w:id="0">
    <w:p w14:paraId="5EE5D279" w14:textId="77777777" w:rsidR="00AC4B38" w:rsidRDefault="00AC4B38" w:rsidP="00D75295">
      <w:r>
        <w:continuationSeparator/>
      </w:r>
    </w:p>
  </w:footnote>
  <w:footnote w:id="1">
    <w:p w14:paraId="2B92F6CC" w14:textId="6DCACC33" w:rsidR="00533024" w:rsidRPr="00533024" w:rsidRDefault="00533024" w:rsidP="003A3DD0">
      <w:pPr>
        <w:pStyle w:val="Footnote"/>
      </w:pPr>
      <w:r>
        <w:rPr>
          <w:rStyle w:val="FootnoteReference"/>
        </w:rPr>
        <w:footnoteRef/>
      </w:r>
      <w:r>
        <w:t xml:space="preserve"> </w:t>
      </w:r>
      <w:r w:rsidR="00521539">
        <w:t>All currency amounts are in US$ unless otherwise stated; US$1 = JP¥97.44</w:t>
      </w:r>
      <w:r>
        <w:t xml:space="preserve"> on March 31, 2009. </w:t>
      </w:r>
    </w:p>
  </w:footnote>
  <w:footnote w:id="2">
    <w:p w14:paraId="75B2796E" w14:textId="2C5B2575" w:rsidR="00D00376" w:rsidRPr="004D12B1" w:rsidRDefault="00D00376" w:rsidP="00D00376">
      <w:pPr>
        <w:pStyle w:val="FootnoteText"/>
        <w:rPr>
          <w:rFonts w:ascii="Arial" w:hAnsi="Arial" w:cs="Arial"/>
          <w:sz w:val="17"/>
          <w:szCs w:val="17"/>
        </w:rPr>
      </w:pPr>
      <w:r w:rsidRPr="004D12B1">
        <w:rPr>
          <w:rStyle w:val="FootnoteReference"/>
          <w:rFonts w:ascii="Arial" w:hAnsi="Arial" w:cs="Arial"/>
          <w:sz w:val="17"/>
          <w:szCs w:val="17"/>
        </w:rPr>
        <w:footnoteRef/>
      </w:r>
      <w:r w:rsidRPr="004D12B1">
        <w:rPr>
          <w:rFonts w:ascii="Arial" w:hAnsi="Arial" w:cs="Arial"/>
          <w:sz w:val="17"/>
          <w:szCs w:val="17"/>
        </w:rPr>
        <w:t xml:space="preserve"> </w:t>
      </w:r>
      <w:r w:rsidR="004D12B1" w:rsidRPr="004D12B1">
        <w:rPr>
          <w:rFonts w:ascii="Arial" w:hAnsi="Arial" w:cs="Arial"/>
          <w:sz w:val="17"/>
          <w:szCs w:val="17"/>
        </w:rPr>
        <w:t>“Confectionery Industry Profile</w:t>
      </w:r>
      <w:r w:rsidR="007F16E5">
        <w:rPr>
          <w:rFonts w:ascii="Arial" w:hAnsi="Arial" w:cs="Arial"/>
          <w:sz w:val="17"/>
          <w:szCs w:val="17"/>
        </w:rPr>
        <w:t>: Japan</w:t>
      </w:r>
      <w:r w:rsidR="004D12B1" w:rsidRPr="004D12B1">
        <w:rPr>
          <w:rFonts w:ascii="Arial" w:hAnsi="Arial" w:cs="Arial"/>
          <w:sz w:val="17"/>
          <w:szCs w:val="17"/>
        </w:rPr>
        <w:t>,” Datamonitor, 2009</w:t>
      </w:r>
      <w:r w:rsidR="004A7358">
        <w:rPr>
          <w:rFonts w:ascii="Arial" w:hAnsi="Arial" w:cs="Arial"/>
          <w:sz w:val="17"/>
          <w:szCs w:val="17"/>
        </w:rPr>
        <w:t xml:space="preserve">, </w:t>
      </w:r>
      <w:r w:rsidR="004D12B1" w:rsidRPr="004D12B1">
        <w:rPr>
          <w:rFonts w:ascii="Arial" w:hAnsi="Arial" w:cs="Arial"/>
          <w:sz w:val="17"/>
          <w:szCs w:val="17"/>
        </w:rPr>
        <w:t xml:space="preserve">accessed </w:t>
      </w:r>
      <w:r w:rsidR="00843C1E">
        <w:rPr>
          <w:rFonts w:ascii="Arial" w:hAnsi="Arial" w:cs="Arial"/>
          <w:sz w:val="17"/>
          <w:szCs w:val="17"/>
        </w:rPr>
        <w:t>April 7, 2017</w:t>
      </w:r>
      <w:r w:rsidR="00521539">
        <w:rPr>
          <w:rFonts w:ascii="Arial" w:hAnsi="Arial" w:cs="Arial"/>
          <w:sz w:val="17"/>
          <w:szCs w:val="17"/>
        </w:rPr>
        <w:t>.</w:t>
      </w:r>
      <w:r w:rsidR="00361593">
        <w:rPr>
          <w:rFonts w:ascii="Arial" w:hAnsi="Arial" w:cs="Arial"/>
          <w:sz w:val="17"/>
          <w:szCs w:val="17"/>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DB00" w14:textId="0BBD1AF7"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866846">
      <w:rPr>
        <w:rFonts w:ascii="Arial" w:hAnsi="Arial"/>
        <w:b/>
      </w:rPr>
      <w:fldChar w:fldCharType="begin"/>
    </w:r>
    <w:r>
      <w:rPr>
        <w:rFonts w:ascii="Arial" w:hAnsi="Arial"/>
        <w:b/>
      </w:rPr>
      <w:instrText>PAGE</w:instrText>
    </w:r>
    <w:r w:rsidR="00866846">
      <w:rPr>
        <w:rFonts w:ascii="Arial" w:hAnsi="Arial"/>
        <w:b/>
      </w:rPr>
      <w:fldChar w:fldCharType="separate"/>
    </w:r>
    <w:r w:rsidR="003A3DD0">
      <w:rPr>
        <w:rFonts w:ascii="Arial" w:hAnsi="Arial"/>
        <w:b/>
        <w:noProof/>
      </w:rPr>
      <w:t>6</w:t>
    </w:r>
    <w:r w:rsidR="00866846">
      <w:rPr>
        <w:rFonts w:ascii="Arial" w:hAnsi="Arial"/>
        <w:b/>
      </w:rPr>
      <w:fldChar w:fldCharType="end"/>
    </w:r>
    <w:r>
      <w:rPr>
        <w:rFonts w:ascii="Arial" w:hAnsi="Arial"/>
        <w:b/>
      </w:rPr>
      <w:tab/>
    </w:r>
    <w:r w:rsidR="00CB562F">
      <w:rPr>
        <w:rFonts w:ascii="Arial" w:hAnsi="Arial"/>
        <w:b/>
      </w:rPr>
      <w:t>9B17A039</w:t>
    </w:r>
  </w:p>
  <w:p w14:paraId="43D586F6" w14:textId="77777777" w:rsidR="007E5921" w:rsidRPr="00C92CC4" w:rsidRDefault="007E5921">
    <w:pPr>
      <w:pStyle w:val="Header"/>
      <w:rPr>
        <w:sz w:val="18"/>
        <w:szCs w:val="18"/>
      </w:rPr>
    </w:pPr>
  </w:p>
  <w:p w14:paraId="71A75DC9"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79328AE"/>
    <w:multiLevelType w:val="hybridMultilevel"/>
    <w:tmpl w:val="5AF27C08"/>
    <w:lvl w:ilvl="0" w:tplc="C78CFE5A">
      <w:start w:val="1"/>
      <w:numFmt w:val="upperLetter"/>
      <w:lvlText w:val="(%1)"/>
      <w:lvlJc w:val="left"/>
      <w:pPr>
        <w:ind w:left="420" w:hanging="360"/>
      </w:pPr>
      <w:rPr>
        <w:rFonts w:hint="default"/>
        <w:sz w:val="20"/>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9" w15:restartNumberingAfterBreak="0">
    <w:nsid w:val="48400D3B"/>
    <w:multiLevelType w:val="hybridMultilevel"/>
    <w:tmpl w:val="9C2E1F56"/>
    <w:lvl w:ilvl="0" w:tplc="665AE93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09E2119"/>
    <w:multiLevelType w:val="hybridMultilevel"/>
    <w:tmpl w:val="AD982BA6"/>
    <w:lvl w:ilvl="0" w:tplc="243C8BA4">
      <w:start w:val="1"/>
      <w:numFmt w:val="upperLetter"/>
      <w:lvlText w:val="(%1)"/>
      <w:lvlJc w:val="left"/>
      <w:pPr>
        <w:ind w:left="720" w:hanging="360"/>
      </w:pPr>
      <w:rPr>
        <w:rFonts w:ascii="Arial" w:hAnsi="Arial" w:cs="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3"/>
  </w:num>
  <w:num w:numId="17">
    <w:abstractNumId w:val="15"/>
  </w:num>
  <w:num w:numId="18">
    <w:abstractNumId w:val="24"/>
  </w:num>
  <w:num w:numId="19">
    <w:abstractNumId w:val="11"/>
  </w:num>
  <w:num w:numId="20">
    <w:abstractNumId w:val="10"/>
  </w:num>
  <w:num w:numId="21">
    <w:abstractNumId w:val="26"/>
  </w:num>
  <w:num w:numId="22">
    <w:abstractNumId w:val="17"/>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3D98"/>
    <w:rsid w:val="00025DC7"/>
    <w:rsid w:val="00026486"/>
    <w:rsid w:val="000316EA"/>
    <w:rsid w:val="00044ECC"/>
    <w:rsid w:val="000531D3"/>
    <w:rsid w:val="00053F5A"/>
    <w:rsid w:val="0005646B"/>
    <w:rsid w:val="00067B5A"/>
    <w:rsid w:val="000730D0"/>
    <w:rsid w:val="0008102D"/>
    <w:rsid w:val="00090CD9"/>
    <w:rsid w:val="00094C0E"/>
    <w:rsid w:val="000F0C22"/>
    <w:rsid w:val="000F4604"/>
    <w:rsid w:val="000F6B09"/>
    <w:rsid w:val="000F6FDC"/>
    <w:rsid w:val="00103A62"/>
    <w:rsid w:val="00104567"/>
    <w:rsid w:val="0012732D"/>
    <w:rsid w:val="001375D6"/>
    <w:rsid w:val="00154FC9"/>
    <w:rsid w:val="00173F27"/>
    <w:rsid w:val="0019241A"/>
    <w:rsid w:val="00194B96"/>
    <w:rsid w:val="001A43E5"/>
    <w:rsid w:val="001A5335"/>
    <w:rsid w:val="001A752D"/>
    <w:rsid w:val="001B18AF"/>
    <w:rsid w:val="001B1F18"/>
    <w:rsid w:val="001C684A"/>
    <w:rsid w:val="001E119C"/>
    <w:rsid w:val="001E43E8"/>
    <w:rsid w:val="00203AA1"/>
    <w:rsid w:val="00213E98"/>
    <w:rsid w:val="0022252A"/>
    <w:rsid w:val="00223E88"/>
    <w:rsid w:val="00237E53"/>
    <w:rsid w:val="00253529"/>
    <w:rsid w:val="002751A4"/>
    <w:rsid w:val="002E32F0"/>
    <w:rsid w:val="002E44D6"/>
    <w:rsid w:val="002F460C"/>
    <w:rsid w:val="002F48D6"/>
    <w:rsid w:val="00343565"/>
    <w:rsid w:val="00344F57"/>
    <w:rsid w:val="00346751"/>
    <w:rsid w:val="00354899"/>
    <w:rsid w:val="00355FD6"/>
    <w:rsid w:val="00361593"/>
    <w:rsid w:val="00361C8E"/>
    <w:rsid w:val="00364A5C"/>
    <w:rsid w:val="00373FB1"/>
    <w:rsid w:val="003A3DD0"/>
    <w:rsid w:val="003B2122"/>
    <w:rsid w:val="003B30D8"/>
    <w:rsid w:val="003B7EF2"/>
    <w:rsid w:val="003C2630"/>
    <w:rsid w:val="003C3FA4"/>
    <w:rsid w:val="003F2B0C"/>
    <w:rsid w:val="00420389"/>
    <w:rsid w:val="004221E4"/>
    <w:rsid w:val="0043056B"/>
    <w:rsid w:val="00442878"/>
    <w:rsid w:val="00442B68"/>
    <w:rsid w:val="004561D6"/>
    <w:rsid w:val="00471088"/>
    <w:rsid w:val="00483AF9"/>
    <w:rsid w:val="0048486D"/>
    <w:rsid w:val="00491251"/>
    <w:rsid w:val="004A7358"/>
    <w:rsid w:val="004B1CCB"/>
    <w:rsid w:val="004D12B1"/>
    <w:rsid w:val="004D73A5"/>
    <w:rsid w:val="004D7923"/>
    <w:rsid w:val="00502696"/>
    <w:rsid w:val="00521539"/>
    <w:rsid w:val="00532CF5"/>
    <w:rsid w:val="00533024"/>
    <w:rsid w:val="005528CB"/>
    <w:rsid w:val="00556F59"/>
    <w:rsid w:val="00561C28"/>
    <w:rsid w:val="00566771"/>
    <w:rsid w:val="00581E2E"/>
    <w:rsid w:val="00584F15"/>
    <w:rsid w:val="006146D1"/>
    <w:rsid w:val="006154DA"/>
    <w:rsid w:val="0061618B"/>
    <w:rsid w:val="006163F7"/>
    <w:rsid w:val="00652606"/>
    <w:rsid w:val="00682754"/>
    <w:rsid w:val="00686F7F"/>
    <w:rsid w:val="006A58A9"/>
    <w:rsid w:val="006A606D"/>
    <w:rsid w:val="006B7F7A"/>
    <w:rsid w:val="006C0371"/>
    <w:rsid w:val="006C08B6"/>
    <w:rsid w:val="006C0B1A"/>
    <w:rsid w:val="006C4384"/>
    <w:rsid w:val="006C6065"/>
    <w:rsid w:val="006C7F9F"/>
    <w:rsid w:val="006D6B75"/>
    <w:rsid w:val="006E0587"/>
    <w:rsid w:val="006E2F6D"/>
    <w:rsid w:val="006E58F6"/>
    <w:rsid w:val="006E77E1"/>
    <w:rsid w:val="006F131D"/>
    <w:rsid w:val="00752BCD"/>
    <w:rsid w:val="00765BB5"/>
    <w:rsid w:val="00766DA1"/>
    <w:rsid w:val="00785C00"/>
    <w:rsid w:val="007866A6"/>
    <w:rsid w:val="00794FCE"/>
    <w:rsid w:val="007A1289"/>
    <w:rsid w:val="007A130D"/>
    <w:rsid w:val="007B1F71"/>
    <w:rsid w:val="007D1C5A"/>
    <w:rsid w:val="007D4102"/>
    <w:rsid w:val="007E5921"/>
    <w:rsid w:val="007F16E5"/>
    <w:rsid w:val="007F51FC"/>
    <w:rsid w:val="00810C31"/>
    <w:rsid w:val="0081100C"/>
    <w:rsid w:val="008119A3"/>
    <w:rsid w:val="00821FFC"/>
    <w:rsid w:val="008271CA"/>
    <w:rsid w:val="00832F8D"/>
    <w:rsid w:val="008376D9"/>
    <w:rsid w:val="0084200E"/>
    <w:rsid w:val="00843C1E"/>
    <w:rsid w:val="008467D5"/>
    <w:rsid w:val="00851642"/>
    <w:rsid w:val="00856D9F"/>
    <w:rsid w:val="008575B3"/>
    <w:rsid w:val="00866846"/>
    <w:rsid w:val="00866F6D"/>
    <w:rsid w:val="00875189"/>
    <w:rsid w:val="00891A3D"/>
    <w:rsid w:val="0089320D"/>
    <w:rsid w:val="008A4DC4"/>
    <w:rsid w:val="008B371E"/>
    <w:rsid w:val="008B39B1"/>
    <w:rsid w:val="008B73A4"/>
    <w:rsid w:val="008C21DC"/>
    <w:rsid w:val="008E599A"/>
    <w:rsid w:val="009067A4"/>
    <w:rsid w:val="0090722E"/>
    <w:rsid w:val="0090789C"/>
    <w:rsid w:val="00920090"/>
    <w:rsid w:val="009340DB"/>
    <w:rsid w:val="00937337"/>
    <w:rsid w:val="00972498"/>
    <w:rsid w:val="00974CC6"/>
    <w:rsid w:val="00976AD4"/>
    <w:rsid w:val="00995D44"/>
    <w:rsid w:val="009A312F"/>
    <w:rsid w:val="009A5348"/>
    <w:rsid w:val="009A67BB"/>
    <w:rsid w:val="009B1C88"/>
    <w:rsid w:val="009B227A"/>
    <w:rsid w:val="009B4DBB"/>
    <w:rsid w:val="009C76D5"/>
    <w:rsid w:val="009D3F52"/>
    <w:rsid w:val="009E0E12"/>
    <w:rsid w:val="009E0F89"/>
    <w:rsid w:val="009F6312"/>
    <w:rsid w:val="009F7AA4"/>
    <w:rsid w:val="00A03D5E"/>
    <w:rsid w:val="00A31018"/>
    <w:rsid w:val="00A559DB"/>
    <w:rsid w:val="00A6084A"/>
    <w:rsid w:val="00A957A4"/>
    <w:rsid w:val="00AC4B38"/>
    <w:rsid w:val="00AD2F95"/>
    <w:rsid w:val="00AE5078"/>
    <w:rsid w:val="00AE71D5"/>
    <w:rsid w:val="00AF35FC"/>
    <w:rsid w:val="00AF551C"/>
    <w:rsid w:val="00B03639"/>
    <w:rsid w:val="00B0652A"/>
    <w:rsid w:val="00B13852"/>
    <w:rsid w:val="00B2053B"/>
    <w:rsid w:val="00B21927"/>
    <w:rsid w:val="00B21FEE"/>
    <w:rsid w:val="00B343B1"/>
    <w:rsid w:val="00B3757D"/>
    <w:rsid w:val="00B40937"/>
    <w:rsid w:val="00B423EF"/>
    <w:rsid w:val="00B453DE"/>
    <w:rsid w:val="00B4742F"/>
    <w:rsid w:val="00B51B41"/>
    <w:rsid w:val="00B51BC0"/>
    <w:rsid w:val="00B56602"/>
    <w:rsid w:val="00B86867"/>
    <w:rsid w:val="00B901F9"/>
    <w:rsid w:val="00BC434A"/>
    <w:rsid w:val="00BD5575"/>
    <w:rsid w:val="00BD6EFB"/>
    <w:rsid w:val="00BE54A2"/>
    <w:rsid w:val="00BE7B62"/>
    <w:rsid w:val="00BF2F21"/>
    <w:rsid w:val="00C15BE2"/>
    <w:rsid w:val="00C22219"/>
    <w:rsid w:val="00C3447F"/>
    <w:rsid w:val="00C61452"/>
    <w:rsid w:val="00C81491"/>
    <w:rsid w:val="00C81676"/>
    <w:rsid w:val="00C92CC4"/>
    <w:rsid w:val="00CA0AFB"/>
    <w:rsid w:val="00CA2CE1"/>
    <w:rsid w:val="00CA3976"/>
    <w:rsid w:val="00CA757B"/>
    <w:rsid w:val="00CB562F"/>
    <w:rsid w:val="00CC06B4"/>
    <w:rsid w:val="00CC1787"/>
    <w:rsid w:val="00CC182C"/>
    <w:rsid w:val="00CD0824"/>
    <w:rsid w:val="00CD2908"/>
    <w:rsid w:val="00CF318D"/>
    <w:rsid w:val="00CF7A12"/>
    <w:rsid w:val="00D00376"/>
    <w:rsid w:val="00D03A82"/>
    <w:rsid w:val="00D15344"/>
    <w:rsid w:val="00D31BEC"/>
    <w:rsid w:val="00D613A0"/>
    <w:rsid w:val="00D63150"/>
    <w:rsid w:val="00D64A32"/>
    <w:rsid w:val="00D64EFC"/>
    <w:rsid w:val="00D75295"/>
    <w:rsid w:val="00D76CE9"/>
    <w:rsid w:val="00D77C70"/>
    <w:rsid w:val="00D90B52"/>
    <w:rsid w:val="00D97F12"/>
    <w:rsid w:val="00DA162D"/>
    <w:rsid w:val="00DB42E7"/>
    <w:rsid w:val="00DC42B9"/>
    <w:rsid w:val="00DD2B4F"/>
    <w:rsid w:val="00DF32C2"/>
    <w:rsid w:val="00DF63BD"/>
    <w:rsid w:val="00E1329F"/>
    <w:rsid w:val="00E14E02"/>
    <w:rsid w:val="00E30904"/>
    <w:rsid w:val="00E33497"/>
    <w:rsid w:val="00E471A7"/>
    <w:rsid w:val="00E635CF"/>
    <w:rsid w:val="00E71A7F"/>
    <w:rsid w:val="00E71CEE"/>
    <w:rsid w:val="00E80024"/>
    <w:rsid w:val="00E92FD0"/>
    <w:rsid w:val="00EA60A1"/>
    <w:rsid w:val="00EB5410"/>
    <w:rsid w:val="00EC6E0A"/>
    <w:rsid w:val="00ED4E18"/>
    <w:rsid w:val="00EE1F37"/>
    <w:rsid w:val="00EE73AF"/>
    <w:rsid w:val="00EF3979"/>
    <w:rsid w:val="00EF626B"/>
    <w:rsid w:val="00F0159C"/>
    <w:rsid w:val="00F105B7"/>
    <w:rsid w:val="00F17A21"/>
    <w:rsid w:val="00F46978"/>
    <w:rsid w:val="00F50E91"/>
    <w:rsid w:val="00F57D29"/>
    <w:rsid w:val="00F8371E"/>
    <w:rsid w:val="00F92A99"/>
    <w:rsid w:val="00F96201"/>
    <w:rsid w:val="00FC0C46"/>
    <w:rsid w:val="00FC30E9"/>
    <w:rsid w:val="00FD0B18"/>
    <w:rsid w:val="00FD0F82"/>
    <w:rsid w:val="00FE71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096563A"/>
  <w15:docId w15:val="{D26D1E21-301D-4283-89FB-01412C79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GridTable4-Accent11">
    <w:name w:val="Grid Table 4 - Accent 11"/>
    <w:basedOn w:val="TableNormal"/>
    <w:uiPriority w:val="49"/>
    <w:rsid w:val="00D003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Users\Philip%20Sugai\Dropbox%20(The%20Value%20Plan)\My%20Case%20Studies\KitKat\Support%20Excel%20Files\KITKAT%20Industry%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F:\Users\Philip%20Sugai\Dropbox%20(The%20Value%20Plan)\My%20Case%20Studies\KitKat\Support%20Excel%20Files\KITKAT%20Industr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s\Philip%20Sugai\Dropbox%20(The%20Value%20Plan)\My%20Case%20Studies\KitKat\Support%20Excel%20Files\KITKAT%20Industry%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Sheet4!$C$2</c:f>
              <c:strCache>
                <c:ptCount val="1"/>
                <c:pt idx="0">
                  <c:v>Kilograms (millions)</c:v>
                </c:pt>
              </c:strCache>
            </c:strRef>
          </c:tx>
          <c:spPr>
            <a:solidFill>
              <a:schemeClr val="dk1">
                <a:tint val="88500"/>
              </a:schemeClr>
            </a:solidFill>
            <a:ln>
              <a:noFill/>
            </a:ln>
            <a:effectLst/>
          </c:spPr>
          <c:invertIfNegative val="0"/>
          <c:cat>
            <c:numRef>
              <c:f>Sheet4!$B$3:$B$7</c:f>
              <c:numCache>
                <c:formatCode>General</c:formatCode>
                <c:ptCount val="5"/>
                <c:pt idx="0">
                  <c:v>2005</c:v>
                </c:pt>
                <c:pt idx="1">
                  <c:v>2006</c:v>
                </c:pt>
                <c:pt idx="2">
                  <c:v>2007</c:v>
                </c:pt>
                <c:pt idx="3">
                  <c:v>2008</c:v>
                </c:pt>
                <c:pt idx="4">
                  <c:v>2009</c:v>
                </c:pt>
              </c:numCache>
            </c:numRef>
          </c:cat>
          <c:val>
            <c:numRef>
              <c:f>Sheet4!$C$3:$C$7</c:f>
              <c:numCache>
                <c:formatCode>0.0_);[Red]\(0.0\)</c:formatCode>
                <c:ptCount val="5"/>
                <c:pt idx="0">
                  <c:v>479.2</c:v>
                </c:pt>
                <c:pt idx="1">
                  <c:v>482.1</c:v>
                </c:pt>
                <c:pt idx="2">
                  <c:v>484</c:v>
                </c:pt>
                <c:pt idx="3">
                  <c:v>486.7</c:v>
                </c:pt>
                <c:pt idx="4">
                  <c:v>489.8</c:v>
                </c:pt>
              </c:numCache>
            </c:numRef>
          </c:val>
        </c:ser>
        <c:dLbls>
          <c:showLegendKey val="0"/>
          <c:showVal val="0"/>
          <c:showCatName val="0"/>
          <c:showSerName val="0"/>
          <c:showPercent val="0"/>
          <c:showBubbleSize val="0"/>
        </c:dLbls>
        <c:gapWidth val="247"/>
        <c:overlap val="-27"/>
        <c:axId val="164593576"/>
        <c:axId val="164593960"/>
      </c:barChart>
      <c:lineChart>
        <c:grouping val="standard"/>
        <c:varyColors val="0"/>
        <c:ser>
          <c:idx val="1"/>
          <c:order val="1"/>
          <c:tx>
            <c:strRef>
              <c:f>Sheet4!$D$2</c:f>
              <c:strCache>
                <c:ptCount val="1"/>
                <c:pt idx="0">
                  <c:v>% Growth</c:v>
                </c:pt>
              </c:strCache>
            </c:strRef>
          </c:tx>
          <c:spPr>
            <a:ln w="28575" cap="rnd">
              <a:solidFill>
                <a:schemeClr val="dk1">
                  <a:tint val="55000"/>
                </a:schemeClr>
              </a:solidFill>
              <a:round/>
            </a:ln>
            <a:effectLst/>
          </c:spPr>
          <c:marker>
            <c:symbol val="none"/>
          </c:marker>
          <c:cat>
            <c:numRef>
              <c:f>Sheet4!$B$3:$B$7</c:f>
              <c:numCache>
                <c:formatCode>General</c:formatCode>
                <c:ptCount val="5"/>
                <c:pt idx="0">
                  <c:v>2005</c:v>
                </c:pt>
                <c:pt idx="1">
                  <c:v>2006</c:v>
                </c:pt>
                <c:pt idx="2">
                  <c:v>2007</c:v>
                </c:pt>
                <c:pt idx="3">
                  <c:v>2008</c:v>
                </c:pt>
                <c:pt idx="4">
                  <c:v>2009</c:v>
                </c:pt>
              </c:numCache>
            </c:numRef>
          </c:cat>
          <c:val>
            <c:numRef>
              <c:f>Sheet4!$D$3:$D$7</c:f>
              <c:numCache>
                <c:formatCode>0.0%</c:formatCode>
                <c:ptCount val="5"/>
                <c:pt idx="1">
                  <c:v>6.0000000000000001E-3</c:v>
                </c:pt>
                <c:pt idx="2">
                  <c:v>4.0000000000000001E-3</c:v>
                </c:pt>
                <c:pt idx="3">
                  <c:v>6.0000000000000001E-3</c:v>
                </c:pt>
                <c:pt idx="4">
                  <c:v>6.0000000000000001E-3</c:v>
                </c:pt>
              </c:numCache>
            </c:numRef>
          </c:val>
          <c:smooth val="0"/>
        </c:ser>
        <c:dLbls>
          <c:showLegendKey val="0"/>
          <c:showVal val="0"/>
          <c:showCatName val="0"/>
          <c:showSerName val="0"/>
          <c:showPercent val="0"/>
          <c:showBubbleSize val="0"/>
        </c:dLbls>
        <c:marker val="1"/>
        <c:smooth val="0"/>
        <c:axId val="164594728"/>
        <c:axId val="164594344"/>
      </c:lineChart>
      <c:catAx>
        <c:axId val="16459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93960"/>
        <c:crosses val="autoZero"/>
        <c:auto val="1"/>
        <c:lblAlgn val="ctr"/>
        <c:lblOffset val="100"/>
        <c:noMultiLvlLbl val="0"/>
      </c:catAx>
      <c:valAx>
        <c:axId val="164593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Kilograms (in Millions)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4593576"/>
        <c:crosses val="autoZero"/>
        <c:crossBetween val="between"/>
      </c:valAx>
      <c:valAx>
        <c:axId val="1645943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 Growth</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4594728"/>
        <c:crosses val="max"/>
        <c:crossBetween val="between"/>
      </c:valAx>
      <c:catAx>
        <c:axId val="164594728"/>
        <c:scaling>
          <c:orientation val="minMax"/>
        </c:scaling>
        <c:delete val="1"/>
        <c:axPos val="b"/>
        <c:numFmt formatCode="General" sourceLinked="1"/>
        <c:majorTickMark val="none"/>
        <c:minorTickMark val="none"/>
        <c:tickLblPos val="nextTo"/>
        <c:crossAx val="16459434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Sheet6!$C$1</c:f>
              <c:strCache>
                <c:ptCount val="1"/>
                <c:pt idx="0">
                  <c:v>$ Million</c:v>
                </c:pt>
              </c:strCache>
            </c:strRef>
          </c:tx>
          <c:spPr>
            <a:solidFill>
              <a:schemeClr val="dk1">
                <a:tint val="88500"/>
              </a:schemeClr>
            </a:solidFill>
            <a:ln>
              <a:noFill/>
            </a:ln>
            <a:effectLst/>
          </c:spPr>
          <c:invertIfNegative val="0"/>
          <c:cat>
            <c:numRef>
              <c:f>Sheet6!$B$2:$B$7</c:f>
              <c:numCache>
                <c:formatCode>General</c:formatCode>
                <c:ptCount val="6"/>
                <c:pt idx="0">
                  <c:v>2009</c:v>
                </c:pt>
                <c:pt idx="1">
                  <c:v>2010</c:v>
                </c:pt>
                <c:pt idx="2">
                  <c:v>2011</c:v>
                </c:pt>
                <c:pt idx="3">
                  <c:v>2012</c:v>
                </c:pt>
                <c:pt idx="4">
                  <c:v>2013</c:v>
                </c:pt>
                <c:pt idx="5">
                  <c:v>2014</c:v>
                </c:pt>
              </c:numCache>
            </c:numRef>
          </c:cat>
          <c:val>
            <c:numRef>
              <c:f>Sheet6!$C$2:$C$7</c:f>
              <c:numCache>
                <c:formatCode>#,##0.0;[Red]\-#,##0.0</c:formatCode>
                <c:ptCount val="6"/>
                <c:pt idx="0">
                  <c:v>9782.5</c:v>
                </c:pt>
                <c:pt idx="1">
                  <c:v>9886.7000000000007</c:v>
                </c:pt>
                <c:pt idx="2">
                  <c:v>9997.4</c:v>
                </c:pt>
                <c:pt idx="3">
                  <c:v>10114.1</c:v>
                </c:pt>
                <c:pt idx="4">
                  <c:v>10236.6</c:v>
                </c:pt>
                <c:pt idx="5">
                  <c:v>10359.299999999999</c:v>
                </c:pt>
              </c:numCache>
            </c:numRef>
          </c:val>
        </c:ser>
        <c:dLbls>
          <c:showLegendKey val="0"/>
          <c:showVal val="0"/>
          <c:showCatName val="0"/>
          <c:showSerName val="0"/>
          <c:showPercent val="0"/>
          <c:showBubbleSize val="0"/>
        </c:dLbls>
        <c:gapWidth val="247"/>
        <c:overlap val="-27"/>
        <c:axId val="166623376"/>
        <c:axId val="166708288"/>
      </c:barChart>
      <c:lineChart>
        <c:grouping val="standard"/>
        <c:varyColors val="0"/>
        <c:ser>
          <c:idx val="1"/>
          <c:order val="1"/>
          <c:tx>
            <c:strRef>
              <c:f>Sheet6!$D$1</c:f>
              <c:strCache>
                <c:ptCount val="1"/>
                <c:pt idx="0">
                  <c:v>% Growth</c:v>
                </c:pt>
              </c:strCache>
            </c:strRef>
          </c:tx>
          <c:spPr>
            <a:ln w="28575" cap="rnd">
              <a:solidFill>
                <a:schemeClr val="dk1">
                  <a:tint val="55000"/>
                </a:schemeClr>
              </a:solidFill>
              <a:round/>
            </a:ln>
            <a:effectLst/>
          </c:spPr>
          <c:marker>
            <c:symbol val="none"/>
          </c:marker>
          <c:cat>
            <c:numRef>
              <c:f>Sheet6!$B$2:$B$7</c:f>
              <c:numCache>
                <c:formatCode>General</c:formatCode>
                <c:ptCount val="6"/>
                <c:pt idx="0">
                  <c:v>2009</c:v>
                </c:pt>
                <c:pt idx="1">
                  <c:v>2010</c:v>
                </c:pt>
                <c:pt idx="2">
                  <c:v>2011</c:v>
                </c:pt>
                <c:pt idx="3">
                  <c:v>2012</c:v>
                </c:pt>
                <c:pt idx="4">
                  <c:v>2013</c:v>
                </c:pt>
                <c:pt idx="5">
                  <c:v>2014</c:v>
                </c:pt>
              </c:numCache>
            </c:numRef>
          </c:cat>
          <c:val>
            <c:numRef>
              <c:f>Sheet6!$D$2:$D$7</c:f>
              <c:numCache>
                <c:formatCode>0.0%</c:formatCode>
                <c:ptCount val="6"/>
                <c:pt idx="0">
                  <c:v>1.0999999999999999E-2</c:v>
                </c:pt>
                <c:pt idx="1">
                  <c:v>1.0999999999999999E-2</c:v>
                </c:pt>
                <c:pt idx="2">
                  <c:v>1.0999999999999999E-2</c:v>
                </c:pt>
                <c:pt idx="3">
                  <c:v>1.2E-2</c:v>
                </c:pt>
                <c:pt idx="4">
                  <c:v>1.2E-2</c:v>
                </c:pt>
                <c:pt idx="5">
                  <c:v>1.2E-2</c:v>
                </c:pt>
              </c:numCache>
            </c:numRef>
          </c:val>
          <c:smooth val="0"/>
        </c:ser>
        <c:dLbls>
          <c:showLegendKey val="0"/>
          <c:showVal val="0"/>
          <c:showCatName val="0"/>
          <c:showSerName val="0"/>
          <c:showPercent val="0"/>
          <c:showBubbleSize val="0"/>
        </c:dLbls>
        <c:marker val="1"/>
        <c:smooth val="0"/>
        <c:axId val="132065576"/>
        <c:axId val="166710720"/>
      </c:lineChart>
      <c:catAx>
        <c:axId val="16662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8288"/>
        <c:crosses val="autoZero"/>
        <c:auto val="1"/>
        <c:lblAlgn val="ctr"/>
        <c:lblOffset val="100"/>
        <c:noMultiLvlLbl val="0"/>
      </c:catAx>
      <c:valAx>
        <c:axId val="16670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 Million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6623376"/>
        <c:crosses val="autoZero"/>
        <c:crossBetween val="between"/>
      </c:valAx>
      <c:valAx>
        <c:axId val="1667107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Growth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2065576"/>
        <c:crosses val="max"/>
        <c:crossBetween val="between"/>
      </c:valAx>
      <c:catAx>
        <c:axId val="132065576"/>
        <c:scaling>
          <c:orientation val="minMax"/>
        </c:scaling>
        <c:delete val="1"/>
        <c:axPos val="b"/>
        <c:numFmt formatCode="General" sourceLinked="1"/>
        <c:majorTickMark val="none"/>
        <c:minorTickMark val="none"/>
        <c:tickLblPos val="nextTo"/>
        <c:crossAx val="16671072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Sheet3!$C$1</c:f>
              <c:strCache>
                <c:ptCount val="1"/>
                <c:pt idx="0">
                  <c:v>$ Million</c:v>
                </c:pt>
              </c:strCache>
            </c:strRef>
          </c:tx>
          <c:spPr>
            <a:solidFill>
              <a:schemeClr val="dk1">
                <a:tint val="88500"/>
              </a:schemeClr>
            </a:solidFill>
            <a:ln>
              <a:noFill/>
            </a:ln>
            <a:effectLst/>
          </c:spPr>
          <c:invertIfNegative val="0"/>
          <c:cat>
            <c:numRef>
              <c:f>Sheet3!$B$2:$B$6</c:f>
              <c:numCache>
                <c:formatCode>General</c:formatCode>
                <c:ptCount val="5"/>
                <c:pt idx="0">
                  <c:v>2005</c:v>
                </c:pt>
                <c:pt idx="1">
                  <c:v>2006</c:v>
                </c:pt>
                <c:pt idx="2">
                  <c:v>2007</c:v>
                </c:pt>
                <c:pt idx="3">
                  <c:v>2008</c:v>
                </c:pt>
                <c:pt idx="4">
                  <c:v>2009</c:v>
                </c:pt>
              </c:numCache>
            </c:numRef>
          </c:cat>
          <c:val>
            <c:numRef>
              <c:f>Sheet3!$C$2:$C$6</c:f>
              <c:numCache>
                <c:formatCode>_-\$* #,##0.0_ ;_-\$* \-#,##0.0\ ;_-\$* "-"??_ ;_-@_ </c:formatCode>
                <c:ptCount val="5"/>
                <c:pt idx="0">
                  <c:v>9423.7000000000007</c:v>
                </c:pt>
                <c:pt idx="1">
                  <c:v>9502</c:v>
                </c:pt>
                <c:pt idx="2">
                  <c:v>9594.6</c:v>
                </c:pt>
                <c:pt idx="3">
                  <c:v>9689.7000000000007</c:v>
                </c:pt>
                <c:pt idx="4">
                  <c:v>9782.5</c:v>
                </c:pt>
              </c:numCache>
            </c:numRef>
          </c:val>
        </c:ser>
        <c:dLbls>
          <c:showLegendKey val="0"/>
          <c:showVal val="0"/>
          <c:showCatName val="0"/>
          <c:showSerName val="0"/>
          <c:showPercent val="0"/>
          <c:showBubbleSize val="0"/>
        </c:dLbls>
        <c:gapWidth val="247"/>
        <c:overlap val="-27"/>
        <c:axId val="166507320"/>
        <c:axId val="166507712"/>
      </c:barChart>
      <c:lineChart>
        <c:grouping val="standard"/>
        <c:varyColors val="0"/>
        <c:ser>
          <c:idx val="1"/>
          <c:order val="1"/>
          <c:tx>
            <c:strRef>
              <c:f>Sheet3!$D$1</c:f>
              <c:strCache>
                <c:ptCount val="1"/>
                <c:pt idx="0">
                  <c:v>Growth</c:v>
                </c:pt>
              </c:strCache>
            </c:strRef>
          </c:tx>
          <c:spPr>
            <a:ln w="28575" cap="rnd">
              <a:solidFill>
                <a:schemeClr val="dk1">
                  <a:tint val="55000"/>
                </a:schemeClr>
              </a:solidFill>
              <a:round/>
            </a:ln>
            <a:effectLst/>
          </c:spPr>
          <c:marker>
            <c:symbol val="none"/>
          </c:marker>
          <c:cat>
            <c:numRef>
              <c:f>Sheet3!$B$2:$B$6</c:f>
              <c:numCache>
                <c:formatCode>General</c:formatCode>
                <c:ptCount val="5"/>
                <c:pt idx="0">
                  <c:v>2005</c:v>
                </c:pt>
                <c:pt idx="1">
                  <c:v>2006</c:v>
                </c:pt>
                <c:pt idx="2">
                  <c:v>2007</c:v>
                </c:pt>
                <c:pt idx="3">
                  <c:v>2008</c:v>
                </c:pt>
                <c:pt idx="4">
                  <c:v>2009</c:v>
                </c:pt>
              </c:numCache>
            </c:numRef>
          </c:cat>
          <c:val>
            <c:numRef>
              <c:f>Sheet3!$D$2:$D$6</c:f>
              <c:numCache>
                <c:formatCode>0.0%</c:formatCode>
                <c:ptCount val="5"/>
                <c:pt idx="1">
                  <c:v>8.0000000000000002E-3</c:v>
                </c:pt>
                <c:pt idx="2">
                  <c:v>0.01</c:v>
                </c:pt>
                <c:pt idx="3">
                  <c:v>8.9999999999999993E-3</c:v>
                </c:pt>
                <c:pt idx="4">
                  <c:v>1.0999999999999999E-2</c:v>
                </c:pt>
              </c:numCache>
            </c:numRef>
          </c:val>
          <c:smooth val="0"/>
        </c:ser>
        <c:dLbls>
          <c:showLegendKey val="0"/>
          <c:showVal val="0"/>
          <c:showCatName val="0"/>
          <c:showSerName val="0"/>
          <c:showPercent val="0"/>
          <c:showBubbleSize val="0"/>
        </c:dLbls>
        <c:marker val="1"/>
        <c:smooth val="0"/>
        <c:axId val="166508496"/>
        <c:axId val="166508104"/>
      </c:lineChart>
      <c:catAx>
        <c:axId val="16650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07712"/>
        <c:crosses val="autoZero"/>
        <c:auto val="1"/>
        <c:lblAlgn val="ctr"/>
        <c:lblOffset val="100"/>
        <c:noMultiLvlLbl val="0"/>
      </c:catAx>
      <c:valAx>
        <c:axId val="16650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 Millions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6507320"/>
        <c:crosses val="autoZero"/>
        <c:crossBetween val="between"/>
      </c:valAx>
      <c:valAx>
        <c:axId val="1665081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 Growth</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6508496"/>
        <c:crosses val="max"/>
        <c:crossBetween val="between"/>
      </c:valAx>
      <c:catAx>
        <c:axId val="166508496"/>
        <c:scaling>
          <c:orientation val="minMax"/>
        </c:scaling>
        <c:delete val="1"/>
        <c:axPos val="b"/>
        <c:numFmt formatCode="General" sourceLinked="1"/>
        <c:majorTickMark val="none"/>
        <c:minorTickMark val="none"/>
        <c:tickLblPos val="nextTo"/>
        <c:crossAx val="16650810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C46F789-417A-45F5-8426-F64E607CAB9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A10D573-1D83-4002-A377-E75B6406F5A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FCA15-F63E-462C-A1A7-A80F45AA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2</cp:revision>
  <cp:lastPrinted>2017-03-17T13:14:00Z</cp:lastPrinted>
  <dcterms:created xsi:type="dcterms:W3CDTF">2017-07-14T17:10:00Z</dcterms:created>
  <dcterms:modified xsi:type="dcterms:W3CDTF">2017-07-14T17:10:00Z</dcterms:modified>
</cp:coreProperties>
</file>