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EBE49C" w14:textId="2E3FD76D" w:rsidR="008467D5" w:rsidRPr="009711EF" w:rsidRDefault="00C802CD" w:rsidP="00013360">
      <w:pPr>
        <w:tabs>
          <w:tab w:val="left" w:pos="-1440"/>
          <w:tab w:val="left" w:pos="-720"/>
          <w:tab w:val="left" w:pos="1"/>
          <w:tab w:val="right" w:pos="9360"/>
        </w:tabs>
        <w:jc w:val="both"/>
        <w:rPr>
          <w:rFonts w:ascii="Arial" w:hAnsi="Arial"/>
          <w:sz w:val="24"/>
          <w:lang w:val="en-GB"/>
        </w:rPr>
      </w:pPr>
      <w:r w:rsidRPr="00C802CD">
        <w:rPr>
          <w:rFonts w:ascii="Arial" w:hAnsi="Arial"/>
          <w:b/>
          <w:noProof/>
          <w:sz w:val="24"/>
          <w:lang w:val="en-GB" w:eastAsia="en-GB"/>
        </w:rPr>
        <w:drawing>
          <wp:inline distT="0" distB="0" distL="0" distR="0" wp14:anchorId="62384950" wp14:editId="24615E4D">
            <wp:extent cx="2613804" cy="551245"/>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3D85DDDA" w14:textId="77777777" w:rsidR="00856D9F" w:rsidRPr="009711EF" w:rsidRDefault="00856D9F" w:rsidP="008467D5">
      <w:pPr>
        <w:pBdr>
          <w:bottom w:val="single" w:sz="18" w:space="1" w:color="auto"/>
        </w:pBdr>
        <w:tabs>
          <w:tab w:val="left" w:pos="-1440"/>
          <w:tab w:val="left" w:pos="-720"/>
          <w:tab w:val="left" w:pos="1"/>
        </w:tabs>
        <w:jc w:val="both"/>
        <w:rPr>
          <w:rFonts w:ascii="Arial" w:hAnsi="Arial"/>
          <w:b/>
          <w:sz w:val="24"/>
          <w:lang w:val="en-GB"/>
        </w:rPr>
      </w:pPr>
    </w:p>
    <w:p w14:paraId="539CD7C6" w14:textId="0DD16B6F" w:rsidR="00D75295" w:rsidRPr="009711EF" w:rsidRDefault="00C802CD" w:rsidP="00F105B7">
      <w:pPr>
        <w:pStyle w:val="ProductNumber"/>
        <w:rPr>
          <w:lang w:val="en-GB"/>
        </w:rPr>
      </w:pPr>
      <w:r>
        <w:rPr>
          <w:lang w:val="en-GB"/>
        </w:rPr>
        <w:t>9B17A</w:t>
      </w:r>
      <w:r w:rsidR="001A443D">
        <w:rPr>
          <w:lang w:val="en-GB"/>
        </w:rPr>
        <w:t>047</w:t>
      </w:r>
    </w:p>
    <w:p w14:paraId="430EB021" w14:textId="77777777" w:rsidR="00D75295" w:rsidRPr="009711EF" w:rsidRDefault="00D75295" w:rsidP="00D75295">
      <w:pPr>
        <w:jc w:val="right"/>
        <w:rPr>
          <w:rFonts w:ascii="Arial" w:hAnsi="Arial"/>
          <w:b/>
          <w:sz w:val="28"/>
          <w:szCs w:val="28"/>
          <w:lang w:val="en-GB"/>
        </w:rPr>
      </w:pPr>
    </w:p>
    <w:p w14:paraId="2587BCBA" w14:textId="77777777" w:rsidR="00866F6D" w:rsidRPr="009711EF" w:rsidRDefault="00866F6D" w:rsidP="00D75295">
      <w:pPr>
        <w:jc w:val="right"/>
        <w:rPr>
          <w:rFonts w:ascii="Arial" w:hAnsi="Arial"/>
          <w:b/>
          <w:sz w:val="28"/>
          <w:szCs w:val="28"/>
          <w:lang w:val="en-GB"/>
        </w:rPr>
      </w:pPr>
    </w:p>
    <w:p w14:paraId="63600422" w14:textId="77777777" w:rsidR="00013360" w:rsidRPr="009711EF" w:rsidRDefault="00EF26C4" w:rsidP="00013360">
      <w:pPr>
        <w:pStyle w:val="CaseTitle"/>
        <w:spacing w:after="0" w:line="240" w:lineRule="auto"/>
        <w:rPr>
          <w:lang w:val="en-GB"/>
        </w:rPr>
      </w:pPr>
      <w:r w:rsidRPr="009711EF">
        <w:rPr>
          <w:lang w:val="en-GB"/>
        </w:rPr>
        <w:t>MAHA RESEARCH LABS</w:t>
      </w:r>
      <w:r w:rsidR="00992856">
        <w:rPr>
          <w:lang w:val="en-GB"/>
        </w:rPr>
        <w:t>:</w:t>
      </w:r>
      <w:r w:rsidRPr="009711EF">
        <w:rPr>
          <w:lang w:val="en-GB"/>
        </w:rPr>
        <w:t xml:space="preserve"> THE TURKISH OPPORTUNITY</w:t>
      </w:r>
    </w:p>
    <w:p w14:paraId="758B8103" w14:textId="77777777" w:rsidR="00013360" w:rsidRPr="009711EF" w:rsidRDefault="00013360" w:rsidP="00013360">
      <w:pPr>
        <w:pStyle w:val="CaseTitle"/>
        <w:spacing w:after="0" w:line="240" w:lineRule="auto"/>
        <w:rPr>
          <w:sz w:val="20"/>
          <w:szCs w:val="20"/>
          <w:lang w:val="en-GB"/>
        </w:rPr>
      </w:pPr>
    </w:p>
    <w:p w14:paraId="03E1492E" w14:textId="03D02D7E" w:rsidR="00CA3976" w:rsidRPr="009711EF" w:rsidRDefault="00CA3976" w:rsidP="00013360">
      <w:pPr>
        <w:pStyle w:val="CaseTitle"/>
        <w:spacing w:after="0" w:line="240" w:lineRule="auto"/>
        <w:rPr>
          <w:sz w:val="20"/>
          <w:szCs w:val="20"/>
          <w:lang w:val="en-GB"/>
        </w:rPr>
      </w:pPr>
    </w:p>
    <w:p w14:paraId="74C10B33" w14:textId="77777777" w:rsidR="00013360" w:rsidRPr="009711EF" w:rsidRDefault="00013360" w:rsidP="00013360">
      <w:pPr>
        <w:pStyle w:val="CaseTitle"/>
        <w:spacing w:after="0" w:line="240" w:lineRule="auto"/>
        <w:rPr>
          <w:sz w:val="20"/>
          <w:szCs w:val="20"/>
          <w:lang w:val="en-GB"/>
        </w:rPr>
      </w:pPr>
    </w:p>
    <w:p w14:paraId="2CD7AB26" w14:textId="08F36B2C" w:rsidR="00013360" w:rsidRPr="009711EF" w:rsidRDefault="00892727" w:rsidP="00104567">
      <w:pPr>
        <w:pStyle w:val="StyleCopyrightStatementAfter0ptBottomSinglesolidline1"/>
        <w:rPr>
          <w:lang w:val="en-GB"/>
        </w:rPr>
      </w:pPr>
      <w:r>
        <w:rPr>
          <w:lang w:val="en-GB"/>
        </w:rPr>
        <w:t xml:space="preserve">Sandeep Puri </w:t>
      </w:r>
      <w:r w:rsidR="005E5666" w:rsidRPr="009711EF">
        <w:rPr>
          <w:lang w:val="en-GB"/>
        </w:rPr>
        <w:t xml:space="preserve">and Elena </w:t>
      </w:r>
      <w:proofErr w:type="spellStart"/>
      <w:r w:rsidR="005E5666" w:rsidRPr="009711EF">
        <w:rPr>
          <w:lang w:val="en-GB"/>
        </w:rPr>
        <w:t>Poliakova</w:t>
      </w:r>
      <w:proofErr w:type="spellEnd"/>
      <w:r w:rsidR="005E5666" w:rsidRPr="009711EF">
        <w:rPr>
          <w:lang w:val="en-GB"/>
        </w:rPr>
        <w:t xml:space="preserve"> </w:t>
      </w:r>
      <w:r w:rsidR="007E5921" w:rsidRPr="009711EF">
        <w:rPr>
          <w:lang w:val="en-GB"/>
        </w:rPr>
        <w:t>wrote this case sol</w:t>
      </w:r>
      <w:r w:rsidR="00D75295" w:rsidRPr="009711EF">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8CDA1F3" w14:textId="77777777" w:rsidR="00013360" w:rsidRPr="009711EF" w:rsidRDefault="00013360" w:rsidP="00104567">
      <w:pPr>
        <w:pStyle w:val="StyleCopyrightStatementAfter0ptBottomSinglesolidline1"/>
        <w:rPr>
          <w:lang w:val="en-GB"/>
        </w:rPr>
      </w:pPr>
    </w:p>
    <w:p w14:paraId="6C453318" w14:textId="77777777" w:rsidR="00C802CD" w:rsidRDefault="00C802CD" w:rsidP="003C25FF">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0"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35C60ADE" w14:textId="77777777" w:rsidR="00C802CD" w:rsidRDefault="00C802CD" w:rsidP="003C25FF">
      <w:pPr>
        <w:pStyle w:val="StyleCopyrightStatementAfter0ptBottomSinglesolidline1"/>
        <w:pBdr>
          <w:top w:val="none" w:sz="0" w:space="0" w:color="auto"/>
        </w:pBdr>
      </w:pPr>
    </w:p>
    <w:p w14:paraId="60E39050" w14:textId="5EF0D317" w:rsidR="003B7EF2" w:rsidRPr="009711EF" w:rsidRDefault="00C802CD" w:rsidP="003B7EF2">
      <w:pPr>
        <w:pStyle w:val="StyleStyleCopyrightStatementAfter0ptBottomSinglesolid"/>
        <w:rPr>
          <w:lang w:val="en-GB"/>
        </w:rPr>
      </w:pPr>
      <w:r>
        <w:t>Copyright © 2017, Richard Ivey School of Business Foundation</w:t>
      </w:r>
      <w:r w:rsidR="003B7EF2" w:rsidRPr="009711EF">
        <w:rPr>
          <w:lang w:val="en-GB"/>
        </w:rPr>
        <w:tab/>
        <w:t xml:space="preserve">Version: </w:t>
      </w:r>
      <w:r w:rsidR="00361C8E" w:rsidRPr="009711EF">
        <w:rPr>
          <w:lang w:val="en-GB"/>
        </w:rPr>
        <w:t>201</w:t>
      </w:r>
      <w:r w:rsidR="00DC15D4" w:rsidRPr="009711EF">
        <w:rPr>
          <w:lang w:val="en-GB"/>
        </w:rPr>
        <w:t>7</w:t>
      </w:r>
      <w:r w:rsidR="00361C8E" w:rsidRPr="009711EF">
        <w:rPr>
          <w:lang w:val="en-GB"/>
        </w:rPr>
        <w:t>-</w:t>
      </w:r>
      <w:r w:rsidR="005F0C70">
        <w:rPr>
          <w:lang w:val="en-GB"/>
        </w:rPr>
        <w:t>08</w:t>
      </w:r>
      <w:r w:rsidR="006A3873">
        <w:rPr>
          <w:lang w:val="en-GB"/>
        </w:rPr>
        <w:t>-</w:t>
      </w:r>
      <w:r w:rsidR="00892727">
        <w:rPr>
          <w:lang w:val="en-GB"/>
        </w:rPr>
        <w:t>31</w:t>
      </w:r>
    </w:p>
    <w:p w14:paraId="152426E8" w14:textId="77777777" w:rsidR="003B7EF2" w:rsidRPr="009711EF" w:rsidRDefault="003B7EF2" w:rsidP="00104567">
      <w:pPr>
        <w:pStyle w:val="StyleCopyrightStatementAfter0ptBottomSinglesolidline1"/>
        <w:rPr>
          <w:rFonts w:ascii="Times New Roman" w:hAnsi="Times New Roman"/>
          <w:sz w:val="20"/>
          <w:lang w:val="en-GB"/>
        </w:rPr>
      </w:pPr>
    </w:p>
    <w:p w14:paraId="26F53D97" w14:textId="77777777" w:rsidR="003B7EF2" w:rsidRPr="009711EF" w:rsidRDefault="003B7EF2" w:rsidP="00190F69">
      <w:pPr>
        <w:pStyle w:val="Footnote"/>
        <w:rPr>
          <w:lang w:val="en-GB"/>
        </w:rPr>
      </w:pPr>
    </w:p>
    <w:p w14:paraId="2948A33F" w14:textId="283B72BF" w:rsidR="008C2435" w:rsidRPr="009711EF" w:rsidRDefault="006A3873" w:rsidP="00190F69">
      <w:pPr>
        <w:pStyle w:val="BodyTextMain"/>
        <w:rPr>
          <w:shd w:val="clear" w:color="auto" w:fill="FFFFFF"/>
          <w:lang w:val="en-GB"/>
        </w:rPr>
      </w:pPr>
      <w:r>
        <w:rPr>
          <w:lang w:val="en-GB"/>
        </w:rPr>
        <w:t>I</w:t>
      </w:r>
      <w:r w:rsidR="00B27BB5" w:rsidRPr="009711EF">
        <w:rPr>
          <w:lang w:val="en-GB"/>
        </w:rPr>
        <w:t xml:space="preserve">n May 2017, Mohammed </w:t>
      </w:r>
      <w:r w:rsidR="00B27BB5" w:rsidRPr="009711EF">
        <w:rPr>
          <w:noProof/>
          <w:lang w:val="en-GB"/>
        </w:rPr>
        <w:t>Isaquddin</w:t>
      </w:r>
      <w:r w:rsidR="00B27BB5" w:rsidRPr="009711EF">
        <w:rPr>
          <w:lang w:val="en-GB"/>
        </w:rPr>
        <w:t xml:space="preserve"> </w:t>
      </w:r>
      <w:r w:rsidR="00B27BB5" w:rsidRPr="009711EF">
        <w:rPr>
          <w:noProof/>
          <w:lang w:val="en-GB"/>
        </w:rPr>
        <w:t>Kureshi</w:t>
      </w:r>
      <w:r w:rsidR="00B27BB5" w:rsidRPr="009711EF">
        <w:rPr>
          <w:lang w:val="en-GB"/>
        </w:rPr>
        <w:t xml:space="preserve"> (</w:t>
      </w:r>
      <w:proofErr w:type="spellStart"/>
      <w:r w:rsidR="00B27BB5" w:rsidRPr="009711EF">
        <w:rPr>
          <w:noProof/>
          <w:lang w:val="en-GB"/>
        </w:rPr>
        <w:t>Isaq</w:t>
      </w:r>
      <w:proofErr w:type="spellEnd"/>
      <w:r w:rsidR="00B27BB5" w:rsidRPr="009711EF">
        <w:rPr>
          <w:lang w:val="en-GB"/>
        </w:rPr>
        <w:t xml:space="preserve">), the managing director of </w:t>
      </w:r>
      <w:proofErr w:type="spellStart"/>
      <w:r w:rsidR="00B27BB5" w:rsidRPr="009711EF">
        <w:rPr>
          <w:lang w:val="en-GB"/>
        </w:rPr>
        <w:t>Maha</w:t>
      </w:r>
      <w:proofErr w:type="spellEnd"/>
      <w:r w:rsidR="00B27BB5" w:rsidRPr="009711EF">
        <w:rPr>
          <w:lang w:val="en-GB"/>
        </w:rPr>
        <w:t xml:space="preserve"> Research Labs Private Limited (</w:t>
      </w:r>
      <w:proofErr w:type="spellStart"/>
      <w:r w:rsidR="00B27BB5" w:rsidRPr="009711EF">
        <w:rPr>
          <w:lang w:val="en-GB"/>
        </w:rPr>
        <w:t>Maha</w:t>
      </w:r>
      <w:proofErr w:type="spellEnd"/>
      <w:r w:rsidR="00B27BB5" w:rsidRPr="009711EF">
        <w:rPr>
          <w:lang w:val="en-GB"/>
        </w:rPr>
        <w:t xml:space="preserve"> Research Labs), sat thinking about a </w:t>
      </w:r>
      <w:r w:rsidR="00642358">
        <w:rPr>
          <w:lang w:val="en-GB"/>
        </w:rPr>
        <w:t xml:space="preserve">call he had received from a </w:t>
      </w:r>
      <w:r w:rsidR="00B27BB5" w:rsidRPr="009711EF">
        <w:rPr>
          <w:lang w:val="en-GB"/>
        </w:rPr>
        <w:t xml:space="preserve">friend </w:t>
      </w:r>
      <w:r w:rsidR="00913DF5">
        <w:rPr>
          <w:lang w:val="en-GB"/>
        </w:rPr>
        <w:t>of his</w:t>
      </w:r>
      <w:r w:rsidR="0039571E">
        <w:rPr>
          <w:lang w:val="en-GB"/>
        </w:rPr>
        <w:t xml:space="preserve"> </w:t>
      </w:r>
      <w:r w:rsidR="00B27BB5" w:rsidRPr="009711EF">
        <w:rPr>
          <w:lang w:val="en-GB"/>
        </w:rPr>
        <w:t xml:space="preserve">in Turkey, Afzal Khan. </w:t>
      </w:r>
      <w:r w:rsidR="00642358">
        <w:rPr>
          <w:lang w:val="en-GB"/>
        </w:rPr>
        <w:t>Khan</w:t>
      </w:r>
      <w:r w:rsidR="00642358" w:rsidRPr="009711EF">
        <w:rPr>
          <w:lang w:val="en-GB"/>
        </w:rPr>
        <w:t xml:space="preserve"> had been working </w:t>
      </w:r>
      <w:r w:rsidR="00642358">
        <w:rPr>
          <w:lang w:val="en-GB"/>
        </w:rPr>
        <w:t>for</w:t>
      </w:r>
      <w:r w:rsidR="00642358" w:rsidRPr="009711EF">
        <w:rPr>
          <w:lang w:val="en-GB"/>
        </w:rPr>
        <w:t xml:space="preserve"> a pharmaceutical company in Turkey since </w:t>
      </w:r>
      <w:r w:rsidR="00642358" w:rsidRPr="009711EF">
        <w:rPr>
          <w:noProof/>
          <w:lang w:val="en-GB"/>
        </w:rPr>
        <w:t>2005,</w:t>
      </w:r>
      <w:r w:rsidR="00642358" w:rsidRPr="009711EF">
        <w:rPr>
          <w:lang w:val="en-GB"/>
        </w:rPr>
        <w:t xml:space="preserve"> and had experience </w:t>
      </w:r>
      <w:r w:rsidR="00642358">
        <w:rPr>
          <w:lang w:val="en-GB"/>
        </w:rPr>
        <w:t>with</w:t>
      </w:r>
      <w:r w:rsidR="00642358" w:rsidRPr="009711EF">
        <w:rPr>
          <w:lang w:val="en-GB"/>
        </w:rPr>
        <w:t xml:space="preserve"> the market</w:t>
      </w:r>
      <w:r w:rsidR="00642358">
        <w:rPr>
          <w:lang w:val="en-GB"/>
        </w:rPr>
        <w:t xml:space="preserve"> there</w:t>
      </w:r>
      <w:r w:rsidR="00642358" w:rsidRPr="009711EF">
        <w:rPr>
          <w:lang w:val="en-GB"/>
        </w:rPr>
        <w:t xml:space="preserve">. </w:t>
      </w:r>
      <w:r w:rsidR="00642358">
        <w:rPr>
          <w:lang w:val="en-GB"/>
        </w:rPr>
        <w:t>He</w:t>
      </w:r>
      <w:r w:rsidR="00B27BB5" w:rsidRPr="009711EF">
        <w:rPr>
          <w:lang w:val="en-GB"/>
        </w:rPr>
        <w:t xml:space="preserve"> had </w:t>
      </w:r>
      <w:r w:rsidR="00642358">
        <w:rPr>
          <w:lang w:val="en-GB"/>
        </w:rPr>
        <w:t>suggested to</w:t>
      </w:r>
      <w:r w:rsidR="00B27BB5" w:rsidRPr="009711EF">
        <w:rPr>
          <w:lang w:val="en-GB"/>
        </w:rPr>
        <w:t xml:space="preserve"> </w:t>
      </w:r>
      <w:proofErr w:type="spellStart"/>
      <w:r w:rsidR="008C2435">
        <w:rPr>
          <w:lang w:val="en-GB"/>
        </w:rPr>
        <w:t>Isaq</w:t>
      </w:r>
      <w:proofErr w:type="spellEnd"/>
      <w:r w:rsidR="00B27BB5" w:rsidRPr="009711EF">
        <w:rPr>
          <w:lang w:val="en-GB"/>
        </w:rPr>
        <w:t xml:space="preserve"> to start operation</w:t>
      </w:r>
      <w:r>
        <w:rPr>
          <w:lang w:val="en-GB"/>
        </w:rPr>
        <w:t>s in the growing Turkish</w:t>
      </w:r>
      <w:r w:rsidR="00B27BB5" w:rsidRPr="009711EF">
        <w:rPr>
          <w:lang w:val="en-GB"/>
        </w:rPr>
        <w:t xml:space="preserve"> market. Since starting out in 2006, </w:t>
      </w:r>
      <w:proofErr w:type="spellStart"/>
      <w:r w:rsidR="00B27BB5" w:rsidRPr="009711EF">
        <w:rPr>
          <w:lang w:val="en-GB"/>
        </w:rPr>
        <w:t>Maha</w:t>
      </w:r>
      <w:proofErr w:type="spellEnd"/>
      <w:r w:rsidR="00B27BB5" w:rsidRPr="009711EF">
        <w:rPr>
          <w:lang w:val="en-GB"/>
        </w:rPr>
        <w:t xml:space="preserve"> Research Labs </w:t>
      </w:r>
      <w:r w:rsidR="008C2435">
        <w:rPr>
          <w:lang w:val="en-GB"/>
        </w:rPr>
        <w:t>had</w:t>
      </w:r>
      <w:r w:rsidR="00B27BB5" w:rsidRPr="009711EF">
        <w:rPr>
          <w:lang w:val="en-GB"/>
        </w:rPr>
        <w:t xml:space="preserve"> grow</w:t>
      </w:r>
      <w:r w:rsidR="008C2435">
        <w:rPr>
          <w:lang w:val="en-GB"/>
        </w:rPr>
        <w:t>n steadily</w:t>
      </w:r>
      <w:r w:rsidR="00B27BB5" w:rsidRPr="009711EF">
        <w:rPr>
          <w:lang w:val="en-GB"/>
        </w:rPr>
        <w:t xml:space="preserve"> </w:t>
      </w:r>
      <w:r w:rsidR="00B27BB5" w:rsidRPr="00190F69">
        <w:rPr>
          <w:lang w:val="en-GB"/>
        </w:rPr>
        <w:t xml:space="preserve">and had succeeded in building a strong cash flow with good profits. </w:t>
      </w:r>
      <w:r w:rsidR="0039571E" w:rsidRPr="00190F69">
        <w:rPr>
          <w:lang w:val="en-GB"/>
        </w:rPr>
        <w:t>Based in Mumbai, Maharashtra, India, t</w:t>
      </w:r>
      <w:r w:rsidR="008C2435" w:rsidRPr="00190F69">
        <w:rPr>
          <w:lang w:val="en-GB"/>
        </w:rPr>
        <w:t>he company</w:t>
      </w:r>
      <w:r w:rsidR="0039571E" w:rsidRPr="00190F69">
        <w:rPr>
          <w:lang w:val="en-GB"/>
        </w:rPr>
        <w:t xml:space="preserve"> </w:t>
      </w:r>
      <w:r w:rsidR="008C2435" w:rsidRPr="00190F69">
        <w:rPr>
          <w:lang w:val="en-GB"/>
        </w:rPr>
        <w:t>had</w:t>
      </w:r>
      <w:r w:rsidR="00B27BB5" w:rsidRPr="009711EF">
        <w:rPr>
          <w:lang w:val="en-GB"/>
        </w:rPr>
        <w:t xml:space="preserve"> ended 2016 with sales worth </w:t>
      </w:r>
      <w:r w:rsidR="00B27BB5" w:rsidRPr="005F0C70">
        <w:rPr>
          <w:rFonts w:ascii="Arial" w:hAnsi="Arial" w:cs="Arial"/>
          <w:lang w:val="en-GB"/>
        </w:rPr>
        <w:t>₹</w:t>
      </w:r>
      <w:r w:rsidR="008C2435" w:rsidRPr="009711EF">
        <w:rPr>
          <w:lang w:val="en-GB"/>
        </w:rPr>
        <w:t>508.4 million,</w:t>
      </w:r>
      <w:r w:rsidR="008C2435" w:rsidRPr="009711EF">
        <w:rPr>
          <w:rStyle w:val="FootnoteReference"/>
          <w:bCs/>
          <w:lang w:val="en-GB"/>
        </w:rPr>
        <w:footnoteReference w:id="1"/>
      </w:r>
      <w:r w:rsidR="008C2435" w:rsidRPr="009711EF">
        <w:rPr>
          <w:lang w:val="en-GB"/>
        </w:rPr>
        <w:t xml:space="preserve"> which was </w:t>
      </w:r>
      <w:r w:rsidR="00413B43">
        <w:rPr>
          <w:lang w:val="en-GB"/>
        </w:rPr>
        <w:t>more than</w:t>
      </w:r>
      <w:r w:rsidR="008C2435" w:rsidRPr="009711EF">
        <w:rPr>
          <w:lang w:val="en-GB"/>
        </w:rPr>
        <w:t xml:space="preserve"> 31.2 </w:t>
      </w:r>
      <w:r w:rsidR="008C2435" w:rsidRPr="009711EF">
        <w:rPr>
          <w:noProof/>
          <w:lang w:val="en-GB"/>
        </w:rPr>
        <w:t>per cent</w:t>
      </w:r>
      <w:r w:rsidR="008C2435" w:rsidRPr="009711EF">
        <w:rPr>
          <w:lang w:val="en-GB"/>
        </w:rPr>
        <w:t xml:space="preserve"> growth over the </w:t>
      </w:r>
      <w:r w:rsidR="008C2435" w:rsidRPr="00190F69">
        <w:rPr>
          <w:lang w:val="en-GB"/>
        </w:rPr>
        <w:t xml:space="preserve">previous year </w:t>
      </w:r>
      <w:r w:rsidR="008C2435" w:rsidRPr="00190F69">
        <w:rPr>
          <w:rStyle w:val="apple-converted-space"/>
          <w:lang w:val="en-GB"/>
        </w:rPr>
        <w:t>(see</w:t>
      </w:r>
      <w:r w:rsidR="008C2435" w:rsidRPr="009711EF">
        <w:rPr>
          <w:rStyle w:val="apple-converted-space"/>
          <w:shd w:val="clear" w:color="auto" w:fill="FFFFFF"/>
          <w:lang w:val="en-GB"/>
        </w:rPr>
        <w:t xml:space="preserve"> </w:t>
      </w:r>
      <w:r w:rsidR="008C2435" w:rsidRPr="00190F69">
        <w:rPr>
          <w:lang w:val="en-GB"/>
        </w:rPr>
        <w:t xml:space="preserve">Exhibit 1). It aimed for net revenue </w:t>
      </w:r>
      <w:r w:rsidR="006E7C36">
        <w:rPr>
          <w:lang w:val="en-GB"/>
        </w:rPr>
        <w:t xml:space="preserve">of </w:t>
      </w:r>
      <w:r w:rsidR="008C2435" w:rsidRPr="00190F69">
        <w:rPr>
          <w:rFonts w:ascii="Arial" w:hAnsi="Arial" w:cs="Arial"/>
          <w:lang w:val="en-GB"/>
        </w:rPr>
        <w:t>₹</w:t>
      </w:r>
      <w:r w:rsidR="008C2435" w:rsidRPr="00190F69">
        <w:rPr>
          <w:lang w:val="en-GB"/>
        </w:rPr>
        <w:t xml:space="preserve">700 million in 2017 with </w:t>
      </w:r>
      <w:r w:rsidR="008C2435" w:rsidRPr="00190F69">
        <w:rPr>
          <w:noProof/>
          <w:lang w:val="en-GB"/>
        </w:rPr>
        <w:t>an ambitious growth</w:t>
      </w:r>
      <w:r w:rsidR="008C2435" w:rsidRPr="00190F69">
        <w:rPr>
          <w:lang w:val="en-GB"/>
        </w:rPr>
        <w:t xml:space="preserve"> </w:t>
      </w:r>
      <w:r w:rsidR="00413B43" w:rsidRPr="00190F69">
        <w:rPr>
          <w:lang w:val="en-GB"/>
        </w:rPr>
        <w:t xml:space="preserve">target </w:t>
      </w:r>
      <w:r w:rsidR="008C2435" w:rsidRPr="00190F69">
        <w:rPr>
          <w:lang w:val="en-GB"/>
        </w:rPr>
        <w:t xml:space="preserve">of around 38 </w:t>
      </w:r>
      <w:r w:rsidR="008C2435" w:rsidRPr="00190F69">
        <w:rPr>
          <w:noProof/>
          <w:lang w:val="en-GB"/>
        </w:rPr>
        <w:t>per cent</w:t>
      </w:r>
      <w:r w:rsidR="008C2435" w:rsidRPr="00190F69">
        <w:rPr>
          <w:lang w:val="en-GB"/>
        </w:rPr>
        <w:t xml:space="preserve">. </w:t>
      </w:r>
      <w:r w:rsidR="00642358" w:rsidRPr="00190F69">
        <w:rPr>
          <w:lang w:val="en-GB"/>
        </w:rPr>
        <w:t>However, t</w:t>
      </w:r>
      <w:r w:rsidR="008C2435" w:rsidRPr="00190F69">
        <w:rPr>
          <w:lang w:val="en-GB"/>
        </w:rPr>
        <w:t>he pharmaceutical marketing industry in India had become hyperactive with the presence of innumerable pharmaceutical companies</w:t>
      </w:r>
      <w:r w:rsidR="00413B43" w:rsidRPr="00190F69">
        <w:rPr>
          <w:lang w:val="en-GB"/>
        </w:rPr>
        <w:t>, which</w:t>
      </w:r>
      <w:r w:rsidR="008C2435" w:rsidRPr="00190F69">
        <w:rPr>
          <w:lang w:val="en-GB"/>
        </w:rPr>
        <w:t xml:space="preserve"> put pressure on the operating expenses of companies</w:t>
      </w:r>
      <w:r w:rsidR="00C6179A" w:rsidRPr="00190F69">
        <w:rPr>
          <w:lang w:val="en-GB"/>
        </w:rPr>
        <w:t xml:space="preserve"> such as </w:t>
      </w:r>
      <w:proofErr w:type="spellStart"/>
      <w:r w:rsidR="00C6179A" w:rsidRPr="00190F69">
        <w:rPr>
          <w:lang w:val="en-GB"/>
        </w:rPr>
        <w:t>Maha</w:t>
      </w:r>
      <w:proofErr w:type="spellEnd"/>
      <w:r w:rsidR="00C6179A" w:rsidRPr="00190F69">
        <w:rPr>
          <w:lang w:val="en-GB"/>
        </w:rPr>
        <w:t xml:space="preserve"> Research Labs</w:t>
      </w:r>
      <w:r w:rsidR="008C2435" w:rsidRPr="00190F69">
        <w:rPr>
          <w:lang w:val="en-GB"/>
        </w:rPr>
        <w:t xml:space="preserve"> and </w:t>
      </w:r>
      <w:r w:rsidR="00413B43" w:rsidRPr="00190F69">
        <w:rPr>
          <w:lang w:val="en-GB"/>
        </w:rPr>
        <w:t xml:space="preserve">affected </w:t>
      </w:r>
      <w:r w:rsidR="008C2435" w:rsidRPr="00190F69">
        <w:rPr>
          <w:lang w:val="en-GB"/>
        </w:rPr>
        <w:t xml:space="preserve">their future growth opportunities. Government price </w:t>
      </w:r>
      <w:r w:rsidR="008C2435" w:rsidRPr="00190F69">
        <w:rPr>
          <w:noProof/>
          <w:lang w:val="en-GB"/>
        </w:rPr>
        <w:t>controls on many medicinal products further reduced the profitability</w:t>
      </w:r>
      <w:r w:rsidR="00413B43" w:rsidRPr="00190F69">
        <w:rPr>
          <w:noProof/>
          <w:lang w:val="en-GB"/>
        </w:rPr>
        <w:t xml:space="preserve"> of these companies</w:t>
      </w:r>
      <w:r w:rsidR="008C2435" w:rsidRPr="00190F69">
        <w:rPr>
          <w:noProof/>
          <w:lang w:val="en-GB"/>
        </w:rPr>
        <w:t>.</w:t>
      </w:r>
      <w:r w:rsidR="008C2435" w:rsidRPr="00190F69">
        <w:rPr>
          <w:rStyle w:val="FootnoteReference"/>
          <w:noProof/>
          <w:lang w:val="en-GB"/>
        </w:rPr>
        <w:footnoteReference w:id="2"/>
      </w:r>
    </w:p>
    <w:p w14:paraId="62AB761C" w14:textId="77777777" w:rsidR="008C2435" w:rsidRPr="009711EF" w:rsidRDefault="008C2435" w:rsidP="00190F69">
      <w:pPr>
        <w:pStyle w:val="BodyTextMain"/>
        <w:rPr>
          <w:shd w:val="clear" w:color="auto" w:fill="FFFFFF"/>
          <w:lang w:val="en-GB"/>
        </w:rPr>
      </w:pPr>
    </w:p>
    <w:p w14:paraId="66DF0249" w14:textId="174B043C" w:rsidR="008C2435" w:rsidRPr="009711EF" w:rsidRDefault="008C2435" w:rsidP="00190F69">
      <w:pPr>
        <w:pStyle w:val="BodyTextMain"/>
        <w:rPr>
          <w:shd w:val="clear" w:color="auto" w:fill="FFFFFF"/>
          <w:lang w:val="en-GB"/>
        </w:rPr>
      </w:pPr>
      <w:r w:rsidRPr="00190F69">
        <w:rPr>
          <w:noProof/>
          <w:lang w:val="en-GB"/>
        </w:rPr>
        <w:t>Isaq</w:t>
      </w:r>
      <w:r w:rsidRPr="00190F69">
        <w:rPr>
          <w:lang w:val="en-GB"/>
        </w:rPr>
        <w:t xml:space="preserve"> discuss</w:t>
      </w:r>
      <w:r w:rsidR="005153A6" w:rsidRPr="00190F69">
        <w:rPr>
          <w:lang w:val="en-GB"/>
        </w:rPr>
        <w:t>ed exploring the Turkish opportunity</w:t>
      </w:r>
      <w:r w:rsidRPr="00190F69">
        <w:rPr>
          <w:lang w:val="en-GB"/>
        </w:rPr>
        <w:t xml:space="preserve"> with his marketing manager, Ahsan Khan. The Turkish pharmaceutical market was highly regulated, and had its own advantages and disadvantages. During the</w:t>
      </w:r>
      <w:r w:rsidRPr="00190F69">
        <w:rPr>
          <w:shd w:val="clear" w:color="auto" w:fill="000000" w:themeFill="text1"/>
          <w:lang w:val="en-GB"/>
        </w:rPr>
        <w:t xml:space="preserve"> </w:t>
      </w:r>
      <w:r w:rsidRPr="00190F69">
        <w:rPr>
          <w:lang w:val="en-GB"/>
        </w:rPr>
        <w:t xml:space="preserve">discussion, doubts came to </w:t>
      </w:r>
      <w:proofErr w:type="spellStart"/>
      <w:r w:rsidR="00413B43" w:rsidRPr="00190F69">
        <w:rPr>
          <w:lang w:val="en-GB"/>
        </w:rPr>
        <w:t>Isaq’s</w:t>
      </w:r>
      <w:proofErr w:type="spellEnd"/>
      <w:r w:rsidRPr="00190F69">
        <w:rPr>
          <w:lang w:val="en-GB"/>
        </w:rPr>
        <w:t xml:space="preserve"> mind</w:t>
      </w:r>
      <w:r w:rsidR="00413B43" w:rsidRPr="00190F69">
        <w:rPr>
          <w:lang w:val="en-GB"/>
        </w:rPr>
        <w:t xml:space="preserve"> that led him to wonder</w:t>
      </w:r>
      <w:r w:rsidRPr="00190F69">
        <w:rPr>
          <w:noProof/>
          <w:lang w:val="en-GB"/>
        </w:rPr>
        <w:t xml:space="preserve"> </w:t>
      </w:r>
      <w:r w:rsidR="005153A6" w:rsidRPr="00190F69">
        <w:rPr>
          <w:noProof/>
          <w:lang w:val="en-GB"/>
        </w:rPr>
        <w:t xml:space="preserve">whether he </w:t>
      </w:r>
      <w:r w:rsidR="00413B43" w:rsidRPr="00190F69">
        <w:rPr>
          <w:lang w:val="en-GB"/>
        </w:rPr>
        <w:t>s</w:t>
      </w:r>
      <w:r w:rsidRPr="00190F69">
        <w:rPr>
          <w:lang w:val="en-GB"/>
        </w:rPr>
        <w:t>hould explore this opportunity</w:t>
      </w:r>
      <w:r w:rsidR="005153A6" w:rsidRPr="00190F69">
        <w:rPr>
          <w:lang w:val="en-GB"/>
        </w:rPr>
        <w:t>:</w:t>
      </w:r>
      <w:r w:rsidRPr="009711EF">
        <w:rPr>
          <w:shd w:val="clear" w:color="auto" w:fill="FFFFFF"/>
          <w:lang w:val="en-GB"/>
        </w:rPr>
        <w:t xml:space="preserve"> </w:t>
      </w:r>
      <w:r w:rsidRPr="00190F69">
        <w:rPr>
          <w:lang w:val="en-GB"/>
        </w:rPr>
        <w:t>Was his product range suitable for th</w:t>
      </w:r>
      <w:r w:rsidR="005153A6" w:rsidRPr="00190F69">
        <w:rPr>
          <w:lang w:val="en-GB"/>
        </w:rPr>
        <w:t>at</w:t>
      </w:r>
      <w:r w:rsidRPr="00190F69">
        <w:rPr>
          <w:lang w:val="en-GB"/>
        </w:rPr>
        <w:t xml:space="preserve"> market? </w:t>
      </w:r>
      <w:r w:rsidR="005153A6" w:rsidRPr="00190F69">
        <w:rPr>
          <w:lang w:val="en-GB"/>
        </w:rPr>
        <w:t>What would be the best way to enter the market in Turkey, and w</w:t>
      </w:r>
      <w:r w:rsidRPr="00190F69">
        <w:rPr>
          <w:lang w:val="en-GB"/>
        </w:rPr>
        <w:t xml:space="preserve">hat </w:t>
      </w:r>
      <w:r w:rsidR="00413B43" w:rsidRPr="00190F69">
        <w:rPr>
          <w:lang w:val="en-GB"/>
        </w:rPr>
        <w:t>were</w:t>
      </w:r>
      <w:r w:rsidRPr="00190F69">
        <w:rPr>
          <w:lang w:val="en-GB"/>
        </w:rPr>
        <w:t xml:space="preserve"> the possible risks</w:t>
      </w:r>
      <w:r w:rsidR="005153A6" w:rsidRPr="00190F69">
        <w:rPr>
          <w:lang w:val="en-GB"/>
        </w:rPr>
        <w:t xml:space="preserve"> of doing so</w:t>
      </w:r>
      <w:r w:rsidRPr="00190F69">
        <w:rPr>
          <w:lang w:val="en-GB"/>
        </w:rPr>
        <w:t>?</w:t>
      </w:r>
      <w:r w:rsidRPr="009711EF">
        <w:rPr>
          <w:shd w:val="clear" w:color="auto" w:fill="FFFFFF"/>
          <w:lang w:val="en-GB"/>
        </w:rPr>
        <w:t xml:space="preserve"> </w:t>
      </w:r>
    </w:p>
    <w:p w14:paraId="14679CDD" w14:textId="77777777" w:rsidR="008C2435" w:rsidRPr="009711EF" w:rsidRDefault="008C2435" w:rsidP="00190F69">
      <w:pPr>
        <w:pStyle w:val="BodyTextMain"/>
        <w:rPr>
          <w:lang w:val="en-GB"/>
        </w:rPr>
      </w:pPr>
    </w:p>
    <w:p w14:paraId="65F984CD" w14:textId="77777777" w:rsidR="008C2435" w:rsidRPr="009711EF" w:rsidRDefault="008C2435" w:rsidP="00190F69">
      <w:pPr>
        <w:pStyle w:val="BodyTextMain"/>
        <w:rPr>
          <w:lang w:val="en-GB"/>
        </w:rPr>
      </w:pPr>
    </w:p>
    <w:p w14:paraId="3068A75B" w14:textId="77777777" w:rsidR="008C2435" w:rsidRPr="009711EF" w:rsidRDefault="008C2435" w:rsidP="00190F69">
      <w:pPr>
        <w:pStyle w:val="Casehead1"/>
        <w:rPr>
          <w:lang w:val="en-GB"/>
        </w:rPr>
      </w:pPr>
      <w:r w:rsidRPr="009711EF">
        <w:rPr>
          <w:lang w:val="en-GB"/>
        </w:rPr>
        <w:t>COMPANY BACKGROUND</w:t>
      </w:r>
    </w:p>
    <w:p w14:paraId="39E923B4" w14:textId="77777777" w:rsidR="008C2435" w:rsidRPr="009711EF" w:rsidRDefault="008C2435" w:rsidP="00190F69">
      <w:pPr>
        <w:pStyle w:val="BodyTextMain"/>
        <w:rPr>
          <w:lang w:val="en-GB"/>
        </w:rPr>
      </w:pPr>
    </w:p>
    <w:p w14:paraId="400B7B78" w14:textId="3629AEC4" w:rsidR="008C2435" w:rsidRPr="009711EF" w:rsidRDefault="008C2435" w:rsidP="00190F69">
      <w:pPr>
        <w:pStyle w:val="BodyTextMain"/>
        <w:rPr>
          <w:shd w:val="clear" w:color="auto" w:fill="FFFFFF"/>
          <w:lang w:val="en-GB"/>
        </w:rPr>
      </w:pPr>
      <w:proofErr w:type="spellStart"/>
      <w:r w:rsidRPr="009711EF">
        <w:rPr>
          <w:lang w:val="en-GB"/>
        </w:rPr>
        <w:t>Maha</w:t>
      </w:r>
      <w:proofErr w:type="spellEnd"/>
      <w:r w:rsidRPr="009711EF">
        <w:rPr>
          <w:lang w:val="en-GB"/>
        </w:rPr>
        <w:t xml:space="preserve"> Research Labs was in the business of pharmaceutical marketing, which included imports and exports. </w:t>
      </w:r>
      <w:r w:rsidRPr="00190F69">
        <w:rPr>
          <w:lang w:val="en-GB"/>
        </w:rPr>
        <w:t xml:space="preserve">The company </w:t>
      </w:r>
      <w:r w:rsidR="005153A6" w:rsidRPr="00190F69">
        <w:rPr>
          <w:lang w:val="en-GB"/>
        </w:rPr>
        <w:t>began</w:t>
      </w:r>
      <w:r w:rsidRPr="00190F69">
        <w:rPr>
          <w:lang w:val="en-GB"/>
        </w:rPr>
        <w:t xml:space="preserve"> in 2007 with an initial investment of </w:t>
      </w:r>
      <w:r w:rsidRPr="00190F69">
        <w:rPr>
          <w:rFonts w:ascii="Arial" w:hAnsi="Arial" w:cs="Arial"/>
          <w:lang w:val="en-GB"/>
        </w:rPr>
        <w:t>₹</w:t>
      </w:r>
      <w:r w:rsidRPr="00190F69">
        <w:rPr>
          <w:lang w:val="en-GB"/>
        </w:rPr>
        <w:t xml:space="preserve">3 million, </w:t>
      </w:r>
      <w:r w:rsidR="005153A6" w:rsidRPr="00190F69">
        <w:rPr>
          <w:lang w:val="en-GB"/>
        </w:rPr>
        <w:t>five</w:t>
      </w:r>
      <w:r w:rsidRPr="00190F69">
        <w:rPr>
          <w:lang w:val="en-GB"/>
        </w:rPr>
        <w:t xml:space="preserve"> employees</w:t>
      </w:r>
      <w:r w:rsidR="005153A6" w:rsidRPr="00190F69">
        <w:rPr>
          <w:lang w:val="en-GB"/>
        </w:rPr>
        <w:t>,</w:t>
      </w:r>
      <w:r w:rsidRPr="00190F69">
        <w:rPr>
          <w:lang w:val="en-GB"/>
        </w:rPr>
        <w:t xml:space="preserve"> and </w:t>
      </w:r>
      <w:r w:rsidR="005153A6" w:rsidRPr="00190F69">
        <w:rPr>
          <w:lang w:val="en-GB"/>
        </w:rPr>
        <w:t>seven</w:t>
      </w:r>
      <w:r w:rsidRPr="00190F69">
        <w:rPr>
          <w:lang w:val="en-GB"/>
        </w:rPr>
        <w:t xml:space="preserve"> brands. In </w:t>
      </w:r>
      <w:r w:rsidR="005153A6" w:rsidRPr="00190F69">
        <w:rPr>
          <w:lang w:val="en-GB"/>
        </w:rPr>
        <w:t>its</w:t>
      </w:r>
      <w:r w:rsidRPr="00190F69">
        <w:rPr>
          <w:lang w:val="en-GB"/>
        </w:rPr>
        <w:t xml:space="preserve"> initial </w:t>
      </w:r>
      <w:r w:rsidR="005153A6" w:rsidRPr="00190F69">
        <w:rPr>
          <w:lang w:val="en-GB"/>
        </w:rPr>
        <w:t>three</w:t>
      </w:r>
      <w:r w:rsidRPr="00190F69">
        <w:rPr>
          <w:lang w:val="en-GB"/>
        </w:rPr>
        <w:t xml:space="preserve"> years, the </w:t>
      </w:r>
      <w:r w:rsidRPr="00190F69">
        <w:rPr>
          <w:noProof/>
          <w:lang w:val="en-GB"/>
        </w:rPr>
        <w:t>company</w:t>
      </w:r>
      <w:r w:rsidRPr="00190F69">
        <w:rPr>
          <w:lang w:val="en-GB"/>
        </w:rPr>
        <w:t xml:space="preserve"> marketed its products in </w:t>
      </w:r>
      <w:r w:rsidR="005153A6" w:rsidRPr="00190F69">
        <w:rPr>
          <w:lang w:val="en-GB"/>
        </w:rPr>
        <w:t>eight</w:t>
      </w:r>
      <w:r w:rsidRPr="00190F69">
        <w:rPr>
          <w:lang w:val="en-GB"/>
        </w:rPr>
        <w:t xml:space="preserve"> sales </w:t>
      </w:r>
      <w:r w:rsidRPr="00190F69">
        <w:rPr>
          <w:noProof/>
          <w:lang w:val="en-GB"/>
        </w:rPr>
        <w:t>territories,</w:t>
      </w:r>
      <w:r w:rsidRPr="00190F69">
        <w:rPr>
          <w:lang w:val="en-GB"/>
        </w:rPr>
        <w:t xml:space="preserve"> and </w:t>
      </w:r>
      <w:r w:rsidRPr="00190F69">
        <w:rPr>
          <w:noProof/>
          <w:lang w:val="en-GB"/>
        </w:rPr>
        <w:t>Isaq</w:t>
      </w:r>
      <w:r w:rsidRPr="00190F69">
        <w:rPr>
          <w:lang w:val="en-GB"/>
        </w:rPr>
        <w:t xml:space="preserve"> took care of all marketing and sales activities. The company started to expand its business in 2010, with </w:t>
      </w:r>
      <w:r w:rsidRPr="00190F69">
        <w:rPr>
          <w:noProof/>
          <w:lang w:val="en-GB"/>
        </w:rPr>
        <w:t>the marketing of</w:t>
      </w:r>
      <w:r w:rsidRPr="009711EF">
        <w:rPr>
          <w:shd w:val="clear" w:color="auto" w:fill="FFFFFF"/>
          <w:lang w:val="en-GB"/>
        </w:rPr>
        <w:t xml:space="preserve"> </w:t>
      </w:r>
      <w:r w:rsidRPr="00190F69">
        <w:rPr>
          <w:lang w:val="en-GB"/>
        </w:rPr>
        <w:t xml:space="preserve">22 brands in 10 sales territories. In </w:t>
      </w:r>
      <w:r w:rsidRPr="00190F69">
        <w:rPr>
          <w:noProof/>
          <w:lang w:val="en-GB"/>
        </w:rPr>
        <w:t>April</w:t>
      </w:r>
      <w:r w:rsidRPr="00190F69">
        <w:rPr>
          <w:lang w:val="en-GB"/>
        </w:rPr>
        <w:t xml:space="preserve"> 2017, the </w:t>
      </w:r>
      <w:r w:rsidRPr="00190F69">
        <w:rPr>
          <w:noProof/>
          <w:lang w:val="en-GB"/>
        </w:rPr>
        <w:t>company</w:t>
      </w:r>
      <w:r w:rsidRPr="00190F69">
        <w:rPr>
          <w:lang w:val="en-GB"/>
        </w:rPr>
        <w:t xml:space="preserve"> had a portfolio of 46 brands and a team </w:t>
      </w:r>
      <w:r w:rsidR="00232CEE">
        <w:rPr>
          <w:lang w:val="en-GB"/>
        </w:rPr>
        <w:t xml:space="preserve">of </w:t>
      </w:r>
      <w:r w:rsidRPr="00190F69">
        <w:rPr>
          <w:lang w:val="en-GB"/>
        </w:rPr>
        <w:t xml:space="preserve">52 </w:t>
      </w:r>
      <w:r w:rsidRPr="00190F69">
        <w:rPr>
          <w:lang w:val="en-GB"/>
        </w:rPr>
        <w:lastRenderedPageBreak/>
        <w:t xml:space="preserve">employees, which included a sales team of </w:t>
      </w:r>
      <w:r w:rsidR="005153A6" w:rsidRPr="00190F69">
        <w:rPr>
          <w:lang w:val="en-GB"/>
        </w:rPr>
        <w:t>five</w:t>
      </w:r>
      <w:r w:rsidRPr="00190F69">
        <w:rPr>
          <w:lang w:val="en-GB"/>
        </w:rPr>
        <w:t xml:space="preserve"> area managers and 40 </w:t>
      </w:r>
      <w:r w:rsidRPr="00190F69">
        <w:rPr>
          <w:noProof/>
          <w:lang w:val="en-GB"/>
        </w:rPr>
        <w:t xml:space="preserve">professional sales officers </w:t>
      </w:r>
      <w:r w:rsidRPr="00190F69">
        <w:rPr>
          <w:lang w:val="en-GB"/>
        </w:rPr>
        <w:t xml:space="preserve">covering </w:t>
      </w:r>
      <w:r w:rsidRPr="00190F69">
        <w:rPr>
          <w:noProof/>
          <w:lang w:val="en-GB"/>
        </w:rPr>
        <w:t>various</w:t>
      </w:r>
      <w:r w:rsidRPr="00190F69">
        <w:rPr>
          <w:lang w:val="en-GB"/>
        </w:rPr>
        <w:t xml:space="preserve"> areas in </w:t>
      </w:r>
      <w:r w:rsidR="005153A6" w:rsidRPr="00190F69">
        <w:rPr>
          <w:lang w:val="en-GB"/>
        </w:rPr>
        <w:t>W</w:t>
      </w:r>
      <w:r w:rsidRPr="00190F69">
        <w:rPr>
          <w:lang w:val="en-GB"/>
        </w:rPr>
        <w:t xml:space="preserve">estern India. </w:t>
      </w:r>
      <w:r w:rsidRPr="009711EF">
        <w:rPr>
          <w:lang w:val="en-GB"/>
        </w:rPr>
        <w:t xml:space="preserve">The company was committed </w:t>
      </w:r>
      <w:r w:rsidRPr="009711EF">
        <w:rPr>
          <w:noProof/>
          <w:lang w:val="en-GB"/>
        </w:rPr>
        <w:t>to deliver</w:t>
      </w:r>
      <w:r w:rsidR="005153A6">
        <w:rPr>
          <w:noProof/>
          <w:lang w:val="en-GB"/>
        </w:rPr>
        <w:t xml:space="preserve">ing </w:t>
      </w:r>
      <w:r w:rsidRPr="009711EF">
        <w:rPr>
          <w:lang w:val="en-GB"/>
        </w:rPr>
        <w:t>high</w:t>
      </w:r>
      <w:r w:rsidR="0039571E">
        <w:rPr>
          <w:lang w:val="en-GB"/>
        </w:rPr>
        <w:t xml:space="preserve"> </w:t>
      </w:r>
      <w:r w:rsidRPr="009711EF">
        <w:rPr>
          <w:lang w:val="en-GB"/>
        </w:rPr>
        <w:t>quality</w:t>
      </w:r>
      <w:r w:rsidR="0039571E">
        <w:rPr>
          <w:lang w:val="en-GB"/>
        </w:rPr>
        <w:t>,</w:t>
      </w:r>
      <w:r w:rsidRPr="009711EF">
        <w:rPr>
          <w:lang w:val="en-GB"/>
        </w:rPr>
        <w:t xml:space="preserve"> international-standard products to Indian and overseas markets</w:t>
      </w:r>
      <w:r w:rsidRPr="00190F69">
        <w:rPr>
          <w:lang w:val="en-GB"/>
        </w:rPr>
        <w:t xml:space="preserve">. </w:t>
      </w:r>
      <w:r w:rsidR="005153A6" w:rsidRPr="00190F69">
        <w:rPr>
          <w:lang w:val="en-GB"/>
        </w:rPr>
        <w:t>It</w:t>
      </w:r>
      <w:r w:rsidRPr="00190F69">
        <w:rPr>
          <w:lang w:val="en-GB"/>
        </w:rPr>
        <w:t xml:space="preserve"> followed good manufacturing </w:t>
      </w:r>
      <w:r w:rsidRPr="00190F69">
        <w:rPr>
          <w:noProof/>
          <w:lang w:val="en-GB"/>
        </w:rPr>
        <w:t>practices (GMP),</w:t>
      </w:r>
      <w:r w:rsidRPr="00190F69">
        <w:rPr>
          <w:lang w:val="en-GB"/>
        </w:rPr>
        <w:t xml:space="preserve"> and all </w:t>
      </w:r>
      <w:r w:rsidR="005153A6" w:rsidRPr="00190F69">
        <w:rPr>
          <w:lang w:val="en-GB"/>
        </w:rPr>
        <w:t xml:space="preserve">of </w:t>
      </w:r>
      <w:r w:rsidRPr="00190F69">
        <w:rPr>
          <w:lang w:val="en-GB"/>
        </w:rPr>
        <w:t xml:space="preserve">its products </w:t>
      </w:r>
      <w:r w:rsidRPr="00190F69">
        <w:rPr>
          <w:noProof/>
          <w:lang w:val="en-GB"/>
        </w:rPr>
        <w:t xml:space="preserve">were procured </w:t>
      </w:r>
      <w:r w:rsidRPr="00190F69">
        <w:rPr>
          <w:lang w:val="en-GB"/>
        </w:rPr>
        <w:t xml:space="preserve">from government-approved pharmaceutical companies adhering to </w:t>
      </w:r>
      <w:r w:rsidRPr="00190F69">
        <w:rPr>
          <w:noProof/>
          <w:lang w:val="en-GB"/>
        </w:rPr>
        <w:t>proper</w:t>
      </w:r>
      <w:r w:rsidRPr="00190F69">
        <w:rPr>
          <w:shd w:val="clear" w:color="auto" w:fill="000000" w:themeFill="text1"/>
          <w:lang w:val="en-GB"/>
        </w:rPr>
        <w:t xml:space="preserve"> </w:t>
      </w:r>
      <w:r w:rsidRPr="00190F69">
        <w:rPr>
          <w:lang w:val="en-GB"/>
        </w:rPr>
        <w:t>quality controls.</w:t>
      </w:r>
      <w:r w:rsidRPr="009711EF">
        <w:rPr>
          <w:shd w:val="clear" w:color="auto" w:fill="FFFFFF"/>
          <w:lang w:val="en-GB"/>
        </w:rPr>
        <w:t xml:space="preserve"> </w:t>
      </w:r>
    </w:p>
    <w:p w14:paraId="138C8496" w14:textId="77777777" w:rsidR="008C2435" w:rsidRPr="009711EF" w:rsidRDefault="008C2435" w:rsidP="00190F69">
      <w:pPr>
        <w:pStyle w:val="BodyTextMain"/>
        <w:rPr>
          <w:lang w:val="en-GB"/>
        </w:rPr>
      </w:pPr>
    </w:p>
    <w:p w14:paraId="10C727BE" w14:textId="26CDF272" w:rsidR="008C2435" w:rsidRPr="009711EF" w:rsidRDefault="005153A6" w:rsidP="00190F69">
      <w:pPr>
        <w:pStyle w:val="BodyTextMain"/>
        <w:rPr>
          <w:lang w:val="en-GB"/>
        </w:rPr>
      </w:pPr>
      <w:r>
        <w:rPr>
          <w:noProof/>
          <w:lang w:val="en-GB"/>
        </w:rPr>
        <w:t>Maha Research Labs</w:t>
      </w:r>
      <w:r w:rsidR="009236F5">
        <w:rPr>
          <w:noProof/>
          <w:lang w:val="en-GB"/>
        </w:rPr>
        <w:t>’</w:t>
      </w:r>
      <w:r w:rsidR="008C2435" w:rsidRPr="009711EF">
        <w:rPr>
          <w:lang w:val="en-GB"/>
        </w:rPr>
        <w:t xml:space="preserve"> line of medications included analgesics, antibiotics, anti-</w:t>
      </w:r>
      <w:proofErr w:type="spellStart"/>
      <w:r w:rsidR="008C2435" w:rsidRPr="009711EF">
        <w:rPr>
          <w:lang w:val="en-GB"/>
        </w:rPr>
        <w:t>allerg</w:t>
      </w:r>
      <w:r w:rsidR="008C2435">
        <w:rPr>
          <w:lang w:val="en-GB"/>
        </w:rPr>
        <w:t>en</w:t>
      </w:r>
      <w:r w:rsidR="008C2435" w:rsidRPr="009711EF">
        <w:rPr>
          <w:lang w:val="en-GB"/>
        </w:rPr>
        <w:t>ics</w:t>
      </w:r>
      <w:proofErr w:type="spellEnd"/>
      <w:r w:rsidR="008C2435" w:rsidRPr="009711EF">
        <w:rPr>
          <w:lang w:val="en-GB"/>
        </w:rPr>
        <w:t>, cough syrups</w:t>
      </w:r>
      <w:r w:rsidR="008C2435">
        <w:rPr>
          <w:lang w:val="en-GB"/>
        </w:rPr>
        <w:t>,</w:t>
      </w:r>
      <w:r w:rsidR="008C2435" w:rsidRPr="009711EF">
        <w:rPr>
          <w:lang w:val="en-GB"/>
        </w:rPr>
        <w:t xml:space="preserve"> and </w:t>
      </w:r>
      <w:r>
        <w:rPr>
          <w:lang w:val="en-GB"/>
        </w:rPr>
        <w:t>a</w:t>
      </w:r>
      <w:r w:rsidR="008C2435" w:rsidRPr="009711EF">
        <w:rPr>
          <w:lang w:val="en-GB"/>
        </w:rPr>
        <w:t xml:space="preserve"> range of </w:t>
      </w:r>
      <w:r w:rsidR="0039571E">
        <w:rPr>
          <w:lang w:val="en-GB"/>
        </w:rPr>
        <w:t xml:space="preserve">nutritional </w:t>
      </w:r>
      <w:r w:rsidR="008C2435" w:rsidRPr="009711EF">
        <w:rPr>
          <w:lang w:val="en-GB"/>
        </w:rPr>
        <w:t>products (see Exhibit 2)</w:t>
      </w:r>
      <w:r w:rsidR="008C2435" w:rsidRPr="00190F69">
        <w:rPr>
          <w:lang w:val="en-GB"/>
        </w:rPr>
        <w:t>.</w:t>
      </w:r>
      <w:r w:rsidR="008C2435" w:rsidRPr="009711EF">
        <w:rPr>
          <w:lang w:val="en-GB"/>
        </w:rPr>
        <w:t xml:space="preserve"> </w:t>
      </w:r>
      <w:r w:rsidR="008C2435" w:rsidRPr="009711EF">
        <w:rPr>
          <w:noProof/>
          <w:lang w:val="en-GB"/>
        </w:rPr>
        <w:t>Its</w:t>
      </w:r>
      <w:r w:rsidR="008C2435" w:rsidRPr="009711EF">
        <w:rPr>
          <w:lang w:val="en-GB"/>
        </w:rPr>
        <w:t xml:space="preserve"> focused product </w:t>
      </w:r>
      <w:r w:rsidR="008C2435" w:rsidRPr="009711EF">
        <w:rPr>
          <w:noProof/>
          <w:lang w:val="en-GB"/>
        </w:rPr>
        <w:t>portfolio</w:t>
      </w:r>
      <w:r w:rsidR="008C2435" w:rsidRPr="009711EF">
        <w:rPr>
          <w:lang w:val="en-GB"/>
        </w:rPr>
        <w:t xml:space="preserve"> and </w:t>
      </w:r>
      <w:r w:rsidR="008C2435" w:rsidRPr="009711EF">
        <w:rPr>
          <w:noProof/>
          <w:lang w:val="en-GB"/>
        </w:rPr>
        <w:t>broad</w:t>
      </w:r>
      <w:r w:rsidR="008C2435" w:rsidRPr="009711EF">
        <w:rPr>
          <w:lang w:val="en-GB"/>
        </w:rPr>
        <w:t xml:space="preserve"> distribution network provided strategic advantages for integration that had allowed </w:t>
      </w:r>
      <w:r w:rsidR="00232CEE">
        <w:rPr>
          <w:lang w:val="en-GB"/>
        </w:rPr>
        <w:t>it</w:t>
      </w:r>
      <w:r w:rsidR="008C2435" w:rsidRPr="009711EF">
        <w:rPr>
          <w:lang w:val="en-GB"/>
        </w:rPr>
        <w:t xml:space="preserve"> to </w:t>
      </w:r>
      <w:r w:rsidR="008C2435" w:rsidRPr="009711EF">
        <w:rPr>
          <w:noProof/>
          <w:lang w:val="en-GB"/>
        </w:rPr>
        <w:t>perform</w:t>
      </w:r>
      <w:r w:rsidR="008C2435" w:rsidRPr="009711EF">
        <w:rPr>
          <w:lang w:val="en-GB"/>
        </w:rPr>
        <w:t xml:space="preserve"> well in </w:t>
      </w:r>
      <w:r w:rsidR="00416D34">
        <w:rPr>
          <w:lang w:val="en-GB"/>
        </w:rPr>
        <w:t>the</w:t>
      </w:r>
      <w:r w:rsidR="008C2435" w:rsidRPr="009711EF">
        <w:rPr>
          <w:lang w:val="en-GB"/>
        </w:rPr>
        <w:t xml:space="preserve"> increasingly competitive pharmaceutical market</w:t>
      </w:r>
      <w:r w:rsidR="008C2435" w:rsidRPr="00190F69">
        <w:rPr>
          <w:lang w:val="en-GB"/>
        </w:rPr>
        <w:t>. The company’s comprehensive network of three carrying-and-forwarding agents and more than 100 stockists distributed its products to customers through retail</w:t>
      </w:r>
      <w:r w:rsidR="008C2435" w:rsidRPr="00190F69">
        <w:rPr>
          <w:shd w:val="clear" w:color="auto" w:fill="000000" w:themeFill="text1"/>
          <w:lang w:val="en-GB"/>
        </w:rPr>
        <w:t xml:space="preserve"> </w:t>
      </w:r>
      <w:r w:rsidR="008C2435" w:rsidRPr="00190F69">
        <w:rPr>
          <w:lang w:val="en-GB"/>
        </w:rPr>
        <w:t>pharmacies in different sales territories (see Exhibit 3).</w:t>
      </w:r>
    </w:p>
    <w:p w14:paraId="434C4ECF" w14:textId="77777777" w:rsidR="008C2435" w:rsidRDefault="008C2435" w:rsidP="00190F69">
      <w:pPr>
        <w:pStyle w:val="BodyTextMain"/>
        <w:rPr>
          <w:lang w:val="en-GB"/>
        </w:rPr>
      </w:pPr>
    </w:p>
    <w:p w14:paraId="6033D78C" w14:textId="77777777" w:rsidR="0039571E" w:rsidRDefault="0039571E" w:rsidP="00190F69">
      <w:pPr>
        <w:pStyle w:val="BodyTextMain"/>
        <w:rPr>
          <w:lang w:val="en-GB"/>
        </w:rPr>
      </w:pPr>
    </w:p>
    <w:p w14:paraId="154FF893" w14:textId="6E71BA94" w:rsidR="008C2435" w:rsidRPr="000D041D" w:rsidRDefault="008C2435" w:rsidP="00190F69">
      <w:pPr>
        <w:pStyle w:val="BodyTextMain"/>
        <w:rPr>
          <w:rFonts w:ascii="Arial" w:hAnsi="Arial" w:cs="Arial"/>
          <w:b/>
          <w:sz w:val="20"/>
          <w:szCs w:val="20"/>
          <w:lang w:val="en-GB"/>
        </w:rPr>
      </w:pPr>
      <w:r w:rsidRPr="000D041D">
        <w:rPr>
          <w:rFonts w:ascii="Arial" w:hAnsi="Arial" w:cs="Arial"/>
          <w:b/>
          <w:sz w:val="20"/>
          <w:szCs w:val="20"/>
          <w:lang w:val="en-GB"/>
        </w:rPr>
        <w:t>TURKEY AS A BUSINESS DESTINATION</w:t>
      </w:r>
    </w:p>
    <w:p w14:paraId="25A2BE66" w14:textId="77777777" w:rsidR="008C2435" w:rsidRDefault="008C2435" w:rsidP="00190F69">
      <w:pPr>
        <w:pStyle w:val="BodyTextMain"/>
        <w:rPr>
          <w:lang w:val="en-GB"/>
        </w:rPr>
      </w:pPr>
    </w:p>
    <w:p w14:paraId="591572B6" w14:textId="20954876" w:rsidR="008C2435" w:rsidRPr="008D7A06" w:rsidRDefault="008C2435" w:rsidP="00190F69">
      <w:pPr>
        <w:pStyle w:val="NoSpacing"/>
        <w:jc w:val="both"/>
        <w:rPr>
          <w:rFonts w:ascii="Times New Roman" w:hAnsi="Times New Roman" w:cs="Times New Roman"/>
        </w:rPr>
      </w:pPr>
      <w:r w:rsidRPr="008D7A06">
        <w:rPr>
          <w:rStyle w:val="srtitle"/>
          <w:rFonts w:ascii="Times New Roman" w:hAnsi="Times New Roman" w:cs="Times New Roman"/>
        </w:rPr>
        <w:t xml:space="preserve">Turkey </w:t>
      </w:r>
      <w:r w:rsidRPr="008D7A06">
        <w:rPr>
          <w:rFonts w:ascii="Times New Roman" w:hAnsi="Times New Roman" w:cs="Times New Roman"/>
        </w:rPr>
        <w:t>occupied a distinct geographic position, lying partly in</w:t>
      </w:r>
      <w:r w:rsidRPr="008D7A06">
        <w:rPr>
          <w:rStyle w:val="apple-converted-space"/>
          <w:rFonts w:ascii="Times New Roman" w:hAnsi="Times New Roman" w:cs="Times New Roman"/>
        </w:rPr>
        <w:t> </w:t>
      </w:r>
      <w:r w:rsidRPr="008D7A06">
        <w:rPr>
          <w:rFonts w:ascii="Times New Roman" w:hAnsi="Times New Roman" w:cs="Times New Roman"/>
        </w:rPr>
        <w:t>Asia</w:t>
      </w:r>
      <w:r w:rsidRPr="008D7A06">
        <w:rPr>
          <w:rStyle w:val="apple-converted-space"/>
          <w:rFonts w:ascii="Times New Roman" w:hAnsi="Times New Roman" w:cs="Times New Roman"/>
        </w:rPr>
        <w:t> </w:t>
      </w:r>
      <w:r w:rsidRPr="008D7A06">
        <w:rPr>
          <w:rFonts w:ascii="Times New Roman" w:hAnsi="Times New Roman" w:cs="Times New Roman"/>
        </w:rPr>
        <w:t>and partly in Europe</w:t>
      </w:r>
      <w:r w:rsidR="00416D34">
        <w:rPr>
          <w:rFonts w:ascii="Times New Roman" w:hAnsi="Times New Roman" w:cs="Times New Roman"/>
        </w:rPr>
        <w:t>,</w:t>
      </w:r>
      <w:r w:rsidRPr="008D7A06">
        <w:rPr>
          <w:rFonts w:ascii="Times New Roman" w:hAnsi="Times New Roman" w:cs="Times New Roman"/>
        </w:rPr>
        <w:t xml:space="preserve"> and acted as both a barrier and a bridge between the two continents. Turkey was among the larger countries of the region in terms of territory and population. It was bordered by eight</w:t>
      </w:r>
      <w:r w:rsidRPr="008D7A06">
        <w:rPr>
          <w:rStyle w:val="apple-converted-space"/>
          <w:rFonts w:ascii="Times New Roman" w:hAnsi="Times New Roman" w:cs="Times New Roman"/>
        </w:rPr>
        <w:t> </w:t>
      </w:r>
      <w:r w:rsidRPr="008D7A06">
        <w:rPr>
          <w:rFonts w:ascii="Times New Roman" w:hAnsi="Times New Roman" w:cs="Times New Roman"/>
        </w:rPr>
        <w:t>countries</w:t>
      </w:r>
      <w:r w:rsidR="00416D34">
        <w:rPr>
          <w:rFonts w:ascii="Times New Roman" w:hAnsi="Times New Roman" w:cs="Times New Roman"/>
        </w:rPr>
        <w:t>—</w:t>
      </w:r>
      <w:r w:rsidRPr="008D7A06">
        <w:rPr>
          <w:rFonts w:ascii="Times New Roman" w:hAnsi="Times New Roman" w:cs="Times New Roman"/>
        </w:rPr>
        <w:t>Greece, Bulgaria, Georgia, Armenia, Azerbaijan, Iran, Iraq</w:t>
      </w:r>
      <w:r w:rsidR="0039571E">
        <w:rPr>
          <w:rFonts w:ascii="Times New Roman" w:hAnsi="Times New Roman" w:cs="Times New Roman"/>
        </w:rPr>
        <w:t>,</w:t>
      </w:r>
      <w:r w:rsidRPr="008D7A06">
        <w:rPr>
          <w:rFonts w:ascii="Times New Roman" w:hAnsi="Times New Roman" w:cs="Times New Roman"/>
        </w:rPr>
        <w:t xml:space="preserve"> and Syria. The modern Turkish </w:t>
      </w:r>
      <w:r w:rsidR="00416D34">
        <w:rPr>
          <w:rFonts w:ascii="Times New Roman" w:hAnsi="Times New Roman" w:cs="Times New Roman"/>
        </w:rPr>
        <w:t>R</w:t>
      </w:r>
      <w:r w:rsidRPr="008D7A06">
        <w:rPr>
          <w:rFonts w:ascii="Times New Roman" w:hAnsi="Times New Roman" w:cs="Times New Roman"/>
        </w:rPr>
        <w:t>epublic, founded in 1923</w:t>
      </w:r>
      <w:r w:rsidR="00416D34">
        <w:rPr>
          <w:rFonts w:ascii="Times New Roman" w:hAnsi="Times New Roman" w:cs="Times New Roman"/>
        </w:rPr>
        <w:t>,</w:t>
      </w:r>
      <w:r w:rsidRPr="008D7A06">
        <w:rPr>
          <w:rFonts w:ascii="Times New Roman" w:hAnsi="Times New Roman" w:cs="Times New Roman"/>
        </w:rPr>
        <w:t xml:space="preserve"> was a nationalist,</w:t>
      </w:r>
      <w:r>
        <w:rPr>
          <w:rFonts w:ascii="Times New Roman" w:hAnsi="Times New Roman" w:cs="Times New Roman"/>
        </w:rPr>
        <w:t xml:space="preserve"> secular, </w:t>
      </w:r>
      <w:r w:rsidRPr="008D7A06">
        <w:rPr>
          <w:rFonts w:ascii="Times New Roman" w:hAnsi="Times New Roman" w:cs="Times New Roman"/>
        </w:rPr>
        <w:t>parliamentary democracy.</w:t>
      </w:r>
    </w:p>
    <w:p w14:paraId="6F6F20F3" w14:textId="77777777" w:rsidR="008C2435" w:rsidRPr="009711EF" w:rsidRDefault="008C2435" w:rsidP="00190F69">
      <w:pPr>
        <w:pStyle w:val="BodyTextMain"/>
        <w:rPr>
          <w:lang w:val="en-GB"/>
        </w:rPr>
      </w:pPr>
    </w:p>
    <w:p w14:paraId="4411E891" w14:textId="74F62500" w:rsidR="0048431D" w:rsidRDefault="008C2435" w:rsidP="00190F69">
      <w:pPr>
        <w:spacing w:line="240" w:lineRule="atLeast"/>
        <w:jc w:val="both"/>
        <w:rPr>
          <w:color w:val="000000"/>
          <w:sz w:val="22"/>
          <w:szCs w:val="22"/>
        </w:rPr>
      </w:pPr>
      <w:r w:rsidRPr="00190F69">
        <w:rPr>
          <w:color w:val="000000"/>
          <w:sz w:val="22"/>
          <w:szCs w:val="22"/>
        </w:rPr>
        <w:t xml:space="preserve">As the most western country in the Middle East, Turkey presented promising and long-term opportunities for business. </w:t>
      </w:r>
      <w:r w:rsidR="00B319EC" w:rsidRPr="00190F69">
        <w:rPr>
          <w:color w:val="000000"/>
          <w:sz w:val="22"/>
          <w:szCs w:val="22"/>
        </w:rPr>
        <w:t>It</w:t>
      </w:r>
      <w:r w:rsidR="00B319EC" w:rsidRPr="001A494D">
        <w:rPr>
          <w:color w:val="000000"/>
          <w:sz w:val="22"/>
          <w:szCs w:val="22"/>
        </w:rPr>
        <w:t xml:space="preserve"> was considered a commercial hub </w:t>
      </w:r>
      <w:r w:rsidR="00B319EC">
        <w:rPr>
          <w:color w:val="000000"/>
          <w:sz w:val="22"/>
          <w:szCs w:val="22"/>
        </w:rPr>
        <w:t>in</w:t>
      </w:r>
      <w:r w:rsidR="00B319EC" w:rsidRPr="001A494D">
        <w:rPr>
          <w:color w:val="000000"/>
          <w:sz w:val="22"/>
          <w:szCs w:val="22"/>
        </w:rPr>
        <w:t xml:space="preserve"> the region</w:t>
      </w:r>
      <w:r w:rsidR="00B319EC">
        <w:rPr>
          <w:color w:val="000000"/>
          <w:sz w:val="22"/>
          <w:szCs w:val="22"/>
        </w:rPr>
        <w:t>, providing</w:t>
      </w:r>
      <w:r w:rsidR="00B319EC" w:rsidRPr="001A494D">
        <w:rPr>
          <w:color w:val="000000"/>
          <w:sz w:val="22"/>
          <w:szCs w:val="22"/>
        </w:rPr>
        <w:t xml:space="preserve"> access </w:t>
      </w:r>
      <w:r w:rsidR="00B319EC">
        <w:rPr>
          <w:color w:val="000000"/>
          <w:sz w:val="22"/>
          <w:szCs w:val="22"/>
        </w:rPr>
        <w:t xml:space="preserve">to </w:t>
      </w:r>
      <w:r w:rsidR="00B319EC" w:rsidRPr="001A494D">
        <w:rPr>
          <w:color w:val="000000"/>
          <w:sz w:val="22"/>
          <w:szCs w:val="22"/>
        </w:rPr>
        <w:t>business opportunities throughout Central Asia, the Caucasus, the Middle East</w:t>
      </w:r>
      <w:r w:rsidR="00B319EC">
        <w:rPr>
          <w:color w:val="000000"/>
          <w:sz w:val="22"/>
          <w:szCs w:val="22"/>
        </w:rPr>
        <w:t>,</w:t>
      </w:r>
      <w:r w:rsidR="00B319EC" w:rsidRPr="001A494D">
        <w:rPr>
          <w:color w:val="000000"/>
          <w:sz w:val="22"/>
          <w:szCs w:val="22"/>
        </w:rPr>
        <w:t xml:space="preserve"> and even Africa</w:t>
      </w:r>
      <w:r w:rsidR="00B319EC" w:rsidRPr="00190F69">
        <w:rPr>
          <w:color w:val="000000"/>
          <w:sz w:val="22"/>
          <w:szCs w:val="22"/>
        </w:rPr>
        <w:t xml:space="preserve">. </w:t>
      </w:r>
      <w:r w:rsidRPr="00190F69">
        <w:rPr>
          <w:color w:val="000000"/>
          <w:sz w:val="22"/>
          <w:szCs w:val="22"/>
        </w:rPr>
        <w:t xml:space="preserve">Turkey’s </w:t>
      </w:r>
      <w:r w:rsidR="00B319EC" w:rsidRPr="00190F69">
        <w:rPr>
          <w:color w:val="000000"/>
          <w:sz w:val="22"/>
          <w:szCs w:val="22"/>
        </w:rPr>
        <w:t xml:space="preserve">strategic geographic location, </w:t>
      </w:r>
      <w:r w:rsidRPr="00190F69">
        <w:rPr>
          <w:color w:val="000000"/>
          <w:sz w:val="22"/>
          <w:szCs w:val="22"/>
        </w:rPr>
        <w:t xml:space="preserve">stable economy, rising middle class, </w:t>
      </w:r>
      <w:r w:rsidR="00F62181" w:rsidRPr="00190F69">
        <w:rPr>
          <w:color w:val="000000"/>
          <w:sz w:val="22"/>
          <w:szCs w:val="22"/>
        </w:rPr>
        <w:t xml:space="preserve">and </w:t>
      </w:r>
      <w:r w:rsidRPr="00190F69">
        <w:rPr>
          <w:color w:val="000000"/>
          <w:sz w:val="22"/>
          <w:szCs w:val="22"/>
        </w:rPr>
        <w:t>young population (</w:t>
      </w:r>
      <w:r w:rsidR="00416D34" w:rsidRPr="00190F69">
        <w:rPr>
          <w:color w:val="000000"/>
          <w:sz w:val="22"/>
          <w:szCs w:val="22"/>
        </w:rPr>
        <w:t xml:space="preserve">an </w:t>
      </w:r>
      <w:r w:rsidRPr="00190F69">
        <w:rPr>
          <w:color w:val="000000"/>
          <w:sz w:val="22"/>
          <w:szCs w:val="22"/>
        </w:rPr>
        <w:t xml:space="preserve">average age of 29) made </w:t>
      </w:r>
      <w:r w:rsidR="00232CEE">
        <w:rPr>
          <w:color w:val="000000"/>
          <w:sz w:val="22"/>
          <w:szCs w:val="22"/>
        </w:rPr>
        <w:t>it</w:t>
      </w:r>
      <w:r w:rsidRPr="00190F69">
        <w:rPr>
          <w:color w:val="000000"/>
          <w:sz w:val="22"/>
          <w:szCs w:val="22"/>
        </w:rPr>
        <w:t xml:space="preserve"> a</w:t>
      </w:r>
      <w:r w:rsidRPr="00190F69">
        <w:rPr>
          <w:color w:val="000000"/>
          <w:sz w:val="22"/>
          <w:szCs w:val="22"/>
          <w:shd w:val="clear" w:color="auto" w:fill="000000" w:themeFill="text1"/>
        </w:rPr>
        <w:t xml:space="preserve"> </w:t>
      </w:r>
      <w:r w:rsidRPr="00190F69">
        <w:rPr>
          <w:color w:val="000000"/>
          <w:sz w:val="22"/>
          <w:szCs w:val="22"/>
        </w:rPr>
        <w:t xml:space="preserve">lucrative market for exporters. </w:t>
      </w:r>
      <w:r w:rsidR="00B319EC" w:rsidRPr="00190F69">
        <w:rPr>
          <w:color w:val="000000"/>
          <w:sz w:val="22"/>
          <w:szCs w:val="22"/>
        </w:rPr>
        <w:t xml:space="preserve">Moreover, </w:t>
      </w:r>
      <w:r w:rsidRPr="001A494D">
        <w:rPr>
          <w:color w:val="000000"/>
          <w:sz w:val="22"/>
          <w:szCs w:val="22"/>
        </w:rPr>
        <w:t>Turkey’s economy had averaged 5 per cent growth since 2002. This rapid economic growth was driven in part by flourishing infrastructure projects</w:t>
      </w:r>
      <w:r w:rsidR="00B319EC">
        <w:rPr>
          <w:color w:val="000000"/>
          <w:sz w:val="22"/>
          <w:szCs w:val="22"/>
        </w:rPr>
        <w:t>, and</w:t>
      </w:r>
      <w:r w:rsidRPr="001A494D">
        <w:rPr>
          <w:color w:val="000000"/>
          <w:sz w:val="22"/>
          <w:szCs w:val="22"/>
        </w:rPr>
        <w:t xml:space="preserve"> </w:t>
      </w:r>
      <w:r w:rsidR="00B319EC">
        <w:rPr>
          <w:color w:val="000000"/>
          <w:sz w:val="22"/>
          <w:szCs w:val="22"/>
        </w:rPr>
        <w:t xml:space="preserve">had </w:t>
      </w:r>
      <w:r w:rsidRPr="001A494D">
        <w:rPr>
          <w:color w:val="000000"/>
          <w:sz w:val="22"/>
          <w:szCs w:val="22"/>
        </w:rPr>
        <w:t xml:space="preserve">occurred despite the Turkish </w:t>
      </w:r>
      <w:r w:rsidR="00F62181">
        <w:rPr>
          <w:color w:val="000000"/>
          <w:sz w:val="22"/>
          <w:szCs w:val="22"/>
        </w:rPr>
        <w:t>l</w:t>
      </w:r>
      <w:r w:rsidRPr="001A494D">
        <w:rPr>
          <w:color w:val="000000"/>
          <w:sz w:val="22"/>
          <w:szCs w:val="22"/>
        </w:rPr>
        <w:t xml:space="preserve">ira losing 25 per cent of its value in 2015. </w:t>
      </w:r>
      <w:r w:rsidR="00B319EC">
        <w:rPr>
          <w:color w:val="000000"/>
          <w:sz w:val="22"/>
          <w:szCs w:val="22"/>
        </w:rPr>
        <w:t xml:space="preserve">In addition, </w:t>
      </w:r>
      <w:r w:rsidR="00B319EC" w:rsidRPr="001A494D">
        <w:rPr>
          <w:color w:val="000000"/>
          <w:sz w:val="22"/>
          <w:szCs w:val="22"/>
        </w:rPr>
        <w:t xml:space="preserve">Turkey’s continued movement toward membership in the European Union had generated </w:t>
      </w:r>
      <w:r w:rsidR="00B56C76">
        <w:rPr>
          <w:color w:val="000000"/>
          <w:sz w:val="22"/>
          <w:szCs w:val="22"/>
        </w:rPr>
        <w:t xml:space="preserve">a </w:t>
      </w:r>
      <w:r w:rsidR="00B319EC" w:rsidRPr="001A494D">
        <w:rPr>
          <w:color w:val="000000"/>
          <w:sz w:val="22"/>
          <w:szCs w:val="22"/>
        </w:rPr>
        <w:t>momentum to embrace European business regulations and standards in Turkey, thereby making it easier</w:t>
      </w:r>
      <w:r w:rsidR="00B56C76">
        <w:rPr>
          <w:color w:val="000000"/>
          <w:sz w:val="22"/>
          <w:szCs w:val="22"/>
        </w:rPr>
        <w:t>, ultimately,</w:t>
      </w:r>
      <w:r w:rsidR="00B319EC" w:rsidRPr="001A494D">
        <w:rPr>
          <w:color w:val="000000"/>
          <w:sz w:val="22"/>
          <w:szCs w:val="22"/>
        </w:rPr>
        <w:t xml:space="preserve"> to sell </w:t>
      </w:r>
      <w:r w:rsidR="00DD66C5">
        <w:rPr>
          <w:color w:val="000000"/>
          <w:sz w:val="22"/>
          <w:szCs w:val="22"/>
        </w:rPr>
        <w:t xml:space="preserve">products </w:t>
      </w:r>
      <w:r w:rsidR="00B319EC" w:rsidRPr="001A494D">
        <w:rPr>
          <w:color w:val="000000"/>
          <w:sz w:val="22"/>
          <w:szCs w:val="22"/>
        </w:rPr>
        <w:t>and conduct business in th</w:t>
      </w:r>
      <w:r w:rsidR="00B56C76">
        <w:rPr>
          <w:color w:val="000000"/>
          <w:sz w:val="22"/>
          <w:szCs w:val="22"/>
        </w:rPr>
        <w:t>at</w:t>
      </w:r>
      <w:r w:rsidR="00B319EC" w:rsidRPr="001A494D">
        <w:rPr>
          <w:color w:val="000000"/>
          <w:sz w:val="22"/>
          <w:szCs w:val="22"/>
        </w:rPr>
        <w:t xml:space="preserve"> market. </w:t>
      </w:r>
    </w:p>
    <w:p w14:paraId="59111BDE" w14:textId="77777777" w:rsidR="0048431D" w:rsidRDefault="0048431D" w:rsidP="00190F69">
      <w:pPr>
        <w:spacing w:line="240" w:lineRule="atLeast"/>
        <w:jc w:val="both"/>
        <w:rPr>
          <w:color w:val="000000"/>
          <w:sz w:val="22"/>
          <w:szCs w:val="22"/>
        </w:rPr>
      </w:pPr>
    </w:p>
    <w:p w14:paraId="4EAD0C74" w14:textId="461C3F5F" w:rsidR="008C2435" w:rsidRDefault="00B319EC" w:rsidP="00190F69">
      <w:pPr>
        <w:spacing w:line="240" w:lineRule="atLeast"/>
        <w:jc w:val="both"/>
        <w:rPr>
          <w:color w:val="000000"/>
        </w:rPr>
      </w:pPr>
      <w:r>
        <w:rPr>
          <w:color w:val="000000"/>
          <w:sz w:val="22"/>
          <w:szCs w:val="22"/>
        </w:rPr>
        <w:t xml:space="preserve">However, </w:t>
      </w:r>
      <w:r w:rsidR="008C2435" w:rsidRPr="001A494D">
        <w:rPr>
          <w:color w:val="000000"/>
          <w:sz w:val="22"/>
          <w:szCs w:val="22"/>
        </w:rPr>
        <w:t xml:space="preserve">Turkey was a complex and challenging market requiring flexibility and perseverance. </w:t>
      </w:r>
      <w:r w:rsidRPr="001A494D">
        <w:rPr>
          <w:color w:val="000000"/>
          <w:sz w:val="22"/>
          <w:szCs w:val="22"/>
        </w:rPr>
        <w:t xml:space="preserve">Unemployment remained obstinately high. </w:t>
      </w:r>
      <w:r w:rsidR="008C2435" w:rsidRPr="001A494D">
        <w:rPr>
          <w:color w:val="000000"/>
          <w:sz w:val="22"/>
          <w:szCs w:val="22"/>
        </w:rPr>
        <w:t>Exporters face</w:t>
      </w:r>
      <w:r>
        <w:rPr>
          <w:color w:val="000000"/>
          <w:sz w:val="22"/>
          <w:szCs w:val="22"/>
        </w:rPr>
        <w:t>d</w:t>
      </w:r>
      <w:r w:rsidR="008C2435" w:rsidRPr="001A494D">
        <w:rPr>
          <w:color w:val="000000"/>
          <w:sz w:val="22"/>
          <w:szCs w:val="22"/>
        </w:rPr>
        <w:t xml:space="preserve"> challenges </w:t>
      </w:r>
      <w:r>
        <w:rPr>
          <w:color w:val="000000"/>
          <w:sz w:val="22"/>
          <w:szCs w:val="22"/>
        </w:rPr>
        <w:t>such as</w:t>
      </w:r>
      <w:r w:rsidR="008C2435" w:rsidRPr="001A494D">
        <w:rPr>
          <w:color w:val="000000"/>
          <w:sz w:val="22"/>
          <w:szCs w:val="22"/>
        </w:rPr>
        <w:t xml:space="preserve"> inconsisten</w:t>
      </w:r>
      <w:r>
        <w:rPr>
          <w:color w:val="000000"/>
          <w:sz w:val="22"/>
          <w:szCs w:val="22"/>
        </w:rPr>
        <w:t>cy in</w:t>
      </w:r>
      <w:r w:rsidR="008C2435" w:rsidRPr="001A494D">
        <w:rPr>
          <w:color w:val="000000"/>
          <w:sz w:val="22"/>
          <w:szCs w:val="22"/>
        </w:rPr>
        <w:t xml:space="preserve"> policies, regulations</w:t>
      </w:r>
      <w:r>
        <w:rPr>
          <w:color w:val="000000"/>
          <w:sz w:val="22"/>
          <w:szCs w:val="22"/>
        </w:rPr>
        <w:t>,</w:t>
      </w:r>
      <w:r w:rsidR="008C2435" w:rsidRPr="001A494D">
        <w:rPr>
          <w:color w:val="000000"/>
          <w:sz w:val="22"/>
          <w:szCs w:val="22"/>
        </w:rPr>
        <w:t xml:space="preserve"> and documentation requirements</w:t>
      </w:r>
      <w:r>
        <w:rPr>
          <w:color w:val="000000"/>
          <w:sz w:val="22"/>
          <w:szCs w:val="22"/>
        </w:rPr>
        <w:t>;</w:t>
      </w:r>
      <w:r w:rsidR="008C2435" w:rsidRPr="001A494D">
        <w:rPr>
          <w:color w:val="000000"/>
          <w:sz w:val="22"/>
          <w:szCs w:val="22"/>
        </w:rPr>
        <w:t xml:space="preserve"> </w:t>
      </w:r>
      <w:r w:rsidR="00B56C76">
        <w:rPr>
          <w:color w:val="000000"/>
          <w:sz w:val="22"/>
          <w:szCs w:val="22"/>
        </w:rPr>
        <w:t xml:space="preserve">a </w:t>
      </w:r>
      <w:r w:rsidR="008C2435" w:rsidRPr="001A494D">
        <w:rPr>
          <w:color w:val="000000"/>
          <w:sz w:val="22"/>
          <w:szCs w:val="22"/>
        </w:rPr>
        <w:t>lack of transparency in tenders and other procurement decisions</w:t>
      </w:r>
      <w:r>
        <w:rPr>
          <w:color w:val="000000"/>
          <w:sz w:val="22"/>
          <w:szCs w:val="22"/>
        </w:rPr>
        <w:t>;</w:t>
      </w:r>
      <w:r w:rsidR="008C2435" w:rsidRPr="001A494D">
        <w:rPr>
          <w:color w:val="000000"/>
          <w:sz w:val="22"/>
          <w:szCs w:val="22"/>
        </w:rPr>
        <w:t xml:space="preserve"> and a time</w:t>
      </w:r>
      <w:r>
        <w:rPr>
          <w:color w:val="000000"/>
          <w:sz w:val="22"/>
          <w:szCs w:val="22"/>
        </w:rPr>
        <w:t>-</w:t>
      </w:r>
      <w:r w:rsidR="008C2435" w:rsidRPr="001A494D">
        <w:rPr>
          <w:color w:val="000000"/>
          <w:sz w:val="22"/>
          <w:szCs w:val="22"/>
        </w:rPr>
        <w:t xml:space="preserve">consuming, unpredictable judiciary and legal and regulatory framework. Also, </w:t>
      </w:r>
      <w:r>
        <w:rPr>
          <w:color w:val="000000"/>
          <w:sz w:val="22"/>
          <w:szCs w:val="22"/>
        </w:rPr>
        <w:t xml:space="preserve">the </w:t>
      </w:r>
      <w:r w:rsidR="008C2435" w:rsidRPr="001A494D">
        <w:rPr>
          <w:color w:val="000000"/>
          <w:sz w:val="22"/>
          <w:szCs w:val="22"/>
        </w:rPr>
        <w:t xml:space="preserve">Turkish </w:t>
      </w:r>
      <w:r>
        <w:rPr>
          <w:color w:val="000000"/>
          <w:sz w:val="22"/>
          <w:szCs w:val="22"/>
        </w:rPr>
        <w:t>g</w:t>
      </w:r>
      <w:r w:rsidR="008C2435" w:rsidRPr="001A494D">
        <w:rPr>
          <w:color w:val="000000"/>
          <w:sz w:val="22"/>
          <w:szCs w:val="22"/>
        </w:rPr>
        <w:t xml:space="preserve">overnment </w:t>
      </w:r>
      <w:r>
        <w:rPr>
          <w:color w:val="000000"/>
          <w:sz w:val="22"/>
          <w:szCs w:val="22"/>
        </w:rPr>
        <w:t>gave</w:t>
      </w:r>
      <w:r w:rsidR="008C2435" w:rsidRPr="001A494D">
        <w:rPr>
          <w:color w:val="000000"/>
          <w:sz w:val="22"/>
          <w:szCs w:val="22"/>
        </w:rPr>
        <w:t xml:space="preserve"> more importance to local manufacturing. It was critical for companies to consider their resources, previous international business experience, and long-term business strategy before entering the Turkish market. For many organizations, doing business in Turkey through an agent, distributor, or partner w</w:t>
      </w:r>
      <w:r w:rsidR="00B56C76">
        <w:rPr>
          <w:color w:val="000000"/>
          <w:sz w:val="22"/>
          <w:szCs w:val="22"/>
        </w:rPr>
        <w:t>as</w:t>
      </w:r>
      <w:r w:rsidR="008C2435" w:rsidRPr="001A494D">
        <w:rPr>
          <w:color w:val="000000"/>
          <w:sz w:val="22"/>
          <w:szCs w:val="22"/>
        </w:rPr>
        <w:t xml:space="preserve"> key to success. Local partners could provide knowledge of the local regulatory framework,</w:t>
      </w:r>
      <w:r w:rsidR="00B56C76">
        <w:rPr>
          <w:color w:val="000000"/>
          <w:sz w:val="22"/>
          <w:szCs w:val="22"/>
        </w:rPr>
        <w:t xml:space="preserve"> give</w:t>
      </w:r>
      <w:r w:rsidR="008C2435" w:rsidRPr="001A494D">
        <w:rPr>
          <w:color w:val="000000"/>
          <w:sz w:val="22"/>
          <w:szCs w:val="22"/>
        </w:rPr>
        <w:t xml:space="preserve"> language assistance</w:t>
      </w:r>
      <w:r w:rsidR="00B56C76">
        <w:rPr>
          <w:color w:val="000000"/>
          <w:sz w:val="22"/>
          <w:szCs w:val="22"/>
        </w:rPr>
        <w:t>,</w:t>
      </w:r>
      <w:r w:rsidR="008C2435" w:rsidRPr="001A494D">
        <w:rPr>
          <w:color w:val="000000"/>
          <w:sz w:val="22"/>
          <w:szCs w:val="22"/>
        </w:rPr>
        <w:t xml:space="preserve"> and </w:t>
      </w:r>
      <w:r w:rsidR="00B56C76">
        <w:rPr>
          <w:color w:val="000000"/>
          <w:sz w:val="22"/>
          <w:szCs w:val="22"/>
        </w:rPr>
        <w:t xml:space="preserve">offer </w:t>
      </w:r>
      <w:r w:rsidR="008C2435" w:rsidRPr="001A494D">
        <w:rPr>
          <w:color w:val="000000"/>
          <w:sz w:val="22"/>
          <w:szCs w:val="22"/>
        </w:rPr>
        <w:t>valu</w:t>
      </w:r>
      <w:r w:rsidR="00B56C76">
        <w:rPr>
          <w:color w:val="000000"/>
          <w:sz w:val="22"/>
          <w:szCs w:val="22"/>
        </w:rPr>
        <w:t>able</w:t>
      </w:r>
      <w:r w:rsidR="008C2435" w:rsidRPr="001A494D">
        <w:rPr>
          <w:color w:val="000000"/>
          <w:sz w:val="22"/>
          <w:szCs w:val="22"/>
        </w:rPr>
        <w:t xml:space="preserve"> business contacts.</w:t>
      </w:r>
      <w:r w:rsidR="008C2435">
        <w:rPr>
          <w:rStyle w:val="FootnoteReference"/>
          <w:color w:val="000000"/>
        </w:rPr>
        <w:footnoteReference w:id="3"/>
      </w:r>
      <w:r w:rsidR="008C2435" w:rsidRPr="001A494D">
        <w:rPr>
          <w:color w:val="000000"/>
          <w:sz w:val="22"/>
          <w:szCs w:val="22"/>
        </w:rPr>
        <w:t xml:space="preserve"> </w:t>
      </w:r>
    </w:p>
    <w:p w14:paraId="5FC3A670" w14:textId="77777777" w:rsidR="008C2435" w:rsidRDefault="008C2435" w:rsidP="00190F69">
      <w:pPr>
        <w:spacing w:line="240" w:lineRule="atLeast"/>
        <w:jc w:val="both"/>
        <w:rPr>
          <w:color w:val="000000"/>
        </w:rPr>
      </w:pPr>
    </w:p>
    <w:p w14:paraId="0066FF79" w14:textId="77777777" w:rsidR="0048431D" w:rsidRDefault="0048431D" w:rsidP="00190F69">
      <w:pPr>
        <w:pStyle w:val="Casehead1"/>
        <w:rPr>
          <w:lang w:val="en-GB"/>
        </w:rPr>
      </w:pPr>
    </w:p>
    <w:p w14:paraId="59F6C50E" w14:textId="77777777" w:rsidR="008C2435" w:rsidRPr="009711EF" w:rsidRDefault="008C2435" w:rsidP="00190F69">
      <w:pPr>
        <w:pStyle w:val="Casehead1"/>
        <w:rPr>
          <w:lang w:val="en-GB"/>
        </w:rPr>
      </w:pPr>
      <w:r w:rsidRPr="009711EF">
        <w:rPr>
          <w:lang w:val="en-GB"/>
        </w:rPr>
        <w:t xml:space="preserve">THE PHARMACEUTICAL INDUSTRY IN TURKEY </w:t>
      </w:r>
    </w:p>
    <w:p w14:paraId="6AF29994" w14:textId="77777777" w:rsidR="008C2435" w:rsidRPr="009711EF" w:rsidRDefault="008C2435" w:rsidP="00190F69">
      <w:pPr>
        <w:pStyle w:val="BodyTextMain"/>
        <w:rPr>
          <w:lang w:val="en-GB"/>
        </w:rPr>
      </w:pPr>
    </w:p>
    <w:p w14:paraId="77FAA764" w14:textId="61A8C3B2" w:rsidR="008C2435" w:rsidRPr="009711EF" w:rsidRDefault="008C2435" w:rsidP="00190F69">
      <w:pPr>
        <w:pStyle w:val="BodyTextMain"/>
        <w:rPr>
          <w:shd w:val="clear" w:color="auto" w:fill="FFFFFF"/>
          <w:lang w:val="en-GB"/>
        </w:rPr>
      </w:pPr>
      <w:r w:rsidRPr="002B6944">
        <w:rPr>
          <w:lang w:val="en-GB"/>
        </w:rPr>
        <w:lastRenderedPageBreak/>
        <w:t>Turkey was the 15th largest economy in the world in 2016. The country’s social health</w:t>
      </w:r>
      <w:r w:rsidR="00B56C76" w:rsidRPr="002B6944">
        <w:rPr>
          <w:lang w:val="en-GB"/>
        </w:rPr>
        <w:t xml:space="preserve"> </w:t>
      </w:r>
      <w:r w:rsidRPr="002B6944">
        <w:rPr>
          <w:lang w:val="en-GB"/>
        </w:rPr>
        <w:t xml:space="preserve">care system extensively covered its population of over 80 million. Turkey’s </w:t>
      </w:r>
      <w:r w:rsidR="00734CE2" w:rsidRPr="002B6944">
        <w:rPr>
          <w:lang w:val="en-GB"/>
        </w:rPr>
        <w:t>H</w:t>
      </w:r>
      <w:r w:rsidRPr="002B6944">
        <w:rPr>
          <w:lang w:val="en-GB"/>
        </w:rPr>
        <w:t xml:space="preserve">ealth </w:t>
      </w:r>
      <w:r w:rsidR="00734CE2" w:rsidRPr="002B6944">
        <w:rPr>
          <w:lang w:val="en-GB"/>
        </w:rPr>
        <w:t>T</w:t>
      </w:r>
      <w:r w:rsidRPr="002B6944">
        <w:rPr>
          <w:lang w:val="en-GB"/>
        </w:rPr>
        <w:t xml:space="preserve">ransformation </w:t>
      </w:r>
      <w:r w:rsidR="00734CE2" w:rsidRPr="002B6944">
        <w:rPr>
          <w:lang w:val="en-GB"/>
        </w:rPr>
        <w:t>P</w:t>
      </w:r>
      <w:r w:rsidRPr="002B6944">
        <w:rPr>
          <w:lang w:val="en-GB"/>
        </w:rPr>
        <w:t>ro</w:t>
      </w:r>
      <w:r w:rsidR="00734CE2" w:rsidRPr="002B6944">
        <w:rPr>
          <w:lang w:val="en-GB"/>
        </w:rPr>
        <w:t>gram</w:t>
      </w:r>
      <w:r w:rsidR="00FB3A3A" w:rsidRPr="002B6944">
        <w:rPr>
          <w:lang w:val="en-GB"/>
        </w:rPr>
        <w:t xml:space="preserve">—the country initiated a series of </w:t>
      </w:r>
      <w:r w:rsidR="00734CE2" w:rsidRPr="002B6944">
        <w:rPr>
          <w:lang w:val="en-GB"/>
        </w:rPr>
        <w:t>health care coverage reforms in 2003—</w:t>
      </w:r>
      <w:r w:rsidRPr="002B6944">
        <w:rPr>
          <w:lang w:val="en-GB"/>
        </w:rPr>
        <w:t>aimed to position the country as a regional hub for health</w:t>
      </w:r>
      <w:r w:rsidR="00B56C76" w:rsidRPr="002B6944">
        <w:rPr>
          <w:lang w:val="en-GB"/>
        </w:rPr>
        <w:t xml:space="preserve"> </w:t>
      </w:r>
      <w:r w:rsidRPr="002B6944">
        <w:rPr>
          <w:lang w:val="en-GB"/>
        </w:rPr>
        <w:t>care tourism. Turkey’s life science industr</w:t>
      </w:r>
      <w:r w:rsidR="00B5572A" w:rsidRPr="002B6944">
        <w:rPr>
          <w:lang w:val="en-GB"/>
        </w:rPr>
        <w:t>ies</w:t>
      </w:r>
      <w:r w:rsidRPr="002B6944">
        <w:rPr>
          <w:lang w:val="en-GB"/>
        </w:rPr>
        <w:t xml:space="preserve"> presented many opportunities for</w:t>
      </w:r>
      <w:r w:rsidRPr="00190F69">
        <w:rPr>
          <w:shd w:val="clear" w:color="auto" w:fill="000000" w:themeFill="text1"/>
          <w:lang w:val="en-GB"/>
        </w:rPr>
        <w:t xml:space="preserve"> </w:t>
      </w:r>
      <w:r w:rsidRPr="002B6944">
        <w:rPr>
          <w:lang w:val="en-GB"/>
        </w:rPr>
        <w:t xml:space="preserve">investment and growth. The </w:t>
      </w:r>
      <w:r w:rsidR="00B5572A" w:rsidRPr="002B6944">
        <w:rPr>
          <w:lang w:val="en-GB"/>
        </w:rPr>
        <w:t>country’s</w:t>
      </w:r>
      <w:r w:rsidRPr="002B6944">
        <w:rPr>
          <w:lang w:val="en-GB"/>
        </w:rPr>
        <w:t xml:space="preserve"> pharmaceutical industry was heavily regulated, with major aspects ranging from market access to pricing and reimbursement covered by industry-specific regulation. </w:t>
      </w:r>
      <w:r w:rsidR="00B5572A" w:rsidRPr="002B6944">
        <w:rPr>
          <w:lang w:val="en-GB"/>
        </w:rPr>
        <w:t>However, t</w:t>
      </w:r>
      <w:r w:rsidRPr="002B6944">
        <w:rPr>
          <w:lang w:val="en-GB"/>
        </w:rPr>
        <w:t>his was to ensure greater public savings on the health budget</w:t>
      </w:r>
      <w:r w:rsidR="00B5572A" w:rsidRPr="002B6944">
        <w:rPr>
          <w:lang w:val="en-GB"/>
        </w:rPr>
        <w:t>, and</w:t>
      </w:r>
      <w:r w:rsidRPr="002B6944">
        <w:rPr>
          <w:lang w:val="en-GB"/>
        </w:rPr>
        <w:t xml:space="preserve"> had no negative effect on </w:t>
      </w:r>
      <w:r w:rsidRPr="00190F69">
        <w:rPr>
          <w:lang w:val="en-GB"/>
        </w:rPr>
        <w:t>investment</w:t>
      </w:r>
      <w:r w:rsidR="00B5572A" w:rsidRPr="00190F69">
        <w:rPr>
          <w:lang w:val="en-GB"/>
        </w:rPr>
        <w:t>.</w:t>
      </w:r>
      <w:r w:rsidRPr="00190F69">
        <w:rPr>
          <w:lang w:val="en-GB"/>
        </w:rPr>
        <w:t xml:space="preserve"> </w:t>
      </w:r>
      <w:r w:rsidR="00B5572A" w:rsidRPr="00190F69">
        <w:rPr>
          <w:lang w:val="en-GB"/>
        </w:rPr>
        <w:t>P</w:t>
      </w:r>
      <w:r w:rsidRPr="00190F69">
        <w:rPr>
          <w:lang w:val="en-GB"/>
        </w:rPr>
        <w:t xml:space="preserve">harmaceutical companies </w:t>
      </w:r>
      <w:r w:rsidR="00B5572A" w:rsidRPr="00190F69">
        <w:rPr>
          <w:lang w:val="en-GB"/>
        </w:rPr>
        <w:t xml:space="preserve">therefore </w:t>
      </w:r>
      <w:r w:rsidRPr="00190F69">
        <w:rPr>
          <w:lang w:val="en-GB"/>
        </w:rPr>
        <w:t>continue</w:t>
      </w:r>
      <w:r w:rsidR="00B5572A" w:rsidRPr="00190F69">
        <w:rPr>
          <w:lang w:val="en-GB"/>
        </w:rPr>
        <w:t>d</w:t>
      </w:r>
      <w:r w:rsidRPr="00190F69">
        <w:rPr>
          <w:lang w:val="en-GB"/>
        </w:rPr>
        <w:t xml:space="preserve"> to view the pharmaceutical industry in Turkey as a sensible investment.</w:t>
      </w:r>
      <w:r w:rsidRPr="00190F69">
        <w:rPr>
          <w:rStyle w:val="FootnoteReference"/>
          <w:lang w:val="en-GB"/>
        </w:rPr>
        <w:footnoteReference w:id="4"/>
      </w:r>
      <w:r w:rsidR="00773332" w:rsidRPr="00773332">
        <w:rPr>
          <w:lang w:val="en-GB"/>
        </w:rPr>
        <w:t xml:space="preserve"> </w:t>
      </w:r>
      <w:r w:rsidR="00773332" w:rsidRPr="009711EF">
        <w:rPr>
          <w:lang w:val="en-GB"/>
        </w:rPr>
        <w:t xml:space="preserve">Low labour costs were </w:t>
      </w:r>
      <w:r w:rsidR="00C1049D">
        <w:rPr>
          <w:lang w:val="en-GB"/>
        </w:rPr>
        <w:t>another</w:t>
      </w:r>
      <w:r w:rsidR="00773332" w:rsidRPr="009711EF">
        <w:rPr>
          <w:lang w:val="en-GB"/>
        </w:rPr>
        <w:t xml:space="preserve"> factor that made Turkey an attractive manufacturing hub for foreign investors.</w:t>
      </w:r>
      <w:r w:rsidR="00773332" w:rsidRPr="009711EF">
        <w:rPr>
          <w:rStyle w:val="FootnoteReference"/>
          <w:lang w:val="en-GB"/>
        </w:rPr>
        <w:footnoteReference w:id="5"/>
      </w:r>
    </w:p>
    <w:p w14:paraId="65F4A56E" w14:textId="77777777" w:rsidR="008C2435" w:rsidRPr="009711EF" w:rsidRDefault="008C2435" w:rsidP="00190F69">
      <w:pPr>
        <w:pStyle w:val="BodyTextMain"/>
        <w:rPr>
          <w:shd w:val="clear" w:color="auto" w:fill="FFFFFF"/>
          <w:lang w:val="en-GB"/>
        </w:rPr>
      </w:pPr>
    </w:p>
    <w:p w14:paraId="757B61C5" w14:textId="1944826C" w:rsidR="008C2435" w:rsidRPr="009711EF" w:rsidRDefault="008C2435" w:rsidP="00190F69">
      <w:pPr>
        <w:pStyle w:val="BodyTextMain"/>
        <w:rPr>
          <w:lang w:val="en-GB"/>
        </w:rPr>
      </w:pPr>
      <w:r w:rsidRPr="009711EF">
        <w:rPr>
          <w:lang w:val="en-GB"/>
        </w:rPr>
        <w:t xml:space="preserve">The pharmaceutical market in Turkey, which </w:t>
      </w:r>
      <w:r w:rsidR="00B5572A">
        <w:rPr>
          <w:lang w:val="en-GB"/>
        </w:rPr>
        <w:t>had grown</w:t>
      </w:r>
      <w:r w:rsidRPr="009711EF">
        <w:rPr>
          <w:lang w:val="en-GB"/>
        </w:rPr>
        <w:t xml:space="preserve"> consistently by 12 per cent since 2011, reported sales volume of </w:t>
      </w:r>
      <w:r w:rsidRPr="002B6944">
        <w:rPr>
          <w:rFonts w:ascii="Arial" w:hAnsi="Arial" w:cs="Arial"/>
          <w:color w:val="222222"/>
        </w:rPr>
        <w:t>₺</w:t>
      </w:r>
      <w:r w:rsidRPr="002B6944">
        <w:rPr>
          <w:lang w:val="en-GB"/>
        </w:rPr>
        <w:t>2</w:t>
      </w:r>
      <w:r w:rsidRPr="009711EF">
        <w:rPr>
          <w:lang w:val="en-GB"/>
        </w:rPr>
        <w:t>2.1 billion</w:t>
      </w:r>
      <w:r w:rsidR="00B5572A" w:rsidRPr="009711EF">
        <w:rPr>
          <w:rStyle w:val="FootnoteReference"/>
          <w:lang w:val="en-GB"/>
        </w:rPr>
        <w:footnoteReference w:id="6"/>
      </w:r>
      <w:r w:rsidRPr="009711EF">
        <w:rPr>
          <w:lang w:val="en-GB"/>
        </w:rPr>
        <w:t xml:space="preserve"> in 2015</w:t>
      </w:r>
      <w:r w:rsidR="00B5572A">
        <w:rPr>
          <w:lang w:val="en-GB"/>
        </w:rPr>
        <w:t>, becoming</w:t>
      </w:r>
      <w:r w:rsidRPr="009711EF">
        <w:rPr>
          <w:lang w:val="en-GB"/>
        </w:rPr>
        <w:t xml:space="preserve"> the 17th largest pharmaceutical market in the world. In 2016, it grew by 17 per cent over the previous year. </w:t>
      </w:r>
      <w:r w:rsidR="00B5572A">
        <w:rPr>
          <w:lang w:val="en-GB"/>
        </w:rPr>
        <w:t>With</w:t>
      </w:r>
      <w:r w:rsidRPr="009711EF">
        <w:rPr>
          <w:lang w:val="en-GB"/>
        </w:rPr>
        <w:t xml:space="preserve"> estimated </w:t>
      </w:r>
      <w:r w:rsidRPr="009711EF">
        <w:rPr>
          <w:noProof/>
          <w:lang w:val="en-GB"/>
        </w:rPr>
        <w:t>double-digit</w:t>
      </w:r>
      <w:r w:rsidRPr="009711EF">
        <w:rPr>
          <w:lang w:val="en-GB"/>
        </w:rPr>
        <w:t xml:space="preserve"> </w:t>
      </w:r>
      <w:r w:rsidR="00B5572A">
        <w:rPr>
          <w:lang w:val="en-GB"/>
        </w:rPr>
        <w:t xml:space="preserve">growth </w:t>
      </w:r>
      <w:r w:rsidRPr="009711EF">
        <w:rPr>
          <w:lang w:val="en-GB"/>
        </w:rPr>
        <w:t xml:space="preserve">rates over the next five years, Turkey </w:t>
      </w:r>
      <w:r w:rsidRPr="009711EF">
        <w:rPr>
          <w:noProof/>
          <w:lang w:val="en-GB"/>
        </w:rPr>
        <w:t>was</w:t>
      </w:r>
      <w:r w:rsidRPr="009711EF">
        <w:rPr>
          <w:lang w:val="en-GB"/>
        </w:rPr>
        <w:t xml:space="preserve"> expected to become the 14th largest drug market in the world by 2020. Factors such as economic prosperity,</w:t>
      </w:r>
      <w:r w:rsidR="00B5572A">
        <w:rPr>
          <w:lang w:val="en-GB"/>
        </w:rPr>
        <w:t xml:space="preserve"> an</w:t>
      </w:r>
      <w:r w:rsidRPr="009711EF">
        <w:rPr>
          <w:lang w:val="en-GB"/>
        </w:rPr>
        <w:t xml:space="preserve"> aging population, </w:t>
      </w:r>
      <w:r w:rsidR="00B5572A">
        <w:rPr>
          <w:lang w:val="en-GB"/>
        </w:rPr>
        <w:t xml:space="preserve">an </w:t>
      </w:r>
      <w:r w:rsidRPr="009711EF">
        <w:rPr>
          <w:lang w:val="en-GB"/>
        </w:rPr>
        <w:t>increase in chronic diseases, high drug prices,</w:t>
      </w:r>
      <w:r w:rsidRPr="002B6944">
        <w:rPr>
          <w:rStyle w:val="FootnoteReference"/>
          <w:lang w:val="en-GB"/>
        </w:rPr>
        <w:footnoteReference w:id="7"/>
      </w:r>
      <w:r w:rsidRPr="002B6944">
        <w:rPr>
          <w:sz w:val="26"/>
          <w:szCs w:val="26"/>
          <w:lang w:val="en-GB"/>
        </w:rPr>
        <w:t xml:space="preserve"> </w:t>
      </w:r>
      <w:r w:rsidRPr="009711EF">
        <w:rPr>
          <w:lang w:val="en-GB"/>
        </w:rPr>
        <w:t>ease of access</w:t>
      </w:r>
      <w:r w:rsidR="00B5572A">
        <w:rPr>
          <w:lang w:val="en-GB"/>
        </w:rPr>
        <w:t>,</w:t>
      </w:r>
      <w:r w:rsidRPr="009711EF">
        <w:rPr>
          <w:lang w:val="en-GB"/>
        </w:rPr>
        <w:t xml:space="preserve"> and improvement in health </w:t>
      </w:r>
      <w:r w:rsidR="00B5572A">
        <w:rPr>
          <w:lang w:val="en-GB"/>
        </w:rPr>
        <w:t xml:space="preserve">care </w:t>
      </w:r>
      <w:r w:rsidRPr="009711EF">
        <w:rPr>
          <w:lang w:val="en-GB"/>
        </w:rPr>
        <w:t xml:space="preserve">policies drove the growth of this industry. Pain management was a major </w:t>
      </w:r>
      <w:r w:rsidRPr="009711EF">
        <w:rPr>
          <w:rStyle w:val="Strong"/>
          <w:b w:val="0"/>
          <w:lang w:val="en-GB"/>
        </w:rPr>
        <w:t xml:space="preserve">treatment area in </w:t>
      </w:r>
      <w:r w:rsidRPr="009711EF">
        <w:rPr>
          <w:lang w:val="en-GB"/>
        </w:rPr>
        <w:t>the Turkish pharmaceutical market</w:t>
      </w:r>
      <w:r w:rsidR="00B5572A">
        <w:rPr>
          <w:lang w:val="en-GB"/>
        </w:rPr>
        <w:t>,</w:t>
      </w:r>
      <w:r w:rsidRPr="009711EF">
        <w:rPr>
          <w:lang w:val="en-GB"/>
        </w:rPr>
        <w:t xml:space="preserve"> with revenue worth </w:t>
      </w:r>
      <w:r w:rsidRPr="002B6944">
        <w:rPr>
          <w:rFonts w:ascii="Arial" w:hAnsi="Arial" w:cs="Arial"/>
          <w:color w:val="222222"/>
        </w:rPr>
        <w:t>₺</w:t>
      </w:r>
      <w:r w:rsidRPr="009711EF">
        <w:rPr>
          <w:lang w:val="en-GB"/>
        </w:rPr>
        <w:t xml:space="preserve">1.646 million and 21 per cent </w:t>
      </w:r>
      <w:r w:rsidRPr="009711EF">
        <w:rPr>
          <w:noProof/>
          <w:lang w:val="en-GB"/>
        </w:rPr>
        <w:t>growth</w:t>
      </w:r>
      <w:r w:rsidRPr="009711EF">
        <w:rPr>
          <w:lang w:val="en-GB"/>
        </w:rPr>
        <w:t xml:space="preserve"> </w:t>
      </w:r>
      <w:r w:rsidR="00B5572A">
        <w:rPr>
          <w:lang w:val="en-GB"/>
        </w:rPr>
        <w:t>in</w:t>
      </w:r>
      <w:r w:rsidRPr="009711EF">
        <w:rPr>
          <w:lang w:val="en-GB"/>
        </w:rPr>
        <w:t xml:space="preserve"> 2015. Antib</w:t>
      </w:r>
      <w:r w:rsidR="00B5572A">
        <w:rPr>
          <w:lang w:val="en-GB"/>
        </w:rPr>
        <w:t>iotics</w:t>
      </w:r>
      <w:r w:rsidRPr="009711EF">
        <w:rPr>
          <w:lang w:val="en-GB"/>
        </w:rPr>
        <w:t xml:space="preserve"> constituted revenue worth </w:t>
      </w:r>
      <w:r w:rsidRPr="002B6944">
        <w:rPr>
          <w:rFonts w:ascii="Arial" w:hAnsi="Arial" w:cs="Arial"/>
          <w:color w:val="222222"/>
        </w:rPr>
        <w:t>₺</w:t>
      </w:r>
      <w:r w:rsidRPr="009711EF">
        <w:rPr>
          <w:lang w:val="en-GB"/>
        </w:rPr>
        <w:t xml:space="preserve">1.435 million in </w:t>
      </w:r>
      <w:r w:rsidRPr="009711EF">
        <w:rPr>
          <w:noProof/>
          <w:lang w:val="en-GB"/>
        </w:rPr>
        <w:t xml:space="preserve">2015, whereas </w:t>
      </w:r>
      <w:r w:rsidRPr="009711EF">
        <w:rPr>
          <w:lang w:val="en-GB"/>
        </w:rPr>
        <w:t xml:space="preserve">diabetes-management products constituted </w:t>
      </w:r>
      <w:r w:rsidRPr="002B6944">
        <w:rPr>
          <w:rFonts w:ascii="Arial" w:hAnsi="Arial" w:cs="Arial"/>
          <w:color w:val="222222"/>
        </w:rPr>
        <w:t>₺</w:t>
      </w:r>
      <w:r w:rsidRPr="009711EF">
        <w:rPr>
          <w:lang w:val="en-GB"/>
        </w:rPr>
        <w:t>1.419 million in 2015.</w:t>
      </w:r>
      <w:r w:rsidRPr="009711EF">
        <w:rPr>
          <w:rStyle w:val="FootnoteReference"/>
          <w:lang w:val="en-GB"/>
        </w:rPr>
        <w:footnoteReference w:id="8"/>
      </w:r>
      <w:r w:rsidRPr="009711EF">
        <w:rPr>
          <w:lang w:val="en-GB"/>
        </w:rPr>
        <w:t xml:space="preserve"> </w:t>
      </w:r>
    </w:p>
    <w:p w14:paraId="1962C997" w14:textId="77777777" w:rsidR="008C2435" w:rsidRPr="009711EF" w:rsidRDefault="008C2435" w:rsidP="00190F69">
      <w:pPr>
        <w:pStyle w:val="BodyTextMain"/>
        <w:rPr>
          <w:lang w:val="en-GB"/>
        </w:rPr>
      </w:pPr>
    </w:p>
    <w:p w14:paraId="7DDC659E" w14:textId="77777777" w:rsidR="008C2435" w:rsidRPr="009711EF" w:rsidRDefault="008C2435" w:rsidP="00190F69">
      <w:pPr>
        <w:pStyle w:val="BodyTextMain"/>
        <w:rPr>
          <w:sz w:val="20"/>
          <w:szCs w:val="20"/>
          <w:shd w:val="clear" w:color="auto" w:fill="FFFFFF"/>
          <w:lang w:val="en-GB"/>
        </w:rPr>
      </w:pPr>
    </w:p>
    <w:p w14:paraId="0B334E58" w14:textId="77777777" w:rsidR="008C2435" w:rsidRPr="00190F69" w:rsidRDefault="008C2435" w:rsidP="00190F69">
      <w:pPr>
        <w:pStyle w:val="Casehead2"/>
      </w:pPr>
      <w:r w:rsidRPr="00190F69">
        <w:t>Pharmaceutical Pricing in Turkey</w:t>
      </w:r>
    </w:p>
    <w:p w14:paraId="4A5147D5" w14:textId="77777777" w:rsidR="008C2435" w:rsidRPr="009711EF" w:rsidRDefault="008C2435" w:rsidP="00190F69">
      <w:pPr>
        <w:pStyle w:val="BodyTextMain"/>
        <w:keepNext/>
        <w:rPr>
          <w:shd w:val="clear" w:color="auto" w:fill="FFFFFF"/>
          <w:lang w:val="en-GB"/>
        </w:rPr>
      </w:pPr>
    </w:p>
    <w:p w14:paraId="2B3D8342" w14:textId="5EA0B2D9" w:rsidR="008C2435" w:rsidRPr="009711EF" w:rsidRDefault="008C2435" w:rsidP="00190F69">
      <w:pPr>
        <w:pStyle w:val="BodyTextMain"/>
        <w:keepNext/>
        <w:rPr>
          <w:lang w:val="en-GB" w:eastAsia="en-GB"/>
        </w:rPr>
      </w:pPr>
      <w:r w:rsidRPr="009711EF">
        <w:rPr>
          <w:lang w:val="en-GB"/>
        </w:rPr>
        <w:t>The prices of pharmaceutical products in Turkey were regulated by the Turk</w:t>
      </w:r>
      <w:r w:rsidR="000747FB">
        <w:rPr>
          <w:lang w:val="en-GB"/>
        </w:rPr>
        <w:t>ey</w:t>
      </w:r>
      <w:r w:rsidRPr="009711EF">
        <w:rPr>
          <w:lang w:val="en-GB"/>
        </w:rPr>
        <w:t xml:space="preserve"> Pharmaceutical and Medical Device</w:t>
      </w:r>
      <w:r w:rsidR="000747FB">
        <w:rPr>
          <w:lang w:val="en-GB"/>
        </w:rPr>
        <w:t>s</w:t>
      </w:r>
      <w:r w:rsidRPr="009711EF">
        <w:rPr>
          <w:lang w:val="en-GB"/>
        </w:rPr>
        <w:t xml:space="preserve"> Institution (TITCK)</w:t>
      </w:r>
      <w:r w:rsidR="00757F6C">
        <w:rPr>
          <w:lang w:val="en-GB"/>
        </w:rPr>
        <w:t>,</w:t>
      </w:r>
      <w:r w:rsidRPr="009711EF">
        <w:rPr>
          <w:lang w:val="en-GB"/>
        </w:rPr>
        <w:t xml:space="preserve"> </w:t>
      </w:r>
      <w:r w:rsidR="000747FB">
        <w:rPr>
          <w:lang w:val="en-GB"/>
        </w:rPr>
        <w:t>a</w:t>
      </w:r>
      <w:r w:rsidR="00757F6C">
        <w:rPr>
          <w:lang w:val="en-GB"/>
        </w:rPr>
        <w:t>nd were</w:t>
      </w:r>
      <w:r w:rsidRPr="009711EF">
        <w:rPr>
          <w:lang w:val="en-GB"/>
        </w:rPr>
        <w:t xml:space="preserve"> set </w:t>
      </w:r>
      <w:r w:rsidR="000747FB">
        <w:rPr>
          <w:lang w:val="en-GB"/>
        </w:rPr>
        <w:t>according to</w:t>
      </w:r>
      <w:r w:rsidRPr="009711EF">
        <w:rPr>
          <w:lang w:val="en-GB"/>
        </w:rPr>
        <w:t xml:space="preserve"> strict calculations involving reference prices borrowed from a fixed set of reference countries. </w:t>
      </w:r>
      <w:r w:rsidR="00232CEE">
        <w:rPr>
          <w:lang w:val="en-GB"/>
        </w:rPr>
        <w:t>T</w:t>
      </w:r>
      <w:r w:rsidRPr="009711EF">
        <w:rPr>
          <w:lang w:val="en-GB"/>
        </w:rPr>
        <w:t xml:space="preserve">he foreign currency exchange rate used for converting the minimum reference price to a corresponding Turkish ex-factory price </w:t>
      </w:r>
      <w:r w:rsidR="000747FB">
        <w:rPr>
          <w:lang w:val="en-GB"/>
        </w:rPr>
        <w:t xml:space="preserve">had </w:t>
      </w:r>
      <w:r w:rsidRPr="009711EF">
        <w:rPr>
          <w:lang w:val="en-GB"/>
        </w:rPr>
        <w:t>remained unchanged since 2015</w:t>
      </w:r>
      <w:r w:rsidR="000747FB">
        <w:rPr>
          <w:lang w:val="en-GB"/>
        </w:rPr>
        <w:t>.</w:t>
      </w:r>
      <w:r w:rsidRPr="009711EF">
        <w:rPr>
          <w:rStyle w:val="FootnoteReference"/>
          <w:lang w:val="en-GB"/>
        </w:rPr>
        <w:footnoteReference w:id="9"/>
      </w:r>
      <w:r w:rsidRPr="009711EF">
        <w:rPr>
          <w:lang w:val="en-GB" w:eastAsia="en-GB"/>
        </w:rPr>
        <w:t xml:space="preserve"> To determine the price of pharmaceuticals sold in the market, the lowest ex-factory price </w:t>
      </w:r>
      <w:r w:rsidR="004E77F8">
        <w:rPr>
          <w:lang w:val="en-GB" w:eastAsia="en-GB"/>
        </w:rPr>
        <w:t>was calculated</w:t>
      </w:r>
      <w:r w:rsidR="000747FB">
        <w:rPr>
          <w:lang w:val="en-GB" w:eastAsia="en-GB"/>
        </w:rPr>
        <w:t xml:space="preserve"> from</w:t>
      </w:r>
      <w:r w:rsidRPr="009711EF">
        <w:rPr>
          <w:lang w:val="en-GB" w:eastAsia="en-GB"/>
        </w:rPr>
        <w:t xml:space="preserve"> among five European Union members (France, Spain, Italy, Portugal</w:t>
      </w:r>
      <w:r w:rsidR="000747FB">
        <w:rPr>
          <w:lang w:val="en-GB" w:eastAsia="en-GB"/>
        </w:rPr>
        <w:t>,</w:t>
      </w:r>
      <w:r w:rsidRPr="009711EF">
        <w:rPr>
          <w:lang w:val="en-GB" w:eastAsia="en-GB"/>
        </w:rPr>
        <w:t xml:space="preserve"> and Greece) and the country of origin from where the product was purchased. This price was further reduced by 11 per cent</w:t>
      </w:r>
      <w:r w:rsidR="00575099">
        <w:rPr>
          <w:lang w:val="en-GB" w:eastAsia="en-GB"/>
        </w:rPr>
        <w:t>,</w:t>
      </w:r>
      <w:r w:rsidRPr="009711EF">
        <w:rPr>
          <w:lang w:val="en-GB" w:eastAsia="en-GB"/>
        </w:rPr>
        <w:t xml:space="preserve"> </w:t>
      </w:r>
      <w:r w:rsidR="00575099">
        <w:rPr>
          <w:lang w:val="en-GB" w:eastAsia="en-GB"/>
        </w:rPr>
        <w:t>and</w:t>
      </w:r>
      <w:r w:rsidRPr="009711EF">
        <w:rPr>
          <w:lang w:val="en-GB" w:eastAsia="en-GB"/>
        </w:rPr>
        <w:t xml:space="preserve"> a public discount of 28 per cent for generics and 41 per cent for innovative products without generic</w:t>
      </w:r>
      <w:r w:rsidR="00046CEF">
        <w:rPr>
          <w:lang w:val="en-GB" w:eastAsia="en-GB"/>
        </w:rPr>
        <w:t xml:space="preserve"> </w:t>
      </w:r>
      <w:r w:rsidRPr="009711EF">
        <w:rPr>
          <w:lang w:val="en-GB" w:eastAsia="en-GB"/>
        </w:rPr>
        <w:t xml:space="preserve">equivalents was applied to the price. </w:t>
      </w:r>
      <w:r w:rsidR="00575099">
        <w:rPr>
          <w:lang w:val="en-GB" w:eastAsia="en-GB"/>
        </w:rPr>
        <w:t>The f</w:t>
      </w:r>
      <w:r w:rsidRPr="009711EF">
        <w:rPr>
          <w:lang w:val="en-GB" w:eastAsia="en-GB"/>
        </w:rPr>
        <w:t xml:space="preserve">inal retail prices of medicines had predetermined wholesale and retail pharmacy margins, </w:t>
      </w:r>
      <w:r w:rsidR="00575099">
        <w:rPr>
          <w:lang w:val="en-GB" w:eastAsia="en-GB"/>
        </w:rPr>
        <w:t>and</w:t>
      </w:r>
      <w:r w:rsidRPr="009711EF">
        <w:rPr>
          <w:lang w:val="en-GB" w:eastAsia="en-GB"/>
        </w:rPr>
        <w:t xml:space="preserve"> a value added tax of 8 per cent.</w:t>
      </w:r>
      <w:r w:rsidRPr="009711EF">
        <w:rPr>
          <w:rStyle w:val="FootnoteReference"/>
          <w:lang w:val="en-GB" w:eastAsia="en-GB"/>
        </w:rPr>
        <w:footnoteReference w:id="10"/>
      </w:r>
      <w:r w:rsidRPr="009711EF">
        <w:rPr>
          <w:lang w:val="en-GB" w:eastAsia="en-GB"/>
        </w:rPr>
        <w:t xml:space="preserve"> </w:t>
      </w:r>
    </w:p>
    <w:p w14:paraId="71E13C63" w14:textId="303E7B41" w:rsidR="008C2435" w:rsidRPr="009711EF" w:rsidRDefault="008C2435" w:rsidP="00190F69">
      <w:pPr>
        <w:pStyle w:val="BodyTextMain"/>
        <w:rPr>
          <w:lang w:val="en-GB" w:eastAsia="en-GB"/>
        </w:rPr>
      </w:pPr>
    </w:p>
    <w:p w14:paraId="68D691C1" w14:textId="55FA2884" w:rsidR="008C2435" w:rsidRPr="009711EF" w:rsidRDefault="008C2435" w:rsidP="00190F69">
      <w:pPr>
        <w:pStyle w:val="BodyTextMain"/>
        <w:rPr>
          <w:lang w:val="en-GB"/>
        </w:rPr>
      </w:pPr>
      <w:r w:rsidRPr="009711EF">
        <w:rPr>
          <w:lang w:val="en-GB"/>
        </w:rPr>
        <w:lastRenderedPageBreak/>
        <w:t>Consequently, the prices of pharmaceuticals products in Turkey were consistently the most economical among all European countries. In 2015, the new pricing decision</w:t>
      </w:r>
      <w:r w:rsidR="00DC484B">
        <w:rPr>
          <w:lang w:val="en-GB"/>
        </w:rPr>
        <w:t xml:space="preserve"> (the Turkish pharmaceutical market </w:t>
      </w:r>
      <w:r w:rsidR="007A78D4">
        <w:rPr>
          <w:lang w:val="en-GB"/>
        </w:rPr>
        <w:t xml:space="preserve">had </w:t>
      </w:r>
      <w:r w:rsidR="00DC484B">
        <w:rPr>
          <w:lang w:val="en-GB"/>
        </w:rPr>
        <w:t>made new pricing rules that year)</w:t>
      </w:r>
      <w:r w:rsidRPr="009711EF">
        <w:rPr>
          <w:lang w:val="en-GB"/>
        </w:rPr>
        <w:t xml:space="preserve"> and </w:t>
      </w:r>
      <w:r w:rsidR="00575099">
        <w:rPr>
          <w:lang w:val="en-GB"/>
        </w:rPr>
        <w:t>official communication</w:t>
      </w:r>
      <w:r w:rsidR="00575099" w:rsidRPr="009711EF">
        <w:rPr>
          <w:lang w:val="en-GB"/>
        </w:rPr>
        <w:t xml:space="preserve"> </w:t>
      </w:r>
      <w:r w:rsidR="00DD66C5">
        <w:rPr>
          <w:lang w:val="en-GB"/>
        </w:rPr>
        <w:t xml:space="preserve">of the new pricing </w:t>
      </w:r>
      <w:r w:rsidRPr="009711EF">
        <w:rPr>
          <w:lang w:val="en-GB"/>
        </w:rPr>
        <w:t>had modified the previously complicated pricing regime</w:t>
      </w:r>
      <w:r w:rsidR="00F578C5">
        <w:rPr>
          <w:lang w:val="en-GB"/>
        </w:rPr>
        <w:t>,</w:t>
      </w:r>
      <w:r w:rsidRPr="009711EF">
        <w:rPr>
          <w:lang w:val="en-GB"/>
        </w:rPr>
        <w:t xml:space="preserve"> and allowed for more favourable pricing determinations for pharmaceutical products </w:t>
      </w:r>
      <w:r w:rsidR="00B74B9A">
        <w:rPr>
          <w:lang w:val="en-GB"/>
        </w:rPr>
        <w:t>having</w:t>
      </w:r>
      <w:r w:rsidRPr="009711EF">
        <w:rPr>
          <w:lang w:val="en-GB"/>
        </w:rPr>
        <w:t xml:space="preserve"> particular importance to public health.</w:t>
      </w:r>
      <w:r w:rsidRPr="009711EF">
        <w:rPr>
          <w:rStyle w:val="FootnoteReference"/>
          <w:lang w:val="en-GB"/>
        </w:rPr>
        <w:footnoteReference w:id="11"/>
      </w:r>
    </w:p>
    <w:p w14:paraId="0AA2999E" w14:textId="77777777" w:rsidR="008C2435" w:rsidRPr="009711EF" w:rsidRDefault="008C2435" w:rsidP="00190F69">
      <w:pPr>
        <w:pStyle w:val="BodyTextMain"/>
        <w:rPr>
          <w:lang w:val="en-GB"/>
        </w:rPr>
      </w:pPr>
    </w:p>
    <w:p w14:paraId="1AEC0995" w14:textId="77777777" w:rsidR="008C2435" w:rsidRPr="009711EF" w:rsidRDefault="008C2435" w:rsidP="00190F69">
      <w:pPr>
        <w:pStyle w:val="BodyTextMain"/>
        <w:rPr>
          <w:lang w:val="en-GB"/>
        </w:rPr>
      </w:pPr>
    </w:p>
    <w:p w14:paraId="6C386208" w14:textId="5F9D38DA" w:rsidR="008C2435" w:rsidRPr="009711EF" w:rsidRDefault="008C2435" w:rsidP="00190F69">
      <w:pPr>
        <w:pStyle w:val="Casehead2"/>
        <w:rPr>
          <w:lang w:val="en-GB"/>
        </w:rPr>
      </w:pPr>
      <w:r w:rsidRPr="009711EF">
        <w:rPr>
          <w:lang w:val="en-GB"/>
        </w:rPr>
        <w:t xml:space="preserve">Promoting </w:t>
      </w:r>
      <w:r w:rsidR="00326DD8">
        <w:rPr>
          <w:lang w:val="en-GB"/>
        </w:rPr>
        <w:t>L</w:t>
      </w:r>
      <w:r w:rsidRPr="009711EF">
        <w:rPr>
          <w:lang w:val="en-GB"/>
        </w:rPr>
        <w:t>ocali</w:t>
      </w:r>
      <w:r w:rsidR="00326DD8">
        <w:rPr>
          <w:lang w:val="en-GB"/>
        </w:rPr>
        <w:t>z</w:t>
      </w:r>
      <w:r w:rsidRPr="009711EF">
        <w:rPr>
          <w:lang w:val="en-GB"/>
        </w:rPr>
        <w:t xml:space="preserve">ation and </w:t>
      </w:r>
      <w:r w:rsidR="00326DD8">
        <w:rPr>
          <w:lang w:val="en-GB"/>
        </w:rPr>
        <w:t>P</w:t>
      </w:r>
      <w:r w:rsidRPr="009711EF">
        <w:rPr>
          <w:lang w:val="en-GB"/>
        </w:rPr>
        <w:t>rioriti</w:t>
      </w:r>
      <w:r w:rsidR="00326DD8">
        <w:rPr>
          <w:lang w:val="en-GB"/>
        </w:rPr>
        <w:t>z</w:t>
      </w:r>
      <w:r w:rsidRPr="009711EF">
        <w:rPr>
          <w:lang w:val="en-GB"/>
        </w:rPr>
        <w:t>ation</w:t>
      </w:r>
    </w:p>
    <w:p w14:paraId="4A15C2FE" w14:textId="77777777" w:rsidR="008C2435" w:rsidRPr="009711EF" w:rsidRDefault="008C2435" w:rsidP="00190F69">
      <w:pPr>
        <w:pStyle w:val="BodyTextMain"/>
        <w:rPr>
          <w:lang w:val="en-GB"/>
        </w:rPr>
      </w:pPr>
    </w:p>
    <w:p w14:paraId="3FE66E4E" w14:textId="78F12931" w:rsidR="008C2435" w:rsidRPr="00892727" w:rsidRDefault="008C2435" w:rsidP="00190F69">
      <w:pPr>
        <w:pStyle w:val="BodyTextMain"/>
        <w:rPr>
          <w:spacing w:val="-2"/>
          <w:kern w:val="22"/>
          <w:lang w:val="en-GB"/>
        </w:rPr>
      </w:pPr>
      <w:r w:rsidRPr="00892727">
        <w:rPr>
          <w:spacing w:val="-2"/>
          <w:kern w:val="22"/>
          <w:lang w:val="en-GB"/>
        </w:rPr>
        <w:t>Turkey’s public institutions promoted increased production of pharmaceutical products. Because of the increasingly dwindling national health budget, the government incentivi</w:t>
      </w:r>
      <w:r w:rsidR="00401D9F" w:rsidRPr="00892727">
        <w:rPr>
          <w:spacing w:val="-2"/>
          <w:kern w:val="22"/>
          <w:lang w:val="en-GB"/>
        </w:rPr>
        <w:t>zed</w:t>
      </w:r>
      <w:r w:rsidRPr="00892727">
        <w:rPr>
          <w:spacing w:val="-2"/>
          <w:kern w:val="22"/>
          <w:lang w:val="en-GB"/>
        </w:rPr>
        <w:t xml:space="preserve"> local manufacturers to discriminate against imported pharmaceutical products so that the cost of</w:t>
      </w:r>
      <w:r w:rsidR="00401D9F" w:rsidRPr="00892727">
        <w:rPr>
          <w:spacing w:val="-2"/>
          <w:kern w:val="22"/>
          <w:lang w:val="en-GB"/>
        </w:rPr>
        <w:t xml:space="preserve"> these</w:t>
      </w:r>
      <w:r w:rsidRPr="00892727">
        <w:rPr>
          <w:spacing w:val="-2"/>
          <w:kern w:val="22"/>
          <w:lang w:val="en-GB"/>
        </w:rPr>
        <w:t xml:space="preserve"> </w:t>
      </w:r>
      <w:r w:rsidR="00401D9F" w:rsidRPr="00892727">
        <w:rPr>
          <w:spacing w:val="-2"/>
          <w:kern w:val="22"/>
          <w:lang w:val="en-GB"/>
        </w:rPr>
        <w:t>w</w:t>
      </w:r>
      <w:r w:rsidRPr="00892727">
        <w:rPr>
          <w:spacing w:val="-2"/>
          <w:kern w:val="22"/>
          <w:lang w:val="en-GB"/>
        </w:rPr>
        <w:t xml:space="preserve">ould be reduced. According to </w:t>
      </w:r>
      <w:r w:rsidR="00401D9F" w:rsidRPr="00892727">
        <w:rPr>
          <w:spacing w:val="-2"/>
          <w:kern w:val="22"/>
          <w:lang w:val="en-GB"/>
        </w:rPr>
        <w:t>Turkey’s</w:t>
      </w:r>
      <w:r w:rsidRPr="00892727">
        <w:rPr>
          <w:spacing w:val="-2"/>
          <w:kern w:val="22"/>
          <w:lang w:val="en-GB"/>
        </w:rPr>
        <w:t xml:space="preserve"> </w:t>
      </w:r>
      <w:r w:rsidR="00401D9F" w:rsidRPr="00892727">
        <w:rPr>
          <w:spacing w:val="-2"/>
          <w:kern w:val="22"/>
          <w:lang w:val="en-GB"/>
        </w:rPr>
        <w:t>M</w:t>
      </w:r>
      <w:r w:rsidRPr="00892727">
        <w:rPr>
          <w:spacing w:val="-2"/>
          <w:kern w:val="22"/>
          <w:lang w:val="en-GB"/>
        </w:rPr>
        <w:t xml:space="preserve">inistry of </w:t>
      </w:r>
      <w:r w:rsidR="00401D9F" w:rsidRPr="00892727">
        <w:rPr>
          <w:spacing w:val="-2"/>
          <w:kern w:val="22"/>
          <w:lang w:val="en-GB"/>
        </w:rPr>
        <w:t>H</w:t>
      </w:r>
      <w:r w:rsidRPr="00892727">
        <w:rPr>
          <w:spacing w:val="-2"/>
          <w:kern w:val="22"/>
          <w:lang w:val="en-GB"/>
        </w:rPr>
        <w:t>ealth policy, GMP certificates issued by non-Turkish authorities were not accepted as valid. The only exceptions to these were certifications issued by a country that recogni</w:t>
      </w:r>
      <w:r w:rsidR="00915517" w:rsidRPr="00892727">
        <w:rPr>
          <w:spacing w:val="-2"/>
          <w:kern w:val="22"/>
          <w:lang w:val="en-GB"/>
        </w:rPr>
        <w:t>zed</w:t>
      </w:r>
      <w:r w:rsidRPr="00892727">
        <w:rPr>
          <w:spacing w:val="-2"/>
          <w:kern w:val="22"/>
          <w:lang w:val="en-GB"/>
        </w:rPr>
        <w:t xml:space="preserve"> the GMP certificates issued by the M</w:t>
      </w:r>
      <w:r w:rsidR="00915517" w:rsidRPr="00892727">
        <w:rPr>
          <w:spacing w:val="-2"/>
          <w:kern w:val="22"/>
          <w:lang w:val="en-GB"/>
        </w:rPr>
        <w:t xml:space="preserve">inistry </w:t>
      </w:r>
      <w:r w:rsidRPr="00892727">
        <w:rPr>
          <w:spacing w:val="-2"/>
          <w:kern w:val="22"/>
          <w:lang w:val="en-GB"/>
        </w:rPr>
        <w:t>o</w:t>
      </w:r>
      <w:r w:rsidR="00915517" w:rsidRPr="00892727">
        <w:rPr>
          <w:spacing w:val="-2"/>
          <w:kern w:val="22"/>
          <w:lang w:val="en-GB"/>
        </w:rPr>
        <w:t xml:space="preserve">f </w:t>
      </w:r>
      <w:r w:rsidRPr="00892727">
        <w:rPr>
          <w:spacing w:val="-2"/>
          <w:kern w:val="22"/>
          <w:lang w:val="en-GB"/>
        </w:rPr>
        <w:t>H</w:t>
      </w:r>
      <w:r w:rsidR="00915517" w:rsidRPr="00892727">
        <w:rPr>
          <w:spacing w:val="-2"/>
          <w:kern w:val="22"/>
          <w:lang w:val="en-GB"/>
        </w:rPr>
        <w:t>ealth</w:t>
      </w:r>
      <w:r w:rsidRPr="00892727">
        <w:rPr>
          <w:spacing w:val="-2"/>
          <w:kern w:val="22"/>
          <w:lang w:val="en-GB"/>
        </w:rPr>
        <w:t xml:space="preserve">. This discrimination led to an advantage </w:t>
      </w:r>
      <w:r w:rsidR="00851E5D" w:rsidRPr="00892727">
        <w:rPr>
          <w:spacing w:val="-2"/>
          <w:kern w:val="22"/>
          <w:lang w:val="en-GB"/>
        </w:rPr>
        <w:t>for</w:t>
      </w:r>
      <w:r w:rsidRPr="00892727">
        <w:rPr>
          <w:spacing w:val="-2"/>
          <w:kern w:val="22"/>
          <w:lang w:val="en-GB"/>
        </w:rPr>
        <w:t xml:space="preserve"> domestic products. </w:t>
      </w:r>
      <w:r w:rsidR="00851E5D" w:rsidRPr="00892727">
        <w:rPr>
          <w:spacing w:val="-2"/>
          <w:kern w:val="22"/>
          <w:lang w:val="en-GB"/>
        </w:rPr>
        <w:t xml:space="preserve">The </w:t>
      </w:r>
      <w:r w:rsidRPr="00892727">
        <w:rPr>
          <w:spacing w:val="-2"/>
          <w:kern w:val="22"/>
          <w:lang w:val="en-GB"/>
        </w:rPr>
        <w:t>Social Security Institut</w:t>
      </w:r>
      <w:r w:rsidR="00851E5D" w:rsidRPr="00892727">
        <w:rPr>
          <w:spacing w:val="-2"/>
          <w:kern w:val="22"/>
          <w:lang w:val="en-GB"/>
        </w:rPr>
        <w:t>ion</w:t>
      </w:r>
      <w:r w:rsidRPr="00892727">
        <w:rPr>
          <w:spacing w:val="-2"/>
          <w:kern w:val="22"/>
          <w:lang w:val="en-GB"/>
        </w:rPr>
        <w:t>, the state institution in charge of administration of the reimbursement system in Turkey, also promoted locali</w:t>
      </w:r>
      <w:r w:rsidR="00851E5D" w:rsidRPr="00892727">
        <w:rPr>
          <w:spacing w:val="-2"/>
          <w:kern w:val="22"/>
          <w:lang w:val="en-GB"/>
        </w:rPr>
        <w:t>z</w:t>
      </w:r>
      <w:r w:rsidRPr="00892727">
        <w:rPr>
          <w:spacing w:val="-2"/>
          <w:kern w:val="22"/>
          <w:lang w:val="en-GB"/>
        </w:rPr>
        <w:t xml:space="preserve">ation. As most pharmaceutical products were sold through the reimbursement system in Turkey, it was critical for pharmaceutical products to be included on the </w:t>
      </w:r>
      <w:r w:rsidR="00915517" w:rsidRPr="00892727">
        <w:rPr>
          <w:spacing w:val="-2"/>
          <w:kern w:val="22"/>
          <w:lang w:val="en-GB"/>
        </w:rPr>
        <w:t xml:space="preserve">reimbursement </w:t>
      </w:r>
      <w:r w:rsidRPr="00892727">
        <w:rPr>
          <w:spacing w:val="-2"/>
          <w:kern w:val="22"/>
          <w:lang w:val="en-GB"/>
        </w:rPr>
        <w:t xml:space="preserve">list. However, there was no transparency related to the evaluation of a product for entry </w:t>
      </w:r>
      <w:r w:rsidR="00915517" w:rsidRPr="00892727">
        <w:rPr>
          <w:spacing w:val="-2"/>
          <w:kern w:val="22"/>
          <w:lang w:val="en-GB"/>
        </w:rPr>
        <w:t>onto</w:t>
      </w:r>
      <w:r w:rsidRPr="00892727">
        <w:rPr>
          <w:spacing w:val="-2"/>
          <w:kern w:val="22"/>
          <w:lang w:val="en-GB"/>
        </w:rPr>
        <w:t xml:space="preserve"> the list, with discretion </w:t>
      </w:r>
      <w:r w:rsidR="00915517" w:rsidRPr="00892727">
        <w:rPr>
          <w:spacing w:val="-2"/>
          <w:kern w:val="22"/>
          <w:lang w:val="en-GB"/>
        </w:rPr>
        <w:t xml:space="preserve">granted </w:t>
      </w:r>
      <w:r w:rsidRPr="00892727">
        <w:rPr>
          <w:spacing w:val="-2"/>
          <w:kern w:val="22"/>
          <w:lang w:val="en-GB"/>
        </w:rPr>
        <w:t xml:space="preserve">to the </w:t>
      </w:r>
      <w:r w:rsidR="00915517" w:rsidRPr="00892727">
        <w:rPr>
          <w:spacing w:val="-2"/>
          <w:kern w:val="22"/>
          <w:lang w:val="en-GB"/>
        </w:rPr>
        <w:t>Social Security Institution</w:t>
      </w:r>
      <w:r w:rsidRPr="00892727">
        <w:rPr>
          <w:spacing w:val="-2"/>
          <w:kern w:val="22"/>
          <w:lang w:val="en-GB"/>
        </w:rPr>
        <w:t xml:space="preserve"> to prioriti</w:t>
      </w:r>
      <w:r w:rsidR="00915517" w:rsidRPr="00892727">
        <w:rPr>
          <w:spacing w:val="-2"/>
          <w:kern w:val="22"/>
          <w:lang w:val="en-GB"/>
        </w:rPr>
        <w:t>z</w:t>
      </w:r>
      <w:r w:rsidRPr="00892727">
        <w:rPr>
          <w:spacing w:val="-2"/>
          <w:kern w:val="22"/>
          <w:lang w:val="en-GB"/>
        </w:rPr>
        <w:t xml:space="preserve">e the application of domestic products. </w:t>
      </w:r>
      <w:r w:rsidR="00915517" w:rsidRPr="00892727">
        <w:rPr>
          <w:spacing w:val="-2"/>
          <w:kern w:val="22"/>
          <w:lang w:val="en-GB"/>
        </w:rPr>
        <w:t>I</w:t>
      </w:r>
      <w:r w:rsidRPr="00892727">
        <w:rPr>
          <w:spacing w:val="-2"/>
          <w:kern w:val="22"/>
          <w:lang w:val="en-GB"/>
        </w:rPr>
        <w:t xml:space="preserve">n the </w:t>
      </w:r>
      <w:r w:rsidR="00915517" w:rsidRPr="00892727">
        <w:rPr>
          <w:spacing w:val="-2"/>
          <w:kern w:val="22"/>
          <w:lang w:val="en-GB"/>
        </w:rPr>
        <w:t xml:space="preserve">action plan for the Healthcare Related Industries </w:t>
      </w:r>
      <w:r w:rsidRPr="00892727">
        <w:rPr>
          <w:spacing w:val="-2"/>
          <w:kern w:val="22"/>
          <w:lang w:val="en-GB"/>
        </w:rPr>
        <w:t xml:space="preserve">Structural Transformation Program, an action point was incorporated to exclude imported pharmaceuticals </w:t>
      </w:r>
      <w:r w:rsidR="009D4BC3" w:rsidRPr="00892727">
        <w:rPr>
          <w:spacing w:val="-2"/>
          <w:kern w:val="22"/>
          <w:lang w:val="en-GB"/>
        </w:rPr>
        <w:t>that</w:t>
      </w:r>
      <w:r w:rsidRPr="00892727">
        <w:rPr>
          <w:spacing w:val="-2"/>
          <w:kern w:val="22"/>
          <w:lang w:val="en-GB"/>
        </w:rPr>
        <w:t xml:space="preserve"> had generic equivalents </w:t>
      </w:r>
      <w:r w:rsidR="00915517" w:rsidRPr="00892727">
        <w:rPr>
          <w:spacing w:val="-2"/>
          <w:kern w:val="22"/>
          <w:lang w:val="en-GB"/>
        </w:rPr>
        <w:t>on</w:t>
      </w:r>
      <w:r w:rsidRPr="00892727">
        <w:rPr>
          <w:spacing w:val="-2"/>
          <w:kern w:val="22"/>
          <w:lang w:val="en-GB"/>
        </w:rPr>
        <w:t xml:space="preserve"> Turkey’s reimbursement list. Another </w:t>
      </w:r>
      <w:r w:rsidR="0067470A" w:rsidRPr="00892727">
        <w:rPr>
          <w:spacing w:val="-2"/>
          <w:kern w:val="22"/>
          <w:lang w:val="en-GB"/>
        </w:rPr>
        <w:t>critical factor</w:t>
      </w:r>
      <w:r w:rsidRPr="00892727">
        <w:rPr>
          <w:spacing w:val="-2"/>
          <w:kern w:val="22"/>
          <w:lang w:val="en-GB"/>
        </w:rPr>
        <w:t xml:space="preserve"> </w:t>
      </w:r>
      <w:r w:rsidR="00915517" w:rsidRPr="00892727">
        <w:rPr>
          <w:spacing w:val="-2"/>
          <w:kern w:val="22"/>
          <w:lang w:val="en-GB"/>
        </w:rPr>
        <w:t>for</w:t>
      </w:r>
      <w:r w:rsidRPr="00892727">
        <w:rPr>
          <w:spacing w:val="-2"/>
          <w:kern w:val="22"/>
          <w:lang w:val="en-GB"/>
        </w:rPr>
        <w:t xml:space="preserve"> foreign stakeholders in the pharmaceutical industry w</w:t>
      </w:r>
      <w:r w:rsidR="008A472C" w:rsidRPr="00892727">
        <w:rPr>
          <w:spacing w:val="-2"/>
          <w:kern w:val="22"/>
          <w:lang w:val="en-GB"/>
        </w:rPr>
        <w:t>as</w:t>
      </w:r>
      <w:r w:rsidRPr="00892727">
        <w:rPr>
          <w:spacing w:val="-2"/>
          <w:kern w:val="22"/>
          <w:lang w:val="en-GB"/>
        </w:rPr>
        <w:t xml:space="preserve"> the provisions related to compulsory licensing. Under such provisions, compulsory patents could be granted to a Turkish pharmaceutical company on the grounds of public interest.</w:t>
      </w:r>
      <w:r w:rsidRPr="00892727">
        <w:rPr>
          <w:rStyle w:val="FootnoteReference"/>
          <w:spacing w:val="-2"/>
          <w:kern w:val="22"/>
          <w:lang w:val="en-GB"/>
        </w:rPr>
        <w:footnoteReference w:id="12"/>
      </w:r>
      <w:r w:rsidRPr="00892727">
        <w:rPr>
          <w:spacing w:val="-2"/>
          <w:kern w:val="22"/>
          <w:lang w:val="en-GB"/>
        </w:rPr>
        <w:t xml:space="preserve"> </w:t>
      </w:r>
    </w:p>
    <w:p w14:paraId="06226C9F" w14:textId="77777777" w:rsidR="008C2435" w:rsidRPr="009711EF" w:rsidRDefault="008C2435" w:rsidP="00190F69">
      <w:pPr>
        <w:pStyle w:val="BodyTextMain"/>
        <w:rPr>
          <w:lang w:val="en-GB"/>
        </w:rPr>
      </w:pPr>
    </w:p>
    <w:p w14:paraId="71ADD1C5" w14:textId="77777777" w:rsidR="008C2435" w:rsidRPr="009711EF" w:rsidRDefault="008C2435" w:rsidP="00190F69">
      <w:pPr>
        <w:pStyle w:val="BodyTextMain"/>
        <w:rPr>
          <w:lang w:val="en-GB"/>
        </w:rPr>
      </w:pPr>
    </w:p>
    <w:p w14:paraId="345573BE" w14:textId="4CBA492C" w:rsidR="008C2435" w:rsidRPr="009711EF" w:rsidRDefault="008C2435" w:rsidP="00190F69">
      <w:pPr>
        <w:pStyle w:val="Casehead2"/>
        <w:rPr>
          <w:rFonts w:eastAsiaTheme="minorHAnsi"/>
          <w:lang w:val="en-GB"/>
        </w:rPr>
      </w:pPr>
      <w:r w:rsidRPr="009711EF">
        <w:rPr>
          <w:lang w:val="en-GB"/>
        </w:rPr>
        <w:t xml:space="preserve">Import of </w:t>
      </w:r>
      <w:r w:rsidR="00C91422">
        <w:rPr>
          <w:lang w:val="en-GB"/>
        </w:rPr>
        <w:t>P</w:t>
      </w:r>
      <w:r w:rsidRPr="009711EF">
        <w:rPr>
          <w:lang w:val="en-GB"/>
        </w:rPr>
        <w:t xml:space="preserve">harmaceutical </w:t>
      </w:r>
      <w:r w:rsidR="00C91422">
        <w:rPr>
          <w:lang w:val="en-GB"/>
        </w:rPr>
        <w:t>P</w:t>
      </w:r>
      <w:r w:rsidRPr="009711EF">
        <w:rPr>
          <w:lang w:val="en-GB"/>
        </w:rPr>
        <w:t xml:space="preserve">roducts and </w:t>
      </w:r>
      <w:r w:rsidR="00C91422">
        <w:rPr>
          <w:lang w:val="en-GB"/>
        </w:rPr>
        <w:t>A</w:t>
      </w:r>
      <w:r w:rsidRPr="009711EF">
        <w:rPr>
          <w:lang w:val="en-GB"/>
        </w:rPr>
        <w:t xml:space="preserve">lternative </w:t>
      </w:r>
      <w:r w:rsidR="00C91422">
        <w:rPr>
          <w:lang w:val="en-GB"/>
        </w:rPr>
        <w:t>R</w:t>
      </w:r>
      <w:r w:rsidRPr="009711EF">
        <w:rPr>
          <w:lang w:val="en-GB"/>
        </w:rPr>
        <w:t>eimbursement</w:t>
      </w:r>
    </w:p>
    <w:p w14:paraId="4D461F8E" w14:textId="77777777" w:rsidR="008C2435" w:rsidRPr="009711EF" w:rsidRDefault="008C2435" w:rsidP="00190F69">
      <w:pPr>
        <w:pStyle w:val="BodyTextMain"/>
        <w:rPr>
          <w:lang w:val="en-GB"/>
        </w:rPr>
      </w:pPr>
    </w:p>
    <w:p w14:paraId="16357B22" w14:textId="0A4AED4A" w:rsidR="008C2435" w:rsidRPr="009711EF" w:rsidRDefault="008C2435" w:rsidP="00190F69">
      <w:pPr>
        <w:pStyle w:val="BodyTextMain"/>
        <w:rPr>
          <w:lang w:val="en-GB"/>
        </w:rPr>
      </w:pPr>
      <w:r w:rsidRPr="009711EF">
        <w:rPr>
          <w:lang w:val="en-GB"/>
        </w:rPr>
        <w:t>In the event</w:t>
      </w:r>
      <w:r w:rsidR="00861AB0">
        <w:rPr>
          <w:lang w:val="en-GB"/>
        </w:rPr>
        <w:t xml:space="preserve"> that</w:t>
      </w:r>
      <w:r w:rsidRPr="009711EF">
        <w:rPr>
          <w:lang w:val="en-GB"/>
        </w:rPr>
        <w:t xml:space="preserve"> a pharmaceutical product had not applied for market authori</w:t>
      </w:r>
      <w:r w:rsidR="009D4BC3">
        <w:rPr>
          <w:lang w:val="en-GB"/>
        </w:rPr>
        <w:t>z</w:t>
      </w:r>
      <w:r w:rsidRPr="009711EF">
        <w:rPr>
          <w:lang w:val="en-GB"/>
        </w:rPr>
        <w:t>ation in Turkey or was unavailable in the Turkish market but considered necessary by a physician, that particular product was imported. Th</w:t>
      </w:r>
      <w:r w:rsidR="00D75396">
        <w:rPr>
          <w:lang w:val="en-GB"/>
        </w:rPr>
        <w:t>at</w:t>
      </w:r>
      <w:r w:rsidRPr="009711EF">
        <w:rPr>
          <w:lang w:val="en-GB"/>
        </w:rPr>
        <w:t xml:space="preserve"> drug would </w:t>
      </w:r>
      <w:r w:rsidR="00D75396">
        <w:rPr>
          <w:lang w:val="en-GB"/>
        </w:rPr>
        <w:t xml:space="preserve">then </w:t>
      </w:r>
      <w:r w:rsidRPr="009711EF">
        <w:rPr>
          <w:lang w:val="en-GB"/>
        </w:rPr>
        <w:t xml:space="preserve">be </w:t>
      </w:r>
      <w:r w:rsidR="00D75396">
        <w:rPr>
          <w:lang w:val="en-GB"/>
        </w:rPr>
        <w:t>priced</w:t>
      </w:r>
      <w:r w:rsidRPr="009711EF">
        <w:rPr>
          <w:lang w:val="en-GB"/>
        </w:rPr>
        <w:t xml:space="preserve"> higher and </w:t>
      </w:r>
      <w:r w:rsidR="00861AB0">
        <w:rPr>
          <w:lang w:val="en-GB"/>
        </w:rPr>
        <w:t xml:space="preserve">put </w:t>
      </w:r>
      <w:r w:rsidR="00D75396">
        <w:rPr>
          <w:lang w:val="en-GB"/>
        </w:rPr>
        <w:t xml:space="preserve">at a higher </w:t>
      </w:r>
      <w:r w:rsidRPr="009711EF">
        <w:rPr>
          <w:lang w:val="en-GB"/>
        </w:rPr>
        <w:t xml:space="preserve">reimbursement level than if it had been granted </w:t>
      </w:r>
      <w:r w:rsidR="009D4BC3">
        <w:rPr>
          <w:lang w:val="en-GB"/>
        </w:rPr>
        <w:t>market authorization</w:t>
      </w:r>
      <w:r w:rsidRPr="009711EF">
        <w:rPr>
          <w:lang w:val="en-GB"/>
        </w:rPr>
        <w:t xml:space="preserve"> in Turkey. The number of pharmaceutical products being imported had increased in 2016. </w:t>
      </w:r>
      <w:r w:rsidR="0067470A">
        <w:rPr>
          <w:lang w:val="en-GB"/>
        </w:rPr>
        <w:t xml:space="preserve">That same year, </w:t>
      </w:r>
      <w:r w:rsidRPr="009711EF">
        <w:rPr>
          <w:lang w:val="en-GB"/>
        </w:rPr>
        <w:t xml:space="preserve">TITCK updated its guidelines related to the procurement of pharmaceutical products from abroad with a provision to procure </w:t>
      </w:r>
      <w:r w:rsidR="00CC2416">
        <w:rPr>
          <w:lang w:val="en-GB"/>
        </w:rPr>
        <w:t xml:space="preserve">these </w:t>
      </w:r>
      <w:r w:rsidRPr="009711EF">
        <w:rPr>
          <w:lang w:val="en-GB"/>
        </w:rPr>
        <w:t xml:space="preserve">products only when all treatment options in Turkey </w:t>
      </w:r>
      <w:r w:rsidR="008A472C">
        <w:rPr>
          <w:lang w:val="en-GB"/>
        </w:rPr>
        <w:t>were</w:t>
      </w:r>
      <w:r w:rsidR="00D75396">
        <w:rPr>
          <w:lang w:val="en-GB"/>
        </w:rPr>
        <w:t xml:space="preserve"> </w:t>
      </w:r>
      <w:r w:rsidRPr="009711EF">
        <w:rPr>
          <w:lang w:val="en-GB"/>
        </w:rPr>
        <w:t xml:space="preserve">exhausted. </w:t>
      </w:r>
      <w:r w:rsidR="00D75396">
        <w:rPr>
          <w:lang w:val="en-GB"/>
        </w:rPr>
        <w:t xml:space="preserve">On the other hand, </w:t>
      </w:r>
      <w:r w:rsidRPr="009711EF">
        <w:rPr>
          <w:lang w:val="en-GB"/>
        </w:rPr>
        <w:t>TITCK also put pressure on foreign pharmaceutical manufacturers to enter into a</w:t>
      </w:r>
      <w:r w:rsidR="00D75396">
        <w:rPr>
          <w:lang w:val="en-GB"/>
        </w:rPr>
        <w:t xml:space="preserve"> market authorization</w:t>
      </w:r>
      <w:r w:rsidRPr="009711EF">
        <w:rPr>
          <w:lang w:val="en-GB"/>
        </w:rPr>
        <w:t xml:space="preserve"> agreement to ensure a lower price on imported pharmaceutical products.</w:t>
      </w:r>
      <w:r w:rsidRPr="009711EF">
        <w:rPr>
          <w:rStyle w:val="FootnoteReference"/>
          <w:lang w:val="en-GB"/>
        </w:rPr>
        <w:footnoteReference w:id="13"/>
      </w:r>
    </w:p>
    <w:p w14:paraId="448F3454" w14:textId="740E0079" w:rsidR="008C2435" w:rsidRPr="009711EF" w:rsidRDefault="008C2435" w:rsidP="00190F69">
      <w:pPr>
        <w:pStyle w:val="BodyTextMain"/>
        <w:rPr>
          <w:lang w:val="en-GB"/>
        </w:rPr>
      </w:pPr>
    </w:p>
    <w:p w14:paraId="6738FA09" w14:textId="77777777" w:rsidR="00892727" w:rsidRDefault="00892727" w:rsidP="00190F69">
      <w:pPr>
        <w:pStyle w:val="Casehead2"/>
        <w:rPr>
          <w:lang w:val="en-GB"/>
        </w:rPr>
      </w:pPr>
    </w:p>
    <w:p w14:paraId="44D7472B" w14:textId="338E21E9" w:rsidR="008C2435" w:rsidRDefault="008C2435" w:rsidP="00190F69">
      <w:pPr>
        <w:pStyle w:val="Casehead2"/>
        <w:rPr>
          <w:lang w:val="en-GB"/>
        </w:rPr>
      </w:pPr>
      <w:r w:rsidRPr="009711EF">
        <w:rPr>
          <w:lang w:val="en-GB"/>
        </w:rPr>
        <w:t xml:space="preserve">Value </w:t>
      </w:r>
      <w:r w:rsidR="00D75396">
        <w:rPr>
          <w:lang w:val="en-GB"/>
        </w:rPr>
        <w:t>T</w:t>
      </w:r>
      <w:r w:rsidRPr="009711EF">
        <w:rPr>
          <w:lang w:val="en-GB"/>
        </w:rPr>
        <w:t xml:space="preserve">ransfer </w:t>
      </w:r>
      <w:r w:rsidR="00D75396">
        <w:rPr>
          <w:lang w:val="en-GB"/>
        </w:rPr>
        <w:t>D</w:t>
      </w:r>
      <w:r w:rsidRPr="009711EF">
        <w:rPr>
          <w:lang w:val="en-GB"/>
        </w:rPr>
        <w:t>isclosure</w:t>
      </w:r>
    </w:p>
    <w:p w14:paraId="3EA50A66" w14:textId="77777777" w:rsidR="002B6944" w:rsidRPr="009711EF" w:rsidRDefault="002B6944" w:rsidP="00190F69">
      <w:pPr>
        <w:pStyle w:val="Casehead2"/>
        <w:rPr>
          <w:rFonts w:eastAsiaTheme="minorHAnsi"/>
          <w:lang w:val="en-GB"/>
        </w:rPr>
      </w:pPr>
    </w:p>
    <w:p w14:paraId="42A92A91" w14:textId="01560228" w:rsidR="008C2435" w:rsidRPr="009711EF" w:rsidRDefault="008C2435" w:rsidP="00190F69">
      <w:pPr>
        <w:pStyle w:val="BodyTextMain"/>
        <w:rPr>
          <w:lang w:val="en-GB"/>
        </w:rPr>
      </w:pPr>
      <w:r w:rsidRPr="009711EF">
        <w:rPr>
          <w:lang w:val="en-GB"/>
        </w:rPr>
        <w:t xml:space="preserve">In 2016, the obligation </w:t>
      </w:r>
      <w:r w:rsidR="00D75396">
        <w:rPr>
          <w:lang w:val="en-GB"/>
        </w:rPr>
        <w:t>to</w:t>
      </w:r>
      <w:r w:rsidRPr="009711EF">
        <w:rPr>
          <w:lang w:val="en-GB"/>
        </w:rPr>
        <w:t xml:space="preserve"> disclos</w:t>
      </w:r>
      <w:r w:rsidR="00D75396">
        <w:rPr>
          <w:lang w:val="en-GB"/>
        </w:rPr>
        <w:t>e</w:t>
      </w:r>
      <w:r w:rsidRPr="009711EF">
        <w:rPr>
          <w:lang w:val="en-GB"/>
        </w:rPr>
        <w:t xml:space="preserve"> value transfers delivered to health</w:t>
      </w:r>
      <w:r w:rsidR="00D75396">
        <w:rPr>
          <w:lang w:val="en-GB"/>
        </w:rPr>
        <w:t xml:space="preserve"> </w:t>
      </w:r>
      <w:r w:rsidRPr="009711EF">
        <w:rPr>
          <w:lang w:val="en-GB"/>
        </w:rPr>
        <w:t>care professionals, health</w:t>
      </w:r>
      <w:r w:rsidR="00D75396">
        <w:rPr>
          <w:lang w:val="en-GB"/>
        </w:rPr>
        <w:t xml:space="preserve"> </w:t>
      </w:r>
      <w:r w:rsidRPr="009711EF">
        <w:rPr>
          <w:lang w:val="en-GB"/>
        </w:rPr>
        <w:t>care institutions, universities, and foundations in the health</w:t>
      </w:r>
      <w:r w:rsidR="00D75396">
        <w:rPr>
          <w:lang w:val="en-GB"/>
        </w:rPr>
        <w:t xml:space="preserve"> </w:t>
      </w:r>
      <w:r w:rsidRPr="009711EF">
        <w:rPr>
          <w:lang w:val="en-GB"/>
        </w:rPr>
        <w:t xml:space="preserve">care </w:t>
      </w:r>
      <w:r w:rsidR="00D75396">
        <w:rPr>
          <w:lang w:val="en-GB"/>
        </w:rPr>
        <w:t xml:space="preserve">field </w:t>
      </w:r>
      <w:r w:rsidRPr="009711EF">
        <w:rPr>
          <w:lang w:val="en-GB"/>
        </w:rPr>
        <w:t xml:space="preserve">was introduced in the Turkish pharmaceutical industry to protect and advance health. This new obligation required </w:t>
      </w:r>
      <w:r w:rsidR="00580160">
        <w:rPr>
          <w:lang w:val="en-GB"/>
        </w:rPr>
        <w:t>market authorization</w:t>
      </w:r>
      <w:r w:rsidRPr="009711EF">
        <w:rPr>
          <w:lang w:val="en-GB"/>
        </w:rPr>
        <w:t xml:space="preserve"> holders to disclose </w:t>
      </w:r>
      <w:r w:rsidR="00861AB0">
        <w:rPr>
          <w:lang w:val="en-GB"/>
        </w:rPr>
        <w:t xml:space="preserve">to TITCK </w:t>
      </w:r>
      <w:r w:rsidRPr="009711EF">
        <w:rPr>
          <w:lang w:val="en-GB"/>
        </w:rPr>
        <w:t>any value transfer with a monetary value exceeding 10 per cent of the applicable gross minimum wage</w:t>
      </w:r>
      <w:r w:rsidR="0067470A">
        <w:rPr>
          <w:lang w:val="en-GB"/>
        </w:rPr>
        <w:t xml:space="preserve"> </w:t>
      </w:r>
      <w:r w:rsidR="0067470A" w:rsidRPr="009711EF">
        <w:rPr>
          <w:lang w:val="en-GB"/>
        </w:rPr>
        <w:t>to health</w:t>
      </w:r>
      <w:r w:rsidR="0067470A">
        <w:rPr>
          <w:lang w:val="en-GB"/>
        </w:rPr>
        <w:t xml:space="preserve"> </w:t>
      </w:r>
      <w:r w:rsidR="0067470A" w:rsidRPr="009711EF">
        <w:rPr>
          <w:lang w:val="en-GB"/>
        </w:rPr>
        <w:t>care professionals, health</w:t>
      </w:r>
      <w:r w:rsidR="0067470A">
        <w:rPr>
          <w:lang w:val="en-GB"/>
        </w:rPr>
        <w:t xml:space="preserve"> </w:t>
      </w:r>
      <w:r w:rsidR="0067470A" w:rsidRPr="009711EF">
        <w:rPr>
          <w:lang w:val="en-GB"/>
        </w:rPr>
        <w:t xml:space="preserve">care institutions, universities, and </w:t>
      </w:r>
      <w:r w:rsidR="0067470A" w:rsidRPr="009711EF">
        <w:rPr>
          <w:lang w:val="en-GB"/>
        </w:rPr>
        <w:lastRenderedPageBreak/>
        <w:t>foundations in the health</w:t>
      </w:r>
      <w:r w:rsidR="0067470A">
        <w:rPr>
          <w:lang w:val="en-GB"/>
        </w:rPr>
        <w:t xml:space="preserve"> </w:t>
      </w:r>
      <w:r w:rsidR="0067470A" w:rsidRPr="009711EF">
        <w:rPr>
          <w:lang w:val="en-GB"/>
        </w:rPr>
        <w:t xml:space="preserve">care </w:t>
      </w:r>
      <w:r w:rsidR="0067470A">
        <w:rPr>
          <w:lang w:val="en-GB"/>
        </w:rPr>
        <w:t>field</w:t>
      </w:r>
      <w:r w:rsidRPr="009711EF">
        <w:rPr>
          <w:lang w:val="en-GB"/>
        </w:rPr>
        <w:t>. This</w:t>
      </w:r>
      <w:r w:rsidR="0035238C">
        <w:rPr>
          <w:lang w:val="en-GB"/>
        </w:rPr>
        <w:t xml:space="preserve"> disclosure</w:t>
      </w:r>
      <w:r w:rsidRPr="009711EF">
        <w:rPr>
          <w:lang w:val="en-GB"/>
        </w:rPr>
        <w:t xml:space="preserve"> obligation favoured increased transparency in areas related to </w:t>
      </w:r>
      <w:r w:rsidR="0035238C">
        <w:rPr>
          <w:lang w:val="en-GB"/>
        </w:rPr>
        <w:t xml:space="preserve">the </w:t>
      </w:r>
      <w:r w:rsidRPr="009711EF">
        <w:rPr>
          <w:lang w:val="en-GB"/>
        </w:rPr>
        <w:t>relationships between companies and health</w:t>
      </w:r>
      <w:r w:rsidR="0035238C">
        <w:rPr>
          <w:lang w:val="en-GB"/>
        </w:rPr>
        <w:t xml:space="preserve"> </w:t>
      </w:r>
      <w:r w:rsidRPr="009711EF">
        <w:rPr>
          <w:lang w:val="en-GB"/>
        </w:rPr>
        <w:t>care professionals.</w:t>
      </w:r>
      <w:r w:rsidRPr="009711EF">
        <w:rPr>
          <w:rStyle w:val="FootnoteReference"/>
          <w:lang w:val="en-GB"/>
        </w:rPr>
        <w:footnoteReference w:id="14"/>
      </w:r>
      <w:r w:rsidRPr="009711EF">
        <w:rPr>
          <w:lang w:val="en-GB"/>
        </w:rPr>
        <w:t xml:space="preserve"> </w:t>
      </w:r>
    </w:p>
    <w:p w14:paraId="6533E1CA" w14:textId="501567E0" w:rsidR="008C2435" w:rsidRPr="009711EF" w:rsidRDefault="008C2435" w:rsidP="00190F69">
      <w:pPr>
        <w:pStyle w:val="Casehead2"/>
        <w:rPr>
          <w:lang w:val="en-GB"/>
        </w:rPr>
      </w:pPr>
      <w:bookmarkStart w:id="0" w:name="_GoBack"/>
      <w:bookmarkEnd w:id="0"/>
      <w:r w:rsidRPr="009711EF">
        <w:rPr>
          <w:rStyle w:val="Strong"/>
          <w:b/>
          <w:bCs w:val="0"/>
          <w:lang w:val="en-GB"/>
        </w:rPr>
        <w:t xml:space="preserve">The </w:t>
      </w:r>
      <w:r w:rsidR="007A1B21">
        <w:rPr>
          <w:rStyle w:val="Strong"/>
          <w:b/>
          <w:bCs w:val="0"/>
          <w:lang w:val="en-GB"/>
        </w:rPr>
        <w:t>N</w:t>
      </w:r>
      <w:r w:rsidRPr="009711EF">
        <w:rPr>
          <w:rStyle w:val="Strong"/>
          <w:b/>
          <w:bCs w:val="0"/>
          <w:lang w:val="en-GB"/>
        </w:rPr>
        <w:t xml:space="preserve">eed for a </w:t>
      </w:r>
      <w:r w:rsidR="007A1B21">
        <w:rPr>
          <w:rStyle w:val="Strong"/>
          <w:b/>
          <w:bCs w:val="0"/>
          <w:lang w:val="en-GB"/>
        </w:rPr>
        <w:t>L</w:t>
      </w:r>
      <w:r w:rsidRPr="009711EF">
        <w:rPr>
          <w:rStyle w:val="Strong"/>
          <w:b/>
          <w:bCs w:val="0"/>
          <w:lang w:val="en-GB"/>
        </w:rPr>
        <w:t xml:space="preserve">ocal </w:t>
      </w:r>
      <w:r w:rsidR="007A1B21">
        <w:rPr>
          <w:rStyle w:val="Strong"/>
          <w:b/>
          <w:bCs w:val="0"/>
          <w:lang w:val="en-GB"/>
        </w:rPr>
        <w:t>P</w:t>
      </w:r>
      <w:r w:rsidRPr="009711EF">
        <w:rPr>
          <w:rStyle w:val="Strong"/>
          <w:b/>
          <w:bCs w:val="0"/>
          <w:lang w:val="en-GB"/>
        </w:rPr>
        <w:t>artner</w:t>
      </w:r>
    </w:p>
    <w:p w14:paraId="1269F9D2" w14:textId="77777777" w:rsidR="008C2435" w:rsidRPr="009711EF" w:rsidRDefault="008C2435" w:rsidP="00190F69">
      <w:pPr>
        <w:pStyle w:val="BodyTextMain"/>
        <w:rPr>
          <w:lang w:val="en-GB"/>
        </w:rPr>
      </w:pPr>
    </w:p>
    <w:p w14:paraId="06A1B54D" w14:textId="56AD340A" w:rsidR="008C2435" w:rsidRPr="009711EF" w:rsidRDefault="008C2435" w:rsidP="00190F69">
      <w:pPr>
        <w:pStyle w:val="BodyTextMain"/>
        <w:rPr>
          <w:lang w:val="en-GB"/>
        </w:rPr>
      </w:pPr>
      <w:r>
        <w:rPr>
          <w:lang w:val="en-GB"/>
        </w:rPr>
        <w:t>It wa</w:t>
      </w:r>
      <w:r w:rsidRPr="009711EF">
        <w:rPr>
          <w:lang w:val="en-GB"/>
        </w:rPr>
        <w:t xml:space="preserve">s important </w:t>
      </w:r>
      <w:r w:rsidR="00861AB0">
        <w:rPr>
          <w:lang w:val="en-GB"/>
        </w:rPr>
        <w:t>for international companies</w:t>
      </w:r>
      <w:r w:rsidRPr="009711EF">
        <w:rPr>
          <w:lang w:val="en-GB"/>
        </w:rPr>
        <w:t xml:space="preserve"> to work with a local partner</w:t>
      </w:r>
      <w:r w:rsidR="00861AB0">
        <w:rPr>
          <w:lang w:val="en-GB"/>
        </w:rPr>
        <w:t xml:space="preserve"> in Turkey</w:t>
      </w:r>
      <w:r w:rsidRPr="009711EF">
        <w:rPr>
          <w:lang w:val="en-GB"/>
        </w:rPr>
        <w:t xml:space="preserve"> to manage GMP requirements. The selection of </w:t>
      </w:r>
      <w:r w:rsidR="00861AB0">
        <w:rPr>
          <w:lang w:val="en-GB"/>
        </w:rPr>
        <w:t>that</w:t>
      </w:r>
      <w:r w:rsidR="007A1B21">
        <w:rPr>
          <w:lang w:val="en-GB"/>
        </w:rPr>
        <w:t xml:space="preserve"> </w:t>
      </w:r>
      <w:r w:rsidRPr="009711EF">
        <w:rPr>
          <w:lang w:val="en-GB"/>
        </w:rPr>
        <w:t>partner was critical</w:t>
      </w:r>
      <w:r w:rsidR="007A1B21">
        <w:rPr>
          <w:lang w:val="en-GB"/>
        </w:rPr>
        <w:t xml:space="preserve">, as </w:t>
      </w:r>
      <w:r w:rsidR="00861AB0">
        <w:rPr>
          <w:lang w:val="en-GB"/>
        </w:rPr>
        <w:t>they</w:t>
      </w:r>
      <w:r w:rsidRPr="009711EF">
        <w:rPr>
          <w:lang w:val="en-GB"/>
        </w:rPr>
        <w:t xml:space="preserve"> </w:t>
      </w:r>
      <w:r w:rsidR="00861AB0">
        <w:rPr>
          <w:lang w:val="en-GB"/>
        </w:rPr>
        <w:t>had</w:t>
      </w:r>
      <w:r w:rsidRPr="009711EF">
        <w:rPr>
          <w:lang w:val="en-GB"/>
        </w:rPr>
        <w:t xml:space="preserve"> to have the </w:t>
      </w:r>
      <w:r w:rsidR="00861AB0">
        <w:rPr>
          <w:lang w:val="en-GB"/>
        </w:rPr>
        <w:t xml:space="preserve">necessary </w:t>
      </w:r>
      <w:r w:rsidRPr="009711EF">
        <w:rPr>
          <w:lang w:val="en-GB"/>
        </w:rPr>
        <w:t xml:space="preserve">expertise to counsel pharmaceutical companies </w:t>
      </w:r>
      <w:r w:rsidR="007A1B21">
        <w:rPr>
          <w:lang w:val="en-GB"/>
        </w:rPr>
        <w:t>on the</w:t>
      </w:r>
      <w:r w:rsidRPr="009711EF">
        <w:rPr>
          <w:lang w:val="en-GB"/>
        </w:rPr>
        <w:t xml:space="preserve"> many complexities </w:t>
      </w:r>
      <w:r w:rsidR="007A1B21">
        <w:rPr>
          <w:lang w:val="en-GB"/>
        </w:rPr>
        <w:t>of the country’s frequently changing</w:t>
      </w:r>
      <w:r w:rsidRPr="009711EF">
        <w:rPr>
          <w:lang w:val="en-GB"/>
        </w:rPr>
        <w:t xml:space="preserve"> regulations and requirements. Many companies managed GMP certification requirement</w:t>
      </w:r>
      <w:r w:rsidR="007A1B21">
        <w:rPr>
          <w:lang w:val="en-GB"/>
        </w:rPr>
        <w:t>s</w:t>
      </w:r>
      <w:r w:rsidRPr="009711EF">
        <w:rPr>
          <w:lang w:val="en-GB"/>
        </w:rPr>
        <w:t xml:space="preserve"> either by manufacturing products in Turkey or by </w:t>
      </w:r>
      <w:r w:rsidR="007A1B21">
        <w:rPr>
          <w:lang w:val="en-GB"/>
        </w:rPr>
        <w:t>obtaining</w:t>
      </w:r>
      <w:r w:rsidRPr="009711EF">
        <w:rPr>
          <w:lang w:val="en-GB"/>
        </w:rPr>
        <w:t xml:space="preserve"> the products from third-party manufacturers in Turkey</w:t>
      </w:r>
      <w:r w:rsidR="007A1B21">
        <w:rPr>
          <w:lang w:val="en-GB"/>
        </w:rPr>
        <w:t>;</w:t>
      </w:r>
      <w:r w:rsidRPr="009711EF">
        <w:rPr>
          <w:lang w:val="en-GB"/>
        </w:rPr>
        <w:t xml:space="preserve"> GMP certification conditions did not apply to products manufactured at local manufacturing facilities</w:t>
      </w:r>
      <w:r w:rsidR="007A1B21">
        <w:rPr>
          <w:lang w:val="en-GB"/>
        </w:rPr>
        <w:t>,</w:t>
      </w:r>
      <w:r w:rsidRPr="009711EF">
        <w:rPr>
          <w:lang w:val="en-GB"/>
        </w:rPr>
        <w:t xml:space="preserve"> as Turkish authorities inspected these on a regular basis. </w:t>
      </w:r>
      <w:r w:rsidR="007A1B21">
        <w:rPr>
          <w:lang w:val="en-GB"/>
        </w:rPr>
        <w:t>C</w:t>
      </w:r>
      <w:r w:rsidRPr="009711EF">
        <w:rPr>
          <w:lang w:val="en-GB"/>
        </w:rPr>
        <w:t xml:space="preserve">ompanies not manufacturing in Turkey </w:t>
      </w:r>
      <w:r w:rsidR="007A1B21">
        <w:rPr>
          <w:lang w:val="en-GB"/>
        </w:rPr>
        <w:t>had</w:t>
      </w:r>
      <w:r w:rsidRPr="009711EF">
        <w:rPr>
          <w:lang w:val="en-GB"/>
        </w:rPr>
        <w:t xml:space="preserve"> to request </w:t>
      </w:r>
      <w:r w:rsidR="0067470A">
        <w:rPr>
          <w:lang w:val="en-GB"/>
        </w:rPr>
        <w:t>TITCK</w:t>
      </w:r>
      <w:r w:rsidRPr="009711EF">
        <w:rPr>
          <w:lang w:val="en-GB"/>
        </w:rPr>
        <w:t xml:space="preserve"> to decide</w:t>
      </w:r>
      <w:r w:rsidR="00861AB0">
        <w:rPr>
          <w:lang w:val="en-GB"/>
        </w:rPr>
        <w:t xml:space="preserve"> on</w:t>
      </w:r>
      <w:r w:rsidRPr="009711EF">
        <w:rPr>
          <w:lang w:val="en-GB"/>
        </w:rPr>
        <w:t xml:space="preserve"> the priority status of their product by explaining the importance of the product </w:t>
      </w:r>
      <w:r w:rsidR="007A1B21">
        <w:rPr>
          <w:lang w:val="en-GB"/>
        </w:rPr>
        <w:t>to</w:t>
      </w:r>
      <w:r w:rsidRPr="009711EF">
        <w:rPr>
          <w:lang w:val="en-GB"/>
        </w:rPr>
        <w:t xml:space="preserve"> the Turkish market. </w:t>
      </w:r>
      <w:r w:rsidR="007A1B21">
        <w:rPr>
          <w:lang w:val="en-GB"/>
        </w:rPr>
        <w:t>For this, i</w:t>
      </w:r>
      <w:r w:rsidRPr="009711EF">
        <w:rPr>
          <w:lang w:val="en-GB"/>
        </w:rPr>
        <w:t>t was imperative to have local expertise to understand the therapeutic needs and available competitive products</w:t>
      </w:r>
      <w:r w:rsidR="007A1B21">
        <w:rPr>
          <w:lang w:val="en-GB"/>
        </w:rPr>
        <w:t xml:space="preserve"> in Turkey</w:t>
      </w:r>
      <w:r w:rsidRPr="009711EF">
        <w:rPr>
          <w:lang w:val="en-GB"/>
        </w:rPr>
        <w:t>.</w:t>
      </w:r>
      <w:r w:rsidRPr="009711EF">
        <w:rPr>
          <w:rStyle w:val="FootnoteReference"/>
          <w:lang w:val="en-GB"/>
        </w:rPr>
        <w:footnoteReference w:id="15"/>
      </w:r>
    </w:p>
    <w:p w14:paraId="04B4ED72" w14:textId="77777777" w:rsidR="008C2435" w:rsidRPr="009711EF" w:rsidRDefault="008C2435" w:rsidP="00190F69">
      <w:pPr>
        <w:pStyle w:val="BodyTextMain"/>
        <w:rPr>
          <w:lang w:val="en-GB"/>
        </w:rPr>
      </w:pPr>
    </w:p>
    <w:p w14:paraId="2C05D0CF" w14:textId="77777777" w:rsidR="008C2435" w:rsidRPr="009711EF" w:rsidRDefault="008C2435" w:rsidP="00190F69">
      <w:pPr>
        <w:pStyle w:val="BodyTextMain"/>
        <w:rPr>
          <w:lang w:val="en-GB"/>
        </w:rPr>
      </w:pPr>
    </w:p>
    <w:p w14:paraId="762856FC" w14:textId="77777777" w:rsidR="008C2435" w:rsidRPr="009711EF" w:rsidRDefault="008C2435" w:rsidP="00190F69">
      <w:pPr>
        <w:pStyle w:val="BodyTextMain"/>
        <w:rPr>
          <w:rFonts w:ascii="Arial" w:hAnsi="Arial" w:cs="Arial"/>
          <w:b/>
          <w:sz w:val="20"/>
          <w:szCs w:val="20"/>
          <w:lang w:val="en-GB"/>
        </w:rPr>
      </w:pPr>
      <w:r w:rsidRPr="009711EF">
        <w:rPr>
          <w:rFonts w:ascii="Arial" w:hAnsi="Arial" w:cs="Arial"/>
          <w:b/>
          <w:sz w:val="20"/>
          <w:szCs w:val="20"/>
          <w:lang w:val="en-GB"/>
        </w:rPr>
        <w:t>CONCLUSION</w:t>
      </w:r>
    </w:p>
    <w:p w14:paraId="049DEDD2" w14:textId="77777777" w:rsidR="008C2435" w:rsidRPr="009711EF" w:rsidRDefault="008C2435" w:rsidP="00190F69">
      <w:pPr>
        <w:pStyle w:val="BodyTextMain"/>
        <w:rPr>
          <w:shd w:val="clear" w:color="auto" w:fill="FFFFFF"/>
          <w:lang w:val="en-GB"/>
        </w:rPr>
      </w:pPr>
    </w:p>
    <w:p w14:paraId="39B956E6" w14:textId="336E3342" w:rsidR="00227FDC" w:rsidRPr="009711EF" w:rsidRDefault="008C2435" w:rsidP="00190F69">
      <w:pPr>
        <w:pStyle w:val="BodyTextMain"/>
        <w:rPr>
          <w:lang w:val="en-GB"/>
        </w:rPr>
      </w:pPr>
      <w:r w:rsidRPr="002B6944">
        <w:rPr>
          <w:lang w:val="en-GB"/>
        </w:rPr>
        <w:t xml:space="preserve">India and Turkey shared warm and cordial political </w:t>
      </w:r>
      <w:r w:rsidRPr="002B6944">
        <w:rPr>
          <w:bCs/>
          <w:lang w:val="en-GB"/>
        </w:rPr>
        <w:t>relations</w:t>
      </w:r>
      <w:r w:rsidR="007A1B21" w:rsidRPr="002B6944">
        <w:rPr>
          <w:bCs/>
          <w:lang w:val="en-GB"/>
        </w:rPr>
        <w:t>,</w:t>
      </w:r>
      <w:r w:rsidRPr="002B6944">
        <w:rPr>
          <w:bCs/>
          <w:lang w:val="en-GB"/>
        </w:rPr>
        <w:t xml:space="preserve"> and the </w:t>
      </w:r>
      <w:r w:rsidR="007A1B21" w:rsidRPr="002B6944">
        <w:rPr>
          <w:bCs/>
          <w:lang w:val="en-GB"/>
        </w:rPr>
        <w:t xml:space="preserve">countries’ </w:t>
      </w:r>
      <w:r w:rsidRPr="009711EF">
        <w:rPr>
          <w:lang w:val="en-GB"/>
        </w:rPr>
        <w:t>economic and commercial co</w:t>
      </w:r>
      <w:r w:rsidR="007A1B21">
        <w:rPr>
          <w:lang w:val="en-GB"/>
        </w:rPr>
        <w:t>-</w:t>
      </w:r>
      <w:r w:rsidRPr="009711EF">
        <w:rPr>
          <w:lang w:val="en-GB"/>
        </w:rPr>
        <w:t>operation constituted a significant dimension of this bilateral relationship. Several bilateral agreements and institutional mechanisms were in place to further strengthen the economic and commercial ties.</w:t>
      </w:r>
      <w:r w:rsidRPr="009711EF">
        <w:rPr>
          <w:rStyle w:val="FootnoteReference"/>
          <w:lang w:val="en-GB"/>
        </w:rPr>
        <w:footnoteReference w:id="16"/>
      </w:r>
      <w:r w:rsidRPr="009711EF">
        <w:rPr>
          <w:lang w:val="en-GB"/>
        </w:rPr>
        <w:t xml:space="preserve"> </w:t>
      </w:r>
      <w:proofErr w:type="spellStart"/>
      <w:r w:rsidR="00B27BB5" w:rsidRPr="009711EF">
        <w:rPr>
          <w:lang w:val="en-GB"/>
        </w:rPr>
        <w:t>Isaq</w:t>
      </w:r>
      <w:proofErr w:type="spellEnd"/>
      <w:r w:rsidR="00B27BB5" w:rsidRPr="009711EF">
        <w:rPr>
          <w:lang w:val="en-GB"/>
        </w:rPr>
        <w:t xml:space="preserve"> look</w:t>
      </w:r>
      <w:r w:rsidR="007A1B21">
        <w:rPr>
          <w:lang w:val="en-GB"/>
        </w:rPr>
        <w:t>ed</w:t>
      </w:r>
      <w:r w:rsidR="00B27BB5" w:rsidRPr="009711EF">
        <w:rPr>
          <w:lang w:val="en-GB"/>
        </w:rPr>
        <w:t xml:space="preserve"> at </w:t>
      </w:r>
      <w:r w:rsidR="00662EDF">
        <w:rPr>
          <w:lang w:val="en-GB"/>
        </w:rPr>
        <w:t xml:space="preserve">this and </w:t>
      </w:r>
      <w:r w:rsidR="00B27BB5" w:rsidRPr="009711EF">
        <w:rPr>
          <w:lang w:val="en-GB"/>
        </w:rPr>
        <w:t xml:space="preserve">all </w:t>
      </w:r>
      <w:r w:rsidR="00662EDF">
        <w:rPr>
          <w:lang w:val="en-GB"/>
        </w:rPr>
        <w:t xml:space="preserve">other </w:t>
      </w:r>
      <w:r w:rsidR="00B27BB5" w:rsidRPr="009711EF">
        <w:rPr>
          <w:lang w:val="en-GB"/>
        </w:rPr>
        <w:t>aspects of entering the pharmaceutical business in Turkey</w:t>
      </w:r>
      <w:r w:rsidR="007A1B21">
        <w:rPr>
          <w:lang w:val="en-GB"/>
        </w:rPr>
        <w:t xml:space="preserve"> as he</w:t>
      </w:r>
      <w:r w:rsidR="00B27BB5" w:rsidRPr="009711EF">
        <w:rPr>
          <w:lang w:val="en-GB"/>
        </w:rPr>
        <w:t xml:space="preserve"> wondered if he </w:t>
      </w:r>
      <w:r w:rsidR="00B27BB5" w:rsidRPr="002B6944">
        <w:rPr>
          <w:lang w:val="en-GB"/>
        </w:rPr>
        <w:t>should explore th</w:t>
      </w:r>
      <w:r w:rsidR="007A1B21" w:rsidRPr="002B6944">
        <w:rPr>
          <w:lang w:val="en-GB"/>
        </w:rPr>
        <w:t>e</w:t>
      </w:r>
      <w:r w:rsidR="00B27BB5" w:rsidRPr="002B6944">
        <w:rPr>
          <w:lang w:val="en-GB"/>
        </w:rPr>
        <w:t xml:space="preserve"> opportunity</w:t>
      </w:r>
      <w:r w:rsidR="000B58D3" w:rsidRPr="002B6944">
        <w:rPr>
          <w:lang w:val="en-GB"/>
        </w:rPr>
        <w:t xml:space="preserve"> to do so</w:t>
      </w:r>
      <w:r w:rsidR="00B27BB5" w:rsidRPr="002B6944">
        <w:rPr>
          <w:lang w:val="en-GB"/>
        </w:rPr>
        <w:t xml:space="preserve">. </w:t>
      </w:r>
      <w:r w:rsidR="007A1B21" w:rsidRPr="002B6944">
        <w:rPr>
          <w:lang w:val="en-GB"/>
        </w:rPr>
        <w:t>I</w:t>
      </w:r>
      <w:r w:rsidR="00B27BB5" w:rsidRPr="002B6944">
        <w:rPr>
          <w:lang w:val="en-GB"/>
        </w:rPr>
        <w:t>f he did, what would be the best way to enter the Turkish market? He wondered if it would be better to manufacture economically in India</w:t>
      </w:r>
      <w:r w:rsidR="00D26C93" w:rsidRPr="002B6944">
        <w:rPr>
          <w:lang w:val="en-GB"/>
        </w:rPr>
        <w:t>,</w:t>
      </w:r>
      <w:r w:rsidR="00B27BB5" w:rsidRPr="002B6944">
        <w:rPr>
          <w:lang w:val="en-GB"/>
        </w:rPr>
        <w:t xml:space="preserve"> or to </w:t>
      </w:r>
      <w:r w:rsidR="0067470A" w:rsidRPr="002B6944">
        <w:rPr>
          <w:lang w:val="en-GB"/>
        </w:rPr>
        <w:t>work</w:t>
      </w:r>
      <w:r w:rsidR="00B27BB5" w:rsidRPr="002B6944">
        <w:rPr>
          <w:lang w:val="en-GB"/>
        </w:rPr>
        <w:t xml:space="preserve"> with a third-party manufacturer in Turkey. </w:t>
      </w:r>
      <w:r w:rsidR="000B58D3" w:rsidRPr="002B6944">
        <w:rPr>
          <w:lang w:val="en-GB"/>
        </w:rPr>
        <w:t xml:space="preserve">Furthermore, </w:t>
      </w:r>
      <w:proofErr w:type="spellStart"/>
      <w:r w:rsidR="00B27BB5" w:rsidRPr="002B6944">
        <w:rPr>
          <w:lang w:val="en-GB"/>
        </w:rPr>
        <w:t>Isaq</w:t>
      </w:r>
      <w:proofErr w:type="spellEnd"/>
      <w:r w:rsidR="00B27BB5" w:rsidRPr="002B6944">
        <w:rPr>
          <w:lang w:val="en-GB"/>
        </w:rPr>
        <w:t xml:space="preserve"> was not sure if his product range was suitable for the </w:t>
      </w:r>
      <w:r w:rsidR="00D26C93" w:rsidRPr="002B6944">
        <w:rPr>
          <w:lang w:val="en-GB"/>
        </w:rPr>
        <w:t xml:space="preserve">market in </w:t>
      </w:r>
      <w:r w:rsidR="00B27BB5" w:rsidRPr="002B6944">
        <w:rPr>
          <w:lang w:val="en-GB"/>
        </w:rPr>
        <w:t>Turkey</w:t>
      </w:r>
      <w:r w:rsidR="00D26C93" w:rsidRPr="002B6944">
        <w:rPr>
          <w:lang w:val="en-GB"/>
        </w:rPr>
        <w:t>,</w:t>
      </w:r>
      <w:r w:rsidR="00B27BB5" w:rsidRPr="002B6944">
        <w:rPr>
          <w:lang w:val="en-GB"/>
        </w:rPr>
        <w:t xml:space="preserve"> or if he would benefit more by launching new products</w:t>
      </w:r>
      <w:r w:rsidR="00D26C93" w:rsidRPr="002B6944">
        <w:rPr>
          <w:lang w:val="en-GB"/>
        </w:rPr>
        <w:t xml:space="preserve"> there</w:t>
      </w:r>
      <w:r w:rsidR="00B27BB5" w:rsidRPr="002B6944">
        <w:rPr>
          <w:lang w:val="en-GB"/>
        </w:rPr>
        <w:t xml:space="preserve">. </w:t>
      </w:r>
      <w:r w:rsidR="00D26C93" w:rsidRPr="002B6944">
        <w:rPr>
          <w:lang w:val="en-GB"/>
        </w:rPr>
        <w:t>Above all, t</w:t>
      </w:r>
      <w:r w:rsidR="00B27BB5" w:rsidRPr="002B6944">
        <w:rPr>
          <w:lang w:val="en-GB"/>
        </w:rPr>
        <w:t xml:space="preserve">he most important issue </w:t>
      </w:r>
      <w:r w:rsidR="00D26C93" w:rsidRPr="002B6944">
        <w:rPr>
          <w:lang w:val="en-GB"/>
        </w:rPr>
        <w:t>he had to consider</w:t>
      </w:r>
      <w:r w:rsidR="00B27BB5" w:rsidRPr="002B6944">
        <w:rPr>
          <w:lang w:val="en-GB"/>
        </w:rPr>
        <w:t xml:space="preserve"> w</w:t>
      </w:r>
      <w:r w:rsidR="008A472C">
        <w:rPr>
          <w:lang w:val="en-GB"/>
        </w:rPr>
        <w:t>as</w:t>
      </w:r>
      <w:r w:rsidR="00B27BB5" w:rsidRPr="002B6944">
        <w:rPr>
          <w:lang w:val="en-GB"/>
        </w:rPr>
        <w:t xml:space="preserve"> the possible risks of doing business in Turkey.</w:t>
      </w:r>
      <w:r w:rsidR="00227FDC" w:rsidRPr="009711EF">
        <w:rPr>
          <w:lang w:val="en-GB"/>
        </w:rPr>
        <w:br w:type="page"/>
      </w:r>
    </w:p>
    <w:p w14:paraId="16478595" w14:textId="5CB1D02F" w:rsidR="00A75FE2" w:rsidRPr="009711EF" w:rsidRDefault="00A75FE2" w:rsidP="00A75FE2">
      <w:pPr>
        <w:pStyle w:val="Casehead1"/>
        <w:jc w:val="center"/>
        <w:rPr>
          <w:shd w:val="clear" w:color="auto" w:fill="FFFFFF"/>
          <w:lang w:val="en-GB"/>
        </w:rPr>
      </w:pPr>
      <w:r w:rsidRPr="009711EF">
        <w:rPr>
          <w:lang w:val="en-GB" w:eastAsia="en-IN"/>
        </w:rPr>
        <w:lastRenderedPageBreak/>
        <w:t>Exhibit 1: SELECTED FINANCIALS FOR Maha Research LABS</w:t>
      </w:r>
      <w:r w:rsidRPr="009711EF">
        <w:rPr>
          <w:shd w:val="clear" w:color="auto" w:fill="FFFFFF"/>
          <w:lang w:val="en-GB"/>
        </w:rPr>
        <w:t>, 2012–2016</w:t>
      </w:r>
      <w:r w:rsidR="00D1388A">
        <w:rPr>
          <w:shd w:val="clear" w:color="auto" w:fill="FFFFFF"/>
          <w:lang w:val="en-GB"/>
        </w:rPr>
        <w:t xml:space="preserve"> (in </w:t>
      </w:r>
      <w:r w:rsidR="00D1388A" w:rsidRPr="009711EF">
        <w:rPr>
          <w:lang w:val="en-GB"/>
        </w:rPr>
        <w:t>₹</w:t>
      </w:r>
      <w:r w:rsidR="00D1388A">
        <w:rPr>
          <w:lang w:val="en-GB"/>
        </w:rPr>
        <w:t xml:space="preserve"> million)</w:t>
      </w:r>
    </w:p>
    <w:p w14:paraId="50DC584E" w14:textId="77777777" w:rsidR="00A75FE2" w:rsidRPr="009711EF" w:rsidRDefault="00A75FE2" w:rsidP="00A75FE2">
      <w:pPr>
        <w:pStyle w:val="Casehead1"/>
        <w:jc w:val="center"/>
        <w:rPr>
          <w:shd w:val="clear" w:color="auto" w:fill="FFFFFF"/>
          <w:lang w:val="en-GB"/>
        </w:rPr>
      </w:pPr>
    </w:p>
    <w:tbl>
      <w:tblPr>
        <w:tblW w:w="8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0"/>
        <w:gridCol w:w="960"/>
        <w:gridCol w:w="960"/>
        <w:gridCol w:w="960"/>
        <w:gridCol w:w="960"/>
        <w:gridCol w:w="960"/>
      </w:tblGrid>
      <w:tr w:rsidR="00A75FE2" w:rsidRPr="009711EF" w14:paraId="6F9C9380" w14:textId="77777777" w:rsidTr="008C5CC1">
        <w:trPr>
          <w:trHeight w:val="315"/>
          <w:jc w:val="center"/>
        </w:trPr>
        <w:tc>
          <w:tcPr>
            <w:tcW w:w="3280" w:type="dxa"/>
            <w:shd w:val="clear" w:color="auto" w:fill="FFFFFF"/>
            <w:noWrap/>
            <w:vAlign w:val="center"/>
            <w:hideMark/>
          </w:tcPr>
          <w:p w14:paraId="30348480" w14:textId="1791231D" w:rsidR="00A75FE2" w:rsidRPr="009711EF" w:rsidRDefault="00A75FE2">
            <w:pPr>
              <w:jc w:val="center"/>
              <w:rPr>
                <w:rFonts w:ascii="Arial" w:hAnsi="Arial" w:cs="Arial"/>
                <w:lang w:val="en-GB"/>
              </w:rPr>
            </w:pPr>
          </w:p>
        </w:tc>
        <w:tc>
          <w:tcPr>
            <w:tcW w:w="960" w:type="dxa"/>
            <w:shd w:val="clear" w:color="auto" w:fill="FFFFFF"/>
            <w:noWrap/>
            <w:vAlign w:val="center"/>
            <w:hideMark/>
          </w:tcPr>
          <w:p w14:paraId="69CBE602" w14:textId="77777777" w:rsidR="00A75FE2" w:rsidRPr="009711EF" w:rsidRDefault="00A75FE2">
            <w:pPr>
              <w:jc w:val="center"/>
              <w:rPr>
                <w:rFonts w:ascii="Arial" w:hAnsi="Arial" w:cs="Arial"/>
                <w:b/>
                <w:bCs/>
                <w:lang w:val="en-GB"/>
              </w:rPr>
            </w:pPr>
            <w:r w:rsidRPr="009711EF">
              <w:rPr>
                <w:rFonts w:ascii="Arial" w:hAnsi="Arial" w:cs="Arial"/>
                <w:b/>
                <w:bCs/>
                <w:lang w:val="en-GB"/>
              </w:rPr>
              <w:t>2012</w:t>
            </w:r>
          </w:p>
        </w:tc>
        <w:tc>
          <w:tcPr>
            <w:tcW w:w="960" w:type="dxa"/>
            <w:shd w:val="clear" w:color="auto" w:fill="FFFFFF"/>
            <w:noWrap/>
            <w:vAlign w:val="center"/>
            <w:hideMark/>
          </w:tcPr>
          <w:p w14:paraId="4E43CDD1" w14:textId="77777777" w:rsidR="00A75FE2" w:rsidRPr="009711EF" w:rsidRDefault="00A75FE2">
            <w:pPr>
              <w:jc w:val="center"/>
              <w:rPr>
                <w:rFonts w:ascii="Arial" w:hAnsi="Arial" w:cs="Arial"/>
                <w:b/>
                <w:bCs/>
                <w:lang w:val="en-GB"/>
              </w:rPr>
            </w:pPr>
            <w:r w:rsidRPr="009711EF">
              <w:rPr>
                <w:rFonts w:ascii="Arial" w:hAnsi="Arial" w:cs="Arial"/>
                <w:b/>
                <w:bCs/>
                <w:lang w:val="en-GB"/>
              </w:rPr>
              <w:t>2013</w:t>
            </w:r>
          </w:p>
        </w:tc>
        <w:tc>
          <w:tcPr>
            <w:tcW w:w="960" w:type="dxa"/>
            <w:shd w:val="clear" w:color="auto" w:fill="FFFFFF"/>
            <w:noWrap/>
            <w:vAlign w:val="center"/>
            <w:hideMark/>
          </w:tcPr>
          <w:p w14:paraId="1A3BA4C4" w14:textId="77777777" w:rsidR="00A75FE2" w:rsidRPr="009711EF" w:rsidRDefault="00A75FE2">
            <w:pPr>
              <w:jc w:val="center"/>
              <w:rPr>
                <w:rFonts w:ascii="Arial" w:hAnsi="Arial" w:cs="Arial"/>
                <w:b/>
                <w:bCs/>
                <w:lang w:val="en-GB"/>
              </w:rPr>
            </w:pPr>
            <w:r w:rsidRPr="009711EF">
              <w:rPr>
                <w:rFonts w:ascii="Arial" w:hAnsi="Arial" w:cs="Arial"/>
                <w:b/>
                <w:bCs/>
                <w:lang w:val="en-GB"/>
              </w:rPr>
              <w:t>2014</w:t>
            </w:r>
          </w:p>
        </w:tc>
        <w:tc>
          <w:tcPr>
            <w:tcW w:w="960" w:type="dxa"/>
            <w:shd w:val="clear" w:color="auto" w:fill="FFFFFF"/>
            <w:noWrap/>
            <w:vAlign w:val="center"/>
            <w:hideMark/>
          </w:tcPr>
          <w:p w14:paraId="7D2CC4DF" w14:textId="77777777" w:rsidR="00A75FE2" w:rsidRPr="009711EF" w:rsidRDefault="00A75FE2">
            <w:pPr>
              <w:jc w:val="center"/>
              <w:rPr>
                <w:rFonts w:ascii="Arial" w:hAnsi="Arial" w:cs="Arial"/>
                <w:b/>
                <w:bCs/>
                <w:lang w:val="en-GB"/>
              </w:rPr>
            </w:pPr>
            <w:r w:rsidRPr="009711EF">
              <w:rPr>
                <w:rFonts w:ascii="Arial" w:hAnsi="Arial" w:cs="Arial"/>
                <w:b/>
                <w:bCs/>
                <w:lang w:val="en-GB"/>
              </w:rPr>
              <w:t>2015</w:t>
            </w:r>
          </w:p>
        </w:tc>
        <w:tc>
          <w:tcPr>
            <w:tcW w:w="960" w:type="dxa"/>
            <w:shd w:val="clear" w:color="auto" w:fill="FFFFFF"/>
            <w:noWrap/>
            <w:vAlign w:val="center"/>
            <w:hideMark/>
          </w:tcPr>
          <w:p w14:paraId="39899EC4" w14:textId="77777777" w:rsidR="00A75FE2" w:rsidRPr="009711EF" w:rsidRDefault="00A75FE2">
            <w:pPr>
              <w:jc w:val="center"/>
              <w:rPr>
                <w:rFonts w:ascii="Arial" w:hAnsi="Arial" w:cs="Arial"/>
                <w:b/>
                <w:bCs/>
                <w:lang w:val="en-GB"/>
              </w:rPr>
            </w:pPr>
            <w:r w:rsidRPr="009711EF">
              <w:rPr>
                <w:rFonts w:ascii="Arial" w:hAnsi="Arial" w:cs="Arial"/>
                <w:b/>
                <w:bCs/>
                <w:lang w:val="en-GB"/>
              </w:rPr>
              <w:t>2016</w:t>
            </w:r>
          </w:p>
        </w:tc>
      </w:tr>
      <w:tr w:rsidR="00A75FE2" w:rsidRPr="009711EF" w14:paraId="6636020A" w14:textId="77777777" w:rsidTr="008C5CC1">
        <w:trPr>
          <w:trHeight w:val="315"/>
          <w:jc w:val="center"/>
        </w:trPr>
        <w:tc>
          <w:tcPr>
            <w:tcW w:w="3280" w:type="dxa"/>
            <w:shd w:val="clear" w:color="auto" w:fill="FFFFFF"/>
            <w:vAlign w:val="center"/>
            <w:hideMark/>
          </w:tcPr>
          <w:p w14:paraId="64D38E95" w14:textId="77777777" w:rsidR="00A75FE2" w:rsidRPr="009711EF" w:rsidRDefault="00A75FE2">
            <w:pPr>
              <w:rPr>
                <w:rFonts w:ascii="Arial" w:hAnsi="Arial" w:cs="Arial"/>
                <w:lang w:val="en-GB"/>
              </w:rPr>
            </w:pPr>
            <w:r w:rsidRPr="009711EF">
              <w:rPr>
                <w:rFonts w:ascii="Arial" w:hAnsi="Arial" w:cs="Arial"/>
                <w:lang w:val="en-GB"/>
              </w:rPr>
              <w:t>Total Revenue</w:t>
            </w:r>
          </w:p>
        </w:tc>
        <w:tc>
          <w:tcPr>
            <w:tcW w:w="960" w:type="dxa"/>
            <w:shd w:val="clear" w:color="auto" w:fill="FFFFFF"/>
            <w:vAlign w:val="center"/>
            <w:hideMark/>
          </w:tcPr>
          <w:p w14:paraId="2311D85A" w14:textId="77777777" w:rsidR="00A75FE2" w:rsidRPr="009711EF" w:rsidRDefault="00A75FE2" w:rsidP="005F0C70">
            <w:pPr>
              <w:jc w:val="right"/>
              <w:rPr>
                <w:rFonts w:ascii="Arial" w:hAnsi="Arial" w:cs="Arial"/>
                <w:lang w:val="en-GB"/>
              </w:rPr>
            </w:pPr>
            <w:r w:rsidRPr="009711EF">
              <w:rPr>
                <w:rFonts w:ascii="Arial" w:hAnsi="Arial" w:cs="Arial"/>
                <w:lang w:val="en-GB"/>
              </w:rPr>
              <w:t>162.4</w:t>
            </w:r>
          </w:p>
        </w:tc>
        <w:tc>
          <w:tcPr>
            <w:tcW w:w="960" w:type="dxa"/>
            <w:shd w:val="clear" w:color="auto" w:fill="FFFFFF"/>
            <w:vAlign w:val="center"/>
            <w:hideMark/>
          </w:tcPr>
          <w:p w14:paraId="7EA5AF96" w14:textId="77777777" w:rsidR="00A75FE2" w:rsidRPr="009711EF" w:rsidRDefault="00A75FE2" w:rsidP="005F0C70">
            <w:pPr>
              <w:jc w:val="right"/>
              <w:rPr>
                <w:rFonts w:ascii="Arial" w:hAnsi="Arial" w:cs="Arial"/>
                <w:lang w:val="en-GB"/>
              </w:rPr>
            </w:pPr>
            <w:r w:rsidRPr="009711EF">
              <w:rPr>
                <w:rFonts w:ascii="Arial" w:hAnsi="Arial" w:cs="Arial"/>
                <w:lang w:val="en-GB"/>
              </w:rPr>
              <w:t>251.7</w:t>
            </w:r>
          </w:p>
        </w:tc>
        <w:tc>
          <w:tcPr>
            <w:tcW w:w="960" w:type="dxa"/>
            <w:shd w:val="clear" w:color="auto" w:fill="FFFFFF"/>
            <w:vAlign w:val="center"/>
            <w:hideMark/>
          </w:tcPr>
          <w:p w14:paraId="354E04DB" w14:textId="77777777" w:rsidR="00A75FE2" w:rsidRPr="009711EF" w:rsidRDefault="00A75FE2" w:rsidP="005F0C70">
            <w:pPr>
              <w:jc w:val="right"/>
              <w:rPr>
                <w:rFonts w:ascii="Arial" w:hAnsi="Arial" w:cs="Arial"/>
                <w:lang w:val="en-GB"/>
              </w:rPr>
            </w:pPr>
            <w:r w:rsidRPr="009711EF">
              <w:rPr>
                <w:rFonts w:ascii="Arial" w:hAnsi="Arial" w:cs="Arial"/>
                <w:lang w:val="en-GB"/>
              </w:rPr>
              <w:t>305.8</w:t>
            </w:r>
          </w:p>
        </w:tc>
        <w:tc>
          <w:tcPr>
            <w:tcW w:w="960" w:type="dxa"/>
            <w:shd w:val="clear" w:color="auto" w:fill="FFFFFF"/>
            <w:vAlign w:val="center"/>
            <w:hideMark/>
          </w:tcPr>
          <w:p w14:paraId="0D1D06AD" w14:textId="77777777" w:rsidR="00A75FE2" w:rsidRPr="009711EF" w:rsidRDefault="00A75FE2" w:rsidP="005F0C70">
            <w:pPr>
              <w:jc w:val="right"/>
              <w:rPr>
                <w:rFonts w:ascii="Arial" w:hAnsi="Arial" w:cs="Arial"/>
                <w:lang w:val="en-GB"/>
              </w:rPr>
            </w:pPr>
            <w:r w:rsidRPr="009711EF">
              <w:rPr>
                <w:rFonts w:ascii="Arial" w:hAnsi="Arial" w:cs="Arial"/>
                <w:lang w:val="en-GB"/>
              </w:rPr>
              <w:t>387.5</w:t>
            </w:r>
          </w:p>
        </w:tc>
        <w:tc>
          <w:tcPr>
            <w:tcW w:w="960" w:type="dxa"/>
            <w:shd w:val="clear" w:color="auto" w:fill="FFFFFF"/>
            <w:vAlign w:val="center"/>
            <w:hideMark/>
          </w:tcPr>
          <w:p w14:paraId="2D95C868" w14:textId="77777777" w:rsidR="00A75FE2" w:rsidRPr="009711EF" w:rsidRDefault="00A75FE2" w:rsidP="005F0C70">
            <w:pPr>
              <w:jc w:val="right"/>
              <w:rPr>
                <w:rFonts w:ascii="Arial" w:hAnsi="Arial" w:cs="Arial"/>
                <w:lang w:val="en-GB"/>
              </w:rPr>
            </w:pPr>
            <w:r w:rsidRPr="009711EF">
              <w:rPr>
                <w:rFonts w:ascii="Arial" w:hAnsi="Arial" w:cs="Arial"/>
                <w:lang w:val="en-GB"/>
              </w:rPr>
              <w:t>508.4</w:t>
            </w:r>
          </w:p>
        </w:tc>
      </w:tr>
      <w:tr w:rsidR="00A75FE2" w:rsidRPr="009711EF" w14:paraId="4287A498" w14:textId="77777777" w:rsidTr="008C5CC1">
        <w:trPr>
          <w:trHeight w:val="315"/>
          <w:jc w:val="center"/>
        </w:trPr>
        <w:tc>
          <w:tcPr>
            <w:tcW w:w="3280" w:type="dxa"/>
            <w:shd w:val="clear" w:color="auto" w:fill="FFFFFF"/>
            <w:vAlign w:val="center"/>
            <w:hideMark/>
          </w:tcPr>
          <w:p w14:paraId="40F925AE" w14:textId="77777777" w:rsidR="00A75FE2" w:rsidRPr="009711EF" w:rsidRDefault="00A75FE2">
            <w:pPr>
              <w:rPr>
                <w:rFonts w:ascii="Arial" w:hAnsi="Arial" w:cs="Arial"/>
                <w:lang w:val="en-GB"/>
              </w:rPr>
            </w:pPr>
            <w:r w:rsidRPr="009711EF">
              <w:rPr>
                <w:rFonts w:ascii="Arial" w:hAnsi="Arial" w:cs="Arial"/>
                <w:lang w:val="en-GB"/>
              </w:rPr>
              <w:t>Cost of Sales</w:t>
            </w:r>
          </w:p>
        </w:tc>
        <w:tc>
          <w:tcPr>
            <w:tcW w:w="960" w:type="dxa"/>
            <w:shd w:val="clear" w:color="auto" w:fill="FFFFFF"/>
            <w:vAlign w:val="center"/>
            <w:hideMark/>
          </w:tcPr>
          <w:p w14:paraId="31275B34" w14:textId="77777777" w:rsidR="00A75FE2" w:rsidRPr="009711EF" w:rsidRDefault="00A75FE2" w:rsidP="005F0C70">
            <w:pPr>
              <w:jc w:val="right"/>
              <w:rPr>
                <w:rFonts w:ascii="Arial" w:hAnsi="Arial" w:cs="Arial"/>
                <w:lang w:val="en-GB"/>
              </w:rPr>
            </w:pPr>
            <w:r w:rsidRPr="009711EF">
              <w:rPr>
                <w:rFonts w:ascii="Arial" w:hAnsi="Arial" w:cs="Arial"/>
                <w:lang w:val="en-GB"/>
              </w:rPr>
              <w:t>48.8</w:t>
            </w:r>
          </w:p>
        </w:tc>
        <w:tc>
          <w:tcPr>
            <w:tcW w:w="960" w:type="dxa"/>
            <w:shd w:val="clear" w:color="auto" w:fill="FFFFFF"/>
            <w:vAlign w:val="center"/>
            <w:hideMark/>
          </w:tcPr>
          <w:p w14:paraId="4DE2AF4F" w14:textId="77777777" w:rsidR="00A75FE2" w:rsidRPr="009711EF" w:rsidRDefault="00A75FE2" w:rsidP="005F0C70">
            <w:pPr>
              <w:jc w:val="right"/>
              <w:rPr>
                <w:rFonts w:ascii="Arial" w:hAnsi="Arial" w:cs="Arial"/>
                <w:lang w:val="en-GB"/>
              </w:rPr>
            </w:pPr>
            <w:r w:rsidRPr="009711EF">
              <w:rPr>
                <w:rFonts w:ascii="Arial" w:hAnsi="Arial" w:cs="Arial"/>
                <w:lang w:val="en-GB"/>
              </w:rPr>
              <w:t>75.2</w:t>
            </w:r>
          </w:p>
        </w:tc>
        <w:tc>
          <w:tcPr>
            <w:tcW w:w="960" w:type="dxa"/>
            <w:shd w:val="clear" w:color="auto" w:fill="FFFFFF"/>
            <w:vAlign w:val="center"/>
            <w:hideMark/>
          </w:tcPr>
          <w:p w14:paraId="0C6C463D" w14:textId="77777777" w:rsidR="00A75FE2" w:rsidRPr="009711EF" w:rsidRDefault="00A75FE2" w:rsidP="005F0C70">
            <w:pPr>
              <w:jc w:val="right"/>
              <w:rPr>
                <w:rFonts w:ascii="Arial" w:hAnsi="Arial" w:cs="Arial"/>
                <w:lang w:val="en-GB"/>
              </w:rPr>
            </w:pPr>
            <w:r w:rsidRPr="009711EF">
              <w:rPr>
                <w:rFonts w:ascii="Arial" w:hAnsi="Arial" w:cs="Arial"/>
                <w:lang w:val="en-GB"/>
              </w:rPr>
              <w:t>89.3</w:t>
            </w:r>
          </w:p>
        </w:tc>
        <w:tc>
          <w:tcPr>
            <w:tcW w:w="960" w:type="dxa"/>
            <w:shd w:val="clear" w:color="auto" w:fill="FFFFFF"/>
            <w:vAlign w:val="center"/>
            <w:hideMark/>
          </w:tcPr>
          <w:p w14:paraId="30CF5226" w14:textId="77777777" w:rsidR="00A75FE2" w:rsidRPr="009711EF" w:rsidRDefault="00A75FE2" w:rsidP="005F0C70">
            <w:pPr>
              <w:jc w:val="right"/>
              <w:rPr>
                <w:rFonts w:ascii="Arial" w:hAnsi="Arial" w:cs="Arial"/>
                <w:lang w:val="en-GB"/>
              </w:rPr>
            </w:pPr>
            <w:r w:rsidRPr="009711EF">
              <w:rPr>
                <w:rFonts w:ascii="Arial" w:hAnsi="Arial" w:cs="Arial"/>
                <w:lang w:val="en-GB"/>
              </w:rPr>
              <w:t>111.9</w:t>
            </w:r>
          </w:p>
        </w:tc>
        <w:tc>
          <w:tcPr>
            <w:tcW w:w="960" w:type="dxa"/>
            <w:shd w:val="clear" w:color="auto" w:fill="FFFFFF"/>
            <w:vAlign w:val="center"/>
            <w:hideMark/>
          </w:tcPr>
          <w:p w14:paraId="1C8F5A4B" w14:textId="77777777" w:rsidR="00A75FE2" w:rsidRPr="009711EF" w:rsidRDefault="00A75FE2" w:rsidP="005F0C70">
            <w:pPr>
              <w:jc w:val="right"/>
              <w:rPr>
                <w:rFonts w:ascii="Arial" w:hAnsi="Arial" w:cs="Arial"/>
                <w:lang w:val="en-GB"/>
              </w:rPr>
            </w:pPr>
            <w:r w:rsidRPr="009711EF">
              <w:rPr>
                <w:rFonts w:ascii="Arial" w:hAnsi="Arial" w:cs="Arial"/>
                <w:lang w:val="en-GB"/>
              </w:rPr>
              <w:t>134.6</w:t>
            </w:r>
          </w:p>
        </w:tc>
      </w:tr>
      <w:tr w:rsidR="00A75FE2" w:rsidRPr="009711EF" w14:paraId="7F9BD0DC" w14:textId="77777777" w:rsidTr="008C5CC1">
        <w:trPr>
          <w:trHeight w:val="315"/>
          <w:jc w:val="center"/>
        </w:trPr>
        <w:tc>
          <w:tcPr>
            <w:tcW w:w="3280" w:type="dxa"/>
            <w:shd w:val="clear" w:color="auto" w:fill="FFFFFF"/>
            <w:vAlign w:val="center"/>
            <w:hideMark/>
          </w:tcPr>
          <w:p w14:paraId="68C241A5" w14:textId="77777777" w:rsidR="00A75FE2" w:rsidRPr="009711EF" w:rsidRDefault="00A75FE2">
            <w:pPr>
              <w:rPr>
                <w:rFonts w:ascii="Arial" w:hAnsi="Arial" w:cs="Arial"/>
                <w:lang w:val="en-GB"/>
              </w:rPr>
            </w:pPr>
            <w:r w:rsidRPr="009711EF">
              <w:rPr>
                <w:rFonts w:ascii="Arial" w:hAnsi="Arial" w:cs="Arial"/>
                <w:lang w:val="en-GB"/>
              </w:rPr>
              <w:t>Gross Profit</w:t>
            </w:r>
          </w:p>
        </w:tc>
        <w:tc>
          <w:tcPr>
            <w:tcW w:w="960" w:type="dxa"/>
            <w:shd w:val="clear" w:color="auto" w:fill="FFFFFF"/>
            <w:vAlign w:val="center"/>
            <w:hideMark/>
          </w:tcPr>
          <w:p w14:paraId="7F5D3C64" w14:textId="77777777" w:rsidR="00A75FE2" w:rsidRPr="009711EF" w:rsidRDefault="00A75FE2" w:rsidP="005F0C70">
            <w:pPr>
              <w:jc w:val="right"/>
              <w:rPr>
                <w:rFonts w:ascii="Arial" w:hAnsi="Arial" w:cs="Arial"/>
                <w:lang w:val="en-GB"/>
              </w:rPr>
            </w:pPr>
            <w:r w:rsidRPr="009711EF">
              <w:rPr>
                <w:rFonts w:ascii="Arial" w:hAnsi="Arial" w:cs="Arial"/>
                <w:lang w:val="en-GB"/>
              </w:rPr>
              <w:t>113.6</w:t>
            </w:r>
          </w:p>
        </w:tc>
        <w:tc>
          <w:tcPr>
            <w:tcW w:w="960" w:type="dxa"/>
            <w:shd w:val="clear" w:color="auto" w:fill="FFFFFF"/>
            <w:vAlign w:val="center"/>
            <w:hideMark/>
          </w:tcPr>
          <w:p w14:paraId="36E2C649" w14:textId="77777777" w:rsidR="00A75FE2" w:rsidRPr="009711EF" w:rsidRDefault="00A75FE2" w:rsidP="005F0C70">
            <w:pPr>
              <w:jc w:val="right"/>
              <w:rPr>
                <w:rFonts w:ascii="Arial" w:hAnsi="Arial" w:cs="Arial"/>
                <w:lang w:val="en-GB"/>
              </w:rPr>
            </w:pPr>
            <w:r w:rsidRPr="009711EF">
              <w:rPr>
                <w:rFonts w:ascii="Arial" w:hAnsi="Arial" w:cs="Arial"/>
                <w:lang w:val="en-GB"/>
              </w:rPr>
              <w:t>176.5</w:t>
            </w:r>
          </w:p>
        </w:tc>
        <w:tc>
          <w:tcPr>
            <w:tcW w:w="960" w:type="dxa"/>
            <w:shd w:val="clear" w:color="auto" w:fill="FFFFFF"/>
            <w:vAlign w:val="center"/>
            <w:hideMark/>
          </w:tcPr>
          <w:p w14:paraId="34DD9F09" w14:textId="77777777" w:rsidR="00A75FE2" w:rsidRPr="009711EF" w:rsidRDefault="00A75FE2" w:rsidP="005F0C70">
            <w:pPr>
              <w:jc w:val="right"/>
              <w:rPr>
                <w:rFonts w:ascii="Arial" w:hAnsi="Arial" w:cs="Arial"/>
                <w:lang w:val="en-GB"/>
              </w:rPr>
            </w:pPr>
            <w:r w:rsidRPr="009711EF">
              <w:rPr>
                <w:rFonts w:ascii="Arial" w:hAnsi="Arial" w:cs="Arial"/>
                <w:lang w:val="en-GB"/>
              </w:rPr>
              <w:t>216.5</w:t>
            </w:r>
          </w:p>
        </w:tc>
        <w:tc>
          <w:tcPr>
            <w:tcW w:w="960" w:type="dxa"/>
            <w:shd w:val="clear" w:color="auto" w:fill="FFFFFF"/>
            <w:vAlign w:val="center"/>
            <w:hideMark/>
          </w:tcPr>
          <w:p w14:paraId="352ADECF" w14:textId="77777777" w:rsidR="00A75FE2" w:rsidRPr="009711EF" w:rsidRDefault="00A75FE2" w:rsidP="005F0C70">
            <w:pPr>
              <w:jc w:val="right"/>
              <w:rPr>
                <w:rFonts w:ascii="Arial" w:hAnsi="Arial" w:cs="Arial"/>
                <w:lang w:val="en-GB"/>
              </w:rPr>
            </w:pPr>
            <w:r w:rsidRPr="009711EF">
              <w:rPr>
                <w:rFonts w:ascii="Arial" w:hAnsi="Arial" w:cs="Arial"/>
                <w:lang w:val="en-GB"/>
              </w:rPr>
              <w:t>275.6</w:t>
            </w:r>
          </w:p>
        </w:tc>
        <w:tc>
          <w:tcPr>
            <w:tcW w:w="960" w:type="dxa"/>
            <w:shd w:val="clear" w:color="auto" w:fill="FFFFFF"/>
            <w:vAlign w:val="center"/>
            <w:hideMark/>
          </w:tcPr>
          <w:p w14:paraId="48B26A10" w14:textId="77777777" w:rsidR="00A75FE2" w:rsidRPr="009711EF" w:rsidRDefault="00A75FE2" w:rsidP="005F0C70">
            <w:pPr>
              <w:jc w:val="right"/>
              <w:rPr>
                <w:rFonts w:ascii="Arial" w:hAnsi="Arial" w:cs="Arial"/>
                <w:lang w:val="en-GB"/>
              </w:rPr>
            </w:pPr>
            <w:r w:rsidRPr="009711EF">
              <w:rPr>
                <w:rFonts w:ascii="Arial" w:hAnsi="Arial" w:cs="Arial"/>
                <w:lang w:val="en-GB"/>
              </w:rPr>
              <w:t>373.8</w:t>
            </w:r>
          </w:p>
        </w:tc>
      </w:tr>
      <w:tr w:rsidR="00A75FE2" w:rsidRPr="009711EF" w14:paraId="42CDFB67" w14:textId="77777777" w:rsidTr="008C5CC1">
        <w:trPr>
          <w:trHeight w:val="315"/>
          <w:jc w:val="center"/>
        </w:trPr>
        <w:tc>
          <w:tcPr>
            <w:tcW w:w="3280" w:type="dxa"/>
            <w:shd w:val="clear" w:color="auto" w:fill="FFFFFF"/>
            <w:vAlign w:val="center"/>
            <w:hideMark/>
          </w:tcPr>
          <w:p w14:paraId="17A87B17" w14:textId="35FCBF0A" w:rsidR="00A75FE2" w:rsidRPr="009711EF" w:rsidRDefault="00A75FE2" w:rsidP="00D1388A">
            <w:pPr>
              <w:rPr>
                <w:rFonts w:ascii="Arial" w:hAnsi="Arial" w:cs="Arial"/>
                <w:lang w:val="en-GB"/>
              </w:rPr>
            </w:pPr>
            <w:r w:rsidRPr="009711EF">
              <w:rPr>
                <w:rFonts w:ascii="Arial" w:hAnsi="Arial" w:cs="Arial"/>
                <w:lang w:val="en-GB"/>
              </w:rPr>
              <w:t xml:space="preserve">Marketing &amp; Selling </w:t>
            </w:r>
            <w:r w:rsidR="00D1388A">
              <w:rPr>
                <w:rFonts w:ascii="Arial" w:hAnsi="Arial" w:cs="Arial"/>
                <w:lang w:val="en-GB"/>
              </w:rPr>
              <w:t>E</w:t>
            </w:r>
            <w:r w:rsidRPr="009711EF">
              <w:rPr>
                <w:rFonts w:ascii="Arial" w:hAnsi="Arial" w:cs="Arial"/>
                <w:lang w:val="en-GB"/>
              </w:rPr>
              <w:t>xpenses</w:t>
            </w:r>
          </w:p>
        </w:tc>
        <w:tc>
          <w:tcPr>
            <w:tcW w:w="960" w:type="dxa"/>
            <w:shd w:val="clear" w:color="auto" w:fill="FFFFFF"/>
            <w:vAlign w:val="center"/>
            <w:hideMark/>
          </w:tcPr>
          <w:p w14:paraId="3586DBE0" w14:textId="77777777" w:rsidR="00A75FE2" w:rsidRPr="009711EF" w:rsidRDefault="00A75FE2" w:rsidP="005F0C70">
            <w:pPr>
              <w:jc w:val="right"/>
              <w:rPr>
                <w:rFonts w:ascii="Arial" w:hAnsi="Arial" w:cs="Arial"/>
                <w:lang w:val="en-GB"/>
              </w:rPr>
            </w:pPr>
            <w:r w:rsidRPr="009711EF">
              <w:rPr>
                <w:rFonts w:ascii="Arial" w:hAnsi="Arial" w:cs="Arial"/>
                <w:lang w:val="en-GB"/>
              </w:rPr>
              <w:t>28.8</w:t>
            </w:r>
          </w:p>
        </w:tc>
        <w:tc>
          <w:tcPr>
            <w:tcW w:w="960" w:type="dxa"/>
            <w:shd w:val="clear" w:color="auto" w:fill="FFFFFF"/>
            <w:vAlign w:val="center"/>
            <w:hideMark/>
          </w:tcPr>
          <w:p w14:paraId="11ADF4E6" w14:textId="77777777" w:rsidR="00A75FE2" w:rsidRPr="009711EF" w:rsidRDefault="00A75FE2" w:rsidP="005F0C70">
            <w:pPr>
              <w:jc w:val="right"/>
              <w:rPr>
                <w:rFonts w:ascii="Arial" w:hAnsi="Arial" w:cs="Arial"/>
                <w:lang w:val="en-GB"/>
              </w:rPr>
            </w:pPr>
            <w:r w:rsidRPr="009711EF">
              <w:rPr>
                <w:rFonts w:ascii="Arial" w:hAnsi="Arial" w:cs="Arial"/>
                <w:lang w:val="en-GB"/>
              </w:rPr>
              <w:t>45.2</w:t>
            </w:r>
          </w:p>
        </w:tc>
        <w:tc>
          <w:tcPr>
            <w:tcW w:w="960" w:type="dxa"/>
            <w:shd w:val="clear" w:color="auto" w:fill="FFFFFF"/>
            <w:vAlign w:val="center"/>
            <w:hideMark/>
          </w:tcPr>
          <w:p w14:paraId="5998CAD5" w14:textId="77777777" w:rsidR="00A75FE2" w:rsidRPr="009711EF" w:rsidRDefault="00A75FE2" w:rsidP="005F0C70">
            <w:pPr>
              <w:jc w:val="right"/>
              <w:rPr>
                <w:rFonts w:ascii="Arial" w:hAnsi="Arial" w:cs="Arial"/>
                <w:lang w:val="en-GB"/>
              </w:rPr>
            </w:pPr>
            <w:r w:rsidRPr="009711EF">
              <w:rPr>
                <w:rFonts w:ascii="Arial" w:hAnsi="Arial" w:cs="Arial"/>
                <w:lang w:val="en-GB"/>
              </w:rPr>
              <w:t>57.1</w:t>
            </w:r>
          </w:p>
        </w:tc>
        <w:tc>
          <w:tcPr>
            <w:tcW w:w="960" w:type="dxa"/>
            <w:shd w:val="clear" w:color="auto" w:fill="FFFFFF"/>
            <w:vAlign w:val="center"/>
            <w:hideMark/>
          </w:tcPr>
          <w:p w14:paraId="55AA3ED2" w14:textId="77777777" w:rsidR="00A75FE2" w:rsidRPr="009711EF" w:rsidRDefault="00A75FE2" w:rsidP="005F0C70">
            <w:pPr>
              <w:jc w:val="right"/>
              <w:rPr>
                <w:rFonts w:ascii="Arial" w:hAnsi="Arial" w:cs="Arial"/>
                <w:lang w:val="en-GB"/>
              </w:rPr>
            </w:pPr>
            <w:r w:rsidRPr="009711EF">
              <w:rPr>
                <w:rFonts w:ascii="Arial" w:hAnsi="Arial" w:cs="Arial"/>
                <w:lang w:val="en-GB"/>
              </w:rPr>
              <w:t>72.4</w:t>
            </w:r>
          </w:p>
        </w:tc>
        <w:tc>
          <w:tcPr>
            <w:tcW w:w="960" w:type="dxa"/>
            <w:shd w:val="clear" w:color="auto" w:fill="FFFFFF"/>
            <w:vAlign w:val="center"/>
            <w:hideMark/>
          </w:tcPr>
          <w:p w14:paraId="7F38D846" w14:textId="77777777" w:rsidR="00A75FE2" w:rsidRPr="009711EF" w:rsidRDefault="00A75FE2" w:rsidP="005F0C70">
            <w:pPr>
              <w:jc w:val="right"/>
              <w:rPr>
                <w:rFonts w:ascii="Arial" w:hAnsi="Arial" w:cs="Arial"/>
                <w:lang w:val="en-GB"/>
              </w:rPr>
            </w:pPr>
            <w:r w:rsidRPr="009711EF">
              <w:rPr>
                <w:rFonts w:ascii="Arial" w:hAnsi="Arial" w:cs="Arial"/>
                <w:lang w:val="en-GB"/>
              </w:rPr>
              <w:t>99.8</w:t>
            </w:r>
          </w:p>
        </w:tc>
      </w:tr>
      <w:tr w:rsidR="00A75FE2" w:rsidRPr="009711EF" w14:paraId="4AE753B7" w14:textId="77777777" w:rsidTr="008C5CC1">
        <w:trPr>
          <w:trHeight w:val="315"/>
          <w:jc w:val="center"/>
        </w:trPr>
        <w:tc>
          <w:tcPr>
            <w:tcW w:w="3280" w:type="dxa"/>
            <w:shd w:val="clear" w:color="auto" w:fill="FFFFFF"/>
            <w:vAlign w:val="center"/>
            <w:hideMark/>
          </w:tcPr>
          <w:p w14:paraId="73326F90" w14:textId="77777777" w:rsidR="00A75FE2" w:rsidRPr="009711EF" w:rsidRDefault="00A75FE2">
            <w:pPr>
              <w:rPr>
                <w:rFonts w:ascii="Arial" w:hAnsi="Arial" w:cs="Arial"/>
                <w:lang w:val="en-GB"/>
              </w:rPr>
            </w:pPr>
            <w:r w:rsidRPr="009711EF">
              <w:rPr>
                <w:rFonts w:ascii="Arial" w:hAnsi="Arial" w:cs="Arial"/>
                <w:lang w:val="en-GB"/>
              </w:rPr>
              <w:t xml:space="preserve">Other Expenses </w:t>
            </w:r>
          </w:p>
        </w:tc>
        <w:tc>
          <w:tcPr>
            <w:tcW w:w="960" w:type="dxa"/>
            <w:shd w:val="clear" w:color="auto" w:fill="FFFFFF"/>
            <w:vAlign w:val="center"/>
            <w:hideMark/>
          </w:tcPr>
          <w:p w14:paraId="70EEDCA6" w14:textId="77777777" w:rsidR="00A75FE2" w:rsidRPr="009711EF" w:rsidRDefault="00A75FE2" w:rsidP="005F0C70">
            <w:pPr>
              <w:jc w:val="right"/>
              <w:rPr>
                <w:rFonts w:ascii="Arial" w:hAnsi="Arial" w:cs="Arial"/>
                <w:lang w:val="en-GB"/>
              </w:rPr>
            </w:pPr>
            <w:r w:rsidRPr="009711EF">
              <w:rPr>
                <w:rFonts w:ascii="Arial" w:hAnsi="Arial" w:cs="Arial"/>
                <w:lang w:val="en-GB"/>
              </w:rPr>
              <w:t>2.5</w:t>
            </w:r>
          </w:p>
        </w:tc>
        <w:tc>
          <w:tcPr>
            <w:tcW w:w="960" w:type="dxa"/>
            <w:shd w:val="clear" w:color="auto" w:fill="FFFFFF"/>
            <w:vAlign w:val="center"/>
            <w:hideMark/>
          </w:tcPr>
          <w:p w14:paraId="1693B788" w14:textId="77777777" w:rsidR="00A75FE2" w:rsidRPr="009711EF" w:rsidRDefault="00A75FE2" w:rsidP="005F0C70">
            <w:pPr>
              <w:jc w:val="right"/>
              <w:rPr>
                <w:rFonts w:ascii="Arial" w:hAnsi="Arial" w:cs="Arial"/>
                <w:lang w:val="en-GB"/>
              </w:rPr>
            </w:pPr>
            <w:r w:rsidRPr="009711EF">
              <w:rPr>
                <w:rFonts w:ascii="Arial" w:hAnsi="Arial" w:cs="Arial"/>
                <w:lang w:val="en-GB"/>
              </w:rPr>
              <w:t>4.7</w:t>
            </w:r>
          </w:p>
        </w:tc>
        <w:tc>
          <w:tcPr>
            <w:tcW w:w="960" w:type="dxa"/>
            <w:shd w:val="clear" w:color="auto" w:fill="FFFFFF"/>
            <w:vAlign w:val="center"/>
            <w:hideMark/>
          </w:tcPr>
          <w:p w14:paraId="3BF48D2F" w14:textId="77777777" w:rsidR="00A75FE2" w:rsidRPr="009711EF" w:rsidRDefault="00A75FE2" w:rsidP="005F0C70">
            <w:pPr>
              <w:jc w:val="right"/>
              <w:rPr>
                <w:rFonts w:ascii="Arial" w:hAnsi="Arial" w:cs="Arial"/>
                <w:lang w:val="en-GB"/>
              </w:rPr>
            </w:pPr>
            <w:r w:rsidRPr="009711EF">
              <w:rPr>
                <w:rFonts w:ascii="Arial" w:hAnsi="Arial" w:cs="Arial"/>
                <w:lang w:val="en-GB"/>
              </w:rPr>
              <w:t>7.1</w:t>
            </w:r>
          </w:p>
        </w:tc>
        <w:tc>
          <w:tcPr>
            <w:tcW w:w="960" w:type="dxa"/>
            <w:shd w:val="clear" w:color="auto" w:fill="FFFFFF"/>
            <w:vAlign w:val="center"/>
            <w:hideMark/>
          </w:tcPr>
          <w:p w14:paraId="2FD9276E" w14:textId="77777777" w:rsidR="00A75FE2" w:rsidRPr="009711EF" w:rsidRDefault="00A75FE2" w:rsidP="005F0C70">
            <w:pPr>
              <w:jc w:val="right"/>
              <w:rPr>
                <w:rFonts w:ascii="Arial" w:hAnsi="Arial" w:cs="Arial"/>
                <w:lang w:val="en-GB"/>
              </w:rPr>
            </w:pPr>
            <w:r w:rsidRPr="009711EF">
              <w:rPr>
                <w:rFonts w:ascii="Arial" w:hAnsi="Arial" w:cs="Arial"/>
                <w:lang w:val="en-GB"/>
              </w:rPr>
              <w:t>9.6</w:t>
            </w:r>
          </w:p>
        </w:tc>
        <w:tc>
          <w:tcPr>
            <w:tcW w:w="960" w:type="dxa"/>
            <w:shd w:val="clear" w:color="auto" w:fill="FFFFFF"/>
            <w:noWrap/>
            <w:vAlign w:val="center"/>
            <w:hideMark/>
          </w:tcPr>
          <w:p w14:paraId="38CA7B42" w14:textId="77777777" w:rsidR="00A75FE2" w:rsidRPr="009711EF" w:rsidRDefault="00A75FE2" w:rsidP="005F0C70">
            <w:pPr>
              <w:jc w:val="right"/>
              <w:rPr>
                <w:rFonts w:ascii="Arial" w:hAnsi="Arial" w:cs="Arial"/>
                <w:lang w:val="en-GB"/>
              </w:rPr>
            </w:pPr>
            <w:r w:rsidRPr="009711EF">
              <w:rPr>
                <w:rFonts w:ascii="Arial" w:hAnsi="Arial" w:cs="Arial"/>
                <w:lang w:val="en-GB"/>
              </w:rPr>
              <w:t>12.7</w:t>
            </w:r>
          </w:p>
        </w:tc>
      </w:tr>
      <w:tr w:rsidR="00A75FE2" w:rsidRPr="009711EF" w14:paraId="14C9A097" w14:textId="77777777" w:rsidTr="008C5CC1">
        <w:trPr>
          <w:trHeight w:val="315"/>
          <w:jc w:val="center"/>
        </w:trPr>
        <w:tc>
          <w:tcPr>
            <w:tcW w:w="3280" w:type="dxa"/>
            <w:shd w:val="clear" w:color="auto" w:fill="FFFFFF"/>
            <w:vAlign w:val="center"/>
            <w:hideMark/>
          </w:tcPr>
          <w:p w14:paraId="27836AEC" w14:textId="0EEBF507" w:rsidR="00A75FE2" w:rsidRPr="009711EF" w:rsidRDefault="00A75FE2" w:rsidP="00D1388A">
            <w:pPr>
              <w:rPr>
                <w:rFonts w:ascii="Arial" w:hAnsi="Arial" w:cs="Arial"/>
                <w:lang w:val="en-GB"/>
              </w:rPr>
            </w:pPr>
            <w:r w:rsidRPr="009711EF">
              <w:rPr>
                <w:rFonts w:ascii="Arial" w:hAnsi="Arial" w:cs="Arial"/>
                <w:lang w:val="en-GB"/>
              </w:rPr>
              <w:t>Net Profit/(Loss)</w:t>
            </w:r>
          </w:p>
        </w:tc>
        <w:tc>
          <w:tcPr>
            <w:tcW w:w="960" w:type="dxa"/>
            <w:shd w:val="clear" w:color="auto" w:fill="FFFFFF"/>
            <w:vAlign w:val="center"/>
            <w:hideMark/>
          </w:tcPr>
          <w:p w14:paraId="77A9B899" w14:textId="77777777" w:rsidR="00A75FE2" w:rsidRPr="009711EF" w:rsidRDefault="00A75FE2" w:rsidP="005F0C70">
            <w:pPr>
              <w:jc w:val="right"/>
              <w:rPr>
                <w:rFonts w:ascii="Arial" w:hAnsi="Arial" w:cs="Arial"/>
                <w:lang w:val="en-GB"/>
              </w:rPr>
            </w:pPr>
            <w:r w:rsidRPr="009711EF">
              <w:rPr>
                <w:rFonts w:ascii="Arial" w:hAnsi="Arial" w:cs="Arial"/>
                <w:lang w:val="en-GB"/>
              </w:rPr>
              <w:t>82.3</w:t>
            </w:r>
          </w:p>
        </w:tc>
        <w:tc>
          <w:tcPr>
            <w:tcW w:w="960" w:type="dxa"/>
            <w:shd w:val="clear" w:color="auto" w:fill="FFFFFF"/>
            <w:vAlign w:val="center"/>
            <w:hideMark/>
          </w:tcPr>
          <w:p w14:paraId="451BAFC1" w14:textId="77777777" w:rsidR="00A75FE2" w:rsidRPr="009711EF" w:rsidRDefault="00A75FE2" w:rsidP="005F0C70">
            <w:pPr>
              <w:jc w:val="right"/>
              <w:rPr>
                <w:rFonts w:ascii="Arial" w:hAnsi="Arial" w:cs="Arial"/>
                <w:lang w:val="en-GB"/>
              </w:rPr>
            </w:pPr>
            <w:r w:rsidRPr="009711EF">
              <w:rPr>
                <w:rFonts w:ascii="Arial" w:hAnsi="Arial" w:cs="Arial"/>
                <w:lang w:val="en-GB"/>
              </w:rPr>
              <w:t>126.6</w:t>
            </w:r>
          </w:p>
        </w:tc>
        <w:tc>
          <w:tcPr>
            <w:tcW w:w="960" w:type="dxa"/>
            <w:shd w:val="clear" w:color="auto" w:fill="FFFFFF"/>
            <w:vAlign w:val="center"/>
            <w:hideMark/>
          </w:tcPr>
          <w:p w14:paraId="523267CA" w14:textId="77777777" w:rsidR="00A75FE2" w:rsidRPr="009711EF" w:rsidRDefault="00A75FE2" w:rsidP="005F0C70">
            <w:pPr>
              <w:jc w:val="right"/>
              <w:rPr>
                <w:rFonts w:ascii="Arial" w:hAnsi="Arial" w:cs="Arial"/>
                <w:lang w:val="en-GB"/>
              </w:rPr>
            </w:pPr>
            <w:r w:rsidRPr="009711EF">
              <w:rPr>
                <w:rFonts w:ascii="Arial" w:hAnsi="Arial" w:cs="Arial"/>
                <w:lang w:val="en-GB"/>
              </w:rPr>
              <w:t>152.3</w:t>
            </w:r>
          </w:p>
        </w:tc>
        <w:tc>
          <w:tcPr>
            <w:tcW w:w="960" w:type="dxa"/>
            <w:shd w:val="clear" w:color="auto" w:fill="FFFFFF"/>
            <w:vAlign w:val="center"/>
            <w:hideMark/>
          </w:tcPr>
          <w:p w14:paraId="72C480B4" w14:textId="77777777" w:rsidR="00A75FE2" w:rsidRPr="009711EF" w:rsidRDefault="00A75FE2" w:rsidP="005F0C70">
            <w:pPr>
              <w:jc w:val="right"/>
              <w:rPr>
                <w:rFonts w:ascii="Arial" w:hAnsi="Arial" w:cs="Arial"/>
                <w:lang w:val="en-GB"/>
              </w:rPr>
            </w:pPr>
            <w:r w:rsidRPr="009711EF">
              <w:rPr>
                <w:rFonts w:ascii="Arial" w:hAnsi="Arial" w:cs="Arial"/>
                <w:lang w:val="en-GB"/>
              </w:rPr>
              <w:t>193.6</w:t>
            </w:r>
          </w:p>
        </w:tc>
        <w:tc>
          <w:tcPr>
            <w:tcW w:w="960" w:type="dxa"/>
            <w:shd w:val="clear" w:color="auto" w:fill="FFFFFF"/>
            <w:vAlign w:val="center"/>
            <w:hideMark/>
          </w:tcPr>
          <w:p w14:paraId="778A6ECD" w14:textId="77777777" w:rsidR="00A75FE2" w:rsidRPr="009711EF" w:rsidRDefault="00A75FE2" w:rsidP="005F0C70">
            <w:pPr>
              <w:jc w:val="right"/>
              <w:rPr>
                <w:rFonts w:ascii="Arial" w:hAnsi="Arial" w:cs="Arial"/>
                <w:lang w:val="en-GB"/>
              </w:rPr>
            </w:pPr>
            <w:r w:rsidRPr="009711EF">
              <w:rPr>
                <w:rFonts w:ascii="Arial" w:hAnsi="Arial" w:cs="Arial"/>
                <w:lang w:val="en-GB"/>
              </w:rPr>
              <w:t>261.3</w:t>
            </w:r>
          </w:p>
        </w:tc>
      </w:tr>
    </w:tbl>
    <w:p w14:paraId="16228CE9" w14:textId="77777777" w:rsidR="00A75FE2" w:rsidRPr="009711EF" w:rsidRDefault="00A75FE2" w:rsidP="005F0C70">
      <w:pPr>
        <w:pStyle w:val="Footnote"/>
        <w:rPr>
          <w:shd w:val="clear" w:color="auto" w:fill="FFFFFF"/>
          <w:lang w:val="en-GB"/>
        </w:rPr>
      </w:pPr>
    </w:p>
    <w:p w14:paraId="656750BF" w14:textId="0D23C7EA" w:rsidR="00A75FE2" w:rsidRPr="009711EF" w:rsidRDefault="00A75FE2" w:rsidP="00A75FE2">
      <w:pPr>
        <w:pStyle w:val="Footnote"/>
        <w:rPr>
          <w:lang w:val="en-GB"/>
        </w:rPr>
      </w:pPr>
      <w:r w:rsidRPr="009711EF">
        <w:rPr>
          <w:lang w:val="en-GB"/>
        </w:rPr>
        <w:t xml:space="preserve">Source: </w:t>
      </w:r>
      <w:r w:rsidR="00D1388A">
        <w:rPr>
          <w:lang w:val="en-GB"/>
        </w:rPr>
        <w:t>Company documents</w:t>
      </w:r>
      <w:r w:rsidRPr="009711EF">
        <w:rPr>
          <w:lang w:val="en-GB"/>
        </w:rPr>
        <w:t xml:space="preserve">. </w:t>
      </w:r>
    </w:p>
    <w:p w14:paraId="4791ABC4" w14:textId="77777777" w:rsidR="00A75FE2" w:rsidRPr="009711EF" w:rsidRDefault="00A75FE2" w:rsidP="00A75FE2">
      <w:pPr>
        <w:pStyle w:val="Footnote"/>
        <w:rPr>
          <w:lang w:val="en-GB"/>
        </w:rPr>
      </w:pPr>
    </w:p>
    <w:p w14:paraId="3A776C20" w14:textId="77777777" w:rsidR="00A75FE2" w:rsidRPr="009711EF" w:rsidRDefault="00A75FE2" w:rsidP="00A75FE2">
      <w:pPr>
        <w:pStyle w:val="Footnote"/>
        <w:rPr>
          <w:lang w:val="en-GB"/>
        </w:rPr>
      </w:pPr>
    </w:p>
    <w:p w14:paraId="127BCD03" w14:textId="25B1432B" w:rsidR="00A75FE2" w:rsidRPr="009711EF" w:rsidRDefault="00A75FE2" w:rsidP="00A75FE2">
      <w:pPr>
        <w:pStyle w:val="Casehead1"/>
        <w:jc w:val="center"/>
        <w:rPr>
          <w:shd w:val="clear" w:color="auto" w:fill="FFFFFF"/>
          <w:lang w:val="en-GB"/>
        </w:rPr>
      </w:pPr>
      <w:r w:rsidRPr="009711EF">
        <w:rPr>
          <w:lang w:val="en-GB"/>
        </w:rPr>
        <w:t xml:space="preserve">Exhibit 2: </w:t>
      </w:r>
      <w:r w:rsidRPr="009711EF">
        <w:rPr>
          <w:lang w:val="en-GB" w:eastAsia="en-IN"/>
        </w:rPr>
        <w:t>Maha Research LABS</w:t>
      </w:r>
      <w:r w:rsidR="008A472C">
        <w:rPr>
          <w:shd w:val="clear" w:color="auto" w:fill="FFFFFF"/>
          <w:lang w:val="en-GB"/>
        </w:rPr>
        <w:t>,</w:t>
      </w:r>
      <w:r w:rsidRPr="009711EF">
        <w:rPr>
          <w:shd w:val="clear" w:color="auto" w:fill="FFFFFF"/>
          <w:lang w:val="en-GB"/>
        </w:rPr>
        <w:t xml:space="preserve"> top 10 products (by sales) </w:t>
      </w:r>
    </w:p>
    <w:p w14:paraId="3274A736" w14:textId="77777777" w:rsidR="00A75FE2" w:rsidRPr="009711EF" w:rsidRDefault="00A75FE2" w:rsidP="00A75FE2">
      <w:pPr>
        <w:pStyle w:val="Casehead1"/>
        <w:jc w:val="center"/>
        <w:rPr>
          <w:shd w:val="clear" w:color="auto" w:fill="FFFFFF"/>
          <w:lang w:val="en-GB"/>
        </w:rPr>
      </w:pPr>
    </w:p>
    <w:tbl>
      <w:tblPr>
        <w:tblW w:w="6205" w:type="dxa"/>
        <w:jc w:val="center"/>
        <w:tblLook w:val="04A0" w:firstRow="1" w:lastRow="0" w:firstColumn="1" w:lastColumn="0" w:noHBand="0" w:noVBand="1"/>
      </w:tblPr>
      <w:tblGrid>
        <w:gridCol w:w="985"/>
        <w:gridCol w:w="2520"/>
        <w:gridCol w:w="2700"/>
      </w:tblGrid>
      <w:tr w:rsidR="00A75FE2" w:rsidRPr="009711EF" w14:paraId="3473BAB7" w14:textId="77777777" w:rsidTr="00A75FE2">
        <w:trPr>
          <w:trHeight w:val="300"/>
          <w:jc w:val="center"/>
        </w:trPr>
        <w:tc>
          <w:tcPr>
            <w:tcW w:w="985" w:type="dxa"/>
            <w:tcBorders>
              <w:top w:val="single" w:sz="4" w:space="0" w:color="auto"/>
              <w:left w:val="single" w:sz="4" w:space="0" w:color="auto"/>
              <w:bottom w:val="single" w:sz="4" w:space="0" w:color="auto"/>
              <w:right w:val="single" w:sz="4" w:space="0" w:color="auto"/>
            </w:tcBorders>
            <w:noWrap/>
            <w:vAlign w:val="bottom"/>
            <w:hideMark/>
          </w:tcPr>
          <w:p w14:paraId="403F8228" w14:textId="30B92297" w:rsidR="00A75FE2" w:rsidRPr="009711EF" w:rsidRDefault="00A75FE2">
            <w:pPr>
              <w:jc w:val="center"/>
              <w:rPr>
                <w:rFonts w:ascii="Arial" w:hAnsi="Arial" w:cs="Arial"/>
                <w:b/>
                <w:bCs/>
                <w:lang w:val="en-GB"/>
              </w:rPr>
            </w:pPr>
          </w:p>
        </w:tc>
        <w:tc>
          <w:tcPr>
            <w:tcW w:w="2520" w:type="dxa"/>
            <w:tcBorders>
              <w:top w:val="single" w:sz="4" w:space="0" w:color="auto"/>
              <w:left w:val="nil"/>
              <w:bottom w:val="single" w:sz="4" w:space="0" w:color="auto"/>
              <w:right w:val="single" w:sz="4" w:space="0" w:color="auto"/>
            </w:tcBorders>
            <w:noWrap/>
            <w:vAlign w:val="bottom"/>
            <w:hideMark/>
          </w:tcPr>
          <w:p w14:paraId="5F711391" w14:textId="77777777" w:rsidR="00A75FE2" w:rsidRPr="009711EF" w:rsidRDefault="00A75FE2">
            <w:pPr>
              <w:jc w:val="center"/>
              <w:rPr>
                <w:rFonts w:ascii="Arial" w:hAnsi="Arial" w:cs="Arial"/>
                <w:b/>
                <w:bCs/>
                <w:lang w:val="en-GB"/>
              </w:rPr>
            </w:pPr>
            <w:r w:rsidRPr="009711EF">
              <w:rPr>
                <w:rFonts w:ascii="Arial" w:hAnsi="Arial" w:cs="Arial"/>
                <w:b/>
                <w:bCs/>
                <w:lang w:val="en-GB"/>
              </w:rPr>
              <w:t>Brand Name</w:t>
            </w:r>
          </w:p>
        </w:tc>
        <w:tc>
          <w:tcPr>
            <w:tcW w:w="2700" w:type="dxa"/>
            <w:tcBorders>
              <w:top w:val="single" w:sz="4" w:space="0" w:color="auto"/>
              <w:left w:val="nil"/>
              <w:bottom w:val="single" w:sz="4" w:space="0" w:color="auto"/>
              <w:right w:val="single" w:sz="4" w:space="0" w:color="auto"/>
            </w:tcBorders>
            <w:noWrap/>
            <w:vAlign w:val="bottom"/>
            <w:hideMark/>
          </w:tcPr>
          <w:p w14:paraId="1008961E" w14:textId="77777777" w:rsidR="00A75FE2" w:rsidRPr="009711EF" w:rsidRDefault="00A75FE2">
            <w:pPr>
              <w:jc w:val="center"/>
              <w:rPr>
                <w:rFonts w:ascii="Arial" w:hAnsi="Arial" w:cs="Arial"/>
                <w:b/>
                <w:bCs/>
                <w:lang w:val="en-GB"/>
              </w:rPr>
            </w:pPr>
            <w:r w:rsidRPr="009711EF">
              <w:rPr>
                <w:rFonts w:ascii="Arial" w:hAnsi="Arial" w:cs="Arial"/>
                <w:b/>
                <w:bCs/>
                <w:lang w:val="en-GB"/>
              </w:rPr>
              <w:t>Category</w:t>
            </w:r>
          </w:p>
        </w:tc>
      </w:tr>
      <w:tr w:rsidR="00A75FE2" w:rsidRPr="009711EF" w14:paraId="4D7205FE"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56CED2B3" w14:textId="77777777" w:rsidR="00A75FE2" w:rsidRPr="009711EF" w:rsidRDefault="00A75FE2">
            <w:pPr>
              <w:jc w:val="center"/>
              <w:rPr>
                <w:rFonts w:ascii="Arial" w:hAnsi="Arial" w:cs="Arial"/>
                <w:lang w:val="en-GB"/>
              </w:rPr>
            </w:pPr>
            <w:r w:rsidRPr="009711EF">
              <w:rPr>
                <w:rFonts w:ascii="Arial" w:hAnsi="Arial" w:cs="Arial"/>
                <w:lang w:val="en-GB"/>
              </w:rPr>
              <w:t>1</w:t>
            </w:r>
          </w:p>
        </w:tc>
        <w:tc>
          <w:tcPr>
            <w:tcW w:w="2520" w:type="dxa"/>
            <w:tcBorders>
              <w:top w:val="nil"/>
              <w:left w:val="nil"/>
              <w:bottom w:val="single" w:sz="4" w:space="0" w:color="auto"/>
              <w:right w:val="single" w:sz="4" w:space="0" w:color="auto"/>
            </w:tcBorders>
            <w:noWrap/>
            <w:vAlign w:val="bottom"/>
            <w:hideMark/>
          </w:tcPr>
          <w:p w14:paraId="5775FD29" w14:textId="77777777" w:rsidR="00A75FE2" w:rsidRPr="009711EF" w:rsidRDefault="00A75FE2">
            <w:pPr>
              <w:rPr>
                <w:rFonts w:ascii="Arial" w:hAnsi="Arial" w:cs="Arial"/>
                <w:lang w:val="en-GB"/>
              </w:rPr>
            </w:pPr>
            <w:proofErr w:type="spellStart"/>
            <w:r w:rsidRPr="009711EF">
              <w:rPr>
                <w:rStyle w:val="NoSpacingChar"/>
                <w:rFonts w:ascii="Arial" w:hAnsi="Arial" w:cs="Arial"/>
                <w:lang w:val="en-GB"/>
              </w:rPr>
              <w:t>Algesic</w:t>
            </w:r>
            <w:proofErr w:type="spellEnd"/>
            <w:r w:rsidRPr="009711EF">
              <w:rPr>
                <w:rStyle w:val="NoSpacingChar"/>
                <w:rFonts w:ascii="Arial" w:hAnsi="Arial" w:cs="Arial"/>
                <w:lang w:val="en-GB"/>
              </w:rPr>
              <w:t xml:space="preserve"> </w:t>
            </w:r>
            <w:r w:rsidRPr="009711EF">
              <w:rPr>
                <w:rFonts w:ascii="Arial" w:hAnsi="Arial" w:cs="Arial"/>
                <w:lang w:val="en-GB"/>
              </w:rPr>
              <w:t>Tablets</w:t>
            </w:r>
          </w:p>
        </w:tc>
        <w:tc>
          <w:tcPr>
            <w:tcW w:w="2700" w:type="dxa"/>
            <w:tcBorders>
              <w:top w:val="nil"/>
              <w:left w:val="nil"/>
              <w:bottom w:val="single" w:sz="4" w:space="0" w:color="auto"/>
              <w:right w:val="single" w:sz="4" w:space="0" w:color="auto"/>
            </w:tcBorders>
            <w:noWrap/>
            <w:vAlign w:val="bottom"/>
            <w:hideMark/>
          </w:tcPr>
          <w:p w14:paraId="647DE974" w14:textId="77777777" w:rsidR="00A75FE2" w:rsidRPr="009711EF" w:rsidRDefault="00A75FE2">
            <w:pPr>
              <w:rPr>
                <w:rFonts w:ascii="Arial" w:hAnsi="Arial" w:cs="Arial"/>
                <w:lang w:val="en-GB"/>
              </w:rPr>
            </w:pPr>
            <w:r w:rsidRPr="009711EF">
              <w:rPr>
                <w:rFonts w:ascii="Arial" w:hAnsi="Arial" w:cs="Arial"/>
                <w:lang w:val="en-GB"/>
              </w:rPr>
              <w:t>Pain Management</w:t>
            </w:r>
          </w:p>
        </w:tc>
      </w:tr>
      <w:tr w:rsidR="00A75FE2" w:rsidRPr="009711EF" w14:paraId="1B1190E7"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2A5CCEF8" w14:textId="77777777" w:rsidR="00A75FE2" w:rsidRPr="009711EF" w:rsidRDefault="00A75FE2">
            <w:pPr>
              <w:jc w:val="center"/>
              <w:rPr>
                <w:rFonts w:ascii="Arial" w:hAnsi="Arial" w:cs="Arial"/>
                <w:lang w:val="en-GB"/>
              </w:rPr>
            </w:pPr>
            <w:r w:rsidRPr="009711EF">
              <w:rPr>
                <w:rFonts w:ascii="Arial" w:hAnsi="Arial" w:cs="Arial"/>
                <w:lang w:val="en-GB"/>
              </w:rPr>
              <w:t>2</w:t>
            </w:r>
          </w:p>
        </w:tc>
        <w:tc>
          <w:tcPr>
            <w:tcW w:w="2520" w:type="dxa"/>
            <w:tcBorders>
              <w:top w:val="nil"/>
              <w:left w:val="nil"/>
              <w:bottom w:val="single" w:sz="4" w:space="0" w:color="auto"/>
              <w:right w:val="single" w:sz="4" w:space="0" w:color="auto"/>
            </w:tcBorders>
            <w:noWrap/>
            <w:vAlign w:val="bottom"/>
            <w:hideMark/>
          </w:tcPr>
          <w:p w14:paraId="457CD6F0" w14:textId="77777777" w:rsidR="00A75FE2" w:rsidRPr="009711EF" w:rsidRDefault="00A75FE2">
            <w:pPr>
              <w:rPr>
                <w:rFonts w:ascii="Arial" w:hAnsi="Arial" w:cs="Arial"/>
                <w:lang w:val="en-GB"/>
              </w:rPr>
            </w:pPr>
            <w:proofErr w:type="spellStart"/>
            <w:r w:rsidRPr="009711EF">
              <w:rPr>
                <w:rStyle w:val="NoSpacingChar"/>
                <w:rFonts w:ascii="Arial" w:hAnsi="Arial" w:cs="Arial"/>
                <w:lang w:val="en-GB"/>
              </w:rPr>
              <w:t>Algesic</w:t>
            </w:r>
            <w:proofErr w:type="spellEnd"/>
            <w:r w:rsidRPr="009711EF">
              <w:rPr>
                <w:rFonts w:ascii="Arial" w:hAnsi="Arial" w:cs="Arial"/>
                <w:lang w:val="en-GB"/>
              </w:rPr>
              <w:t>-SP Tablets</w:t>
            </w:r>
          </w:p>
        </w:tc>
        <w:tc>
          <w:tcPr>
            <w:tcW w:w="2700" w:type="dxa"/>
            <w:tcBorders>
              <w:top w:val="nil"/>
              <w:left w:val="nil"/>
              <w:bottom w:val="single" w:sz="4" w:space="0" w:color="auto"/>
              <w:right w:val="single" w:sz="4" w:space="0" w:color="auto"/>
            </w:tcBorders>
            <w:noWrap/>
            <w:vAlign w:val="bottom"/>
            <w:hideMark/>
          </w:tcPr>
          <w:p w14:paraId="614E7CAB" w14:textId="77777777" w:rsidR="00A75FE2" w:rsidRPr="009711EF" w:rsidRDefault="00A75FE2">
            <w:pPr>
              <w:rPr>
                <w:rFonts w:ascii="Arial" w:hAnsi="Arial" w:cs="Arial"/>
                <w:lang w:val="en-GB"/>
              </w:rPr>
            </w:pPr>
            <w:r w:rsidRPr="009711EF">
              <w:rPr>
                <w:rFonts w:ascii="Arial" w:hAnsi="Arial" w:cs="Arial"/>
                <w:lang w:val="en-GB"/>
              </w:rPr>
              <w:t>Pain Management</w:t>
            </w:r>
          </w:p>
        </w:tc>
      </w:tr>
      <w:tr w:rsidR="00A75FE2" w:rsidRPr="009711EF" w14:paraId="58037A68"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0BF0AD29" w14:textId="77777777" w:rsidR="00A75FE2" w:rsidRPr="009711EF" w:rsidRDefault="00A75FE2">
            <w:pPr>
              <w:jc w:val="center"/>
              <w:rPr>
                <w:rFonts w:ascii="Arial" w:hAnsi="Arial" w:cs="Arial"/>
                <w:lang w:val="en-GB"/>
              </w:rPr>
            </w:pPr>
            <w:r w:rsidRPr="009711EF">
              <w:rPr>
                <w:rFonts w:ascii="Arial" w:hAnsi="Arial" w:cs="Arial"/>
                <w:lang w:val="en-GB"/>
              </w:rPr>
              <w:t>3</w:t>
            </w:r>
          </w:p>
        </w:tc>
        <w:tc>
          <w:tcPr>
            <w:tcW w:w="2520" w:type="dxa"/>
            <w:tcBorders>
              <w:top w:val="nil"/>
              <w:left w:val="nil"/>
              <w:bottom w:val="single" w:sz="4" w:space="0" w:color="auto"/>
              <w:right w:val="single" w:sz="4" w:space="0" w:color="auto"/>
            </w:tcBorders>
            <w:noWrap/>
            <w:vAlign w:val="bottom"/>
            <w:hideMark/>
          </w:tcPr>
          <w:p w14:paraId="2B2FBD10" w14:textId="77777777" w:rsidR="00A75FE2" w:rsidRPr="009711EF" w:rsidRDefault="00A75FE2">
            <w:pPr>
              <w:rPr>
                <w:rFonts w:ascii="Arial" w:hAnsi="Arial" w:cs="Arial"/>
                <w:lang w:val="en-GB"/>
              </w:rPr>
            </w:pPr>
            <w:r w:rsidRPr="009711EF">
              <w:rPr>
                <w:rFonts w:ascii="Arial" w:hAnsi="Arial" w:cs="Arial"/>
                <w:lang w:val="en-GB"/>
              </w:rPr>
              <w:t>FG-CAL Tablets</w:t>
            </w:r>
          </w:p>
        </w:tc>
        <w:tc>
          <w:tcPr>
            <w:tcW w:w="2700" w:type="dxa"/>
            <w:tcBorders>
              <w:top w:val="nil"/>
              <w:left w:val="nil"/>
              <w:bottom w:val="single" w:sz="4" w:space="0" w:color="auto"/>
              <w:right w:val="single" w:sz="4" w:space="0" w:color="auto"/>
            </w:tcBorders>
            <w:noWrap/>
            <w:vAlign w:val="bottom"/>
            <w:hideMark/>
          </w:tcPr>
          <w:p w14:paraId="6174C702" w14:textId="77777777" w:rsidR="00A75FE2" w:rsidRPr="009711EF" w:rsidRDefault="00A75FE2">
            <w:pPr>
              <w:rPr>
                <w:rFonts w:ascii="Arial" w:hAnsi="Arial" w:cs="Arial"/>
                <w:lang w:val="en-GB"/>
              </w:rPr>
            </w:pPr>
            <w:r w:rsidRPr="009711EF">
              <w:rPr>
                <w:rFonts w:ascii="Arial" w:hAnsi="Arial" w:cs="Arial"/>
                <w:lang w:val="en-GB"/>
              </w:rPr>
              <w:t>Calcium Supplement</w:t>
            </w:r>
          </w:p>
        </w:tc>
      </w:tr>
      <w:tr w:rsidR="00A75FE2" w:rsidRPr="009711EF" w14:paraId="7E98A29D"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187BCA17" w14:textId="77777777" w:rsidR="00A75FE2" w:rsidRPr="009711EF" w:rsidRDefault="00A75FE2">
            <w:pPr>
              <w:jc w:val="center"/>
              <w:rPr>
                <w:rFonts w:ascii="Arial" w:hAnsi="Arial" w:cs="Arial"/>
                <w:lang w:val="en-GB"/>
              </w:rPr>
            </w:pPr>
            <w:r w:rsidRPr="009711EF">
              <w:rPr>
                <w:rFonts w:ascii="Arial" w:hAnsi="Arial" w:cs="Arial"/>
                <w:lang w:val="en-GB"/>
              </w:rPr>
              <w:t>4</w:t>
            </w:r>
          </w:p>
        </w:tc>
        <w:tc>
          <w:tcPr>
            <w:tcW w:w="2520" w:type="dxa"/>
            <w:tcBorders>
              <w:top w:val="nil"/>
              <w:left w:val="nil"/>
              <w:bottom w:val="single" w:sz="4" w:space="0" w:color="auto"/>
              <w:right w:val="single" w:sz="4" w:space="0" w:color="auto"/>
            </w:tcBorders>
            <w:noWrap/>
            <w:vAlign w:val="bottom"/>
            <w:hideMark/>
          </w:tcPr>
          <w:p w14:paraId="600493D1" w14:textId="77777777" w:rsidR="00A75FE2" w:rsidRPr="009711EF" w:rsidRDefault="00A75FE2">
            <w:pPr>
              <w:rPr>
                <w:rFonts w:ascii="Arial" w:hAnsi="Arial" w:cs="Arial"/>
                <w:lang w:val="en-GB"/>
              </w:rPr>
            </w:pPr>
            <w:r w:rsidRPr="009711EF">
              <w:rPr>
                <w:rFonts w:ascii="Arial" w:hAnsi="Arial" w:cs="Arial"/>
                <w:noProof/>
                <w:lang w:val="en-GB"/>
              </w:rPr>
              <w:t>Mahamox</w:t>
            </w:r>
          </w:p>
        </w:tc>
        <w:tc>
          <w:tcPr>
            <w:tcW w:w="2700" w:type="dxa"/>
            <w:tcBorders>
              <w:top w:val="nil"/>
              <w:left w:val="nil"/>
              <w:bottom w:val="single" w:sz="4" w:space="0" w:color="auto"/>
              <w:right w:val="single" w:sz="4" w:space="0" w:color="auto"/>
            </w:tcBorders>
            <w:noWrap/>
            <w:vAlign w:val="bottom"/>
            <w:hideMark/>
          </w:tcPr>
          <w:p w14:paraId="2AA7B35C" w14:textId="77777777" w:rsidR="00A75FE2" w:rsidRPr="006A5668" w:rsidRDefault="00A75FE2">
            <w:pPr>
              <w:rPr>
                <w:rFonts w:ascii="Arial" w:hAnsi="Arial" w:cs="Arial"/>
                <w:lang w:val="en-GB"/>
              </w:rPr>
            </w:pPr>
            <w:r w:rsidRPr="005F0C70">
              <w:rPr>
                <w:rStyle w:val="apple-converted-space"/>
                <w:rFonts w:ascii="Arial" w:hAnsi="Arial" w:cs="Arial"/>
                <w:lang w:val="en-GB"/>
              </w:rPr>
              <w:t>Antibacterial Range</w:t>
            </w:r>
          </w:p>
        </w:tc>
      </w:tr>
      <w:tr w:rsidR="00A75FE2" w:rsidRPr="009711EF" w14:paraId="754274C2"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40A36B34" w14:textId="77777777" w:rsidR="00A75FE2" w:rsidRPr="009711EF" w:rsidRDefault="00A75FE2">
            <w:pPr>
              <w:jc w:val="center"/>
              <w:rPr>
                <w:rFonts w:ascii="Arial" w:hAnsi="Arial" w:cs="Arial"/>
                <w:lang w:val="en-GB"/>
              </w:rPr>
            </w:pPr>
            <w:r w:rsidRPr="009711EF">
              <w:rPr>
                <w:rFonts w:ascii="Arial" w:hAnsi="Arial" w:cs="Arial"/>
                <w:lang w:val="en-GB"/>
              </w:rPr>
              <w:t>5</w:t>
            </w:r>
          </w:p>
        </w:tc>
        <w:tc>
          <w:tcPr>
            <w:tcW w:w="2520" w:type="dxa"/>
            <w:tcBorders>
              <w:top w:val="nil"/>
              <w:left w:val="nil"/>
              <w:bottom w:val="single" w:sz="4" w:space="0" w:color="auto"/>
              <w:right w:val="single" w:sz="4" w:space="0" w:color="auto"/>
            </w:tcBorders>
            <w:noWrap/>
            <w:vAlign w:val="bottom"/>
            <w:hideMark/>
          </w:tcPr>
          <w:p w14:paraId="585481A1" w14:textId="77777777" w:rsidR="00A75FE2" w:rsidRPr="009711EF" w:rsidRDefault="00A75FE2">
            <w:pPr>
              <w:pStyle w:val="NoSpacing"/>
              <w:spacing w:line="256" w:lineRule="auto"/>
              <w:rPr>
                <w:rFonts w:ascii="Arial" w:hAnsi="Arial" w:cs="Arial"/>
                <w:sz w:val="20"/>
                <w:szCs w:val="20"/>
                <w:lang w:val="en-GB"/>
              </w:rPr>
            </w:pPr>
            <w:proofErr w:type="spellStart"/>
            <w:r w:rsidRPr="009711EF">
              <w:rPr>
                <w:rFonts w:ascii="Arial" w:hAnsi="Arial" w:cs="Arial"/>
                <w:sz w:val="20"/>
                <w:szCs w:val="20"/>
                <w:lang w:val="en-GB"/>
              </w:rPr>
              <w:t>M.Panto</w:t>
            </w:r>
            <w:proofErr w:type="spellEnd"/>
            <w:r w:rsidRPr="009711EF">
              <w:rPr>
                <w:rFonts w:ascii="Arial" w:hAnsi="Arial" w:cs="Arial"/>
                <w:sz w:val="20"/>
                <w:szCs w:val="20"/>
                <w:lang w:val="en-GB"/>
              </w:rPr>
              <w:t xml:space="preserve"> DSR Capsules</w:t>
            </w:r>
          </w:p>
        </w:tc>
        <w:tc>
          <w:tcPr>
            <w:tcW w:w="2700" w:type="dxa"/>
            <w:tcBorders>
              <w:top w:val="nil"/>
              <w:left w:val="nil"/>
              <w:bottom w:val="single" w:sz="4" w:space="0" w:color="auto"/>
              <w:right w:val="single" w:sz="4" w:space="0" w:color="auto"/>
            </w:tcBorders>
            <w:noWrap/>
            <w:vAlign w:val="bottom"/>
            <w:hideMark/>
          </w:tcPr>
          <w:p w14:paraId="3CFDF23A" w14:textId="77777777" w:rsidR="00A75FE2" w:rsidRPr="009711EF" w:rsidRDefault="00A75FE2">
            <w:pPr>
              <w:rPr>
                <w:rFonts w:ascii="Arial" w:hAnsi="Arial" w:cs="Arial"/>
                <w:lang w:val="en-GB"/>
              </w:rPr>
            </w:pPr>
            <w:r w:rsidRPr="009711EF">
              <w:rPr>
                <w:rFonts w:ascii="Arial" w:hAnsi="Arial" w:cs="Arial"/>
                <w:lang w:val="en-GB"/>
              </w:rPr>
              <w:t>Gastro-protective</w:t>
            </w:r>
          </w:p>
        </w:tc>
      </w:tr>
      <w:tr w:rsidR="00A75FE2" w:rsidRPr="009711EF" w14:paraId="74FDD12E"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11862094" w14:textId="77777777" w:rsidR="00A75FE2" w:rsidRPr="009711EF" w:rsidRDefault="00A75FE2">
            <w:pPr>
              <w:jc w:val="center"/>
              <w:rPr>
                <w:rFonts w:ascii="Arial" w:hAnsi="Arial" w:cs="Arial"/>
                <w:lang w:val="en-GB"/>
              </w:rPr>
            </w:pPr>
            <w:r w:rsidRPr="009711EF">
              <w:rPr>
                <w:rFonts w:ascii="Arial" w:hAnsi="Arial" w:cs="Arial"/>
                <w:lang w:val="en-GB"/>
              </w:rPr>
              <w:t>6</w:t>
            </w:r>
          </w:p>
        </w:tc>
        <w:tc>
          <w:tcPr>
            <w:tcW w:w="2520" w:type="dxa"/>
            <w:tcBorders>
              <w:top w:val="nil"/>
              <w:left w:val="nil"/>
              <w:bottom w:val="single" w:sz="4" w:space="0" w:color="auto"/>
              <w:right w:val="single" w:sz="4" w:space="0" w:color="auto"/>
            </w:tcBorders>
            <w:noWrap/>
            <w:vAlign w:val="bottom"/>
            <w:hideMark/>
          </w:tcPr>
          <w:p w14:paraId="619C8908" w14:textId="77777777" w:rsidR="00A75FE2" w:rsidRPr="006A5668" w:rsidRDefault="00A75FE2">
            <w:pPr>
              <w:pStyle w:val="NoSpacing"/>
              <w:spacing w:line="256" w:lineRule="auto"/>
              <w:rPr>
                <w:rFonts w:ascii="Arial" w:hAnsi="Arial" w:cs="Arial"/>
                <w:sz w:val="20"/>
                <w:szCs w:val="20"/>
                <w:lang w:val="en-GB"/>
              </w:rPr>
            </w:pPr>
            <w:r w:rsidRPr="006A5668">
              <w:rPr>
                <w:rFonts w:ascii="Arial" w:hAnsi="Arial" w:cs="Arial"/>
                <w:sz w:val="20"/>
                <w:szCs w:val="20"/>
                <w:lang w:val="en-GB"/>
              </w:rPr>
              <w:t>FG-IRN-XT</w:t>
            </w:r>
            <w:r w:rsidRPr="005F0C70">
              <w:rPr>
                <w:rStyle w:val="apple-converted-space"/>
                <w:rFonts w:ascii="Arial" w:hAnsi="Arial" w:cs="Arial"/>
                <w:sz w:val="20"/>
                <w:szCs w:val="20"/>
                <w:lang w:val="en-GB"/>
              </w:rPr>
              <w:t> Tablets</w:t>
            </w:r>
          </w:p>
        </w:tc>
        <w:tc>
          <w:tcPr>
            <w:tcW w:w="2700" w:type="dxa"/>
            <w:tcBorders>
              <w:top w:val="nil"/>
              <w:left w:val="nil"/>
              <w:bottom w:val="single" w:sz="4" w:space="0" w:color="auto"/>
              <w:right w:val="single" w:sz="4" w:space="0" w:color="auto"/>
            </w:tcBorders>
            <w:noWrap/>
            <w:vAlign w:val="bottom"/>
            <w:hideMark/>
          </w:tcPr>
          <w:p w14:paraId="4D41EBBF" w14:textId="77777777" w:rsidR="00A75FE2" w:rsidRPr="009711EF" w:rsidRDefault="00A75FE2">
            <w:pPr>
              <w:rPr>
                <w:rFonts w:ascii="Arial" w:hAnsi="Arial" w:cs="Arial"/>
                <w:lang w:val="en-GB"/>
              </w:rPr>
            </w:pPr>
            <w:r w:rsidRPr="009711EF">
              <w:rPr>
                <w:rFonts w:ascii="Arial" w:hAnsi="Arial" w:cs="Arial"/>
                <w:lang w:val="en-GB"/>
              </w:rPr>
              <w:t>Haematinic</w:t>
            </w:r>
          </w:p>
        </w:tc>
      </w:tr>
      <w:tr w:rsidR="00A75FE2" w:rsidRPr="009711EF" w14:paraId="6AC2175D"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484EC6E6" w14:textId="77777777" w:rsidR="00A75FE2" w:rsidRPr="009711EF" w:rsidRDefault="00A75FE2">
            <w:pPr>
              <w:jc w:val="center"/>
              <w:rPr>
                <w:rFonts w:ascii="Arial" w:hAnsi="Arial" w:cs="Arial"/>
                <w:lang w:val="en-GB"/>
              </w:rPr>
            </w:pPr>
            <w:r w:rsidRPr="009711EF">
              <w:rPr>
                <w:rFonts w:ascii="Arial" w:hAnsi="Arial" w:cs="Arial"/>
                <w:lang w:val="en-GB"/>
              </w:rPr>
              <w:t>7</w:t>
            </w:r>
          </w:p>
        </w:tc>
        <w:tc>
          <w:tcPr>
            <w:tcW w:w="2520" w:type="dxa"/>
            <w:tcBorders>
              <w:top w:val="nil"/>
              <w:left w:val="nil"/>
              <w:bottom w:val="single" w:sz="4" w:space="0" w:color="auto"/>
              <w:right w:val="single" w:sz="4" w:space="0" w:color="auto"/>
            </w:tcBorders>
            <w:noWrap/>
            <w:vAlign w:val="bottom"/>
            <w:hideMark/>
          </w:tcPr>
          <w:p w14:paraId="113142B2" w14:textId="77777777" w:rsidR="00A75FE2" w:rsidRPr="009711EF" w:rsidRDefault="00A75FE2">
            <w:pPr>
              <w:rPr>
                <w:rFonts w:ascii="Arial" w:hAnsi="Arial" w:cs="Arial"/>
                <w:lang w:val="en-GB"/>
              </w:rPr>
            </w:pPr>
            <w:proofErr w:type="spellStart"/>
            <w:r w:rsidRPr="009711EF">
              <w:rPr>
                <w:rFonts w:ascii="Arial" w:hAnsi="Arial" w:cs="Arial"/>
                <w:lang w:val="en-GB"/>
              </w:rPr>
              <w:t>Mahapod</w:t>
            </w:r>
            <w:proofErr w:type="spellEnd"/>
          </w:p>
        </w:tc>
        <w:tc>
          <w:tcPr>
            <w:tcW w:w="2700" w:type="dxa"/>
            <w:tcBorders>
              <w:top w:val="nil"/>
              <w:left w:val="nil"/>
              <w:bottom w:val="single" w:sz="4" w:space="0" w:color="auto"/>
              <w:right w:val="single" w:sz="4" w:space="0" w:color="auto"/>
            </w:tcBorders>
            <w:noWrap/>
            <w:vAlign w:val="bottom"/>
            <w:hideMark/>
          </w:tcPr>
          <w:p w14:paraId="29D851AD" w14:textId="77777777" w:rsidR="00A75FE2" w:rsidRPr="006A5668" w:rsidRDefault="00A75FE2">
            <w:pPr>
              <w:pStyle w:val="NoSpacing"/>
              <w:spacing w:line="256" w:lineRule="auto"/>
              <w:rPr>
                <w:rFonts w:ascii="Arial" w:hAnsi="Arial" w:cs="Arial"/>
                <w:sz w:val="20"/>
                <w:szCs w:val="20"/>
                <w:lang w:val="en-GB"/>
              </w:rPr>
            </w:pPr>
            <w:r w:rsidRPr="005F0C70">
              <w:rPr>
                <w:rStyle w:val="apple-converted-space"/>
                <w:rFonts w:ascii="Arial" w:hAnsi="Arial" w:cs="Arial"/>
                <w:sz w:val="20"/>
                <w:szCs w:val="20"/>
                <w:lang w:val="en-GB"/>
              </w:rPr>
              <w:t>Antibacterial Range</w:t>
            </w:r>
          </w:p>
        </w:tc>
      </w:tr>
      <w:tr w:rsidR="00A75FE2" w:rsidRPr="009711EF" w14:paraId="702E4FE7"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3307297F" w14:textId="77777777" w:rsidR="00A75FE2" w:rsidRPr="009711EF" w:rsidRDefault="00A75FE2">
            <w:pPr>
              <w:jc w:val="center"/>
              <w:rPr>
                <w:rFonts w:ascii="Arial" w:hAnsi="Arial" w:cs="Arial"/>
                <w:lang w:val="en-GB"/>
              </w:rPr>
            </w:pPr>
            <w:r w:rsidRPr="009711EF">
              <w:rPr>
                <w:rFonts w:ascii="Arial" w:hAnsi="Arial" w:cs="Arial"/>
                <w:lang w:val="en-GB"/>
              </w:rPr>
              <w:t>8</w:t>
            </w:r>
          </w:p>
        </w:tc>
        <w:tc>
          <w:tcPr>
            <w:tcW w:w="2520" w:type="dxa"/>
            <w:tcBorders>
              <w:top w:val="nil"/>
              <w:left w:val="nil"/>
              <w:bottom w:val="single" w:sz="4" w:space="0" w:color="auto"/>
              <w:right w:val="single" w:sz="4" w:space="0" w:color="auto"/>
            </w:tcBorders>
            <w:noWrap/>
            <w:vAlign w:val="bottom"/>
            <w:hideMark/>
          </w:tcPr>
          <w:p w14:paraId="34CFB764" w14:textId="77777777" w:rsidR="00A75FE2" w:rsidRPr="009711EF" w:rsidRDefault="00A75FE2">
            <w:pPr>
              <w:rPr>
                <w:rFonts w:ascii="Arial" w:hAnsi="Arial" w:cs="Arial"/>
                <w:lang w:val="en-GB"/>
              </w:rPr>
            </w:pPr>
            <w:r w:rsidRPr="009711EF">
              <w:rPr>
                <w:rFonts w:ascii="Arial" w:hAnsi="Arial" w:cs="Arial"/>
                <w:noProof/>
                <w:lang w:val="en-GB"/>
              </w:rPr>
              <w:t>Maflox</w:t>
            </w:r>
          </w:p>
        </w:tc>
        <w:tc>
          <w:tcPr>
            <w:tcW w:w="2700" w:type="dxa"/>
            <w:tcBorders>
              <w:top w:val="nil"/>
              <w:left w:val="nil"/>
              <w:bottom w:val="single" w:sz="4" w:space="0" w:color="auto"/>
              <w:right w:val="single" w:sz="4" w:space="0" w:color="auto"/>
            </w:tcBorders>
            <w:noWrap/>
            <w:vAlign w:val="bottom"/>
            <w:hideMark/>
          </w:tcPr>
          <w:p w14:paraId="1FBB5165" w14:textId="77777777" w:rsidR="00A75FE2" w:rsidRPr="006A5668" w:rsidRDefault="00A75FE2">
            <w:pPr>
              <w:rPr>
                <w:rFonts w:ascii="Arial" w:hAnsi="Arial" w:cs="Arial"/>
                <w:lang w:val="en-GB"/>
              </w:rPr>
            </w:pPr>
            <w:r w:rsidRPr="005F0C70">
              <w:rPr>
                <w:rStyle w:val="apple-converted-space"/>
                <w:rFonts w:ascii="Arial" w:hAnsi="Arial" w:cs="Arial"/>
                <w:lang w:val="en-GB"/>
              </w:rPr>
              <w:t>Antibacterial Range</w:t>
            </w:r>
          </w:p>
        </w:tc>
      </w:tr>
      <w:tr w:rsidR="00A75FE2" w:rsidRPr="009711EF" w14:paraId="3CCE7688"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3BBC444F" w14:textId="77777777" w:rsidR="00A75FE2" w:rsidRPr="009711EF" w:rsidRDefault="00A75FE2">
            <w:pPr>
              <w:jc w:val="center"/>
              <w:rPr>
                <w:rFonts w:ascii="Arial" w:hAnsi="Arial" w:cs="Arial"/>
                <w:lang w:val="en-GB"/>
              </w:rPr>
            </w:pPr>
            <w:r w:rsidRPr="009711EF">
              <w:rPr>
                <w:rFonts w:ascii="Arial" w:hAnsi="Arial" w:cs="Arial"/>
                <w:lang w:val="en-GB"/>
              </w:rPr>
              <w:t>9</w:t>
            </w:r>
          </w:p>
        </w:tc>
        <w:tc>
          <w:tcPr>
            <w:tcW w:w="2520" w:type="dxa"/>
            <w:tcBorders>
              <w:top w:val="nil"/>
              <w:left w:val="nil"/>
              <w:bottom w:val="single" w:sz="4" w:space="0" w:color="auto"/>
              <w:right w:val="single" w:sz="4" w:space="0" w:color="auto"/>
            </w:tcBorders>
            <w:noWrap/>
            <w:vAlign w:val="bottom"/>
            <w:hideMark/>
          </w:tcPr>
          <w:p w14:paraId="40955A0C" w14:textId="77777777" w:rsidR="00A75FE2" w:rsidRPr="009711EF" w:rsidRDefault="00A75FE2">
            <w:pPr>
              <w:rPr>
                <w:rFonts w:ascii="Arial" w:hAnsi="Arial" w:cs="Arial"/>
                <w:lang w:val="en-GB"/>
              </w:rPr>
            </w:pPr>
            <w:proofErr w:type="spellStart"/>
            <w:r w:rsidRPr="009711EF">
              <w:rPr>
                <w:rStyle w:val="NoSpacingChar"/>
                <w:rFonts w:ascii="Arial" w:hAnsi="Arial" w:cs="Arial"/>
                <w:lang w:val="en-GB"/>
              </w:rPr>
              <w:t>Enervit</w:t>
            </w:r>
            <w:proofErr w:type="spellEnd"/>
            <w:r w:rsidRPr="009711EF">
              <w:rPr>
                <w:rStyle w:val="NoSpacingChar"/>
                <w:rFonts w:ascii="Arial" w:hAnsi="Arial" w:cs="Arial"/>
                <w:lang w:val="en-GB"/>
              </w:rPr>
              <w:t xml:space="preserve"> </w:t>
            </w:r>
            <w:r w:rsidRPr="009711EF">
              <w:rPr>
                <w:rFonts w:ascii="Arial" w:hAnsi="Arial" w:cs="Arial"/>
                <w:lang w:val="en-GB"/>
              </w:rPr>
              <w:t>Capsules</w:t>
            </w:r>
          </w:p>
        </w:tc>
        <w:tc>
          <w:tcPr>
            <w:tcW w:w="2700" w:type="dxa"/>
            <w:tcBorders>
              <w:top w:val="nil"/>
              <w:left w:val="nil"/>
              <w:bottom w:val="single" w:sz="4" w:space="0" w:color="auto"/>
              <w:right w:val="single" w:sz="4" w:space="0" w:color="auto"/>
            </w:tcBorders>
            <w:noWrap/>
            <w:vAlign w:val="bottom"/>
            <w:hideMark/>
          </w:tcPr>
          <w:p w14:paraId="3CAC65E9" w14:textId="77777777" w:rsidR="00A75FE2" w:rsidRPr="009711EF" w:rsidRDefault="00A75FE2">
            <w:pPr>
              <w:rPr>
                <w:rFonts w:ascii="Arial" w:hAnsi="Arial" w:cs="Arial"/>
                <w:lang w:val="en-GB"/>
              </w:rPr>
            </w:pPr>
            <w:r w:rsidRPr="009711EF">
              <w:rPr>
                <w:rFonts w:ascii="Arial" w:hAnsi="Arial" w:cs="Arial"/>
                <w:lang w:val="en-GB"/>
              </w:rPr>
              <w:t>Nutritional Supplement</w:t>
            </w:r>
          </w:p>
        </w:tc>
      </w:tr>
      <w:tr w:rsidR="00A75FE2" w:rsidRPr="009711EF" w14:paraId="4072E419" w14:textId="77777777" w:rsidTr="00A75FE2">
        <w:trPr>
          <w:trHeight w:val="300"/>
          <w:jc w:val="center"/>
        </w:trPr>
        <w:tc>
          <w:tcPr>
            <w:tcW w:w="985" w:type="dxa"/>
            <w:tcBorders>
              <w:top w:val="nil"/>
              <w:left w:val="single" w:sz="4" w:space="0" w:color="auto"/>
              <w:bottom w:val="single" w:sz="4" w:space="0" w:color="auto"/>
              <w:right w:val="single" w:sz="4" w:space="0" w:color="auto"/>
            </w:tcBorders>
            <w:noWrap/>
            <w:vAlign w:val="bottom"/>
            <w:hideMark/>
          </w:tcPr>
          <w:p w14:paraId="57A625E8" w14:textId="77777777" w:rsidR="00A75FE2" w:rsidRPr="009711EF" w:rsidRDefault="00A75FE2">
            <w:pPr>
              <w:jc w:val="center"/>
              <w:rPr>
                <w:rFonts w:ascii="Arial" w:hAnsi="Arial" w:cs="Arial"/>
                <w:lang w:val="en-GB"/>
              </w:rPr>
            </w:pPr>
            <w:r w:rsidRPr="009711EF">
              <w:rPr>
                <w:rFonts w:ascii="Arial" w:hAnsi="Arial" w:cs="Arial"/>
                <w:lang w:val="en-GB"/>
              </w:rPr>
              <w:t>10</w:t>
            </w:r>
          </w:p>
        </w:tc>
        <w:tc>
          <w:tcPr>
            <w:tcW w:w="2520" w:type="dxa"/>
            <w:tcBorders>
              <w:top w:val="nil"/>
              <w:left w:val="nil"/>
              <w:bottom w:val="single" w:sz="4" w:space="0" w:color="auto"/>
              <w:right w:val="single" w:sz="4" w:space="0" w:color="auto"/>
            </w:tcBorders>
            <w:noWrap/>
            <w:vAlign w:val="bottom"/>
            <w:hideMark/>
          </w:tcPr>
          <w:p w14:paraId="1C0921B4" w14:textId="77777777" w:rsidR="00A75FE2" w:rsidRPr="009711EF" w:rsidRDefault="00A75FE2">
            <w:pPr>
              <w:pStyle w:val="NoSpacing"/>
              <w:spacing w:line="256" w:lineRule="auto"/>
              <w:rPr>
                <w:rFonts w:ascii="Arial" w:hAnsi="Arial" w:cs="Arial"/>
                <w:sz w:val="20"/>
                <w:szCs w:val="20"/>
                <w:lang w:val="en-GB"/>
              </w:rPr>
            </w:pPr>
            <w:proofErr w:type="spellStart"/>
            <w:r w:rsidRPr="009711EF">
              <w:rPr>
                <w:rFonts w:ascii="Arial" w:hAnsi="Arial" w:cs="Arial"/>
                <w:sz w:val="20"/>
                <w:szCs w:val="20"/>
                <w:lang w:val="en-GB"/>
              </w:rPr>
              <w:t>M.Envervit</w:t>
            </w:r>
            <w:proofErr w:type="spellEnd"/>
            <w:r w:rsidRPr="009711EF">
              <w:rPr>
                <w:rFonts w:ascii="Arial" w:hAnsi="Arial" w:cs="Arial"/>
                <w:sz w:val="20"/>
                <w:szCs w:val="20"/>
                <w:lang w:val="en-GB"/>
              </w:rPr>
              <w:t xml:space="preserve"> Syrup</w:t>
            </w:r>
          </w:p>
        </w:tc>
        <w:tc>
          <w:tcPr>
            <w:tcW w:w="2700" w:type="dxa"/>
            <w:tcBorders>
              <w:top w:val="nil"/>
              <w:left w:val="nil"/>
              <w:bottom w:val="single" w:sz="4" w:space="0" w:color="auto"/>
              <w:right w:val="single" w:sz="4" w:space="0" w:color="auto"/>
            </w:tcBorders>
            <w:noWrap/>
            <w:vAlign w:val="bottom"/>
            <w:hideMark/>
          </w:tcPr>
          <w:p w14:paraId="255EC9DD" w14:textId="77777777" w:rsidR="00A75FE2" w:rsidRPr="009711EF" w:rsidRDefault="00A75FE2">
            <w:pPr>
              <w:rPr>
                <w:rFonts w:ascii="Arial" w:hAnsi="Arial" w:cs="Arial"/>
                <w:lang w:val="en-GB"/>
              </w:rPr>
            </w:pPr>
            <w:r w:rsidRPr="009711EF">
              <w:rPr>
                <w:rFonts w:ascii="Arial" w:hAnsi="Arial" w:cs="Arial"/>
                <w:noProof/>
                <w:lang w:val="en-GB"/>
              </w:rPr>
              <w:t>Nutritional</w:t>
            </w:r>
            <w:r w:rsidRPr="009711EF">
              <w:rPr>
                <w:rFonts w:ascii="Arial" w:hAnsi="Arial" w:cs="Arial"/>
                <w:lang w:val="en-GB"/>
              </w:rPr>
              <w:t xml:space="preserve"> Supplement</w:t>
            </w:r>
          </w:p>
        </w:tc>
      </w:tr>
    </w:tbl>
    <w:p w14:paraId="12A5717F" w14:textId="77777777" w:rsidR="00A75FE2" w:rsidRPr="009711EF" w:rsidRDefault="00A75FE2" w:rsidP="005F0C70">
      <w:pPr>
        <w:pStyle w:val="Footnote"/>
        <w:rPr>
          <w:shd w:val="clear" w:color="auto" w:fill="FFFFFF"/>
          <w:lang w:val="en-GB"/>
        </w:rPr>
      </w:pPr>
    </w:p>
    <w:p w14:paraId="6FFFC384" w14:textId="77777777" w:rsidR="00A75FE2" w:rsidRPr="009711EF" w:rsidRDefault="00A75FE2" w:rsidP="00A75FE2">
      <w:pPr>
        <w:pStyle w:val="Footnote"/>
        <w:rPr>
          <w:lang w:val="en-GB"/>
        </w:rPr>
      </w:pPr>
      <w:r w:rsidRPr="009711EF">
        <w:rPr>
          <w:lang w:val="en-GB"/>
        </w:rPr>
        <w:t xml:space="preserve">Source: </w:t>
      </w:r>
      <w:r w:rsidR="00992856">
        <w:rPr>
          <w:lang w:val="en-GB"/>
        </w:rPr>
        <w:t>Company documents.</w:t>
      </w:r>
    </w:p>
    <w:p w14:paraId="41FC8980" w14:textId="77777777" w:rsidR="00A75FE2" w:rsidRPr="009711EF" w:rsidRDefault="00A75FE2" w:rsidP="005F0C70">
      <w:pPr>
        <w:pStyle w:val="Footnote"/>
        <w:rPr>
          <w:lang w:val="en-GB"/>
        </w:rPr>
      </w:pPr>
    </w:p>
    <w:p w14:paraId="1033D8BB" w14:textId="77777777" w:rsidR="00A75FE2" w:rsidRPr="009711EF" w:rsidRDefault="00A75FE2" w:rsidP="005F0C70">
      <w:pPr>
        <w:pStyle w:val="Footnote"/>
        <w:rPr>
          <w:rStyle w:val="apple-converted-space"/>
          <w:rFonts w:asciiTheme="minorHAnsi" w:eastAsiaTheme="minorHAnsi" w:hAnsiTheme="minorHAnsi" w:cstheme="minorBidi"/>
          <w:sz w:val="18"/>
          <w:szCs w:val="18"/>
          <w:shd w:val="clear" w:color="auto" w:fill="CDE7F6"/>
          <w:lang w:val="en-GB"/>
        </w:rPr>
      </w:pPr>
    </w:p>
    <w:p w14:paraId="300E409F" w14:textId="0937BB5B" w:rsidR="00A75FE2" w:rsidRPr="009711EF" w:rsidRDefault="00A75FE2" w:rsidP="00A75FE2">
      <w:pPr>
        <w:pStyle w:val="Casehead1"/>
        <w:jc w:val="center"/>
        <w:rPr>
          <w:caps w:val="0"/>
          <w:lang w:val="en-GB" w:eastAsia="en-IN"/>
        </w:rPr>
      </w:pPr>
      <w:r w:rsidRPr="009711EF">
        <w:rPr>
          <w:caps w:val="0"/>
          <w:lang w:val="en-GB" w:eastAsia="en-IN"/>
        </w:rPr>
        <w:t>E</w:t>
      </w:r>
      <w:r w:rsidR="00D1388A">
        <w:rPr>
          <w:caps w:val="0"/>
          <w:lang w:val="en-GB" w:eastAsia="en-IN"/>
        </w:rPr>
        <w:t>XHIBIT</w:t>
      </w:r>
      <w:r w:rsidRPr="009711EF">
        <w:rPr>
          <w:lang w:val="en-GB" w:eastAsia="en-IN"/>
        </w:rPr>
        <w:t xml:space="preserve"> 3: LOGISTICS </w:t>
      </w:r>
      <w:r w:rsidR="00D1388A">
        <w:rPr>
          <w:lang w:val="en-GB" w:eastAsia="en-IN"/>
        </w:rPr>
        <w:t>at</w:t>
      </w:r>
      <w:r w:rsidRPr="009711EF">
        <w:rPr>
          <w:lang w:val="en-GB" w:eastAsia="en-IN"/>
        </w:rPr>
        <w:t xml:space="preserve"> MAHA RESEARCH LABS</w:t>
      </w:r>
    </w:p>
    <w:p w14:paraId="2DD1E091" w14:textId="77777777" w:rsidR="00A75FE2" w:rsidRPr="009711EF" w:rsidRDefault="00A75FE2" w:rsidP="00A75FE2">
      <w:pPr>
        <w:pStyle w:val="Casehead1"/>
        <w:jc w:val="center"/>
        <w:rPr>
          <w:caps w:val="0"/>
          <w:lang w:val="en-GB" w:eastAsia="en-IN"/>
        </w:rPr>
      </w:pPr>
    </w:p>
    <w:p w14:paraId="67A0D51E" w14:textId="77777777" w:rsidR="00A75FE2" w:rsidRPr="009711EF" w:rsidRDefault="00A75FE2" w:rsidP="00A75FE2">
      <w:pPr>
        <w:pStyle w:val="Casehead1"/>
        <w:jc w:val="center"/>
        <w:rPr>
          <w:caps w:val="0"/>
          <w:lang w:val="en-GB" w:eastAsia="en-IN"/>
        </w:rPr>
      </w:pPr>
      <w:r w:rsidRPr="009711EF">
        <w:rPr>
          <w:caps w:val="0"/>
          <w:noProof/>
          <w:lang w:val="en-GB" w:eastAsia="en-GB"/>
        </w:rPr>
        <mc:AlternateContent>
          <mc:Choice Requires="wpg">
            <w:drawing>
              <wp:anchor distT="0" distB="0" distL="114300" distR="114300" simplePos="0" relativeHeight="251671552" behindDoc="0" locked="0" layoutInCell="1" allowOverlap="1" wp14:anchorId="56D3A86B" wp14:editId="214CC03A">
                <wp:simplePos x="0" y="0"/>
                <wp:positionH relativeFrom="margin">
                  <wp:align>center</wp:align>
                </wp:positionH>
                <wp:positionV relativeFrom="paragraph">
                  <wp:posOffset>57785</wp:posOffset>
                </wp:positionV>
                <wp:extent cx="5335858" cy="416890"/>
                <wp:effectExtent l="0" t="0" r="17780" b="21590"/>
                <wp:wrapNone/>
                <wp:docPr id="5" name="Group 5"/>
                <wp:cNvGraphicFramePr/>
                <a:graphic xmlns:a="http://schemas.openxmlformats.org/drawingml/2006/main">
                  <a:graphicData uri="http://schemas.microsoft.com/office/word/2010/wordprocessingGroup">
                    <wpg:wgp>
                      <wpg:cNvGrpSpPr/>
                      <wpg:grpSpPr>
                        <a:xfrm>
                          <a:off x="0" y="0"/>
                          <a:ext cx="5335858" cy="416890"/>
                          <a:chOff x="0" y="0"/>
                          <a:chExt cx="6217971" cy="416890"/>
                        </a:xfrm>
                      </wpg:grpSpPr>
                      <wps:wsp>
                        <wps:cNvPr id="2" name="Rectangle 2"/>
                        <wps:cNvSpPr/>
                        <wps:spPr>
                          <a:xfrm>
                            <a:off x="0" y="0"/>
                            <a:ext cx="1025356" cy="409651"/>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1320D" w14:textId="77777777" w:rsidR="00642358" w:rsidRDefault="00642358" w:rsidP="00A75FE2">
                              <w:pPr>
                                <w:jc w:val="center"/>
                                <w:rPr>
                                  <w:rFonts w:ascii="Arial" w:hAnsi="Arial" w:cs="Arial"/>
                                </w:rPr>
                              </w:pPr>
                              <w:r>
                                <w:rPr>
                                  <w:rFonts w:ascii="Arial" w:hAnsi="Arial" w:cs="Arial"/>
                                </w:rPr>
                                <w:t>Central Warehouse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338682" y="7315"/>
                            <a:ext cx="885190" cy="409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0FEE59" w14:textId="77777777" w:rsidR="00642358" w:rsidRDefault="00642358" w:rsidP="00A75FE2">
                              <w:pPr>
                                <w:jc w:val="center"/>
                                <w:rPr>
                                  <w:rFonts w:ascii="Arial" w:hAnsi="Arial" w:cs="Arial"/>
                                </w:rPr>
                              </w:pPr>
                              <w:r>
                                <w:rPr>
                                  <w:rFonts w:ascii="Arial" w:hAnsi="Arial" w:cs="Arial"/>
                                </w:rPr>
                                <w:t>C&amp;F Agents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670048" y="7315"/>
                            <a:ext cx="885190" cy="409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8767D3" w14:textId="77777777" w:rsidR="00642358" w:rsidRDefault="00642358" w:rsidP="00A75FE2">
                              <w:pPr>
                                <w:jc w:val="center"/>
                                <w:rPr>
                                  <w:rFonts w:ascii="Arial" w:hAnsi="Arial" w:cs="Arial"/>
                                </w:rPr>
                              </w:pPr>
                              <w:proofErr w:type="spellStart"/>
                              <w:r>
                                <w:rPr>
                                  <w:rFonts w:ascii="Arial" w:hAnsi="Arial" w:cs="Arial"/>
                                </w:rPr>
                                <w:t>Stockist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4008287" y="0"/>
                            <a:ext cx="957655" cy="409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16B11D" w14:textId="77777777" w:rsidR="00642358" w:rsidRDefault="00642358" w:rsidP="00A75FE2">
                              <w:pPr>
                                <w:jc w:val="center"/>
                                <w:rPr>
                                  <w:rFonts w:ascii="Arial" w:hAnsi="Arial" w:cs="Arial"/>
                                </w:rPr>
                              </w:pPr>
                              <w:r>
                                <w:rPr>
                                  <w:rFonts w:ascii="Arial" w:hAnsi="Arial" w:cs="Arial"/>
                                </w:rPr>
                                <w:t xml:space="preserve">Retail Pharmacy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5332781" y="0"/>
                            <a:ext cx="885190" cy="4095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3E2706F" w14:textId="77777777" w:rsidR="00642358" w:rsidRDefault="00642358" w:rsidP="00A75FE2">
                              <w:pPr>
                                <w:jc w:val="center"/>
                                <w:rPr>
                                  <w:rFonts w:ascii="Arial" w:hAnsi="Arial" w:cs="Arial"/>
                                </w:rPr>
                              </w:pPr>
                              <w:r>
                                <w:rPr>
                                  <w:rFonts w:ascii="Arial" w:hAnsi="Arial" w:cs="Arial"/>
                                </w:rPr>
                                <w:t xml:space="preserve">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2" idx="3"/>
                          <a:endCxn id="3" idx="1"/>
                        </wps:cNvCnPr>
                        <wps:spPr>
                          <a:xfrm>
                            <a:off x="1025243" y="204664"/>
                            <a:ext cx="313291" cy="72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Straight Arrow Connector 10"/>
                        <wps:cNvCnPr/>
                        <wps:spPr>
                          <a:xfrm flipV="1">
                            <a:off x="2245766" y="241402"/>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 name="Straight Arrow Connector 1"/>
                        <wps:cNvCnPr/>
                        <wps:spPr>
                          <a:xfrm flipV="1">
                            <a:off x="3555187" y="212141"/>
                            <a:ext cx="4381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Straight Arrow Connector 4"/>
                        <wps:cNvCnPr>
                          <a:stCxn id="7" idx="3"/>
                        </wps:cNvCnPr>
                        <wps:spPr>
                          <a:xfrm>
                            <a:off x="4965394" y="204626"/>
                            <a:ext cx="366038" cy="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6D3A86B" id="Group 5" o:spid="_x0000_s1026" style="position:absolute;left:0;text-align:left;margin-left:0;margin-top:4.55pt;width:420.15pt;height:32.85pt;z-index:251671552;mso-position-horizontal:center;mso-position-horizontal-relative:margin;mso-width-relative:margin" coordsize="62179,4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">
                <v:rect id="Rectangle 2" o:spid="_x0000_s1027" style="position:absolute;width:10253;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Oe58QA&#10;AADaAAAADwAAAGRycy9kb3ducmV2LnhtbESPT2vCQBTE70K/w/KE3nRjSkWiq5SW0tKDYCK0x0f2&#10;maTJvg3ZzZ9++64geBxm5jfM7jCZRgzUucqygtUyAkGcW11xoeCcvS82IJxH1thYJgV/5OCwf5jt&#10;MNF25BMNqS9EgLBLUEHpfZtI6fKSDLqlbYmDd7GdQR9kV0jd4RjgppFxFK2lwYrDQoktvZaU12lv&#10;FDwd65+TlG360Zvn7/rt96vIUlTqcT69bEF4mvw9fGt/agUxXK+EGy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TnufEAAAA2gAAAA8AAAAAAAAAAAAAAAAAmAIAAGRycy9k&#10;b3ducmV2LnhtbFBLBQYAAAAABAAEAPUAAACJAwAAAAA=&#10;" fillcolor="white [3212]" strokecolor="black [3213]" strokeweight="2pt">
                  <v:textbox>
                    <w:txbxContent>
                      <w:p w14:paraId="0FE1320D" w14:textId="77777777" w:rsidR="00642358" w:rsidRDefault="00642358" w:rsidP="00A75FE2">
                        <w:pPr>
                          <w:jc w:val="center"/>
                          <w:rPr>
                            <w:rFonts w:ascii="Arial" w:hAnsi="Arial" w:cs="Arial"/>
                          </w:rPr>
                        </w:pPr>
                        <w:r>
                          <w:rPr>
                            <w:rFonts w:ascii="Arial" w:hAnsi="Arial" w:cs="Arial"/>
                          </w:rPr>
                          <w:t>Central Warehouse</w:t>
                        </w:r>
                      </w:p>
                    </w:txbxContent>
                  </v:textbox>
                </v:rect>
                <v:rect id="Rectangle 3" o:spid="_x0000_s1028" style="position:absolute;left:13386;top:73;width:885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87fMMA&#10;AADaAAAADwAAAGRycy9kb3ducmV2LnhtbESPQWvCQBSE7wX/w/IEb82mFkuJWaUoUulBSCzU4yP7&#10;TGKyb0N2Nem/d4VCj8PMN8Ok69G04ka9qy0reIliEMSF1TWXCr6Pu+d3EM4ja2wtk4JfcrBeTZ5S&#10;TLQdOKNb7ksRStglqKDyvkukdEVFBl1kO+LgnW1v0AfZl1L3OIRy08p5HL9JgzWHhQo72lRUNPnV&#10;KHg9NKdMyi7/vJrFT7O9fJXHHJWaTcePJQhPo/8P/9F7HTh4XAk3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x87fMMAAADaAAAADwAAAAAAAAAAAAAAAACYAgAAZHJzL2Rv&#10;d25yZXYueG1sUEsFBgAAAAAEAAQA9QAAAIgDAAAAAA==&#10;" fillcolor="white [3212]" strokecolor="black [3213]" strokeweight="2pt">
                  <v:textbox>
                    <w:txbxContent>
                      <w:p w14:paraId="230FEE59" w14:textId="77777777" w:rsidR="00642358" w:rsidRDefault="00642358" w:rsidP="00A75FE2">
                        <w:pPr>
                          <w:jc w:val="center"/>
                          <w:rPr>
                            <w:rFonts w:ascii="Arial" w:hAnsi="Arial" w:cs="Arial"/>
                          </w:rPr>
                        </w:pPr>
                        <w:r>
                          <w:rPr>
                            <w:rFonts w:ascii="Arial" w:hAnsi="Arial" w:cs="Arial"/>
                          </w:rPr>
                          <w:t>C&amp;F Agents</w:t>
                        </w:r>
                      </w:p>
                    </w:txbxContent>
                  </v:textbox>
                </v:rect>
                <v:rect id="Rectangle 6" o:spid="_x0000_s1029" style="position:absolute;left:26700;top:73;width:885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iY5MMA&#10;AADaAAAADwAAAGRycy9kb3ducmV2LnhtbESPQWvCQBSE74X+h+UVems2bWkoMatIiyg9CMaCHh/Z&#10;ZxKTfRuyq4n/3hUEj8PMfMNks9G04ky9qy0reI9iEMSF1TWXCv63i7dvEM4ja2wtk4ILOZhNn58y&#10;TLUdeEPn3JciQNilqKDyvkuldEVFBl1kO+LgHWxv0AfZl1L3OAS4aeVHHCfSYM1hocKOfioqmvxk&#10;FHyum/1Gyi5fnszXrvk9/pXbHJV6fRnnExCeRv8I39srrSCB25VwA+T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2iY5MMAAADaAAAADwAAAAAAAAAAAAAAAACYAgAAZHJzL2Rv&#10;d25yZXYueG1sUEsFBgAAAAAEAAQA9QAAAIgDAAAAAA==&#10;" fillcolor="white [3212]" strokecolor="black [3213]" strokeweight="2pt">
                  <v:textbox>
                    <w:txbxContent>
                      <w:p w14:paraId="318767D3" w14:textId="77777777" w:rsidR="00642358" w:rsidRDefault="00642358" w:rsidP="00A75FE2">
                        <w:pPr>
                          <w:jc w:val="center"/>
                          <w:rPr>
                            <w:rFonts w:ascii="Arial" w:hAnsi="Arial" w:cs="Arial"/>
                          </w:rPr>
                        </w:pPr>
                        <w:r>
                          <w:rPr>
                            <w:rFonts w:ascii="Arial" w:hAnsi="Arial" w:cs="Arial"/>
                          </w:rPr>
                          <w:t>Stockist</w:t>
                        </w:r>
                      </w:p>
                    </w:txbxContent>
                  </v:textbox>
                </v:rect>
                <v:rect id="Rectangle 7" o:spid="_x0000_s1030" style="position:absolute;left:40082;width:9577;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Q9f8QA&#10;AADaAAAADwAAAGRycy9kb3ducmV2LnhtbESPQWvCQBSE7wX/w/KE3pqNllaJriKW0tJDwUTQ4yP7&#10;TGKyb0N2TdJ/3y0UPA4z8w2z3o6mET11rrKsYBbFIIhzqysuFByz96clCOeRNTaWScEPOdhuJg9r&#10;TLQd+EB96gsRIOwSVFB63yZSurwkgy6yLXHwLrYz6IPsCqk7HALcNHIex6/SYMVhocSW9iXldXoz&#10;Cp6/6/NByjb9uJmXU/12/SqyFJV6nI67FQhPo7+H/9ufWsEC/q6EGyA3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kPX/EAAAA2gAAAA8AAAAAAAAAAAAAAAAAmAIAAGRycy9k&#10;b3ducmV2LnhtbFBLBQYAAAAABAAEAPUAAACJAwAAAAA=&#10;" fillcolor="white [3212]" strokecolor="black [3213]" strokeweight="2pt">
                  <v:textbox>
                    <w:txbxContent>
                      <w:p w14:paraId="4416B11D" w14:textId="77777777" w:rsidR="00642358" w:rsidRDefault="00642358" w:rsidP="00A75FE2">
                        <w:pPr>
                          <w:jc w:val="center"/>
                          <w:rPr>
                            <w:rFonts w:ascii="Arial" w:hAnsi="Arial" w:cs="Arial"/>
                          </w:rPr>
                        </w:pPr>
                        <w:r>
                          <w:rPr>
                            <w:rFonts w:ascii="Arial" w:hAnsi="Arial" w:cs="Arial"/>
                          </w:rPr>
                          <w:t xml:space="preserve">Retail Pharmacy </w:t>
                        </w:r>
                      </w:p>
                    </w:txbxContent>
                  </v:textbox>
                </v:rect>
                <v:rect id="Rectangle 8" o:spid="_x0000_s1031" style="position:absolute;left:53327;width:8852;height:4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upDb8A&#10;AADaAAAADwAAAGRycy9kb3ducmV2LnhtbERPTYvCMBC9L/gfwgh7W1NXXKQaiyiLiwfBKuhxaMa2&#10;tpmUJtX6781B2OPjfS+S3tTiTq0rLSsYjyIQxJnVJecKTsffrxkI55E11pZJwZMcJMvBxwJjbR98&#10;oHvqcxFC2MWooPC+iaV0WUEG3cg2xIG72tagD7DNpW7xEcJNLb+j6EcaLDk0FNjQuqCsSjujYLKv&#10;Lgcpm3Tbmem52tx2+TFFpT6H/WoOwlPv/8Vv959WELaGK+EGyOU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tu6kNvwAAANoAAAAPAAAAAAAAAAAAAAAAAJgCAABkcnMvZG93bnJl&#10;di54bWxQSwUGAAAAAAQABAD1AAAAhAMAAAAA&#10;" fillcolor="white [3212]" strokecolor="black [3213]" strokeweight="2pt">
                  <v:textbox>
                    <w:txbxContent>
                      <w:p w14:paraId="43E2706F" w14:textId="77777777" w:rsidR="00642358" w:rsidRDefault="00642358" w:rsidP="00A75FE2">
                        <w:pPr>
                          <w:jc w:val="center"/>
                          <w:rPr>
                            <w:rFonts w:ascii="Arial" w:hAnsi="Arial" w:cs="Arial"/>
                          </w:rPr>
                        </w:pPr>
                        <w:r>
                          <w:rPr>
                            <w:rFonts w:ascii="Arial" w:hAnsi="Arial" w:cs="Arial"/>
                          </w:rPr>
                          <w:t xml:space="preserve">Customer </w:t>
                        </w:r>
                      </w:p>
                    </w:txbxContent>
                  </v:textbox>
                </v:rect>
                <v:shapetype id="_x0000_t32" coordsize="21600,21600" o:spt="32" o:oned="t" path="m,l21600,21600e" filled="f">
                  <v:path arrowok="t" fillok="f" o:connecttype="none"/>
                  <o:lock v:ext="edit" shapetype="t"/>
                </v:shapetype>
                <v:shape id="Straight Arrow Connector 9" o:spid="_x0000_s1032" type="#_x0000_t32" style="position:absolute;left:10252;top:2046;width:3133;height: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0Uvb8AAADaAAAADwAAAGRycy9kb3ducmV2LnhtbESP3YrCMBSE7wXfIRxhb0RTZRGtRhFh&#10;oXu56gMcmmNTbE5Kkv7s25uFBS+HmfmGOZxG24iefKgdK1gtMxDEpdM1Vwrut6/FFkSIyBobx6Tg&#10;lwKcjtPJAXPtBv6h/horkSAcclRgYmxzKUNpyGJYupY4eQ/nLcYkfSW1xyHBbSPXWbaRFmtOCwZb&#10;uhgqn9fOKnA9m+/PuY1P2ZW3M3bFZfCFUh+z8bwHEWmM7/B/u9AKdvB3Jd0AeX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B0Uvb8AAADaAAAADwAAAAAAAAAAAAAAAACh&#10;AgAAZHJzL2Rvd25yZXYueG1sUEsFBgAAAAAEAAQA+QAAAI0DAAAAAA==&#10;" strokecolor="black [3040]">
                  <v:stroke endarrow="block"/>
                </v:shape>
                <v:shape id="Straight Arrow Connector 10" o:spid="_x0000_s1033" type="#_x0000_t32" style="position:absolute;left:22457;top:2414;width:438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WIS8MAAADbAAAADwAAAGRycy9kb3ducmV2LnhtbESPQYvCMBCF7wv+hzCCtzXVgyzVKCII&#10;4h5kq6DHoRnbajMpTVbjv3cOC3ub4b1575vFKrlWPagPjWcDk3EGirj0tuHKwOm4/fwCFSKyxdYz&#10;GXhRgNVy8LHA3Pon/9CjiJWSEA45Gqhj7HKtQ1mTwzD2HbFoV987jLL2lbY9PiXctXqaZTPtsGFp&#10;qLGjTU3lvfh1Bvbn2/WoT01CV6TZ/jvbHtrLxJjRMK3noCKl+G/+u95ZwRd6+UUG0Ms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ViEvDAAAA2wAAAA8AAAAAAAAAAAAA&#10;AAAAoQIAAGRycy9kb3ducmV2LnhtbFBLBQYAAAAABAAEAPkAAACRAwAAAAA=&#10;" strokecolor="black [3040]">
                  <v:stroke endarrow="block"/>
                </v:shape>
                <v:shape id="Straight Arrow Connector 1" o:spid="_x0000_s1034" type="#_x0000_t32" style="position:absolute;left:35551;top:2121;width:4382;height:9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Wtv8EAAADaAAAADwAAAGRycy9kb3ducmV2LnhtbERPTWvCQBC9C/6HZYTedGMPoaRuQikI&#10;JR5Ko2CPQ3ZM0mZnQ3ZNtv++Kwiehsf7nF0RTC8mGl1nWcF2k4Agrq3uuFFwOu7XLyCcR9bYWyYF&#10;f+SgyJeLHWbazvxFU+UbEUPYZaig9X7IpHR1Swbdxg7EkbvY0aCPcGykHnGO4aaXz0mSSoMdx4YW&#10;B3pvqf6trkZBef65HOWpC2iqkJaHZP/Zf2+VelqFt1cQnoJ/iO/uDx3nw+2V25X5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zla2/wQAAANoAAAAPAAAAAAAAAAAAAAAA&#10;AKECAABkcnMvZG93bnJldi54bWxQSwUGAAAAAAQABAD5AAAAjwMAAAAA&#10;" strokecolor="black [3040]">
                  <v:stroke endarrow="block"/>
                </v:shape>
                <v:shape id="Straight Arrow Connector 4" o:spid="_x0000_s1035" type="#_x0000_t32" style="position:absolute;left:49653;top:2046;width:366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y7I74AAADaAAAADwAAAGRycy9kb3ducmV2LnhtbESP3YrCMBSE7wXfIRxhb0TTXWSRahQR&#10;hHqp7gMcmmNTbE5Kkv7s2xtB8HKYmW+Y7X60jejJh9qxgu9lBoK4dLrmSsHf7bRYgwgRWWPjmBT8&#10;U4D9bjrZYq7dwBfqr7ESCcIhRwUmxjaXMpSGLIala4mTd3feYkzSV1J7HBLcNvIny36lxZrTgsGW&#10;jobKx7WzClzP5rya2/iQXXk7YFccB18o9TUbDxsQkcb4Cb/bhVawgteVdAPk7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2HLsjvgAAANoAAAAPAAAAAAAAAAAAAAAAAKEC&#10;AABkcnMvZG93bnJldi54bWxQSwUGAAAAAAQABAD5AAAAjAMAAAAA&#10;" strokecolor="black [3040]">
                  <v:stroke endarrow="block"/>
                </v:shape>
                <w10:wrap anchorx="margin"/>
              </v:group>
            </w:pict>
          </mc:Fallback>
        </mc:AlternateContent>
      </w:r>
    </w:p>
    <w:p w14:paraId="201CD3D1" w14:textId="77777777" w:rsidR="00A75FE2" w:rsidRPr="009711EF" w:rsidRDefault="00A75FE2" w:rsidP="00A75FE2">
      <w:pPr>
        <w:pStyle w:val="Casehead1"/>
        <w:jc w:val="center"/>
        <w:rPr>
          <w:caps w:val="0"/>
          <w:lang w:val="en-GB" w:eastAsia="en-IN"/>
        </w:rPr>
      </w:pPr>
    </w:p>
    <w:p w14:paraId="0CF6AC54" w14:textId="77777777" w:rsidR="00A75FE2" w:rsidRPr="009711EF" w:rsidRDefault="00A75FE2" w:rsidP="00A75FE2">
      <w:pPr>
        <w:pStyle w:val="Casehead1"/>
        <w:jc w:val="center"/>
        <w:rPr>
          <w:caps w:val="0"/>
          <w:lang w:val="en-GB" w:eastAsia="en-IN"/>
        </w:rPr>
      </w:pPr>
    </w:p>
    <w:p w14:paraId="6E3DDD37" w14:textId="77777777" w:rsidR="00A75FE2" w:rsidRPr="009711EF" w:rsidRDefault="00A75FE2" w:rsidP="00A75FE2">
      <w:pPr>
        <w:pStyle w:val="Footnote"/>
        <w:ind w:left="540" w:hanging="540"/>
        <w:rPr>
          <w:lang w:val="en-GB"/>
        </w:rPr>
      </w:pPr>
    </w:p>
    <w:p w14:paraId="565C8ADA" w14:textId="77777777" w:rsidR="00A75FE2" w:rsidRPr="009711EF" w:rsidRDefault="00A75FE2" w:rsidP="00992856">
      <w:pPr>
        <w:pStyle w:val="Footnote"/>
        <w:rPr>
          <w:lang w:val="en-GB"/>
        </w:rPr>
      </w:pPr>
    </w:p>
    <w:p w14:paraId="66FAC1DB" w14:textId="4C1AF739" w:rsidR="00D1388A" w:rsidRDefault="00D1388A" w:rsidP="00992856">
      <w:pPr>
        <w:pStyle w:val="Footnote"/>
        <w:ind w:left="540" w:hanging="540"/>
        <w:rPr>
          <w:lang w:val="en-GB"/>
        </w:rPr>
      </w:pPr>
      <w:r>
        <w:rPr>
          <w:lang w:val="en-GB"/>
        </w:rPr>
        <w:t>Note: C&amp;F = carrying-and-forwarding</w:t>
      </w:r>
    </w:p>
    <w:p w14:paraId="3747C169" w14:textId="77777777" w:rsidR="00360CF2" w:rsidRDefault="00A75FE2" w:rsidP="00992856">
      <w:pPr>
        <w:pStyle w:val="Footnote"/>
        <w:ind w:left="540" w:hanging="540"/>
        <w:rPr>
          <w:lang w:val="en-GB"/>
        </w:rPr>
      </w:pPr>
      <w:r w:rsidRPr="009711EF">
        <w:rPr>
          <w:lang w:val="en-GB"/>
        </w:rPr>
        <w:t xml:space="preserve">Source: </w:t>
      </w:r>
      <w:r w:rsidR="00992856">
        <w:rPr>
          <w:lang w:val="en-GB"/>
        </w:rPr>
        <w:t>Company documents.</w:t>
      </w:r>
    </w:p>
    <w:p w14:paraId="29812555" w14:textId="77777777" w:rsidR="00236394" w:rsidRDefault="00236394" w:rsidP="00992856">
      <w:pPr>
        <w:pStyle w:val="Footnote"/>
        <w:ind w:left="540" w:hanging="540"/>
        <w:rPr>
          <w:lang w:val="en-GB"/>
        </w:rPr>
      </w:pPr>
    </w:p>
    <w:p w14:paraId="5A81F895" w14:textId="77777777" w:rsidR="00236394" w:rsidRDefault="00236394" w:rsidP="00992856">
      <w:pPr>
        <w:pStyle w:val="Footnote"/>
        <w:ind w:left="540" w:hanging="540"/>
        <w:rPr>
          <w:lang w:val="en-GB"/>
        </w:rPr>
      </w:pPr>
    </w:p>
    <w:p w14:paraId="472A49A4" w14:textId="77777777" w:rsidR="00236394" w:rsidRDefault="00236394" w:rsidP="00992856">
      <w:pPr>
        <w:pStyle w:val="Footnote"/>
        <w:ind w:left="540" w:hanging="540"/>
        <w:rPr>
          <w:lang w:val="en-GB"/>
        </w:rPr>
      </w:pPr>
    </w:p>
    <w:p w14:paraId="3C57E66E" w14:textId="77777777" w:rsidR="00236394" w:rsidRDefault="00236394" w:rsidP="00992856">
      <w:pPr>
        <w:pStyle w:val="Footnote"/>
        <w:ind w:left="540" w:hanging="540"/>
        <w:rPr>
          <w:lang w:val="en-GB"/>
        </w:rPr>
      </w:pPr>
    </w:p>
    <w:p w14:paraId="132FD93D" w14:textId="77777777" w:rsidR="00236394" w:rsidRDefault="00236394" w:rsidP="00992856">
      <w:pPr>
        <w:pStyle w:val="Footnote"/>
        <w:ind w:left="540" w:hanging="540"/>
        <w:rPr>
          <w:lang w:val="en-GB"/>
        </w:rPr>
      </w:pPr>
    </w:p>
    <w:p w14:paraId="2DADB362" w14:textId="77777777" w:rsidR="00236394" w:rsidRDefault="00236394" w:rsidP="00992856">
      <w:pPr>
        <w:pStyle w:val="Footnote"/>
        <w:ind w:left="540" w:hanging="540"/>
        <w:rPr>
          <w:lang w:val="en-GB"/>
        </w:rPr>
      </w:pPr>
    </w:p>
    <w:p w14:paraId="7BC76F3E" w14:textId="77777777" w:rsidR="00236394" w:rsidRDefault="00236394" w:rsidP="00992856">
      <w:pPr>
        <w:pStyle w:val="Footnote"/>
        <w:ind w:left="540" w:hanging="540"/>
        <w:rPr>
          <w:lang w:val="en-GB"/>
        </w:rPr>
      </w:pPr>
    </w:p>
    <w:p w14:paraId="2D03AA04" w14:textId="77777777" w:rsidR="00236394" w:rsidRDefault="00236394" w:rsidP="00992856">
      <w:pPr>
        <w:pStyle w:val="Footnote"/>
        <w:ind w:left="540" w:hanging="540"/>
        <w:rPr>
          <w:lang w:val="en-GB"/>
        </w:rPr>
      </w:pPr>
    </w:p>
    <w:p w14:paraId="09D11271" w14:textId="445B5E07" w:rsidR="00236394" w:rsidRPr="00236394" w:rsidRDefault="00236394" w:rsidP="00992856">
      <w:pPr>
        <w:pStyle w:val="Footnote"/>
        <w:ind w:left="540" w:hanging="540"/>
        <w:rPr>
          <w:b/>
          <w:sz w:val="20"/>
          <w:szCs w:val="20"/>
          <w:lang w:val="en-GB"/>
        </w:rPr>
      </w:pPr>
    </w:p>
    <w:sectPr w:rsidR="00236394" w:rsidRPr="00236394"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F60617" w14:textId="77777777" w:rsidR="001B5A7D" w:rsidRDefault="001B5A7D" w:rsidP="00D75295">
      <w:r>
        <w:separator/>
      </w:r>
    </w:p>
  </w:endnote>
  <w:endnote w:type="continuationSeparator" w:id="0">
    <w:p w14:paraId="528DF3A0" w14:textId="77777777" w:rsidR="001B5A7D" w:rsidRDefault="001B5A7D"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3002EC" w14:textId="77777777" w:rsidR="001B5A7D" w:rsidRDefault="001B5A7D" w:rsidP="00D75295">
      <w:r>
        <w:separator/>
      </w:r>
    </w:p>
  </w:footnote>
  <w:footnote w:type="continuationSeparator" w:id="0">
    <w:p w14:paraId="7869F82D" w14:textId="77777777" w:rsidR="001B5A7D" w:rsidRDefault="001B5A7D" w:rsidP="00D75295">
      <w:r>
        <w:continuationSeparator/>
      </w:r>
    </w:p>
  </w:footnote>
  <w:footnote w:id="1">
    <w:p w14:paraId="5524D0CA" w14:textId="0F46668E" w:rsidR="00642358" w:rsidRPr="00E00859" w:rsidRDefault="00642358" w:rsidP="005F0C70">
      <w:pPr>
        <w:pStyle w:val="Footnote"/>
      </w:pPr>
      <w:r w:rsidRPr="00E00859">
        <w:rPr>
          <w:rStyle w:val="FootnoteReference"/>
        </w:rPr>
        <w:footnoteRef/>
      </w:r>
      <w:r w:rsidRPr="00E00859">
        <w:t xml:space="preserve"> </w:t>
      </w:r>
      <w:r w:rsidRPr="009711EF">
        <w:rPr>
          <w:lang w:val="en-GB"/>
        </w:rPr>
        <w:t>₹</w:t>
      </w:r>
      <w:r>
        <w:rPr>
          <w:lang w:val="en-GB"/>
        </w:rPr>
        <w:t xml:space="preserve"> = INR = Indian rupee; </w:t>
      </w:r>
      <w:r w:rsidR="006E7C36">
        <w:rPr>
          <w:lang w:val="en-GB"/>
        </w:rPr>
        <w:t>a</w:t>
      </w:r>
      <w:r w:rsidR="00C802CD">
        <w:rPr>
          <w:lang w:val="en-GB"/>
        </w:rPr>
        <w:t xml:space="preserve">ll currency amounts are in </w:t>
      </w:r>
      <w:r w:rsidR="006E7C36" w:rsidRPr="007824DE">
        <w:rPr>
          <w:lang w:val="en-GB"/>
        </w:rPr>
        <w:t>₹</w:t>
      </w:r>
      <w:r w:rsidR="00C802CD">
        <w:rPr>
          <w:lang w:val="en-GB"/>
        </w:rPr>
        <w:t xml:space="preserve"> unless otherwise specified; </w:t>
      </w:r>
      <w:r w:rsidRPr="007824DE">
        <w:rPr>
          <w:lang w:val="en-GB"/>
        </w:rPr>
        <w:t>₹</w:t>
      </w:r>
      <w:r w:rsidR="00C802CD">
        <w:rPr>
          <w:lang w:val="en-GB"/>
        </w:rPr>
        <w:t xml:space="preserve">1 = US$0.02 </w:t>
      </w:r>
      <w:r>
        <w:rPr>
          <w:lang w:val="en-GB"/>
        </w:rPr>
        <w:t>on May 1,</w:t>
      </w:r>
      <w:r w:rsidRPr="00E00859">
        <w:t xml:space="preserve"> 2017</w:t>
      </w:r>
      <w:r>
        <w:t>.</w:t>
      </w:r>
    </w:p>
  </w:footnote>
  <w:footnote w:id="2">
    <w:p w14:paraId="5702A262" w14:textId="1AD90D43" w:rsidR="00642358" w:rsidRPr="00892727" w:rsidRDefault="00642358" w:rsidP="00992856">
      <w:pPr>
        <w:pStyle w:val="FootnoteText"/>
        <w:jc w:val="both"/>
        <w:rPr>
          <w:rFonts w:ascii="Arial" w:hAnsi="Arial" w:cs="Arial"/>
          <w:spacing w:val="-6"/>
          <w:kern w:val="17"/>
          <w:sz w:val="17"/>
          <w:szCs w:val="17"/>
        </w:rPr>
      </w:pPr>
      <w:r w:rsidRPr="00892727">
        <w:rPr>
          <w:rStyle w:val="FootnoteReference"/>
          <w:rFonts w:ascii="Arial" w:hAnsi="Arial" w:cs="Arial"/>
          <w:spacing w:val="-6"/>
          <w:kern w:val="17"/>
          <w:sz w:val="17"/>
          <w:szCs w:val="17"/>
        </w:rPr>
        <w:footnoteRef/>
      </w:r>
      <w:r w:rsidRPr="00892727">
        <w:rPr>
          <w:rFonts w:ascii="Arial" w:hAnsi="Arial" w:cs="Arial"/>
          <w:spacing w:val="-6"/>
          <w:kern w:val="17"/>
          <w:sz w:val="17"/>
          <w:szCs w:val="17"/>
        </w:rPr>
        <w:t xml:space="preserve"> “</w:t>
      </w:r>
      <w:r w:rsidRPr="00892727">
        <w:rPr>
          <w:rFonts w:ascii="Arial" w:hAnsi="Arial" w:cs="Arial"/>
          <w:spacing w:val="-6"/>
          <w:kern w:val="17"/>
          <w:sz w:val="17"/>
          <w:szCs w:val="17"/>
          <w:lang w:val="en-IN" w:eastAsia="en-IN"/>
        </w:rPr>
        <w:t xml:space="preserve">Implementation of New Drug Pricing Policy to Impact Profits: Wyeth,” </w:t>
      </w:r>
      <w:r w:rsidRPr="00892727">
        <w:rPr>
          <w:rFonts w:ascii="Arial" w:hAnsi="Arial" w:cs="Arial"/>
          <w:i/>
          <w:spacing w:val="-6"/>
          <w:kern w:val="17"/>
          <w:sz w:val="17"/>
          <w:szCs w:val="17"/>
          <w:lang w:val="en-IN" w:eastAsia="en-IN"/>
        </w:rPr>
        <w:t xml:space="preserve">Hindu </w:t>
      </w:r>
      <w:r w:rsidRPr="00892727">
        <w:rPr>
          <w:rFonts w:ascii="Arial" w:hAnsi="Arial" w:cs="Arial"/>
          <w:iCs/>
          <w:spacing w:val="-6"/>
          <w:kern w:val="17"/>
          <w:sz w:val="17"/>
          <w:szCs w:val="17"/>
          <w:lang w:val="en-IN" w:eastAsia="en-IN"/>
        </w:rPr>
        <w:t>Business Line</w:t>
      </w:r>
      <w:r w:rsidRPr="00892727">
        <w:rPr>
          <w:rFonts w:ascii="Arial" w:hAnsi="Arial" w:cs="Arial"/>
          <w:spacing w:val="-6"/>
          <w:kern w:val="17"/>
          <w:sz w:val="17"/>
          <w:szCs w:val="17"/>
          <w:lang w:val="en-IN" w:eastAsia="en-IN"/>
        </w:rPr>
        <w:t>, August 5, 2013,</w:t>
      </w:r>
      <w:r w:rsidRPr="00892727">
        <w:rPr>
          <w:rFonts w:ascii="Arial" w:hAnsi="Arial" w:cs="Arial"/>
          <w:b/>
          <w:spacing w:val="-6"/>
          <w:kern w:val="17"/>
          <w:sz w:val="17"/>
          <w:szCs w:val="17"/>
          <w:lang w:val="en-IN" w:eastAsia="en-IN"/>
        </w:rPr>
        <w:t xml:space="preserve"> </w:t>
      </w:r>
      <w:r w:rsidRPr="00892727">
        <w:rPr>
          <w:rFonts w:ascii="Arial" w:hAnsi="Arial" w:cs="Arial"/>
          <w:spacing w:val="-6"/>
          <w:kern w:val="17"/>
          <w:sz w:val="17"/>
          <w:szCs w:val="17"/>
          <w:lang w:val="en-IN" w:eastAsia="en-IN"/>
        </w:rPr>
        <w:t xml:space="preserve">accessed April 11, 2017, </w:t>
      </w:r>
      <w:r w:rsidRPr="00892727">
        <w:rPr>
          <w:rFonts w:ascii="Arial" w:hAnsi="Arial" w:cs="Arial"/>
          <w:spacing w:val="-6"/>
          <w:kern w:val="17"/>
          <w:sz w:val="17"/>
          <w:szCs w:val="17"/>
        </w:rPr>
        <w:t>www.thehindubusinessline.com/companies/implementation-of-new-drug-pricing-policy-to-impact-profits-wyeth/article4991779.ece.</w:t>
      </w:r>
    </w:p>
  </w:footnote>
  <w:footnote w:id="3">
    <w:p w14:paraId="6FD510E5" w14:textId="7CE48E6E" w:rsidR="00642358" w:rsidRPr="00892727" w:rsidRDefault="00642358" w:rsidP="005F0C70">
      <w:pPr>
        <w:pStyle w:val="Footnote"/>
        <w:rPr>
          <w:spacing w:val="-8"/>
          <w:kern w:val="17"/>
        </w:rPr>
      </w:pPr>
      <w:r w:rsidRPr="00892727">
        <w:rPr>
          <w:rStyle w:val="FootnoteChar"/>
          <w:rFonts w:eastAsiaTheme="minorHAnsi"/>
          <w:spacing w:val="-8"/>
          <w:kern w:val="17"/>
          <w:vertAlign w:val="superscript"/>
        </w:rPr>
        <w:footnoteRef/>
      </w:r>
      <w:r w:rsidR="00232CEE" w:rsidRPr="00892727">
        <w:rPr>
          <w:rStyle w:val="FootnoteChar"/>
          <w:rFonts w:eastAsiaTheme="minorHAnsi"/>
          <w:spacing w:val="-8"/>
          <w:kern w:val="17"/>
          <w:vertAlign w:val="superscript"/>
        </w:rPr>
        <w:t xml:space="preserve"> </w:t>
      </w:r>
      <w:r w:rsidRPr="00892727">
        <w:rPr>
          <w:spacing w:val="-8"/>
          <w:kern w:val="17"/>
        </w:rPr>
        <w:t>“Doing Business in Turkey,” export.gov</w:t>
      </w:r>
      <w:r w:rsidR="00892727" w:rsidRPr="00892727">
        <w:rPr>
          <w:spacing w:val="-8"/>
          <w:kern w:val="17"/>
        </w:rPr>
        <w:t>, August 31, 2016, accessed</w:t>
      </w:r>
      <w:r w:rsidRPr="00892727">
        <w:rPr>
          <w:spacing w:val="-8"/>
          <w:kern w:val="17"/>
        </w:rPr>
        <w:t xml:space="preserve"> May 8, 2017, http://2016.export.gov/turkey/doingbusinessinturkey/.</w:t>
      </w:r>
    </w:p>
  </w:footnote>
  <w:footnote w:id="4">
    <w:p w14:paraId="1B1C65D7" w14:textId="5B906B1B" w:rsidR="00642358" w:rsidRPr="00E00859" w:rsidRDefault="00642358" w:rsidP="00992856">
      <w:pPr>
        <w:pStyle w:val="NoSpacing"/>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proofErr w:type="spellStart"/>
      <w:r w:rsidRPr="00E00859">
        <w:rPr>
          <w:rFonts w:ascii="Arial" w:hAnsi="Arial" w:cs="Arial"/>
          <w:sz w:val="17"/>
          <w:szCs w:val="17"/>
          <w:shd w:val="clear" w:color="auto" w:fill="FFFFFF"/>
        </w:rPr>
        <w:t>Özge</w:t>
      </w:r>
      <w:proofErr w:type="spellEnd"/>
      <w:r w:rsidRPr="00E00859">
        <w:rPr>
          <w:rFonts w:ascii="Arial" w:hAnsi="Arial" w:cs="Arial"/>
          <w:sz w:val="17"/>
          <w:szCs w:val="17"/>
          <w:shd w:val="clear" w:color="auto" w:fill="FFFFFF"/>
        </w:rPr>
        <w:t xml:space="preserve"> </w:t>
      </w:r>
      <w:proofErr w:type="spellStart"/>
      <w:r w:rsidRPr="00E00859">
        <w:rPr>
          <w:rFonts w:ascii="Arial" w:hAnsi="Arial" w:cs="Arial"/>
          <w:sz w:val="17"/>
          <w:szCs w:val="17"/>
          <w:shd w:val="clear" w:color="auto" w:fill="FFFFFF"/>
        </w:rPr>
        <w:t>Atılgan</w:t>
      </w:r>
      <w:proofErr w:type="spellEnd"/>
      <w:r w:rsidRPr="00E00859">
        <w:rPr>
          <w:rFonts w:ascii="Arial" w:hAnsi="Arial" w:cs="Arial"/>
          <w:sz w:val="17"/>
          <w:szCs w:val="17"/>
          <w:shd w:val="clear" w:color="auto" w:fill="FFFFFF"/>
        </w:rPr>
        <w:t xml:space="preserve"> </w:t>
      </w:r>
      <w:proofErr w:type="spellStart"/>
      <w:r w:rsidRPr="00E00859">
        <w:rPr>
          <w:rFonts w:ascii="Arial" w:hAnsi="Arial" w:cs="Arial"/>
          <w:sz w:val="17"/>
          <w:szCs w:val="17"/>
          <w:shd w:val="clear" w:color="auto" w:fill="FFFFFF"/>
        </w:rPr>
        <w:t>Karakulak</w:t>
      </w:r>
      <w:proofErr w:type="spellEnd"/>
      <w:r w:rsidRPr="00E00859">
        <w:rPr>
          <w:rFonts w:ascii="Arial" w:hAnsi="Arial" w:cs="Arial"/>
          <w:sz w:val="17"/>
          <w:szCs w:val="17"/>
          <w:shd w:val="clear" w:color="auto" w:fill="FFFFFF"/>
        </w:rPr>
        <w:t xml:space="preserve"> and Bentley James </w:t>
      </w:r>
      <w:proofErr w:type="spellStart"/>
      <w:r w:rsidRPr="00E00859">
        <w:rPr>
          <w:rFonts w:ascii="Arial" w:hAnsi="Arial" w:cs="Arial"/>
          <w:sz w:val="17"/>
          <w:szCs w:val="17"/>
          <w:shd w:val="clear" w:color="auto" w:fill="FFFFFF"/>
        </w:rPr>
        <w:t>Yaffe</w:t>
      </w:r>
      <w:proofErr w:type="spellEnd"/>
      <w:r w:rsidRPr="00E00859">
        <w:rPr>
          <w:rFonts w:ascii="Arial" w:hAnsi="Arial" w:cs="Arial"/>
          <w:sz w:val="17"/>
          <w:szCs w:val="17"/>
          <w:shd w:val="clear" w:color="auto" w:fill="FFFFFF"/>
        </w:rPr>
        <w:t xml:space="preserve">, </w:t>
      </w:r>
      <w:r>
        <w:rPr>
          <w:rFonts w:ascii="Arial" w:hAnsi="Arial" w:cs="Arial"/>
          <w:sz w:val="17"/>
          <w:szCs w:val="17"/>
          <w:shd w:val="clear" w:color="auto" w:fill="FFFFFF"/>
        </w:rPr>
        <w:t>“</w:t>
      </w:r>
      <w:r w:rsidRPr="00E00859">
        <w:rPr>
          <w:rFonts w:ascii="Arial" w:hAnsi="Arial" w:cs="Arial"/>
          <w:sz w:val="17"/>
          <w:szCs w:val="17"/>
        </w:rPr>
        <w:t>Life Sciences 2017, Trends &amp; Developments, Turkey Chapter,</w:t>
      </w:r>
      <w:r>
        <w:rPr>
          <w:rFonts w:ascii="Arial" w:hAnsi="Arial" w:cs="Arial"/>
          <w:sz w:val="17"/>
          <w:szCs w:val="17"/>
        </w:rPr>
        <w:t>”</w:t>
      </w:r>
      <w:r w:rsidRPr="00E00859">
        <w:rPr>
          <w:rFonts w:ascii="Arial" w:hAnsi="Arial" w:cs="Arial"/>
          <w:sz w:val="17"/>
          <w:szCs w:val="17"/>
        </w:rPr>
        <w:t xml:space="preserve"> </w:t>
      </w:r>
      <w:proofErr w:type="spellStart"/>
      <w:r w:rsidRPr="00E00859">
        <w:rPr>
          <w:rFonts w:ascii="Arial" w:hAnsi="Arial" w:cs="Arial"/>
          <w:sz w:val="17"/>
          <w:szCs w:val="17"/>
        </w:rPr>
        <w:t>G</w:t>
      </w:r>
      <w:r>
        <w:rPr>
          <w:rFonts w:ascii="Arial" w:hAnsi="Arial" w:cs="Arial"/>
          <w:sz w:val="17"/>
          <w:szCs w:val="17"/>
        </w:rPr>
        <w:t>ü</w:t>
      </w:r>
      <w:r w:rsidRPr="00E00859">
        <w:rPr>
          <w:rFonts w:ascii="Arial" w:hAnsi="Arial" w:cs="Arial"/>
          <w:sz w:val="17"/>
          <w:szCs w:val="17"/>
        </w:rPr>
        <w:t>n</w:t>
      </w:r>
      <w:proofErr w:type="spellEnd"/>
      <w:r w:rsidRPr="00E00859">
        <w:rPr>
          <w:rFonts w:ascii="Arial" w:hAnsi="Arial" w:cs="Arial"/>
          <w:sz w:val="17"/>
          <w:szCs w:val="17"/>
        </w:rPr>
        <w:t xml:space="preserve"> + Partners, November 7, 2016, accessed April 15, 2017, http://gun.av.tr/tr/chambers-global-practice-guides-life-sciences-2017-trends-developments-turkey-chapter/</w:t>
      </w:r>
      <w:r>
        <w:rPr>
          <w:rFonts w:ascii="Arial" w:hAnsi="Arial" w:cs="Arial"/>
          <w:sz w:val="17"/>
          <w:szCs w:val="17"/>
        </w:rPr>
        <w:t>.</w:t>
      </w:r>
    </w:p>
  </w:footnote>
  <w:footnote w:id="5">
    <w:p w14:paraId="4C823F65" w14:textId="2A2FBB94" w:rsidR="00642358" w:rsidRPr="00E00859" w:rsidRDefault="00642358" w:rsidP="00773332">
      <w:pPr>
        <w:pStyle w:val="NoSpacing"/>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sidRPr="00E00859">
        <w:rPr>
          <w:rFonts w:ascii="Arial" w:hAnsi="Arial" w:cs="Arial"/>
          <w:sz w:val="17"/>
          <w:szCs w:val="17"/>
          <w:shd w:val="clear" w:color="auto" w:fill="FFFFFF"/>
        </w:rPr>
        <w:t xml:space="preserve">Ahmet </w:t>
      </w:r>
      <w:proofErr w:type="spellStart"/>
      <w:r w:rsidRPr="00E00859">
        <w:rPr>
          <w:rFonts w:ascii="Arial" w:hAnsi="Arial" w:cs="Arial"/>
          <w:sz w:val="17"/>
          <w:szCs w:val="17"/>
          <w:shd w:val="clear" w:color="auto" w:fill="FFFFFF"/>
        </w:rPr>
        <w:t>Faruk</w:t>
      </w:r>
      <w:proofErr w:type="spellEnd"/>
      <w:r>
        <w:rPr>
          <w:rFonts w:ascii="Arial" w:hAnsi="Arial" w:cs="Arial"/>
          <w:sz w:val="17"/>
          <w:szCs w:val="17"/>
          <w:shd w:val="clear" w:color="auto" w:fill="FFFFFF"/>
        </w:rPr>
        <w:t xml:space="preserve"> </w:t>
      </w:r>
      <w:proofErr w:type="spellStart"/>
      <w:r>
        <w:rPr>
          <w:rFonts w:ascii="Arial" w:hAnsi="Arial" w:cs="Arial"/>
          <w:sz w:val="17"/>
          <w:szCs w:val="17"/>
          <w:shd w:val="clear" w:color="auto" w:fill="FFFFFF"/>
        </w:rPr>
        <w:t>Aysan</w:t>
      </w:r>
      <w:proofErr w:type="spellEnd"/>
      <w:r w:rsidRPr="00E00859">
        <w:rPr>
          <w:rFonts w:ascii="Arial" w:hAnsi="Arial" w:cs="Arial"/>
          <w:sz w:val="17"/>
          <w:szCs w:val="17"/>
          <w:shd w:val="clear" w:color="auto" w:fill="FFFFFF"/>
        </w:rPr>
        <w:t xml:space="preserve"> and </w:t>
      </w:r>
      <w:proofErr w:type="spellStart"/>
      <w:r w:rsidRPr="00E00859">
        <w:rPr>
          <w:rFonts w:ascii="Arial" w:hAnsi="Arial" w:cs="Arial"/>
          <w:sz w:val="17"/>
          <w:szCs w:val="17"/>
          <w:shd w:val="clear" w:color="auto" w:fill="FFFFFF"/>
        </w:rPr>
        <w:t>Burcu</w:t>
      </w:r>
      <w:proofErr w:type="spellEnd"/>
      <w:r w:rsidRPr="00E00859">
        <w:rPr>
          <w:rFonts w:ascii="Arial" w:hAnsi="Arial" w:cs="Arial"/>
          <w:sz w:val="17"/>
          <w:szCs w:val="17"/>
          <w:shd w:val="clear" w:color="auto" w:fill="FFFFFF"/>
        </w:rPr>
        <w:t xml:space="preserve"> </w:t>
      </w:r>
      <w:proofErr w:type="spellStart"/>
      <w:r w:rsidRPr="00E00859">
        <w:rPr>
          <w:rFonts w:ascii="Arial" w:hAnsi="Arial" w:cs="Arial"/>
          <w:sz w:val="17"/>
          <w:szCs w:val="17"/>
          <w:shd w:val="clear" w:color="auto" w:fill="FFFFFF"/>
        </w:rPr>
        <w:t>Din</w:t>
      </w:r>
      <w:r>
        <w:rPr>
          <w:rFonts w:ascii="Arial" w:hAnsi="Arial" w:cs="Arial"/>
          <w:sz w:val="17"/>
          <w:szCs w:val="17"/>
          <w:shd w:val="clear" w:color="auto" w:fill="FFFFFF"/>
        </w:rPr>
        <w:t>ç</w:t>
      </w:r>
      <w:r w:rsidRPr="00E00859">
        <w:rPr>
          <w:rFonts w:ascii="Arial" w:hAnsi="Arial" w:cs="Arial"/>
          <w:sz w:val="17"/>
          <w:szCs w:val="17"/>
          <w:shd w:val="clear" w:color="auto" w:fill="FFFFFF"/>
        </w:rPr>
        <w:t>soy</w:t>
      </w:r>
      <w:proofErr w:type="spellEnd"/>
      <w:r w:rsidR="00232CEE">
        <w:rPr>
          <w:rFonts w:ascii="Arial" w:hAnsi="Arial" w:cs="Arial"/>
          <w:sz w:val="17"/>
          <w:szCs w:val="17"/>
          <w:shd w:val="clear" w:color="auto" w:fill="FFFFFF"/>
        </w:rPr>
        <w:t>,</w:t>
      </w:r>
      <w:r w:rsidRPr="00E00859">
        <w:rPr>
          <w:rFonts w:ascii="Arial" w:hAnsi="Arial" w:cs="Arial"/>
          <w:sz w:val="17"/>
          <w:szCs w:val="17"/>
          <w:shd w:val="clear" w:color="auto" w:fill="FFFFFF"/>
        </w:rPr>
        <w:t xml:space="preserve"> </w:t>
      </w:r>
      <w:r w:rsidRPr="001A443D">
        <w:rPr>
          <w:rFonts w:ascii="Arial" w:hAnsi="Arial" w:cs="Arial"/>
          <w:i/>
          <w:sz w:val="17"/>
          <w:szCs w:val="17"/>
          <w:shd w:val="clear" w:color="auto" w:fill="FFFFFF"/>
        </w:rPr>
        <w:t>Cost of Labor in Manufacturing Sectors of Turkey Compared with Other Transition Countries: Hungary, Poland, Czech Republic and Slovakia,</w:t>
      </w:r>
      <w:r w:rsidRPr="00E00859">
        <w:rPr>
          <w:rFonts w:ascii="Arial" w:hAnsi="Arial" w:cs="Arial"/>
          <w:sz w:val="17"/>
          <w:szCs w:val="17"/>
          <w:shd w:val="clear" w:color="auto" w:fill="FFFFFF"/>
        </w:rPr>
        <w:t xml:space="preserve"> 2007, </w:t>
      </w:r>
      <w:r>
        <w:rPr>
          <w:rFonts w:ascii="Arial" w:hAnsi="Arial" w:cs="Arial"/>
          <w:sz w:val="17"/>
          <w:szCs w:val="17"/>
          <w:shd w:val="clear" w:color="auto" w:fill="FFFFFF"/>
        </w:rPr>
        <w:t xml:space="preserve">accessed April 23, 2017, </w:t>
      </w:r>
      <w:r w:rsidRPr="00E00859">
        <w:rPr>
          <w:rFonts w:ascii="Arial" w:hAnsi="Arial" w:cs="Arial"/>
          <w:sz w:val="17"/>
          <w:szCs w:val="17"/>
          <w:shd w:val="clear" w:color="auto" w:fill="FFFFFF"/>
        </w:rPr>
        <w:t>www.econ.boun.edu.tr/content/wp/ISS_EC_07_04.pdf</w:t>
      </w:r>
      <w:r>
        <w:rPr>
          <w:rFonts w:ascii="Arial" w:hAnsi="Arial" w:cs="Arial"/>
          <w:sz w:val="17"/>
          <w:szCs w:val="17"/>
          <w:shd w:val="clear" w:color="auto" w:fill="FFFFFF"/>
        </w:rPr>
        <w:t>.</w:t>
      </w:r>
    </w:p>
  </w:footnote>
  <w:footnote w:id="6">
    <w:p w14:paraId="156E63F8" w14:textId="61EDFF12" w:rsidR="00642358" w:rsidRPr="00E00859" w:rsidRDefault="00642358" w:rsidP="00B5572A">
      <w:pPr>
        <w:pStyle w:val="FootnoteText"/>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sidRPr="00992856">
        <w:rPr>
          <w:rStyle w:val="FootnoteChar"/>
        </w:rPr>
        <w:t>₺ = TRY = Turkish lira; ₺</w:t>
      </w:r>
      <w:r w:rsidR="002B6944">
        <w:rPr>
          <w:rStyle w:val="FootnoteChar"/>
        </w:rPr>
        <w:t xml:space="preserve">1 = US$0.28 </w:t>
      </w:r>
      <w:r w:rsidRPr="00992856">
        <w:rPr>
          <w:rStyle w:val="FootnoteChar"/>
        </w:rPr>
        <w:t xml:space="preserve">on </w:t>
      </w:r>
      <w:r>
        <w:rPr>
          <w:rStyle w:val="FootnoteChar"/>
        </w:rPr>
        <w:t>May 1</w:t>
      </w:r>
      <w:r w:rsidRPr="00992856">
        <w:rPr>
          <w:rStyle w:val="FootnoteChar"/>
        </w:rPr>
        <w:t>, 2017.</w:t>
      </w:r>
    </w:p>
  </w:footnote>
  <w:footnote w:id="7">
    <w:p w14:paraId="43A54A19" w14:textId="2EFA5F40" w:rsidR="00642358" w:rsidRPr="00E00859" w:rsidRDefault="00642358" w:rsidP="00992856">
      <w:pPr>
        <w:pStyle w:val="NoSpacing"/>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Pr>
          <w:rFonts w:ascii="Arial" w:hAnsi="Arial" w:cs="Arial"/>
          <w:sz w:val="17"/>
          <w:szCs w:val="17"/>
        </w:rPr>
        <w:t>“</w:t>
      </w:r>
      <w:r w:rsidRPr="00E00859">
        <w:rPr>
          <w:rFonts w:ascii="Arial" w:hAnsi="Arial" w:cs="Arial"/>
          <w:sz w:val="17"/>
          <w:szCs w:val="17"/>
        </w:rPr>
        <w:t xml:space="preserve">Focus on </w:t>
      </w:r>
      <w:r>
        <w:rPr>
          <w:rFonts w:ascii="Arial" w:hAnsi="Arial" w:cs="Arial"/>
          <w:sz w:val="17"/>
          <w:szCs w:val="17"/>
        </w:rPr>
        <w:t>E</w:t>
      </w:r>
      <w:r w:rsidRPr="00E00859">
        <w:rPr>
          <w:rFonts w:ascii="Arial" w:hAnsi="Arial" w:cs="Arial"/>
          <w:sz w:val="17"/>
          <w:szCs w:val="17"/>
        </w:rPr>
        <w:t xml:space="preserve">very </w:t>
      </w:r>
      <w:r>
        <w:rPr>
          <w:rFonts w:ascii="Arial" w:hAnsi="Arial" w:cs="Arial"/>
          <w:sz w:val="17"/>
          <w:szCs w:val="17"/>
        </w:rPr>
        <w:t>A</w:t>
      </w:r>
      <w:r w:rsidRPr="00E00859">
        <w:rPr>
          <w:rFonts w:ascii="Arial" w:hAnsi="Arial" w:cs="Arial"/>
          <w:sz w:val="17"/>
          <w:szCs w:val="17"/>
        </w:rPr>
        <w:t xml:space="preserve">spect of </w:t>
      </w:r>
      <w:r>
        <w:rPr>
          <w:rFonts w:ascii="Arial" w:hAnsi="Arial" w:cs="Arial"/>
          <w:sz w:val="17"/>
          <w:szCs w:val="17"/>
        </w:rPr>
        <w:t>H</w:t>
      </w:r>
      <w:r w:rsidRPr="00E00859">
        <w:rPr>
          <w:rFonts w:ascii="Arial" w:hAnsi="Arial" w:cs="Arial"/>
          <w:sz w:val="17"/>
          <w:szCs w:val="17"/>
        </w:rPr>
        <w:t xml:space="preserve">uman </w:t>
      </w:r>
      <w:r>
        <w:rPr>
          <w:rFonts w:ascii="Arial" w:hAnsi="Arial" w:cs="Arial"/>
          <w:sz w:val="17"/>
          <w:szCs w:val="17"/>
        </w:rPr>
        <w:t>L</w:t>
      </w:r>
      <w:r w:rsidRPr="00E00859">
        <w:rPr>
          <w:rFonts w:ascii="Arial" w:hAnsi="Arial" w:cs="Arial"/>
          <w:sz w:val="17"/>
          <w:szCs w:val="17"/>
        </w:rPr>
        <w:t>ife,</w:t>
      </w:r>
      <w:r>
        <w:rPr>
          <w:rFonts w:ascii="Arial" w:hAnsi="Arial" w:cs="Arial"/>
          <w:sz w:val="17"/>
          <w:szCs w:val="17"/>
        </w:rPr>
        <w:t>”</w:t>
      </w:r>
      <w:r w:rsidRPr="00E00859">
        <w:rPr>
          <w:rFonts w:ascii="Arial" w:hAnsi="Arial" w:cs="Arial"/>
          <w:sz w:val="17"/>
          <w:szCs w:val="17"/>
        </w:rPr>
        <w:t xml:space="preserve"> Fortune Turkey, June 6, 2016, accessed April 10, 2017, www.fortuneturkey.com/insan-hayatinin-her-noktasina-odaklanmak-34721</w:t>
      </w:r>
      <w:r>
        <w:rPr>
          <w:rFonts w:ascii="Arial" w:hAnsi="Arial" w:cs="Arial"/>
          <w:sz w:val="17"/>
          <w:szCs w:val="17"/>
        </w:rPr>
        <w:t>.</w:t>
      </w:r>
    </w:p>
  </w:footnote>
  <w:footnote w:id="8">
    <w:p w14:paraId="37187B4C" w14:textId="35550734" w:rsidR="00642358" w:rsidRPr="00892727" w:rsidRDefault="00642358" w:rsidP="00992856">
      <w:pPr>
        <w:pStyle w:val="NoSpacing"/>
        <w:jc w:val="both"/>
        <w:rPr>
          <w:rFonts w:ascii="Arial" w:hAnsi="Arial" w:cs="Arial"/>
          <w:spacing w:val="-6"/>
          <w:kern w:val="17"/>
          <w:sz w:val="17"/>
          <w:szCs w:val="17"/>
        </w:rPr>
      </w:pPr>
      <w:r w:rsidRPr="00892727">
        <w:rPr>
          <w:rStyle w:val="FootnoteReference"/>
          <w:rFonts w:ascii="Arial" w:hAnsi="Arial" w:cs="Arial"/>
          <w:spacing w:val="-6"/>
          <w:kern w:val="17"/>
          <w:sz w:val="17"/>
          <w:szCs w:val="17"/>
        </w:rPr>
        <w:footnoteRef/>
      </w:r>
      <w:r w:rsidRPr="00892727">
        <w:rPr>
          <w:rFonts w:ascii="Arial" w:hAnsi="Arial" w:cs="Arial"/>
          <w:spacing w:val="-6"/>
          <w:kern w:val="17"/>
          <w:sz w:val="17"/>
          <w:szCs w:val="17"/>
        </w:rPr>
        <w:t xml:space="preserve"> </w:t>
      </w:r>
      <w:proofErr w:type="spellStart"/>
      <w:r w:rsidRPr="00892727">
        <w:rPr>
          <w:rFonts w:ascii="Arial" w:hAnsi="Arial" w:cs="Arial"/>
          <w:spacing w:val="-6"/>
          <w:kern w:val="17"/>
          <w:sz w:val="17"/>
          <w:szCs w:val="17"/>
        </w:rPr>
        <w:t>Anadolu</w:t>
      </w:r>
      <w:proofErr w:type="spellEnd"/>
      <w:r w:rsidRPr="00892727">
        <w:rPr>
          <w:rFonts w:ascii="Arial" w:hAnsi="Arial" w:cs="Arial"/>
          <w:spacing w:val="-6"/>
          <w:kern w:val="17"/>
          <w:sz w:val="17"/>
          <w:szCs w:val="17"/>
        </w:rPr>
        <w:t xml:space="preserve"> Agency, Turkey Drug Sector 2017 report (Which </w:t>
      </w:r>
      <w:r w:rsidR="008A472C" w:rsidRPr="00892727">
        <w:rPr>
          <w:rFonts w:ascii="Arial" w:hAnsi="Arial" w:cs="Arial"/>
          <w:spacing w:val="-6"/>
          <w:kern w:val="17"/>
          <w:sz w:val="17"/>
          <w:szCs w:val="17"/>
        </w:rPr>
        <w:t>D</w:t>
      </w:r>
      <w:r w:rsidRPr="00892727">
        <w:rPr>
          <w:rFonts w:ascii="Arial" w:hAnsi="Arial" w:cs="Arial"/>
          <w:spacing w:val="-6"/>
          <w:kern w:val="17"/>
          <w:sz w:val="17"/>
          <w:szCs w:val="17"/>
        </w:rPr>
        <w:t xml:space="preserve">rug </w:t>
      </w:r>
      <w:r w:rsidR="008A472C" w:rsidRPr="00892727">
        <w:rPr>
          <w:rFonts w:ascii="Arial" w:hAnsi="Arial" w:cs="Arial"/>
          <w:spacing w:val="-6"/>
          <w:kern w:val="17"/>
          <w:sz w:val="17"/>
          <w:szCs w:val="17"/>
        </w:rPr>
        <w:t>C</w:t>
      </w:r>
      <w:r w:rsidRPr="00892727">
        <w:rPr>
          <w:rFonts w:ascii="Arial" w:hAnsi="Arial" w:cs="Arial"/>
          <w:spacing w:val="-6"/>
          <w:kern w:val="17"/>
          <w:sz w:val="17"/>
          <w:szCs w:val="17"/>
        </w:rPr>
        <w:t xml:space="preserve">ompany </w:t>
      </w:r>
      <w:r w:rsidR="008A472C" w:rsidRPr="00892727">
        <w:rPr>
          <w:rFonts w:ascii="Arial" w:hAnsi="Arial" w:cs="Arial"/>
          <w:spacing w:val="-6"/>
          <w:kern w:val="17"/>
          <w:sz w:val="17"/>
          <w:szCs w:val="17"/>
        </w:rPr>
        <w:t>D</w:t>
      </w:r>
      <w:r w:rsidRPr="00892727">
        <w:rPr>
          <w:rFonts w:ascii="Arial" w:hAnsi="Arial" w:cs="Arial"/>
          <w:spacing w:val="-6"/>
          <w:kern w:val="17"/>
          <w:sz w:val="17"/>
          <w:szCs w:val="17"/>
        </w:rPr>
        <w:t xml:space="preserve">o </w:t>
      </w:r>
      <w:r w:rsidR="008A472C" w:rsidRPr="00892727">
        <w:rPr>
          <w:rFonts w:ascii="Arial" w:hAnsi="Arial" w:cs="Arial"/>
          <w:spacing w:val="-6"/>
          <w:kern w:val="17"/>
          <w:sz w:val="17"/>
          <w:szCs w:val="17"/>
        </w:rPr>
        <w:t>Y</w:t>
      </w:r>
      <w:r w:rsidRPr="00892727">
        <w:rPr>
          <w:rFonts w:ascii="Arial" w:hAnsi="Arial" w:cs="Arial"/>
          <w:spacing w:val="-6"/>
          <w:kern w:val="17"/>
          <w:sz w:val="17"/>
          <w:szCs w:val="17"/>
        </w:rPr>
        <w:t xml:space="preserve">ou </w:t>
      </w:r>
      <w:r w:rsidR="008A472C" w:rsidRPr="00892727">
        <w:rPr>
          <w:rFonts w:ascii="Arial" w:hAnsi="Arial" w:cs="Arial"/>
          <w:spacing w:val="-6"/>
          <w:kern w:val="17"/>
          <w:sz w:val="17"/>
          <w:szCs w:val="17"/>
        </w:rPr>
        <w:t>U</w:t>
      </w:r>
      <w:r w:rsidRPr="00892727">
        <w:rPr>
          <w:rFonts w:ascii="Arial" w:hAnsi="Arial" w:cs="Arial"/>
          <w:spacing w:val="-6"/>
          <w:kern w:val="17"/>
          <w:sz w:val="17"/>
          <w:szCs w:val="17"/>
        </w:rPr>
        <w:t xml:space="preserve">se the </w:t>
      </w:r>
      <w:r w:rsidR="008A472C" w:rsidRPr="00892727">
        <w:rPr>
          <w:rFonts w:ascii="Arial" w:hAnsi="Arial" w:cs="Arial"/>
          <w:spacing w:val="-6"/>
          <w:kern w:val="17"/>
          <w:sz w:val="17"/>
          <w:szCs w:val="17"/>
        </w:rPr>
        <w:t>M</w:t>
      </w:r>
      <w:r w:rsidRPr="00892727">
        <w:rPr>
          <w:rFonts w:ascii="Arial" w:hAnsi="Arial" w:cs="Arial"/>
          <w:spacing w:val="-6"/>
          <w:kern w:val="17"/>
          <w:sz w:val="17"/>
          <w:szCs w:val="17"/>
        </w:rPr>
        <w:t>ost?), NTV, March 2, 2017, accessed April 10, 2017, www.ntv.com.tr/saglik/turkiye-ilac-sektoru-2017-raporu-aciklandi-en-cok-hangi-ilaci-kullandik,JIEM9YQ9mEaSdCj_Fgl_Sw.</w:t>
      </w:r>
    </w:p>
  </w:footnote>
  <w:footnote w:id="9">
    <w:p w14:paraId="24415DA0" w14:textId="1A023846" w:rsidR="00642358" w:rsidRPr="00E00859" w:rsidRDefault="00642358" w:rsidP="00992856">
      <w:pPr>
        <w:pStyle w:val="FootnoteText"/>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proofErr w:type="spellStart"/>
      <w:r w:rsidRPr="00E00859">
        <w:rPr>
          <w:rFonts w:ascii="Arial" w:hAnsi="Arial" w:cs="Arial"/>
          <w:sz w:val="17"/>
          <w:szCs w:val="17"/>
          <w:shd w:val="clear" w:color="auto" w:fill="FFFFFF"/>
        </w:rPr>
        <w:t>Özge</w:t>
      </w:r>
      <w:proofErr w:type="spellEnd"/>
      <w:r w:rsidRPr="00E00859">
        <w:rPr>
          <w:rFonts w:ascii="Arial" w:hAnsi="Arial" w:cs="Arial"/>
          <w:sz w:val="17"/>
          <w:szCs w:val="17"/>
          <w:shd w:val="clear" w:color="auto" w:fill="FFFFFF"/>
        </w:rPr>
        <w:t xml:space="preserve"> </w:t>
      </w:r>
      <w:proofErr w:type="spellStart"/>
      <w:r w:rsidRPr="00E00859">
        <w:rPr>
          <w:rFonts w:ascii="Arial" w:hAnsi="Arial" w:cs="Arial"/>
          <w:sz w:val="17"/>
          <w:szCs w:val="17"/>
          <w:shd w:val="clear" w:color="auto" w:fill="FFFFFF"/>
        </w:rPr>
        <w:t>Atılgan</w:t>
      </w:r>
      <w:proofErr w:type="spellEnd"/>
      <w:r>
        <w:rPr>
          <w:rFonts w:ascii="Arial" w:hAnsi="Arial" w:cs="Arial"/>
          <w:sz w:val="17"/>
          <w:szCs w:val="17"/>
          <w:shd w:val="clear" w:color="auto" w:fill="FFFFFF"/>
        </w:rPr>
        <w:t xml:space="preserve"> </w:t>
      </w:r>
      <w:proofErr w:type="spellStart"/>
      <w:r>
        <w:rPr>
          <w:rFonts w:ascii="Arial" w:hAnsi="Arial" w:cs="Arial"/>
          <w:sz w:val="17"/>
          <w:szCs w:val="17"/>
          <w:shd w:val="clear" w:color="auto" w:fill="FFFFFF"/>
        </w:rPr>
        <w:t>Karakulak</w:t>
      </w:r>
      <w:proofErr w:type="spellEnd"/>
      <w:r w:rsidRPr="00E00859">
        <w:rPr>
          <w:rFonts w:ascii="Arial" w:hAnsi="Arial" w:cs="Arial"/>
          <w:sz w:val="17"/>
          <w:szCs w:val="17"/>
          <w:shd w:val="clear" w:color="auto" w:fill="FFFFFF"/>
        </w:rPr>
        <w:t xml:space="preserve"> and Bentley James</w:t>
      </w:r>
      <w:r>
        <w:rPr>
          <w:rFonts w:ascii="Arial" w:hAnsi="Arial" w:cs="Arial"/>
          <w:sz w:val="17"/>
          <w:szCs w:val="17"/>
          <w:shd w:val="clear" w:color="auto" w:fill="FFFFFF"/>
        </w:rPr>
        <w:t xml:space="preserve"> </w:t>
      </w:r>
      <w:proofErr w:type="spellStart"/>
      <w:r>
        <w:rPr>
          <w:rFonts w:ascii="Arial" w:hAnsi="Arial" w:cs="Arial"/>
          <w:sz w:val="17"/>
          <w:szCs w:val="17"/>
          <w:shd w:val="clear" w:color="auto" w:fill="FFFFFF"/>
        </w:rPr>
        <w:t>Yaffe</w:t>
      </w:r>
      <w:proofErr w:type="spellEnd"/>
      <w:r>
        <w:rPr>
          <w:rFonts w:ascii="Arial" w:hAnsi="Arial" w:cs="Arial"/>
          <w:sz w:val="17"/>
          <w:szCs w:val="17"/>
          <w:shd w:val="clear" w:color="auto" w:fill="FFFFFF"/>
        </w:rPr>
        <w:t>,</w:t>
      </w:r>
      <w:r w:rsidRPr="00E00859">
        <w:rPr>
          <w:rFonts w:ascii="Arial" w:hAnsi="Arial" w:cs="Arial"/>
          <w:sz w:val="17"/>
          <w:szCs w:val="17"/>
        </w:rPr>
        <w:t xml:space="preserve"> “Life </w:t>
      </w:r>
      <w:r>
        <w:rPr>
          <w:rFonts w:ascii="Arial" w:hAnsi="Arial" w:cs="Arial"/>
          <w:sz w:val="17"/>
          <w:szCs w:val="17"/>
        </w:rPr>
        <w:t>S</w:t>
      </w:r>
      <w:r w:rsidRPr="00E00859">
        <w:rPr>
          <w:rFonts w:ascii="Arial" w:hAnsi="Arial" w:cs="Arial"/>
          <w:sz w:val="17"/>
          <w:szCs w:val="17"/>
        </w:rPr>
        <w:t xml:space="preserve">ciences 2017, </w:t>
      </w:r>
      <w:r>
        <w:rPr>
          <w:rFonts w:ascii="Arial" w:hAnsi="Arial" w:cs="Arial"/>
          <w:sz w:val="17"/>
          <w:szCs w:val="17"/>
        </w:rPr>
        <w:t>T</w:t>
      </w:r>
      <w:r w:rsidRPr="00E00859">
        <w:rPr>
          <w:rFonts w:ascii="Arial" w:hAnsi="Arial" w:cs="Arial"/>
          <w:sz w:val="17"/>
          <w:szCs w:val="17"/>
        </w:rPr>
        <w:t xml:space="preserve">rends &amp; </w:t>
      </w:r>
      <w:r>
        <w:rPr>
          <w:rFonts w:ascii="Arial" w:hAnsi="Arial" w:cs="Arial"/>
          <w:sz w:val="17"/>
          <w:szCs w:val="17"/>
        </w:rPr>
        <w:t>D</w:t>
      </w:r>
      <w:r w:rsidRPr="00E00859">
        <w:rPr>
          <w:rFonts w:ascii="Arial" w:hAnsi="Arial" w:cs="Arial"/>
          <w:sz w:val="17"/>
          <w:szCs w:val="17"/>
        </w:rPr>
        <w:t>evelopments, Tur</w:t>
      </w:r>
      <w:r>
        <w:rPr>
          <w:rFonts w:ascii="Arial" w:hAnsi="Arial" w:cs="Arial"/>
          <w:sz w:val="17"/>
          <w:szCs w:val="17"/>
        </w:rPr>
        <w:t>k</w:t>
      </w:r>
      <w:r w:rsidRPr="00E00859">
        <w:rPr>
          <w:rFonts w:ascii="Arial" w:hAnsi="Arial" w:cs="Arial"/>
          <w:sz w:val="17"/>
          <w:szCs w:val="17"/>
        </w:rPr>
        <w:t xml:space="preserve">ey </w:t>
      </w:r>
      <w:r>
        <w:rPr>
          <w:rFonts w:ascii="Arial" w:hAnsi="Arial" w:cs="Arial"/>
          <w:sz w:val="17"/>
          <w:szCs w:val="17"/>
        </w:rPr>
        <w:t>C</w:t>
      </w:r>
      <w:r w:rsidRPr="00E00859">
        <w:rPr>
          <w:rFonts w:ascii="Arial" w:hAnsi="Arial" w:cs="Arial"/>
          <w:sz w:val="17"/>
          <w:szCs w:val="17"/>
        </w:rPr>
        <w:t xml:space="preserve">hapter,” </w:t>
      </w:r>
      <w:proofErr w:type="spellStart"/>
      <w:r w:rsidRPr="00E00859">
        <w:rPr>
          <w:rFonts w:ascii="Arial" w:hAnsi="Arial" w:cs="Arial"/>
          <w:sz w:val="17"/>
          <w:szCs w:val="17"/>
        </w:rPr>
        <w:t>G</w:t>
      </w:r>
      <w:r>
        <w:rPr>
          <w:rFonts w:ascii="Arial" w:hAnsi="Arial" w:cs="Arial"/>
          <w:sz w:val="17"/>
          <w:szCs w:val="17"/>
        </w:rPr>
        <w:t>ü</w:t>
      </w:r>
      <w:r w:rsidRPr="00E00859">
        <w:rPr>
          <w:rFonts w:ascii="Arial" w:hAnsi="Arial" w:cs="Arial"/>
          <w:sz w:val="17"/>
          <w:szCs w:val="17"/>
        </w:rPr>
        <w:t>n</w:t>
      </w:r>
      <w:proofErr w:type="spellEnd"/>
      <w:r w:rsidRPr="00E00859">
        <w:rPr>
          <w:rFonts w:ascii="Arial" w:hAnsi="Arial" w:cs="Arial"/>
          <w:sz w:val="17"/>
          <w:szCs w:val="17"/>
        </w:rPr>
        <w:t xml:space="preserve"> + Partners, November 7, 2016, accessed April 17, 2017, http://gun.av.tr/chambers-global-practice-guides-life-sciences-2017-trends-developments-turkey-chapter/.</w:t>
      </w:r>
    </w:p>
  </w:footnote>
  <w:footnote w:id="10">
    <w:p w14:paraId="7AB19338" w14:textId="2970139E" w:rsidR="00642358" w:rsidRPr="00E00859" w:rsidRDefault="00642358" w:rsidP="00992856">
      <w:pPr>
        <w:pStyle w:val="NoSpacing"/>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Pr>
          <w:rFonts w:ascii="Arial" w:hAnsi="Arial" w:cs="Arial"/>
          <w:sz w:val="17"/>
          <w:szCs w:val="17"/>
        </w:rPr>
        <w:t xml:space="preserve">Deloitte, </w:t>
      </w:r>
      <w:r w:rsidRPr="005F0C70">
        <w:rPr>
          <w:rFonts w:ascii="Arial" w:hAnsi="Arial" w:cs="Arial"/>
          <w:i/>
          <w:sz w:val="17"/>
          <w:szCs w:val="17"/>
        </w:rPr>
        <w:t>The Pharmaceutical Industry in Turkey</w:t>
      </w:r>
      <w:r w:rsidRPr="00E00859">
        <w:rPr>
          <w:rFonts w:ascii="Arial" w:hAnsi="Arial" w:cs="Arial"/>
          <w:sz w:val="17"/>
          <w:szCs w:val="17"/>
        </w:rPr>
        <w:t xml:space="preserve">, </w:t>
      </w:r>
      <w:r>
        <w:rPr>
          <w:rFonts w:ascii="Arial" w:hAnsi="Arial" w:cs="Arial"/>
          <w:sz w:val="17"/>
          <w:szCs w:val="17"/>
        </w:rPr>
        <w:t>invest.gov.tr</w:t>
      </w:r>
      <w:r w:rsidRPr="00E00859">
        <w:rPr>
          <w:rFonts w:ascii="Arial" w:hAnsi="Arial" w:cs="Arial"/>
          <w:sz w:val="17"/>
          <w:szCs w:val="17"/>
        </w:rPr>
        <w:t>, March 2014, accessed April 19, 2017, www.invest.gov.tr/en-US/infocenter/publications/Documents/PHARMACEUTICAL.INDUSTRY.pdf</w:t>
      </w:r>
      <w:r>
        <w:rPr>
          <w:rFonts w:ascii="Arial" w:hAnsi="Arial" w:cs="Arial"/>
          <w:sz w:val="17"/>
          <w:szCs w:val="17"/>
        </w:rPr>
        <w:t>.</w:t>
      </w:r>
    </w:p>
  </w:footnote>
  <w:footnote w:id="11">
    <w:p w14:paraId="0969D238" w14:textId="117458DB" w:rsidR="00642358" w:rsidRPr="00E00859" w:rsidRDefault="00642358" w:rsidP="00992856">
      <w:pPr>
        <w:pStyle w:val="FootnoteText"/>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sidR="00C802CD">
        <w:rPr>
          <w:rFonts w:ascii="Arial" w:hAnsi="Arial" w:cs="Arial"/>
          <w:sz w:val="17"/>
          <w:szCs w:val="17"/>
        </w:rPr>
        <w:t>Ibid.</w:t>
      </w:r>
    </w:p>
  </w:footnote>
  <w:footnote w:id="12">
    <w:p w14:paraId="3BB26006" w14:textId="48CA0C6B" w:rsidR="00642358" w:rsidRPr="00E00859" w:rsidRDefault="00642358" w:rsidP="00992856">
      <w:pPr>
        <w:pStyle w:val="FootnoteText"/>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sidR="00C802CD">
        <w:rPr>
          <w:rFonts w:ascii="Arial" w:hAnsi="Arial" w:cs="Arial"/>
          <w:sz w:val="17"/>
          <w:szCs w:val="17"/>
        </w:rPr>
        <w:t>Ibid.</w:t>
      </w:r>
    </w:p>
  </w:footnote>
  <w:footnote w:id="13">
    <w:p w14:paraId="451A8A11" w14:textId="7ABFAF49" w:rsidR="00642358" w:rsidRPr="00E00859" w:rsidRDefault="00642358" w:rsidP="00992856">
      <w:pPr>
        <w:pStyle w:val="FootnoteText"/>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sidR="00C802CD">
        <w:rPr>
          <w:rFonts w:ascii="Arial" w:hAnsi="Arial" w:cs="Arial"/>
          <w:sz w:val="17"/>
          <w:szCs w:val="17"/>
        </w:rPr>
        <w:t>Ibid.</w:t>
      </w:r>
    </w:p>
  </w:footnote>
  <w:footnote w:id="14">
    <w:p w14:paraId="262F7762" w14:textId="4F3613F4" w:rsidR="00642358" w:rsidRPr="00E00859" w:rsidRDefault="00642358" w:rsidP="00992856">
      <w:pPr>
        <w:pStyle w:val="FootnoteText"/>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sidR="00C802CD">
        <w:rPr>
          <w:rFonts w:ascii="Arial" w:hAnsi="Arial" w:cs="Arial"/>
          <w:sz w:val="17"/>
          <w:szCs w:val="17"/>
        </w:rPr>
        <w:t>Ibid.</w:t>
      </w:r>
    </w:p>
  </w:footnote>
  <w:footnote w:id="15">
    <w:p w14:paraId="0603AFD7" w14:textId="62359BDC" w:rsidR="00642358" w:rsidRPr="00E00859" w:rsidRDefault="00642358" w:rsidP="00992856">
      <w:pPr>
        <w:pStyle w:val="NoSpacing"/>
        <w:jc w:val="both"/>
        <w:rPr>
          <w:rFonts w:ascii="Arial" w:hAnsi="Arial" w:cs="Arial"/>
          <w:color w:val="000000" w:themeColor="text1"/>
          <w:sz w:val="17"/>
          <w:szCs w:val="17"/>
        </w:rPr>
      </w:pPr>
      <w:r w:rsidRPr="00E00859">
        <w:rPr>
          <w:rStyle w:val="FootnoteReference"/>
          <w:rFonts w:ascii="Arial" w:hAnsi="Arial" w:cs="Arial"/>
          <w:color w:val="000000" w:themeColor="text1"/>
          <w:sz w:val="17"/>
          <w:szCs w:val="17"/>
        </w:rPr>
        <w:footnoteRef/>
      </w:r>
      <w:r w:rsidRPr="00E00859">
        <w:rPr>
          <w:rFonts w:ascii="Arial" w:hAnsi="Arial" w:cs="Arial"/>
          <w:color w:val="000000" w:themeColor="text1"/>
          <w:sz w:val="17"/>
          <w:szCs w:val="17"/>
        </w:rPr>
        <w:t xml:space="preserve"> </w:t>
      </w:r>
      <w:r>
        <w:rPr>
          <w:rFonts w:ascii="Arial" w:hAnsi="Arial" w:cs="Arial"/>
          <w:color w:val="000000" w:themeColor="text1"/>
          <w:sz w:val="17"/>
          <w:szCs w:val="17"/>
        </w:rPr>
        <w:t>“</w:t>
      </w:r>
      <w:r w:rsidRPr="00E00859">
        <w:rPr>
          <w:rFonts w:ascii="Arial" w:hAnsi="Arial" w:cs="Arial"/>
          <w:color w:val="000000" w:themeColor="text1"/>
          <w:sz w:val="17"/>
          <w:szCs w:val="17"/>
        </w:rPr>
        <w:t>The Challenges and Opportunities of the Turkish Pharmaceutical Market,</w:t>
      </w:r>
      <w:r>
        <w:rPr>
          <w:rFonts w:ascii="Arial" w:hAnsi="Arial" w:cs="Arial"/>
          <w:color w:val="000000" w:themeColor="text1"/>
          <w:sz w:val="17"/>
          <w:szCs w:val="17"/>
        </w:rPr>
        <w:t>”</w:t>
      </w:r>
      <w:r w:rsidRPr="00E00859">
        <w:rPr>
          <w:rFonts w:ascii="Arial" w:hAnsi="Arial" w:cs="Arial"/>
          <w:color w:val="000000" w:themeColor="text1"/>
          <w:sz w:val="17"/>
          <w:szCs w:val="17"/>
        </w:rPr>
        <w:t xml:space="preserve"> </w:t>
      </w:r>
      <w:proofErr w:type="spellStart"/>
      <w:r w:rsidRPr="00E00859">
        <w:rPr>
          <w:rStyle w:val="NoSpacingChar"/>
          <w:rFonts w:ascii="Arial" w:hAnsi="Arial" w:cs="Arial"/>
          <w:color w:val="000000" w:themeColor="text1"/>
          <w:sz w:val="17"/>
          <w:szCs w:val="17"/>
        </w:rPr>
        <w:t>ProductLife</w:t>
      </w:r>
      <w:proofErr w:type="spellEnd"/>
      <w:r w:rsidRPr="00E00859">
        <w:rPr>
          <w:rStyle w:val="NoSpacingChar"/>
          <w:rFonts w:ascii="Arial" w:hAnsi="Arial" w:cs="Arial"/>
          <w:color w:val="000000" w:themeColor="text1"/>
          <w:sz w:val="17"/>
          <w:szCs w:val="17"/>
        </w:rPr>
        <w:t xml:space="preserve"> Group, July 27, 2016, accessed April 15, 2017, </w:t>
      </w:r>
      <w:r w:rsidRPr="00E00859">
        <w:rPr>
          <w:rFonts w:ascii="Arial" w:hAnsi="Arial" w:cs="Arial"/>
          <w:color w:val="000000" w:themeColor="text1"/>
          <w:sz w:val="17"/>
          <w:szCs w:val="17"/>
        </w:rPr>
        <w:t>https://productlifegroup.com/blog/challenges-opportunities-turkish-pharmaceutical-market/</w:t>
      </w:r>
      <w:r>
        <w:rPr>
          <w:rFonts w:ascii="Arial" w:hAnsi="Arial" w:cs="Arial"/>
          <w:color w:val="000000" w:themeColor="text1"/>
          <w:sz w:val="17"/>
          <w:szCs w:val="17"/>
        </w:rPr>
        <w:t>.</w:t>
      </w:r>
    </w:p>
  </w:footnote>
  <w:footnote w:id="16">
    <w:p w14:paraId="567D7849" w14:textId="11471C5C" w:rsidR="00642358" w:rsidRPr="00E00859" w:rsidRDefault="00642358" w:rsidP="00992856">
      <w:pPr>
        <w:pStyle w:val="NoSpacing"/>
        <w:jc w:val="both"/>
        <w:rPr>
          <w:rFonts w:ascii="Arial" w:hAnsi="Arial" w:cs="Arial"/>
          <w:sz w:val="17"/>
          <w:szCs w:val="17"/>
        </w:rPr>
      </w:pPr>
      <w:r w:rsidRPr="00E00859">
        <w:rPr>
          <w:rStyle w:val="FootnoteReference"/>
          <w:rFonts w:ascii="Arial" w:hAnsi="Arial" w:cs="Arial"/>
          <w:sz w:val="17"/>
          <w:szCs w:val="17"/>
        </w:rPr>
        <w:footnoteRef/>
      </w:r>
      <w:r w:rsidRPr="00E00859">
        <w:rPr>
          <w:rFonts w:ascii="Arial" w:hAnsi="Arial" w:cs="Arial"/>
          <w:sz w:val="17"/>
          <w:szCs w:val="17"/>
        </w:rPr>
        <w:t xml:space="preserve"> </w:t>
      </w:r>
      <w:r>
        <w:rPr>
          <w:rFonts w:ascii="Arial" w:hAnsi="Arial" w:cs="Arial"/>
          <w:sz w:val="17"/>
          <w:szCs w:val="17"/>
        </w:rPr>
        <w:t>“</w:t>
      </w:r>
      <w:r w:rsidRPr="00E00859">
        <w:rPr>
          <w:rStyle w:val="apple-converted-space"/>
          <w:rFonts w:ascii="Arial" w:hAnsi="Arial" w:cs="Arial"/>
          <w:sz w:val="17"/>
          <w:szCs w:val="17"/>
        </w:rPr>
        <w:t>India</w:t>
      </w:r>
      <w:r>
        <w:rPr>
          <w:rStyle w:val="apple-converted-space"/>
          <w:rFonts w:ascii="Arial" w:hAnsi="Arial" w:cs="Arial"/>
          <w:sz w:val="17"/>
          <w:szCs w:val="17"/>
        </w:rPr>
        <w:t>–</w:t>
      </w:r>
      <w:r w:rsidRPr="00E00859">
        <w:rPr>
          <w:rStyle w:val="apple-converted-space"/>
          <w:rFonts w:ascii="Arial" w:hAnsi="Arial" w:cs="Arial"/>
          <w:sz w:val="17"/>
          <w:szCs w:val="17"/>
        </w:rPr>
        <w:t>Turkey Relations,</w:t>
      </w:r>
      <w:r>
        <w:rPr>
          <w:rStyle w:val="apple-converted-space"/>
          <w:rFonts w:ascii="Arial" w:hAnsi="Arial" w:cs="Arial"/>
          <w:sz w:val="17"/>
          <w:szCs w:val="17"/>
        </w:rPr>
        <w:t>”</w:t>
      </w:r>
      <w:r w:rsidRPr="00E00859">
        <w:rPr>
          <w:rStyle w:val="apple-converted-space"/>
          <w:rFonts w:ascii="Arial" w:hAnsi="Arial" w:cs="Arial"/>
          <w:sz w:val="17"/>
          <w:szCs w:val="17"/>
        </w:rPr>
        <w:t xml:space="preserve"> </w:t>
      </w:r>
      <w:r w:rsidRPr="00E00859">
        <w:rPr>
          <w:rFonts w:ascii="Arial" w:hAnsi="Arial" w:cs="Arial"/>
          <w:sz w:val="17"/>
          <w:szCs w:val="17"/>
        </w:rPr>
        <w:t>Embassy of India</w:t>
      </w:r>
      <w:r>
        <w:rPr>
          <w:rFonts w:ascii="Arial" w:hAnsi="Arial" w:cs="Arial"/>
          <w:sz w:val="17"/>
          <w:szCs w:val="17"/>
        </w:rPr>
        <w:t>:</w:t>
      </w:r>
      <w:r w:rsidRPr="00E00859">
        <w:rPr>
          <w:rFonts w:ascii="Arial" w:hAnsi="Arial" w:cs="Arial"/>
          <w:sz w:val="17"/>
          <w:szCs w:val="17"/>
        </w:rPr>
        <w:t xml:space="preserve"> Ankara, Turkey, April 11, 2017, accessed April 17, 2017, www.indembassy.org.tr/cgi.php?id=Relation</w:t>
      </w:r>
      <w:r>
        <w:rPr>
          <w:rFonts w:ascii="Arial" w:hAnsi="Arial" w:cs="Arial"/>
          <w:sz w:val="17"/>
          <w:szCs w:val="17"/>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82941" w14:textId="02836450" w:rsidR="00642358" w:rsidRDefault="00642358"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72C0F">
      <w:rPr>
        <w:rFonts w:ascii="Arial" w:hAnsi="Arial"/>
        <w:b/>
        <w:noProof/>
      </w:rPr>
      <w:t>6</w:t>
    </w:r>
    <w:r>
      <w:rPr>
        <w:rFonts w:ascii="Arial" w:hAnsi="Arial"/>
        <w:b/>
      </w:rPr>
      <w:fldChar w:fldCharType="end"/>
    </w:r>
    <w:r>
      <w:rPr>
        <w:rFonts w:ascii="Arial" w:hAnsi="Arial"/>
        <w:b/>
      </w:rPr>
      <w:tab/>
    </w:r>
    <w:r w:rsidR="00C802CD">
      <w:rPr>
        <w:rFonts w:ascii="Arial" w:hAnsi="Arial"/>
        <w:b/>
      </w:rPr>
      <w:t>9B17A</w:t>
    </w:r>
    <w:r w:rsidR="008C5CC1">
      <w:rPr>
        <w:rFonts w:ascii="Arial" w:hAnsi="Arial"/>
        <w:b/>
      </w:rPr>
      <w:t>047</w:t>
    </w:r>
  </w:p>
  <w:p w14:paraId="54C377A8" w14:textId="77777777" w:rsidR="00642358" w:rsidRPr="00C92CC4" w:rsidRDefault="00642358">
    <w:pPr>
      <w:pStyle w:val="Header"/>
      <w:rPr>
        <w:sz w:val="18"/>
        <w:szCs w:val="18"/>
      </w:rPr>
    </w:pPr>
  </w:p>
  <w:p w14:paraId="69D24816" w14:textId="77777777" w:rsidR="00642358" w:rsidRPr="00C92CC4" w:rsidRDefault="00642358">
    <w:pPr>
      <w:pStyle w:val="Header"/>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6145"/>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Q3MzC3MDQ0NTc3tDRT0lEKTi0uzszPAykwqQUA7x1vKiwAAAA="/>
  </w:docVars>
  <w:rsids>
    <w:rsidRoot w:val="008A4DC4"/>
    <w:rsid w:val="0000085A"/>
    <w:rsid w:val="00013360"/>
    <w:rsid w:val="000216CE"/>
    <w:rsid w:val="00025DC7"/>
    <w:rsid w:val="00026486"/>
    <w:rsid w:val="00044ECC"/>
    <w:rsid w:val="00046CEF"/>
    <w:rsid w:val="000531D3"/>
    <w:rsid w:val="0005646B"/>
    <w:rsid w:val="00073561"/>
    <w:rsid w:val="000747FB"/>
    <w:rsid w:val="0008102D"/>
    <w:rsid w:val="00090031"/>
    <w:rsid w:val="00094C0E"/>
    <w:rsid w:val="000B58D3"/>
    <w:rsid w:val="000D041D"/>
    <w:rsid w:val="000F0C22"/>
    <w:rsid w:val="000F6B09"/>
    <w:rsid w:val="000F6FDC"/>
    <w:rsid w:val="000F788D"/>
    <w:rsid w:val="00104567"/>
    <w:rsid w:val="00106BF8"/>
    <w:rsid w:val="00117A5B"/>
    <w:rsid w:val="0012732D"/>
    <w:rsid w:val="00147596"/>
    <w:rsid w:val="00152DB3"/>
    <w:rsid w:val="00154FC9"/>
    <w:rsid w:val="00190F69"/>
    <w:rsid w:val="0019241A"/>
    <w:rsid w:val="001A443D"/>
    <w:rsid w:val="001A5335"/>
    <w:rsid w:val="001A752D"/>
    <w:rsid w:val="001B4614"/>
    <w:rsid w:val="001B5A7D"/>
    <w:rsid w:val="001E6DE1"/>
    <w:rsid w:val="00203AA1"/>
    <w:rsid w:val="00213E98"/>
    <w:rsid w:val="00227FDC"/>
    <w:rsid w:val="00232CEE"/>
    <w:rsid w:val="00236394"/>
    <w:rsid w:val="002415E4"/>
    <w:rsid w:val="002417B2"/>
    <w:rsid w:val="002A2BEA"/>
    <w:rsid w:val="002A30EE"/>
    <w:rsid w:val="002B6944"/>
    <w:rsid w:val="002C7D73"/>
    <w:rsid w:val="002E32F0"/>
    <w:rsid w:val="002F460C"/>
    <w:rsid w:val="002F48D6"/>
    <w:rsid w:val="00326DD8"/>
    <w:rsid w:val="0035238C"/>
    <w:rsid w:val="00354899"/>
    <w:rsid w:val="00355FD6"/>
    <w:rsid w:val="00360CF2"/>
    <w:rsid w:val="00361C8E"/>
    <w:rsid w:val="00364A5C"/>
    <w:rsid w:val="00373FB1"/>
    <w:rsid w:val="00392F14"/>
    <w:rsid w:val="0039571E"/>
    <w:rsid w:val="00396315"/>
    <w:rsid w:val="003B30D8"/>
    <w:rsid w:val="003B3A5C"/>
    <w:rsid w:val="003B3D71"/>
    <w:rsid w:val="003B7EF2"/>
    <w:rsid w:val="003C3FA4"/>
    <w:rsid w:val="003F2B0C"/>
    <w:rsid w:val="00401D9F"/>
    <w:rsid w:val="00413B43"/>
    <w:rsid w:val="00416D34"/>
    <w:rsid w:val="004221E4"/>
    <w:rsid w:val="00471088"/>
    <w:rsid w:val="00483AF9"/>
    <w:rsid w:val="0048431D"/>
    <w:rsid w:val="004B1CCB"/>
    <w:rsid w:val="004D73A5"/>
    <w:rsid w:val="004E77F8"/>
    <w:rsid w:val="005153A6"/>
    <w:rsid w:val="00524A9B"/>
    <w:rsid w:val="00532CF5"/>
    <w:rsid w:val="005528CB"/>
    <w:rsid w:val="00566771"/>
    <w:rsid w:val="00570896"/>
    <w:rsid w:val="00574DAF"/>
    <w:rsid w:val="00575099"/>
    <w:rsid w:val="00580160"/>
    <w:rsid w:val="00581E2E"/>
    <w:rsid w:val="00584F15"/>
    <w:rsid w:val="005E5666"/>
    <w:rsid w:val="005F0C70"/>
    <w:rsid w:val="006163F7"/>
    <w:rsid w:val="00642358"/>
    <w:rsid w:val="00652606"/>
    <w:rsid w:val="00662EDF"/>
    <w:rsid w:val="0067470A"/>
    <w:rsid w:val="006776D1"/>
    <w:rsid w:val="00682754"/>
    <w:rsid w:val="00697E64"/>
    <w:rsid w:val="006A3873"/>
    <w:rsid w:val="006A5668"/>
    <w:rsid w:val="006A58A9"/>
    <w:rsid w:val="006A606D"/>
    <w:rsid w:val="006B382E"/>
    <w:rsid w:val="006B7F7A"/>
    <w:rsid w:val="006C0371"/>
    <w:rsid w:val="006C08B6"/>
    <w:rsid w:val="006C0B1A"/>
    <w:rsid w:val="006C4384"/>
    <w:rsid w:val="006C6065"/>
    <w:rsid w:val="006C7F9F"/>
    <w:rsid w:val="006E2F6D"/>
    <w:rsid w:val="006E58F6"/>
    <w:rsid w:val="006E77E1"/>
    <w:rsid w:val="006E7C36"/>
    <w:rsid w:val="006F131D"/>
    <w:rsid w:val="006F1D9E"/>
    <w:rsid w:val="00734CE2"/>
    <w:rsid w:val="00752BCD"/>
    <w:rsid w:val="00757F6C"/>
    <w:rsid w:val="00766DA1"/>
    <w:rsid w:val="00773332"/>
    <w:rsid w:val="007866A6"/>
    <w:rsid w:val="00793BD9"/>
    <w:rsid w:val="007A130D"/>
    <w:rsid w:val="007A1B21"/>
    <w:rsid w:val="007A78D4"/>
    <w:rsid w:val="007D4102"/>
    <w:rsid w:val="007E5921"/>
    <w:rsid w:val="00821FFC"/>
    <w:rsid w:val="008271CA"/>
    <w:rsid w:val="008467D5"/>
    <w:rsid w:val="00851E5D"/>
    <w:rsid w:val="00856D9F"/>
    <w:rsid w:val="00861AB0"/>
    <w:rsid w:val="00866F6D"/>
    <w:rsid w:val="00892727"/>
    <w:rsid w:val="008A472C"/>
    <w:rsid w:val="008A4DC4"/>
    <w:rsid w:val="008C0548"/>
    <w:rsid w:val="008C082B"/>
    <w:rsid w:val="008C2435"/>
    <w:rsid w:val="008C3F69"/>
    <w:rsid w:val="008C5CC1"/>
    <w:rsid w:val="009067A4"/>
    <w:rsid w:val="0090722E"/>
    <w:rsid w:val="00913DF5"/>
    <w:rsid w:val="00915517"/>
    <w:rsid w:val="009236F5"/>
    <w:rsid w:val="009340DB"/>
    <w:rsid w:val="00941882"/>
    <w:rsid w:val="00945F9E"/>
    <w:rsid w:val="00957DDF"/>
    <w:rsid w:val="009711EF"/>
    <w:rsid w:val="00972498"/>
    <w:rsid w:val="00972C0F"/>
    <w:rsid w:val="00974CC6"/>
    <w:rsid w:val="00976AD4"/>
    <w:rsid w:val="00984790"/>
    <w:rsid w:val="00992856"/>
    <w:rsid w:val="009A312F"/>
    <w:rsid w:val="009A5348"/>
    <w:rsid w:val="009A67BB"/>
    <w:rsid w:val="009C76D5"/>
    <w:rsid w:val="009D4BC3"/>
    <w:rsid w:val="009F7AA4"/>
    <w:rsid w:val="00A206D2"/>
    <w:rsid w:val="00A3726D"/>
    <w:rsid w:val="00A559DB"/>
    <w:rsid w:val="00A75FE2"/>
    <w:rsid w:val="00A92B49"/>
    <w:rsid w:val="00A946FF"/>
    <w:rsid w:val="00AA3C9D"/>
    <w:rsid w:val="00AF35FC"/>
    <w:rsid w:val="00AF4C15"/>
    <w:rsid w:val="00B03639"/>
    <w:rsid w:val="00B04F67"/>
    <w:rsid w:val="00B0652A"/>
    <w:rsid w:val="00B112DD"/>
    <w:rsid w:val="00B27BB5"/>
    <w:rsid w:val="00B319EC"/>
    <w:rsid w:val="00B3757D"/>
    <w:rsid w:val="00B40937"/>
    <w:rsid w:val="00B423EF"/>
    <w:rsid w:val="00B453DE"/>
    <w:rsid w:val="00B4742F"/>
    <w:rsid w:val="00B5572A"/>
    <w:rsid w:val="00B56C76"/>
    <w:rsid w:val="00B74B9A"/>
    <w:rsid w:val="00B8772E"/>
    <w:rsid w:val="00B901F9"/>
    <w:rsid w:val="00BC150F"/>
    <w:rsid w:val="00BD6EFB"/>
    <w:rsid w:val="00BE3B21"/>
    <w:rsid w:val="00C06D2E"/>
    <w:rsid w:val="00C1049D"/>
    <w:rsid w:val="00C15BE2"/>
    <w:rsid w:val="00C22219"/>
    <w:rsid w:val="00C3447F"/>
    <w:rsid w:val="00C45ABA"/>
    <w:rsid w:val="00C6179A"/>
    <w:rsid w:val="00C71C9C"/>
    <w:rsid w:val="00C802CD"/>
    <w:rsid w:val="00C81491"/>
    <w:rsid w:val="00C81676"/>
    <w:rsid w:val="00C84083"/>
    <w:rsid w:val="00C91422"/>
    <w:rsid w:val="00C92CC4"/>
    <w:rsid w:val="00CA0AFB"/>
    <w:rsid w:val="00CA2CE1"/>
    <w:rsid w:val="00CA3976"/>
    <w:rsid w:val="00CA757B"/>
    <w:rsid w:val="00CB6B09"/>
    <w:rsid w:val="00CC1787"/>
    <w:rsid w:val="00CC182C"/>
    <w:rsid w:val="00CC2416"/>
    <w:rsid w:val="00CD0824"/>
    <w:rsid w:val="00CD2908"/>
    <w:rsid w:val="00D03A82"/>
    <w:rsid w:val="00D1388A"/>
    <w:rsid w:val="00D15344"/>
    <w:rsid w:val="00D26C93"/>
    <w:rsid w:val="00D31BEC"/>
    <w:rsid w:val="00D60A45"/>
    <w:rsid w:val="00D63150"/>
    <w:rsid w:val="00D64A32"/>
    <w:rsid w:val="00D64EFC"/>
    <w:rsid w:val="00D75295"/>
    <w:rsid w:val="00D75396"/>
    <w:rsid w:val="00D76CE9"/>
    <w:rsid w:val="00D805E0"/>
    <w:rsid w:val="00D91788"/>
    <w:rsid w:val="00D97F12"/>
    <w:rsid w:val="00DB42E7"/>
    <w:rsid w:val="00DC15D4"/>
    <w:rsid w:val="00DC484B"/>
    <w:rsid w:val="00DD66C5"/>
    <w:rsid w:val="00DE1AD3"/>
    <w:rsid w:val="00DF32C2"/>
    <w:rsid w:val="00E00859"/>
    <w:rsid w:val="00E30F1E"/>
    <w:rsid w:val="00E471A7"/>
    <w:rsid w:val="00E6352E"/>
    <w:rsid w:val="00E635CF"/>
    <w:rsid w:val="00E850AE"/>
    <w:rsid w:val="00EB5410"/>
    <w:rsid w:val="00EC3644"/>
    <w:rsid w:val="00EC6E0A"/>
    <w:rsid w:val="00ED4E18"/>
    <w:rsid w:val="00EE1F37"/>
    <w:rsid w:val="00EF07C5"/>
    <w:rsid w:val="00EF26C4"/>
    <w:rsid w:val="00F0159C"/>
    <w:rsid w:val="00F105B7"/>
    <w:rsid w:val="00F17A21"/>
    <w:rsid w:val="00F35B42"/>
    <w:rsid w:val="00F50E91"/>
    <w:rsid w:val="00F578C5"/>
    <w:rsid w:val="00F57D29"/>
    <w:rsid w:val="00F62181"/>
    <w:rsid w:val="00F92A99"/>
    <w:rsid w:val="00F96201"/>
    <w:rsid w:val="00FB3A3A"/>
    <w:rsid w:val="00FC30E9"/>
    <w:rsid w:val="00FD0B18"/>
    <w:rsid w:val="00FD0F82"/>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385C0BC"/>
  <w15:docId w15:val="{0B4D221B-424F-4528-BDD2-E2AA5EAFB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F1D9E"/>
    <w:pPr>
      <w:jc w:val="both"/>
    </w:pPr>
    <w:rPr>
      <w:rFonts w:ascii="Arial" w:hAnsi="Arial" w:cs="Arial"/>
      <w:sz w:val="17"/>
      <w:szCs w:val="17"/>
    </w:rPr>
  </w:style>
  <w:style w:type="character" w:customStyle="1" w:styleId="FootnoteChar">
    <w:name w:val="Footnote Char"/>
    <w:basedOn w:val="FootnoteTextChar"/>
    <w:link w:val="Footnote"/>
    <w:rsid w:val="006F1D9E"/>
    <w:rPr>
      <w:rFonts w:ascii="Arial" w:eastAsia="Times New Roman" w:hAnsi="Arial" w:cs="Arial"/>
      <w:sz w:val="17"/>
      <w:szCs w:val="17"/>
    </w:rPr>
  </w:style>
  <w:style w:type="paragraph" w:customStyle="1" w:styleId="Quotation3Lines">
    <w:name w:val="Quotation (3+ Lines)"/>
    <w:basedOn w:val="BodyTextMain"/>
    <w:link w:val="Quotation3LinesChar"/>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rsid w:val="00FD0F82"/>
    <w:rPr>
      <w:i/>
      <w:iCs/>
    </w:rPr>
  </w:style>
  <w:style w:type="character" w:styleId="Strong">
    <w:name w:val="Strong"/>
    <w:basedOn w:val="DefaultParagraphFont"/>
    <w:uiPriority w:val="22"/>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NoSpacingChar">
    <w:name w:val="No Spacing Char"/>
    <w:basedOn w:val="DefaultParagraphFont"/>
    <w:link w:val="NoSpacing"/>
    <w:uiPriority w:val="1"/>
    <w:locked/>
    <w:rsid w:val="00B27BB5"/>
  </w:style>
  <w:style w:type="paragraph" w:styleId="NoSpacing">
    <w:name w:val="No Spacing"/>
    <w:link w:val="NoSpacingChar"/>
    <w:uiPriority w:val="1"/>
    <w:qFormat/>
    <w:rsid w:val="00B27BB5"/>
    <w:pPr>
      <w:spacing w:after="0" w:line="240" w:lineRule="auto"/>
    </w:pPr>
  </w:style>
  <w:style w:type="paragraph" w:customStyle="1" w:styleId="style10">
    <w:name w:val="style10"/>
    <w:basedOn w:val="Normal"/>
    <w:uiPriority w:val="99"/>
    <w:rsid w:val="00B27BB5"/>
    <w:pPr>
      <w:spacing w:before="100" w:beforeAutospacing="1" w:after="100" w:afterAutospacing="1"/>
    </w:pPr>
    <w:rPr>
      <w:sz w:val="24"/>
      <w:szCs w:val="24"/>
    </w:rPr>
  </w:style>
  <w:style w:type="character" w:customStyle="1" w:styleId="srtitle">
    <w:name w:val="srtitle"/>
    <w:basedOn w:val="DefaultParagraphFont"/>
    <w:rsid w:val="000D04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970150">
      <w:bodyDiv w:val="1"/>
      <w:marLeft w:val="0"/>
      <w:marRight w:val="0"/>
      <w:marTop w:val="0"/>
      <w:marBottom w:val="0"/>
      <w:divBdr>
        <w:top w:val="none" w:sz="0" w:space="0" w:color="auto"/>
        <w:left w:val="none" w:sz="0" w:space="0" w:color="auto"/>
        <w:bottom w:val="none" w:sz="0" w:space="0" w:color="auto"/>
        <w:right w:val="none" w:sz="0" w:space="0" w:color="auto"/>
      </w:divBdr>
    </w:div>
    <w:div w:id="214272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651A6-C7D3-4349-8153-51A56FA86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2421</Words>
  <Characters>13805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16194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Anderson, Cassandra</cp:lastModifiedBy>
  <cp:revision>4</cp:revision>
  <cp:lastPrinted>2017-08-31T18:58:00Z</cp:lastPrinted>
  <dcterms:created xsi:type="dcterms:W3CDTF">2017-08-22T16:56:00Z</dcterms:created>
  <dcterms:modified xsi:type="dcterms:W3CDTF">2017-08-31T18:59:00Z</dcterms:modified>
</cp:coreProperties>
</file>