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E596AA" w14:textId="28599695" w:rsidR="008467D5" w:rsidRPr="0047017F" w:rsidRDefault="00B73227" w:rsidP="008467D5">
      <w:pPr>
        <w:pBdr>
          <w:bottom w:val="single" w:sz="18" w:space="1" w:color="auto"/>
        </w:pBdr>
        <w:tabs>
          <w:tab w:val="left" w:pos="-1440"/>
          <w:tab w:val="left" w:pos="-720"/>
          <w:tab w:val="left" w:pos="1"/>
        </w:tabs>
        <w:jc w:val="both"/>
        <w:rPr>
          <w:rFonts w:ascii="Arial" w:hAnsi="Arial"/>
          <w:b/>
          <w:sz w:val="24"/>
        </w:rPr>
      </w:pPr>
      <w:r w:rsidRPr="0047017F">
        <w:rPr>
          <w:rFonts w:ascii="Arial" w:hAnsi="Arial"/>
          <w:b/>
          <w:noProof/>
          <w:sz w:val="24"/>
          <w:lang w:val="en-US"/>
        </w:rPr>
        <w:drawing>
          <wp:inline distT="0" distB="0" distL="0" distR="0" wp14:anchorId="0FF298CA" wp14:editId="68DC3BDF">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77DBBDD7" w14:textId="77777777" w:rsidR="00856D9F" w:rsidRPr="0047017F" w:rsidRDefault="00856D9F" w:rsidP="008467D5">
      <w:pPr>
        <w:pBdr>
          <w:bottom w:val="single" w:sz="18" w:space="1" w:color="auto"/>
        </w:pBdr>
        <w:tabs>
          <w:tab w:val="left" w:pos="-1440"/>
          <w:tab w:val="left" w:pos="-720"/>
          <w:tab w:val="left" w:pos="1"/>
        </w:tabs>
        <w:jc w:val="both"/>
        <w:rPr>
          <w:rFonts w:ascii="Arial" w:hAnsi="Arial"/>
          <w:b/>
          <w:sz w:val="24"/>
        </w:rPr>
      </w:pPr>
    </w:p>
    <w:p w14:paraId="440ED1DF" w14:textId="036E5FB4" w:rsidR="00D75295" w:rsidRPr="0047017F" w:rsidRDefault="00996A96" w:rsidP="00EF240D">
      <w:pPr>
        <w:pStyle w:val="ProductNumber"/>
        <w:outlineLvl w:val="0"/>
      </w:pPr>
      <w:r>
        <w:t>9B17A058</w:t>
      </w:r>
    </w:p>
    <w:p w14:paraId="07964017" w14:textId="77777777" w:rsidR="00D75295" w:rsidRPr="0047017F" w:rsidRDefault="00D75295" w:rsidP="00D75295">
      <w:pPr>
        <w:jc w:val="right"/>
        <w:rPr>
          <w:rFonts w:ascii="Arial" w:hAnsi="Arial"/>
          <w:b/>
          <w:sz w:val="28"/>
          <w:szCs w:val="28"/>
        </w:rPr>
      </w:pPr>
    </w:p>
    <w:p w14:paraId="2A25714C" w14:textId="77777777" w:rsidR="00866F6D" w:rsidRPr="0047017F" w:rsidRDefault="00866F6D" w:rsidP="00D75295">
      <w:pPr>
        <w:jc w:val="right"/>
        <w:rPr>
          <w:rFonts w:ascii="Arial" w:hAnsi="Arial"/>
          <w:b/>
          <w:sz w:val="28"/>
          <w:szCs w:val="28"/>
        </w:rPr>
      </w:pPr>
    </w:p>
    <w:p w14:paraId="79783A43" w14:textId="4C3F849E" w:rsidR="00013360" w:rsidRPr="0047017F" w:rsidRDefault="005C20D1" w:rsidP="00EF240D">
      <w:pPr>
        <w:pStyle w:val="CaseTitle"/>
        <w:spacing w:after="0" w:line="240" w:lineRule="auto"/>
        <w:outlineLvl w:val="0"/>
      </w:pPr>
      <w:r w:rsidRPr="0047017F">
        <w:t xml:space="preserve">True Fruits: </w:t>
      </w:r>
      <w:r w:rsidR="00FF0FCD" w:rsidRPr="0047017F">
        <w:t xml:space="preserve">A </w:t>
      </w:r>
      <w:r w:rsidRPr="0047017F">
        <w:t>Juic</w:t>
      </w:r>
      <w:r w:rsidR="00FF0FCD" w:rsidRPr="0047017F">
        <w:t>ed</w:t>
      </w:r>
      <w:r w:rsidR="002828BD">
        <w:t>-</w:t>
      </w:r>
      <w:r w:rsidRPr="0047017F">
        <w:t>up internationalization strategy</w:t>
      </w:r>
    </w:p>
    <w:p w14:paraId="14600B63" w14:textId="77777777" w:rsidR="00013360" w:rsidRPr="0047017F" w:rsidRDefault="00013360" w:rsidP="00013360">
      <w:pPr>
        <w:pStyle w:val="CaseTitle"/>
        <w:spacing w:after="0" w:line="240" w:lineRule="auto"/>
        <w:rPr>
          <w:sz w:val="20"/>
          <w:szCs w:val="20"/>
        </w:rPr>
      </w:pPr>
    </w:p>
    <w:p w14:paraId="43A18FEF" w14:textId="77777777" w:rsidR="00CA3976" w:rsidRPr="0047017F" w:rsidRDefault="00CA3976" w:rsidP="00013360">
      <w:pPr>
        <w:pStyle w:val="CaseTitle"/>
        <w:spacing w:after="0" w:line="240" w:lineRule="auto"/>
        <w:rPr>
          <w:sz w:val="20"/>
          <w:szCs w:val="20"/>
        </w:rPr>
      </w:pPr>
    </w:p>
    <w:p w14:paraId="281B9BCB" w14:textId="77777777" w:rsidR="00013360" w:rsidRPr="0047017F" w:rsidRDefault="00013360" w:rsidP="00013360">
      <w:pPr>
        <w:pStyle w:val="CaseTitle"/>
        <w:spacing w:after="0" w:line="240" w:lineRule="auto"/>
        <w:rPr>
          <w:sz w:val="20"/>
          <w:szCs w:val="20"/>
        </w:rPr>
      </w:pPr>
    </w:p>
    <w:p w14:paraId="463477AA" w14:textId="56C36926" w:rsidR="00013360" w:rsidRPr="0047017F" w:rsidRDefault="00AE4474" w:rsidP="00104567">
      <w:pPr>
        <w:pStyle w:val="StyleCopyrightStatementAfter0ptBottomSinglesolidline1"/>
      </w:pPr>
      <w:r w:rsidRPr="0047017F">
        <w:t xml:space="preserve">Professor </w:t>
      </w:r>
      <w:r w:rsidR="005C20D1" w:rsidRPr="0047017F">
        <w:t>Marc Fetscherin and Patrick Sell</w:t>
      </w:r>
      <w:r w:rsidR="007E5921" w:rsidRPr="0047017F">
        <w:t xml:space="preserve"> wrote this case sol</w:t>
      </w:r>
      <w:r w:rsidR="00D75295" w:rsidRPr="0047017F">
        <w:t>ely to provide material f</w:t>
      </w:r>
      <w:r w:rsidR="001A04F0" w:rsidRPr="0047017F">
        <w:t>or class discussion. The author</w:t>
      </w:r>
      <w:r w:rsidR="00EE7937" w:rsidRPr="0047017F">
        <w:t>s</w:t>
      </w:r>
      <w:r w:rsidR="00D75295" w:rsidRPr="0047017F">
        <w:t xml:space="preserve"> do not intend to illustrate either effective or ineffective handling of a managerial situation. The authors may have disguised certain names and other identifying information to protect confidentiality.</w:t>
      </w:r>
    </w:p>
    <w:p w14:paraId="65DF8215" w14:textId="77777777" w:rsidR="00013360" w:rsidRPr="0047017F" w:rsidRDefault="00013360" w:rsidP="00104567">
      <w:pPr>
        <w:pStyle w:val="StyleCopyrightStatementAfter0ptBottomSinglesolidline1"/>
      </w:pPr>
    </w:p>
    <w:p w14:paraId="3FC6889A" w14:textId="7F5117F3" w:rsidR="0047017F" w:rsidRPr="0047017F" w:rsidRDefault="0047017F" w:rsidP="0047017F">
      <w:pPr>
        <w:pStyle w:val="StyleStyleCopyrightStatementAfter0ptBottomSinglesolid"/>
      </w:pPr>
      <w:r w:rsidRPr="0047017F">
        <w:t>This publication may not be transmitted, photocopied, digitized</w:t>
      </w:r>
      <w:r w:rsidR="00BC7C29">
        <w:t>,</w:t>
      </w:r>
      <w:r w:rsidRPr="0047017F">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w:t>
      </w:r>
    </w:p>
    <w:p w14:paraId="3E735CE7" w14:textId="77777777" w:rsidR="0047017F" w:rsidRPr="0047017F" w:rsidRDefault="0047017F" w:rsidP="0047017F">
      <w:pPr>
        <w:pStyle w:val="StyleStyleCopyrightStatementAfter0ptBottomSinglesolid"/>
      </w:pPr>
    </w:p>
    <w:p w14:paraId="7977EB64" w14:textId="4E1BB118" w:rsidR="003B7EF2" w:rsidRPr="0047017F" w:rsidRDefault="0047017F" w:rsidP="003B7EF2">
      <w:pPr>
        <w:pStyle w:val="StyleStyleCopyrightStatementAfter0ptBottomSinglesolid"/>
      </w:pPr>
      <w:r w:rsidRPr="0047017F">
        <w:t>Copyright © 2017, Richard Ivey School of Business Foundation</w:t>
      </w:r>
      <w:r w:rsidR="003B7EF2" w:rsidRPr="0047017F">
        <w:tab/>
        <w:t xml:space="preserve">Version: </w:t>
      </w:r>
      <w:r w:rsidR="00361C8E" w:rsidRPr="0047017F">
        <w:t>201</w:t>
      </w:r>
      <w:r w:rsidR="00862DF5">
        <w:t>8</w:t>
      </w:r>
      <w:r w:rsidR="00361C8E" w:rsidRPr="0047017F">
        <w:t>-</w:t>
      </w:r>
      <w:r w:rsidR="00862DF5">
        <w:t>03</w:t>
      </w:r>
      <w:r w:rsidRPr="0047017F">
        <w:t>-</w:t>
      </w:r>
      <w:r w:rsidR="00862DF5">
        <w:t>22</w:t>
      </w:r>
    </w:p>
    <w:p w14:paraId="088E48CD" w14:textId="77777777" w:rsidR="003B7EF2" w:rsidRPr="0047017F" w:rsidRDefault="003B7EF2" w:rsidP="00104567">
      <w:pPr>
        <w:pStyle w:val="StyleCopyrightStatementAfter0ptBottomSinglesolidline1"/>
        <w:rPr>
          <w:rFonts w:ascii="Times New Roman" w:hAnsi="Times New Roman"/>
          <w:sz w:val="20"/>
        </w:rPr>
      </w:pPr>
    </w:p>
    <w:p w14:paraId="558BA27C" w14:textId="77777777" w:rsidR="003B7EF2" w:rsidRPr="0047017F" w:rsidRDefault="003B7EF2" w:rsidP="005C20D1">
      <w:pPr>
        <w:pStyle w:val="BodyTextMain"/>
      </w:pPr>
    </w:p>
    <w:p w14:paraId="621C99AF" w14:textId="1AE95B79" w:rsidR="001C7012" w:rsidRPr="003B1949" w:rsidRDefault="00D90696" w:rsidP="005C20D1">
      <w:pPr>
        <w:pStyle w:val="BodyTextMain"/>
        <w:rPr>
          <w:rFonts w:ascii="Times" w:hAnsi="Times"/>
          <w:spacing w:val="-2"/>
          <w:kern w:val="22"/>
        </w:rPr>
      </w:pPr>
      <w:r w:rsidRPr="003B1949">
        <w:rPr>
          <w:rFonts w:ascii="Times" w:hAnsi="Times"/>
          <w:spacing w:val="-2"/>
          <w:kern w:val="22"/>
        </w:rPr>
        <w:t>Marco</w:t>
      </w:r>
      <w:r w:rsidR="005C20D1" w:rsidRPr="003B1949">
        <w:rPr>
          <w:rFonts w:ascii="Times" w:hAnsi="Times"/>
          <w:spacing w:val="-2"/>
          <w:kern w:val="22"/>
        </w:rPr>
        <w:t xml:space="preserve"> Knauf was driving back </w:t>
      </w:r>
      <w:r w:rsidR="00BC7C29" w:rsidRPr="003B1949">
        <w:rPr>
          <w:rFonts w:ascii="Times" w:hAnsi="Times"/>
          <w:spacing w:val="-2"/>
          <w:kern w:val="22"/>
        </w:rPr>
        <w:t xml:space="preserve">on the Autobahn </w:t>
      </w:r>
      <w:r w:rsidR="005C20D1" w:rsidRPr="003B1949">
        <w:rPr>
          <w:rFonts w:ascii="Times" w:hAnsi="Times"/>
          <w:spacing w:val="-2"/>
          <w:kern w:val="22"/>
        </w:rPr>
        <w:t>from his ski trip in Switzerland. It was a late and snowy Sunday in March 2017. Skiing in Switzerland ha</w:t>
      </w:r>
      <w:r w:rsidR="00112753" w:rsidRPr="003B1949">
        <w:rPr>
          <w:rFonts w:ascii="Times" w:hAnsi="Times"/>
          <w:spacing w:val="-2"/>
          <w:kern w:val="22"/>
        </w:rPr>
        <w:t>d</w:t>
      </w:r>
      <w:r w:rsidR="005C20D1" w:rsidRPr="003B1949">
        <w:rPr>
          <w:rFonts w:ascii="Times" w:hAnsi="Times"/>
          <w:spacing w:val="-2"/>
          <w:kern w:val="22"/>
        </w:rPr>
        <w:t xml:space="preserve"> show</w:t>
      </w:r>
      <w:r w:rsidR="00112753" w:rsidRPr="003B1949">
        <w:rPr>
          <w:rFonts w:ascii="Times" w:hAnsi="Times"/>
          <w:spacing w:val="-2"/>
          <w:kern w:val="22"/>
        </w:rPr>
        <w:t>n</w:t>
      </w:r>
      <w:r w:rsidR="005C20D1" w:rsidRPr="003B1949">
        <w:rPr>
          <w:rFonts w:ascii="Times" w:hAnsi="Times"/>
          <w:spacing w:val="-2"/>
          <w:kern w:val="22"/>
        </w:rPr>
        <w:t xml:space="preserve"> him the interest of c</w:t>
      </w:r>
      <w:r w:rsidR="00112753" w:rsidRPr="003B1949">
        <w:rPr>
          <w:rFonts w:ascii="Times" w:hAnsi="Times"/>
          <w:spacing w:val="-2"/>
          <w:kern w:val="22"/>
        </w:rPr>
        <w:t>ustomers</w:t>
      </w:r>
      <w:r w:rsidR="005C20D1" w:rsidRPr="003B1949">
        <w:rPr>
          <w:rFonts w:ascii="Times" w:hAnsi="Times"/>
          <w:spacing w:val="-2"/>
          <w:kern w:val="22"/>
        </w:rPr>
        <w:t xml:space="preserve"> in health and lifestyle products. While in Switzerland, </w:t>
      </w:r>
      <w:r w:rsidR="00516C8A" w:rsidRPr="003B1949">
        <w:rPr>
          <w:rFonts w:ascii="Times" w:hAnsi="Times"/>
          <w:spacing w:val="-2"/>
          <w:kern w:val="22"/>
        </w:rPr>
        <w:t xml:space="preserve">Knauf </w:t>
      </w:r>
      <w:r w:rsidR="00EE7937" w:rsidRPr="003B1949">
        <w:rPr>
          <w:rFonts w:ascii="Times" w:hAnsi="Times"/>
          <w:spacing w:val="-2"/>
          <w:kern w:val="22"/>
        </w:rPr>
        <w:t xml:space="preserve">had </w:t>
      </w:r>
      <w:r w:rsidR="005C20D1" w:rsidRPr="003B1949">
        <w:rPr>
          <w:rFonts w:ascii="Times" w:hAnsi="Times"/>
          <w:spacing w:val="-2"/>
          <w:kern w:val="22"/>
        </w:rPr>
        <w:t xml:space="preserve">visited some of the stores </w:t>
      </w:r>
      <w:r w:rsidR="00EE7937" w:rsidRPr="003B1949">
        <w:rPr>
          <w:rFonts w:ascii="Times" w:hAnsi="Times"/>
          <w:spacing w:val="-2"/>
          <w:kern w:val="22"/>
        </w:rPr>
        <w:t>that had</w:t>
      </w:r>
      <w:r w:rsidR="005C20D1" w:rsidRPr="003B1949">
        <w:rPr>
          <w:rFonts w:ascii="Times" w:hAnsi="Times"/>
          <w:spacing w:val="-2"/>
          <w:kern w:val="22"/>
        </w:rPr>
        <w:t xml:space="preserve"> just beg</w:t>
      </w:r>
      <w:r w:rsidR="00EE7937" w:rsidRPr="003B1949">
        <w:rPr>
          <w:rFonts w:ascii="Times" w:hAnsi="Times"/>
          <w:spacing w:val="-2"/>
          <w:kern w:val="22"/>
        </w:rPr>
        <w:t>un</w:t>
      </w:r>
      <w:r w:rsidR="005C20D1" w:rsidRPr="003B1949">
        <w:rPr>
          <w:rFonts w:ascii="Times" w:hAnsi="Times"/>
          <w:spacing w:val="-2"/>
          <w:kern w:val="22"/>
        </w:rPr>
        <w:t xml:space="preserve"> selling the products</w:t>
      </w:r>
      <w:r w:rsidR="00EE7937" w:rsidRPr="003B1949">
        <w:rPr>
          <w:rFonts w:ascii="Times" w:hAnsi="Times"/>
          <w:spacing w:val="-2"/>
          <w:kern w:val="22"/>
        </w:rPr>
        <w:t xml:space="preserve"> of his company, Tr</w:t>
      </w:r>
      <w:r w:rsidR="000A6840" w:rsidRPr="003B1949">
        <w:rPr>
          <w:rFonts w:ascii="Times" w:hAnsi="Times"/>
          <w:spacing w:val="-2"/>
          <w:kern w:val="22"/>
        </w:rPr>
        <w:t>ue</w:t>
      </w:r>
      <w:r w:rsidR="00EE7937" w:rsidRPr="003B1949">
        <w:rPr>
          <w:rFonts w:ascii="Times" w:hAnsi="Times"/>
          <w:spacing w:val="-2"/>
          <w:kern w:val="22"/>
        </w:rPr>
        <w:t xml:space="preserve"> Fruits</w:t>
      </w:r>
      <w:r w:rsidR="005C20D1" w:rsidRPr="003B1949">
        <w:rPr>
          <w:rFonts w:ascii="Times" w:hAnsi="Times"/>
          <w:spacing w:val="-2"/>
          <w:kern w:val="22"/>
        </w:rPr>
        <w:t xml:space="preserve">. While talking to the store managers, he </w:t>
      </w:r>
      <w:r w:rsidR="00516C8A" w:rsidRPr="003B1949">
        <w:rPr>
          <w:rFonts w:ascii="Times" w:hAnsi="Times"/>
          <w:spacing w:val="-2"/>
          <w:kern w:val="22"/>
        </w:rPr>
        <w:t>learned</w:t>
      </w:r>
      <w:r w:rsidR="005C20D1" w:rsidRPr="003B1949">
        <w:rPr>
          <w:rFonts w:ascii="Times" w:hAnsi="Times"/>
          <w:spacing w:val="-2"/>
          <w:kern w:val="22"/>
        </w:rPr>
        <w:t xml:space="preserve"> that sales </w:t>
      </w:r>
      <w:r w:rsidR="007C3EE3" w:rsidRPr="003B1949">
        <w:rPr>
          <w:rFonts w:ascii="Times" w:hAnsi="Times"/>
          <w:spacing w:val="-2"/>
          <w:kern w:val="22"/>
        </w:rPr>
        <w:t>of Tr</w:t>
      </w:r>
      <w:r w:rsidR="000A6840" w:rsidRPr="003B1949">
        <w:rPr>
          <w:rFonts w:ascii="Times" w:hAnsi="Times"/>
          <w:spacing w:val="-2"/>
          <w:kern w:val="22"/>
        </w:rPr>
        <w:t>ue</w:t>
      </w:r>
      <w:r w:rsidR="007C3EE3" w:rsidRPr="003B1949">
        <w:rPr>
          <w:rFonts w:ascii="Times" w:hAnsi="Times"/>
          <w:spacing w:val="-2"/>
          <w:kern w:val="22"/>
        </w:rPr>
        <w:t xml:space="preserve"> Fruits’ products </w:t>
      </w:r>
      <w:r w:rsidR="005C20D1" w:rsidRPr="003B1949">
        <w:rPr>
          <w:rFonts w:ascii="Times" w:hAnsi="Times"/>
          <w:spacing w:val="-2"/>
          <w:kern w:val="22"/>
        </w:rPr>
        <w:t>ha</w:t>
      </w:r>
      <w:r w:rsidR="007C3EE3" w:rsidRPr="003B1949">
        <w:rPr>
          <w:rFonts w:ascii="Times" w:hAnsi="Times"/>
          <w:spacing w:val="-2"/>
          <w:kern w:val="22"/>
        </w:rPr>
        <w:t>d</w:t>
      </w:r>
      <w:r w:rsidR="005C20D1" w:rsidRPr="003B1949">
        <w:rPr>
          <w:rFonts w:ascii="Times" w:hAnsi="Times"/>
          <w:spacing w:val="-2"/>
          <w:kern w:val="22"/>
        </w:rPr>
        <w:t xml:space="preserve"> grown over 75</w:t>
      </w:r>
      <w:r w:rsidR="00EE7937" w:rsidRPr="003B1949">
        <w:rPr>
          <w:rFonts w:ascii="Times" w:hAnsi="Times"/>
          <w:spacing w:val="-2"/>
          <w:kern w:val="22"/>
        </w:rPr>
        <w:t xml:space="preserve"> per cent</w:t>
      </w:r>
      <w:r w:rsidR="005C20D1" w:rsidRPr="003B1949">
        <w:rPr>
          <w:rFonts w:ascii="Times" w:hAnsi="Times"/>
          <w:spacing w:val="-2"/>
          <w:kern w:val="22"/>
        </w:rPr>
        <w:t xml:space="preserve">. </w:t>
      </w:r>
      <w:r w:rsidR="007C3EE3" w:rsidRPr="003B1949">
        <w:rPr>
          <w:rFonts w:ascii="Times" w:hAnsi="Times"/>
          <w:spacing w:val="-2"/>
          <w:kern w:val="22"/>
        </w:rPr>
        <w:t>This</w:t>
      </w:r>
      <w:r w:rsidR="005C20D1" w:rsidRPr="003B1949">
        <w:rPr>
          <w:rFonts w:ascii="Times" w:hAnsi="Times"/>
          <w:spacing w:val="-2"/>
          <w:kern w:val="22"/>
        </w:rPr>
        <w:t xml:space="preserve"> assured </w:t>
      </w:r>
      <w:r w:rsidR="001C7012" w:rsidRPr="003B1949">
        <w:rPr>
          <w:rFonts w:ascii="Times" w:hAnsi="Times"/>
          <w:spacing w:val="-2"/>
          <w:kern w:val="22"/>
        </w:rPr>
        <w:t xml:space="preserve">Knauf </w:t>
      </w:r>
      <w:r w:rsidR="005C20D1" w:rsidRPr="003B1949">
        <w:rPr>
          <w:rFonts w:ascii="Times" w:hAnsi="Times"/>
          <w:spacing w:val="-2"/>
          <w:kern w:val="22"/>
        </w:rPr>
        <w:t>that the</w:t>
      </w:r>
      <w:r w:rsidR="007C3EE3" w:rsidRPr="003B1949">
        <w:rPr>
          <w:rFonts w:ascii="Times" w:hAnsi="Times"/>
          <w:spacing w:val="-2"/>
          <w:kern w:val="22"/>
        </w:rPr>
        <w:t xml:space="preserve"> company’s</w:t>
      </w:r>
      <w:r w:rsidR="005C20D1" w:rsidRPr="003B1949">
        <w:rPr>
          <w:rFonts w:ascii="Times" w:hAnsi="Times"/>
          <w:spacing w:val="-2"/>
          <w:kern w:val="22"/>
        </w:rPr>
        <w:t xml:space="preserve"> products were in great demand. </w:t>
      </w:r>
    </w:p>
    <w:p w14:paraId="1189BC2F" w14:textId="77777777" w:rsidR="001C7012" w:rsidRDefault="001C7012" w:rsidP="005C20D1">
      <w:pPr>
        <w:pStyle w:val="BodyTextMain"/>
        <w:rPr>
          <w:rFonts w:ascii="Times" w:hAnsi="Times"/>
        </w:rPr>
      </w:pPr>
    </w:p>
    <w:p w14:paraId="68E549DC" w14:textId="5A97E27E" w:rsidR="005C20D1" w:rsidRPr="0047017F" w:rsidRDefault="001C7012" w:rsidP="005C20D1">
      <w:pPr>
        <w:pStyle w:val="BodyTextMain"/>
        <w:rPr>
          <w:rFonts w:ascii="Times" w:hAnsi="Times"/>
        </w:rPr>
      </w:pPr>
      <w:r>
        <w:rPr>
          <w:rFonts w:ascii="Times" w:hAnsi="Times"/>
        </w:rPr>
        <w:t>Caught</w:t>
      </w:r>
      <w:r w:rsidR="005C20D1" w:rsidRPr="0047017F">
        <w:rPr>
          <w:rFonts w:ascii="Times" w:hAnsi="Times"/>
        </w:rPr>
        <w:t xml:space="preserve"> by </w:t>
      </w:r>
      <w:r w:rsidR="007C3EE3" w:rsidRPr="0047017F">
        <w:rPr>
          <w:rFonts w:ascii="Times" w:hAnsi="Times"/>
        </w:rPr>
        <w:t>an</w:t>
      </w:r>
      <w:r w:rsidR="005C20D1" w:rsidRPr="0047017F">
        <w:rPr>
          <w:rFonts w:ascii="Times" w:hAnsi="Times"/>
        </w:rPr>
        <w:t xml:space="preserve"> idea to increase sales in other countries, </w:t>
      </w:r>
      <w:r w:rsidR="00D90696" w:rsidRPr="0047017F">
        <w:rPr>
          <w:rFonts w:ascii="Times" w:hAnsi="Times"/>
        </w:rPr>
        <w:t>Knauf</w:t>
      </w:r>
      <w:r w:rsidR="005C20D1" w:rsidRPr="0047017F">
        <w:rPr>
          <w:rFonts w:ascii="Times" w:hAnsi="Times"/>
        </w:rPr>
        <w:t xml:space="preserve"> </w:t>
      </w:r>
      <w:r>
        <w:rPr>
          <w:rFonts w:ascii="Times" w:hAnsi="Times"/>
        </w:rPr>
        <w:t xml:space="preserve">had </w:t>
      </w:r>
      <w:r w:rsidR="005C20D1" w:rsidRPr="0047017F">
        <w:rPr>
          <w:rFonts w:ascii="Times" w:hAnsi="Times"/>
        </w:rPr>
        <w:t>texted his good friends and co</w:t>
      </w:r>
      <w:r w:rsidR="007C3EE3" w:rsidRPr="0047017F">
        <w:rPr>
          <w:rFonts w:ascii="Times" w:hAnsi="Times"/>
        </w:rPr>
        <w:t>-</w:t>
      </w:r>
      <w:r w:rsidR="005C20D1" w:rsidRPr="0047017F">
        <w:rPr>
          <w:rFonts w:ascii="Times" w:hAnsi="Times"/>
        </w:rPr>
        <w:t>founders</w:t>
      </w:r>
      <w:r w:rsidR="007C3EE3" w:rsidRPr="0047017F">
        <w:rPr>
          <w:rFonts w:ascii="Times" w:hAnsi="Times"/>
        </w:rPr>
        <w:t>,</w:t>
      </w:r>
      <w:r w:rsidR="005C20D1" w:rsidRPr="0047017F">
        <w:rPr>
          <w:rFonts w:ascii="Times" w:hAnsi="Times"/>
        </w:rPr>
        <w:t xml:space="preserve"> Nicolas Lecloux and Inga Koster</w:t>
      </w:r>
      <w:r w:rsidR="007C3EE3" w:rsidRPr="0047017F">
        <w:rPr>
          <w:rFonts w:ascii="Times" w:hAnsi="Times"/>
        </w:rPr>
        <w:t>,</w:t>
      </w:r>
      <w:r w:rsidR="005C20D1" w:rsidRPr="0047017F">
        <w:rPr>
          <w:rFonts w:ascii="Times" w:hAnsi="Times"/>
        </w:rPr>
        <w:t xml:space="preserve"> about his idea. The following morning</w:t>
      </w:r>
      <w:r w:rsidR="007C3EE3" w:rsidRPr="0047017F">
        <w:rPr>
          <w:rFonts w:ascii="Times" w:hAnsi="Times"/>
        </w:rPr>
        <w:t>,</w:t>
      </w:r>
      <w:r w:rsidR="005C20D1" w:rsidRPr="0047017F">
        <w:rPr>
          <w:rFonts w:ascii="Times" w:hAnsi="Times"/>
        </w:rPr>
        <w:t xml:space="preserve"> the three agreed that </w:t>
      </w:r>
      <w:r w:rsidR="00D90696" w:rsidRPr="0047017F">
        <w:rPr>
          <w:rFonts w:ascii="Times" w:hAnsi="Times"/>
        </w:rPr>
        <w:t>Knauf</w:t>
      </w:r>
      <w:r w:rsidR="005C20D1" w:rsidRPr="0047017F">
        <w:rPr>
          <w:rFonts w:ascii="Times" w:hAnsi="Times"/>
        </w:rPr>
        <w:t xml:space="preserve"> </w:t>
      </w:r>
      <w:r w:rsidR="007C3EE3" w:rsidRPr="0047017F">
        <w:rPr>
          <w:rFonts w:ascii="Times" w:hAnsi="Times"/>
        </w:rPr>
        <w:t>would</w:t>
      </w:r>
      <w:r w:rsidR="005C20D1" w:rsidRPr="0047017F">
        <w:rPr>
          <w:rFonts w:ascii="Times" w:hAnsi="Times"/>
        </w:rPr>
        <w:t xml:space="preserve"> prepare a presentation for the next board meeting</w:t>
      </w:r>
      <w:r w:rsidR="00827E0A" w:rsidRPr="0047017F">
        <w:rPr>
          <w:rFonts w:ascii="Times" w:hAnsi="Times"/>
        </w:rPr>
        <w:t>,</w:t>
      </w:r>
      <w:r w:rsidR="005C20D1" w:rsidRPr="0047017F">
        <w:rPr>
          <w:rFonts w:ascii="Times" w:hAnsi="Times"/>
        </w:rPr>
        <w:t xml:space="preserve"> outlining their internationalization strategy for the next few years by identifying major European markets to enter. Despite being a mid-size German company and already </w:t>
      </w:r>
      <w:r w:rsidR="007C3EE3" w:rsidRPr="0047017F">
        <w:rPr>
          <w:rFonts w:ascii="Times" w:hAnsi="Times"/>
        </w:rPr>
        <w:t xml:space="preserve">having a </w:t>
      </w:r>
      <w:r w:rsidR="005C20D1" w:rsidRPr="0047017F">
        <w:rPr>
          <w:rFonts w:ascii="Times" w:hAnsi="Times"/>
        </w:rPr>
        <w:t>presen</w:t>
      </w:r>
      <w:r w:rsidR="007C3EE3" w:rsidRPr="0047017F">
        <w:rPr>
          <w:rFonts w:ascii="Times" w:hAnsi="Times"/>
        </w:rPr>
        <w:t>ce</w:t>
      </w:r>
      <w:r w:rsidR="005C20D1" w:rsidRPr="0047017F">
        <w:rPr>
          <w:rFonts w:ascii="Times" w:hAnsi="Times"/>
        </w:rPr>
        <w:t xml:space="preserve"> in three European countries</w:t>
      </w:r>
      <w:r w:rsidR="007C3EE3" w:rsidRPr="0047017F">
        <w:rPr>
          <w:rFonts w:ascii="Times" w:hAnsi="Times"/>
        </w:rPr>
        <w:t>,</w:t>
      </w:r>
      <w:r w:rsidR="005C20D1" w:rsidRPr="0047017F">
        <w:rPr>
          <w:rFonts w:ascii="Times" w:hAnsi="Times"/>
        </w:rPr>
        <w:t xml:space="preserve"> </w:t>
      </w:r>
      <w:r w:rsidR="00D90696" w:rsidRPr="0047017F">
        <w:rPr>
          <w:rFonts w:ascii="Times" w:hAnsi="Times"/>
        </w:rPr>
        <w:t>Knauf</w:t>
      </w:r>
      <w:r w:rsidR="005C20D1" w:rsidRPr="0047017F">
        <w:rPr>
          <w:rFonts w:ascii="Times" w:hAnsi="Times"/>
        </w:rPr>
        <w:t xml:space="preserve"> faced the challenge </w:t>
      </w:r>
      <w:r w:rsidR="007C3EE3" w:rsidRPr="0047017F">
        <w:rPr>
          <w:rFonts w:ascii="Times" w:hAnsi="Times"/>
        </w:rPr>
        <w:t>of</w:t>
      </w:r>
      <w:r w:rsidR="005C20D1" w:rsidRPr="0047017F">
        <w:rPr>
          <w:rFonts w:ascii="Times" w:hAnsi="Times"/>
        </w:rPr>
        <w:t xml:space="preserve"> com</w:t>
      </w:r>
      <w:r w:rsidR="007C3EE3" w:rsidRPr="0047017F">
        <w:rPr>
          <w:rFonts w:ascii="Times" w:hAnsi="Times"/>
        </w:rPr>
        <w:t>ing</w:t>
      </w:r>
      <w:r w:rsidR="005C20D1" w:rsidRPr="0047017F">
        <w:rPr>
          <w:rFonts w:ascii="Times" w:hAnsi="Times"/>
        </w:rPr>
        <w:t xml:space="preserve"> up with a sound international expansion plan to exploit growth opportunities. </w:t>
      </w:r>
    </w:p>
    <w:p w14:paraId="3F4F5C75" w14:textId="77777777" w:rsidR="005C20D1" w:rsidRPr="0047017F" w:rsidRDefault="005C20D1" w:rsidP="002828BD">
      <w:pPr>
        <w:pStyle w:val="BodyTextMain"/>
      </w:pPr>
    </w:p>
    <w:p w14:paraId="629ABEAE" w14:textId="77777777" w:rsidR="005C20D1" w:rsidRPr="0047017F" w:rsidRDefault="005C20D1" w:rsidP="002828BD">
      <w:pPr>
        <w:pStyle w:val="BodyTextMain"/>
      </w:pPr>
    </w:p>
    <w:p w14:paraId="659212AB" w14:textId="77777777" w:rsidR="005C20D1" w:rsidRPr="0047017F" w:rsidRDefault="005C20D1" w:rsidP="00EF240D">
      <w:pPr>
        <w:pStyle w:val="Casehead1"/>
        <w:outlineLvl w:val="0"/>
      </w:pPr>
      <w:r w:rsidRPr="0047017F">
        <w:t>Company Background</w:t>
      </w:r>
    </w:p>
    <w:p w14:paraId="2FE314D2" w14:textId="77777777" w:rsidR="005C20D1" w:rsidRPr="0047017F" w:rsidRDefault="005C20D1" w:rsidP="002828BD">
      <w:pPr>
        <w:pStyle w:val="BodyTextMain"/>
      </w:pPr>
    </w:p>
    <w:p w14:paraId="35A288F1" w14:textId="00808872" w:rsidR="005C20D1" w:rsidRPr="0047017F" w:rsidRDefault="005C20D1" w:rsidP="005C20D1">
      <w:pPr>
        <w:pStyle w:val="BodyTextMain"/>
      </w:pPr>
      <w:r w:rsidRPr="0047017F">
        <w:t xml:space="preserve">True </w:t>
      </w:r>
      <w:r w:rsidR="00EE7937" w:rsidRPr="0047017F">
        <w:t>F</w:t>
      </w:r>
      <w:r w:rsidRPr="0047017F">
        <w:t>ruits was founded on June 26</w:t>
      </w:r>
      <w:r w:rsidR="00E044AF" w:rsidRPr="0047017F">
        <w:t>,</w:t>
      </w:r>
      <w:r w:rsidRPr="0047017F">
        <w:t xml:space="preserve"> 2006</w:t>
      </w:r>
      <w:r w:rsidR="00E044AF" w:rsidRPr="0047017F">
        <w:t>,</w:t>
      </w:r>
      <w:r w:rsidRPr="0047017F">
        <w:t xml:space="preserve"> in Bonn</w:t>
      </w:r>
      <w:r w:rsidR="00E044AF" w:rsidRPr="0047017F">
        <w:t>,</w:t>
      </w:r>
      <w:r w:rsidRPr="0047017F">
        <w:t xml:space="preserve"> Germany. The three founders, Koster, Knauf, and Lecloux</w:t>
      </w:r>
      <w:r w:rsidR="00E044AF" w:rsidRPr="0047017F">
        <w:t>,</w:t>
      </w:r>
      <w:r w:rsidRPr="0047017F">
        <w:t xml:space="preserve"> </w:t>
      </w:r>
      <w:r w:rsidR="00E044AF" w:rsidRPr="0047017F">
        <w:t xml:space="preserve">had </w:t>
      </w:r>
      <w:r w:rsidRPr="0047017F">
        <w:t xml:space="preserve">successfully competed in an innovation competition </w:t>
      </w:r>
      <w:r w:rsidR="00E044AF" w:rsidRPr="0047017F">
        <w:t>that</w:t>
      </w:r>
      <w:r w:rsidRPr="0047017F">
        <w:t xml:space="preserve"> attracted investors and enabled the launch of their first four smoothie products. The idea</w:t>
      </w:r>
      <w:r w:rsidR="00A96E1F" w:rsidRPr="0047017F">
        <w:t xml:space="preserve"> to produce smoothies</w:t>
      </w:r>
      <w:r w:rsidRPr="0047017F">
        <w:t xml:space="preserve"> </w:t>
      </w:r>
      <w:r w:rsidR="00E044AF" w:rsidRPr="0047017F">
        <w:t>had been</w:t>
      </w:r>
      <w:r w:rsidRPr="0047017F">
        <w:t xml:space="preserve"> generated during a semester abroad in Scotland. </w:t>
      </w:r>
      <w:r w:rsidR="004D40CD">
        <w:t xml:space="preserve">Between </w:t>
      </w:r>
      <w:r w:rsidRPr="0047017F">
        <w:t>nights</w:t>
      </w:r>
      <w:r w:rsidR="004D40CD">
        <w:t xml:space="preserve"> out</w:t>
      </w:r>
      <w:r w:rsidRPr="0047017F">
        <w:t>, rainy trips to the Highlands</w:t>
      </w:r>
      <w:r w:rsidR="00E044AF" w:rsidRPr="0047017F">
        <w:t>,</w:t>
      </w:r>
      <w:r w:rsidRPr="0047017F">
        <w:t xml:space="preserve"> and </w:t>
      </w:r>
      <w:r w:rsidR="004D40CD">
        <w:t>convoluted</w:t>
      </w:r>
      <w:r w:rsidRPr="0047017F">
        <w:t xml:space="preserve"> lectures</w:t>
      </w:r>
      <w:r w:rsidR="00E044AF" w:rsidRPr="0047017F">
        <w:t>,</w:t>
      </w:r>
      <w:r w:rsidRPr="0047017F">
        <w:t xml:space="preserve"> they discovered smoothies at local supermarkets. At that time, smoothies did not exist in Germany. The</w:t>
      </w:r>
      <w:r w:rsidR="00112753" w:rsidRPr="0047017F">
        <w:t xml:space="preserve"> founders’</w:t>
      </w:r>
      <w:r w:rsidRPr="0047017F">
        <w:t xml:space="preserve"> launch of four different smoothie flavo</w:t>
      </w:r>
      <w:r w:rsidR="00EF4450">
        <w:t>u</w:t>
      </w:r>
      <w:r w:rsidRPr="0047017F">
        <w:t>rs in November 2006 made them the first German smoothie producer</w:t>
      </w:r>
      <w:r w:rsidR="000635D2">
        <w:t xml:space="preserve"> (</w:t>
      </w:r>
      <w:r w:rsidR="003B1949">
        <w:t xml:space="preserve">see </w:t>
      </w:r>
      <w:r w:rsidR="000635D2">
        <w:t>Exhibit 1</w:t>
      </w:r>
      <w:r w:rsidR="003B1949">
        <w:t xml:space="preserve"> for company logo</w:t>
      </w:r>
      <w:r w:rsidR="000635D2">
        <w:t>)</w:t>
      </w:r>
      <w:r w:rsidRPr="0047017F">
        <w:t>. The</w:t>
      </w:r>
      <w:r w:rsidR="00E044AF" w:rsidRPr="0047017F">
        <w:t>ir</w:t>
      </w:r>
      <w:r w:rsidRPr="0047017F">
        <w:t xml:space="preserve"> products were </w:t>
      </w:r>
      <w:r w:rsidR="00123AB3" w:rsidRPr="0047017F">
        <w:t xml:space="preserve">first </w:t>
      </w:r>
      <w:r w:rsidRPr="0047017F">
        <w:t>available at cafés, bars, gyms</w:t>
      </w:r>
      <w:r w:rsidR="00E044AF" w:rsidRPr="0047017F">
        <w:t>,</w:t>
      </w:r>
      <w:r w:rsidRPr="0047017F">
        <w:t xml:space="preserve"> and the Petit Bistro shop from Aral (a German gas station).</w:t>
      </w:r>
    </w:p>
    <w:p w14:paraId="376C586C" w14:textId="77777777" w:rsidR="005C20D1" w:rsidRPr="0047017F" w:rsidRDefault="005C20D1" w:rsidP="005C20D1">
      <w:pPr>
        <w:pStyle w:val="BodyTextMain"/>
      </w:pPr>
    </w:p>
    <w:p w14:paraId="328415B2" w14:textId="5D7C9A32" w:rsidR="005C20D1" w:rsidRPr="0047017F" w:rsidRDefault="005C20D1" w:rsidP="005C20D1">
      <w:pPr>
        <w:pStyle w:val="BodyTextMain"/>
      </w:pPr>
      <w:r w:rsidRPr="0047017F">
        <w:t xml:space="preserve">True </w:t>
      </w:r>
      <w:r w:rsidR="00123AB3" w:rsidRPr="0047017F">
        <w:t>F</w:t>
      </w:r>
      <w:r w:rsidRPr="0047017F">
        <w:t xml:space="preserve">ruits’ sales were approximately </w:t>
      </w:r>
      <w:r w:rsidR="00123AB3" w:rsidRPr="0047017F">
        <w:t>US</w:t>
      </w:r>
      <w:r w:rsidRPr="0047017F">
        <w:t>$40 million</w:t>
      </w:r>
      <w:r w:rsidR="00123AB3" w:rsidRPr="0047017F">
        <w:rPr>
          <w:rStyle w:val="FootnoteReference"/>
        </w:rPr>
        <w:footnoteReference w:id="1"/>
      </w:r>
      <w:r w:rsidRPr="0047017F">
        <w:t xml:space="preserve"> in 2016</w:t>
      </w:r>
      <w:r w:rsidR="00123AB3" w:rsidRPr="0047017F">
        <w:t>,</w:t>
      </w:r>
      <w:r w:rsidRPr="0047017F">
        <w:t xml:space="preserve"> and they employed 25 employees at their headquarters in Bonn. Knauf was </w:t>
      </w:r>
      <w:r w:rsidR="00123AB3" w:rsidRPr="0047017F">
        <w:t>m</w:t>
      </w:r>
      <w:r w:rsidRPr="0047017F">
        <w:t xml:space="preserve">anaging </w:t>
      </w:r>
      <w:r w:rsidR="00123AB3" w:rsidRPr="0047017F">
        <w:t>d</w:t>
      </w:r>
      <w:r w:rsidRPr="0047017F">
        <w:t xml:space="preserve">irector </w:t>
      </w:r>
      <w:r w:rsidR="00123AB3" w:rsidRPr="0047017F">
        <w:t>of</w:t>
      </w:r>
      <w:r w:rsidRPr="0047017F">
        <w:t xml:space="preserve"> sales and </w:t>
      </w:r>
      <w:r w:rsidR="00123AB3" w:rsidRPr="0047017F">
        <w:t>c</w:t>
      </w:r>
      <w:r w:rsidRPr="0047017F">
        <w:t xml:space="preserve">hief </w:t>
      </w:r>
      <w:r w:rsidR="00123AB3" w:rsidRPr="0047017F">
        <w:t>e</w:t>
      </w:r>
      <w:r w:rsidRPr="0047017F">
        <w:t xml:space="preserve">xecutive </w:t>
      </w:r>
      <w:r w:rsidR="00123AB3" w:rsidRPr="0047017F">
        <w:t>o</w:t>
      </w:r>
      <w:r w:rsidRPr="0047017F">
        <w:t>fficer</w:t>
      </w:r>
      <w:r w:rsidR="00EF4450">
        <w:t>;</w:t>
      </w:r>
      <w:r w:rsidRPr="0047017F">
        <w:t xml:space="preserve"> Koster was </w:t>
      </w:r>
      <w:r w:rsidR="00123AB3" w:rsidRPr="0047017F">
        <w:t>c</w:t>
      </w:r>
      <w:r w:rsidRPr="0047017F">
        <w:t xml:space="preserve">hief </w:t>
      </w:r>
      <w:r w:rsidR="00123AB3" w:rsidRPr="0047017F">
        <w:t>f</w:t>
      </w:r>
      <w:r w:rsidRPr="0047017F">
        <w:t xml:space="preserve">inancial </w:t>
      </w:r>
      <w:r w:rsidR="00123AB3" w:rsidRPr="0047017F">
        <w:t>o</w:t>
      </w:r>
      <w:r w:rsidRPr="0047017F">
        <w:t>fficer and responsible for product development</w:t>
      </w:r>
      <w:r w:rsidR="00EF4450">
        <w:t>;</w:t>
      </w:r>
      <w:r w:rsidRPr="0047017F">
        <w:t xml:space="preserve"> and Lecloux was </w:t>
      </w:r>
      <w:r w:rsidR="00123AB3" w:rsidRPr="0047017F">
        <w:t>c</w:t>
      </w:r>
      <w:r w:rsidRPr="0047017F">
        <w:t xml:space="preserve">hief </w:t>
      </w:r>
      <w:r w:rsidR="00123AB3" w:rsidRPr="0047017F">
        <w:t>m</w:t>
      </w:r>
      <w:r w:rsidRPr="0047017F">
        <w:t xml:space="preserve">arketing </w:t>
      </w:r>
      <w:r w:rsidR="00123AB3" w:rsidRPr="0047017F">
        <w:t>o</w:t>
      </w:r>
      <w:r w:rsidRPr="0047017F">
        <w:t xml:space="preserve">fficer. </w:t>
      </w:r>
      <w:r w:rsidR="002828BD">
        <w:lastRenderedPageBreak/>
        <w:t>Although Knauf was chief executive officer in name, a</w:t>
      </w:r>
      <w:r w:rsidRPr="0047017F">
        <w:t xml:space="preserve">ll three founders </w:t>
      </w:r>
      <w:r w:rsidR="00680092" w:rsidRPr="0047017F">
        <w:t xml:space="preserve">shared </w:t>
      </w:r>
      <w:r w:rsidRPr="0047017F">
        <w:t>th</w:t>
      </w:r>
      <w:r w:rsidR="002828BD">
        <w:t>ose</w:t>
      </w:r>
      <w:r w:rsidRPr="0047017F">
        <w:t xml:space="preserve"> task</w:t>
      </w:r>
      <w:r w:rsidR="00123AB3" w:rsidRPr="0047017F">
        <w:t>s</w:t>
      </w:r>
      <w:r w:rsidR="002828BD">
        <w:t>.</w:t>
      </w:r>
      <w:r w:rsidRPr="0047017F">
        <w:t xml:space="preserve"> Even though the founders h</w:t>
      </w:r>
      <w:r w:rsidR="00123AB3" w:rsidRPr="0047017F">
        <w:t>eld</w:t>
      </w:r>
      <w:r w:rsidRPr="0047017F">
        <w:t xml:space="preserve"> the major positions, </w:t>
      </w:r>
      <w:r w:rsidR="00123AB3" w:rsidRPr="0047017F">
        <w:t>T</w:t>
      </w:r>
      <w:r w:rsidRPr="0047017F">
        <w:t xml:space="preserve">rue </w:t>
      </w:r>
      <w:r w:rsidR="00123AB3" w:rsidRPr="0047017F">
        <w:t>F</w:t>
      </w:r>
      <w:r w:rsidRPr="0047017F">
        <w:t xml:space="preserve">ruits had a very flat hierarchy. </w:t>
      </w:r>
    </w:p>
    <w:p w14:paraId="18B84F7B" w14:textId="77777777" w:rsidR="00123AB3" w:rsidRPr="0047017F" w:rsidRDefault="00123AB3" w:rsidP="005C20D1">
      <w:pPr>
        <w:pStyle w:val="BodyTextMain"/>
      </w:pPr>
    </w:p>
    <w:p w14:paraId="2FAF7596" w14:textId="77777777" w:rsidR="00123AB3" w:rsidRPr="0047017F" w:rsidRDefault="00123AB3" w:rsidP="005C20D1">
      <w:pPr>
        <w:pStyle w:val="BodyTextMain"/>
        <w:rPr>
          <w:b/>
        </w:rPr>
      </w:pPr>
    </w:p>
    <w:p w14:paraId="10412E1A" w14:textId="77777777" w:rsidR="005C20D1" w:rsidRPr="0047017F" w:rsidRDefault="005C20D1" w:rsidP="00EF240D">
      <w:pPr>
        <w:pStyle w:val="Casehead1"/>
        <w:outlineLvl w:val="0"/>
      </w:pPr>
      <w:r w:rsidRPr="0047017F">
        <w:t>The Marketing Secret</w:t>
      </w:r>
    </w:p>
    <w:p w14:paraId="2F924628" w14:textId="77777777" w:rsidR="005C20D1" w:rsidRPr="0047017F" w:rsidRDefault="005C20D1" w:rsidP="002828BD">
      <w:pPr>
        <w:pStyle w:val="BodyTextMain"/>
      </w:pPr>
    </w:p>
    <w:p w14:paraId="2B6878AE" w14:textId="237F4A79" w:rsidR="00EF4450" w:rsidRPr="003B1949" w:rsidRDefault="005C20D1" w:rsidP="005C20D1">
      <w:pPr>
        <w:pStyle w:val="BodyTextMain"/>
        <w:rPr>
          <w:spacing w:val="-4"/>
          <w:kern w:val="22"/>
        </w:rPr>
      </w:pPr>
      <w:r w:rsidRPr="003B1949">
        <w:rPr>
          <w:spacing w:val="-4"/>
          <w:kern w:val="22"/>
        </w:rPr>
        <w:t xml:space="preserve">True </w:t>
      </w:r>
      <w:r w:rsidR="00123AB3" w:rsidRPr="003B1949">
        <w:rPr>
          <w:spacing w:val="-4"/>
          <w:kern w:val="22"/>
        </w:rPr>
        <w:t>F</w:t>
      </w:r>
      <w:r w:rsidRPr="003B1949">
        <w:rPr>
          <w:spacing w:val="-4"/>
          <w:kern w:val="22"/>
        </w:rPr>
        <w:t>ruits</w:t>
      </w:r>
      <w:r w:rsidR="00123AB3" w:rsidRPr="003B1949">
        <w:rPr>
          <w:spacing w:val="-4"/>
          <w:kern w:val="22"/>
        </w:rPr>
        <w:t>’</w:t>
      </w:r>
      <w:r w:rsidRPr="003B1949">
        <w:rPr>
          <w:spacing w:val="-4"/>
          <w:kern w:val="22"/>
        </w:rPr>
        <w:t xml:space="preserve"> marketing department was innovative when it c</w:t>
      </w:r>
      <w:r w:rsidR="00123AB3" w:rsidRPr="003B1949">
        <w:rPr>
          <w:spacing w:val="-4"/>
          <w:kern w:val="22"/>
        </w:rPr>
        <w:t>ame</w:t>
      </w:r>
      <w:r w:rsidRPr="003B1949">
        <w:rPr>
          <w:spacing w:val="-4"/>
          <w:kern w:val="22"/>
        </w:rPr>
        <w:t xml:space="preserve"> to </w:t>
      </w:r>
      <w:r w:rsidR="00123AB3" w:rsidRPr="003B1949">
        <w:rPr>
          <w:spacing w:val="-4"/>
          <w:kern w:val="22"/>
        </w:rPr>
        <w:t>at</w:t>
      </w:r>
      <w:r w:rsidR="00112753" w:rsidRPr="003B1949">
        <w:rPr>
          <w:spacing w:val="-4"/>
          <w:kern w:val="22"/>
        </w:rPr>
        <w:t>t</w:t>
      </w:r>
      <w:r w:rsidR="00123AB3" w:rsidRPr="003B1949">
        <w:rPr>
          <w:spacing w:val="-4"/>
          <w:kern w:val="22"/>
        </w:rPr>
        <w:t>racting</w:t>
      </w:r>
      <w:r w:rsidRPr="003B1949">
        <w:rPr>
          <w:spacing w:val="-4"/>
          <w:kern w:val="22"/>
        </w:rPr>
        <w:t xml:space="preserve"> c</w:t>
      </w:r>
      <w:r w:rsidR="00112753" w:rsidRPr="003B1949">
        <w:rPr>
          <w:spacing w:val="-4"/>
          <w:kern w:val="22"/>
        </w:rPr>
        <w:t>ustomers</w:t>
      </w:r>
      <w:r w:rsidRPr="003B1949">
        <w:rPr>
          <w:spacing w:val="-4"/>
          <w:kern w:val="22"/>
        </w:rPr>
        <w:t xml:space="preserve">’ attention. In 2012, </w:t>
      </w:r>
      <w:r w:rsidR="00123AB3" w:rsidRPr="003B1949">
        <w:rPr>
          <w:spacing w:val="-4"/>
          <w:kern w:val="22"/>
        </w:rPr>
        <w:t>T</w:t>
      </w:r>
      <w:r w:rsidRPr="003B1949">
        <w:rPr>
          <w:spacing w:val="-4"/>
          <w:kern w:val="22"/>
        </w:rPr>
        <w:t xml:space="preserve">rue </w:t>
      </w:r>
      <w:r w:rsidR="00123AB3" w:rsidRPr="003B1949">
        <w:rPr>
          <w:spacing w:val="-4"/>
          <w:kern w:val="22"/>
        </w:rPr>
        <w:t>F</w:t>
      </w:r>
      <w:r w:rsidRPr="003B1949">
        <w:rPr>
          <w:spacing w:val="-4"/>
          <w:kern w:val="22"/>
        </w:rPr>
        <w:t>ruits successfully launched an initiative to refurbish used bottles</w:t>
      </w:r>
      <w:r w:rsidR="000131AE" w:rsidRPr="003B1949">
        <w:rPr>
          <w:spacing w:val="-4"/>
          <w:kern w:val="22"/>
        </w:rPr>
        <w:t>,</w:t>
      </w:r>
      <w:r w:rsidRPr="003B1949">
        <w:rPr>
          <w:spacing w:val="-4"/>
          <w:kern w:val="22"/>
        </w:rPr>
        <w:t xml:space="preserve"> and </w:t>
      </w:r>
      <w:r w:rsidR="002828BD" w:rsidRPr="003B1949">
        <w:rPr>
          <w:spacing w:val="-4"/>
          <w:kern w:val="22"/>
        </w:rPr>
        <w:t>applied</w:t>
      </w:r>
      <w:r w:rsidRPr="003B1949">
        <w:rPr>
          <w:spacing w:val="-4"/>
          <w:kern w:val="22"/>
        </w:rPr>
        <w:t xml:space="preserve"> creative ideas </w:t>
      </w:r>
      <w:r w:rsidR="002E431B" w:rsidRPr="003B1949">
        <w:rPr>
          <w:spacing w:val="-4"/>
          <w:kern w:val="22"/>
        </w:rPr>
        <w:t xml:space="preserve">for this </w:t>
      </w:r>
      <w:r w:rsidRPr="003B1949">
        <w:rPr>
          <w:spacing w:val="-4"/>
          <w:kern w:val="22"/>
        </w:rPr>
        <w:t>through an online competition</w:t>
      </w:r>
      <w:r w:rsidR="00E601D1" w:rsidRPr="003B1949">
        <w:rPr>
          <w:spacing w:val="-4"/>
          <w:kern w:val="22"/>
        </w:rPr>
        <w:t xml:space="preserve"> called</w:t>
      </w:r>
      <w:r w:rsidRPr="003B1949">
        <w:rPr>
          <w:spacing w:val="-4"/>
          <w:kern w:val="22"/>
        </w:rPr>
        <w:t xml:space="preserve"> Upcycling. Two years later, the company took the initiative </w:t>
      </w:r>
      <w:r w:rsidR="002E431B" w:rsidRPr="003B1949">
        <w:rPr>
          <w:spacing w:val="-4"/>
          <w:kern w:val="22"/>
        </w:rPr>
        <w:t>a</w:t>
      </w:r>
      <w:r w:rsidRPr="003B1949">
        <w:rPr>
          <w:spacing w:val="-4"/>
          <w:kern w:val="22"/>
        </w:rPr>
        <w:t xml:space="preserve"> step further by developing stainless</w:t>
      </w:r>
      <w:r w:rsidR="002E431B" w:rsidRPr="003B1949">
        <w:rPr>
          <w:spacing w:val="-4"/>
          <w:kern w:val="22"/>
        </w:rPr>
        <w:t xml:space="preserve"> </w:t>
      </w:r>
      <w:r w:rsidRPr="003B1949">
        <w:rPr>
          <w:spacing w:val="-4"/>
          <w:kern w:val="22"/>
        </w:rPr>
        <w:t xml:space="preserve">steel bottle toppers. These could be used for a variety of storage options (see </w:t>
      </w:r>
      <w:r w:rsidR="002E431B" w:rsidRPr="003B1949">
        <w:rPr>
          <w:spacing w:val="-4"/>
          <w:kern w:val="22"/>
        </w:rPr>
        <w:t>E</w:t>
      </w:r>
      <w:r w:rsidRPr="003B1949">
        <w:rPr>
          <w:spacing w:val="-4"/>
          <w:kern w:val="22"/>
        </w:rPr>
        <w:t>xhibit 2)</w:t>
      </w:r>
      <w:r w:rsidRPr="003B1949">
        <w:rPr>
          <w:i/>
          <w:spacing w:val="-4"/>
          <w:kern w:val="22"/>
        </w:rPr>
        <w:t>.</w:t>
      </w:r>
      <w:r w:rsidRPr="003B1949">
        <w:rPr>
          <w:spacing w:val="-4"/>
          <w:kern w:val="22"/>
        </w:rPr>
        <w:t xml:space="preserve"> </w:t>
      </w:r>
    </w:p>
    <w:p w14:paraId="7A671344" w14:textId="77777777" w:rsidR="00EF4450" w:rsidRDefault="00EF4450" w:rsidP="005C20D1">
      <w:pPr>
        <w:pStyle w:val="BodyTextMain"/>
      </w:pPr>
    </w:p>
    <w:p w14:paraId="67DF64E7" w14:textId="77777777" w:rsidR="00505663" w:rsidRDefault="005C20D1" w:rsidP="005C20D1">
      <w:pPr>
        <w:pStyle w:val="BodyTextMain"/>
      </w:pPr>
      <w:r w:rsidRPr="0047017F">
        <w:t xml:space="preserve">True </w:t>
      </w:r>
      <w:r w:rsidR="002E431B" w:rsidRPr="0047017F">
        <w:t>F</w:t>
      </w:r>
      <w:r w:rsidRPr="0047017F">
        <w:t xml:space="preserve">ruits offered limited editions </w:t>
      </w:r>
      <w:r w:rsidR="002E431B" w:rsidRPr="0047017F">
        <w:t xml:space="preserve">of bottle designs </w:t>
      </w:r>
      <w:r w:rsidRPr="0047017F">
        <w:t xml:space="preserve">for special occasions and thereby tried to incorporate new marketing strategies </w:t>
      </w:r>
      <w:r w:rsidR="002E431B" w:rsidRPr="0047017F">
        <w:t>with</w:t>
      </w:r>
      <w:r w:rsidRPr="0047017F">
        <w:t xml:space="preserve"> tested products. Limited editions were launched in 2010 with</w:t>
      </w:r>
      <w:r w:rsidR="002E431B" w:rsidRPr="0047017F">
        <w:t xml:space="preserve"> the</w:t>
      </w:r>
      <w:r w:rsidRPr="0047017F">
        <w:t xml:space="preserve"> “düstere Burlesque-Flasche” (gloomy burlesque bottle)</w:t>
      </w:r>
      <w:r w:rsidR="002E431B" w:rsidRPr="0047017F">
        <w:t>,</w:t>
      </w:r>
      <w:r w:rsidRPr="0047017F">
        <w:t xml:space="preserve"> and</w:t>
      </w:r>
      <w:r w:rsidR="002E431B" w:rsidRPr="0047017F">
        <w:t xml:space="preserve"> the</w:t>
      </w:r>
      <w:r w:rsidRPr="0047017F">
        <w:t xml:space="preserve"> “Strenesse” (</w:t>
      </w:r>
      <w:r w:rsidR="002E431B" w:rsidRPr="0047017F">
        <w:t xml:space="preserve">named after </w:t>
      </w:r>
      <w:r w:rsidRPr="0047017F">
        <w:t>a local fashion brand) in 2011. One year later, a special edition was launched for the</w:t>
      </w:r>
      <w:r w:rsidR="002E431B" w:rsidRPr="0047017F">
        <w:t xml:space="preserve"> company’s</w:t>
      </w:r>
      <w:r w:rsidRPr="0047017F">
        <w:t xml:space="preserve"> fifth anniversary: a bottle showing the company’s history. </w:t>
      </w:r>
      <w:r w:rsidR="002E431B" w:rsidRPr="0047017F">
        <w:t xml:space="preserve">In </w:t>
      </w:r>
      <w:r w:rsidRPr="0047017F">
        <w:t>2013</w:t>
      </w:r>
      <w:r w:rsidR="002E431B" w:rsidRPr="0047017F">
        <w:t>,</w:t>
      </w:r>
      <w:r w:rsidRPr="0047017F">
        <w:t xml:space="preserve"> </w:t>
      </w:r>
      <w:r w:rsidR="002E431B" w:rsidRPr="0047017F">
        <w:t>T</w:t>
      </w:r>
      <w:r w:rsidRPr="0047017F">
        <w:t xml:space="preserve">rue </w:t>
      </w:r>
      <w:r w:rsidR="002E431B" w:rsidRPr="0047017F">
        <w:t>F</w:t>
      </w:r>
      <w:r w:rsidRPr="0047017F">
        <w:t xml:space="preserve">ruits launched the first limited edition </w:t>
      </w:r>
      <w:r w:rsidR="006B163B" w:rsidRPr="0047017F">
        <w:t>to</w:t>
      </w:r>
      <w:r w:rsidRPr="0047017F">
        <w:t xml:space="preserve"> c</w:t>
      </w:r>
      <w:r w:rsidR="006B163B" w:rsidRPr="0047017F">
        <w:t>o</w:t>
      </w:r>
      <w:r w:rsidRPr="0047017F">
        <w:t>me as a double</w:t>
      </w:r>
      <w:r w:rsidR="000131AE" w:rsidRPr="0047017F">
        <w:t>;</w:t>
      </w:r>
      <w:r w:rsidRPr="0047017F">
        <w:t xml:space="preserve"> Limited no. 4.1 and 4.2 were designed by Mago Dovjenko, a young designer from Cologne. In the same year, </w:t>
      </w:r>
      <w:r w:rsidR="006B163B" w:rsidRPr="0047017F">
        <w:t>T</w:t>
      </w:r>
      <w:r w:rsidRPr="0047017F">
        <w:t xml:space="preserve">rue </w:t>
      </w:r>
      <w:r w:rsidR="006B163B" w:rsidRPr="0047017F">
        <w:t>F</w:t>
      </w:r>
      <w:r w:rsidRPr="0047017F">
        <w:t>ruits designed another limited edition</w:t>
      </w:r>
      <w:r w:rsidR="000131AE" w:rsidRPr="0047017F">
        <w:t>—</w:t>
      </w:r>
      <w:r w:rsidRPr="0047017F">
        <w:t xml:space="preserve">the measuring jug for the </w:t>
      </w:r>
      <w:r w:rsidR="002A1318" w:rsidRPr="0047017F">
        <w:t>750-m</w:t>
      </w:r>
      <w:r w:rsidR="006B163B" w:rsidRPr="0047017F">
        <w:t>i</w:t>
      </w:r>
      <w:r w:rsidR="002A1318" w:rsidRPr="0047017F">
        <w:t>l</w:t>
      </w:r>
      <w:r w:rsidR="006B163B" w:rsidRPr="0047017F">
        <w:t>lilitre</w:t>
      </w:r>
      <w:r w:rsidRPr="0047017F">
        <w:t xml:space="preserve"> </w:t>
      </w:r>
      <w:r w:rsidR="003E7CB5" w:rsidRPr="0047017F">
        <w:t xml:space="preserve">(ml) </w:t>
      </w:r>
      <w:r w:rsidRPr="0047017F">
        <w:t xml:space="preserve">bottle. True </w:t>
      </w:r>
      <w:r w:rsidR="006B163B" w:rsidRPr="0047017F">
        <w:t>F</w:t>
      </w:r>
      <w:r w:rsidRPr="0047017F">
        <w:t xml:space="preserve">ruits waited two years before </w:t>
      </w:r>
      <w:r w:rsidR="006B163B" w:rsidRPr="0047017F">
        <w:t>releasing</w:t>
      </w:r>
      <w:r w:rsidRPr="0047017F">
        <w:t xml:space="preserve"> another limited edition</w:t>
      </w:r>
      <w:r w:rsidR="006B163B" w:rsidRPr="0047017F">
        <w:t>,</w:t>
      </w:r>
      <w:r w:rsidRPr="0047017F">
        <w:t xml:space="preserve"> the black edition. The Indian design no. 7 introduced the curcuma ro</w:t>
      </w:r>
      <w:r w:rsidR="00D31D88" w:rsidRPr="0047017F">
        <w:t>o</w:t>
      </w:r>
      <w:r w:rsidRPr="0047017F">
        <w:t>t. In 2016</w:t>
      </w:r>
      <w:r w:rsidR="006B163B" w:rsidRPr="0047017F">
        <w:t>,</w:t>
      </w:r>
      <w:r w:rsidRPr="0047017F">
        <w:t xml:space="preserve"> </w:t>
      </w:r>
      <w:r w:rsidR="006B163B" w:rsidRPr="0047017F">
        <w:t>T</w:t>
      </w:r>
      <w:r w:rsidRPr="0047017F">
        <w:t xml:space="preserve">rue </w:t>
      </w:r>
      <w:r w:rsidR="006B163B" w:rsidRPr="0047017F">
        <w:t>F</w:t>
      </w:r>
      <w:r w:rsidRPr="0047017F">
        <w:t xml:space="preserve">ruits celebrated </w:t>
      </w:r>
      <w:r w:rsidR="006B163B" w:rsidRPr="0047017F">
        <w:t>its</w:t>
      </w:r>
      <w:r w:rsidRPr="0047017F">
        <w:t xml:space="preserve"> 10th birthday with another limited edition</w:t>
      </w:r>
      <w:r w:rsidR="006B163B" w:rsidRPr="0047017F">
        <w:t>,</w:t>
      </w:r>
      <w:r w:rsidRPr="0047017F">
        <w:t xml:space="preserve"> a bottle painted in gold. The latest limited edition</w:t>
      </w:r>
      <w:r w:rsidR="006B163B" w:rsidRPr="0047017F">
        <w:t>, the camouflage,</w:t>
      </w:r>
      <w:r w:rsidRPr="0047017F">
        <w:t xml:space="preserve"> was launched in April 2017</w:t>
      </w:r>
      <w:r w:rsidR="00AC28B9" w:rsidRPr="0047017F">
        <w:t>—</w:t>
      </w:r>
      <w:r w:rsidRPr="0047017F">
        <w:t xml:space="preserve">the first time </w:t>
      </w:r>
      <w:r w:rsidR="006B163B" w:rsidRPr="0047017F">
        <w:t>T</w:t>
      </w:r>
      <w:r w:rsidRPr="0047017F">
        <w:t xml:space="preserve">rue </w:t>
      </w:r>
      <w:r w:rsidR="006B163B" w:rsidRPr="0047017F">
        <w:t>F</w:t>
      </w:r>
      <w:r w:rsidRPr="0047017F">
        <w:t xml:space="preserve">ruits </w:t>
      </w:r>
      <w:r w:rsidR="006B163B" w:rsidRPr="0047017F">
        <w:t xml:space="preserve">had </w:t>
      </w:r>
      <w:r w:rsidRPr="0047017F">
        <w:t xml:space="preserve">produced a limited edition for a green smoothie. </w:t>
      </w:r>
    </w:p>
    <w:p w14:paraId="1F3FF828" w14:textId="77777777" w:rsidR="00505663" w:rsidRDefault="00505663" w:rsidP="005C20D1">
      <w:pPr>
        <w:pStyle w:val="BodyTextMain"/>
      </w:pPr>
    </w:p>
    <w:p w14:paraId="2C547E7D" w14:textId="68E65EAA" w:rsidR="005C20D1" w:rsidRPr="003B1949" w:rsidRDefault="005C20D1" w:rsidP="005C20D1">
      <w:pPr>
        <w:pStyle w:val="BodyTextMain"/>
        <w:rPr>
          <w:spacing w:val="-2"/>
          <w:kern w:val="2"/>
        </w:rPr>
      </w:pPr>
      <w:r w:rsidRPr="003B1949">
        <w:rPr>
          <w:spacing w:val="-2"/>
          <w:kern w:val="2"/>
        </w:rPr>
        <w:t xml:space="preserve">True </w:t>
      </w:r>
      <w:r w:rsidR="006B163B" w:rsidRPr="003B1949">
        <w:rPr>
          <w:spacing w:val="-2"/>
          <w:kern w:val="2"/>
        </w:rPr>
        <w:t>F</w:t>
      </w:r>
      <w:r w:rsidRPr="003B1949">
        <w:rPr>
          <w:spacing w:val="-2"/>
          <w:kern w:val="2"/>
        </w:rPr>
        <w:t>ruits’ philosophy suggested the use of catch phrases instead of “standard” labe</w:t>
      </w:r>
      <w:r w:rsidR="006B163B" w:rsidRPr="003B1949">
        <w:rPr>
          <w:spacing w:val="-2"/>
          <w:kern w:val="2"/>
        </w:rPr>
        <w:t>l</w:t>
      </w:r>
      <w:r w:rsidRPr="003B1949">
        <w:rPr>
          <w:spacing w:val="-2"/>
          <w:kern w:val="2"/>
        </w:rPr>
        <w:t xml:space="preserve">ling in order to </w:t>
      </w:r>
      <w:r w:rsidR="00505663" w:rsidRPr="003B1949">
        <w:rPr>
          <w:spacing w:val="-2"/>
          <w:kern w:val="2"/>
        </w:rPr>
        <w:t xml:space="preserve">attract </w:t>
      </w:r>
      <w:r w:rsidRPr="003B1949">
        <w:rPr>
          <w:spacing w:val="-2"/>
          <w:kern w:val="2"/>
        </w:rPr>
        <w:t>customers’ attention, engage them</w:t>
      </w:r>
      <w:r w:rsidR="006B163B" w:rsidRPr="003B1949">
        <w:rPr>
          <w:spacing w:val="-2"/>
          <w:kern w:val="2"/>
        </w:rPr>
        <w:t>,</w:t>
      </w:r>
      <w:r w:rsidRPr="003B1949">
        <w:rPr>
          <w:spacing w:val="-2"/>
          <w:kern w:val="2"/>
        </w:rPr>
        <w:t xml:space="preserve"> and create </w:t>
      </w:r>
      <w:r w:rsidR="006B163B" w:rsidRPr="003B1949">
        <w:rPr>
          <w:spacing w:val="-2"/>
          <w:kern w:val="2"/>
        </w:rPr>
        <w:t xml:space="preserve">for them </w:t>
      </w:r>
      <w:r w:rsidRPr="003B1949">
        <w:rPr>
          <w:spacing w:val="-2"/>
          <w:kern w:val="2"/>
        </w:rPr>
        <w:t>a</w:t>
      </w:r>
      <w:r w:rsidR="006B163B" w:rsidRPr="003B1949">
        <w:rPr>
          <w:spacing w:val="-2"/>
          <w:kern w:val="2"/>
        </w:rPr>
        <w:t>n</w:t>
      </w:r>
      <w:r w:rsidRPr="003B1949">
        <w:rPr>
          <w:spacing w:val="-2"/>
          <w:kern w:val="2"/>
        </w:rPr>
        <w:t xml:space="preserve"> </w:t>
      </w:r>
      <w:r w:rsidR="006B163B" w:rsidRPr="003B1949">
        <w:rPr>
          <w:spacing w:val="-2"/>
          <w:kern w:val="2"/>
        </w:rPr>
        <w:t>entirely</w:t>
      </w:r>
      <w:r w:rsidRPr="003B1949">
        <w:rPr>
          <w:spacing w:val="-2"/>
          <w:kern w:val="2"/>
        </w:rPr>
        <w:t xml:space="preserve"> new experience. In 2016</w:t>
      </w:r>
      <w:r w:rsidR="006B163B" w:rsidRPr="003B1949">
        <w:rPr>
          <w:spacing w:val="-2"/>
          <w:kern w:val="2"/>
        </w:rPr>
        <w:t>,</w:t>
      </w:r>
      <w:r w:rsidRPr="003B1949">
        <w:rPr>
          <w:spacing w:val="-2"/>
          <w:kern w:val="2"/>
        </w:rPr>
        <w:t xml:space="preserve"> </w:t>
      </w:r>
      <w:r w:rsidR="006B163B" w:rsidRPr="003B1949">
        <w:rPr>
          <w:spacing w:val="-2"/>
          <w:kern w:val="2"/>
        </w:rPr>
        <w:t>Tr</w:t>
      </w:r>
      <w:r w:rsidR="000A6840" w:rsidRPr="003B1949">
        <w:rPr>
          <w:spacing w:val="-2"/>
          <w:kern w:val="2"/>
        </w:rPr>
        <w:t>ue</w:t>
      </w:r>
      <w:r w:rsidR="006B163B" w:rsidRPr="003B1949">
        <w:rPr>
          <w:spacing w:val="-2"/>
          <w:kern w:val="2"/>
        </w:rPr>
        <w:t xml:space="preserve"> Fruits </w:t>
      </w:r>
      <w:r w:rsidRPr="003B1949">
        <w:rPr>
          <w:spacing w:val="-2"/>
          <w:kern w:val="2"/>
        </w:rPr>
        <w:t>encountered some criticism</w:t>
      </w:r>
      <w:r w:rsidR="00DF6F2E" w:rsidRPr="003B1949">
        <w:rPr>
          <w:spacing w:val="-2"/>
          <w:kern w:val="2"/>
        </w:rPr>
        <w:t xml:space="preserve"> for a billboard campaign</w:t>
      </w:r>
      <w:r w:rsidR="00B92E07" w:rsidRPr="003B1949">
        <w:rPr>
          <w:spacing w:val="-2"/>
          <w:kern w:val="2"/>
        </w:rPr>
        <w:t xml:space="preserve"> introducing its new seed juices,</w:t>
      </w:r>
      <w:r w:rsidRPr="003B1949">
        <w:rPr>
          <w:spacing w:val="-2"/>
          <w:kern w:val="2"/>
        </w:rPr>
        <w:t xml:space="preserve"> </w:t>
      </w:r>
      <w:r w:rsidR="00DF6F2E" w:rsidRPr="003B1949">
        <w:rPr>
          <w:spacing w:val="-2"/>
          <w:kern w:val="2"/>
        </w:rPr>
        <w:t>owing to ambiguous content potentially suggesting something improper.</w:t>
      </w:r>
      <w:r w:rsidRPr="003B1949">
        <w:rPr>
          <w:spacing w:val="-2"/>
          <w:kern w:val="2"/>
        </w:rPr>
        <w:t xml:space="preserve"> </w:t>
      </w:r>
      <w:r w:rsidR="00B92E07" w:rsidRPr="003B1949">
        <w:rPr>
          <w:spacing w:val="-2"/>
          <w:kern w:val="2"/>
        </w:rPr>
        <w:t>T</w:t>
      </w:r>
      <w:r w:rsidRPr="003B1949">
        <w:rPr>
          <w:spacing w:val="-2"/>
          <w:kern w:val="2"/>
        </w:rPr>
        <w:t>wo cities (Munich and Stuttgart)</w:t>
      </w:r>
      <w:r w:rsidR="00B92E07" w:rsidRPr="003B1949">
        <w:rPr>
          <w:spacing w:val="-2"/>
          <w:kern w:val="2"/>
        </w:rPr>
        <w:t xml:space="preserve"> prohibited the use of particular billboards</w:t>
      </w:r>
      <w:r w:rsidRPr="003B1949">
        <w:rPr>
          <w:spacing w:val="-2"/>
          <w:kern w:val="2"/>
        </w:rPr>
        <w:t xml:space="preserve">. </w:t>
      </w:r>
      <w:r w:rsidR="00B92E07" w:rsidRPr="003B1949">
        <w:rPr>
          <w:spacing w:val="-2"/>
          <w:kern w:val="2"/>
        </w:rPr>
        <w:t xml:space="preserve">However, </w:t>
      </w:r>
      <w:r w:rsidR="004855AA" w:rsidRPr="003B1949">
        <w:rPr>
          <w:spacing w:val="-2"/>
          <w:kern w:val="2"/>
        </w:rPr>
        <w:t>T</w:t>
      </w:r>
      <w:r w:rsidRPr="003B1949">
        <w:rPr>
          <w:spacing w:val="-2"/>
          <w:kern w:val="2"/>
        </w:rPr>
        <w:t xml:space="preserve">rue </w:t>
      </w:r>
      <w:r w:rsidR="004855AA" w:rsidRPr="003B1949">
        <w:rPr>
          <w:spacing w:val="-2"/>
          <w:kern w:val="2"/>
        </w:rPr>
        <w:t>F</w:t>
      </w:r>
      <w:r w:rsidRPr="003B1949">
        <w:rPr>
          <w:spacing w:val="-2"/>
          <w:kern w:val="2"/>
        </w:rPr>
        <w:t xml:space="preserve">ruits simply replaced </w:t>
      </w:r>
      <w:r w:rsidR="00B92E07" w:rsidRPr="003B1949">
        <w:rPr>
          <w:spacing w:val="-2"/>
          <w:kern w:val="2"/>
        </w:rPr>
        <w:t xml:space="preserve">Stuttgart </w:t>
      </w:r>
      <w:r w:rsidR="004855AA" w:rsidRPr="003B1949">
        <w:rPr>
          <w:spacing w:val="-2"/>
          <w:kern w:val="2"/>
        </w:rPr>
        <w:t>with</w:t>
      </w:r>
      <w:r w:rsidRPr="003B1949">
        <w:rPr>
          <w:spacing w:val="-2"/>
          <w:kern w:val="2"/>
        </w:rPr>
        <w:t xml:space="preserve"> another </w:t>
      </w:r>
      <w:r w:rsidR="000131AE" w:rsidRPr="003B1949">
        <w:rPr>
          <w:spacing w:val="-2"/>
          <w:kern w:val="2"/>
        </w:rPr>
        <w:t xml:space="preserve">city </w:t>
      </w:r>
      <w:r w:rsidR="004855AA" w:rsidRPr="003B1949">
        <w:rPr>
          <w:spacing w:val="-2"/>
          <w:kern w:val="2"/>
        </w:rPr>
        <w:t>that</w:t>
      </w:r>
      <w:r w:rsidRPr="003B1949">
        <w:rPr>
          <w:spacing w:val="-2"/>
          <w:kern w:val="2"/>
        </w:rPr>
        <w:t xml:space="preserve"> allow</w:t>
      </w:r>
      <w:r w:rsidR="004855AA" w:rsidRPr="003B1949">
        <w:rPr>
          <w:spacing w:val="-2"/>
          <w:kern w:val="2"/>
        </w:rPr>
        <w:t>ed</w:t>
      </w:r>
      <w:r w:rsidRPr="003B1949">
        <w:rPr>
          <w:spacing w:val="-2"/>
          <w:kern w:val="2"/>
        </w:rPr>
        <w:t xml:space="preserve"> the billboard campaign. Because Munich </w:t>
      </w:r>
      <w:r w:rsidR="004855AA" w:rsidRPr="003B1949">
        <w:rPr>
          <w:spacing w:val="-2"/>
          <w:kern w:val="2"/>
        </w:rPr>
        <w:t>was</w:t>
      </w:r>
      <w:r w:rsidRPr="003B1949">
        <w:rPr>
          <w:spacing w:val="-2"/>
          <w:kern w:val="2"/>
        </w:rPr>
        <w:t xml:space="preserve"> one of the biggest cities in Germany, the company did not want to renounce </w:t>
      </w:r>
      <w:r w:rsidR="00E65F50" w:rsidRPr="003B1949">
        <w:rPr>
          <w:spacing w:val="-2"/>
          <w:kern w:val="2"/>
        </w:rPr>
        <w:t>its</w:t>
      </w:r>
      <w:r w:rsidRPr="003B1949">
        <w:rPr>
          <w:spacing w:val="-2"/>
          <w:kern w:val="2"/>
        </w:rPr>
        <w:t xml:space="preserve"> billboards</w:t>
      </w:r>
      <w:r w:rsidR="00E65F50" w:rsidRPr="003B1949">
        <w:rPr>
          <w:spacing w:val="-2"/>
          <w:kern w:val="2"/>
        </w:rPr>
        <w:t xml:space="preserve"> there</w:t>
      </w:r>
      <w:r w:rsidRPr="003B1949">
        <w:rPr>
          <w:spacing w:val="-2"/>
          <w:kern w:val="2"/>
        </w:rPr>
        <w:t xml:space="preserve">. </w:t>
      </w:r>
      <w:r w:rsidR="000A6840" w:rsidRPr="003B1949">
        <w:rPr>
          <w:spacing w:val="-2"/>
          <w:kern w:val="2"/>
        </w:rPr>
        <w:t>T</w:t>
      </w:r>
      <w:r w:rsidRPr="003B1949">
        <w:rPr>
          <w:spacing w:val="-2"/>
          <w:kern w:val="2"/>
        </w:rPr>
        <w:t xml:space="preserve">rue </w:t>
      </w:r>
      <w:r w:rsidR="000A6840" w:rsidRPr="003B1949">
        <w:rPr>
          <w:spacing w:val="-2"/>
          <w:kern w:val="2"/>
        </w:rPr>
        <w:t>F</w:t>
      </w:r>
      <w:r w:rsidRPr="003B1949">
        <w:rPr>
          <w:spacing w:val="-2"/>
          <w:kern w:val="2"/>
        </w:rPr>
        <w:t>ruits printed the censor</w:t>
      </w:r>
      <w:r w:rsidR="000131AE" w:rsidRPr="003B1949">
        <w:rPr>
          <w:spacing w:val="-2"/>
          <w:kern w:val="2"/>
        </w:rPr>
        <w:t>ed text</w:t>
      </w:r>
      <w:r w:rsidRPr="003B1949">
        <w:rPr>
          <w:spacing w:val="-2"/>
          <w:kern w:val="2"/>
        </w:rPr>
        <w:t xml:space="preserve"> on their billboards and h</w:t>
      </w:r>
      <w:r w:rsidR="002B53B8" w:rsidRPr="003B1949">
        <w:rPr>
          <w:spacing w:val="-2"/>
          <w:kern w:val="2"/>
        </w:rPr>
        <w:t>ung</w:t>
      </w:r>
      <w:r w:rsidRPr="003B1949">
        <w:rPr>
          <w:spacing w:val="-2"/>
          <w:kern w:val="2"/>
        </w:rPr>
        <w:t xml:space="preserve"> the</w:t>
      </w:r>
      <w:r w:rsidR="000131AE" w:rsidRPr="003B1949">
        <w:rPr>
          <w:spacing w:val="-2"/>
          <w:kern w:val="2"/>
        </w:rPr>
        <w:t>se</w:t>
      </w:r>
      <w:r w:rsidRPr="003B1949">
        <w:rPr>
          <w:spacing w:val="-2"/>
          <w:kern w:val="2"/>
        </w:rPr>
        <w:t xml:space="preserve"> censored posters all over Munich. Overall, approximate</w:t>
      </w:r>
      <w:r w:rsidR="00E65F50" w:rsidRPr="003B1949">
        <w:rPr>
          <w:spacing w:val="-2"/>
          <w:kern w:val="2"/>
        </w:rPr>
        <w:t>ly</w:t>
      </w:r>
      <w:r w:rsidRPr="003B1949">
        <w:rPr>
          <w:spacing w:val="-2"/>
          <w:kern w:val="2"/>
        </w:rPr>
        <w:t xml:space="preserve"> 50 million people</w:t>
      </w:r>
      <w:r w:rsidR="00E65F50" w:rsidRPr="003B1949">
        <w:rPr>
          <w:spacing w:val="-2"/>
          <w:kern w:val="2"/>
        </w:rPr>
        <w:t>—</w:t>
      </w:r>
      <w:r w:rsidRPr="003B1949">
        <w:rPr>
          <w:spacing w:val="-2"/>
          <w:kern w:val="2"/>
        </w:rPr>
        <w:t>more than 60</w:t>
      </w:r>
      <w:r w:rsidR="002B53B8" w:rsidRPr="003B1949">
        <w:rPr>
          <w:spacing w:val="-2"/>
          <w:kern w:val="2"/>
        </w:rPr>
        <w:t xml:space="preserve"> per cent</w:t>
      </w:r>
      <w:r w:rsidRPr="003B1949">
        <w:rPr>
          <w:spacing w:val="-2"/>
          <w:kern w:val="2"/>
        </w:rPr>
        <w:t xml:space="preserve"> of Germany’s population</w:t>
      </w:r>
      <w:r w:rsidR="00E65F50" w:rsidRPr="003B1949">
        <w:rPr>
          <w:spacing w:val="-2"/>
          <w:kern w:val="2"/>
        </w:rPr>
        <w:t>—</w:t>
      </w:r>
      <w:r w:rsidRPr="003B1949">
        <w:rPr>
          <w:spacing w:val="-2"/>
          <w:kern w:val="2"/>
        </w:rPr>
        <w:t>were reached during the 10-day period by 4,000 billboards</w:t>
      </w:r>
      <w:r w:rsidR="00E65F50" w:rsidRPr="003B1949">
        <w:rPr>
          <w:spacing w:val="-2"/>
          <w:kern w:val="2"/>
        </w:rPr>
        <w:t>.</w:t>
      </w:r>
      <w:r w:rsidRPr="003B1949">
        <w:rPr>
          <w:rStyle w:val="FootnoteReference"/>
          <w:spacing w:val="-2"/>
          <w:kern w:val="2"/>
        </w:rPr>
        <w:footnoteReference w:id="2"/>
      </w:r>
      <w:r w:rsidRPr="003B1949">
        <w:rPr>
          <w:spacing w:val="-2"/>
          <w:kern w:val="2"/>
        </w:rPr>
        <w:t xml:space="preserve"> The campaign was not only supported through social media, but </w:t>
      </w:r>
      <w:r w:rsidR="00E65F50" w:rsidRPr="003B1949">
        <w:rPr>
          <w:spacing w:val="-2"/>
          <w:kern w:val="2"/>
        </w:rPr>
        <w:t xml:space="preserve">also enforced through </w:t>
      </w:r>
      <w:r w:rsidRPr="003B1949">
        <w:rPr>
          <w:spacing w:val="-2"/>
          <w:kern w:val="2"/>
        </w:rPr>
        <w:t xml:space="preserve">active </w:t>
      </w:r>
      <w:r w:rsidR="00E65F50" w:rsidRPr="003B1949">
        <w:rPr>
          <w:spacing w:val="-2"/>
          <w:kern w:val="2"/>
        </w:rPr>
        <w:t>public relations efforts</w:t>
      </w:r>
      <w:r w:rsidRPr="003B1949">
        <w:rPr>
          <w:spacing w:val="-2"/>
          <w:kern w:val="2"/>
        </w:rPr>
        <w:t xml:space="preserve"> (see </w:t>
      </w:r>
      <w:r w:rsidR="002B53B8" w:rsidRPr="003B1949">
        <w:rPr>
          <w:spacing w:val="-2"/>
          <w:kern w:val="2"/>
        </w:rPr>
        <w:t>E</w:t>
      </w:r>
      <w:r w:rsidRPr="003B1949">
        <w:rPr>
          <w:spacing w:val="-2"/>
          <w:kern w:val="2"/>
        </w:rPr>
        <w:t>xhibit 3).</w:t>
      </w:r>
    </w:p>
    <w:p w14:paraId="40854333" w14:textId="77777777" w:rsidR="005C20D1" w:rsidRPr="0047017F" w:rsidRDefault="005C20D1" w:rsidP="005C20D1">
      <w:pPr>
        <w:pStyle w:val="BodyTextMain"/>
      </w:pPr>
    </w:p>
    <w:p w14:paraId="536FC16F" w14:textId="77777777" w:rsidR="005C20D1" w:rsidRPr="0047017F" w:rsidRDefault="005C20D1" w:rsidP="002828BD">
      <w:pPr>
        <w:pStyle w:val="BodyTextMain"/>
      </w:pPr>
    </w:p>
    <w:p w14:paraId="015CAB3A" w14:textId="77777777" w:rsidR="005C20D1" w:rsidRPr="0047017F" w:rsidRDefault="005C20D1" w:rsidP="00EF240D">
      <w:pPr>
        <w:pStyle w:val="Casehead1"/>
        <w:outlineLvl w:val="0"/>
      </w:pPr>
      <w:r w:rsidRPr="0047017F">
        <w:t>International Presence</w:t>
      </w:r>
    </w:p>
    <w:p w14:paraId="5B2172C3" w14:textId="77777777" w:rsidR="005C20D1" w:rsidRPr="0047017F" w:rsidRDefault="005C20D1" w:rsidP="002828BD">
      <w:pPr>
        <w:pStyle w:val="BodyTextMain"/>
      </w:pPr>
    </w:p>
    <w:p w14:paraId="051A95C1" w14:textId="68CA952B" w:rsidR="005C20D1" w:rsidRDefault="005C20D1" w:rsidP="002828BD">
      <w:pPr>
        <w:pStyle w:val="BodyTextMain"/>
      </w:pPr>
      <w:r w:rsidRPr="0047017F">
        <w:t xml:space="preserve">By the end of 2016, </w:t>
      </w:r>
      <w:r w:rsidR="00E65F50" w:rsidRPr="0047017F">
        <w:t>T</w:t>
      </w:r>
      <w:r w:rsidRPr="0047017F">
        <w:t xml:space="preserve">rue </w:t>
      </w:r>
      <w:r w:rsidR="00E65F50" w:rsidRPr="0047017F">
        <w:t>F</w:t>
      </w:r>
      <w:r w:rsidRPr="0047017F">
        <w:t>ruits was the market leader for smoothies in Germany. Premium grocery stores and high-end restaurants in Austria and Switzerland distribute</w:t>
      </w:r>
      <w:r w:rsidR="00E65F50" w:rsidRPr="0047017F">
        <w:t>d</w:t>
      </w:r>
      <w:r w:rsidRPr="0047017F">
        <w:t xml:space="preserve"> and sold </w:t>
      </w:r>
      <w:r w:rsidR="00E65F50" w:rsidRPr="0047017F">
        <w:t>T</w:t>
      </w:r>
      <w:r w:rsidRPr="0047017F">
        <w:t xml:space="preserve">rue </w:t>
      </w:r>
      <w:r w:rsidR="00E65F50" w:rsidRPr="0047017F">
        <w:t>F</w:t>
      </w:r>
      <w:r w:rsidRPr="0047017F">
        <w:t>ruit</w:t>
      </w:r>
      <w:r w:rsidR="00E65F50" w:rsidRPr="0047017F">
        <w:t>s</w:t>
      </w:r>
      <w:r w:rsidRPr="0047017F">
        <w:t>’ smoothies; however, those two countries together account</w:t>
      </w:r>
      <w:r w:rsidR="00E65F50" w:rsidRPr="0047017F">
        <w:t>ed</w:t>
      </w:r>
      <w:r w:rsidRPr="0047017F">
        <w:t xml:space="preserve"> for </w:t>
      </w:r>
      <w:r w:rsidR="007624AD" w:rsidRPr="0047017F">
        <w:t xml:space="preserve">only </w:t>
      </w:r>
      <w:r w:rsidRPr="0047017F">
        <w:t>about 3</w:t>
      </w:r>
      <w:r w:rsidR="00E65F50" w:rsidRPr="0047017F">
        <w:t xml:space="preserve"> per cent</w:t>
      </w:r>
      <w:r w:rsidRPr="0047017F">
        <w:t xml:space="preserve"> of total revenues (see </w:t>
      </w:r>
      <w:r w:rsidR="00E65F50" w:rsidRPr="0047017F">
        <w:t>E</w:t>
      </w:r>
      <w:r w:rsidRPr="0047017F">
        <w:t xml:space="preserve">xhibit 4). Austria </w:t>
      </w:r>
      <w:r w:rsidR="00E65F50" w:rsidRPr="0047017F">
        <w:t>was</w:t>
      </w:r>
      <w:r w:rsidRPr="0047017F">
        <w:t xml:space="preserve"> considered a very favo</w:t>
      </w:r>
      <w:r w:rsidR="00E65F50" w:rsidRPr="0047017F">
        <w:t>u</w:t>
      </w:r>
      <w:r w:rsidRPr="0047017F">
        <w:t>rable marke</w:t>
      </w:r>
      <w:r w:rsidR="00D31D88" w:rsidRPr="0047017F">
        <w:t>t</w:t>
      </w:r>
      <w:r w:rsidR="00E65F50" w:rsidRPr="0047017F">
        <w:t>,</w:t>
      </w:r>
      <w:r w:rsidRPr="0047017F">
        <w:t xml:space="preserve"> as the consumption of smoothies had doubled </w:t>
      </w:r>
      <w:r w:rsidR="007624AD" w:rsidRPr="0047017F">
        <w:t xml:space="preserve">there </w:t>
      </w:r>
      <w:r w:rsidRPr="0047017F">
        <w:t xml:space="preserve">in the past </w:t>
      </w:r>
      <w:r w:rsidR="007624AD" w:rsidRPr="0047017F">
        <w:t>four</w:t>
      </w:r>
      <w:r w:rsidRPr="0047017F">
        <w:t xml:space="preserve"> years.</w:t>
      </w:r>
      <w:r w:rsidRPr="002828BD">
        <w:rPr>
          <w:rStyle w:val="FootnoteReference"/>
        </w:rPr>
        <w:footnoteReference w:id="3"/>
      </w:r>
      <w:r w:rsidRPr="002828BD">
        <w:rPr>
          <w:rStyle w:val="FootnoteReference"/>
        </w:rPr>
        <w:t xml:space="preserve"> </w:t>
      </w:r>
    </w:p>
    <w:p w14:paraId="5DFF35E9" w14:textId="77777777" w:rsidR="004D40CD" w:rsidRPr="0047017F" w:rsidRDefault="004D40CD" w:rsidP="002828BD">
      <w:pPr>
        <w:pStyle w:val="BodyTextMain"/>
      </w:pPr>
    </w:p>
    <w:p w14:paraId="7576DE9C" w14:textId="77777777" w:rsidR="005C20D1" w:rsidRPr="0047017F" w:rsidRDefault="005C20D1" w:rsidP="00EF240D">
      <w:pPr>
        <w:pStyle w:val="Casehead2"/>
        <w:outlineLvl w:val="0"/>
      </w:pPr>
      <w:r w:rsidRPr="0047017F">
        <w:lastRenderedPageBreak/>
        <w:t>Corporate Strategy</w:t>
      </w:r>
    </w:p>
    <w:p w14:paraId="6C46F198" w14:textId="77777777" w:rsidR="005C20D1" w:rsidRPr="0047017F" w:rsidRDefault="005C20D1" w:rsidP="005C20D1">
      <w:pPr>
        <w:pStyle w:val="BodyTextMain"/>
      </w:pPr>
    </w:p>
    <w:p w14:paraId="78AF35D9" w14:textId="3EC984AA" w:rsidR="005C20D1" w:rsidRPr="0047017F" w:rsidRDefault="005C20D1" w:rsidP="005C20D1">
      <w:pPr>
        <w:pStyle w:val="BodyTextMain"/>
      </w:pPr>
      <w:r w:rsidRPr="0047017F">
        <w:t xml:space="preserve">True </w:t>
      </w:r>
      <w:r w:rsidR="00AC28B9" w:rsidRPr="0047017F">
        <w:t>F</w:t>
      </w:r>
      <w:r w:rsidRPr="0047017F">
        <w:t>ruits</w:t>
      </w:r>
      <w:r w:rsidR="00AC28B9" w:rsidRPr="0047017F">
        <w:t>’</w:t>
      </w:r>
      <w:r w:rsidRPr="0047017F">
        <w:t xml:space="preserve"> mission had always been to make healthy living a style of life rather than an obligation. The three founders </w:t>
      </w:r>
      <w:r w:rsidR="003E7CB5" w:rsidRPr="0047017F">
        <w:t xml:space="preserve">had </w:t>
      </w:r>
      <w:r w:rsidRPr="0047017F">
        <w:t>buil</w:t>
      </w:r>
      <w:r w:rsidR="00AC28B9" w:rsidRPr="0047017F">
        <w:t>t</w:t>
      </w:r>
      <w:r w:rsidRPr="0047017F">
        <w:t xml:space="preserve"> their brand from the perspective of consumers</w:t>
      </w:r>
      <w:r w:rsidR="00AC28B9" w:rsidRPr="0047017F">
        <w:t>, combining</w:t>
      </w:r>
      <w:r w:rsidRPr="0047017F">
        <w:t xml:space="preserve"> </w:t>
      </w:r>
      <w:r w:rsidR="00AC28B9" w:rsidRPr="0047017F">
        <w:t>t</w:t>
      </w:r>
      <w:r w:rsidRPr="0047017F">
        <w:t xml:space="preserve">he best ingredients with the best packaging. </w:t>
      </w:r>
      <w:r w:rsidR="002A1318" w:rsidRPr="0047017F">
        <w:t>Therefore,</w:t>
      </w:r>
      <w:r w:rsidRPr="0047017F">
        <w:t xml:space="preserve"> they used glass bottles for sustainability and differentiation, and </w:t>
      </w:r>
      <w:r w:rsidR="00834C93" w:rsidRPr="0047017F">
        <w:t>printed</w:t>
      </w:r>
      <w:r w:rsidRPr="0047017F">
        <w:t xml:space="preserve"> direct</w:t>
      </w:r>
      <w:r w:rsidR="00834C93" w:rsidRPr="0047017F">
        <w:t>ly</w:t>
      </w:r>
      <w:r w:rsidRPr="0047017F">
        <w:t xml:space="preserve"> on the glass bottle to avoid paper labe</w:t>
      </w:r>
      <w:r w:rsidR="00834C93" w:rsidRPr="0047017F">
        <w:t>l</w:t>
      </w:r>
      <w:r w:rsidRPr="0047017F">
        <w:t xml:space="preserve">ling. The company </w:t>
      </w:r>
      <w:r w:rsidR="00834C93" w:rsidRPr="0047017F">
        <w:t xml:space="preserve">had </w:t>
      </w:r>
      <w:r w:rsidRPr="0047017F">
        <w:t xml:space="preserve">decided to use glass as </w:t>
      </w:r>
      <w:r w:rsidR="00834C93" w:rsidRPr="0047017F">
        <w:t>its</w:t>
      </w:r>
      <w:r w:rsidRPr="0047017F">
        <w:t xml:space="preserve"> packaging material</w:t>
      </w:r>
      <w:r w:rsidR="00834C93" w:rsidRPr="0047017F">
        <w:t xml:space="preserve"> because</w:t>
      </w:r>
      <w:r w:rsidRPr="0047017F">
        <w:t xml:space="preserve"> it </w:t>
      </w:r>
      <w:r w:rsidR="00834C93" w:rsidRPr="0047017F">
        <w:t>was</w:t>
      </w:r>
      <w:r w:rsidRPr="0047017F">
        <w:t xml:space="preserve"> dense, safe, and neutral in taste</w:t>
      </w:r>
      <w:r w:rsidR="00834C93" w:rsidRPr="0047017F">
        <w:t>,</w:t>
      </w:r>
      <w:r w:rsidRPr="0047017F">
        <w:t xml:space="preserve"> and</w:t>
      </w:r>
      <w:r w:rsidR="00834C93" w:rsidRPr="0047017F">
        <w:t xml:space="preserve"> it</w:t>
      </w:r>
      <w:r w:rsidRPr="0047017F">
        <w:t xml:space="preserve"> maintain</w:t>
      </w:r>
      <w:r w:rsidR="00834C93" w:rsidRPr="0047017F">
        <w:t>ed</w:t>
      </w:r>
      <w:r w:rsidRPr="0047017F">
        <w:t xml:space="preserve"> the colo</w:t>
      </w:r>
      <w:r w:rsidR="00834C93" w:rsidRPr="0047017F">
        <w:t>u</w:t>
      </w:r>
      <w:r w:rsidRPr="0047017F">
        <w:t xml:space="preserve">r and stability of the product. Furthermore, glass </w:t>
      </w:r>
      <w:r w:rsidR="003E7CB5" w:rsidRPr="0047017F">
        <w:t>had proven</w:t>
      </w:r>
      <w:r w:rsidRPr="0047017F">
        <w:t xml:space="preserve"> to increase the perceived value</w:t>
      </w:r>
      <w:r w:rsidR="003E7CB5" w:rsidRPr="0047017F">
        <w:t>,</w:t>
      </w:r>
      <w:r w:rsidRPr="0047017F">
        <w:t xml:space="preserve"> and</w:t>
      </w:r>
      <w:r w:rsidR="00976C4A" w:rsidRPr="0047017F">
        <w:t xml:space="preserve"> </w:t>
      </w:r>
      <w:r w:rsidR="003E7CB5" w:rsidRPr="0047017F">
        <w:t xml:space="preserve">it </w:t>
      </w:r>
      <w:r w:rsidRPr="0047017F">
        <w:t xml:space="preserve">was recognized as </w:t>
      </w:r>
      <w:r w:rsidR="00976C4A" w:rsidRPr="0047017F">
        <w:t xml:space="preserve">a </w:t>
      </w:r>
      <w:r w:rsidRPr="0047017F">
        <w:t>premium product</w:t>
      </w:r>
      <w:r w:rsidR="00976C4A" w:rsidRPr="0047017F">
        <w:t>,</w:t>
      </w:r>
      <w:r w:rsidRPr="0047017F">
        <w:t xml:space="preserve"> ma</w:t>
      </w:r>
      <w:r w:rsidR="00976C4A" w:rsidRPr="0047017F">
        <w:t>king</w:t>
      </w:r>
      <w:r w:rsidRPr="0047017F">
        <w:t xml:space="preserve"> it </w:t>
      </w:r>
      <w:r w:rsidR="00976C4A" w:rsidRPr="0047017F">
        <w:t xml:space="preserve">a </w:t>
      </w:r>
      <w:r w:rsidRPr="0047017F">
        <w:t>favo</w:t>
      </w:r>
      <w:r w:rsidR="00976C4A" w:rsidRPr="0047017F">
        <w:t>u</w:t>
      </w:r>
      <w:r w:rsidRPr="0047017F">
        <w:t>rable</w:t>
      </w:r>
      <w:r w:rsidR="00976C4A" w:rsidRPr="0047017F">
        <w:t xml:space="preserve"> </w:t>
      </w:r>
      <w:r w:rsidRPr="0047017F">
        <w:t>packaging material</w:t>
      </w:r>
      <w:r w:rsidR="00976C4A" w:rsidRPr="0047017F">
        <w:t>—though it was</w:t>
      </w:r>
      <w:r w:rsidRPr="0047017F">
        <w:t xml:space="preserve"> also </w:t>
      </w:r>
      <w:r w:rsidR="00C10832" w:rsidRPr="0047017F">
        <w:t>costlier</w:t>
      </w:r>
      <w:r w:rsidRPr="0047017F">
        <w:t>.</w:t>
      </w:r>
    </w:p>
    <w:p w14:paraId="74B1B9BE" w14:textId="77777777" w:rsidR="005C20D1" w:rsidRPr="0047017F" w:rsidRDefault="005C20D1" w:rsidP="005C20D1">
      <w:pPr>
        <w:pStyle w:val="BodyTextMain"/>
      </w:pPr>
    </w:p>
    <w:p w14:paraId="612FAE39" w14:textId="53F332C4" w:rsidR="005C20D1" w:rsidRPr="0047017F" w:rsidRDefault="005C20D1" w:rsidP="005C20D1">
      <w:pPr>
        <w:pStyle w:val="BodyTextMain"/>
      </w:pPr>
      <w:r w:rsidRPr="0047017F">
        <w:t xml:space="preserve">True </w:t>
      </w:r>
      <w:r w:rsidR="00976C4A" w:rsidRPr="0047017F">
        <w:t>F</w:t>
      </w:r>
      <w:r w:rsidRPr="0047017F">
        <w:t>ruits emphasized simplicity, quality</w:t>
      </w:r>
      <w:r w:rsidR="00976C4A" w:rsidRPr="0047017F">
        <w:t>,</w:t>
      </w:r>
      <w:r w:rsidRPr="0047017F">
        <w:t xml:space="preserve"> and purity of ingredients for all </w:t>
      </w:r>
      <w:r w:rsidR="00976C4A" w:rsidRPr="0047017F">
        <w:t>of its</w:t>
      </w:r>
      <w:r w:rsidRPr="0047017F">
        <w:t xml:space="preserve"> smoothie products. In fact, </w:t>
      </w:r>
      <w:r w:rsidR="00801530" w:rsidRPr="0047017F">
        <w:t>its</w:t>
      </w:r>
      <w:r w:rsidRPr="0047017F">
        <w:t xml:space="preserve"> glass bottles were filled with 100</w:t>
      </w:r>
      <w:r w:rsidR="00976C4A" w:rsidRPr="0047017F">
        <w:t xml:space="preserve"> per cent</w:t>
      </w:r>
      <w:r w:rsidRPr="0047017F">
        <w:t xml:space="preserve"> natural ingredients. Even though the glass bottles were completely recyclable, upcycling, as </w:t>
      </w:r>
      <w:r w:rsidR="00AA0BF6">
        <w:t xml:space="preserve">previously </w:t>
      </w:r>
      <w:r w:rsidRPr="0047017F">
        <w:t xml:space="preserve">described, was </w:t>
      </w:r>
      <w:r w:rsidR="000131AE" w:rsidRPr="0047017F">
        <w:t xml:space="preserve">still </w:t>
      </w:r>
      <w:r w:rsidRPr="0047017F">
        <w:t xml:space="preserve">used for creative ideas. </w:t>
      </w:r>
    </w:p>
    <w:p w14:paraId="7D3BB8D0" w14:textId="77777777" w:rsidR="005C20D1" w:rsidRPr="0047017F" w:rsidRDefault="005C20D1" w:rsidP="005C20D1">
      <w:pPr>
        <w:pStyle w:val="BodyTextMain"/>
      </w:pPr>
    </w:p>
    <w:p w14:paraId="33CFF105" w14:textId="24191139" w:rsidR="00AA0BF6" w:rsidRDefault="005C20D1" w:rsidP="005C20D1">
      <w:pPr>
        <w:pStyle w:val="BodyTextMain"/>
      </w:pPr>
      <w:r w:rsidRPr="0047017F">
        <w:t xml:space="preserve">True </w:t>
      </w:r>
      <w:r w:rsidR="00801530" w:rsidRPr="0047017F">
        <w:t>F</w:t>
      </w:r>
      <w:r w:rsidRPr="0047017F">
        <w:t xml:space="preserve">ruits extended its offering to </w:t>
      </w:r>
      <w:r w:rsidR="003E7CB5" w:rsidRPr="0047017F">
        <w:t xml:space="preserve">include </w:t>
      </w:r>
      <w:r w:rsidRPr="0047017F">
        <w:t>nine different smoothies</w:t>
      </w:r>
      <w:r w:rsidR="00801530" w:rsidRPr="0047017F">
        <w:t>,</w:t>
      </w:r>
      <w:r w:rsidRPr="0047017F">
        <w:t xml:space="preserve"> named </w:t>
      </w:r>
      <w:r w:rsidR="003E7CB5" w:rsidRPr="0047017F">
        <w:t>according to</w:t>
      </w:r>
      <w:r w:rsidRPr="0047017F">
        <w:t xml:space="preserve"> their colo</w:t>
      </w:r>
      <w:r w:rsidR="00801530" w:rsidRPr="0047017F">
        <w:t>u</w:t>
      </w:r>
      <w:r w:rsidRPr="0047017F">
        <w:t>r: yellow, purple, orange, pink, white, green smoothie no.</w:t>
      </w:r>
      <w:r w:rsidR="0047017F">
        <w:t xml:space="preserve"> </w:t>
      </w:r>
      <w:r w:rsidRPr="0047017F">
        <w:t>1, green smoothie no.</w:t>
      </w:r>
      <w:r w:rsidR="0047017F">
        <w:t xml:space="preserve"> </w:t>
      </w:r>
      <w:r w:rsidRPr="0047017F">
        <w:t>2, white smoothie strawberry</w:t>
      </w:r>
      <w:r w:rsidR="00801530" w:rsidRPr="0047017F">
        <w:t>,</w:t>
      </w:r>
      <w:r w:rsidRPr="0047017F">
        <w:t xml:space="preserve"> and white smoothie matcha. </w:t>
      </w:r>
      <w:r w:rsidR="00AA0BF6">
        <w:t>I</w:t>
      </w:r>
      <w:r w:rsidR="003E7CB5" w:rsidRPr="0047017F">
        <w:t>t</w:t>
      </w:r>
      <w:r w:rsidRPr="0047017F">
        <w:t xml:space="preserve"> </w:t>
      </w:r>
      <w:r w:rsidR="00AA0BF6">
        <w:t xml:space="preserve">also </w:t>
      </w:r>
      <w:r w:rsidRPr="0047017F">
        <w:t>offer</w:t>
      </w:r>
      <w:r w:rsidR="00801530" w:rsidRPr="0047017F">
        <w:t>ed</w:t>
      </w:r>
      <w:r w:rsidRPr="0047017F">
        <w:t xml:space="preserve"> two chia seed juices: chia yellow and chia red. The green smoothies were made out of vegetables and supplemen</w:t>
      </w:r>
      <w:r w:rsidR="003E7CB5" w:rsidRPr="0047017F">
        <w:t>ted by</w:t>
      </w:r>
      <w:r w:rsidRPr="0047017F">
        <w:t xml:space="preserve"> green plants and fruits</w:t>
      </w:r>
      <w:r w:rsidR="003E7CB5" w:rsidRPr="0047017F">
        <w:t>;</w:t>
      </w:r>
      <w:r w:rsidRPr="0047017F">
        <w:t xml:space="preserve"> the white smoothies were made out of fruits and nuts (see </w:t>
      </w:r>
      <w:r w:rsidR="003E7CB5" w:rsidRPr="0047017F">
        <w:t>E</w:t>
      </w:r>
      <w:r w:rsidRPr="0047017F">
        <w:t xml:space="preserve">xhibit 5). Some of </w:t>
      </w:r>
      <w:r w:rsidR="003E7CB5" w:rsidRPr="0047017F">
        <w:t>the company’s</w:t>
      </w:r>
      <w:r w:rsidR="0047017F">
        <w:t xml:space="preserve"> products were available in 250</w:t>
      </w:r>
      <w:r w:rsidR="00AA0BF6">
        <w:t xml:space="preserve"> millilitre (</w:t>
      </w:r>
      <w:r w:rsidRPr="0047017F">
        <w:t>ml</w:t>
      </w:r>
      <w:r w:rsidR="00AA0BF6">
        <w:t>)</w:t>
      </w:r>
      <w:r w:rsidRPr="0047017F">
        <w:t xml:space="preserve"> (8.5 o</w:t>
      </w:r>
      <w:r w:rsidR="003E7CB5" w:rsidRPr="0047017F">
        <w:t>unces</w:t>
      </w:r>
      <w:r w:rsidRPr="0047017F">
        <w:t xml:space="preserve">) </w:t>
      </w:r>
      <w:r w:rsidR="003E7CB5" w:rsidRPr="0047017F">
        <w:t>and</w:t>
      </w:r>
      <w:r w:rsidR="0047017F">
        <w:t xml:space="preserve"> 750</w:t>
      </w:r>
      <w:r w:rsidR="00AA0BF6">
        <w:t xml:space="preserve"> </w:t>
      </w:r>
      <w:r w:rsidRPr="0047017F">
        <w:t xml:space="preserve">ml (25.4 </w:t>
      </w:r>
      <w:r w:rsidR="003E7CB5" w:rsidRPr="0047017F">
        <w:t>ounces</w:t>
      </w:r>
      <w:r w:rsidRPr="0047017F">
        <w:t xml:space="preserve">) sizes. The price for a </w:t>
      </w:r>
      <w:r w:rsidR="0047017F">
        <w:t>250</w:t>
      </w:r>
      <w:r w:rsidR="00AA0BF6">
        <w:t xml:space="preserve"> </w:t>
      </w:r>
      <w:r w:rsidR="002A1318" w:rsidRPr="0047017F">
        <w:t>ml</w:t>
      </w:r>
      <w:r w:rsidRPr="0047017F">
        <w:t xml:space="preserve"> smoothie was $2.80, and the price for a 750</w:t>
      </w:r>
      <w:r w:rsidR="00AA0BF6">
        <w:t xml:space="preserve"> </w:t>
      </w:r>
      <w:r w:rsidRPr="0047017F">
        <w:t xml:space="preserve">ml </w:t>
      </w:r>
      <w:r w:rsidR="003E7CB5" w:rsidRPr="0047017F">
        <w:t xml:space="preserve">smoothie </w:t>
      </w:r>
      <w:r w:rsidRPr="0047017F">
        <w:t xml:space="preserve">was $4.50. </w:t>
      </w:r>
    </w:p>
    <w:p w14:paraId="77343EBC" w14:textId="77777777" w:rsidR="00AA0BF6" w:rsidRDefault="00AA0BF6" w:rsidP="005C20D1">
      <w:pPr>
        <w:pStyle w:val="BodyTextMain"/>
      </w:pPr>
    </w:p>
    <w:p w14:paraId="772E0A48" w14:textId="70B67106" w:rsidR="005C20D1" w:rsidRPr="003B1949" w:rsidRDefault="005C20D1" w:rsidP="005C20D1">
      <w:pPr>
        <w:pStyle w:val="BodyTextMain"/>
        <w:rPr>
          <w:spacing w:val="-2"/>
          <w:kern w:val="22"/>
        </w:rPr>
      </w:pPr>
      <w:r w:rsidRPr="003B1949">
        <w:rPr>
          <w:spacing w:val="-2"/>
          <w:kern w:val="22"/>
        </w:rPr>
        <w:t>The company used a selective distribution strategy by selling to retailers who represented themselves as “high</w:t>
      </w:r>
      <w:r w:rsidR="00AA0BF6" w:rsidRPr="003B1949">
        <w:rPr>
          <w:spacing w:val="-2"/>
          <w:kern w:val="22"/>
        </w:rPr>
        <w:t xml:space="preserve"> </w:t>
      </w:r>
      <w:r w:rsidRPr="003B1949">
        <w:rPr>
          <w:spacing w:val="-2"/>
          <w:kern w:val="22"/>
        </w:rPr>
        <w:t>end” to their customers, indicat</w:t>
      </w:r>
      <w:r w:rsidR="003E7CB5" w:rsidRPr="003B1949">
        <w:rPr>
          <w:spacing w:val="-2"/>
          <w:kern w:val="22"/>
        </w:rPr>
        <w:t>ing</w:t>
      </w:r>
      <w:r w:rsidRPr="003B1949">
        <w:rPr>
          <w:spacing w:val="-2"/>
          <w:kern w:val="22"/>
        </w:rPr>
        <w:t xml:space="preserve"> </w:t>
      </w:r>
      <w:r w:rsidR="003E7CB5" w:rsidRPr="003B1949">
        <w:rPr>
          <w:spacing w:val="-2"/>
          <w:kern w:val="22"/>
        </w:rPr>
        <w:t>these retailers</w:t>
      </w:r>
      <w:r w:rsidRPr="003B1949">
        <w:rPr>
          <w:spacing w:val="-2"/>
          <w:kern w:val="22"/>
        </w:rPr>
        <w:t xml:space="preserve"> str</w:t>
      </w:r>
      <w:r w:rsidR="003E7CB5" w:rsidRPr="003B1949">
        <w:rPr>
          <w:spacing w:val="-2"/>
          <w:kern w:val="22"/>
        </w:rPr>
        <w:t>ove</w:t>
      </w:r>
      <w:r w:rsidRPr="003B1949">
        <w:rPr>
          <w:spacing w:val="-2"/>
          <w:kern w:val="22"/>
        </w:rPr>
        <w:t xml:space="preserve"> for the pull</w:t>
      </w:r>
      <w:r w:rsidR="003E7CB5" w:rsidRPr="003B1949">
        <w:rPr>
          <w:spacing w:val="-2"/>
          <w:kern w:val="22"/>
        </w:rPr>
        <w:t xml:space="preserve"> </w:t>
      </w:r>
      <w:r w:rsidRPr="003B1949">
        <w:rPr>
          <w:spacing w:val="-2"/>
          <w:kern w:val="22"/>
        </w:rPr>
        <w:t>effect</w:t>
      </w:r>
      <w:r w:rsidR="003E7CB5" w:rsidRPr="003B1949">
        <w:rPr>
          <w:spacing w:val="-2"/>
          <w:kern w:val="22"/>
        </w:rPr>
        <w:t>,</w:t>
      </w:r>
      <w:r w:rsidRPr="003B1949">
        <w:rPr>
          <w:spacing w:val="-2"/>
          <w:kern w:val="22"/>
        </w:rPr>
        <w:t xml:space="preserve"> which was </w:t>
      </w:r>
      <w:r w:rsidR="003E7CB5" w:rsidRPr="003B1949">
        <w:rPr>
          <w:spacing w:val="-2"/>
          <w:kern w:val="22"/>
        </w:rPr>
        <w:t>in line</w:t>
      </w:r>
      <w:r w:rsidRPr="003B1949">
        <w:rPr>
          <w:spacing w:val="-2"/>
          <w:kern w:val="22"/>
        </w:rPr>
        <w:t xml:space="preserve"> with </w:t>
      </w:r>
      <w:r w:rsidR="003E7CB5" w:rsidRPr="003B1949">
        <w:rPr>
          <w:spacing w:val="-2"/>
          <w:kern w:val="22"/>
        </w:rPr>
        <w:t>T</w:t>
      </w:r>
      <w:r w:rsidRPr="003B1949">
        <w:rPr>
          <w:spacing w:val="-2"/>
          <w:kern w:val="22"/>
        </w:rPr>
        <w:t xml:space="preserve">rue </w:t>
      </w:r>
      <w:r w:rsidR="003E7CB5" w:rsidRPr="003B1949">
        <w:rPr>
          <w:spacing w:val="-2"/>
          <w:kern w:val="22"/>
        </w:rPr>
        <w:t>F</w:t>
      </w:r>
      <w:r w:rsidRPr="003B1949">
        <w:rPr>
          <w:spacing w:val="-2"/>
          <w:kern w:val="22"/>
        </w:rPr>
        <w:t xml:space="preserve">ruits’ mission and vision. True </w:t>
      </w:r>
      <w:r w:rsidR="003E7CB5" w:rsidRPr="003B1949">
        <w:rPr>
          <w:spacing w:val="-2"/>
          <w:kern w:val="22"/>
        </w:rPr>
        <w:t>F</w:t>
      </w:r>
      <w:r w:rsidRPr="003B1949">
        <w:rPr>
          <w:spacing w:val="-2"/>
          <w:kern w:val="22"/>
        </w:rPr>
        <w:t>ruits</w:t>
      </w:r>
      <w:r w:rsidR="003E7CB5" w:rsidRPr="003B1949">
        <w:rPr>
          <w:spacing w:val="-2"/>
          <w:kern w:val="22"/>
        </w:rPr>
        <w:t>’</w:t>
      </w:r>
      <w:r w:rsidRPr="003B1949">
        <w:rPr>
          <w:spacing w:val="-2"/>
          <w:kern w:val="22"/>
        </w:rPr>
        <w:t xml:space="preserve"> consumers </w:t>
      </w:r>
      <w:r w:rsidR="003E7CB5" w:rsidRPr="003B1949">
        <w:rPr>
          <w:spacing w:val="-2"/>
          <w:kern w:val="22"/>
        </w:rPr>
        <w:t>were</w:t>
      </w:r>
      <w:r w:rsidRPr="003B1949">
        <w:rPr>
          <w:spacing w:val="-2"/>
          <w:kern w:val="22"/>
        </w:rPr>
        <w:t xml:space="preserve"> quality conscious, healthy, lifestyle-oriented people who </w:t>
      </w:r>
      <w:r w:rsidR="003E7CB5" w:rsidRPr="003B1949">
        <w:rPr>
          <w:spacing w:val="-2"/>
          <w:kern w:val="22"/>
        </w:rPr>
        <w:t>were</w:t>
      </w:r>
      <w:r w:rsidRPr="003B1949">
        <w:rPr>
          <w:spacing w:val="-2"/>
          <w:kern w:val="22"/>
        </w:rPr>
        <w:t xml:space="preserve"> willing to pay a premium for a high-end product. </w:t>
      </w:r>
      <w:r w:rsidR="003E7CB5" w:rsidRPr="003B1949">
        <w:rPr>
          <w:spacing w:val="-2"/>
          <w:kern w:val="22"/>
        </w:rPr>
        <w:t>Its</w:t>
      </w:r>
      <w:r w:rsidRPr="003B1949">
        <w:rPr>
          <w:spacing w:val="-2"/>
          <w:kern w:val="22"/>
        </w:rPr>
        <w:t xml:space="preserve"> target segment could be further characterized as being assertive </w:t>
      </w:r>
      <w:r w:rsidR="00B92E07" w:rsidRPr="003B1949">
        <w:rPr>
          <w:spacing w:val="-2"/>
          <w:kern w:val="22"/>
        </w:rPr>
        <w:t>in terms of the design—both optic and haptic—of the products they purchased</w:t>
      </w:r>
      <w:r w:rsidRPr="003B1949">
        <w:rPr>
          <w:spacing w:val="-2"/>
          <w:kern w:val="22"/>
        </w:rPr>
        <w:t>,</w:t>
      </w:r>
      <w:r w:rsidR="00E27C94" w:rsidRPr="003B1949">
        <w:rPr>
          <w:spacing w:val="-2"/>
          <w:kern w:val="22"/>
        </w:rPr>
        <w:t xml:space="preserve"> as well as having a</w:t>
      </w:r>
      <w:r w:rsidRPr="003B1949">
        <w:rPr>
          <w:spacing w:val="-2"/>
          <w:kern w:val="22"/>
        </w:rPr>
        <w:t xml:space="preserve"> </w:t>
      </w:r>
      <w:r w:rsidR="00B92E07" w:rsidRPr="003B1949">
        <w:rPr>
          <w:spacing w:val="-2"/>
          <w:kern w:val="22"/>
        </w:rPr>
        <w:t>consciousness of the importance of purchasing a healthy and sustainable product</w:t>
      </w:r>
      <w:r w:rsidRPr="003B1949">
        <w:rPr>
          <w:spacing w:val="-2"/>
          <w:kern w:val="22"/>
        </w:rPr>
        <w:t>.</w:t>
      </w:r>
    </w:p>
    <w:p w14:paraId="3C4D5CC6" w14:textId="77777777" w:rsidR="005C20D1" w:rsidRPr="0047017F" w:rsidRDefault="005C20D1" w:rsidP="005C20D1">
      <w:pPr>
        <w:pStyle w:val="BodyTextMain"/>
      </w:pPr>
    </w:p>
    <w:p w14:paraId="7EECF211" w14:textId="1A777B56" w:rsidR="005C20D1" w:rsidRPr="0047017F" w:rsidRDefault="005C20D1" w:rsidP="005C20D1">
      <w:pPr>
        <w:pStyle w:val="BodyTextMain"/>
      </w:pPr>
      <w:r w:rsidRPr="0047017F">
        <w:t xml:space="preserve">True </w:t>
      </w:r>
      <w:r w:rsidR="00B912DD" w:rsidRPr="0047017F">
        <w:t>F</w:t>
      </w:r>
      <w:r w:rsidRPr="0047017F">
        <w:t>ruits’ statement “true fruits</w:t>
      </w:r>
      <w:r w:rsidR="007A40FB">
        <w:t>—</w:t>
      </w:r>
      <w:r w:rsidRPr="0047017F">
        <w:t xml:space="preserve">no tricks” </w:t>
      </w:r>
      <w:r w:rsidR="00B912DD" w:rsidRPr="0047017F">
        <w:t>was</w:t>
      </w:r>
      <w:r w:rsidRPr="0047017F">
        <w:t xml:space="preserve"> a common theme the company applied to all </w:t>
      </w:r>
      <w:r w:rsidR="00B912DD" w:rsidRPr="0047017F">
        <w:t>of its</w:t>
      </w:r>
      <w:r w:rsidRPr="0047017F">
        <w:t xml:space="preserve"> activities. This included </w:t>
      </w:r>
      <w:r w:rsidR="00B912DD" w:rsidRPr="0047017F">
        <w:t>its</w:t>
      </w:r>
      <w:r w:rsidRPr="0047017F">
        <w:t xml:space="preserve"> minimalistic product design, and </w:t>
      </w:r>
      <w:r w:rsidR="00B912DD" w:rsidRPr="0047017F">
        <w:t xml:space="preserve">its </w:t>
      </w:r>
      <w:r w:rsidRPr="0047017F">
        <w:t>honest, direct communication. Th</w:t>
      </w:r>
      <w:r w:rsidR="00B912DD" w:rsidRPr="0047017F">
        <w:t>ese</w:t>
      </w:r>
      <w:r w:rsidRPr="0047017F">
        <w:t xml:space="preserve"> related </w:t>
      </w:r>
      <w:r w:rsidR="00B912DD" w:rsidRPr="0047017F">
        <w:t>to the company’s</w:t>
      </w:r>
      <w:r w:rsidRPr="0047017F">
        <w:t xml:space="preserve"> goal to produce a premium product in terms of </w:t>
      </w:r>
      <w:r w:rsidR="003B1E36" w:rsidRPr="0047017F">
        <w:t>a</w:t>
      </w:r>
      <w:r w:rsidRPr="0047017F">
        <w:t xml:space="preserve"> selection of </w:t>
      </w:r>
      <w:r w:rsidR="003B1E36" w:rsidRPr="0047017F">
        <w:t xml:space="preserve">high-quality </w:t>
      </w:r>
      <w:r w:rsidRPr="0047017F">
        <w:t>ingredients, the product itself, and corporate design. The founders</w:t>
      </w:r>
      <w:r w:rsidR="003B1E36" w:rsidRPr="0047017F">
        <w:t>’</w:t>
      </w:r>
      <w:r w:rsidRPr="0047017F">
        <w:t xml:space="preserve"> opinion was that </w:t>
      </w:r>
      <w:r w:rsidR="003B1E36" w:rsidRPr="0047017F">
        <w:t xml:space="preserve">the </w:t>
      </w:r>
      <w:r w:rsidR="00DA3F5B" w:rsidRPr="0047017F">
        <w:t>product labels</w:t>
      </w:r>
      <w:r w:rsidRPr="0047017F">
        <w:t xml:space="preserve"> would most likely be boring, </w:t>
      </w:r>
      <w:r w:rsidR="003B1E36" w:rsidRPr="0047017F">
        <w:t>which</w:t>
      </w:r>
      <w:r w:rsidRPr="0047017F">
        <w:t xml:space="preserve"> was why the company decided to print amusing and provocative phrases on the glass bottles</w:t>
      </w:r>
      <w:r w:rsidR="00843833">
        <w:t>. T</w:t>
      </w:r>
      <w:r w:rsidR="003B1E36" w:rsidRPr="0047017F">
        <w:t>his</w:t>
      </w:r>
      <w:r w:rsidRPr="0047017F">
        <w:t xml:space="preserve"> became part of its marketing strategy. Exclusive ingredients rarely sold in Germany, such as </w:t>
      </w:r>
      <w:r w:rsidR="003B1E36" w:rsidRPr="0047017F">
        <w:t>a</w:t>
      </w:r>
      <w:r w:rsidRPr="0047017F">
        <w:t xml:space="preserve">cerola, </w:t>
      </w:r>
      <w:r w:rsidR="003B1E36" w:rsidRPr="0047017F">
        <w:t>p</w:t>
      </w:r>
      <w:r w:rsidRPr="0047017F">
        <w:t xml:space="preserve">itaya, </w:t>
      </w:r>
      <w:r w:rsidR="003B1E36" w:rsidRPr="0047017F">
        <w:t>c</w:t>
      </w:r>
      <w:r w:rsidRPr="0047017F">
        <w:t xml:space="preserve">upuaçu, and </w:t>
      </w:r>
      <w:r w:rsidR="003B1E36" w:rsidRPr="0047017F">
        <w:t>g</w:t>
      </w:r>
      <w:r w:rsidRPr="0047017F">
        <w:t>oji berry</w:t>
      </w:r>
      <w:r w:rsidR="003B1E36" w:rsidRPr="0047017F">
        <w:t>,</w:t>
      </w:r>
      <w:r w:rsidRPr="0047017F">
        <w:t xml:space="preserve"> justified the product’s high price.</w:t>
      </w:r>
    </w:p>
    <w:p w14:paraId="630F63B8" w14:textId="77777777" w:rsidR="005C20D1" w:rsidRPr="0047017F" w:rsidRDefault="005C20D1" w:rsidP="005C20D1">
      <w:pPr>
        <w:pStyle w:val="BodyTextMain"/>
      </w:pPr>
    </w:p>
    <w:p w14:paraId="60717943" w14:textId="67DF8968" w:rsidR="005C20D1" w:rsidRPr="0047017F" w:rsidRDefault="005C20D1" w:rsidP="005C20D1">
      <w:pPr>
        <w:pStyle w:val="BodyTextMain"/>
      </w:pPr>
      <w:r w:rsidRPr="0047017F">
        <w:t xml:space="preserve">True </w:t>
      </w:r>
      <w:r w:rsidR="003B1E36" w:rsidRPr="0047017F">
        <w:t>F</w:t>
      </w:r>
      <w:r w:rsidRPr="0047017F">
        <w:t>ruits</w:t>
      </w:r>
      <w:r w:rsidRPr="0047017F">
        <w:rPr>
          <w:i/>
        </w:rPr>
        <w:t xml:space="preserve"> </w:t>
      </w:r>
      <w:r w:rsidRPr="0047017F">
        <w:t xml:space="preserve">chose </w:t>
      </w:r>
      <w:r w:rsidR="003B1E36" w:rsidRPr="0047017F">
        <w:t xml:space="preserve">only </w:t>
      </w:r>
      <w:r w:rsidRPr="0047017F">
        <w:t xml:space="preserve">the best quality ingredients, which were picked from the tree or shrub </w:t>
      </w:r>
      <w:r w:rsidR="009D5970" w:rsidRPr="0047017F">
        <w:t>when</w:t>
      </w:r>
      <w:r w:rsidRPr="0047017F">
        <w:t xml:space="preserve"> they were ripe. The ingredients were mashed, packaged aseptic</w:t>
      </w:r>
      <w:r w:rsidR="009D5970" w:rsidRPr="0047017F">
        <w:t>ally</w:t>
      </w:r>
      <w:r w:rsidR="003B1E36" w:rsidRPr="0047017F">
        <w:t>,</w:t>
      </w:r>
      <w:r w:rsidRPr="0047017F">
        <w:t xml:space="preserve"> and shock-frosted in order </w:t>
      </w:r>
      <w:r w:rsidR="003B1E36" w:rsidRPr="0047017F">
        <w:t>to preserve</w:t>
      </w:r>
      <w:r w:rsidRPr="0047017F">
        <w:t xml:space="preserve"> all </w:t>
      </w:r>
      <w:r w:rsidR="003B1E36" w:rsidRPr="0047017F">
        <w:t xml:space="preserve">of their </w:t>
      </w:r>
      <w:r w:rsidRPr="0047017F">
        <w:t xml:space="preserve">vitamins and minerals. Further, </w:t>
      </w:r>
      <w:r w:rsidR="009D5970" w:rsidRPr="0047017F">
        <w:t>True Fruits</w:t>
      </w:r>
      <w:r w:rsidRPr="0047017F">
        <w:t xml:space="preserve"> </w:t>
      </w:r>
      <w:r w:rsidR="008C7AEE" w:rsidRPr="0047017F">
        <w:t xml:space="preserve">developed and </w:t>
      </w:r>
      <w:r w:rsidRPr="0047017F">
        <w:t>implemented a gentle production method, “</w:t>
      </w:r>
      <w:r w:rsidR="009D5970" w:rsidRPr="0047017F">
        <w:t>f</w:t>
      </w:r>
      <w:r w:rsidRPr="0047017F">
        <w:t>lash</w:t>
      </w:r>
      <w:r w:rsidR="009D5970" w:rsidRPr="0047017F">
        <w:t xml:space="preserve"> p</w:t>
      </w:r>
      <w:r w:rsidRPr="0047017F">
        <w:t>asteurization</w:t>
      </w:r>
      <w:r w:rsidR="0005198F" w:rsidRPr="0047017F">
        <w:t>,</w:t>
      </w:r>
      <w:r w:rsidRPr="0047017F">
        <w:t xml:space="preserve">” </w:t>
      </w:r>
      <w:r w:rsidR="00B6126E" w:rsidRPr="0047017F">
        <w:t>t</w:t>
      </w:r>
      <w:r w:rsidR="0005198F" w:rsidRPr="0047017F">
        <w:t>hrough which t</w:t>
      </w:r>
      <w:r w:rsidRPr="0047017F">
        <w:t xml:space="preserve">he smoothie ingredients were heated for a very short period, </w:t>
      </w:r>
      <w:r w:rsidR="0005198F" w:rsidRPr="0047017F">
        <w:t>giving</w:t>
      </w:r>
      <w:r w:rsidRPr="0047017F">
        <w:t xml:space="preserve"> the product its distinct taste.</w:t>
      </w:r>
      <w:r w:rsidR="00ED56D8" w:rsidRPr="0047017F">
        <w:t xml:space="preserve"> True Fruits received multiple national awards for t</w:t>
      </w:r>
      <w:r w:rsidRPr="0047017F">
        <w:t xml:space="preserve">his </w:t>
      </w:r>
      <w:r w:rsidR="0034332C">
        <w:t>process,</w:t>
      </w:r>
      <w:r w:rsidR="0034332C" w:rsidRPr="0047017F">
        <w:t xml:space="preserve"> </w:t>
      </w:r>
      <w:r w:rsidR="007F7790" w:rsidRPr="0047017F">
        <w:t>including</w:t>
      </w:r>
      <w:r w:rsidR="0047017F">
        <w:t xml:space="preserve"> the </w:t>
      </w:r>
      <w:r w:rsidRPr="0047017F">
        <w:t xml:space="preserve">Bundesehrenpreis für </w:t>
      </w:r>
      <w:r w:rsidR="002A1318" w:rsidRPr="0047017F">
        <w:t>Fruchtgetränke</w:t>
      </w:r>
      <w:r w:rsidRPr="0047017F">
        <w:t xml:space="preserve"> (</w:t>
      </w:r>
      <w:r w:rsidR="0034332C">
        <w:t xml:space="preserve">a </w:t>
      </w:r>
      <w:r w:rsidRPr="0047017F">
        <w:t>federal award for fruit juices)</w:t>
      </w:r>
      <w:r w:rsidR="0047017F" w:rsidRPr="002828BD">
        <w:rPr>
          <w:rStyle w:val="FootnoteReference"/>
        </w:rPr>
        <w:footnoteReference w:id="4"/>
      </w:r>
      <w:r w:rsidRPr="0047017F">
        <w:t xml:space="preserve"> in 2008, </w:t>
      </w:r>
      <w:r w:rsidR="0005198F" w:rsidRPr="0047017F">
        <w:t>and</w:t>
      </w:r>
      <w:r w:rsidR="0047017F">
        <w:t xml:space="preserve"> the Land der Ideen Auszeichnung</w:t>
      </w:r>
      <w:r w:rsidRPr="0047017F">
        <w:t xml:space="preserve"> (</w:t>
      </w:r>
      <w:r w:rsidR="0034332C" w:rsidRPr="0047017F">
        <w:t>Country of Ideas Award</w:t>
      </w:r>
      <w:r w:rsidRPr="0047017F">
        <w:t>) in 2011</w:t>
      </w:r>
      <w:r w:rsidR="009D5970" w:rsidRPr="0047017F">
        <w:t>.</w:t>
      </w:r>
    </w:p>
    <w:p w14:paraId="7C45DCFF" w14:textId="77777777" w:rsidR="005C20D1" w:rsidRPr="0047017F" w:rsidRDefault="005C20D1" w:rsidP="005C20D1">
      <w:pPr>
        <w:pStyle w:val="BodyTextMain"/>
      </w:pPr>
    </w:p>
    <w:p w14:paraId="615C207D" w14:textId="05A75BBD" w:rsidR="005C20D1" w:rsidRPr="0047017F" w:rsidRDefault="0034332C" w:rsidP="00836CB3">
      <w:pPr>
        <w:pStyle w:val="BodyTextMain"/>
        <w:rPr>
          <w:sz w:val="24"/>
          <w:szCs w:val="24"/>
        </w:rPr>
      </w:pPr>
      <w:r>
        <w:t>Because</w:t>
      </w:r>
      <w:r w:rsidRPr="0047017F">
        <w:t xml:space="preserve"> </w:t>
      </w:r>
      <w:r w:rsidR="009D5970" w:rsidRPr="0047017F">
        <w:t>T</w:t>
      </w:r>
      <w:r w:rsidR="005C20D1" w:rsidRPr="0047017F">
        <w:t xml:space="preserve">rue </w:t>
      </w:r>
      <w:r w:rsidR="009D5970" w:rsidRPr="0047017F">
        <w:t>F</w:t>
      </w:r>
      <w:r w:rsidR="005C20D1" w:rsidRPr="0047017F">
        <w:t xml:space="preserve">ruits </w:t>
      </w:r>
      <w:r w:rsidR="009D5970" w:rsidRPr="0047017F">
        <w:t>consistently</w:t>
      </w:r>
      <w:r w:rsidR="005C20D1" w:rsidRPr="0047017F">
        <w:t xml:space="preserve"> offered a premium product, </w:t>
      </w:r>
      <w:r w:rsidR="009D5970" w:rsidRPr="0047017F">
        <w:t>its</w:t>
      </w:r>
      <w:r w:rsidR="005C20D1" w:rsidRPr="0047017F">
        <w:t xml:space="preserve"> marketing approach was connected to </w:t>
      </w:r>
      <w:r w:rsidR="009D5970" w:rsidRPr="0047017F">
        <w:t>its</w:t>
      </w:r>
      <w:r w:rsidR="005C20D1" w:rsidRPr="0047017F">
        <w:t xml:space="preserve"> mission </w:t>
      </w:r>
      <w:r w:rsidR="007F7790" w:rsidRPr="0047017F">
        <w:t>of</w:t>
      </w:r>
      <w:r w:rsidR="005C20D1" w:rsidRPr="0047017F">
        <w:t xml:space="preserve"> making healthy food </w:t>
      </w:r>
      <w:r w:rsidR="00B6126E" w:rsidRPr="0047017F">
        <w:t xml:space="preserve">part of </w:t>
      </w:r>
      <w:r w:rsidR="005C20D1" w:rsidRPr="0047017F">
        <w:t>a lifestyle, which was translated through</w:t>
      </w:r>
      <w:r w:rsidR="009D5970" w:rsidRPr="0047017F">
        <w:t xml:space="preserve"> its</w:t>
      </w:r>
      <w:r w:rsidR="005C20D1" w:rsidRPr="0047017F">
        <w:t xml:space="preserve"> product offering. </w:t>
      </w:r>
      <w:r w:rsidR="00B6126E" w:rsidRPr="0047017F">
        <w:t>Its</w:t>
      </w:r>
      <w:r w:rsidR="005C20D1" w:rsidRPr="0047017F">
        <w:t xml:space="preserve"> </w:t>
      </w:r>
      <w:r w:rsidR="005C20D1" w:rsidRPr="0047017F">
        <w:lastRenderedPageBreak/>
        <w:t>communication channels suggested a minimalistic, functional product design, which included an honest and transparent sales approach. Therefore, corporate design was an essential element support</w:t>
      </w:r>
      <w:r w:rsidR="00B6126E" w:rsidRPr="0047017F">
        <w:t>ing</w:t>
      </w:r>
      <w:r w:rsidR="005C20D1" w:rsidRPr="0047017F">
        <w:t xml:space="preserve"> the brand’s image. </w:t>
      </w:r>
      <w:r w:rsidR="00B6126E" w:rsidRPr="0047017F">
        <w:t>The company’s</w:t>
      </w:r>
      <w:r w:rsidR="005C20D1" w:rsidRPr="0047017F">
        <w:t xml:space="preserve"> four major communication channels were social media, public relations, </w:t>
      </w:r>
      <w:r w:rsidR="00B6126E" w:rsidRPr="0047017F">
        <w:t xml:space="preserve">bottle </w:t>
      </w:r>
      <w:r w:rsidR="005C20D1" w:rsidRPr="0047017F">
        <w:t>labe</w:t>
      </w:r>
      <w:r w:rsidR="00B6126E" w:rsidRPr="0047017F">
        <w:t>l</w:t>
      </w:r>
      <w:r w:rsidR="005C20D1" w:rsidRPr="0047017F">
        <w:t xml:space="preserve">ling, and </w:t>
      </w:r>
      <w:r w:rsidR="00B6126E" w:rsidRPr="0047017F">
        <w:t>its</w:t>
      </w:r>
      <w:r w:rsidR="005C20D1" w:rsidRPr="0047017F">
        <w:t xml:space="preserve"> website. </w:t>
      </w:r>
    </w:p>
    <w:p w14:paraId="38376E53" w14:textId="77777777" w:rsidR="002E431B" w:rsidRPr="004D40CD" w:rsidRDefault="002E431B" w:rsidP="004D40CD">
      <w:pPr>
        <w:pStyle w:val="BodyTextMain"/>
      </w:pPr>
    </w:p>
    <w:p w14:paraId="41902FE2" w14:textId="77777777" w:rsidR="002E431B" w:rsidRPr="004D40CD" w:rsidRDefault="002E431B" w:rsidP="004D40CD">
      <w:pPr>
        <w:pStyle w:val="BodyTextMain"/>
      </w:pPr>
    </w:p>
    <w:p w14:paraId="265743B6" w14:textId="77777777" w:rsidR="005C20D1" w:rsidRPr="0047017F" w:rsidRDefault="005C20D1" w:rsidP="00EF240D">
      <w:pPr>
        <w:pStyle w:val="Casehead1"/>
        <w:outlineLvl w:val="0"/>
      </w:pPr>
      <w:r w:rsidRPr="0047017F">
        <w:t>GLOBAL SMOOTHIE INDUSTRY</w:t>
      </w:r>
    </w:p>
    <w:p w14:paraId="7CCD70F5" w14:textId="77777777" w:rsidR="005C20D1" w:rsidRPr="0047017F" w:rsidRDefault="005C20D1" w:rsidP="002828BD">
      <w:pPr>
        <w:pStyle w:val="BodyTextMain"/>
      </w:pPr>
    </w:p>
    <w:p w14:paraId="70737105" w14:textId="77777777" w:rsidR="005C20D1" w:rsidRPr="0047017F" w:rsidRDefault="005C20D1" w:rsidP="00EF240D">
      <w:pPr>
        <w:pStyle w:val="Casehead2"/>
        <w:outlineLvl w:val="0"/>
      </w:pPr>
      <w:r w:rsidRPr="0047017F">
        <w:t>Industry Overview</w:t>
      </w:r>
    </w:p>
    <w:p w14:paraId="17C3BD23" w14:textId="77777777" w:rsidR="005C20D1" w:rsidRPr="0047017F" w:rsidRDefault="005C20D1" w:rsidP="002828BD">
      <w:pPr>
        <w:pStyle w:val="BodyTextMain"/>
      </w:pPr>
    </w:p>
    <w:p w14:paraId="39FE54F8" w14:textId="77777777" w:rsidR="00F35F07" w:rsidRPr="003B1949" w:rsidRDefault="005C20D1" w:rsidP="005C20D1">
      <w:pPr>
        <w:pStyle w:val="BodyTextMain"/>
        <w:rPr>
          <w:spacing w:val="-2"/>
          <w:kern w:val="22"/>
          <w:szCs w:val="24"/>
        </w:rPr>
      </w:pPr>
      <w:r w:rsidRPr="003B1949">
        <w:rPr>
          <w:spacing w:val="-2"/>
          <w:kern w:val="22"/>
        </w:rPr>
        <w:t xml:space="preserve">Taking the United States as an example, </w:t>
      </w:r>
      <w:r w:rsidR="009360B2" w:rsidRPr="003B1949">
        <w:rPr>
          <w:spacing w:val="-2"/>
          <w:kern w:val="22"/>
        </w:rPr>
        <w:t xml:space="preserve">the juice industry consisted of the following main market segments: </w:t>
      </w:r>
      <w:r w:rsidRPr="003B1949">
        <w:rPr>
          <w:spacing w:val="-2"/>
          <w:kern w:val="22"/>
        </w:rPr>
        <w:t>orange juice</w:t>
      </w:r>
      <w:r w:rsidR="009360B2" w:rsidRPr="003B1949">
        <w:rPr>
          <w:spacing w:val="-2"/>
          <w:kern w:val="22"/>
        </w:rPr>
        <w:t>,</w:t>
      </w:r>
      <w:r w:rsidRPr="003B1949">
        <w:rPr>
          <w:spacing w:val="-2"/>
          <w:kern w:val="22"/>
        </w:rPr>
        <w:t xml:space="preserve"> the largest market segment with 52.2</w:t>
      </w:r>
      <w:r w:rsidR="005021D7" w:rsidRPr="003B1949">
        <w:rPr>
          <w:spacing w:val="-2"/>
          <w:kern w:val="22"/>
        </w:rPr>
        <w:t xml:space="preserve"> per cent</w:t>
      </w:r>
      <w:r w:rsidR="009360B2" w:rsidRPr="003B1949">
        <w:rPr>
          <w:spacing w:val="-2"/>
          <w:kern w:val="22"/>
        </w:rPr>
        <w:t>;</w:t>
      </w:r>
      <w:r w:rsidRPr="003B1949">
        <w:rPr>
          <w:spacing w:val="-2"/>
          <w:kern w:val="22"/>
        </w:rPr>
        <w:t xml:space="preserve"> fruit drink</w:t>
      </w:r>
      <w:r w:rsidR="009360B2" w:rsidRPr="003B1949">
        <w:rPr>
          <w:spacing w:val="-2"/>
          <w:kern w:val="22"/>
        </w:rPr>
        <w:t>s</w:t>
      </w:r>
      <w:r w:rsidRPr="003B1949">
        <w:rPr>
          <w:spacing w:val="-2"/>
          <w:kern w:val="22"/>
        </w:rPr>
        <w:t xml:space="preserve"> and blended smoothies (33.8</w:t>
      </w:r>
      <w:r w:rsidR="005021D7" w:rsidRPr="003B1949">
        <w:rPr>
          <w:spacing w:val="-2"/>
          <w:kern w:val="22"/>
        </w:rPr>
        <w:t xml:space="preserve"> per cent</w:t>
      </w:r>
      <w:r w:rsidRPr="003B1949">
        <w:rPr>
          <w:spacing w:val="-2"/>
          <w:kern w:val="22"/>
        </w:rPr>
        <w:t>)</w:t>
      </w:r>
      <w:r w:rsidR="009360B2" w:rsidRPr="003B1949">
        <w:rPr>
          <w:spacing w:val="-2"/>
          <w:kern w:val="22"/>
        </w:rPr>
        <w:t>;</w:t>
      </w:r>
      <w:r w:rsidRPr="003B1949">
        <w:rPr>
          <w:spacing w:val="-2"/>
          <w:kern w:val="22"/>
        </w:rPr>
        <w:t xml:space="preserve"> lemonade (8.2</w:t>
      </w:r>
      <w:r w:rsidR="005021D7" w:rsidRPr="003B1949">
        <w:rPr>
          <w:spacing w:val="-2"/>
          <w:kern w:val="22"/>
        </w:rPr>
        <w:t xml:space="preserve"> per cent</w:t>
      </w:r>
      <w:r w:rsidRPr="003B1949">
        <w:rPr>
          <w:spacing w:val="-2"/>
          <w:kern w:val="22"/>
        </w:rPr>
        <w:t>)</w:t>
      </w:r>
      <w:r w:rsidR="009360B2" w:rsidRPr="003B1949">
        <w:rPr>
          <w:spacing w:val="-2"/>
          <w:kern w:val="22"/>
        </w:rPr>
        <w:t>;</w:t>
      </w:r>
      <w:r w:rsidRPr="003B1949">
        <w:rPr>
          <w:spacing w:val="-2"/>
          <w:kern w:val="22"/>
        </w:rPr>
        <w:t xml:space="preserve"> vegetable juice (1.2</w:t>
      </w:r>
      <w:r w:rsidR="005021D7" w:rsidRPr="003B1949">
        <w:rPr>
          <w:spacing w:val="-2"/>
          <w:kern w:val="22"/>
        </w:rPr>
        <w:t xml:space="preserve"> per cent</w:t>
      </w:r>
      <w:r w:rsidRPr="003B1949">
        <w:rPr>
          <w:spacing w:val="-2"/>
          <w:kern w:val="22"/>
        </w:rPr>
        <w:t>)</w:t>
      </w:r>
      <w:r w:rsidR="009360B2" w:rsidRPr="003B1949">
        <w:rPr>
          <w:spacing w:val="-2"/>
          <w:kern w:val="22"/>
        </w:rPr>
        <w:t>;</w:t>
      </w:r>
      <w:r w:rsidRPr="003B1949">
        <w:rPr>
          <w:spacing w:val="-2"/>
          <w:kern w:val="22"/>
        </w:rPr>
        <w:t xml:space="preserve"> and other</w:t>
      </w:r>
      <w:r w:rsidR="009360B2" w:rsidRPr="003B1949">
        <w:rPr>
          <w:spacing w:val="-2"/>
          <w:kern w:val="22"/>
        </w:rPr>
        <w:t xml:space="preserve"> juices</w:t>
      </w:r>
      <w:r w:rsidRPr="003B1949">
        <w:rPr>
          <w:spacing w:val="-2"/>
          <w:kern w:val="22"/>
        </w:rPr>
        <w:t xml:space="preserve"> such as apple, tomato</w:t>
      </w:r>
      <w:r w:rsidR="005021D7" w:rsidRPr="003B1949">
        <w:rPr>
          <w:spacing w:val="-2"/>
          <w:kern w:val="22"/>
        </w:rPr>
        <w:t>,</w:t>
      </w:r>
      <w:r w:rsidRPr="003B1949">
        <w:rPr>
          <w:spacing w:val="-2"/>
          <w:kern w:val="22"/>
        </w:rPr>
        <w:t xml:space="preserve"> </w:t>
      </w:r>
      <w:r w:rsidR="005021D7" w:rsidRPr="003B1949">
        <w:rPr>
          <w:spacing w:val="-2"/>
          <w:kern w:val="22"/>
        </w:rPr>
        <w:t>and</w:t>
      </w:r>
      <w:r w:rsidRPr="003B1949">
        <w:rPr>
          <w:spacing w:val="-2"/>
          <w:kern w:val="22"/>
        </w:rPr>
        <w:t xml:space="preserve"> pineapple (4.6</w:t>
      </w:r>
      <w:r w:rsidR="005021D7" w:rsidRPr="003B1949">
        <w:rPr>
          <w:spacing w:val="-2"/>
          <w:kern w:val="22"/>
        </w:rPr>
        <w:t xml:space="preserve"> per cent</w:t>
      </w:r>
      <w:r w:rsidRPr="003B1949">
        <w:rPr>
          <w:spacing w:val="-2"/>
          <w:kern w:val="22"/>
        </w:rPr>
        <w:t xml:space="preserve">). </w:t>
      </w:r>
      <w:r w:rsidR="009360B2" w:rsidRPr="003B1949">
        <w:rPr>
          <w:spacing w:val="-2"/>
          <w:kern w:val="22"/>
        </w:rPr>
        <w:t>In contrast</w:t>
      </w:r>
      <w:r w:rsidRPr="003B1949">
        <w:rPr>
          <w:spacing w:val="-2"/>
          <w:kern w:val="22"/>
        </w:rPr>
        <w:t xml:space="preserve"> to juice production, mostly the </w:t>
      </w:r>
      <w:r w:rsidR="009360B2" w:rsidRPr="003B1949">
        <w:rPr>
          <w:spacing w:val="-2"/>
          <w:kern w:val="22"/>
        </w:rPr>
        <w:t>entire</w:t>
      </w:r>
      <w:r w:rsidRPr="003B1949">
        <w:rPr>
          <w:spacing w:val="-2"/>
          <w:kern w:val="22"/>
          <w:szCs w:val="24"/>
        </w:rPr>
        <w:t xml:space="preserve"> fruit, including shell and seeds, </w:t>
      </w:r>
      <w:r w:rsidR="009360B2" w:rsidRPr="003B1949">
        <w:rPr>
          <w:spacing w:val="-2"/>
          <w:kern w:val="22"/>
          <w:szCs w:val="24"/>
        </w:rPr>
        <w:t xml:space="preserve">was used </w:t>
      </w:r>
      <w:r w:rsidRPr="003B1949">
        <w:rPr>
          <w:spacing w:val="-2"/>
          <w:kern w:val="22"/>
          <w:szCs w:val="24"/>
        </w:rPr>
        <w:t>in the production process</w:t>
      </w:r>
      <w:r w:rsidR="009360B2" w:rsidRPr="003B1949">
        <w:rPr>
          <w:spacing w:val="-2"/>
          <w:kern w:val="22"/>
          <w:szCs w:val="24"/>
        </w:rPr>
        <w:t xml:space="preserve"> for smoothies,</w:t>
      </w:r>
      <w:r w:rsidRPr="003B1949">
        <w:rPr>
          <w:spacing w:val="-2"/>
          <w:kern w:val="22"/>
          <w:szCs w:val="24"/>
        </w:rPr>
        <w:t xml:space="preserve"> so that all </w:t>
      </w:r>
      <w:r w:rsidR="009360B2" w:rsidRPr="003B1949">
        <w:rPr>
          <w:spacing w:val="-2"/>
          <w:kern w:val="22"/>
          <w:szCs w:val="24"/>
        </w:rPr>
        <w:t xml:space="preserve">of the </w:t>
      </w:r>
      <w:r w:rsidRPr="003B1949">
        <w:rPr>
          <w:spacing w:val="-2"/>
          <w:kern w:val="22"/>
          <w:szCs w:val="24"/>
        </w:rPr>
        <w:t>minerals and vitamins end</w:t>
      </w:r>
      <w:r w:rsidR="009360B2" w:rsidRPr="003B1949">
        <w:rPr>
          <w:spacing w:val="-2"/>
          <w:kern w:val="22"/>
          <w:szCs w:val="24"/>
        </w:rPr>
        <w:t>ed</w:t>
      </w:r>
      <w:r w:rsidRPr="003B1949">
        <w:rPr>
          <w:spacing w:val="-2"/>
          <w:kern w:val="22"/>
          <w:szCs w:val="24"/>
        </w:rPr>
        <w:t xml:space="preserve"> up in the smoothie. </w:t>
      </w:r>
    </w:p>
    <w:p w14:paraId="6302DC2A" w14:textId="77777777" w:rsidR="00F35F07" w:rsidRDefault="00F35F07" w:rsidP="005C20D1">
      <w:pPr>
        <w:pStyle w:val="BodyTextMain"/>
        <w:rPr>
          <w:szCs w:val="24"/>
        </w:rPr>
      </w:pPr>
    </w:p>
    <w:p w14:paraId="4B3BA5FB" w14:textId="33FE09CD" w:rsidR="005C20D1" w:rsidRPr="0047017F" w:rsidRDefault="005C20D1" w:rsidP="005C20D1">
      <w:pPr>
        <w:pStyle w:val="BodyTextMain"/>
      </w:pPr>
      <w:r w:rsidRPr="0047017F">
        <w:t>The world market for smoothies was estimated to be around $9 billion in 2015</w:t>
      </w:r>
      <w:r w:rsidR="00F35F07">
        <w:t>,</w:t>
      </w:r>
      <w:r w:rsidRPr="002828BD">
        <w:rPr>
          <w:rStyle w:val="FootnoteReference"/>
        </w:rPr>
        <w:footnoteReference w:id="5"/>
      </w:r>
      <w:r w:rsidRPr="0047017F">
        <w:t xml:space="preserve"> and was projected to grow to $15.8 billion in 2022.</w:t>
      </w:r>
      <w:r w:rsidRPr="002828BD">
        <w:rPr>
          <w:rStyle w:val="FootnoteReference"/>
        </w:rPr>
        <w:footnoteReference w:id="6"/>
      </w:r>
      <w:r w:rsidRPr="0047017F">
        <w:t xml:space="preserve"> </w:t>
      </w:r>
      <w:r w:rsidRPr="0047017F">
        <w:rPr>
          <w:szCs w:val="24"/>
        </w:rPr>
        <w:t xml:space="preserve">The largest smoothie market in the world was the United States, which </w:t>
      </w:r>
      <w:r w:rsidR="00A96E1F" w:rsidRPr="0047017F">
        <w:rPr>
          <w:szCs w:val="24"/>
        </w:rPr>
        <w:t>had grown</w:t>
      </w:r>
      <w:r w:rsidRPr="0047017F">
        <w:rPr>
          <w:szCs w:val="24"/>
        </w:rPr>
        <w:t xml:space="preserve"> by </w:t>
      </w:r>
      <w:r w:rsidRPr="0047017F">
        <w:t>2.8</w:t>
      </w:r>
      <w:r w:rsidR="005021D7" w:rsidRPr="0047017F">
        <w:t xml:space="preserve"> per cent</w:t>
      </w:r>
      <w:r w:rsidRPr="0047017F">
        <w:t xml:space="preserve"> </w:t>
      </w:r>
      <w:r w:rsidR="00A96E1F" w:rsidRPr="0047017F">
        <w:t xml:space="preserve">between </w:t>
      </w:r>
      <w:r w:rsidRPr="0047017F">
        <w:t xml:space="preserve">2011 </w:t>
      </w:r>
      <w:r w:rsidR="00A96E1F" w:rsidRPr="0047017F">
        <w:t>and</w:t>
      </w:r>
      <w:r w:rsidRPr="0047017F">
        <w:t xml:space="preserve"> 2016 to $2.3</w:t>
      </w:r>
      <w:r w:rsidR="005021D7" w:rsidRPr="0047017F">
        <w:t xml:space="preserve"> </w:t>
      </w:r>
      <w:r w:rsidRPr="0047017F">
        <w:t>billion in revenue</w:t>
      </w:r>
      <w:r w:rsidR="005021D7" w:rsidRPr="0047017F">
        <w:t>.</w:t>
      </w:r>
      <w:r w:rsidRPr="002828BD">
        <w:rPr>
          <w:rStyle w:val="FootnoteReference"/>
        </w:rPr>
        <w:footnoteReference w:id="7"/>
      </w:r>
      <w:r w:rsidRPr="0047017F">
        <w:t xml:space="preserve"> The continuous growth was ascribed to factors such as </w:t>
      </w:r>
      <w:r w:rsidR="00A96E1F" w:rsidRPr="0047017F">
        <w:t xml:space="preserve">the </w:t>
      </w:r>
      <w:r w:rsidRPr="0047017F">
        <w:t>health consciousness</w:t>
      </w:r>
      <w:r w:rsidR="00A96E1F" w:rsidRPr="0047017F">
        <w:t xml:space="preserve"> of consumers</w:t>
      </w:r>
      <w:r w:rsidRPr="0047017F">
        <w:t>, convenience, taste, and portability. The demographics for smoothie consumption tended to show a long-term perspective, with 18</w:t>
      </w:r>
      <w:r w:rsidR="00A96E1F" w:rsidRPr="0047017F">
        <w:t>–</w:t>
      </w:r>
      <w:r w:rsidRPr="0047017F">
        <w:t>24</w:t>
      </w:r>
      <w:r w:rsidR="00A96E1F" w:rsidRPr="0047017F">
        <w:t xml:space="preserve"> </w:t>
      </w:r>
      <w:r w:rsidRPr="0047017F">
        <w:t>year-olds composing the largest group (26.1</w:t>
      </w:r>
      <w:r w:rsidR="00A96E1F" w:rsidRPr="0047017F">
        <w:t xml:space="preserve"> per cent</w:t>
      </w:r>
      <w:r w:rsidRPr="0047017F">
        <w:t xml:space="preserve">), and </w:t>
      </w:r>
      <w:r w:rsidR="00A96E1F" w:rsidRPr="0047017F">
        <w:t>people aged</w:t>
      </w:r>
      <w:r w:rsidRPr="0047017F">
        <w:t xml:space="preserve"> 55 and </w:t>
      </w:r>
      <w:r w:rsidR="00A96E1F" w:rsidRPr="0047017F">
        <w:t>over</w:t>
      </w:r>
      <w:r w:rsidRPr="0047017F">
        <w:t xml:space="preserve"> representing the smallest </w:t>
      </w:r>
      <w:r w:rsidR="00A96E1F" w:rsidRPr="0047017F">
        <w:t>group</w:t>
      </w:r>
      <w:r w:rsidRPr="0047017F">
        <w:t xml:space="preserve"> (3.6</w:t>
      </w:r>
      <w:r w:rsidR="00A96E1F" w:rsidRPr="0047017F">
        <w:t xml:space="preserve"> per cent</w:t>
      </w:r>
      <w:r w:rsidRPr="0047017F">
        <w:t>)</w:t>
      </w:r>
      <w:r w:rsidR="0047017F" w:rsidRPr="0047017F">
        <w:t xml:space="preserve"> </w:t>
      </w:r>
      <w:r w:rsidRPr="0047017F">
        <w:t xml:space="preserve">(see </w:t>
      </w:r>
      <w:r w:rsidR="005021D7" w:rsidRPr="0047017F">
        <w:t>E</w:t>
      </w:r>
      <w:r w:rsidRPr="0047017F">
        <w:t>xhibit 6).</w:t>
      </w:r>
      <w:r w:rsidR="0047017F" w:rsidRPr="002828BD">
        <w:rPr>
          <w:rStyle w:val="FootnoteReference"/>
        </w:rPr>
        <w:footnoteReference w:id="8"/>
      </w:r>
      <w:r w:rsidRPr="0047017F">
        <w:t xml:space="preserve"> The major distribution channels for smoothies and fruit juice</w:t>
      </w:r>
      <w:r w:rsidR="00A96E1F" w:rsidRPr="0047017F">
        <w:t>s</w:t>
      </w:r>
      <w:r w:rsidRPr="0047017F">
        <w:t xml:space="preserve"> were grocery stores and supermarkets (41</w:t>
      </w:r>
      <w:r w:rsidR="005021D7" w:rsidRPr="0047017F">
        <w:t xml:space="preserve"> per cent</w:t>
      </w:r>
      <w:r w:rsidRPr="0047017F">
        <w:t>), convenience stores and gas stations (21</w:t>
      </w:r>
      <w:r w:rsidR="005021D7" w:rsidRPr="0047017F">
        <w:t xml:space="preserve"> per cent</w:t>
      </w:r>
      <w:r w:rsidRPr="0047017F">
        <w:t>), warehouses and superstores (18.5</w:t>
      </w:r>
      <w:r w:rsidR="005021D7" w:rsidRPr="0047017F">
        <w:t xml:space="preserve"> per cent</w:t>
      </w:r>
      <w:r w:rsidRPr="0047017F">
        <w:t>), vending machines (8.5</w:t>
      </w:r>
      <w:r w:rsidR="005021D7" w:rsidRPr="0047017F">
        <w:t xml:space="preserve"> per cent</w:t>
      </w:r>
      <w:r w:rsidRPr="0047017F">
        <w:t>), and others (11</w:t>
      </w:r>
      <w:r w:rsidR="005021D7" w:rsidRPr="0047017F">
        <w:t xml:space="preserve"> per cent</w:t>
      </w:r>
      <w:r w:rsidRPr="0047017F">
        <w:t>)</w:t>
      </w:r>
      <w:r w:rsidR="004D40CD">
        <w:t>.</w:t>
      </w:r>
      <w:r w:rsidR="00C70423">
        <w:rPr>
          <w:rStyle w:val="FootnoteReference"/>
        </w:rPr>
        <w:footnoteReference w:id="9"/>
      </w:r>
    </w:p>
    <w:p w14:paraId="4A5B65D9" w14:textId="77777777" w:rsidR="005C20D1" w:rsidRPr="0047017F" w:rsidRDefault="005C20D1" w:rsidP="005C20D1">
      <w:pPr>
        <w:pStyle w:val="BodyTextMain"/>
      </w:pPr>
    </w:p>
    <w:p w14:paraId="2F5F239A" w14:textId="77777777" w:rsidR="005C20D1" w:rsidRPr="0047017F" w:rsidRDefault="005C20D1" w:rsidP="005C20D1">
      <w:pPr>
        <w:pStyle w:val="BodyTextMain"/>
      </w:pPr>
    </w:p>
    <w:p w14:paraId="6FE5A8C1" w14:textId="77777777" w:rsidR="005C20D1" w:rsidRPr="0047017F" w:rsidRDefault="005C20D1" w:rsidP="00EF240D">
      <w:pPr>
        <w:pStyle w:val="Casehead2"/>
        <w:outlineLvl w:val="0"/>
      </w:pPr>
      <w:r w:rsidRPr="0047017F">
        <w:t>Determining Demand Factors</w:t>
      </w:r>
    </w:p>
    <w:p w14:paraId="5887DDD6" w14:textId="77777777" w:rsidR="005C20D1" w:rsidRPr="0047017F" w:rsidRDefault="005C20D1" w:rsidP="005C20D1">
      <w:pPr>
        <w:pStyle w:val="BodyTextMain"/>
      </w:pPr>
    </w:p>
    <w:p w14:paraId="6ED22522" w14:textId="712B2BA3" w:rsidR="00F35F07" w:rsidRDefault="005C20D1" w:rsidP="00A24260">
      <w:pPr>
        <w:pStyle w:val="BodyTextMain"/>
        <w:rPr>
          <w:rFonts w:ascii="Times" w:hAnsi="Times"/>
        </w:rPr>
      </w:pPr>
      <w:r w:rsidRPr="0047017F">
        <w:rPr>
          <w:rFonts w:ascii="Times" w:hAnsi="Times"/>
        </w:rPr>
        <w:t>The demand for smoothies depended on consumer preferences</w:t>
      </w:r>
      <w:r w:rsidR="009928E1" w:rsidRPr="0047017F">
        <w:rPr>
          <w:rFonts w:ascii="Times" w:hAnsi="Times"/>
        </w:rPr>
        <w:t>,</w:t>
      </w:r>
      <w:r w:rsidRPr="0047017F">
        <w:rPr>
          <w:rFonts w:ascii="Times" w:hAnsi="Times"/>
        </w:rPr>
        <w:t xml:space="preserve"> and </w:t>
      </w:r>
      <w:r w:rsidR="009928E1" w:rsidRPr="0047017F">
        <w:rPr>
          <w:rFonts w:ascii="Times" w:hAnsi="Times"/>
        </w:rPr>
        <w:t xml:space="preserve">on </w:t>
      </w:r>
      <w:r w:rsidRPr="0047017F">
        <w:rPr>
          <w:rFonts w:ascii="Times" w:hAnsi="Times"/>
        </w:rPr>
        <w:t xml:space="preserve">per capita disposable income </w:t>
      </w:r>
      <w:r w:rsidR="00F35F07">
        <w:rPr>
          <w:rFonts w:ascii="Times" w:hAnsi="Times"/>
        </w:rPr>
        <w:t>because</w:t>
      </w:r>
      <w:r w:rsidR="00F35F07" w:rsidRPr="0047017F">
        <w:rPr>
          <w:rFonts w:ascii="Times" w:hAnsi="Times"/>
        </w:rPr>
        <w:t xml:space="preserve"> </w:t>
      </w:r>
      <w:r w:rsidR="007C40E2" w:rsidRPr="0047017F">
        <w:rPr>
          <w:rFonts w:ascii="Times" w:hAnsi="Times"/>
        </w:rPr>
        <w:t>this</w:t>
      </w:r>
      <w:r w:rsidRPr="0047017F">
        <w:rPr>
          <w:rFonts w:ascii="Times" w:hAnsi="Times"/>
        </w:rPr>
        <w:t xml:space="preserve"> determined the consumer’s ability to make discretionary purchases such as smoothies. Overall smoothie consumption was expected to grow around 2</w:t>
      </w:r>
      <w:r w:rsidR="007C40E2" w:rsidRPr="0047017F">
        <w:rPr>
          <w:rFonts w:ascii="Times" w:hAnsi="Times"/>
        </w:rPr>
        <w:t xml:space="preserve"> per cent</w:t>
      </w:r>
      <w:r w:rsidRPr="0047017F">
        <w:rPr>
          <w:rFonts w:ascii="Times" w:hAnsi="Times"/>
        </w:rPr>
        <w:t xml:space="preserve"> </w:t>
      </w:r>
      <w:r w:rsidR="007C40E2" w:rsidRPr="0047017F">
        <w:rPr>
          <w:rFonts w:ascii="Times" w:hAnsi="Times"/>
        </w:rPr>
        <w:t xml:space="preserve">between 2016 and 2020, </w:t>
      </w:r>
      <w:r w:rsidRPr="0047017F">
        <w:rPr>
          <w:rFonts w:ascii="Times" w:hAnsi="Times"/>
        </w:rPr>
        <w:t xml:space="preserve">according to </w:t>
      </w:r>
      <w:r w:rsidR="00CF1E57" w:rsidRPr="0047017F">
        <w:rPr>
          <w:rFonts w:ascii="Times" w:hAnsi="Times"/>
        </w:rPr>
        <w:t>an</w:t>
      </w:r>
      <w:r w:rsidRPr="0047017F">
        <w:rPr>
          <w:rFonts w:ascii="Times" w:hAnsi="Times"/>
        </w:rPr>
        <w:t xml:space="preserve"> IBISWorld Industry Report</w:t>
      </w:r>
      <w:r w:rsidR="007C40E2" w:rsidRPr="0047017F">
        <w:rPr>
          <w:rFonts w:ascii="Times" w:hAnsi="Times"/>
        </w:rPr>
        <w:t>.</w:t>
      </w:r>
      <w:r w:rsidRPr="002828BD">
        <w:rPr>
          <w:rStyle w:val="FootnoteReference"/>
        </w:rPr>
        <w:footnoteReference w:id="10"/>
      </w:r>
      <w:r w:rsidRPr="0047017F">
        <w:rPr>
          <w:rFonts w:ascii="Times" w:hAnsi="Times"/>
        </w:rPr>
        <w:t xml:space="preserve"> </w:t>
      </w:r>
    </w:p>
    <w:p w14:paraId="640AB8F4" w14:textId="77777777" w:rsidR="00F35F07" w:rsidRDefault="00F35F07" w:rsidP="00A24260">
      <w:pPr>
        <w:pStyle w:val="BodyTextMain"/>
        <w:rPr>
          <w:rFonts w:ascii="Times" w:hAnsi="Times"/>
        </w:rPr>
      </w:pPr>
    </w:p>
    <w:p w14:paraId="3F334DF9" w14:textId="77777777" w:rsidR="004D40CD" w:rsidRDefault="005C20D1" w:rsidP="00A24260">
      <w:pPr>
        <w:pStyle w:val="BodyTextMain"/>
        <w:rPr>
          <w:rFonts w:ascii="Times" w:hAnsi="Times"/>
        </w:rPr>
      </w:pPr>
      <w:r w:rsidRPr="0047017F">
        <w:rPr>
          <w:rFonts w:ascii="Times" w:hAnsi="Times"/>
        </w:rPr>
        <w:t xml:space="preserve">A consumer trend towards </w:t>
      </w:r>
      <w:r w:rsidR="00CF1E57" w:rsidRPr="0047017F">
        <w:rPr>
          <w:rFonts w:ascii="Times" w:hAnsi="Times"/>
        </w:rPr>
        <w:t>increased</w:t>
      </w:r>
      <w:r w:rsidRPr="0047017F">
        <w:rPr>
          <w:rFonts w:ascii="Times" w:hAnsi="Times"/>
        </w:rPr>
        <w:t xml:space="preserve"> health consciousness was </w:t>
      </w:r>
      <w:r w:rsidR="00CF1E57" w:rsidRPr="0047017F">
        <w:rPr>
          <w:rFonts w:ascii="Times" w:hAnsi="Times"/>
        </w:rPr>
        <w:t>indicated</w:t>
      </w:r>
      <w:r w:rsidRPr="0047017F">
        <w:rPr>
          <w:rFonts w:ascii="Times" w:hAnsi="Times"/>
        </w:rPr>
        <w:t xml:space="preserve"> by such </w:t>
      </w:r>
      <w:r w:rsidR="00CF1E57" w:rsidRPr="0047017F">
        <w:rPr>
          <w:rFonts w:ascii="Times" w:hAnsi="Times"/>
        </w:rPr>
        <w:t xml:space="preserve">measures </w:t>
      </w:r>
      <w:r w:rsidRPr="0047017F">
        <w:rPr>
          <w:rFonts w:ascii="Times" w:hAnsi="Times"/>
        </w:rPr>
        <w:t xml:space="preserve">as </w:t>
      </w:r>
      <w:r w:rsidR="007C40E2" w:rsidRPr="0047017F">
        <w:rPr>
          <w:rFonts w:ascii="Times" w:hAnsi="Times"/>
        </w:rPr>
        <w:t>an</w:t>
      </w:r>
      <w:r w:rsidRPr="0047017F">
        <w:rPr>
          <w:rFonts w:ascii="Times" w:hAnsi="Times"/>
        </w:rPr>
        <w:t xml:space="preserve"> increase in the healthy eating index. Another factor </w:t>
      </w:r>
      <w:r w:rsidR="00CF1E57" w:rsidRPr="0047017F">
        <w:rPr>
          <w:rFonts w:ascii="Times" w:hAnsi="Times"/>
        </w:rPr>
        <w:t xml:space="preserve">determining demand for smoothies </w:t>
      </w:r>
      <w:r w:rsidRPr="0047017F">
        <w:rPr>
          <w:rFonts w:ascii="Times" w:hAnsi="Times"/>
        </w:rPr>
        <w:t xml:space="preserve">was geographic region. The report suggested </w:t>
      </w:r>
      <w:r w:rsidR="00CF1E57" w:rsidRPr="0047017F">
        <w:rPr>
          <w:rFonts w:ascii="Times" w:hAnsi="Times"/>
        </w:rPr>
        <w:t xml:space="preserve">that </w:t>
      </w:r>
      <w:r w:rsidRPr="0047017F">
        <w:rPr>
          <w:rFonts w:ascii="Times" w:hAnsi="Times"/>
        </w:rPr>
        <w:t xml:space="preserve">more smoothies were consumed in </w:t>
      </w:r>
      <w:r w:rsidR="00CF1E57" w:rsidRPr="0047017F">
        <w:rPr>
          <w:rFonts w:ascii="Times" w:hAnsi="Times"/>
        </w:rPr>
        <w:t xml:space="preserve">places with </w:t>
      </w:r>
      <w:r w:rsidRPr="0047017F">
        <w:rPr>
          <w:rFonts w:ascii="Times" w:hAnsi="Times"/>
        </w:rPr>
        <w:t>favo</w:t>
      </w:r>
      <w:r w:rsidR="007C40E2" w:rsidRPr="0047017F">
        <w:rPr>
          <w:rFonts w:ascii="Times" w:hAnsi="Times"/>
        </w:rPr>
        <w:t>u</w:t>
      </w:r>
      <w:r w:rsidRPr="0047017F">
        <w:rPr>
          <w:rFonts w:ascii="Times" w:hAnsi="Times"/>
        </w:rPr>
        <w:t xml:space="preserve">rable climatic conditions such as higher temperature, proximity to the sea or </w:t>
      </w:r>
      <w:r w:rsidR="00CF1E57" w:rsidRPr="0047017F">
        <w:rPr>
          <w:rFonts w:ascii="Times" w:hAnsi="Times"/>
        </w:rPr>
        <w:t xml:space="preserve">to </w:t>
      </w:r>
      <w:r w:rsidRPr="0047017F">
        <w:rPr>
          <w:rFonts w:ascii="Times" w:hAnsi="Times"/>
        </w:rPr>
        <w:t xml:space="preserve">a lake, and average sunshine duration. </w:t>
      </w:r>
    </w:p>
    <w:p w14:paraId="5F9D2821" w14:textId="2E432745" w:rsidR="00464508" w:rsidRDefault="005C20D1" w:rsidP="00A24260">
      <w:pPr>
        <w:pStyle w:val="BodyTextMain"/>
        <w:rPr>
          <w:rFonts w:ascii="Times" w:hAnsi="Times"/>
        </w:rPr>
      </w:pPr>
      <w:r w:rsidRPr="0047017F">
        <w:rPr>
          <w:rFonts w:ascii="Times" w:hAnsi="Times"/>
        </w:rPr>
        <w:lastRenderedPageBreak/>
        <w:t xml:space="preserve">Next to that, the day of the week </w:t>
      </w:r>
      <w:r w:rsidR="009928E1" w:rsidRPr="0047017F">
        <w:rPr>
          <w:rFonts w:ascii="Times" w:hAnsi="Times"/>
        </w:rPr>
        <w:t xml:space="preserve">also </w:t>
      </w:r>
      <w:r w:rsidRPr="0047017F">
        <w:rPr>
          <w:rFonts w:ascii="Times" w:hAnsi="Times"/>
        </w:rPr>
        <w:t xml:space="preserve">played a major role </w:t>
      </w:r>
      <w:r w:rsidR="00CF1E57" w:rsidRPr="0047017F">
        <w:rPr>
          <w:rFonts w:ascii="Times" w:hAnsi="Times"/>
        </w:rPr>
        <w:t>in determining smoothie demand</w:t>
      </w:r>
      <w:r w:rsidRPr="0047017F">
        <w:rPr>
          <w:rFonts w:ascii="Times" w:hAnsi="Times"/>
        </w:rPr>
        <w:t>. According to market research company Vivonet</w:t>
      </w:r>
      <w:r w:rsidR="00B628FE" w:rsidRPr="0047017F">
        <w:rPr>
          <w:rFonts w:ascii="Times" w:hAnsi="Times"/>
        </w:rPr>
        <w:t>,</w:t>
      </w:r>
      <w:r w:rsidRPr="002828BD">
        <w:rPr>
          <w:rStyle w:val="FootnoteReference"/>
        </w:rPr>
        <w:footnoteReference w:id="11"/>
      </w:r>
      <w:r w:rsidRPr="0047017F">
        <w:rPr>
          <w:rFonts w:ascii="Times" w:hAnsi="Times"/>
        </w:rPr>
        <w:t xml:space="preserve"> the majority of smoothies </w:t>
      </w:r>
      <w:r w:rsidR="0040436A" w:rsidRPr="0047017F">
        <w:rPr>
          <w:rFonts w:ascii="Times" w:hAnsi="Times"/>
        </w:rPr>
        <w:t xml:space="preserve">in North America </w:t>
      </w:r>
      <w:r w:rsidRPr="0047017F">
        <w:rPr>
          <w:rFonts w:ascii="Times" w:hAnsi="Times"/>
        </w:rPr>
        <w:t>were consumed on Friday</w:t>
      </w:r>
      <w:r w:rsidR="00CF1E57" w:rsidRPr="0047017F">
        <w:rPr>
          <w:rFonts w:ascii="Times" w:hAnsi="Times"/>
        </w:rPr>
        <w:t>s</w:t>
      </w:r>
      <w:r w:rsidRPr="0047017F">
        <w:rPr>
          <w:rFonts w:ascii="Times" w:hAnsi="Times"/>
        </w:rPr>
        <w:t xml:space="preserve"> (17.5</w:t>
      </w:r>
      <w:r w:rsidR="00CF1E57" w:rsidRPr="0047017F">
        <w:rPr>
          <w:rFonts w:ascii="Times" w:hAnsi="Times"/>
        </w:rPr>
        <w:t xml:space="preserve"> per cent</w:t>
      </w:r>
      <w:r w:rsidRPr="0047017F">
        <w:rPr>
          <w:rFonts w:ascii="Times" w:hAnsi="Times"/>
        </w:rPr>
        <w:t>), followed by Thursday</w:t>
      </w:r>
      <w:r w:rsidR="00CF1E57" w:rsidRPr="0047017F">
        <w:rPr>
          <w:rFonts w:ascii="Times" w:hAnsi="Times"/>
        </w:rPr>
        <w:t>s</w:t>
      </w:r>
      <w:r w:rsidRPr="0047017F">
        <w:rPr>
          <w:rFonts w:ascii="Times" w:hAnsi="Times"/>
        </w:rPr>
        <w:t xml:space="preserve"> (15.2</w:t>
      </w:r>
      <w:r w:rsidR="00CF1E57" w:rsidRPr="0047017F">
        <w:rPr>
          <w:rFonts w:ascii="Times" w:hAnsi="Times"/>
        </w:rPr>
        <w:t xml:space="preserve"> per cent</w:t>
      </w:r>
      <w:r w:rsidRPr="0047017F">
        <w:rPr>
          <w:rFonts w:ascii="Times" w:hAnsi="Times"/>
        </w:rPr>
        <w:t>) and Saturday</w:t>
      </w:r>
      <w:r w:rsidR="00CF1E57" w:rsidRPr="0047017F">
        <w:rPr>
          <w:rFonts w:ascii="Times" w:hAnsi="Times"/>
        </w:rPr>
        <w:t>s</w:t>
      </w:r>
      <w:r w:rsidRPr="0047017F">
        <w:rPr>
          <w:rFonts w:ascii="Times" w:hAnsi="Times"/>
        </w:rPr>
        <w:t xml:space="preserve"> (14.8</w:t>
      </w:r>
      <w:r w:rsidR="00CF1E57" w:rsidRPr="0047017F">
        <w:rPr>
          <w:rFonts w:ascii="Times" w:hAnsi="Times"/>
        </w:rPr>
        <w:t xml:space="preserve"> per cent</w:t>
      </w:r>
      <w:r w:rsidRPr="0047017F">
        <w:rPr>
          <w:rFonts w:ascii="Times" w:hAnsi="Times"/>
        </w:rPr>
        <w:t>). Sunday tended to be the day w</w:t>
      </w:r>
      <w:r w:rsidR="00B23E71" w:rsidRPr="0047017F">
        <w:rPr>
          <w:rFonts w:ascii="Times" w:hAnsi="Times"/>
        </w:rPr>
        <w:t>hen</w:t>
      </w:r>
      <w:r w:rsidRPr="0047017F">
        <w:rPr>
          <w:rFonts w:ascii="Times" w:hAnsi="Times"/>
        </w:rPr>
        <w:t xml:space="preserve"> smoothie</w:t>
      </w:r>
      <w:r w:rsidR="00B23E71" w:rsidRPr="0047017F">
        <w:rPr>
          <w:rFonts w:ascii="Times" w:hAnsi="Times"/>
        </w:rPr>
        <w:t>s were consumed the least</w:t>
      </w:r>
      <w:r w:rsidRPr="0047017F">
        <w:rPr>
          <w:rFonts w:ascii="Times" w:hAnsi="Times"/>
        </w:rPr>
        <w:t xml:space="preserve"> </w:t>
      </w:r>
      <w:r w:rsidR="00B23E71" w:rsidRPr="0047017F">
        <w:rPr>
          <w:rFonts w:ascii="Times" w:hAnsi="Times"/>
        </w:rPr>
        <w:t>(</w:t>
      </w:r>
      <w:r w:rsidRPr="0047017F">
        <w:rPr>
          <w:rFonts w:ascii="Times" w:hAnsi="Times"/>
        </w:rPr>
        <w:t>11.2</w:t>
      </w:r>
      <w:r w:rsidR="00B23E71" w:rsidRPr="0047017F">
        <w:rPr>
          <w:rFonts w:ascii="Times" w:hAnsi="Times"/>
        </w:rPr>
        <w:t xml:space="preserve"> per cent)</w:t>
      </w:r>
      <w:r w:rsidRPr="0047017F">
        <w:rPr>
          <w:rFonts w:ascii="Times" w:hAnsi="Times"/>
        </w:rPr>
        <w:t>. The overall trend was that smoothie sales increased</w:t>
      </w:r>
      <w:r w:rsidR="00CA1A92">
        <w:rPr>
          <w:rFonts w:ascii="Times" w:hAnsi="Times"/>
        </w:rPr>
        <w:t xml:space="preserve"> every day from</w:t>
      </w:r>
      <w:r w:rsidRPr="0047017F">
        <w:rPr>
          <w:rFonts w:ascii="Times" w:hAnsi="Times"/>
        </w:rPr>
        <w:t xml:space="preserve"> Monday until Friday. Smoothie chains could use this </w:t>
      </w:r>
      <w:r w:rsidR="00B23E71" w:rsidRPr="0047017F">
        <w:rPr>
          <w:rFonts w:ascii="Times" w:hAnsi="Times"/>
        </w:rPr>
        <w:t xml:space="preserve">knowledge </w:t>
      </w:r>
      <w:r w:rsidRPr="0047017F">
        <w:rPr>
          <w:rFonts w:ascii="Times" w:hAnsi="Times"/>
        </w:rPr>
        <w:t>to their advantage by implementing menu placements and promotions</w:t>
      </w:r>
      <w:r w:rsidR="00B23E71" w:rsidRPr="0047017F">
        <w:rPr>
          <w:rFonts w:ascii="Times" w:hAnsi="Times"/>
        </w:rPr>
        <w:t xml:space="preserve"> on certain days</w:t>
      </w:r>
      <w:r w:rsidRPr="0047017F">
        <w:rPr>
          <w:rFonts w:ascii="Times" w:hAnsi="Times"/>
        </w:rPr>
        <w:t xml:space="preserve">. </w:t>
      </w:r>
    </w:p>
    <w:p w14:paraId="09DF0D95" w14:textId="77777777" w:rsidR="00464508" w:rsidRDefault="00464508" w:rsidP="00A24260">
      <w:pPr>
        <w:pStyle w:val="BodyTextMain"/>
        <w:rPr>
          <w:rFonts w:ascii="Times" w:hAnsi="Times"/>
        </w:rPr>
      </w:pPr>
    </w:p>
    <w:p w14:paraId="24A9C131" w14:textId="470E25B6" w:rsidR="00464508" w:rsidRDefault="00464508" w:rsidP="00A24260">
      <w:pPr>
        <w:pStyle w:val="BodyTextMain"/>
        <w:rPr>
          <w:rFonts w:ascii="Times" w:hAnsi="Times"/>
        </w:rPr>
      </w:pPr>
      <w:r>
        <w:rPr>
          <w:rFonts w:ascii="Times" w:hAnsi="Times"/>
        </w:rPr>
        <w:t>M</w:t>
      </w:r>
      <w:r w:rsidR="009928E1" w:rsidRPr="0047017F">
        <w:rPr>
          <w:rFonts w:ascii="Times" w:hAnsi="Times"/>
        </w:rPr>
        <w:t xml:space="preserve">arket research showed that </w:t>
      </w:r>
      <w:r w:rsidR="0040436A" w:rsidRPr="0047017F">
        <w:rPr>
          <w:rFonts w:ascii="Times" w:hAnsi="Times"/>
        </w:rPr>
        <w:t xml:space="preserve">strawberry was </w:t>
      </w:r>
      <w:r w:rsidR="009928E1" w:rsidRPr="0047017F">
        <w:rPr>
          <w:rFonts w:ascii="Times" w:hAnsi="Times"/>
        </w:rPr>
        <w:t xml:space="preserve">the </w:t>
      </w:r>
      <w:r w:rsidR="005C20D1" w:rsidRPr="0047017F">
        <w:rPr>
          <w:rFonts w:ascii="Times" w:hAnsi="Times"/>
        </w:rPr>
        <w:t xml:space="preserve">most popular smoothie ingredient </w:t>
      </w:r>
      <w:r w:rsidR="0040436A" w:rsidRPr="0047017F">
        <w:rPr>
          <w:rFonts w:ascii="Times" w:hAnsi="Times"/>
        </w:rPr>
        <w:t>among consumers</w:t>
      </w:r>
      <w:r w:rsidR="00B23E71" w:rsidRPr="0047017F">
        <w:rPr>
          <w:rFonts w:ascii="Times" w:hAnsi="Times"/>
        </w:rPr>
        <w:t>,</w:t>
      </w:r>
      <w:r w:rsidR="005C20D1" w:rsidRPr="0047017F">
        <w:rPr>
          <w:rFonts w:ascii="Times" w:hAnsi="Times"/>
        </w:rPr>
        <w:t xml:space="preserve"> with 21</w:t>
      </w:r>
      <w:r w:rsidR="00B23E71" w:rsidRPr="0047017F">
        <w:rPr>
          <w:rFonts w:ascii="Times" w:hAnsi="Times"/>
        </w:rPr>
        <w:t xml:space="preserve"> per cent</w:t>
      </w:r>
      <w:r w:rsidR="00DA526C" w:rsidRPr="0047017F">
        <w:rPr>
          <w:rFonts w:ascii="Times" w:hAnsi="Times"/>
        </w:rPr>
        <w:t xml:space="preserve"> of </w:t>
      </w:r>
      <w:r>
        <w:rPr>
          <w:rFonts w:ascii="Times" w:hAnsi="Times"/>
        </w:rPr>
        <w:t xml:space="preserve">the </w:t>
      </w:r>
      <w:r w:rsidR="00DA526C" w:rsidRPr="0047017F">
        <w:rPr>
          <w:rFonts w:ascii="Times" w:hAnsi="Times"/>
        </w:rPr>
        <w:t>ingredients used</w:t>
      </w:r>
      <w:r>
        <w:rPr>
          <w:rFonts w:ascii="Times" w:hAnsi="Times"/>
        </w:rPr>
        <w:t>,</w:t>
      </w:r>
      <w:r w:rsidR="0047017F">
        <w:rPr>
          <w:rFonts w:ascii="Times" w:hAnsi="Times"/>
        </w:rPr>
        <w:t xml:space="preserve"> </w:t>
      </w:r>
      <w:r w:rsidR="005C20D1" w:rsidRPr="0047017F">
        <w:rPr>
          <w:rFonts w:ascii="Times" w:hAnsi="Times"/>
        </w:rPr>
        <w:t xml:space="preserve">followed by acai berry (see </w:t>
      </w:r>
      <w:r w:rsidR="00B23E71" w:rsidRPr="0047017F">
        <w:rPr>
          <w:rFonts w:ascii="Times" w:hAnsi="Times"/>
        </w:rPr>
        <w:t>E</w:t>
      </w:r>
      <w:r w:rsidR="005C20D1" w:rsidRPr="0047017F">
        <w:rPr>
          <w:rFonts w:ascii="Times" w:hAnsi="Times"/>
        </w:rPr>
        <w:t xml:space="preserve">xhibit 7). </w:t>
      </w:r>
      <w:r w:rsidR="00B23E71" w:rsidRPr="0047017F">
        <w:rPr>
          <w:rFonts w:ascii="Times" w:hAnsi="Times"/>
        </w:rPr>
        <w:t>In contrast,</w:t>
      </w:r>
      <w:r w:rsidR="005C20D1" w:rsidRPr="0047017F">
        <w:rPr>
          <w:rFonts w:ascii="Times" w:hAnsi="Times"/>
        </w:rPr>
        <w:t xml:space="preserve"> the five least favo</w:t>
      </w:r>
      <w:r w:rsidR="00B23E71" w:rsidRPr="0047017F">
        <w:rPr>
          <w:rFonts w:ascii="Times" w:hAnsi="Times"/>
        </w:rPr>
        <w:t>u</w:t>
      </w:r>
      <w:r w:rsidR="005C20D1" w:rsidRPr="0047017F">
        <w:rPr>
          <w:rFonts w:ascii="Times" w:hAnsi="Times"/>
        </w:rPr>
        <w:t xml:space="preserve">rable ingredients were guava, papaya, marion berry, passion fruit, and lemon. </w:t>
      </w:r>
    </w:p>
    <w:p w14:paraId="0BC3440C" w14:textId="77777777" w:rsidR="00464508" w:rsidRDefault="00464508" w:rsidP="00A24260">
      <w:pPr>
        <w:pStyle w:val="BodyTextMain"/>
        <w:rPr>
          <w:rFonts w:ascii="Times" w:hAnsi="Times"/>
        </w:rPr>
      </w:pPr>
    </w:p>
    <w:p w14:paraId="66B462CF" w14:textId="1E764BDF" w:rsidR="002E431B" w:rsidRPr="0047017F" w:rsidRDefault="009928E1" w:rsidP="00A24260">
      <w:pPr>
        <w:pStyle w:val="BodyTextMain"/>
        <w:rPr>
          <w:rFonts w:ascii="Times" w:hAnsi="Times"/>
        </w:rPr>
      </w:pPr>
      <w:r w:rsidRPr="0047017F">
        <w:rPr>
          <w:rFonts w:ascii="Times" w:hAnsi="Times"/>
        </w:rPr>
        <w:t>T</w:t>
      </w:r>
      <w:r w:rsidR="005C20D1" w:rsidRPr="0047017F">
        <w:rPr>
          <w:rFonts w:ascii="Times" w:hAnsi="Times"/>
        </w:rPr>
        <w:t>he most important driver for demand of smoothies</w:t>
      </w:r>
      <w:r w:rsidRPr="0047017F">
        <w:rPr>
          <w:rFonts w:ascii="Times" w:hAnsi="Times"/>
        </w:rPr>
        <w:t xml:space="preserve"> was their price</w:t>
      </w:r>
      <w:r w:rsidR="005C20D1" w:rsidRPr="0047017F">
        <w:rPr>
          <w:rFonts w:ascii="Times" w:hAnsi="Times"/>
        </w:rPr>
        <w:t xml:space="preserve">. The high price sensitivity of </w:t>
      </w:r>
      <w:r w:rsidR="00B23E71" w:rsidRPr="0047017F">
        <w:rPr>
          <w:rFonts w:ascii="Times" w:hAnsi="Times"/>
        </w:rPr>
        <w:t xml:space="preserve">smoothie </w:t>
      </w:r>
      <w:r w:rsidR="00112753" w:rsidRPr="0047017F">
        <w:rPr>
          <w:rFonts w:ascii="Times" w:hAnsi="Times"/>
        </w:rPr>
        <w:t>customers</w:t>
      </w:r>
      <w:r w:rsidR="005C20D1" w:rsidRPr="0047017F">
        <w:rPr>
          <w:rFonts w:ascii="Times" w:hAnsi="Times"/>
        </w:rPr>
        <w:t xml:space="preserve"> created the risk </w:t>
      </w:r>
      <w:r w:rsidR="00464508">
        <w:rPr>
          <w:rFonts w:ascii="Times" w:hAnsi="Times"/>
        </w:rPr>
        <w:t>that they would</w:t>
      </w:r>
      <w:r w:rsidR="005C20D1" w:rsidRPr="0047017F">
        <w:rPr>
          <w:rFonts w:ascii="Times" w:hAnsi="Times"/>
        </w:rPr>
        <w:t xml:space="preserve"> quickly switch to substitutes. Further, </w:t>
      </w:r>
      <w:r w:rsidR="00B23E71" w:rsidRPr="0047017F">
        <w:rPr>
          <w:rFonts w:ascii="Times" w:hAnsi="Times"/>
        </w:rPr>
        <w:t xml:space="preserve">it was possible that </w:t>
      </w:r>
      <w:r w:rsidR="005C20D1" w:rsidRPr="0047017F">
        <w:rPr>
          <w:rFonts w:ascii="Times" w:hAnsi="Times"/>
        </w:rPr>
        <w:t>a limited and repe</w:t>
      </w:r>
      <w:r w:rsidR="00B23E71" w:rsidRPr="0047017F">
        <w:rPr>
          <w:rFonts w:ascii="Times" w:hAnsi="Times"/>
        </w:rPr>
        <w:t>titive</w:t>
      </w:r>
      <w:r w:rsidR="005C20D1" w:rsidRPr="0047017F">
        <w:rPr>
          <w:rFonts w:ascii="Times" w:hAnsi="Times"/>
        </w:rPr>
        <w:t xml:space="preserve"> product choice might decrease </w:t>
      </w:r>
      <w:r w:rsidR="00B23E71" w:rsidRPr="0047017F">
        <w:rPr>
          <w:rFonts w:ascii="Times" w:hAnsi="Times"/>
        </w:rPr>
        <w:t>smoothie</w:t>
      </w:r>
      <w:r w:rsidR="005C20D1" w:rsidRPr="0047017F">
        <w:rPr>
          <w:rFonts w:ascii="Times" w:hAnsi="Times"/>
        </w:rPr>
        <w:t xml:space="preserve"> consumption. It was there</w:t>
      </w:r>
      <w:r w:rsidRPr="0047017F">
        <w:rPr>
          <w:rFonts w:ascii="Times" w:hAnsi="Times"/>
        </w:rPr>
        <w:t>fore</w:t>
      </w:r>
      <w:r w:rsidR="005C20D1" w:rsidRPr="0047017F">
        <w:rPr>
          <w:rFonts w:ascii="Times" w:hAnsi="Times"/>
        </w:rPr>
        <w:t xml:space="preserve"> crucial for companies within the industry to maintain a high quality of ingredients and thereby differentiate from other companies</w:t>
      </w:r>
      <w:r w:rsidR="00B23E71" w:rsidRPr="0047017F">
        <w:rPr>
          <w:rFonts w:ascii="Times" w:hAnsi="Times" w:cs="Times"/>
        </w:rPr>
        <w:t>—</w:t>
      </w:r>
      <w:r w:rsidR="00B23E71" w:rsidRPr="0047017F">
        <w:rPr>
          <w:rFonts w:ascii="Times" w:hAnsi="Times"/>
        </w:rPr>
        <w:t>evidence of</w:t>
      </w:r>
      <w:r w:rsidR="005C20D1" w:rsidRPr="0047017F">
        <w:rPr>
          <w:rFonts w:ascii="Times" w:hAnsi="Times"/>
        </w:rPr>
        <w:t xml:space="preserve"> the demanding challenges smoothie producers fac</w:t>
      </w:r>
      <w:r w:rsidR="00B23E71" w:rsidRPr="0047017F">
        <w:rPr>
          <w:rFonts w:ascii="Times" w:hAnsi="Times"/>
        </w:rPr>
        <w:t>ed</w:t>
      </w:r>
      <w:r w:rsidR="005C20D1" w:rsidRPr="0047017F">
        <w:rPr>
          <w:rFonts w:ascii="Times" w:hAnsi="Times"/>
        </w:rPr>
        <w:t xml:space="preserve"> </w:t>
      </w:r>
      <w:r w:rsidR="00B23E71" w:rsidRPr="0047017F">
        <w:rPr>
          <w:rFonts w:ascii="Times" w:hAnsi="Times"/>
        </w:rPr>
        <w:t>with</w:t>
      </w:r>
      <w:r w:rsidR="005C20D1" w:rsidRPr="0047017F">
        <w:rPr>
          <w:rFonts w:ascii="Times" w:hAnsi="Times"/>
        </w:rPr>
        <w:t xml:space="preserve"> </w:t>
      </w:r>
      <w:r w:rsidRPr="0047017F">
        <w:rPr>
          <w:rFonts w:ascii="Times" w:hAnsi="Times"/>
        </w:rPr>
        <w:t>consumers’</w:t>
      </w:r>
      <w:r w:rsidR="005C20D1" w:rsidRPr="0047017F">
        <w:rPr>
          <w:rFonts w:ascii="Times" w:hAnsi="Times"/>
        </w:rPr>
        <w:t xml:space="preserve"> continuous</w:t>
      </w:r>
      <w:r w:rsidR="00B23E71" w:rsidRPr="0047017F">
        <w:rPr>
          <w:rFonts w:ascii="Times" w:hAnsi="Times"/>
        </w:rPr>
        <w:t>ly</w:t>
      </w:r>
      <w:r w:rsidR="005C20D1" w:rsidRPr="0047017F">
        <w:rPr>
          <w:rFonts w:ascii="Times" w:hAnsi="Times"/>
        </w:rPr>
        <w:t xml:space="preserve"> chang</w:t>
      </w:r>
      <w:r w:rsidR="00B23E71" w:rsidRPr="0047017F">
        <w:rPr>
          <w:rFonts w:ascii="Times" w:hAnsi="Times"/>
        </w:rPr>
        <w:t>ing preferences</w:t>
      </w:r>
      <w:r w:rsidR="005C20D1" w:rsidRPr="0047017F">
        <w:rPr>
          <w:rFonts w:ascii="Times" w:hAnsi="Times"/>
        </w:rPr>
        <w:t>.</w:t>
      </w:r>
    </w:p>
    <w:p w14:paraId="6E82DEBA" w14:textId="77777777" w:rsidR="002E431B" w:rsidRPr="0047017F" w:rsidRDefault="002E431B" w:rsidP="00A24260">
      <w:pPr>
        <w:pStyle w:val="BodyTextMain"/>
        <w:rPr>
          <w:rFonts w:ascii="Times" w:hAnsi="Times"/>
        </w:rPr>
      </w:pPr>
    </w:p>
    <w:p w14:paraId="5AE0F624" w14:textId="7EA68DD9" w:rsidR="005C20D1" w:rsidRPr="0047017F" w:rsidRDefault="005C20D1" w:rsidP="00A24260">
      <w:pPr>
        <w:pStyle w:val="BodyTextMain"/>
        <w:rPr>
          <w:rFonts w:ascii="Times" w:hAnsi="Times"/>
        </w:rPr>
      </w:pPr>
    </w:p>
    <w:p w14:paraId="034FB666" w14:textId="569CB019" w:rsidR="005C20D1" w:rsidRPr="0047017F" w:rsidRDefault="005C20D1" w:rsidP="00EF240D">
      <w:pPr>
        <w:pStyle w:val="Casehead2"/>
        <w:outlineLvl w:val="0"/>
      </w:pPr>
      <w:r w:rsidRPr="0047017F">
        <w:t xml:space="preserve">Concentration of the </w:t>
      </w:r>
      <w:r w:rsidR="009928E1" w:rsidRPr="0047017F">
        <w:t>I</w:t>
      </w:r>
      <w:r w:rsidRPr="0047017F">
        <w:t>ndustry</w:t>
      </w:r>
    </w:p>
    <w:p w14:paraId="24150913" w14:textId="77777777" w:rsidR="005C20D1" w:rsidRPr="0047017F" w:rsidRDefault="005C20D1" w:rsidP="002828BD">
      <w:pPr>
        <w:pStyle w:val="BodyTextMain"/>
      </w:pPr>
    </w:p>
    <w:p w14:paraId="7619AD9F" w14:textId="0BD8D074" w:rsidR="007C549A" w:rsidRDefault="007C549A" w:rsidP="005C20D1">
      <w:pPr>
        <w:pStyle w:val="BodyTextMain"/>
      </w:pPr>
      <w:r>
        <w:t>T</w:t>
      </w:r>
      <w:r w:rsidR="005C20D1" w:rsidRPr="0047017F">
        <w:t>he industry showed an increase in the consumption of smoothies</w:t>
      </w:r>
      <w:r>
        <w:t xml:space="preserve"> since 2007</w:t>
      </w:r>
      <w:r w:rsidR="005C20D1" w:rsidRPr="0047017F">
        <w:t>. Globally, the industry was projected to grow at a compounded annual growth rate (CAGR) of 7.1</w:t>
      </w:r>
      <w:r w:rsidR="009928E1" w:rsidRPr="0047017F">
        <w:t xml:space="preserve"> per cent</w:t>
      </w:r>
      <w:r w:rsidR="005C20D1" w:rsidRPr="0047017F">
        <w:t xml:space="preserve"> until 2020</w:t>
      </w:r>
      <w:r w:rsidR="009928E1" w:rsidRPr="0047017F">
        <w:t>.</w:t>
      </w:r>
      <w:r w:rsidR="005C20D1" w:rsidRPr="002828BD">
        <w:rPr>
          <w:rStyle w:val="FootnoteReference"/>
        </w:rPr>
        <w:footnoteReference w:id="12"/>
      </w:r>
      <w:r w:rsidR="005C20D1" w:rsidRPr="0047017F">
        <w:t xml:space="preserve"> In 2016, the United States represented the biggest market of the global smoothie market</w:t>
      </w:r>
      <w:r w:rsidR="009928E1" w:rsidRPr="0047017F">
        <w:t>,</w:t>
      </w:r>
      <w:r w:rsidR="005C20D1" w:rsidRPr="0047017F">
        <w:t xml:space="preserve"> in terms of sales and revenue. Asia</w:t>
      </w:r>
      <w:r w:rsidR="009928E1" w:rsidRPr="0047017F">
        <w:t>-</w:t>
      </w:r>
      <w:r w:rsidR="005C20D1" w:rsidRPr="0047017F">
        <w:t>Pacific w</w:t>
      </w:r>
      <w:r w:rsidR="009928E1" w:rsidRPr="0047017F">
        <w:t>as</w:t>
      </w:r>
      <w:r w:rsidR="005C20D1" w:rsidRPr="0047017F">
        <w:t xml:space="preserve"> expected to grow by a CAGR of 9.1</w:t>
      </w:r>
      <w:r w:rsidR="009928E1" w:rsidRPr="0047017F">
        <w:t xml:space="preserve"> per cent</w:t>
      </w:r>
      <w:r w:rsidR="00984421" w:rsidRPr="0047017F">
        <w:t xml:space="preserve"> </w:t>
      </w:r>
      <w:r w:rsidR="005C20D1" w:rsidRPr="0047017F">
        <w:t>until 2022.</w:t>
      </w:r>
      <w:r w:rsidR="00984421" w:rsidRPr="002828BD">
        <w:rPr>
          <w:rStyle w:val="FootnoteReference"/>
        </w:rPr>
        <w:footnoteReference w:id="13"/>
      </w:r>
      <w:r w:rsidR="00984421" w:rsidRPr="0047017F">
        <w:t xml:space="preserve"> </w:t>
      </w:r>
      <w:r w:rsidR="005C20D1" w:rsidRPr="0047017F">
        <w:t xml:space="preserve">This was </w:t>
      </w:r>
      <w:r>
        <w:t>attributed</w:t>
      </w:r>
      <w:r w:rsidRPr="0047017F">
        <w:t xml:space="preserve"> </w:t>
      </w:r>
      <w:r w:rsidR="00984421" w:rsidRPr="0047017F">
        <w:t>to</w:t>
      </w:r>
      <w:r w:rsidR="005C20D1" w:rsidRPr="0047017F">
        <w:t xml:space="preserve"> a growth in the middle class, </w:t>
      </w:r>
      <w:r w:rsidR="00984421" w:rsidRPr="0047017F">
        <w:t>the W</w:t>
      </w:r>
      <w:r w:rsidR="005C20D1" w:rsidRPr="0047017F">
        <w:t xml:space="preserve">esternization of food consumption, and growing health consciousness </w:t>
      </w:r>
      <w:r w:rsidR="00984421" w:rsidRPr="0047017F">
        <w:t>stemming from</w:t>
      </w:r>
      <w:r w:rsidR="005C20D1" w:rsidRPr="0047017F">
        <w:t xml:space="preserve"> rising levels of obesity. The consumption of fruit juice was regarded as an effective way to lose weight. </w:t>
      </w:r>
    </w:p>
    <w:p w14:paraId="2DC11458" w14:textId="77777777" w:rsidR="007C549A" w:rsidRDefault="007C549A" w:rsidP="005C20D1">
      <w:pPr>
        <w:pStyle w:val="BodyTextMain"/>
      </w:pPr>
    </w:p>
    <w:p w14:paraId="5609E336" w14:textId="79B6DF9C" w:rsidR="005C20D1" w:rsidRPr="0047017F" w:rsidRDefault="007C549A" w:rsidP="005C20D1">
      <w:pPr>
        <w:pStyle w:val="BodyTextMain"/>
      </w:pPr>
      <w:r>
        <w:t>Because</w:t>
      </w:r>
      <w:r w:rsidRPr="0047017F">
        <w:t xml:space="preserve"> </w:t>
      </w:r>
      <w:r w:rsidR="005C20D1" w:rsidRPr="0047017F">
        <w:t>fruit juices were favo</w:t>
      </w:r>
      <w:r w:rsidR="00984421" w:rsidRPr="0047017F">
        <w:t>u</w:t>
      </w:r>
      <w:r w:rsidR="005C20D1" w:rsidRPr="0047017F">
        <w:t xml:space="preserve">red in warmer climatic conditions, countries in Asia with a close proximity to the </w:t>
      </w:r>
      <w:r w:rsidR="00A224B3">
        <w:t>e</w:t>
      </w:r>
      <w:r w:rsidR="005C20D1" w:rsidRPr="0047017F">
        <w:t xml:space="preserve">quator were projected to incur significant </w:t>
      </w:r>
      <w:r w:rsidR="0040436A" w:rsidRPr="0047017F">
        <w:t>increases in the consumption of fruit juice</w:t>
      </w:r>
      <w:r w:rsidR="005C20D1" w:rsidRPr="0047017F">
        <w:t xml:space="preserve"> in the years following 2016. </w:t>
      </w:r>
      <w:r w:rsidR="0009403C" w:rsidRPr="0047017F">
        <w:t>When</w:t>
      </w:r>
      <w:r w:rsidR="005C20D1" w:rsidRPr="0047017F">
        <w:t xml:space="preserve"> </w:t>
      </w:r>
      <w:r w:rsidR="0009403C" w:rsidRPr="0047017F">
        <w:t xml:space="preserve">applying </w:t>
      </w:r>
      <w:r w:rsidR="005C20D1" w:rsidRPr="0047017F">
        <w:t xml:space="preserve">the climatic concept to the United States, the smoothie industry would be concentrated </w:t>
      </w:r>
      <w:r w:rsidR="00984421" w:rsidRPr="0047017F">
        <w:t xml:space="preserve">mainly </w:t>
      </w:r>
      <w:r w:rsidR="005C20D1" w:rsidRPr="0047017F">
        <w:t xml:space="preserve">in the </w:t>
      </w:r>
      <w:r w:rsidR="00A224B3">
        <w:t>s</w:t>
      </w:r>
      <w:r w:rsidR="005C20D1" w:rsidRPr="0047017F">
        <w:t xml:space="preserve">outheast and </w:t>
      </w:r>
      <w:r w:rsidR="00984421" w:rsidRPr="0047017F">
        <w:t xml:space="preserve">the </w:t>
      </w:r>
      <w:r w:rsidR="00A224B3">
        <w:t>s</w:t>
      </w:r>
      <w:r w:rsidR="00FC5A6E" w:rsidRPr="0047017F">
        <w:t>outhw</w:t>
      </w:r>
      <w:r w:rsidR="005C20D1" w:rsidRPr="0047017F">
        <w:t xml:space="preserve">est. </w:t>
      </w:r>
      <w:r w:rsidR="00A224B3">
        <w:t xml:space="preserve">With </w:t>
      </w:r>
      <w:r w:rsidR="00A224B3" w:rsidRPr="0047017F">
        <w:t>daily weather volatility</w:t>
      </w:r>
      <w:r w:rsidR="00A224B3">
        <w:t>,</w:t>
      </w:r>
      <w:r w:rsidR="00A224B3" w:rsidRPr="0047017F">
        <w:t xml:space="preserve"> </w:t>
      </w:r>
      <w:r w:rsidR="00A224B3">
        <w:t>t</w:t>
      </w:r>
      <w:r w:rsidR="00FC5A6E" w:rsidRPr="0047017F">
        <w:t xml:space="preserve">he climate </w:t>
      </w:r>
      <w:r w:rsidR="005C20D1" w:rsidRPr="0047017F">
        <w:t xml:space="preserve">made the industry highly seasonal. In general, a warmer environment fostered the sale of smoothies. California, Florida, and Texas </w:t>
      </w:r>
      <w:r w:rsidR="00984421" w:rsidRPr="0047017F">
        <w:t>were</w:t>
      </w:r>
      <w:r w:rsidR="005C20D1" w:rsidRPr="0047017F">
        <w:t xml:space="preserve"> the top three regions </w:t>
      </w:r>
      <w:r w:rsidR="00984421" w:rsidRPr="0047017F">
        <w:t xml:space="preserve">in terms </w:t>
      </w:r>
      <w:r w:rsidR="005C20D1" w:rsidRPr="0047017F">
        <w:t xml:space="preserve">of </w:t>
      </w:r>
      <w:r w:rsidR="00984421" w:rsidRPr="0047017F">
        <w:t xml:space="preserve">number of </w:t>
      </w:r>
      <w:r w:rsidR="005C20D1" w:rsidRPr="0047017F">
        <w:t>smoothie industry locations in the U</w:t>
      </w:r>
      <w:r w:rsidR="00984421" w:rsidRPr="0047017F">
        <w:t xml:space="preserve">nited </w:t>
      </w:r>
      <w:r w:rsidR="005C20D1" w:rsidRPr="0047017F">
        <w:t>S</w:t>
      </w:r>
      <w:r w:rsidR="00984421" w:rsidRPr="0047017F">
        <w:t>tates, with 20.1 per cent, 16.1 per cent, and 10.4 per cent of locations, respectively</w:t>
      </w:r>
      <w:r w:rsidR="005C20D1" w:rsidRPr="0047017F">
        <w:t>. In Europe, southern countries featur</w:t>
      </w:r>
      <w:r w:rsidR="00984421" w:rsidRPr="0047017F">
        <w:t>ed</w:t>
      </w:r>
      <w:r w:rsidR="005C20D1" w:rsidRPr="0047017F">
        <w:t xml:space="preserve"> the </w:t>
      </w:r>
      <w:r w:rsidR="00984421" w:rsidRPr="0047017F">
        <w:t xml:space="preserve">ideal </w:t>
      </w:r>
      <w:r w:rsidR="005C20D1" w:rsidRPr="0047017F">
        <w:t>climatic conditions; however, as mentioned</w:t>
      </w:r>
      <w:r w:rsidR="00984421" w:rsidRPr="0047017F">
        <w:t>,</w:t>
      </w:r>
      <w:r w:rsidR="005C20D1" w:rsidRPr="0047017F">
        <w:t xml:space="preserve"> climate </w:t>
      </w:r>
      <w:r w:rsidR="00984421" w:rsidRPr="0047017F">
        <w:t>was</w:t>
      </w:r>
      <w:r w:rsidR="005C20D1" w:rsidRPr="0047017F">
        <w:t xml:space="preserve"> not the only </w:t>
      </w:r>
      <w:r w:rsidR="0009403C" w:rsidRPr="0047017F">
        <w:t xml:space="preserve">factor </w:t>
      </w:r>
      <w:r w:rsidR="005C20D1" w:rsidRPr="0047017F">
        <w:t>determin</w:t>
      </w:r>
      <w:r w:rsidR="00984421" w:rsidRPr="0047017F">
        <w:t>ing</w:t>
      </w:r>
      <w:r w:rsidR="005C20D1" w:rsidRPr="0047017F">
        <w:t xml:space="preserve"> smoothie consumption. </w:t>
      </w:r>
    </w:p>
    <w:p w14:paraId="545E8022" w14:textId="77777777" w:rsidR="005C20D1" w:rsidRPr="0047017F" w:rsidRDefault="005C20D1" w:rsidP="002828BD">
      <w:pPr>
        <w:pStyle w:val="BodyTextMain"/>
      </w:pPr>
    </w:p>
    <w:p w14:paraId="4866794F" w14:textId="77777777" w:rsidR="005C20D1" w:rsidRPr="0047017F" w:rsidRDefault="005C20D1" w:rsidP="002828BD">
      <w:pPr>
        <w:pStyle w:val="BodyTextMain"/>
      </w:pPr>
    </w:p>
    <w:p w14:paraId="1E48A730" w14:textId="77777777" w:rsidR="005C20D1" w:rsidRPr="0047017F" w:rsidRDefault="005C20D1" w:rsidP="00EF240D">
      <w:pPr>
        <w:pStyle w:val="Casehead2"/>
        <w:outlineLvl w:val="0"/>
      </w:pPr>
      <w:r w:rsidRPr="0047017F">
        <w:t>Competition</w:t>
      </w:r>
    </w:p>
    <w:p w14:paraId="6442ADF5" w14:textId="77777777" w:rsidR="005C20D1" w:rsidRPr="0047017F" w:rsidRDefault="005C20D1" w:rsidP="002828BD">
      <w:pPr>
        <w:pStyle w:val="BodyTextMain"/>
      </w:pPr>
    </w:p>
    <w:p w14:paraId="0A2CD9AA" w14:textId="7D3F0356" w:rsidR="006E0B77" w:rsidRDefault="005C20D1" w:rsidP="005C20D1">
      <w:pPr>
        <w:pStyle w:val="BodyTextMain"/>
      </w:pPr>
      <w:r w:rsidRPr="0047017F">
        <w:t xml:space="preserve">The </w:t>
      </w:r>
      <w:r w:rsidR="0009403C" w:rsidRPr="0047017F">
        <w:t xml:space="preserve">existence of </w:t>
      </w:r>
      <w:r w:rsidRPr="0047017F">
        <w:t>thousands of smoothie companies globally w</w:t>
      </w:r>
      <w:r w:rsidR="0009403C" w:rsidRPr="0047017F">
        <w:t>as</w:t>
      </w:r>
      <w:r w:rsidRPr="0047017F">
        <w:t xml:space="preserve"> </w:t>
      </w:r>
      <w:r w:rsidR="00A224B3">
        <w:t>due to</w:t>
      </w:r>
      <w:r w:rsidR="00A224B3" w:rsidRPr="0047017F">
        <w:t xml:space="preserve"> </w:t>
      </w:r>
      <w:r w:rsidRPr="0047017F">
        <w:t xml:space="preserve">low capital intensity in the industry, which decreased switching costs for consumers. Among the largest players were Barfresh Food Group, Bolthouse Farms, Boost Juice Bars, Crush Juice Bars, Freshens, Innocent, Jamba Juice, and Smoothie King. </w:t>
      </w:r>
      <w:r w:rsidRPr="0047017F">
        <w:lastRenderedPageBreak/>
        <w:t>For example, in the U.S. market, the two major players, Jamba Juice (23.6</w:t>
      </w:r>
      <w:r w:rsidR="0009403C" w:rsidRPr="0047017F">
        <w:t xml:space="preserve"> per cent</w:t>
      </w:r>
      <w:r w:rsidR="00FC12A3" w:rsidRPr="0047017F">
        <w:t xml:space="preserve"> market share</w:t>
      </w:r>
      <w:r w:rsidRPr="0047017F">
        <w:t>) and Smoothie King (10.3</w:t>
      </w:r>
      <w:r w:rsidR="0009403C" w:rsidRPr="0047017F">
        <w:t xml:space="preserve"> per cent</w:t>
      </w:r>
      <w:r w:rsidR="00FC12A3" w:rsidRPr="0047017F">
        <w:t xml:space="preserve"> market share</w:t>
      </w:r>
      <w:r w:rsidRPr="0047017F">
        <w:t>)</w:t>
      </w:r>
      <w:r w:rsidR="00C453F1" w:rsidRPr="0047017F">
        <w:t>,</w:t>
      </w:r>
      <w:r w:rsidRPr="0047017F">
        <w:t xml:space="preserve"> made up roughly one</w:t>
      </w:r>
      <w:r w:rsidR="0009403C" w:rsidRPr="0047017F">
        <w:t>-</w:t>
      </w:r>
      <w:r w:rsidRPr="0047017F">
        <w:t>third of the U</w:t>
      </w:r>
      <w:r w:rsidR="0009403C" w:rsidRPr="0047017F">
        <w:t>.</w:t>
      </w:r>
      <w:r w:rsidRPr="0047017F">
        <w:t>S</w:t>
      </w:r>
      <w:r w:rsidR="0009403C" w:rsidRPr="0047017F">
        <w:t>.</w:t>
      </w:r>
      <w:r w:rsidRPr="0047017F">
        <w:t xml:space="preserve"> smoothie industry</w:t>
      </w:r>
      <w:r w:rsidR="003B1949">
        <w:t>.</w:t>
      </w:r>
      <w:r w:rsidR="00C70423">
        <w:rPr>
          <w:rStyle w:val="FootnoteReference"/>
        </w:rPr>
        <w:footnoteReference w:id="14"/>
      </w:r>
    </w:p>
    <w:p w14:paraId="236F4513" w14:textId="77777777" w:rsidR="006E0B77" w:rsidRDefault="006E0B77" w:rsidP="005C20D1">
      <w:pPr>
        <w:pStyle w:val="BodyTextMain"/>
      </w:pPr>
    </w:p>
    <w:p w14:paraId="6D1881D1" w14:textId="62CB25E3" w:rsidR="005C20D1" w:rsidRPr="0047017F" w:rsidRDefault="005C20D1" w:rsidP="005C20D1">
      <w:pPr>
        <w:pStyle w:val="BodyTextMain"/>
      </w:pPr>
      <w:r w:rsidRPr="0047017F">
        <w:t>Jamba Juice was the only publicly traded corporation within the industry. The corporation had over 800 locations worldwide, most of which were franchises. The firm operated two types of stores in the United States: traditional stores, which were located in major urban cent</w:t>
      </w:r>
      <w:r w:rsidR="0009403C" w:rsidRPr="0047017F">
        <w:t>r</w:t>
      </w:r>
      <w:r w:rsidRPr="0047017F">
        <w:t xml:space="preserve">es, and non-traditional stores, which were based within another business or institution. On the other hand, Smoothie King had </w:t>
      </w:r>
      <w:r w:rsidR="0009403C" w:rsidRPr="0047017F">
        <w:t xml:space="preserve">a </w:t>
      </w:r>
      <w:r w:rsidRPr="0047017F">
        <w:t>more international presence, with 100 locations outside the U</w:t>
      </w:r>
      <w:r w:rsidR="0009403C" w:rsidRPr="0047017F">
        <w:t xml:space="preserve">nited </w:t>
      </w:r>
      <w:r w:rsidRPr="0047017F">
        <w:t>S</w:t>
      </w:r>
      <w:r w:rsidR="0009403C" w:rsidRPr="0047017F">
        <w:t>tates</w:t>
      </w:r>
      <w:r w:rsidRPr="0047017F">
        <w:t xml:space="preserve">, </w:t>
      </w:r>
      <w:r w:rsidR="00FC12A3" w:rsidRPr="0047017F">
        <w:t>in addition to the</w:t>
      </w:r>
      <w:r w:rsidRPr="0047017F">
        <w:t xml:space="preserve"> 700 stores </w:t>
      </w:r>
      <w:r w:rsidR="00FC12A3" w:rsidRPr="0047017F">
        <w:t xml:space="preserve">it had </w:t>
      </w:r>
      <w:r w:rsidR="0009403C" w:rsidRPr="0047017F">
        <w:t>with</w:t>
      </w:r>
      <w:r w:rsidRPr="0047017F">
        <w:t>in the U</w:t>
      </w:r>
      <w:r w:rsidR="0009403C" w:rsidRPr="0047017F">
        <w:t xml:space="preserve">nited </w:t>
      </w:r>
      <w:r w:rsidRPr="0047017F">
        <w:t>S</w:t>
      </w:r>
      <w:r w:rsidR="0009403C" w:rsidRPr="0047017F">
        <w:t>tates</w:t>
      </w:r>
      <w:r w:rsidRPr="0047017F">
        <w:t xml:space="preserve">. The company intended to expand </w:t>
      </w:r>
      <w:r w:rsidR="0009403C" w:rsidRPr="0047017F">
        <w:t xml:space="preserve">mainly </w:t>
      </w:r>
      <w:r w:rsidRPr="0047017F">
        <w:t xml:space="preserve">into developing countries within Asia, with the intention </w:t>
      </w:r>
      <w:r w:rsidR="00FC12A3" w:rsidRPr="0047017F">
        <w:t>of</w:t>
      </w:r>
      <w:r w:rsidRPr="0047017F">
        <w:t xml:space="preserve"> us</w:t>
      </w:r>
      <w:r w:rsidR="00FC12A3" w:rsidRPr="0047017F">
        <w:t>ing</w:t>
      </w:r>
      <w:r w:rsidRPr="0047017F">
        <w:t xml:space="preserve"> the</w:t>
      </w:r>
      <w:r w:rsidR="0009403C" w:rsidRPr="0047017F">
        <w:t xml:space="preserve"> growth of the</w:t>
      </w:r>
      <w:r w:rsidRPr="0047017F">
        <w:t>se nations to the company’s advantage. The third</w:t>
      </w:r>
      <w:r w:rsidR="0009403C" w:rsidRPr="0047017F">
        <w:t>-</w:t>
      </w:r>
      <w:r w:rsidRPr="0047017F">
        <w:t xml:space="preserve">largest company was Maui Wowi Hawaiian Coffees </w:t>
      </w:r>
      <w:r w:rsidR="00FC12A3" w:rsidRPr="0047017F">
        <w:t>&amp;</w:t>
      </w:r>
      <w:r w:rsidRPr="0047017F">
        <w:t xml:space="preserve"> Smoothies</w:t>
      </w:r>
      <w:r w:rsidR="0009403C" w:rsidRPr="0047017F">
        <w:t>,</w:t>
      </w:r>
      <w:r w:rsidRPr="0047017F">
        <w:t xml:space="preserve"> with an estimated 3.2</w:t>
      </w:r>
      <w:r w:rsidR="0009403C" w:rsidRPr="0047017F">
        <w:t xml:space="preserve"> per cent</w:t>
      </w:r>
      <w:r w:rsidRPr="0047017F">
        <w:t xml:space="preserve"> market share</w:t>
      </w:r>
      <w:r w:rsidR="0009403C" w:rsidRPr="0047017F">
        <w:t>,</w:t>
      </w:r>
      <w:r w:rsidRPr="0047017F">
        <w:t xml:space="preserve"> followed by Robeks</w:t>
      </w:r>
      <w:r w:rsidR="0009403C" w:rsidRPr="0047017F">
        <w:t>,</w:t>
      </w:r>
      <w:r w:rsidRPr="0047017F">
        <w:t xml:space="preserve"> with an estimated market share of 1.6</w:t>
      </w:r>
      <w:r w:rsidR="0009403C" w:rsidRPr="0047017F">
        <w:t xml:space="preserve"> per cent</w:t>
      </w:r>
      <w:r w:rsidRPr="0047017F">
        <w:t>. The remaining 61.3</w:t>
      </w:r>
      <w:r w:rsidR="0009403C" w:rsidRPr="0047017F">
        <w:t xml:space="preserve"> per cent</w:t>
      </w:r>
      <w:r w:rsidRPr="0047017F">
        <w:t xml:space="preserve"> of the market was shared </w:t>
      </w:r>
      <w:r w:rsidR="0009403C" w:rsidRPr="0047017F">
        <w:t>by</w:t>
      </w:r>
      <w:r w:rsidRPr="0047017F">
        <w:t xml:space="preserve"> smaller players</w:t>
      </w:r>
      <w:r w:rsidR="0009403C" w:rsidRPr="0047017F">
        <w:t>,</w:t>
      </w:r>
      <w:r w:rsidRPr="0047017F">
        <w:t xml:space="preserve"> which suggested a low market concentration</w:t>
      </w:r>
      <w:r w:rsidR="003B1949">
        <w:t>.</w:t>
      </w:r>
      <w:r w:rsidR="00C70423">
        <w:rPr>
          <w:rStyle w:val="FootnoteReference"/>
        </w:rPr>
        <w:footnoteReference w:id="15"/>
      </w:r>
    </w:p>
    <w:p w14:paraId="60392BC1" w14:textId="77777777" w:rsidR="005C20D1" w:rsidRPr="0047017F" w:rsidRDefault="005C20D1" w:rsidP="005C20D1">
      <w:pPr>
        <w:pStyle w:val="BodyTextMain"/>
      </w:pPr>
    </w:p>
    <w:p w14:paraId="0C507CA2" w14:textId="339163CA" w:rsidR="005C20D1" w:rsidRPr="0047017F" w:rsidRDefault="005C20D1" w:rsidP="005C20D1">
      <w:pPr>
        <w:pStyle w:val="BodyTextMain"/>
      </w:pPr>
      <w:r w:rsidRPr="0047017F">
        <w:t>The majority of smoothie stores were independently owned in a local geographic market. There</w:t>
      </w:r>
      <w:r w:rsidR="0009403C" w:rsidRPr="0047017F">
        <w:t>fore</w:t>
      </w:r>
      <w:r w:rsidRPr="0047017F">
        <w:t xml:space="preserve">, a key to success </w:t>
      </w:r>
      <w:r w:rsidR="0009403C" w:rsidRPr="0047017F">
        <w:t xml:space="preserve">for smoothie companies </w:t>
      </w:r>
      <w:r w:rsidRPr="0047017F">
        <w:t xml:space="preserve">was ease of access for the customer. Highly populated areas </w:t>
      </w:r>
      <w:r w:rsidR="000D284D" w:rsidRPr="0047017F">
        <w:t>had</w:t>
      </w:r>
      <w:r w:rsidRPr="0047017F">
        <w:t xml:space="preserve"> the </w:t>
      </w:r>
      <w:r w:rsidR="000D284D" w:rsidRPr="0047017F">
        <w:t>greatest</w:t>
      </w:r>
      <w:r w:rsidRPr="0047017F">
        <w:t xml:space="preserve"> number of customers, as well as the </w:t>
      </w:r>
      <w:r w:rsidR="000D284D" w:rsidRPr="0047017F">
        <w:t>greatest</w:t>
      </w:r>
      <w:r w:rsidRPr="0047017F">
        <w:t xml:space="preserve"> number of new stores</w:t>
      </w:r>
      <w:r w:rsidR="000D284D" w:rsidRPr="0047017F">
        <w:t>,</w:t>
      </w:r>
      <w:r w:rsidRPr="0047017F">
        <w:t xml:space="preserve"> </w:t>
      </w:r>
      <w:r w:rsidR="000D284D" w:rsidRPr="0047017F">
        <w:t>owing</w:t>
      </w:r>
      <w:r w:rsidRPr="0047017F">
        <w:t xml:space="preserve"> to new </w:t>
      </w:r>
      <w:r w:rsidR="00FC12A3" w:rsidRPr="0047017F">
        <w:t xml:space="preserve">trends in </w:t>
      </w:r>
      <w:r w:rsidRPr="0047017F">
        <w:t>healthy lifestyle</w:t>
      </w:r>
      <w:r w:rsidR="00FC12A3" w:rsidRPr="0047017F">
        <w:t>s, such as eating organic foods</w:t>
      </w:r>
      <w:r w:rsidRPr="0047017F">
        <w:t xml:space="preserve">. For a company with limited resources for its own franchise, becoming a franchisee suggested a relatively low risk and </w:t>
      </w:r>
      <w:r w:rsidR="000D284D" w:rsidRPr="0047017F">
        <w:t xml:space="preserve">was an </w:t>
      </w:r>
      <w:r w:rsidRPr="0047017F">
        <w:t xml:space="preserve">easy option to enter markets. Lastly, efficient inventory management was a factor </w:t>
      </w:r>
      <w:r w:rsidR="00AF3DD4" w:rsidRPr="0047017F">
        <w:t>in</w:t>
      </w:r>
      <w:r w:rsidRPr="0047017F">
        <w:t xml:space="preserve"> help</w:t>
      </w:r>
      <w:r w:rsidR="00AF3DD4" w:rsidRPr="0047017F">
        <w:t>ing</w:t>
      </w:r>
      <w:r w:rsidRPr="0047017F">
        <w:t xml:space="preserve"> a smoothie bar stock </w:t>
      </w:r>
      <w:r w:rsidR="00AF3DD4" w:rsidRPr="0047017F">
        <w:t>supplies properly</w:t>
      </w:r>
      <w:r w:rsidRPr="0047017F">
        <w:t xml:space="preserve"> and thereby maximize its margins and revenue. Longevity and loyalty w</w:t>
      </w:r>
      <w:r w:rsidR="00AF3DD4" w:rsidRPr="0047017F">
        <w:t>ere</w:t>
      </w:r>
      <w:r w:rsidRPr="0047017F">
        <w:t xml:space="preserve"> competitive advantage</w:t>
      </w:r>
      <w:r w:rsidR="00AF3DD4" w:rsidRPr="0047017F">
        <w:t>s</w:t>
      </w:r>
      <w:r w:rsidRPr="0047017F">
        <w:t xml:space="preserve"> for the big companies; however, these values did not </w:t>
      </w:r>
      <w:r w:rsidR="00616AF4" w:rsidRPr="0047017F">
        <w:t>have an impact on</w:t>
      </w:r>
      <w:r w:rsidRPr="0047017F">
        <w:t xml:space="preserve"> the competition between local players. Customers were willing to pay higher prices for premium products. </w:t>
      </w:r>
    </w:p>
    <w:p w14:paraId="06CA0D73" w14:textId="77777777" w:rsidR="005C20D1" w:rsidRPr="0047017F" w:rsidRDefault="005C20D1" w:rsidP="005C20D1">
      <w:pPr>
        <w:pStyle w:val="BodyTextMain"/>
      </w:pPr>
    </w:p>
    <w:p w14:paraId="1072A9E8" w14:textId="308AFACE" w:rsidR="005C20D1" w:rsidRPr="0047017F" w:rsidRDefault="005C20D1" w:rsidP="005C20D1">
      <w:pPr>
        <w:pStyle w:val="BodyTextMain"/>
      </w:pPr>
      <w:r w:rsidRPr="0047017F">
        <w:t>Cost structures varied widely among industry players, depending on the number of locations</w:t>
      </w:r>
      <w:r w:rsidR="00AF3DD4" w:rsidRPr="0047017F">
        <w:t xml:space="preserve"> they had</w:t>
      </w:r>
      <w:r w:rsidRPr="0047017F">
        <w:t>, the</w:t>
      </w:r>
      <w:r w:rsidR="00AF3DD4" w:rsidRPr="0047017F">
        <w:t>ir</w:t>
      </w:r>
      <w:r w:rsidRPr="0047017F">
        <w:t xml:space="preserve"> ownership structure, and the number of customers the business location attracted. In general, firms with regular clients tended to be more profitable. A typical cost breakdown </w:t>
      </w:r>
      <w:r w:rsidR="00616AF4" w:rsidRPr="0047017F">
        <w:t>was</w:t>
      </w:r>
      <w:bookmarkStart w:id="1" w:name="_Hlk485968354"/>
      <w:r w:rsidRPr="0047017F">
        <w:t xml:space="preserve"> 38.8</w:t>
      </w:r>
      <w:r w:rsidR="0069186E" w:rsidRPr="0047017F">
        <w:t xml:space="preserve"> per cent</w:t>
      </w:r>
      <w:r w:rsidR="00616AF4" w:rsidRPr="0047017F">
        <w:t>—</w:t>
      </w:r>
      <w:r w:rsidRPr="0047017F">
        <w:t>costs of goods sold</w:t>
      </w:r>
      <w:r w:rsidR="00616AF4" w:rsidRPr="0047017F">
        <w:t>;</w:t>
      </w:r>
      <w:r w:rsidRPr="0047017F">
        <w:t xml:space="preserve"> 23.1</w:t>
      </w:r>
      <w:r w:rsidR="00AF3DD4" w:rsidRPr="0047017F">
        <w:t xml:space="preserve"> per cent</w:t>
      </w:r>
      <w:r w:rsidR="00616AF4" w:rsidRPr="0047017F">
        <w:t>—</w:t>
      </w:r>
      <w:r w:rsidRPr="0047017F">
        <w:t>wages</w:t>
      </w:r>
      <w:bookmarkEnd w:id="1"/>
      <w:r w:rsidR="00616AF4" w:rsidRPr="0047017F">
        <w:t>;</w:t>
      </w:r>
      <w:r w:rsidRPr="0047017F">
        <w:t xml:space="preserve"> 12.5</w:t>
      </w:r>
      <w:r w:rsidR="0069186E" w:rsidRPr="0047017F">
        <w:t xml:space="preserve"> per cent</w:t>
      </w:r>
      <w:r w:rsidR="00616AF4" w:rsidRPr="0047017F">
        <w:t>—</w:t>
      </w:r>
      <w:r w:rsidRPr="0047017F">
        <w:t>rent</w:t>
      </w:r>
      <w:r w:rsidR="00616AF4" w:rsidRPr="0047017F">
        <w:t xml:space="preserve"> and</w:t>
      </w:r>
      <w:r w:rsidRPr="0047017F">
        <w:t xml:space="preserve"> utilities</w:t>
      </w:r>
      <w:r w:rsidR="00616AF4" w:rsidRPr="0047017F">
        <w:t>;</w:t>
      </w:r>
      <w:r w:rsidRPr="0047017F">
        <w:t xml:space="preserve"> and 19</w:t>
      </w:r>
      <w:r w:rsidR="0069186E" w:rsidRPr="0047017F">
        <w:t xml:space="preserve"> per cent</w:t>
      </w:r>
      <w:r w:rsidR="00616AF4" w:rsidRPr="0047017F">
        <w:t>—</w:t>
      </w:r>
      <w:r w:rsidRPr="0047017F">
        <w:t>other costs</w:t>
      </w:r>
      <w:r w:rsidR="00616AF4" w:rsidRPr="0047017F">
        <w:t>,</w:t>
      </w:r>
      <w:r w:rsidRPr="0047017F">
        <w:t xml:space="preserve"> including marketing expenses, depreciation, </w:t>
      </w:r>
      <w:r w:rsidR="00AF3DD4" w:rsidRPr="0047017F">
        <w:t xml:space="preserve">and </w:t>
      </w:r>
      <w:r w:rsidRPr="0047017F">
        <w:t>insurance costs</w:t>
      </w:r>
      <w:r w:rsidR="00AF3DD4" w:rsidRPr="0047017F">
        <w:t>,</w:t>
      </w:r>
      <w:r w:rsidRPr="0047017F">
        <w:t xml:space="preserve"> leaving an estimated 6.6</w:t>
      </w:r>
      <w:r w:rsidR="0069186E" w:rsidRPr="0047017F">
        <w:t xml:space="preserve"> per cent</w:t>
      </w:r>
      <w:r w:rsidRPr="0047017F">
        <w:t xml:space="preserve"> earnings before interest and taxes</w:t>
      </w:r>
      <w:r w:rsidR="00E752AB" w:rsidRPr="0047017F">
        <w:t>.</w:t>
      </w:r>
      <w:r w:rsidRPr="002828BD">
        <w:rPr>
          <w:rStyle w:val="FootnoteReference"/>
        </w:rPr>
        <w:footnoteReference w:id="16"/>
      </w:r>
      <w:r w:rsidRPr="0047017F">
        <w:t xml:space="preserve"> Noteworthy was the fluctuation of fruit and vegetables prices</w:t>
      </w:r>
      <w:r w:rsidR="0069186E" w:rsidRPr="0047017F">
        <w:t>,</w:t>
      </w:r>
      <w:r w:rsidRPr="0047017F">
        <w:t xml:space="preserve"> which could not be passed on to the consumer, </w:t>
      </w:r>
      <w:r w:rsidR="00EF240D">
        <w:t>and</w:t>
      </w:r>
      <w:r w:rsidRPr="0047017F">
        <w:t xml:space="preserve"> waste </w:t>
      </w:r>
      <w:r w:rsidR="00EF240D">
        <w:t>generated as a result of</w:t>
      </w:r>
      <w:r w:rsidRPr="0047017F">
        <w:t xml:space="preserve"> inefficient inventory management. It was</w:t>
      </w:r>
      <w:r w:rsidR="00EF240D">
        <w:t>,</w:t>
      </w:r>
      <w:r w:rsidRPr="0047017F">
        <w:t xml:space="preserve"> there</w:t>
      </w:r>
      <w:r w:rsidR="0069186E" w:rsidRPr="0047017F">
        <w:t>fore</w:t>
      </w:r>
      <w:r w:rsidR="00EF240D">
        <w:t>,</w:t>
      </w:r>
      <w:r w:rsidRPr="0047017F">
        <w:t xml:space="preserve"> essential </w:t>
      </w:r>
      <w:r w:rsidR="00AF3DD4" w:rsidRPr="0047017F">
        <w:t xml:space="preserve">for companies </w:t>
      </w:r>
      <w:r w:rsidRPr="0047017F">
        <w:t>to monitor the</w:t>
      </w:r>
      <w:r w:rsidR="00AF3DD4" w:rsidRPr="0047017F">
        <w:t>ir</w:t>
      </w:r>
      <w:r w:rsidRPr="0047017F">
        <w:t xml:space="preserve"> menu</w:t>
      </w:r>
      <w:r w:rsidR="00AF3DD4" w:rsidRPr="0047017F">
        <w:t>s</w:t>
      </w:r>
      <w:r w:rsidRPr="0047017F">
        <w:t xml:space="preserve"> and other food inputs continuously. Developments in technology enhanced communication with suppliers and enabled </w:t>
      </w:r>
      <w:r w:rsidR="00AF3DD4" w:rsidRPr="0047017F">
        <w:t>greater</w:t>
      </w:r>
      <w:r w:rsidRPr="0047017F">
        <w:t xml:space="preserve"> efficiency in supply chain management. </w:t>
      </w:r>
      <w:r w:rsidR="00AF3DD4" w:rsidRPr="0047017F">
        <w:t>In contrast</w:t>
      </w:r>
      <w:r w:rsidRPr="0047017F">
        <w:t xml:space="preserve"> to </w:t>
      </w:r>
      <w:r w:rsidR="00AF3DD4" w:rsidRPr="0047017F">
        <w:t xml:space="preserve">the </w:t>
      </w:r>
      <w:r w:rsidRPr="0047017F">
        <w:t xml:space="preserve">fluctuation </w:t>
      </w:r>
      <w:r w:rsidR="00AF3DD4" w:rsidRPr="0047017F">
        <w:t xml:space="preserve">in </w:t>
      </w:r>
      <w:r w:rsidRPr="0047017F">
        <w:t>prices for ingredients, price</w:t>
      </w:r>
      <w:r w:rsidR="00AF3DD4" w:rsidRPr="0047017F">
        <w:t>s</w:t>
      </w:r>
      <w:r w:rsidRPr="0047017F">
        <w:t xml:space="preserve"> for packaging materials w</w:t>
      </w:r>
      <w:r w:rsidR="00AF3DD4" w:rsidRPr="0047017F">
        <w:t>ere</w:t>
      </w:r>
      <w:r w:rsidRPr="0047017F">
        <w:t xml:space="preserve"> constant</w:t>
      </w:r>
      <w:r w:rsidR="00EF240D">
        <w:t>;</w:t>
      </w:r>
      <w:r w:rsidRPr="0047017F">
        <w:t xml:space="preserve"> </w:t>
      </w:r>
      <w:r w:rsidR="00AF3DD4" w:rsidRPr="0047017F">
        <w:t>there w</w:t>
      </w:r>
      <w:r w:rsidR="00616AF4" w:rsidRPr="0047017F">
        <w:t>ere</w:t>
      </w:r>
      <w:r w:rsidR="00AF3DD4" w:rsidRPr="0047017F">
        <w:t xml:space="preserve"> a large number of </w:t>
      </w:r>
      <w:r w:rsidRPr="0047017F">
        <w:t xml:space="preserve">suppliers </w:t>
      </w:r>
      <w:r w:rsidR="00AF3DD4" w:rsidRPr="0047017F">
        <w:t xml:space="preserve">and they </w:t>
      </w:r>
      <w:r w:rsidRPr="0047017F">
        <w:t>produced very similar products.</w:t>
      </w:r>
    </w:p>
    <w:p w14:paraId="19ECD471" w14:textId="77777777" w:rsidR="005C20D1" w:rsidRPr="0047017F" w:rsidRDefault="005C20D1" w:rsidP="005C20D1">
      <w:pPr>
        <w:pStyle w:val="BodyTextMain"/>
      </w:pPr>
    </w:p>
    <w:p w14:paraId="2D9EBE81" w14:textId="0F4429A5" w:rsidR="005C20D1" w:rsidRPr="0047017F" w:rsidRDefault="005C20D1" w:rsidP="005C20D1">
      <w:pPr>
        <w:pStyle w:val="BodyTextMain"/>
      </w:pPr>
      <w:r w:rsidRPr="0047017F">
        <w:t xml:space="preserve">The increase in global demand </w:t>
      </w:r>
      <w:r w:rsidR="00AF3DD4" w:rsidRPr="0047017F">
        <w:t>for</w:t>
      </w:r>
      <w:r w:rsidRPr="0047017F">
        <w:t xml:space="preserve"> fresh fruits and vegetables raised </w:t>
      </w:r>
      <w:r w:rsidR="00AF3DD4" w:rsidRPr="0047017F">
        <w:t>smoothie producers’</w:t>
      </w:r>
      <w:r w:rsidRPr="0047017F">
        <w:t xml:space="preserve"> prices, but </w:t>
      </w:r>
      <w:r w:rsidR="00AF3DD4" w:rsidRPr="0047017F">
        <w:t>they</w:t>
      </w:r>
      <w:r w:rsidRPr="0047017F">
        <w:t xml:space="preserve"> managed to slightly increase their margins </w:t>
      </w:r>
      <w:r w:rsidR="00AF3DD4" w:rsidRPr="0047017F">
        <w:t>between 2011 and</w:t>
      </w:r>
      <w:r w:rsidRPr="0047017F">
        <w:t xml:space="preserve"> 2016 </w:t>
      </w:r>
      <w:r w:rsidR="00AF3DD4" w:rsidRPr="0047017F">
        <w:t>by</w:t>
      </w:r>
      <w:r w:rsidRPr="0047017F">
        <w:t xml:space="preserve"> about 6.6</w:t>
      </w:r>
      <w:r w:rsidR="00AF3DD4" w:rsidRPr="0047017F">
        <w:t xml:space="preserve"> per cent</w:t>
      </w:r>
      <w:r w:rsidR="003B1949">
        <w:t>.</w:t>
      </w:r>
      <w:r w:rsidR="00C70423">
        <w:rPr>
          <w:rStyle w:val="FootnoteReference"/>
        </w:rPr>
        <w:footnoteReference w:id="17"/>
      </w:r>
      <w:r w:rsidRPr="0047017F">
        <w:t xml:space="preserve"> Nevertheless, consumers were likely to substitute the high-cost product for low-cost drinks, or ma</w:t>
      </w:r>
      <w:r w:rsidR="00AF3DD4" w:rsidRPr="0047017F">
        <w:t>k</w:t>
      </w:r>
      <w:r w:rsidRPr="0047017F">
        <w:t xml:space="preserve">e their own smoothies </w:t>
      </w:r>
      <w:r w:rsidR="00EF240D">
        <w:t>when</w:t>
      </w:r>
      <w:r w:rsidRPr="0047017F">
        <w:t xml:space="preserve"> the price increased too much. </w:t>
      </w:r>
      <w:r w:rsidR="00616AF4" w:rsidRPr="0047017F">
        <w:t>An</w:t>
      </w:r>
      <w:r w:rsidRPr="0047017F">
        <w:t xml:space="preserve"> increase in external competition</w:t>
      </w:r>
      <w:r w:rsidR="00EF240D">
        <w:t>—from</w:t>
      </w:r>
      <w:r w:rsidRPr="0047017F">
        <w:t xml:space="preserve"> retailers </w:t>
      </w:r>
      <w:r w:rsidR="00AF3DD4" w:rsidRPr="0047017F">
        <w:t>and</w:t>
      </w:r>
      <w:r w:rsidRPr="0047017F">
        <w:t xml:space="preserve"> coffee shops</w:t>
      </w:r>
      <w:r w:rsidR="00EF240D">
        <w:t>, for example—</w:t>
      </w:r>
      <w:r w:rsidRPr="0047017F">
        <w:t xml:space="preserve">added a tremendous threat </w:t>
      </w:r>
      <w:r w:rsidR="00FC5A6E" w:rsidRPr="0047017F">
        <w:t xml:space="preserve">of new entrants to </w:t>
      </w:r>
      <w:r w:rsidRPr="0047017F">
        <w:t xml:space="preserve">the smoothie industry. Not only did cold-pressed juices become more popular because of their </w:t>
      </w:r>
      <w:r w:rsidR="00B17E60" w:rsidRPr="0047017F">
        <w:t>longer</w:t>
      </w:r>
      <w:r w:rsidRPr="0047017F">
        <w:t xml:space="preserve"> shelf lives, but </w:t>
      </w:r>
      <w:bookmarkStart w:id="2" w:name="_Hlk485921854"/>
      <w:r w:rsidRPr="0047017F">
        <w:t>Starbucks</w:t>
      </w:r>
      <w:r w:rsidR="00AF3DD4" w:rsidRPr="0047017F">
        <w:t xml:space="preserve"> Corporation</w:t>
      </w:r>
      <w:r w:rsidRPr="0047017F">
        <w:t xml:space="preserve"> </w:t>
      </w:r>
      <w:r w:rsidR="00AF3DD4" w:rsidRPr="0047017F">
        <w:t xml:space="preserve">also </w:t>
      </w:r>
      <w:r w:rsidRPr="0047017F">
        <w:t>entered th</w:t>
      </w:r>
      <w:r w:rsidR="00AF3DD4" w:rsidRPr="0047017F">
        <w:t>e</w:t>
      </w:r>
      <w:r w:rsidRPr="0047017F">
        <w:t xml:space="preserve"> market</w:t>
      </w:r>
      <w:r w:rsidR="00B17E60" w:rsidRPr="0047017F">
        <w:t>,</w:t>
      </w:r>
      <w:r w:rsidRPr="0047017F">
        <w:t xml:space="preserve"> </w:t>
      </w:r>
      <w:r w:rsidR="00B17E60" w:rsidRPr="0047017F">
        <w:t>beginning</w:t>
      </w:r>
      <w:r w:rsidRPr="0047017F">
        <w:t xml:space="preserve"> with </w:t>
      </w:r>
      <w:r w:rsidR="00B17E60" w:rsidRPr="0047017F">
        <w:t>its</w:t>
      </w:r>
      <w:r w:rsidRPr="0047017F">
        <w:t xml:space="preserve"> acquisition of Evolution Fresh for $30 million in 2011</w:t>
      </w:r>
      <w:r w:rsidR="003B1949">
        <w:t>.</w:t>
      </w:r>
      <w:r w:rsidR="00C70423">
        <w:rPr>
          <w:rStyle w:val="FootnoteReference"/>
        </w:rPr>
        <w:footnoteReference w:id="18"/>
      </w:r>
      <w:r w:rsidRPr="0047017F">
        <w:t xml:space="preserve"> </w:t>
      </w:r>
    </w:p>
    <w:bookmarkEnd w:id="2"/>
    <w:p w14:paraId="021454E3" w14:textId="7017DD1E" w:rsidR="005C20D1" w:rsidRPr="0047017F" w:rsidRDefault="005C20D1" w:rsidP="005C20D1">
      <w:pPr>
        <w:pStyle w:val="BodyTextMain"/>
      </w:pPr>
      <w:r w:rsidRPr="0047017F">
        <w:lastRenderedPageBreak/>
        <w:t xml:space="preserve">Globally, franchising had been the major source of expansion for leading </w:t>
      </w:r>
      <w:r w:rsidR="00B17E60" w:rsidRPr="0047017F">
        <w:t xml:space="preserve">smoothie </w:t>
      </w:r>
      <w:r w:rsidRPr="0047017F">
        <w:t xml:space="preserve">companies. </w:t>
      </w:r>
      <w:r w:rsidR="00B17E60" w:rsidRPr="0047017F">
        <w:t xml:space="preserve">A </w:t>
      </w:r>
      <w:r w:rsidRPr="0047017F">
        <w:t xml:space="preserve">company’s networks provided special assistance </w:t>
      </w:r>
      <w:r w:rsidR="00B17E60" w:rsidRPr="0047017F">
        <w:t>based on</w:t>
      </w:r>
      <w:r w:rsidRPr="0047017F">
        <w:t xml:space="preserve"> the franchisee</w:t>
      </w:r>
      <w:r w:rsidR="00EF240D">
        <w:t>’</w:t>
      </w:r>
      <w:r w:rsidRPr="0047017F">
        <w:t>s location</w:t>
      </w:r>
      <w:r w:rsidR="00616AF4" w:rsidRPr="0047017F">
        <w:t>;</w:t>
      </w:r>
      <w:r w:rsidRPr="0047017F">
        <w:t xml:space="preserve"> </w:t>
      </w:r>
      <w:r w:rsidR="00616AF4" w:rsidRPr="0047017F">
        <w:t>f</w:t>
      </w:r>
      <w:r w:rsidRPr="0047017F">
        <w:t>or example, stores located in close proximity to fitness cent</w:t>
      </w:r>
      <w:r w:rsidR="00B17E60" w:rsidRPr="0047017F">
        <w:t>r</w:t>
      </w:r>
      <w:r w:rsidRPr="0047017F">
        <w:t xml:space="preserve">es </w:t>
      </w:r>
      <w:r w:rsidR="00616AF4" w:rsidRPr="0047017F">
        <w:t>c</w:t>
      </w:r>
      <w:r w:rsidRPr="0047017F">
        <w:t xml:space="preserve">ould adapt their products by adding healthy options </w:t>
      </w:r>
      <w:r w:rsidR="00B17E60" w:rsidRPr="0047017F">
        <w:t>containing</w:t>
      </w:r>
      <w:r w:rsidRPr="0047017F">
        <w:t xml:space="preserve"> protein supplements. </w:t>
      </w:r>
      <w:r w:rsidR="00616AF4" w:rsidRPr="0047017F">
        <w:t>This made it</w:t>
      </w:r>
      <w:r w:rsidRPr="0047017F">
        <w:t xml:space="preserve"> easier </w:t>
      </w:r>
      <w:r w:rsidR="00B17E60" w:rsidRPr="0047017F">
        <w:t xml:space="preserve">for companies </w:t>
      </w:r>
      <w:r w:rsidRPr="0047017F">
        <w:t xml:space="preserve">to expand into new venues such as grocery stores, colleges, airports, and many other locations. Local stores were expected to face </w:t>
      </w:r>
      <w:r w:rsidR="00B17E60" w:rsidRPr="0047017F">
        <w:t>increased</w:t>
      </w:r>
      <w:r w:rsidRPr="0047017F">
        <w:t xml:space="preserve"> competition from major players</w:t>
      </w:r>
      <w:r w:rsidR="00B17E60" w:rsidRPr="0047017F">
        <w:t xml:space="preserve"> in the smoothie industry</w:t>
      </w:r>
      <w:r w:rsidRPr="0047017F">
        <w:t xml:space="preserve"> due to the</w:t>
      </w:r>
      <w:r w:rsidR="00B17E60" w:rsidRPr="0047017F">
        <w:t xml:space="preserve"> latter’s</w:t>
      </w:r>
      <w:r w:rsidRPr="0047017F">
        <w:t xml:space="preserve"> supply chain advantages in minimizing costs. </w:t>
      </w:r>
    </w:p>
    <w:p w14:paraId="6109351F" w14:textId="77777777" w:rsidR="005C20D1" w:rsidRPr="0047017F" w:rsidRDefault="005C20D1" w:rsidP="002828BD">
      <w:pPr>
        <w:pStyle w:val="BodyTextMain"/>
      </w:pPr>
    </w:p>
    <w:p w14:paraId="3947C9FF" w14:textId="77777777" w:rsidR="005C20D1" w:rsidRPr="0047017F" w:rsidRDefault="005C20D1" w:rsidP="002828BD">
      <w:pPr>
        <w:pStyle w:val="BodyTextMain"/>
      </w:pPr>
    </w:p>
    <w:p w14:paraId="121CFD0D" w14:textId="77777777" w:rsidR="005C20D1" w:rsidRPr="0047017F" w:rsidRDefault="005C20D1" w:rsidP="00EF240D">
      <w:pPr>
        <w:pStyle w:val="Casehead2"/>
        <w:keepNext/>
        <w:outlineLvl w:val="0"/>
      </w:pPr>
      <w:r w:rsidRPr="0047017F">
        <w:t>Future Trends</w:t>
      </w:r>
    </w:p>
    <w:p w14:paraId="7D24A526" w14:textId="77777777" w:rsidR="005C20D1" w:rsidRPr="0047017F" w:rsidRDefault="005C20D1" w:rsidP="002828BD">
      <w:pPr>
        <w:pStyle w:val="BodyTextMain"/>
      </w:pPr>
    </w:p>
    <w:p w14:paraId="46E73DA6" w14:textId="3240C4F5" w:rsidR="00EF240D" w:rsidRDefault="00B17E60" w:rsidP="002828BD">
      <w:pPr>
        <w:pStyle w:val="BodyTextMain"/>
      </w:pPr>
      <w:r w:rsidRPr="0047017F">
        <w:t>I</w:t>
      </w:r>
      <w:r w:rsidR="005C20D1" w:rsidRPr="0047017F">
        <w:t>ndustry analysis suggested that juices and smoothies with high sugar content w</w:t>
      </w:r>
      <w:r w:rsidR="002A6C1E" w:rsidRPr="0047017F">
        <w:t>ould</w:t>
      </w:r>
      <w:r w:rsidR="005C20D1" w:rsidRPr="0047017F">
        <w:t xml:space="preserve"> become less favo</w:t>
      </w:r>
      <w:r w:rsidRPr="0047017F">
        <w:t>u</w:t>
      </w:r>
      <w:r w:rsidR="005C20D1" w:rsidRPr="0047017F">
        <w:t>rable</w:t>
      </w:r>
      <w:r w:rsidRPr="0047017F">
        <w:t xml:space="preserve"> to consumers</w:t>
      </w:r>
      <w:r w:rsidR="005C20D1" w:rsidRPr="0047017F">
        <w:t xml:space="preserve">. For example, </w:t>
      </w:r>
      <w:r w:rsidRPr="0047017F">
        <w:t>o</w:t>
      </w:r>
      <w:r w:rsidR="005C20D1" w:rsidRPr="0047017F">
        <w:t xml:space="preserve">range juice and lemonade </w:t>
      </w:r>
      <w:r w:rsidR="00EF240D">
        <w:t>had seen</w:t>
      </w:r>
      <w:r w:rsidR="005C20D1" w:rsidRPr="0047017F">
        <w:t xml:space="preserve"> decreases</w:t>
      </w:r>
      <w:r w:rsidR="00FC5A6E" w:rsidRPr="0047017F">
        <w:t xml:space="preserve"> in consumption</w:t>
      </w:r>
      <w:r w:rsidR="005C20D1" w:rsidRPr="0047017F">
        <w:t xml:space="preserve"> in recent years due to </w:t>
      </w:r>
      <w:r w:rsidR="002A6C1E" w:rsidRPr="0047017F">
        <w:t xml:space="preserve">consumers’ </w:t>
      </w:r>
      <w:r w:rsidR="005C20D1" w:rsidRPr="0047017F">
        <w:t xml:space="preserve">increased health consciousness and </w:t>
      </w:r>
      <w:r w:rsidR="002A6C1E" w:rsidRPr="0047017F">
        <w:t xml:space="preserve">awareness of </w:t>
      </w:r>
      <w:r w:rsidR="005C20D1" w:rsidRPr="0047017F">
        <w:t xml:space="preserve">childhood obesity. </w:t>
      </w:r>
      <w:r w:rsidR="00F96285" w:rsidRPr="0047017F">
        <w:t>Companies producing e</w:t>
      </w:r>
      <w:r w:rsidR="005C20D1" w:rsidRPr="0047017F">
        <w:t>xotic drinks and smoothies benefited</w:t>
      </w:r>
      <w:r w:rsidR="002749A8" w:rsidRPr="0047017F">
        <w:t xml:space="preserve"> from this</w:t>
      </w:r>
      <w:r w:rsidR="002A6C1E" w:rsidRPr="0047017F">
        <w:t>,</w:t>
      </w:r>
      <w:r w:rsidR="005C20D1" w:rsidRPr="0047017F">
        <w:t xml:space="preserve"> </w:t>
      </w:r>
      <w:r w:rsidR="00C453F1" w:rsidRPr="0047017F">
        <w:t>a</w:t>
      </w:r>
      <w:r w:rsidR="002A6C1E" w:rsidRPr="0047017F">
        <w:t>nd it</w:t>
      </w:r>
      <w:r w:rsidR="005C20D1" w:rsidRPr="0047017F">
        <w:t xml:space="preserve"> sparked a new subcategory, namely cold</w:t>
      </w:r>
      <w:r w:rsidR="00EF240D">
        <w:t>-</w:t>
      </w:r>
      <w:r w:rsidR="005C20D1" w:rsidRPr="0047017F">
        <w:t xml:space="preserve">pressed juice. This niche segment used technology that yielded a higher nutritional content without </w:t>
      </w:r>
      <w:r w:rsidR="00C453F1" w:rsidRPr="0047017F">
        <w:t xml:space="preserve">the addition of </w:t>
      </w:r>
      <w:r w:rsidR="005C20D1" w:rsidRPr="0047017F">
        <w:t xml:space="preserve">any supplemental products. </w:t>
      </w:r>
      <w:r w:rsidR="00EF240D">
        <w:t>Because</w:t>
      </w:r>
      <w:r w:rsidR="00EF240D" w:rsidRPr="0047017F">
        <w:t xml:space="preserve"> </w:t>
      </w:r>
      <w:r w:rsidR="005C20D1" w:rsidRPr="0047017F">
        <w:t xml:space="preserve">a higher quality of fruit was </w:t>
      </w:r>
      <w:r w:rsidR="00EF240D">
        <w:t>needed</w:t>
      </w:r>
      <w:r w:rsidR="00EF240D" w:rsidRPr="0047017F">
        <w:t xml:space="preserve"> </w:t>
      </w:r>
      <w:r w:rsidR="00C453F1" w:rsidRPr="0047017F">
        <w:t>for cold</w:t>
      </w:r>
      <w:r w:rsidR="00EF240D">
        <w:t>-</w:t>
      </w:r>
      <w:r w:rsidR="00C453F1" w:rsidRPr="0047017F">
        <w:t>pressed juice</w:t>
      </w:r>
      <w:r w:rsidR="005C20D1" w:rsidRPr="0047017F">
        <w:t xml:space="preserve">, </w:t>
      </w:r>
      <w:r w:rsidR="00EF240D">
        <w:t>the demand</w:t>
      </w:r>
      <w:r w:rsidR="00EF240D" w:rsidRPr="0047017F">
        <w:t xml:space="preserve"> </w:t>
      </w:r>
      <w:r w:rsidR="005C20D1" w:rsidRPr="0047017F">
        <w:t xml:space="preserve">was expected to lead to an increase in the price of fruits in the next few years. </w:t>
      </w:r>
    </w:p>
    <w:p w14:paraId="7654471F" w14:textId="77777777" w:rsidR="00EF240D" w:rsidRDefault="00EF240D" w:rsidP="002828BD">
      <w:pPr>
        <w:pStyle w:val="BodyTextMain"/>
      </w:pPr>
    </w:p>
    <w:p w14:paraId="01E0A350" w14:textId="79D0C9DC" w:rsidR="005C20D1" w:rsidRPr="0047017F" w:rsidRDefault="00EF240D" w:rsidP="002828BD">
      <w:pPr>
        <w:pStyle w:val="BodyTextMain"/>
      </w:pPr>
      <w:r>
        <w:t>N</w:t>
      </w:r>
      <w:r w:rsidR="005C20D1" w:rsidRPr="0047017F">
        <w:t>on-</w:t>
      </w:r>
      <w:r w:rsidR="00C453F1" w:rsidRPr="0047017F">
        <w:t>genetically modified organisms</w:t>
      </w:r>
      <w:r w:rsidR="005C20D1" w:rsidRPr="0047017F">
        <w:t>, high-fib</w:t>
      </w:r>
      <w:r w:rsidR="00C453F1" w:rsidRPr="0047017F">
        <w:t>r</w:t>
      </w:r>
      <w:r w:rsidR="005C20D1" w:rsidRPr="0047017F">
        <w:t xml:space="preserve">e, and organic smoothies </w:t>
      </w:r>
      <w:r w:rsidR="00C453F1" w:rsidRPr="0047017F">
        <w:t xml:space="preserve">had </w:t>
      </w:r>
      <w:r w:rsidR="005C20D1" w:rsidRPr="0047017F">
        <w:t xml:space="preserve">increased in popularity during recent years and were projected to </w:t>
      </w:r>
      <w:r w:rsidR="00C453F1" w:rsidRPr="0047017F">
        <w:t xml:space="preserve">continue </w:t>
      </w:r>
      <w:r w:rsidR="005C20D1" w:rsidRPr="0047017F">
        <w:t>do</w:t>
      </w:r>
      <w:r w:rsidR="00C453F1" w:rsidRPr="0047017F">
        <w:t>ing</w:t>
      </w:r>
      <w:r w:rsidR="005C20D1" w:rsidRPr="0047017F">
        <w:t xml:space="preserve"> so in the future</w:t>
      </w:r>
      <w:r w:rsidR="00C453F1" w:rsidRPr="0047017F">
        <w:t>.</w:t>
      </w:r>
      <w:r w:rsidR="005C20D1" w:rsidRPr="002828BD">
        <w:rPr>
          <w:rStyle w:val="FootnoteReference"/>
        </w:rPr>
        <w:footnoteReference w:id="19"/>
      </w:r>
      <w:r w:rsidR="005C20D1" w:rsidRPr="0047017F">
        <w:t xml:space="preserve"> </w:t>
      </w:r>
      <w:r w:rsidR="00C453F1" w:rsidRPr="0047017F">
        <w:t>S</w:t>
      </w:r>
      <w:r w:rsidR="005C20D1" w:rsidRPr="0047017F">
        <w:t xml:space="preserve">moothie industry projections could be taken </w:t>
      </w:r>
      <w:r w:rsidR="00616AF4" w:rsidRPr="0047017F">
        <w:t xml:space="preserve">even </w:t>
      </w:r>
      <w:r w:rsidR="00C453F1" w:rsidRPr="0047017F">
        <w:t>a</w:t>
      </w:r>
      <w:r w:rsidR="005C20D1" w:rsidRPr="0047017F">
        <w:t xml:space="preserve"> step further: green juices were </w:t>
      </w:r>
      <w:r w:rsidR="00C453F1" w:rsidRPr="0047017F">
        <w:t xml:space="preserve">being </w:t>
      </w:r>
      <w:r w:rsidR="005C20D1" w:rsidRPr="0047017F">
        <w:t xml:space="preserve">used as a </w:t>
      </w:r>
      <w:r w:rsidR="00C453F1" w:rsidRPr="0047017F">
        <w:t>meal</w:t>
      </w:r>
      <w:r w:rsidR="005C20D1" w:rsidRPr="0047017F">
        <w:t xml:space="preserve"> replacement and </w:t>
      </w:r>
      <w:r w:rsidR="00C453F1" w:rsidRPr="0047017F">
        <w:t xml:space="preserve">for </w:t>
      </w:r>
      <w:r w:rsidR="005C20D1" w:rsidRPr="0047017F">
        <w:t>cleansing diet</w:t>
      </w:r>
      <w:r w:rsidR="00C453F1" w:rsidRPr="0047017F">
        <w:t>s, and</w:t>
      </w:r>
      <w:r w:rsidR="005C20D1" w:rsidRPr="0047017F">
        <w:t xml:space="preserve"> </w:t>
      </w:r>
      <w:r w:rsidR="00C453F1" w:rsidRPr="0047017F">
        <w:t>it was expected that m</w:t>
      </w:r>
      <w:r w:rsidR="005C20D1" w:rsidRPr="0047017F">
        <w:t xml:space="preserve">any smoothie producers </w:t>
      </w:r>
      <w:r w:rsidR="00C453F1" w:rsidRPr="0047017F">
        <w:t xml:space="preserve">would capitalize </w:t>
      </w:r>
      <w:r w:rsidR="005C20D1" w:rsidRPr="0047017F">
        <w:t>on this trend in developed markets, offer</w:t>
      </w:r>
      <w:r w:rsidR="00C453F1" w:rsidRPr="0047017F">
        <w:t>ing</w:t>
      </w:r>
      <w:r w:rsidR="005C20D1" w:rsidRPr="0047017F">
        <w:t xml:space="preserve"> smoothie bowls as a substitute for ice cream </w:t>
      </w:r>
      <w:r w:rsidR="00C453F1" w:rsidRPr="0047017F">
        <w:t>or</w:t>
      </w:r>
      <w:r w:rsidR="005C20D1" w:rsidRPr="0047017F">
        <w:t xml:space="preserve"> breakfast cereals. This </w:t>
      </w:r>
      <w:r w:rsidR="00C453F1" w:rsidRPr="0047017F">
        <w:t xml:space="preserve">trend </w:t>
      </w:r>
      <w:r w:rsidR="005C20D1" w:rsidRPr="0047017F">
        <w:t>could potentially open a</w:t>
      </w:r>
      <w:r w:rsidR="00C453F1" w:rsidRPr="0047017F">
        <w:t>n entirely</w:t>
      </w:r>
      <w:r w:rsidR="005C20D1" w:rsidRPr="0047017F">
        <w:t xml:space="preserve"> new market</w:t>
      </w:r>
      <w:r w:rsidR="00C453F1" w:rsidRPr="0047017F">
        <w:t>,</w:t>
      </w:r>
      <w:r w:rsidR="005C20D1" w:rsidRPr="0047017F">
        <w:t xml:space="preserve"> and </w:t>
      </w:r>
      <w:r w:rsidR="00C453F1" w:rsidRPr="0047017F">
        <w:t xml:space="preserve">it </w:t>
      </w:r>
      <w:r w:rsidR="005C20D1" w:rsidRPr="0047017F">
        <w:t xml:space="preserve">had shown tremendous future expansion potential. </w:t>
      </w:r>
    </w:p>
    <w:p w14:paraId="21E5D4F5" w14:textId="77777777" w:rsidR="005C20D1" w:rsidRPr="0047017F" w:rsidRDefault="005C20D1" w:rsidP="005C20D1">
      <w:pPr>
        <w:jc w:val="both"/>
        <w:rPr>
          <w:rFonts w:ascii="Times" w:hAnsi="Times"/>
        </w:rPr>
      </w:pPr>
    </w:p>
    <w:p w14:paraId="1CF4BDCA" w14:textId="77777777" w:rsidR="00256509" w:rsidRPr="0047017F" w:rsidRDefault="00256509" w:rsidP="00836CB3">
      <w:pPr>
        <w:pStyle w:val="BodyTextMain"/>
      </w:pPr>
    </w:p>
    <w:p w14:paraId="4D07BC58" w14:textId="29C224A8" w:rsidR="005C20D1" w:rsidRPr="0047017F" w:rsidRDefault="005C20D1" w:rsidP="00EF240D">
      <w:pPr>
        <w:pStyle w:val="Casehead2"/>
        <w:outlineLvl w:val="0"/>
      </w:pPr>
      <w:r w:rsidRPr="0047017F">
        <w:t>WHERE TO GO NEXT</w:t>
      </w:r>
    </w:p>
    <w:p w14:paraId="3CD1574F" w14:textId="77777777" w:rsidR="005C20D1" w:rsidRPr="0047017F" w:rsidRDefault="005C20D1" w:rsidP="005C20D1">
      <w:pPr>
        <w:pStyle w:val="BodyTextMain"/>
      </w:pPr>
    </w:p>
    <w:p w14:paraId="460F3549" w14:textId="35F3FCCD" w:rsidR="005C20D1" w:rsidRPr="0047017F" w:rsidRDefault="005C20D1" w:rsidP="005C20D1">
      <w:pPr>
        <w:pStyle w:val="BodyTextMain"/>
      </w:pPr>
      <w:r w:rsidRPr="0047017F">
        <w:t xml:space="preserve">Against this background, </w:t>
      </w:r>
      <w:r w:rsidR="00D90696" w:rsidRPr="0047017F">
        <w:t>Knauf</w:t>
      </w:r>
      <w:r w:rsidRPr="0047017F">
        <w:t xml:space="preserve">, Koster, and Lecloux </w:t>
      </w:r>
      <w:r w:rsidR="00232A47">
        <w:t xml:space="preserve">moved forward with their plans for international expansion and </w:t>
      </w:r>
      <w:r w:rsidRPr="0047017F">
        <w:t>hired Daniel Aminati Bilzerian,</w:t>
      </w:r>
      <w:r w:rsidRPr="0047017F">
        <w:rPr>
          <w:i/>
        </w:rPr>
        <w:t xml:space="preserve"> </w:t>
      </w:r>
      <w:r w:rsidRPr="0047017F">
        <w:t xml:space="preserve">a young and enthusiastic </w:t>
      </w:r>
      <w:r w:rsidR="00CF1E57" w:rsidRPr="0047017F">
        <w:t>s</w:t>
      </w:r>
      <w:r w:rsidRPr="0047017F">
        <w:t xml:space="preserve">trategic </w:t>
      </w:r>
      <w:r w:rsidR="00CF1E57" w:rsidRPr="0047017F">
        <w:t>m</w:t>
      </w:r>
      <w:r w:rsidRPr="0047017F">
        <w:t>anager, in the second quarter of 2017</w:t>
      </w:r>
      <w:r w:rsidR="00CF1E57" w:rsidRPr="0047017F">
        <w:t>.</w:t>
      </w:r>
      <w:r w:rsidRPr="0047017F">
        <w:t xml:space="preserve"> </w:t>
      </w:r>
      <w:r w:rsidR="00EF240D">
        <w:t>Bilzerian</w:t>
      </w:r>
      <w:r w:rsidR="00EF240D" w:rsidRPr="0047017F">
        <w:t xml:space="preserve"> </w:t>
      </w:r>
      <w:r w:rsidRPr="0047017F">
        <w:t>was placed in</w:t>
      </w:r>
      <w:bookmarkStart w:id="3" w:name="_GoBack"/>
      <w:bookmarkEnd w:id="3"/>
      <w:r w:rsidRPr="0047017F">
        <w:t xml:space="preserve"> charge of international expansion under the supervision of Lecloux. Due to increasing competition and rising fruit prices in Germany, </w:t>
      </w:r>
      <w:r w:rsidR="00CF1E57" w:rsidRPr="0047017F">
        <w:t>Bilzerian’s</w:t>
      </w:r>
      <w:r w:rsidRPr="0047017F">
        <w:t xml:space="preserve"> task was to conduct an analysis for growing </w:t>
      </w:r>
      <w:r w:rsidR="00DA5729" w:rsidRPr="0047017F">
        <w:t xml:space="preserve">True Fruits </w:t>
      </w:r>
      <w:r w:rsidRPr="0047017F">
        <w:t>internationally</w:t>
      </w:r>
      <w:r w:rsidR="00CF1E57" w:rsidRPr="0047017F">
        <w:t>, which</w:t>
      </w:r>
      <w:r w:rsidRPr="0047017F">
        <w:t xml:space="preserve"> </w:t>
      </w:r>
      <w:r w:rsidR="00CF1E57" w:rsidRPr="0047017F">
        <w:t>h</w:t>
      </w:r>
      <w:r w:rsidRPr="0047017F">
        <w:t xml:space="preserve">e was asked to prepare for the next board meeting. </w:t>
      </w:r>
      <w:r w:rsidR="00862DF5">
        <w:t>Of a short list of 32</w:t>
      </w:r>
      <w:r w:rsidR="00B04592">
        <w:t xml:space="preserve"> potential markets, h</w:t>
      </w:r>
      <w:r w:rsidR="00CF1E57" w:rsidRPr="0047017F">
        <w:t>e had</w:t>
      </w:r>
      <w:r w:rsidRPr="0047017F">
        <w:t xml:space="preserve"> to identify the top three countries </w:t>
      </w:r>
      <w:r w:rsidR="00CF1E57" w:rsidRPr="0047017F">
        <w:t xml:space="preserve">where </w:t>
      </w:r>
      <w:r w:rsidRPr="0047017F">
        <w:t xml:space="preserve">the company should expand next (see </w:t>
      </w:r>
      <w:r w:rsidR="00CF1E57" w:rsidRPr="0047017F">
        <w:t>E</w:t>
      </w:r>
      <w:r w:rsidRPr="0047017F">
        <w:t xml:space="preserve">xhibit 8). Using the correct factors </w:t>
      </w:r>
      <w:r w:rsidR="00CF1E57" w:rsidRPr="0047017F">
        <w:t xml:space="preserve">to identify these countries </w:t>
      </w:r>
      <w:r w:rsidRPr="0047017F">
        <w:t xml:space="preserve">was critical, but </w:t>
      </w:r>
      <w:r w:rsidR="00CF1E57" w:rsidRPr="0047017F">
        <w:t xml:space="preserve">Bilzerian had to consider </w:t>
      </w:r>
      <w:r w:rsidRPr="0047017F">
        <w:t>another question</w:t>
      </w:r>
      <w:r w:rsidR="00CF1E57" w:rsidRPr="0047017F">
        <w:t>:</w:t>
      </w:r>
      <w:r w:rsidRPr="0047017F" w:rsidDel="006D6977">
        <w:t xml:space="preserve"> </w:t>
      </w:r>
      <w:r w:rsidR="00CF1E57" w:rsidRPr="0047017F">
        <w:t>Was</w:t>
      </w:r>
      <w:r w:rsidRPr="0047017F">
        <w:t xml:space="preserve"> direct exporting </w:t>
      </w:r>
      <w:r w:rsidR="00CF1E57" w:rsidRPr="0047017F">
        <w:t>the</w:t>
      </w:r>
      <w:r w:rsidRPr="0047017F">
        <w:t xml:space="preserve"> most efficient international mode of entry </w:t>
      </w:r>
      <w:r w:rsidR="00CF1E57" w:rsidRPr="0047017F">
        <w:t xml:space="preserve">for True Fruits, </w:t>
      </w:r>
      <w:r w:rsidRPr="0047017F">
        <w:t>or should the company consider using other methods such as licensing, franchising, joint ventures</w:t>
      </w:r>
      <w:r w:rsidR="00CF1E57" w:rsidRPr="0047017F">
        <w:t>,</w:t>
      </w:r>
      <w:r w:rsidRPr="0047017F">
        <w:t xml:space="preserve"> or company-owned stores in certain markets? </w:t>
      </w:r>
    </w:p>
    <w:p w14:paraId="507C0537" w14:textId="77777777" w:rsidR="005C20D1" w:rsidRPr="0047017F" w:rsidRDefault="005C20D1" w:rsidP="002828BD">
      <w:pPr>
        <w:pStyle w:val="BodyTextMain"/>
      </w:pPr>
      <w:r w:rsidRPr="0047017F">
        <w:br w:type="page"/>
      </w:r>
    </w:p>
    <w:p w14:paraId="40E0E4B3" w14:textId="77777777" w:rsidR="005C20D1" w:rsidRPr="0047017F" w:rsidRDefault="005C20D1" w:rsidP="00EF240D">
      <w:pPr>
        <w:pStyle w:val="ExhibitHeading"/>
        <w:outlineLvl w:val="0"/>
      </w:pPr>
      <w:r w:rsidRPr="0047017F">
        <w:lastRenderedPageBreak/>
        <w:t>EXHIBIT 1: COMPANY LOGO</w:t>
      </w:r>
    </w:p>
    <w:p w14:paraId="0EB27914" w14:textId="77777777" w:rsidR="005C20D1" w:rsidRPr="0047017F" w:rsidRDefault="005C20D1" w:rsidP="002828BD">
      <w:pPr>
        <w:pStyle w:val="ExhibitText"/>
      </w:pPr>
    </w:p>
    <w:p w14:paraId="6FDBA3C4" w14:textId="77777777" w:rsidR="005C20D1" w:rsidRPr="0047017F" w:rsidRDefault="005C20D1" w:rsidP="002828BD">
      <w:pPr>
        <w:pStyle w:val="ExhibitText"/>
        <w:jc w:val="center"/>
      </w:pPr>
      <w:r w:rsidRPr="0047017F">
        <w:rPr>
          <w:noProof/>
          <w:lang w:val="en-US"/>
        </w:rPr>
        <w:drawing>
          <wp:inline distT="0" distB="0" distL="0" distR="0" wp14:anchorId="13043935" wp14:editId="2413608D">
            <wp:extent cx="5581650" cy="1049655"/>
            <wp:effectExtent l="0" t="0" r="0" b="0"/>
            <wp:docPr id="4" name="Grafik 4" descr="T:\Geschäftsbereich Marketing-PR\Presse\Bildmaterial Presse\true frui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Geschäftsbereich Marketing-PR\Presse\Bildmaterial Presse\true fruit 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81650" cy="1049655"/>
                    </a:xfrm>
                    <a:prstGeom prst="rect">
                      <a:avLst/>
                    </a:prstGeom>
                    <a:noFill/>
                    <a:ln>
                      <a:noFill/>
                    </a:ln>
                  </pic:spPr>
                </pic:pic>
              </a:graphicData>
            </a:graphic>
          </wp:inline>
        </w:drawing>
      </w:r>
    </w:p>
    <w:p w14:paraId="58269C8C" w14:textId="77777777" w:rsidR="005C20D1" w:rsidRPr="0047017F" w:rsidRDefault="005C20D1" w:rsidP="002828BD">
      <w:pPr>
        <w:pStyle w:val="ExhibitText"/>
      </w:pPr>
    </w:p>
    <w:p w14:paraId="5C509AEC" w14:textId="153A3F3F" w:rsidR="005C20D1" w:rsidRPr="0047017F" w:rsidRDefault="005C20D1" w:rsidP="00EF240D">
      <w:pPr>
        <w:pStyle w:val="Footnote"/>
        <w:outlineLvl w:val="0"/>
      </w:pPr>
      <w:r w:rsidRPr="0047017F">
        <w:t xml:space="preserve">Source: </w:t>
      </w:r>
      <w:r w:rsidR="002B53B8" w:rsidRPr="0047017F">
        <w:t>Company documents</w:t>
      </w:r>
      <w:r w:rsidR="00256509" w:rsidRPr="0047017F">
        <w:t>.</w:t>
      </w:r>
    </w:p>
    <w:p w14:paraId="1B543770" w14:textId="77777777" w:rsidR="005C20D1" w:rsidRPr="0047017F" w:rsidRDefault="005C20D1" w:rsidP="002828BD">
      <w:pPr>
        <w:pStyle w:val="ExhibitText"/>
      </w:pPr>
    </w:p>
    <w:p w14:paraId="08DF8627" w14:textId="77777777" w:rsidR="005C20D1" w:rsidRPr="0047017F" w:rsidRDefault="005C20D1" w:rsidP="002828BD">
      <w:pPr>
        <w:pStyle w:val="ExhibitText"/>
      </w:pPr>
    </w:p>
    <w:p w14:paraId="56582CD2" w14:textId="35709C82" w:rsidR="00746F20" w:rsidRPr="0047017F" w:rsidRDefault="005C20D1" w:rsidP="00362AE6">
      <w:pPr>
        <w:pStyle w:val="ExhibitHeading"/>
        <w:outlineLvl w:val="0"/>
      </w:pPr>
      <w:r w:rsidRPr="0047017F">
        <w:t>EXHIBIT 2: UPCYCLING EXAMPLES</w:t>
      </w:r>
    </w:p>
    <w:p w14:paraId="299BD8FC" w14:textId="77777777" w:rsidR="005C20D1" w:rsidRPr="0047017F" w:rsidRDefault="005C20D1" w:rsidP="002828BD">
      <w:pPr>
        <w:pStyle w:val="ExhibitText"/>
        <w:jc w:val="center"/>
      </w:pPr>
      <w:r w:rsidRPr="0047017F">
        <w:rPr>
          <w:noProof/>
          <w:lang w:val="en-US"/>
        </w:rPr>
        <w:drawing>
          <wp:inline distT="0" distB="0" distL="0" distR="0" wp14:anchorId="166BC0D7" wp14:editId="06769872">
            <wp:extent cx="5971430" cy="2559385"/>
            <wp:effectExtent l="0" t="0" r="0" b="0"/>
            <wp:docPr id="1" name="Grafik 1" descr="T:\Geschäftsbereich Marketing-PR\Presse\Bildmaterial Presse\Upcycling\true fruits_Upcycling_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Geschäftsbereich Marketing-PR\Presse\Bildmaterial Presse\Upcycling\true fruits_Upcycling_line.jpg"/>
                    <pic:cNvPicPr>
                      <a:picLocks noChangeAspect="1" noChangeArrowheads="1"/>
                    </pic:cNvPicPr>
                  </pic:nvPicPr>
                  <pic:blipFill>
                    <a:blip r:embed="rId10" cstate="print">
                      <a:grayscl/>
                      <a:extLst>
                        <a:ext uri="{28A0092B-C50C-407E-A947-70E740481C1C}">
                          <a14:useLocalDpi xmlns:a14="http://schemas.microsoft.com/office/drawing/2010/main" val="0"/>
                        </a:ext>
                      </a:extLst>
                    </a:blip>
                    <a:srcRect/>
                    <a:stretch>
                      <a:fillRect/>
                    </a:stretch>
                  </pic:blipFill>
                  <pic:spPr bwMode="auto">
                    <a:xfrm>
                      <a:off x="0" y="0"/>
                      <a:ext cx="5971246" cy="2559306"/>
                    </a:xfrm>
                    <a:prstGeom prst="rect">
                      <a:avLst/>
                    </a:prstGeom>
                    <a:noFill/>
                    <a:ln>
                      <a:noFill/>
                    </a:ln>
                  </pic:spPr>
                </pic:pic>
              </a:graphicData>
            </a:graphic>
          </wp:inline>
        </w:drawing>
      </w:r>
    </w:p>
    <w:p w14:paraId="42126276" w14:textId="77777777" w:rsidR="00746F20" w:rsidRDefault="00746F20" w:rsidP="002828BD">
      <w:pPr>
        <w:pStyle w:val="ExhibitText"/>
      </w:pPr>
    </w:p>
    <w:p w14:paraId="612ACFBD" w14:textId="340D4F5C" w:rsidR="00256509" w:rsidRPr="0047017F" w:rsidRDefault="00256509" w:rsidP="00EF240D">
      <w:pPr>
        <w:pStyle w:val="Footnote"/>
        <w:outlineLvl w:val="0"/>
      </w:pPr>
      <w:r w:rsidRPr="0047017F">
        <w:t xml:space="preserve">Source: </w:t>
      </w:r>
      <w:r w:rsidR="002B53B8" w:rsidRPr="0047017F">
        <w:t>Company documents.</w:t>
      </w:r>
    </w:p>
    <w:p w14:paraId="5F9ED6CA" w14:textId="77777777" w:rsidR="005C20D1" w:rsidRPr="0047017F" w:rsidRDefault="005C20D1" w:rsidP="002828BD">
      <w:pPr>
        <w:pStyle w:val="ExhibitText"/>
        <w:rPr>
          <w:noProof/>
        </w:rPr>
      </w:pPr>
    </w:p>
    <w:p w14:paraId="6BA2DC78" w14:textId="77777777" w:rsidR="005C20D1" w:rsidRPr="0047017F" w:rsidRDefault="005C20D1" w:rsidP="002828BD">
      <w:pPr>
        <w:pStyle w:val="ExhibitText"/>
        <w:rPr>
          <w:sz w:val="22"/>
          <w:szCs w:val="22"/>
        </w:rPr>
      </w:pPr>
      <w:r w:rsidRPr="0047017F">
        <w:br w:type="page"/>
      </w:r>
    </w:p>
    <w:p w14:paraId="61F0E6AC" w14:textId="7DAA5E46" w:rsidR="005C20D1" w:rsidRPr="0047017F" w:rsidRDefault="005C20D1" w:rsidP="00EF240D">
      <w:pPr>
        <w:pStyle w:val="ExhibitHeading"/>
        <w:outlineLvl w:val="0"/>
        <w:rPr>
          <w:noProof/>
        </w:rPr>
      </w:pPr>
      <w:r w:rsidRPr="0047017F">
        <w:rPr>
          <w:noProof/>
        </w:rPr>
        <w:lastRenderedPageBreak/>
        <w:t xml:space="preserve">EXHIBIT 3: </w:t>
      </w:r>
      <w:r w:rsidR="002B53B8" w:rsidRPr="0047017F">
        <w:rPr>
          <w:noProof/>
        </w:rPr>
        <w:t>true fruits</w:t>
      </w:r>
      <w:r w:rsidRPr="0047017F">
        <w:rPr>
          <w:noProof/>
        </w:rPr>
        <w:t xml:space="preserve"> BILLBOARD CAMPAIGN</w:t>
      </w:r>
    </w:p>
    <w:p w14:paraId="71CE30B8" w14:textId="77777777" w:rsidR="005C20D1" w:rsidRPr="0047017F" w:rsidRDefault="005C20D1" w:rsidP="002828BD">
      <w:pPr>
        <w:pStyle w:val="ExhibitText"/>
      </w:pPr>
    </w:p>
    <w:p w14:paraId="0E2FF3B0" w14:textId="37A79E64" w:rsidR="005C20D1" w:rsidRPr="0047017F" w:rsidRDefault="005C20D1" w:rsidP="002828BD">
      <w:pPr>
        <w:pStyle w:val="ExhibitText"/>
        <w:jc w:val="center"/>
      </w:pPr>
      <w:r w:rsidRPr="0047017F">
        <w:rPr>
          <w:noProof/>
          <w:lang w:val="en-US"/>
        </w:rPr>
        <w:drawing>
          <wp:inline distT="0" distB="0" distL="0" distR="0" wp14:anchorId="2D9F239D" wp14:editId="396AE2F6">
            <wp:extent cx="5398770" cy="3552092"/>
            <wp:effectExtent l="0" t="0" r="0" b="0"/>
            <wp:docPr id="9" name="Grafik 9" descr="T:\Geschäftsbereich Marketing-PR\Presse\Bildmaterial Presse\Chia-Kampagne\Chia-Kampagn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Geschäftsbereich Marketing-PR\Presse\Bildmaterial Presse\Chia-Kampagne\Chia-Kampagne_2.jpg"/>
                    <pic:cNvPicPr>
                      <a:picLocks noChangeAspect="1" noChangeArrowheads="1"/>
                    </pic:cNvPicPr>
                  </pic:nvPicPr>
                  <pic:blipFill rotWithShape="1">
                    <a:blip r:embed="rId11" cstate="print">
                      <a:grayscl/>
                      <a:extLst>
                        <a:ext uri="{28A0092B-C50C-407E-A947-70E740481C1C}">
                          <a14:useLocalDpi xmlns:a14="http://schemas.microsoft.com/office/drawing/2010/main" val="0"/>
                        </a:ext>
                      </a:extLst>
                    </a:blip>
                    <a:srcRect b="7125"/>
                    <a:stretch/>
                  </pic:blipFill>
                  <pic:spPr bwMode="auto">
                    <a:xfrm>
                      <a:off x="0" y="0"/>
                      <a:ext cx="5398770" cy="3552092"/>
                    </a:xfrm>
                    <a:prstGeom prst="rect">
                      <a:avLst/>
                    </a:prstGeom>
                    <a:noFill/>
                    <a:ln>
                      <a:noFill/>
                    </a:ln>
                    <a:extLst>
                      <a:ext uri="{53640926-AAD7-44D8-BBD7-CCE9431645EC}">
                        <a14:shadowObscured xmlns:a14="http://schemas.microsoft.com/office/drawing/2010/main"/>
                      </a:ext>
                    </a:extLst>
                  </pic:spPr>
                </pic:pic>
              </a:graphicData>
            </a:graphic>
          </wp:inline>
        </w:drawing>
      </w:r>
    </w:p>
    <w:p w14:paraId="3C310A48" w14:textId="08335552" w:rsidR="00746F20" w:rsidRDefault="000635D2" w:rsidP="003B1949">
      <w:pPr>
        <w:pStyle w:val="Footnote"/>
      </w:pPr>
      <w:r>
        <w:t>English translation: “Oral consumption- you won’t get a faster semen pleasure”</w:t>
      </w:r>
    </w:p>
    <w:p w14:paraId="3DDF6143" w14:textId="04AAEC8F" w:rsidR="00256509" w:rsidRPr="0047017F" w:rsidRDefault="00256509" w:rsidP="00EF240D">
      <w:pPr>
        <w:pStyle w:val="Footnote"/>
        <w:outlineLvl w:val="0"/>
      </w:pPr>
      <w:r w:rsidRPr="0047017F">
        <w:t xml:space="preserve">Source: </w:t>
      </w:r>
      <w:r w:rsidR="002B53B8" w:rsidRPr="0047017F">
        <w:t>Company documents</w:t>
      </w:r>
      <w:r w:rsidRPr="0047017F">
        <w:t>.</w:t>
      </w:r>
    </w:p>
    <w:p w14:paraId="1F5DC174" w14:textId="2C41E179" w:rsidR="00D90696" w:rsidRPr="0047017F" w:rsidRDefault="00D90696" w:rsidP="002828BD">
      <w:pPr>
        <w:pStyle w:val="ExhibitText"/>
      </w:pPr>
    </w:p>
    <w:p w14:paraId="574A034C" w14:textId="77777777" w:rsidR="00F03469" w:rsidRPr="0047017F" w:rsidRDefault="00F03469" w:rsidP="002828BD">
      <w:pPr>
        <w:pStyle w:val="ExhibitText"/>
      </w:pPr>
    </w:p>
    <w:p w14:paraId="6AD3450C" w14:textId="77777777" w:rsidR="005C20D1" w:rsidRPr="0047017F" w:rsidRDefault="005C20D1" w:rsidP="00EF240D">
      <w:pPr>
        <w:pStyle w:val="ExhibitHeading"/>
        <w:outlineLvl w:val="0"/>
      </w:pPr>
      <w:r w:rsidRPr="0047017F">
        <w:t>EXHIBIT 4: TRUE FRUITS INTERNATIONALIZATION</w:t>
      </w:r>
    </w:p>
    <w:p w14:paraId="460CC942" w14:textId="77777777" w:rsidR="005C20D1" w:rsidRPr="0047017F" w:rsidRDefault="005C20D1" w:rsidP="002828BD">
      <w:pPr>
        <w:pStyle w:val="ExhibitText"/>
      </w:pPr>
    </w:p>
    <w:tbl>
      <w:tblPr>
        <w:tblW w:w="6300" w:type="dxa"/>
        <w:jc w:val="center"/>
        <w:tblLook w:val="04A0" w:firstRow="1" w:lastRow="0" w:firstColumn="1" w:lastColumn="0" w:noHBand="0" w:noVBand="1"/>
      </w:tblPr>
      <w:tblGrid>
        <w:gridCol w:w="2260"/>
        <w:gridCol w:w="1700"/>
        <w:gridCol w:w="2340"/>
      </w:tblGrid>
      <w:tr w:rsidR="005C20D1" w:rsidRPr="0047017F" w14:paraId="73BBE400" w14:textId="77777777" w:rsidTr="000C1C95">
        <w:trPr>
          <w:trHeight w:val="310"/>
          <w:jc w:val="center"/>
        </w:trPr>
        <w:tc>
          <w:tcPr>
            <w:tcW w:w="2260" w:type="dxa"/>
            <w:tcBorders>
              <w:bottom w:val="single" w:sz="4" w:space="0" w:color="auto"/>
            </w:tcBorders>
            <w:shd w:val="clear" w:color="000000" w:fill="FFFFFF"/>
            <w:noWrap/>
            <w:vAlign w:val="center"/>
            <w:hideMark/>
          </w:tcPr>
          <w:p w14:paraId="7391B207" w14:textId="77777777" w:rsidR="005C20D1" w:rsidRPr="0047017F" w:rsidRDefault="005C20D1" w:rsidP="005C20D1">
            <w:pPr>
              <w:pStyle w:val="ExhibitText"/>
            </w:pPr>
            <w:r w:rsidRPr="0047017F">
              <w:t>Country</w:t>
            </w:r>
          </w:p>
        </w:tc>
        <w:tc>
          <w:tcPr>
            <w:tcW w:w="1700" w:type="dxa"/>
            <w:tcBorders>
              <w:bottom w:val="single" w:sz="4" w:space="0" w:color="auto"/>
            </w:tcBorders>
            <w:shd w:val="clear" w:color="000000" w:fill="FFFFFF"/>
            <w:noWrap/>
            <w:vAlign w:val="center"/>
            <w:hideMark/>
          </w:tcPr>
          <w:p w14:paraId="3767BA91" w14:textId="19F82579" w:rsidR="005C20D1" w:rsidRPr="0047017F" w:rsidRDefault="002B53B8" w:rsidP="005C20D1">
            <w:pPr>
              <w:pStyle w:val="ExhibitText"/>
            </w:pPr>
            <w:r w:rsidRPr="0047017F">
              <w:t xml:space="preserve">         </w:t>
            </w:r>
            <w:r w:rsidR="005C20D1" w:rsidRPr="0047017F">
              <w:t>Year</w:t>
            </w:r>
          </w:p>
        </w:tc>
        <w:tc>
          <w:tcPr>
            <w:tcW w:w="2340" w:type="dxa"/>
            <w:tcBorders>
              <w:bottom w:val="single" w:sz="4" w:space="0" w:color="auto"/>
            </w:tcBorders>
            <w:shd w:val="clear" w:color="000000" w:fill="FFFFFF"/>
            <w:noWrap/>
            <w:vAlign w:val="center"/>
            <w:hideMark/>
          </w:tcPr>
          <w:p w14:paraId="216D289D" w14:textId="4E32368D" w:rsidR="005C20D1" w:rsidRPr="0047017F" w:rsidRDefault="002B53B8" w:rsidP="002B53B8">
            <w:pPr>
              <w:pStyle w:val="ExhibitText"/>
              <w:rPr>
                <w:spacing w:val="-2"/>
              </w:rPr>
            </w:pPr>
            <w:r w:rsidRPr="0047017F">
              <w:rPr>
                <w:spacing w:val="-2"/>
              </w:rPr>
              <w:t>R</w:t>
            </w:r>
            <w:r w:rsidR="005C20D1" w:rsidRPr="0047017F">
              <w:rPr>
                <w:spacing w:val="-2"/>
              </w:rPr>
              <w:t xml:space="preserve">evenue </w:t>
            </w:r>
            <w:r w:rsidRPr="0047017F">
              <w:rPr>
                <w:spacing w:val="-2"/>
              </w:rPr>
              <w:t>G</w:t>
            </w:r>
            <w:r w:rsidR="005C20D1" w:rsidRPr="0047017F">
              <w:rPr>
                <w:spacing w:val="-2"/>
              </w:rPr>
              <w:t>enerated</w:t>
            </w:r>
            <w:r w:rsidRPr="0047017F">
              <w:rPr>
                <w:spacing w:val="-2"/>
              </w:rPr>
              <w:t xml:space="preserve"> (%)</w:t>
            </w:r>
          </w:p>
        </w:tc>
      </w:tr>
      <w:tr w:rsidR="005C20D1" w:rsidRPr="0047017F" w14:paraId="02DF487C" w14:textId="77777777" w:rsidTr="000C1C95">
        <w:trPr>
          <w:trHeight w:val="320"/>
          <w:jc w:val="center"/>
        </w:trPr>
        <w:tc>
          <w:tcPr>
            <w:tcW w:w="2260" w:type="dxa"/>
            <w:tcBorders>
              <w:top w:val="single" w:sz="4" w:space="0" w:color="auto"/>
            </w:tcBorders>
            <w:shd w:val="clear" w:color="000000" w:fill="FFFFFF"/>
            <w:noWrap/>
            <w:vAlign w:val="center"/>
            <w:hideMark/>
          </w:tcPr>
          <w:p w14:paraId="0A26D375" w14:textId="77777777" w:rsidR="005C20D1" w:rsidRPr="0047017F" w:rsidRDefault="005C20D1" w:rsidP="005C20D1">
            <w:pPr>
              <w:pStyle w:val="ExhibitText"/>
            </w:pPr>
            <w:r w:rsidRPr="0047017F">
              <w:t>Germany</w:t>
            </w:r>
          </w:p>
        </w:tc>
        <w:tc>
          <w:tcPr>
            <w:tcW w:w="1700" w:type="dxa"/>
            <w:tcBorders>
              <w:top w:val="single" w:sz="4" w:space="0" w:color="auto"/>
            </w:tcBorders>
            <w:shd w:val="clear" w:color="000000" w:fill="FFFFFF"/>
            <w:noWrap/>
            <w:vAlign w:val="center"/>
            <w:hideMark/>
          </w:tcPr>
          <w:p w14:paraId="0E8AE1EF" w14:textId="77777777" w:rsidR="005C20D1" w:rsidRPr="0047017F" w:rsidRDefault="005C20D1" w:rsidP="005C20D1">
            <w:pPr>
              <w:pStyle w:val="ExhibitText"/>
              <w:jc w:val="center"/>
            </w:pPr>
            <w:r w:rsidRPr="0047017F">
              <w:t>2006</w:t>
            </w:r>
          </w:p>
        </w:tc>
        <w:tc>
          <w:tcPr>
            <w:tcW w:w="2340" w:type="dxa"/>
            <w:tcBorders>
              <w:top w:val="single" w:sz="4" w:space="0" w:color="auto"/>
            </w:tcBorders>
            <w:shd w:val="clear" w:color="000000" w:fill="FFFFFF"/>
            <w:noWrap/>
            <w:vAlign w:val="center"/>
            <w:hideMark/>
          </w:tcPr>
          <w:p w14:paraId="010A4AAC" w14:textId="77777777" w:rsidR="005C20D1" w:rsidRPr="0047017F" w:rsidRDefault="005C20D1" w:rsidP="005C20D1">
            <w:pPr>
              <w:pStyle w:val="ExhibitText"/>
              <w:jc w:val="center"/>
            </w:pPr>
            <w:r w:rsidRPr="0047017F">
              <w:t>97</w:t>
            </w:r>
          </w:p>
        </w:tc>
      </w:tr>
      <w:tr w:rsidR="005C20D1" w:rsidRPr="0047017F" w14:paraId="40DB1673" w14:textId="77777777" w:rsidTr="000C1C95">
        <w:trPr>
          <w:trHeight w:val="320"/>
          <w:jc w:val="center"/>
        </w:trPr>
        <w:tc>
          <w:tcPr>
            <w:tcW w:w="2260" w:type="dxa"/>
            <w:shd w:val="clear" w:color="000000" w:fill="FFFFFF"/>
            <w:noWrap/>
            <w:vAlign w:val="center"/>
            <w:hideMark/>
          </w:tcPr>
          <w:p w14:paraId="4AEC5FAA" w14:textId="77777777" w:rsidR="005C20D1" w:rsidRPr="0047017F" w:rsidRDefault="005C20D1" w:rsidP="005C20D1">
            <w:pPr>
              <w:pStyle w:val="ExhibitText"/>
            </w:pPr>
            <w:r w:rsidRPr="0047017F">
              <w:t>Austria</w:t>
            </w:r>
          </w:p>
        </w:tc>
        <w:tc>
          <w:tcPr>
            <w:tcW w:w="1700" w:type="dxa"/>
            <w:shd w:val="clear" w:color="000000" w:fill="FFFFFF"/>
            <w:noWrap/>
            <w:vAlign w:val="center"/>
            <w:hideMark/>
          </w:tcPr>
          <w:p w14:paraId="691EDEF2" w14:textId="77777777" w:rsidR="005C20D1" w:rsidRPr="0047017F" w:rsidRDefault="005C20D1" w:rsidP="005C20D1">
            <w:pPr>
              <w:pStyle w:val="ExhibitText"/>
              <w:jc w:val="center"/>
            </w:pPr>
            <w:r w:rsidRPr="0047017F">
              <w:t>2008</w:t>
            </w:r>
          </w:p>
        </w:tc>
        <w:tc>
          <w:tcPr>
            <w:tcW w:w="2340" w:type="dxa"/>
            <w:shd w:val="clear" w:color="000000" w:fill="FFFFFF"/>
            <w:noWrap/>
            <w:vAlign w:val="center"/>
            <w:hideMark/>
          </w:tcPr>
          <w:p w14:paraId="605BE7DE" w14:textId="77777777" w:rsidR="005C20D1" w:rsidRPr="0047017F" w:rsidRDefault="005C20D1" w:rsidP="005C20D1">
            <w:pPr>
              <w:pStyle w:val="ExhibitText"/>
              <w:jc w:val="center"/>
            </w:pPr>
            <w:r w:rsidRPr="0047017F">
              <w:t>2</w:t>
            </w:r>
          </w:p>
        </w:tc>
      </w:tr>
      <w:tr w:rsidR="005C20D1" w:rsidRPr="0047017F" w14:paraId="54C9E396" w14:textId="77777777" w:rsidTr="000C1C95">
        <w:trPr>
          <w:trHeight w:val="320"/>
          <w:jc w:val="center"/>
        </w:trPr>
        <w:tc>
          <w:tcPr>
            <w:tcW w:w="2260" w:type="dxa"/>
            <w:shd w:val="clear" w:color="000000" w:fill="FFFFFF"/>
            <w:noWrap/>
            <w:vAlign w:val="center"/>
            <w:hideMark/>
          </w:tcPr>
          <w:p w14:paraId="2FF91BB6" w14:textId="77777777" w:rsidR="005C20D1" w:rsidRPr="0047017F" w:rsidRDefault="005C20D1" w:rsidP="005C20D1">
            <w:pPr>
              <w:pStyle w:val="ExhibitText"/>
            </w:pPr>
            <w:r w:rsidRPr="0047017F">
              <w:t>Switzerland</w:t>
            </w:r>
          </w:p>
        </w:tc>
        <w:tc>
          <w:tcPr>
            <w:tcW w:w="1700" w:type="dxa"/>
            <w:shd w:val="clear" w:color="000000" w:fill="FFFFFF"/>
            <w:noWrap/>
            <w:vAlign w:val="center"/>
            <w:hideMark/>
          </w:tcPr>
          <w:p w14:paraId="02A8D81B" w14:textId="77777777" w:rsidR="005C20D1" w:rsidRPr="0047017F" w:rsidRDefault="005C20D1" w:rsidP="005C20D1">
            <w:pPr>
              <w:pStyle w:val="ExhibitText"/>
              <w:jc w:val="center"/>
            </w:pPr>
            <w:r w:rsidRPr="0047017F">
              <w:t>2016</w:t>
            </w:r>
          </w:p>
        </w:tc>
        <w:tc>
          <w:tcPr>
            <w:tcW w:w="2340" w:type="dxa"/>
            <w:shd w:val="clear" w:color="000000" w:fill="FFFFFF"/>
            <w:noWrap/>
            <w:vAlign w:val="center"/>
            <w:hideMark/>
          </w:tcPr>
          <w:p w14:paraId="2277461F" w14:textId="77777777" w:rsidR="005C20D1" w:rsidRPr="0047017F" w:rsidRDefault="005C20D1" w:rsidP="005C20D1">
            <w:pPr>
              <w:pStyle w:val="ExhibitText"/>
              <w:jc w:val="center"/>
            </w:pPr>
            <w:r w:rsidRPr="0047017F">
              <w:t>1</w:t>
            </w:r>
          </w:p>
        </w:tc>
      </w:tr>
      <w:tr w:rsidR="005C20D1" w:rsidRPr="0047017F" w14:paraId="628DAD4F" w14:textId="77777777" w:rsidTr="000C1C95">
        <w:trPr>
          <w:trHeight w:val="320"/>
          <w:jc w:val="center"/>
        </w:trPr>
        <w:tc>
          <w:tcPr>
            <w:tcW w:w="2260" w:type="dxa"/>
            <w:tcBorders>
              <w:top w:val="single" w:sz="4" w:space="0" w:color="auto"/>
            </w:tcBorders>
            <w:shd w:val="clear" w:color="000000" w:fill="FFFFFF"/>
            <w:noWrap/>
            <w:vAlign w:val="center"/>
            <w:hideMark/>
          </w:tcPr>
          <w:p w14:paraId="602CD78B" w14:textId="77777777" w:rsidR="005C20D1" w:rsidRPr="0047017F" w:rsidRDefault="005C20D1" w:rsidP="005C20D1">
            <w:pPr>
              <w:pStyle w:val="ExhibitText"/>
            </w:pPr>
            <w:r w:rsidRPr="0047017F">
              <w:t>Total</w:t>
            </w:r>
          </w:p>
        </w:tc>
        <w:tc>
          <w:tcPr>
            <w:tcW w:w="1700" w:type="dxa"/>
            <w:tcBorders>
              <w:top w:val="single" w:sz="4" w:space="0" w:color="auto"/>
            </w:tcBorders>
            <w:shd w:val="clear" w:color="000000" w:fill="FFFFFF"/>
            <w:noWrap/>
            <w:vAlign w:val="center"/>
            <w:hideMark/>
          </w:tcPr>
          <w:p w14:paraId="3355D879" w14:textId="77777777" w:rsidR="005C20D1" w:rsidRPr="0047017F" w:rsidRDefault="005C20D1" w:rsidP="005C20D1">
            <w:pPr>
              <w:pStyle w:val="ExhibitText"/>
              <w:jc w:val="center"/>
            </w:pPr>
          </w:p>
        </w:tc>
        <w:tc>
          <w:tcPr>
            <w:tcW w:w="2340" w:type="dxa"/>
            <w:tcBorders>
              <w:top w:val="single" w:sz="4" w:space="0" w:color="auto"/>
            </w:tcBorders>
            <w:shd w:val="clear" w:color="000000" w:fill="FFFFFF"/>
            <w:noWrap/>
            <w:vAlign w:val="center"/>
            <w:hideMark/>
          </w:tcPr>
          <w:p w14:paraId="7F5E5FC9" w14:textId="77777777" w:rsidR="005C20D1" w:rsidRPr="0047017F" w:rsidRDefault="005C20D1" w:rsidP="005C20D1">
            <w:pPr>
              <w:pStyle w:val="ExhibitText"/>
              <w:jc w:val="center"/>
            </w:pPr>
            <w:r w:rsidRPr="0047017F">
              <w:t>100</w:t>
            </w:r>
          </w:p>
        </w:tc>
      </w:tr>
    </w:tbl>
    <w:p w14:paraId="703EA350" w14:textId="77777777" w:rsidR="005C20D1" w:rsidRPr="0047017F" w:rsidRDefault="005C20D1" w:rsidP="002828BD">
      <w:pPr>
        <w:pStyle w:val="ExhibitText"/>
      </w:pPr>
    </w:p>
    <w:p w14:paraId="58762A6C" w14:textId="617DD02C" w:rsidR="00256509" w:rsidRPr="0047017F" w:rsidRDefault="00256509" w:rsidP="00836CB3">
      <w:pPr>
        <w:pStyle w:val="Footnote"/>
      </w:pPr>
      <w:r w:rsidRPr="0047017F">
        <w:t xml:space="preserve">Source: </w:t>
      </w:r>
      <w:r w:rsidR="002B53B8" w:rsidRPr="0047017F">
        <w:t>Company documents</w:t>
      </w:r>
      <w:r w:rsidRPr="0047017F">
        <w:t>.</w:t>
      </w:r>
    </w:p>
    <w:p w14:paraId="210DB6C4" w14:textId="2D3A3065" w:rsidR="00F03469" w:rsidRPr="0047017F" w:rsidRDefault="00F03469" w:rsidP="002828BD">
      <w:pPr>
        <w:pStyle w:val="ExhibitText"/>
      </w:pPr>
      <w:r w:rsidRPr="0047017F">
        <w:br w:type="page"/>
      </w:r>
    </w:p>
    <w:p w14:paraId="17A75915" w14:textId="77777777" w:rsidR="005C20D1" w:rsidRPr="0047017F" w:rsidRDefault="005C20D1" w:rsidP="00EF240D">
      <w:pPr>
        <w:pStyle w:val="ExhibitHeading"/>
        <w:outlineLvl w:val="0"/>
      </w:pPr>
      <w:r w:rsidRPr="0047017F">
        <w:lastRenderedPageBreak/>
        <w:t>EXHIBIT 5: PRODUCT LINE EXAMPLES WITH INGREDIENTS</w:t>
      </w:r>
    </w:p>
    <w:p w14:paraId="0A1129FD" w14:textId="77777777" w:rsidR="005C20D1" w:rsidRPr="0047017F" w:rsidRDefault="005C20D1" w:rsidP="002828BD">
      <w:pPr>
        <w:pStyle w:val="ExhibitText"/>
      </w:pPr>
    </w:p>
    <w:p w14:paraId="4F847A98" w14:textId="77777777" w:rsidR="005C20D1" w:rsidRPr="0047017F" w:rsidRDefault="005C20D1" w:rsidP="002828BD">
      <w:pPr>
        <w:pStyle w:val="ExhibitText"/>
      </w:pP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63"/>
        <w:gridCol w:w="3163"/>
      </w:tblGrid>
      <w:tr w:rsidR="005C20D1" w:rsidRPr="0047017F" w14:paraId="0363FEFB" w14:textId="77777777" w:rsidTr="000C1C95">
        <w:trPr>
          <w:jc w:val="center"/>
        </w:trPr>
        <w:tc>
          <w:tcPr>
            <w:tcW w:w="6326" w:type="dxa"/>
            <w:gridSpan w:val="2"/>
          </w:tcPr>
          <w:p w14:paraId="285FEF17" w14:textId="0D3E8CB1" w:rsidR="005C20D1" w:rsidRPr="0047017F" w:rsidRDefault="002B53B8" w:rsidP="004E285E">
            <w:pPr>
              <w:pStyle w:val="ExhibitText"/>
            </w:pPr>
            <w:r w:rsidRPr="0047017F">
              <w:t>T</w:t>
            </w:r>
            <w:r w:rsidR="005C20D1" w:rsidRPr="0047017F">
              <w:t xml:space="preserve">rue </w:t>
            </w:r>
            <w:r w:rsidRPr="0047017F">
              <w:t>F</w:t>
            </w:r>
            <w:r w:rsidR="005C20D1" w:rsidRPr="0047017F">
              <w:t xml:space="preserve">ruits </w:t>
            </w:r>
            <w:r w:rsidR="00F03469" w:rsidRPr="0047017F">
              <w:t>S</w:t>
            </w:r>
            <w:r w:rsidR="005C20D1" w:rsidRPr="0047017F">
              <w:t xml:space="preserve">moothie </w:t>
            </w:r>
            <w:r w:rsidR="00F03469" w:rsidRPr="0047017F">
              <w:t>Y</w:t>
            </w:r>
            <w:r w:rsidR="005C20D1" w:rsidRPr="0047017F">
              <w:t>ellow, 250 ml</w:t>
            </w:r>
          </w:p>
        </w:tc>
      </w:tr>
      <w:tr w:rsidR="005C20D1" w:rsidRPr="0047017F" w14:paraId="140B55FB" w14:textId="77777777" w:rsidTr="000C1C95">
        <w:trPr>
          <w:jc w:val="center"/>
        </w:trPr>
        <w:tc>
          <w:tcPr>
            <w:tcW w:w="3163" w:type="dxa"/>
          </w:tcPr>
          <w:p w14:paraId="2E398A73" w14:textId="77777777" w:rsidR="005C20D1" w:rsidRPr="0047017F" w:rsidRDefault="005C20D1" w:rsidP="000C1C95">
            <w:pPr>
              <w:pStyle w:val="ExhibitText"/>
            </w:pPr>
            <w:r w:rsidRPr="0047017F">
              <w:rPr>
                <w:noProof/>
                <w:lang w:val="en-US"/>
              </w:rPr>
              <w:drawing>
                <wp:inline distT="0" distB="0" distL="0" distR="0" wp14:anchorId="4749B6BF" wp14:editId="24DD38A5">
                  <wp:extent cx="503983" cy="137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grayscl/>
                          </a:blip>
                          <a:stretch>
                            <a:fillRect/>
                          </a:stretch>
                        </pic:blipFill>
                        <pic:spPr>
                          <a:xfrm>
                            <a:off x="0" y="0"/>
                            <a:ext cx="503983" cy="1371600"/>
                          </a:xfrm>
                          <a:prstGeom prst="rect">
                            <a:avLst/>
                          </a:prstGeom>
                        </pic:spPr>
                      </pic:pic>
                    </a:graphicData>
                  </a:graphic>
                </wp:inline>
              </w:drawing>
            </w:r>
          </w:p>
        </w:tc>
        <w:tc>
          <w:tcPr>
            <w:tcW w:w="3163" w:type="dxa"/>
          </w:tcPr>
          <w:p w14:paraId="70811825" w14:textId="77777777" w:rsidR="005C20D1" w:rsidRPr="0047017F" w:rsidRDefault="005C20D1" w:rsidP="000C1C95">
            <w:pPr>
              <w:pStyle w:val="ExhibitText"/>
            </w:pPr>
            <w:r w:rsidRPr="0047017F">
              <w:t>3/4 squeezed orange</w:t>
            </w:r>
          </w:p>
          <w:p w14:paraId="23883064" w14:textId="77777777" w:rsidR="005C20D1" w:rsidRPr="0047017F" w:rsidRDefault="005C20D1" w:rsidP="000C1C95">
            <w:pPr>
              <w:pStyle w:val="ExhibitText"/>
            </w:pPr>
            <w:r w:rsidRPr="0047017F">
              <w:t>2/3 squeezed apple</w:t>
            </w:r>
          </w:p>
          <w:p w14:paraId="3AB52400" w14:textId="77777777" w:rsidR="005C20D1" w:rsidRPr="0047017F" w:rsidRDefault="005C20D1" w:rsidP="000C1C95">
            <w:pPr>
              <w:pStyle w:val="ExhibitText"/>
            </w:pPr>
            <w:r w:rsidRPr="0047017F">
              <w:t>3/5 pureed banana</w:t>
            </w:r>
          </w:p>
          <w:p w14:paraId="5232EC44" w14:textId="77777777" w:rsidR="005C20D1" w:rsidRPr="0047017F" w:rsidRDefault="005C20D1" w:rsidP="000C1C95">
            <w:pPr>
              <w:pStyle w:val="ExhibitText"/>
            </w:pPr>
            <w:r w:rsidRPr="0047017F">
              <w:t>1/3 pureed mango</w:t>
            </w:r>
          </w:p>
          <w:p w14:paraId="069EC57F" w14:textId="77777777" w:rsidR="005C20D1" w:rsidRPr="0047017F" w:rsidRDefault="005C20D1" w:rsidP="000C1C95">
            <w:pPr>
              <w:pStyle w:val="ExhibitText"/>
            </w:pPr>
            <w:r w:rsidRPr="0047017F">
              <w:t>1 2/3 pureed maracuja</w:t>
            </w:r>
          </w:p>
        </w:tc>
      </w:tr>
      <w:tr w:rsidR="005C20D1" w:rsidRPr="0047017F" w14:paraId="7CC85179" w14:textId="77777777" w:rsidTr="000C1C95">
        <w:trPr>
          <w:jc w:val="center"/>
        </w:trPr>
        <w:tc>
          <w:tcPr>
            <w:tcW w:w="6326" w:type="dxa"/>
            <w:gridSpan w:val="2"/>
          </w:tcPr>
          <w:p w14:paraId="11EE448B" w14:textId="1B896BCA" w:rsidR="005C20D1" w:rsidRPr="0047017F" w:rsidRDefault="002B53B8" w:rsidP="004E285E">
            <w:pPr>
              <w:pStyle w:val="ExhibitText"/>
            </w:pPr>
            <w:r w:rsidRPr="0047017F">
              <w:t>T</w:t>
            </w:r>
            <w:r w:rsidR="005C20D1" w:rsidRPr="0047017F">
              <w:t xml:space="preserve">rue </w:t>
            </w:r>
            <w:r w:rsidRPr="0047017F">
              <w:t>F</w:t>
            </w:r>
            <w:r w:rsidR="005C20D1" w:rsidRPr="0047017F">
              <w:t xml:space="preserve">ruits </w:t>
            </w:r>
            <w:r w:rsidR="00F03469" w:rsidRPr="0047017F">
              <w:t>S</w:t>
            </w:r>
            <w:r w:rsidR="005C20D1" w:rsidRPr="0047017F">
              <w:t xml:space="preserve">moothie </w:t>
            </w:r>
            <w:r w:rsidR="00F03469" w:rsidRPr="0047017F">
              <w:t>P</w:t>
            </w:r>
            <w:r w:rsidR="005C20D1" w:rsidRPr="0047017F">
              <w:t>urple, 250 ml</w:t>
            </w:r>
          </w:p>
        </w:tc>
      </w:tr>
      <w:tr w:rsidR="005C20D1" w:rsidRPr="0047017F" w14:paraId="71F08CDF" w14:textId="77777777" w:rsidTr="000C1C95">
        <w:trPr>
          <w:jc w:val="center"/>
        </w:trPr>
        <w:tc>
          <w:tcPr>
            <w:tcW w:w="3163" w:type="dxa"/>
          </w:tcPr>
          <w:p w14:paraId="2BEA8C04" w14:textId="77777777" w:rsidR="005C20D1" w:rsidRPr="0047017F" w:rsidRDefault="005C20D1" w:rsidP="000C1C95">
            <w:pPr>
              <w:pStyle w:val="ExhibitText"/>
            </w:pPr>
            <w:r w:rsidRPr="0047017F">
              <w:rPr>
                <w:noProof/>
                <w:lang w:val="en-US"/>
              </w:rPr>
              <w:drawing>
                <wp:inline distT="0" distB="0" distL="0" distR="0" wp14:anchorId="5242DC3F" wp14:editId="141C0A85">
                  <wp:extent cx="506730" cy="13258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grayscl/>
                          </a:blip>
                          <a:srcRect b="3275"/>
                          <a:stretch/>
                        </pic:blipFill>
                        <pic:spPr bwMode="auto">
                          <a:xfrm>
                            <a:off x="0" y="0"/>
                            <a:ext cx="507037" cy="1326683"/>
                          </a:xfrm>
                          <a:prstGeom prst="rect">
                            <a:avLst/>
                          </a:prstGeom>
                          <a:ln>
                            <a:noFill/>
                          </a:ln>
                          <a:extLst>
                            <a:ext uri="{53640926-AAD7-44D8-BBD7-CCE9431645EC}">
                              <a14:shadowObscured xmlns:a14="http://schemas.microsoft.com/office/drawing/2010/main"/>
                            </a:ext>
                          </a:extLst>
                        </pic:spPr>
                      </pic:pic>
                    </a:graphicData>
                  </a:graphic>
                </wp:inline>
              </w:drawing>
            </w:r>
          </w:p>
        </w:tc>
        <w:tc>
          <w:tcPr>
            <w:tcW w:w="3163" w:type="dxa"/>
          </w:tcPr>
          <w:p w14:paraId="600A2F12" w14:textId="77777777" w:rsidR="005C20D1" w:rsidRPr="0047017F" w:rsidRDefault="005C20D1" w:rsidP="000C1C95">
            <w:pPr>
              <w:pStyle w:val="ExhibitText"/>
            </w:pPr>
            <w:r w:rsidRPr="0047017F">
              <w:t>1 squeezed apple</w:t>
            </w:r>
          </w:p>
          <w:p w14:paraId="01BCB988" w14:textId="77777777" w:rsidR="005C20D1" w:rsidRPr="0047017F" w:rsidRDefault="005C20D1" w:rsidP="000C1C95">
            <w:pPr>
              <w:pStyle w:val="ExhibitText"/>
            </w:pPr>
            <w:r w:rsidRPr="0047017F">
              <w:t>1/2 pureed banana</w:t>
            </w:r>
          </w:p>
          <w:p w14:paraId="402650C7" w14:textId="77777777" w:rsidR="005C20D1" w:rsidRPr="0047017F" w:rsidRDefault="005C20D1" w:rsidP="000C1C95">
            <w:pPr>
              <w:pStyle w:val="ExhibitText"/>
            </w:pPr>
            <w:r w:rsidRPr="0047017F">
              <w:t>9 pureed raspberries</w:t>
            </w:r>
          </w:p>
          <w:p w14:paraId="18F5A8E1" w14:textId="77777777" w:rsidR="005C20D1" w:rsidRPr="0047017F" w:rsidRDefault="005C20D1" w:rsidP="000C1C95">
            <w:pPr>
              <w:pStyle w:val="ExhibitText"/>
            </w:pPr>
            <w:r w:rsidRPr="0047017F">
              <w:t>19 pureed blueberries</w:t>
            </w:r>
          </w:p>
          <w:p w14:paraId="235C8E44" w14:textId="77777777" w:rsidR="005C20D1" w:rsidRPr="0047017F" w:rsidRDefault="005C20D1" w:rsidP="000C1C95">
            <w:pPr>
              <w:pStyle w:val="ExhibitText"/>
            </w:pPr>
            <w:r w:rsidRPr="0047017F">
              <w:t>7 pureed blackberries</w:t>
            </w:r>
          </w:p>
          <w:p w14:paraId="30CA87F8" w14:textId="77777777" w:rsidR="005C20D1" w:rsidRPr="0047017F" w:rsidRDefault="005C20D1" w:rsidP="000C1C95">
            <w:pPr>
              <w:pStyle w:val="ExhibitText"/>
            </w:pPr>
            <w:r w:rsidRPr="0047017F">
              <w:t>20 pureed red currants</w:t>
            </w:r>
          </w:p>
          <w:p w14:paraId="64CEF096" w14:textId="77777777" w:rsidR="005C20D1" w:rsidRPr="0047017F" w:rsidRDefault="005C20D1" w:rsidP="000C1C95">
            <w:pPr>
              <w:pStyle w:val="ExhibitText"/>
            </w:pPr>
            <w:r w:rsidRPr="0047017F">
              <w:t>26 pureed black currants</w:t>
            </w:r>
          </w:p>
        </w:tc>
      </w:tr>
      <w:tr w:rsidR="005C20D1" w:rsidRPr="0047017F" w14:paraId="5D255C25" w14:textId="77777777" w:rsidTr="000C1C95">
        <w:trPr>
          <w:jc w:val="center"/>
        </w:trPr>
        <w:tc>
          <w:tcPr>
            <w:tcW w:w="6326" w:type="dxa"/>
            <w:gridSpan w:val="2"/>
          </w:tcPr>
          <w:p w14:paraId="345933CF" w14:textId="25DD33A7" w:rsidR="005C20D1" w:rsidRPr="0047017F" w:rsidRDefault="002B53B8" w:rsidP="004E285E">
            <w:pPr>
              <w:pStyle w:val="ExhibitText"/>
            </w:pPr>
            <w:r w:rsidRPr="0047017F">
              <w:t>T</w:t>
            </w:r>
            <w:r w:rsidR="005C20D1" w:rsidRPr="0047017F">
              <w:t xml:space="preserve">rue </w:t>
            </w:r>
            <w:r w:rsidRPr="0047017F">
              <w:t>F</w:t>
            </w:r>
            <w:r w:rsidR="005C20D1" w:rsidRPr="0047017F">
              <w:t xml:space="preserve">ruits </w:t>
            </w:r>
            <w:r w:rsidR="00F03469" w:rsidRPr="0047017F">
              <w:t>S</w:t>
            </w:r>
            <w:r w:rsidR="005C20D1" w:rsidRPr="0047017F">
              <w:t xml:space="preserve">moothie </w:t>
            </w:r>
            <w:r w:rsidR="00F03469" w:rsidRPr="0047017F">
              <w:t>O</w:t>
            </w:r>
            <w:r w:rsidR="005C20D1" w:rsidRPr="0047017F">
              <w:t>range, 250 ml</w:t>
            </w:r>
          </w:p>
        </w:tc>
      </w:tr>
      <w:tr w:rsidR="005C20D1" w:rsidRPr="0047017F" w14:paraId="3E156578" w14:textId="77777777" w:rsidTr="000C1C95">
        <w:trPr>
          <w:jc w:val="center"/>
        </w:trPr>
        <w:tc>
          <w:tcPr>
            <w:tcW w:w="3163" w:type="dxa"/>
          </w:tcPr>
          <w:p w14:paraId="7D4CF05F" w14:textId="77777777" w:rsidR="005C20D1" w:rsidRPr="0047017F" w:rsidRDefault="005C20D1" w:rsidP="000C1C95">
            <w:pPr>
              <w:pStyle w:val="ExhibitText"/>
            </w:pPr>
            <w:r w:rsidRPr="0047017F">
              <w:rPr>
                <w:noProof/>
                <w:lang w:val="en-US"/>
              </w:rPr>
              <w:drawing>
                <wp:inline distT="0" distB="0" distL="0" distR="0" wp14:anchorId="591F841E" wp14:editId="774D3558">
                  <wp:extent cx="511115" cy="13716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grayscl/>
                          </a:blip>
                          <a:stretch>
                            <a:fillRect/>
                          </a:stretch>
                        </pic:blipFill>
                        <pic:spPr>
                          <a:xfrm>
                            <a:off x="0" y="0"/>
                            <a:ext cx="511115" cy="1371600"/>
                          </a:xfrm>
                          <a:prstGeom prst="rect">
                            <a:avLst/>
                          </a:prstGeom>
                        </pic:spPr>
                      </pic:pic>
                    </a:graphicData>
                  </a:graphic>
                </wp:inline>
              </w:drawing>
            </w:r>
          </w:p>
        </w:tc>
        <w:tc>
          <w:tcPr>
            <w:tcW w:w="3163" w:type="dxa"/>
          </w:tcPr>
          <w:p w14:paraId="0BAE7329" w14:textId="77777777" w:rsidR="005C20D1" w:rsidRPr="0047017F" w:rsidRDefault="005C20D1" w:rsidP="000C1C95">
            <w:pPr>
              <w:pStyle w:val="ExhibitText"/>
            </w:pPr>
            <w:r w:rsidRPr="0047017F">
              <w:t>1 1/2 squeezed apple</w:t>
            </w:r>
          </w:p>
          <w:p w14:paraId="3E84AF1B" w14:textId="77777777" w:rsidR="005C20D1" w:rsidRPr="0047017F" w:rsidRDefault="005C20D1" w:rsidP="000C1C95">
            <w:pPr>
              <w:pStyle w:val="ExhibitText"/>
            </w:pPr>
            <w:r w:rsidRPr="0047017F">
              <w:t>18 pureed acerolas</w:t>
            </w:r>
          </w:p>
          <w:p w14:paraId="033E7607" w14:textId="77777777" w:rsidR="005C20D1" w:rsidRPr="0047017F" w:rsidRDefault="005C20D1" w:rsidP="000C1C95">
            <w:pPr>
              <w:pStyle w:val="ExhibitText"/>
            </w:pPr>
            <w:r w:rsidRPr="0047017F">
              <w:t>2/5 pureed banana</w:t>
            </w:r>
          </w:p>
          <w:p w14:paraId="0E42AE82" w14:textId="77777777" w:rsidR="005C20D1" w:rsidRPr="0047017F" w:rsidRDefault="005C20D1" w:rsidP="000C1C95">
            <w:pPr>
              <w:pStyle w:val="ExhibitText"/>
            </w:pPr>
            <w:r w:rsidRPr="0047017F">
              <w:t>1/5 pureed mango</w:t>
            </w:r>
          </w:p>
          <w:p w14:paraId="2F2D5B0A" w14:textId="77777777" w:rsidR="005C20D1" w:rsidRPr="0047017F" w:rsidRDefault="005C20D1" w:rsidP="000C1C95">
            <w:pPr>
              <w:pStyle w:val="ExhibitText"/>
            </w:pPr>
            <w:r w:rsidRPr="0047017F">
              <w:t>7 squeezed goji berries</w:t>
            </w:r>
          </w:p>
          <w:p w14:paraId="7A0A66BF" w14:textId="77777777" w:rsidR="005C20D1" w:rsidRPr="0047017F" w:rsidRDefault="005C20D1" w:rsidP="000C1C95">
            <w:pPr>
              <w:pStyle w:val="ExhibitText"/>
            </w:pPr>
            <w:r w:rsidRPr="0047017F">
              <w:t>1 dash yuzu</w:t>
            </w:r>
          </w:p>
          <w:p w14:paraId="7C149E9A" w14:textId="77777777" w:rsidR="005C20D1" w:rsidRPr="0047017F" w:rsidRDefault="005C20D1" w:rsidP="000C1C95">
            <w:pPr>
              <w:pStyle w:val="ExhibitText"/>
            </w:pPr>
            <w:r w:rsidRPr="0047017F">
              <w:t>1 pureed slice of curcuma</w:t>
            </w:r>
          </w:p>
        </w:tc>
      </w:tr>
    </w:tbl>
    <w:p w14:paraId="59727115" w14:textId="7AE64A01" w:rsidR="00446A4F" w:rsidRPr="0047017F" w:rsidRDefault="00446A4F" w:rsidP="002828BD">
      <w:pPr>
        <w:pStyle w:val="ExhibitText"/>
      </w:pPr>
    </w:p>
    <w:p w14:paraId="1B282649" w14:textId="20936431" w:rsidR="002B53B8" w:rsidRPr="0047017F" w:rsidRDefault="002B53B8" w:rsidP="00EF240D">
      <w:pPr>
        <w:pStyle w:val="Footnote"/>
        <w:outlineLvl w:val="0"/>
      </w:pPr>
      <w:r w:rsidRPr="0047017F">
        <w:t>Note: ml = millilitres</w:t>
      </w:r>
    </w:p>
    <w:p w14:paraId="46717436" w14:textId="059E5E99" w:rsidR="00446A4F" w:rsidRPr="0047017F" w:rsidRDefault="00446A4F" w:rsidP="00836CB3">
      <w:pPr>
        <w:pStyle w:val="Footnote"/>
      </w:pPr>
      <w:r w:rsidRPr="0047017F">
        <w:t xml:space="preserve">Source: </w:t>
      </w:r>
      <w:r w:rsidR="002B53B8" w:rsidRPr="0047017F">
        <w:t>Company documents</w:t>
      </w:r>
      <w:r w:rsidRPr="0047017F">
        <w:t>.</w:t>
      </w:r>
    </w:p>
    <w:p w14:paraId="6961CF22" w14:textId="77777777" w:rsidR="002B53B8" w:rsidRPr="0047017F" w:rsidRDefault="002B53B8" w:rsidP="002828BD">
      <w:pPr>
        <w:pStyle w:val="ExhibitText"/>
      </w:pPr>
    </w:p>
    <w:p w14:paraId="68543E97" w14:textId="77777777" w:rsidR="002B53B8" w:rsidRPr="0047017F" w:rsidRDefault="002B53B8" w:rsidP="002828BD">
      <w:pPr>
        <w:pStyle w:val="ExhibitText"/>
      </w:pPr>
    </w:p>
    <w:p w14:paraId="1BC7D020" w14:textId="77777777" w:rsidR="000C1C95" w:rsidRPr="0047017F" w:rsidRDefault="000C1C95" w:rsidP="00EF240D">
      <w:pPr>
        <w:pStyle w:val="ExhibitHeading"/>
        <w:outlineLvl w:val="0"/>
      </w:pPr>
      <w:r w:rsidRPr="0047017F">
        <w:t>EXHIBIT 6: DEMOGRAPHIC FOR SMOOTHIE CONSUMPTION (age/market share)</w:t>
      </w:r>
    </w:p>
    <w:p w14:paraId="5B882F65" w14:textId="6B648F61" w:rsidR="000C1C95" w:rsidRPr="0047017F" w:rsidRDefault="000C1C95" w:rsidP="002828BD">
      <w:pPr>
        <w:pStyle w:val="ExhibitText"/>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1980"/>
      </w:tblGrid>
      <w:tr w:rsidR="008B6B34" w:rsidRPr="0047017F" w14:paraId="05C5BC8D" w14:textId="77777777" w:rsidTr="00BD33AD">
        <w:trPr>
          <w:jc w:val="center"/>
        </w:trPr>
        <w:tc>
          <w:tcPr>
            <w:tcW w:w="1980" w:type="dxa"/>
            <w:tcBorders>
              <w:bottom w:val="single" w:sz="4" w:space="0" w:color="auto"/>
            </w:tcBorders>
            <w:vAlign w:val="center"/>
          </w:tcPr>
          <w:p w14:paraId="185BF6FB" w14:textId="39E06263" w:rsidR="008B6B34" w:rsidRPr="0047017F" w:rsidRDefault="008B6B34" w:rsidP="00836CB3">
            <w:pPr>
              <w:pStyle w:val="ExhibitText"/>
              <w:jc w:val="center"/>
            </w:pPr>
            <w:r w:rsidRPr="0047017F">
              <w:t xml:space="preserve">Age </w:t>
            </w:r>
            <w:r w:rsidR="00F03469" w:rsidRPr="0047017F">
              <w:t>G</w:t>
            </w:r>
            <w:r w:rsidRPr="0047017F">
              <w:t xml:space="preserve">roup in </w:t>
            </w:r>
            <w:r w:rsidR="00F03469" w:rsidRPr="0047017F">
              <w:t>Y</w:t>
            </w:r>
            <w:r w:rsidRPr="0047017F">
              <w:t>ears</w:t>
            </w:r>
          </w:p>
        </w:tc>
        <w:tc>
          <w:tcPr>
            <w:tcW w:w="1980" w:type="dxa"/>
            <w:tcBorders>
              <w:bottom w:val="single" w:sz="4" w:space="0" w:color="auto"/>
            </w:tcBorders>
            <w:vAlign w:val="center"/>
          </w:tcPr>
          <w:p w14:paraId="1B1EC058" w14:textId="3B444573" w:rsidR="008B6B34" w:rsidRPr="0047017F" w:rsidRDefault="00F03469" w:rsidP="00836CB3">
            <w:pPr>
              <w:pStyle w:val="ExhibitText"/>
              <w:jc w:val="center"/>
            </w:pPr>
            <w:r w:rsidRPr="0047017F">
              <w:t>T</w:t>
            </w:r>
            <w:r w:rsidR="008B6B34" w:rsidRPr="0047017F">
              <w:t xml:space="preserve">otal </w:t>
            </w:r>
            <w:r w:rsidRPr="0047017F">
              <w:t>S</w:t>
            </w:r>
            <w:r w:rsidR="008B6B34" w:rsidRPr="0047017F">
              <w:t xml:space="preserve">moothie </w:t>
            </w:r>
            <w:r w:rsidRPr="0047017F">
              <w:t>C</w:t>
            </w:r>
            <w:r w:rsidR="008B6B34" w:rsidRPr="0047017F">
              <w:t>onsumption</w:t>
            </w:r>
            <w:r w:rsidRPr="0047017F">
              <w:t xml:space="preserve"> (%)</w:t>
            </w:r>
          </w:p>
        </w:tc>
      </w:tr>
      <w:tr w:rsidR="008B6B34" w:rsidRPr="0047017F" w14:paraId="3A8D70C1" w14:textId="77777777" w:rsidTr="002828BD">
        <w:trPr>
          <w:jc w:val="center"/>
        </w:trPr>
        <w:tc>
          <w:tcPr>
            <w:tcW w:w="1980" w:type="dxa"/>
            <w:tcBorders>
              <w:top w:val="single" w:sz="4" w:space="0" w:color="auto"/>
            </w:tcBorders>
          </w:tcPr>
          <w:p w14:paraId="0DDF12C4" w14:textId="77D17998" w:rsidR="008B6B34" w:rsidRPr="0047017F" w:rsidRDefault="008B6B34" w:rsidP="00BD33AD">
            <w:pPr>
              <w:pStyle w:val="ExhibitText"/>
            </w:pPr>
            <w:r w:rsidRPr="0047017F">
              <w:t>&lt;18</w:t>
            </w:r>
          </w:p>
        </w:tc>
        <w:tc>
          <w:tcPr>
            <w:tcW w:w="1980" w:type="dxa"/>
            <w:tcBorders>
              <w:top w:val="single" w:sz="4" w:space="0" w:color="auto"/>
            </w:tcBorders>
          </w:tcPr>
          <w:p w14:paraId="41DF9CC1" w14:textId="45292425" w:rsidR="008B6B34" w:rsidRPr="0047017F" w:rsidRDefault="008B6B34" w:rsidP="002828BD">
            <w:pPr>
              <w:pStyle w:val="ExhibitText"/>
              <w:ind w:right="720"/>
              <w:jc w:val="right"/>
            </w:pPr>
            <w:r w:rsidRPr="0047017F">
              <w:t>13.00</w:t>
            </w:r>
          </w:p>
        </w:tc>
      </w:tr>
      <w:tr w:rsidR="008B6B34" w:rsidRPr="0047017F" w14:paraId="234E1220" w14:textId="77777777" w:rsidTr="002828BD">
        <w:trPr>
          <w:jc w:val="center"/>
        </w:trPr>
        <w:tc>
          <w:tcPr>
            <w:tcW w:w="1980" w:type="dxa"/>
          </w:tcPr>
          <w:p w14:paraId="5F2B7161" w14:textId="565C7156" w:rsidR="008B6B34" w:rsidRPr="0047017F" w:rsidRDefault="008B6B34" w:rsidP="004E285E">
            <w:pPr>
              <w:pStyle w:val="ExhibitText"/>
            </w:pPr>
            <w:r w:rsidRPr="0047017F">
              <w:t>18</w:t>
            </w:r>
            <w:r w:rsidR="00F03469" w:rsidRPr="0047017F">
              <w:t>–</w:t>
            </w:r>
            <w:r w:rsidRPr="0047017F">
              <w:t>24</w:t>
            </w:r>
          </w:p>
        </w:tc>
        <w:tc>
          <w:tcPr>
            <w:tcW w:w="1980" w:type="dxa"/>
          </w:tcPr>
          <w:p w14:paraId="20A98B34" w14:textId="3374DE8A" w:rsidR="008B6B34" w:rsidRPr="0047017F" w:rsidRDefault="008B6B34" w:rsidP="002828BD">
            <w:pPr>
              <w:pStyle w:val="ExhibitText"/>
              <w:ind w:right="720"/>
              <w:jc w:val="right"/>
            </w:pPr>
            <w:r w:rsidRPr="0047017F">
              <w:t>26.10</w:t>
            </w:r>
          </w:p>
        </w:tc>
      </w:tr>
      <w:tr w:rsidR="008B6B34" w:rsidRPr="0047017F" w14:paraId="42B1669A" w14:textId="77777777" w:rsidTr="002828BD">
        <w:trPr>
          <w:jc w:val="center"/>
        </w:trPr>
        <w:tc>
          <w:tcPr>
            <w:tcW w:w="1980" w:type="dxa"/>
          </w:tcPr>
          <w:p w14:paraId="051A0D00" w14:textId="258A15FF" w:rsidR="008B6B34" w:rsidRPr="0047017F" w:rsidRDefault="008B6B34" w:rsidP="00BD33AD">
            <w:pPr>
              <w:pStyle w:val="ExhibitText"/>
            </w:pPr>
            <w:r w:rsidRPr="0047017F">
              <w:t>25</w:t>
            </w:r>
            <w:r w:rsidR="00F03469" w:rsidRPr="0047017F">
              <w:t>–</w:t>
            </w:r>
            <w:r w:rsidRPr="0047017F">
              <w:t>34</w:t>
            </w:r>
          </w:p>
        </w:tc>
        <w:tc>
          <w:tcPr>
            <w:tcW w:w="1980" w:type="dxa"/>
          </w:tcPr>
          <w:p w14:paraId="53717564" w14:textId="3D7AA483" w:rsidR="008B6B34" w:rsidRPr="0047017F" w:rsidRDefault="008B6B34" w:rsidP="002828BD">
            <w:pPr>
              <w:pStyle w:val="ExhibitText"/>
              <w:ind w:right="720"/>
              <w:jc w:val="right"/>
            </w:pPr>
            <w:r w:rsidRPr="0047017F">
              <w:t>25.60</w:t>
            </w:r>
          </w:p>
        </w:tc>
      </w:tr>
      <w:tr w:rsidR="008B6B34" w:rsidRPr="0047017F" w14:paraId="33971136" w14:textId="77777777" w:rsidTr="002828BD">
        <w:trPr>
          <w:jc w:val="center"/>
        </w:trPr>
        <w:tc>
          <w:tcPr>
            <w:tcW w:w="1980" w:type="dxa"/>
          </w:tcPr>
          <w:p w14:paraId="2ABA03A7" w14:textId="25061D5E" w:rsidR="008B6B34" w:rsidRPr="0047017F" w:rsidRDefault="008B6B34" w:rsidP="00BD33AD">
            <w:pPr>
              <w:pStyle w:val="ExhibitText"/>
            </w:pPr>
            <w:r w:rsidRPr="0047017F">
              <w:t>35</w:t>
            </w:r>
            <w:r w:rsidR="00F03469" w:rsidRPr="0047017F">
              <w:t>–</w:t>
            </w:r>
            <w:r w:rsidRPr="0047017F">
              <w:t>44</w:t>
            </w:r>
          </w:p>
        </w:tc>
        <w:tc>
          <w:tcPr>
            <w:tcW w:w="1980" w:type="dxa"/>
          </w:tcPr>
          <w:p w14:paraId="3D2AF21D" w14:textId="76A16893" w:rsidR="008B6B34" w:rsidRPr="0047017F" w:rsidRDefault="008B6B34" w:rsidP="002828BD">
            <w:pPr>
              <w:pStyle w:val="ExhibitText"/>
              <w:ind w:right="720"/>
              <w:jc w:val="right"/>
            </w:pPr>
            <w:r w:rsidRPr="0047017F">
              <w:t>19.40</w:t>
            </w:r>
          </w:p>
        </w:tc>
      </w:tr>
      <w:tr w:rsidR="008B6B34" w:rsidRPr="0047017F" w14:paraId="5E011B43" w14:textId="77777777" w:rsidTr="002828BD">
        <w:trPr>
          <w:jc w:val="center"/>
        </w:trPr>
        <w:tc>
          <w:tcPr>
            <w:tcW w:w="1980" w:type="dxa"/>
          </w:tcPr>
          <w:p w14:paraId="457C13D1" w14:textId="2935CFE8" w:rsidR="008B6B34" w:rsidRPr="0047017F" w:rsidRDefault="008B6B34" w:rsidP="00BD33AD">
            <w:pPr>
              <w:pStyle w:val="ExhibitText"/>
            </w:pPr>
            <w:r w:rsidRPr="0047017F">
              <w:t>45</w:t>
            </w:r>
            <w:r w:rsidR="00F03469" w:rsidRPr="0047017F">
              <w:t>–</w:t>
            </w:r>
            <w:r w:rsidRPr="0047017F">
              <w:t>54</w:t>
            </w:r>
          </w:p>
        </w:tc>
        <w:tc>
          <w:tcPr>
            <w:tcW w:w="1980" w:type="dxa"/>
          </w:tcPr>
          <w:p w14:paraId="4411128A" w14:textId="1075BE8B" w:rsidR="008B6B34" w:rsidRPr="0047017F" w:rsidRDefault="008B6B34" w:rsidP="002828BD">
            <w:pPr>
              <w:pStyle w:val="ExhibitText"/>
              <w:ind w:right="720"/>
              <w:jc w:val="right"/>
            </w:pPr>
            <w:r w:rsidRPr="0047017F">
              <w:t>12.60</w:t>
            </w:r>
          </w:p>
        </w:tc>
      </w:tr>
      <w:tr w:rsidR="008B6B34" w:rsidRPr="0047017F" w14:paraId="176EF6AF" w14:textId="77777777" w:rsidTr="002828BD">
        <w:trPr>
          <w:jc w:val="center"/>
        </w:trPr>
        <w:tc>
          <w:tcPr>
            <w:tcW w:w="1980" w:type="dxa"/>
          </w:tcPr>
          <w:p w14:paraId="6B7FBF17" w14:textId="7AE6FEEC" w:rsidR="008B6B34" w:rsidRPr="0047017F" w:rsidRDefault="008B6B34" w:rsidP="00BD33AD">
            <w:pPr>
              <w:pStyle w:val="ExhibitText"/>
            </w:pPr>
            <w:r w:rsidRPr="0047017F">
              <w:t>&gt;55</w:t>
            </w:r>
          </w:p>
        </w:tc>
        <w:tc>
          <w:tcPr>
            <w:tcW w:w="1980" w:type="dxa"/>
          </w:tcPr>
          <w:p w14:paraId="1ED2C8D3" w14:textId="101B8402" w:rsidR="008B6B34" w:rsidRPr="0047017F" w:rsidRDefault="008B6B34" w:rsidP="002828BD">
            <w:pPr>
              <w:pStyle w:val="ExhibitText"/>
              <w:ind w:right="720"/>
              <w:jc w:val="right"/>
            </w:pPr>
            <w:r w:rsidRPr="0047017F">
              <w:t>3.60</w:t>
            </w:r>
          </w:p>
        </w:tc>
      </w:tr>
    </w:tbl>
    <w:p w14:paraId="6DAB7EF6" w14:textId="77777777" w:rsidR="00746F20" w:rsidRDefault="00746F20" w:rsidP="002828BD">
      <w:pPr>
        <w:pStyle w:val="ExhibitText"/>
      </w:pPr>
    </w:p>
    <w:p w14:paraId="238ADE81" w14:textId="0456B2A9" w:rsidR="000C1C95" w:rsidRPr="0047017F" w:rsidRDefault="000C1C95" w:rsidP="00A24260">
      <w:pPr>
        <w:pStyle w:val="Footnote"/>
      </w:pPr>
      <w:r w:rsidRPr="0047017F">
        <w:t xml:space="preserve">Source: </w:t>
      </w:r>
      <w:r w:rsidR="006C6747" w:rsidRPr="0047017F">
        <w:rPr>
          <w:sz w:val="16"/>
        </w:rPr>
        <w:t xml:space="preserve">“How </w:t>
      </w:r>
      <w:r w:rsidR="00181834" w:rsidRPr="0047017F">
        <w:rPr>
          <w:sz w:val="16"/>
        </w:rPr>
        <w:t>B</w:t>
      </w:r>
      <w:r w:rsidR="006C6747" w:rsidRPr="0047017F">
        <w:rPr>
          <w:sz w:val="16"/>
        </w:rPr>
        <w:t xml:space="preserve">ig is the </w:t>
      </w:r>
      <w:r w:rsidR="00181834" w:rsidRPr="0047017F">
        <w:rPr>
          <w:sz w:val="16"/>
        </w:rPr>
        <w:t>S</w:t>
      </w:r>
      <w:r w:rsidR="006C6747" w:rsidRPr="0047017F">
        <w:rPr>
          <w:sz w:val="16"/>
        </w:rPr>
        <w:t xml:space="preserve">moothie </w:t>
      </w:r>
      <w:r w:rsidR="00181834" w:rsidRPr="0047017F">
        <w:rPr>
          <w:sz w:val="16"/>
        </w:rPr>
        <w:t>I</w:t>
      </w:r>
      <w:r w:rsidR="006C6747" w:rsidRPr="0047017F">
        <w:rPr>
          <w:sz w:val="16"/>
        </w:rPr>
        <w:t>ndustry</w:t>
      </w:r>
      <w:r w:rsidR="00181834" w:rsidRPr="0047017F">
        <w:rPr>
          <w:sz w:val="16"/>
        </w:rPr>
        <w:t xml:space="preserve">?,” </w:t>
      </w:r>
      <w:r w:rsidR="006C6747" w:rsidRPr="0047017F">
        <w:rPr>
          <w:sz w:val="16"/>
        </w:rPr>
        <w:t xml:space="preserve">Planet </w:t>
      </w:r>
      <w:r w:rsidR="00181834" w:rsidRPr="0047017F">
        <w:rPr>
          <w:sz w:val="16"/>
        </w:rPr>
        <w:t>S</w:t>
      </w:r>
      <w:r w:rsidR="006C6747" w:rsidRPr="0047017F">
        <w:rPr>
          <w:sz w:val="16"/>
        </w:rPr>
        <w:t>moothie</w:t>
      </w:r>
      <w:r w:rsidR="006C6747" w:rsidRPr="0047017F">
        <w:rPr>
          <w:i/>
          <w:sz w:val="16"/>
        </w:rPr>
        <w:t>,</w:t>
      </w:r>
      <w:r w:rsidR="002A1318" w:rsidRPr="0047017F">
        <w:rPr>
          <w:i/>
          <w:sz w:val="16"/>
        </w:rPr>
        <w:t xml:space="preserve"> </w:t>
      </w:r>
      <w:r w:rsidR="006C6747" w:rsidRPr="0047017F">
        <w:rPr>
          <w:sz w:val="16"/>
        </w:rPr>
        <w:t xml:space="preserve">accessed </w:t>
      </w:r>
      <w:r w:rsidR="00824DD4">
        <w:rPr>
          <w:sz w:val="16"/>
        </w:rPr>
        <w:t>October 4,</w:t>
      </w:r>
      <w:r w:rsidR="006C6747" w:rsidRPr="0047017F">
        <w:rPr>
          <w:sz w:val="16"/>
        </w:rPr>
        <w:t xml:space="preserve"> 2017, http://planetsmoothiefranchise.com/learn-planet-smoothie/big-smoothie-industry.</w:t>
      </w:r>
    </w:p>
    <w:p w14:paraId="548E62DE" w14:textId="1A4745FB" w:rsidR="00746F20" w:rsidRDefault="00746F20">
      <w:pPr>
        <w:spacing w:after="200" w:line="276" w:lineRule="auto"/>
        <w:rPr>
          <w:rFonts w:ascii="Arial" w:hAnsi="Arial" w:cs="Arial"/>
        </w:rPr>
      </w:pPr>
      <w:r>
        <w:br w:type="page"/>
      </w:r>
    </w:p>
    <w:p w14:paraId="2186B0F7" w14:textId="7DD7AEE0" w:rsidR="000C1C95" w:rsidRPr="0047017F" w:rsidRDefault="000C1C95" w:rsidP="00EF240D">
      <w:pPr>
        <w:pStyle w:val="ExhibitHeading"/>
        <w:outlineLvl w:val="0"/>
      </w:pPr>
      <w:r w:rsidRPr="0047017F">
        <w:lastRenderedPageBreak/>
        <w:t>EXHIBIT 7: FAVO</w:t>
      </w:r>
      <w:r w:rsidR="00F03469" w:rsidRPr="0047017F">
        <w:t>u</w:t>
      </w:r>
      <w:r w:rsidRPr="0047017F">
        <w:t>R</w:t>
      </w:r>
      <w:r w:rsidR="00F03469" w:rsidRPr="0047017F">
        <w:t>ed</w:t>
      </w:r>
      <w:r w:rsidRPr="0047017F">
        <w:t xml:space="preserve"> SMOOTHIE INGREDIENTS</w:t>
      </w:r>
      <w:r w:rsidR="007A1349" w:rsidRPr="0047017F">
        <w:t xml:space="preserve"> IN NORTH AMERICA</w:t>
      </w:r>
      <w:r w:rsidRPr="0047017F">
        <w:t xml:space="preserve"> </w:t>
      </w:r>
    </w:p>
    <w:p w14:paraId="473FACC0" w14:textId="77777777" w:rsidR="000C1C95" w:rsidRPr="0047017F" w:rsidRDefault="000C1C95" w:rsidP="002828BD">
      <w:pPr>
        <w:pStyle w:val="ExhibitText"/>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1980"/>
      </w:tblGrid>
      <w:tr w:rsidR="000C1C95" w:rsidRPr="0047017F" w14:paraId="35CB16B7" w14:textId="77777777" w:rsidTr="000C1C95">
        <w:trPr>
          <w:jc w:val="center"/>
        </w:trPr>
        <w:tc>
          <w:tcPr>
            <w:tcW w:w="1980" w:type="dxa"/>
            <w:tcBorders>
              <w:bottom w:val="single" w:sz="4" w:space="0" w:color="auto"/>
            </w:tcBorders>
            <w:vAlign w:val="center"/>
          </w:tcPr>
          <w:p w14:paraId="70D3245A" w14:textId="77777777" w:rsidR="000C1C95" w:rsidRPr="0047017F" w:rsidRDefault="000C1C95" w:rsidP="00836CB3">
            <w:pPr>
              <w:pStyle w:val="ExhibitText"/>
              <w:jc w:val="center"/>
            </w:pPr>
            <w:r w:rsidRPr="0047017F">
              <w:t>Ingredient</w:t>
            </w:r>
          </w:p>
        </w:tc>
        <w:tc>
          <w:tcPr>
            <w:tcW w:w="1980" w:type="dxa"/>
            <w:tcBorders>
              <w:bottom w:val="single" w:sz="4" w:space="0" w:color="auto"/>
            </w:tcBorders>
            <w:vAlign w:val="center"/>
          </w:tcPr>
          <w:p w14:paraId="6F269265" w14:textId="7F4D1AAC" w:rsidR="000C1C95" w:rsidRPr="0047017F" w:rsidRDefault="00F03469" w:rsidP="00836CB3">
            <w:pPr>
              <w:pStyle w:val="ExhibitText"/>
              <w:jc w:val="center"/>
            </w:pPr>
            <w:r w:rsidRPr="0047017F">
              <w:t>F</w:t>
            </w:r>
            <w:r w:rsidR="000C1C95" w:rsidRPr="0047017F">
              <w:t>avo</w:t>
            </w:r>
            <w:r w:rsidRPr="0047017F">
              <w:t>u</w:t>
            </w:r>
            <w:r w:rsidR="000C1C95" w:rsidRPr="0047017F">
              <w:t xml:space="preserve">red </w:t>
            </w:r>
            <w:r w:rsidRPr="0047017F">
              <w:t>(%)</w:t>
            </w:r>
          </w:p>
        </w:tc>
      </w:tr>
      <w:tr w:rsidR="000C1C95" w:rsidRPr="0047017F" w14:paraId="7900B1F1" w14:textId="77777777" w:rsidTr="002828BD">
        <w:trPr>
          <w:jc w:val="center"/>
        </w:trPr>
        <w:tc>
          <w:tcPr>
            <w:tcW w:w="1980" w:type="dxa"/>
            <w:tcBorders>
              <w:top w:val="single" w:sz="4" w:space="0" w:color="auto"/>
            </w:tcBorders>
          </w:tcPr>
          <w:p w14:paraId="4B334538" w14:textId="77777777" w:rsidR="000C1C95" w:rsidRPr="0047017F" w:rsidRDefault="000C1C95" w:rsidP="000C1C95">
            <w:pPr>
              <w:pStyle w:val="ExhibitText"/>
            </w:pPr>
            <w:r w:rsidRPr="0047017F">
              <w:t>Strawberry</w:t>
            </w:r>
          </w:p>
        </w:tc>
        <w:tc>
          <w:tcPr>
            <w:tcW w:w="1980" w:type="dxa"/>
            <w:tcBorders>
              <w:top w:val="single" w:sz="4" w:space="0" w:color="auto"/>
            </w:tcBorders>
          </w:tcPr>
          <w:p w14:paraId="08F34DEA" w14:textId="4C053A42" w:rsidR="000C1C95" w:rsidRPr="0047017F" w:rsidRDefault="000C1C95" w:rsidP="002828BD">
            <w:pPr>
              <w:pStyle w:val="ExhibitText"/>
              <w:ind w:right="720"/>
              <w:jc w:val="right"/>
            </w:pPr>
            <w:r w:rsidRPr="0047017F">
              <w:t>21</w:t>
            </w:r>
          </w:p>
        </w:tc>
      </w:tr>
      <w:tr w:rsidR="000C1C95" w:rsidRPr="0047017F" w14:paraId="48858FCC" w14:textId="77777777" w:rsidTr="002828BD">
        <w:trPr>
          <w:jc w:val="center"/>
        </w:trPr>
        <w:tc>
          <w:tcPr>
            <w:tcW w:w="1980" w:type="dxa"/>
          </w:tcPr>
          <w:p w14:paraId="2AB763A3" w14:textId="77777777" w:rsidR="000C1C95" w:rsidRPr="0047017F" w:rsidRDefault="000C1C95" w:rsidP="000C1C95">
            <w:pPr>
              <w:pStyle w:val="ExhibitText"/>
            </w:pPr>
            <w:r w:rsidRPr="0047017F">
              <w:t>Acai berry</w:t>
            </w:r>
          </w:p>
        </w:tc>
        <w:tc>
          <w:tcPr>
            <w:tcW w:w="1980" w:type="dxa"/>
          </w:tcPr>
          <w:p w14:paraId="58762C12" w14:textId="7F98E6E4" w:rsidR="000C1C95" w:rsidRPr="0047017F" w:rsidRDefault="000C1C95" w:rsidP="002828BD">
            <w:pPr>
              <w:pStyle w:val="ExhibitText"/>
              <w:ind w:right="720"/>
              <w:jc w:val="right"/>
            </w:pPr>
            <w:r w:rsidRPr="0047017F">
              <w:t>12</w:t>
            </w:r>
          </w:p>
        </w:tc>
      </w:tr>
      <w:tr w:rsidR="000C1C95" w:rsidRPr="0047017F" w14:paraId="4DCAB191" w14:textId="77777777" w:rsidTr="002828BD">
        <w:trPr>
          <w:jc w:val="center"/>
        </w:trPr>
        <w:tc>
          <w:tcPr>
            <w:tcW w:w="1980" w:type="dxa"/>
          </w:tcPr>
          <w:p w14:paraId="46EA561B" w14:textId="77777777" w:rsidR="000C1C95" w:rsidRPr="0047017F" w:rsidRDefault="000C1C95" w:rsidP="000C1C95">
            <w:pPr>
              <w:pStyle w:val="ExhibitText"/>
            </w:pPr>
            <w:r w:rsidRPr="0047017F">
              <w:t>Tropical fruit</w:t>
            </w:r>
          </w:p>
        </w:tc>
        <w:tc>
          <w:tcPr>
            <w:tcW w:w="1980" w:type="dxa"/>
          </w:tcPr>
          <w:p w14:paraId="26F63136" w14:textId="27DEAEC4" w:rsidR="000C1C95" w:rsidRPr="0047017F" w:rsidRDefault="000C1C95" w:rsidP="002828BD">
            <w:pPr>
              <w:pStyle w:val="ExhibitText"/>
              <w:ind w:right="720"/>
              <w:jc w:val="right"/>
            </w:pPr>
            <w:r w:rsidRPr="0047017F">
              <w:t>11</w:t>
            </w:r>
          </w:p>
        </w:tc>
      </w:tr>
      <w:tr w:rsidR="000C1C95" w:rsidRPr="0047017F" w14:paraId="7F177915" w14:textId="77777777" w:rsidTr="002828BD">
        <w:trPr>
          <w:jc w:val="center"/>
        </w:trPr>
        <w:tc>
          <w:tcPr>
            <w:tcW w:w="1980" w:type="dxa"/>
          </w:tcPr>
          <w:p w14:paraId="740AF66B" w14:textId="77777777" w:rsidR="000C1C95" w:rsidRPr="0047017F" w:rsidRDefault="000C1C95" w:rsidP="000C1C95">
            <w:pPr>
              <w:pStyle w:val="ExhibitText"/>
            </w:pPr>
            <w:r w:rsidRPr="0047017F">
              <w:t>Mango</w:t>
            </w:r>
          </w:p>
        </w:tc>
        <w:tc>
          <w:tcPr>
            <w:tcW w:w="1980" w:type="dxa"/>
          </w:tcPr>
          <w:p w14:paraId="639C528B" w14:textId="24E36B73" w:rsidR="000C1C95" w:rsidRPr="0047017F" w:rsidRDefault="000C1C95" w:rsidP="002828BD">
            <w:pPr>
              <w:pStyle w:val="ExhibitText"/>
              <w:ind w:right="720"/>
              <w:jc w:val="right"/>
            </w:pPr>
            <w:r w:rsidRPr="0047017F">
              <w:t>10</w:t>
            </w:r>
          </w:p>
        </w:tc>
      </w:tr>
      <w:tr w:rsidR="000C1C95" w:rsidRPr="0047017F" w14:paraId="7F82E74E" w14:textId="77777777" w:rsidTr="002828BD">
        <w:trPr>
          <w:jc w:val="center"/>
        </w:trPr>
        <w:tc>
          <w:tcPr>
            <w:tcW w:w="1980" w:type="dxa"/>
          </w:tcPr>
          <w:p w14:paraId="428D0B9F" w14:textId="77777777" w:rsidR="000C1C95" w:rsidRPr="0047017F" w:rsidRDefault="000C1C95" w:rsidP="000C1C95">
            <w:pPr>
              <w:pStyle w:val="ExhibitText"/>
            </w:pPr>
            <w:r w:rsidRPr="0047017F">
              <w:t>Mixed berry</w:t>
            </w:r>
          </w:p>
        </w:tc>
        <w:tc>
          <w:tcPr>
            <w:tcW w:w="1980" w:type="dxa"/>
          </w:tcPr>
          <w:p w14:paraId="3803A94E" w14:textId="439DD0E0" w:rsidR="000C1C95" w:rsidRPr="0047017F" w:rsidRDefault="000C1C95" w:rsidP="002828BD">
            <w:pPr>
              <w:pStyle w:val="ExhibitText"/>
              <w:ind w:right="720"/>
              <w:jc w:val="right"/>
            </w:pPr>
            <w:r w:rsidRPr="0047017F">
              <w:t>9</w:t>
            </w:r>
          </w:p>
        </w:tc>
      </w:tr>
      <w:tr w:rsidR="000C1C95" w:rsidRPr="0047017F" w14:paraId="02640A10" w14:textId="77777777" w:rsidTr="002828BD">
        <w:trPr>
          <w:jc w:val="center"/>
        </w:trPr>
        <w:tc>
          <w:tcPr>
            <w:tcW w:w="1980" w:type="dxa"/>
          </w:tcPr>
          <w:p w14:paraId="5BF09099" w14:textId="77777777" w:rsidR="000C1C95" w:rsidRPr="0047017F" w:rsidRDefault="000C1C95" w:rsidP="000C1C95">
            <w:pPr>
              <w:pStyle w:val="ExhibitText"/>
            </w:pPr>
            <w:r w:rsidRPr="0047017F">
              <w:t>Banana</w:t>
            </w:r>
          </w:p>
        </w:tc>
        <w:tc>
          <w:tcPr>
            <w:tcW w:w="1980" w:type="dxa"/>
          </w:tcPr>
          <w:p w14:paraId="36E821C3" w14:textId="186300C3" w:rsidR="000C1C95" w:rsidRPr="0047017F" w:rsidRDefault="000C1C95" w:rsidP="002828BD">
            <w:pPr>
              <w:pStyle w:val="ExhibitText"/>
              <w:ind w:right="720"/>
              <w:jc w:val="right"/>
            </w:pPr>
            <w:r w:rsidRPr="0047017F">
              <w:t>9</w:t>
            </w:r>
          </w:p>
        </w:tc>
      </w:tr>
      <w:tr w:rsidR="000C1C95" w:rsidRPr="0047017F" w14:paraId="2B7011CC" w14:textId="77777777" w:rsidTr="002828BD">
        <w:trPr>
          <w:jc w:val="center"/>
        </w:trPr>
        <w:tc>
          <w:tcPr>
            <w:tcW w:w="1980" w:type="dxa"/>
          </w:tcPr>
          <w:p w14:paraId="52E2C195" w14:textId="77777777" w:rsidR="000C1C95" w:rsidRPr="0047017F" w:rsidRDefault="000C1C95" w:rsidP="000C1C95">
            <w:pPr>
              <w:pStyle w:val="ExhibitText"/>
            </w:pPr>
            <w:r w:rsidRPr="0047017F">
              <w:t>Orange</w:t>
            </w:r>
          </w:p>
        </w:tc>
        <w:tc>
          <w:tcPr>
            <w:tcW w:w="1980" w:type="dxa"/>
          </w:tcPr>
          <w:p w14:paraId="60294CB1" w14:textId="2920F515" w:rsidR="000C1C95" w:rsidRPr="0047017F" w:rsidRDefault="000C1C95" w:rsidP="002828BD">
            <w:pPr>
              <w:pStyle w:val="ExhibitText"/>
              <w:ind w:right="720"/>
              <w:jc w:val="right"/>
            </w:pPr>
            <w:r w:rsidRPr="0047017F">
              <w:t>6</w:t>
            </w:r>
          </w:p>
        </w:tc>
      </w:tr>
      <w:tr w:rsidR="000C1C95" w:rsidRPr="0047017F" w14:paraId="672BD2E7" w14:textId="77777777" w:rsidTr="002828BD">
        <w:trPr>
          <w:jc w:val="center"/>
        </w:trPr>
        <w:tc>
          <w:tcPr>
            <w:tcW w:w="1980" w:type="dxa"/>
          </w:tcPr>
          <w:p w14:paraId="05677D61" w14:textId="77777777" w:rsidR="000C1C95" w:rsidRPr="0047017F" w:rsidRDefault="000C1C95" w:rsidP="000C1C95">
            <w:pPr>
              <w:pStyle w:val="ExhibitText"/>
            </w:pPr>
            <w:r w:rsidRPr="0047017F">
              <w:t>Cranberry</w:t>
            </w:r>
          </w:p>
        </w:tc>
        <w:tc>
          <w:tcPr>
            <w:tcW w:w="1980" w:type="dxa"/>
          </w:tcPr>
          <w:p w14:paraId="6E41A38A" w14:textId="706701F7" w:rsidR="000C1C95" w:rsidRPr="0047017F" w:rsidRDefault="000C1C95" w:rsidP="002828BD">
            <w:pPr>
              <w:pStyle w:val="ExhibitText"/>
              <w:ind w:right="720"/>
              <w:jc w:val="right"/>
            </w:pPr>
            <w:r w:rsidRPr="0047017F">
              <w:t>5</w:t>
            </w:r>
          </w:p>
        </w:tc>
      </w:tr>
      <w:tr w:rsidR="000C1C95" w:rsidRPr="0047017F" w14:paraId="76073E49" w14:textId="77777777" w:rsidTr="002828BD">
        <w:trPr>
          <w:jc w:val="center"/>
        </w:trPr>
        <w:tc>
          <w:tcPr>
            <w:tcW w:w="1980" w:type="dxa"/>
          </w:tcPr>
          <w:p w14:paraId="1746C5CE" w14:textId="77777777" w:rsidR="000C1C95" w:rsidRPr="0047017F" w:rsidRDefault="000C1C95" w:rsidP="000C1C95">
            <w:pPr>
              <w:pStyle w:val="ExhibitText"/>
            </w:pPr>
            <w:r w:rsidRPr="0047017F">
              <w:t>Pomegranate</w:t>
            </w:r>
          </w:p>
        </w:tc>
        <w:tc>
          <w:tcPr>
            <w:tcW w:w="1980" w:type="dxa"/>
          </w:tcPr>
          <w:p w14:paraId="111F3A2B" w14:textId="3AC34AAE" w:rsidR="000C1C95" w:rsidRPr="0047017F" w:rsidRDefault="000C1C95" w:rsidP="002828BD">
            <w:pPr>
              <w:pStyle w:val="ExhibitText"/>
              <w:ind w:right="720"/>
              <w:jc w:val="right"/>
            </w:pPr>
            <w:r w:rsidRPr="0047017F">
              <w:t>4</w:t>
            </w:r>
          </w:p>
        </w:tc>
      </w:tr>
      <w:tr w:rsidR="000C1C95" w:rsidRPr="0047017F" w14:paraId="199BAA4C" w14:textId="77777777" w:rsidTr="002828BD">
        <w:trPr>
          <w:jc w:val="center"/>
        </w:trPr>
        <w:tc>
          <w:tcPr>
            <w:tcW w:w="1980" w:type="dxa"/>
          </w:tcPr>
          <w:p w14:paraId="0EED7F58" w14:textId="77777777" w:rsidR="000C1C95" w:rsidRPr="0047017F" w:rsidRDefault="000C1C95" w:rsidP="000C1C95">
            <w:pPr>
              <w:pStyle w:val="ExhibitText"/>
            </w:pPr>
            <w:r w:rsidRPr="0047017F">
              <w:t>Matcha green tea</w:t>
            </w:r>
          </w:p>
        </w:tc>
        <w:tc>
          <w:tcPr>
            <w:tcW w:w="1980" w:type="dxa"/>
          </w:tcPr>
          <w:p w14:paraId="483AFA28" w14:textId="7114C90E" w:rsidR="000C1C95" w:rsidRPr="0047017F" w:rsidRDefault="000C1C95" w:rsidP="002828BD">
            <w:pPr>
              <w:pStyle w:val="ExhibitText"/>
              <w:ind w:right="720"/>
              <w:jc w:val="right"/>
            </w:pPr>
            <w:r w:rsidRPr="0047017F">
              <w:t>4</w:t>
            </w:r>
          </w:p>
        </w:tc>
      </w:tr>
    </w:tbl>
    <w:p w14:paraId="03E0F051" w14:textId="77777777" w:rsidR="000C1C95" w:rsidRPr="0047017F" w:rsidRDefault="000C1C95" w:rsidP="002828BD">
      <w:pPr>
        <w:pStyle w:val="ExhibitText"/>
      </w:pPr>
    </w:p>
    <w:p w14:paraId="6A48E9D3" w14:textId="0D10A3E9" w:rsidR="002B5801" w:rsidRPr="0047017F" w:rsidRDefault="000C1C95" w:rsidP="00836CB3">
      <w:pPr>
        <w:pStyle w:val="Footnote"/>
      </w:pPr>
      <w:r w:rsidRPr="0047017F">
        <w:t xml:space="preserve">Source: </w:t>
      </w:r>
      <w:r w:rsidR="002B5801" w:rsidRPr="0047017F">
        <w:t>Richard Lazazzera, “</w:t>
      </w:r>
      <w:r w:rsidR="002A1318" w:rsidRPr="0047017F">
        <w:t>Infographic:</w:t>
      </w:r>
      <w:r w:rsidR="002B5801" w:rsidRPr="0047017F">
        <w:t xml:space="preserve"> The Most Popular Smoothie in North America</w:t>
      </w:r>
      <w:r w:rsidR="00F03469" w:rsidRPr="0047017F">
        <w:t>,</w:t>
      </w:r>
      <w:r w:rsidR="002B5801" w:rsidRPr="0047017F">
        <w:t xml:space="preserve">” </w:t>
      </w:r>
      <w:r w:rsidR="00F03469" w:rsidRPr="0047017F">
        <w:t>Vivonet, October 3, 2012</w:t>
      </w:r>
      <w:r w:rsidR="002B5801" w:rsidRPr="0047017F">
        <w:t xml:space="preserve">, accessed </w:t>
      </w:r>
      <w:r w:rsidR="00824DD4">
        <w:t>October 4,</w:t>
      </w:r>
      <w:r w:rsidR="002B5801" w:rsidRPr="0047017F">
        <w:t xml:space="preserve"> </w:t>
      </w:r>
      <w:r w:rsidR="002A1318" w:rsidRPr="0047017F">
        <w:t>2017, www.vivonet.com/blog/bid/159764/infographic-the-most-popular-smoothie-in-north-america</w:t>
      </w:r>
      <w:r w:rsidR="002B5801" w:rsidRPr="0047017F">
        <w:t>.</w:t>
      </w:r>
    </w:p>
    <w:p w14:paraId="67700A92" w14:textId="5640FC68" w:rsidR="000C1C95" w:rsidRPr="0047017F" w:rsidRDefault="000C1C95" w:rsidP="002828BD">
      <w:pPr>
        <w:pStyle w:val="ExhibitText"/>
      </w:pPr>
    </w:p>
    <w:p w14:paraId="50527741" w14:textId="77777777" w:rsidR="000C1C95" w:rsidRPr="0047017F" w:rsidRDefault="000C1C95" w:rsidP="000C1C95">
      <w:pPr>
        <w:pStyle w:val="Footnote"/>
        <w:sectPr w:rsidR="000C1C95" w:rsidRPr="0047017F" w:rsidSect="00EB5410">
          <w:headerReference w:type="default" r:id="rId15"/>
          <w:endnotePr>
            <w:numFmt w:val="decimal"/>
          </w:endnotePr>
          <w:pgSz w:w="12240" w:h="15840"/>
          <w:pgMar w:top="1080" w:right="1440" w:bottom="1440" w:left="1440" w:header="1080" w:footer="720" w:gutter="0"/>
          <w:cols w:space="720"/>
          <w:titlePg/>
          <w:docGrid w:linePitch="360"/>
        </w:sectPr>
      </w:pPr>
    </w:p>
    <w:p w14:paraId="06B5C7E4" w14:textId="652A499B" w:rsidR="000C1C95" w:rsidRPr="0047017F" w:rsidRDefault="000C1C95" w:rsidP="00EF240D">
      <w:pPr>
        <w:pStyle w:val="ExhibitHeading"/>
        <w:outlineLvl w:val="0"/>
      </w:pPr>
      <w:r w:rsidRPr="0047017F">
        <w:lastRenderedPageBreak/>
        <w:t>EXHIBIT 8: MARKET DATA TABLE</w:t>
      </w:r>
      <w:r w:rsidR="00F03469" w:rsidRPr="0047017F">
        <w:t xml:space="preserve"> (2016)</w:t>
      </w:r>
    </w:p>
    <w:p w14:paraId="06C2300D" w14:textId="77777777" w:rsidR="000C1C95" w:rsidRPr="0047017F" w:rsidRDefault="000C1C95" w:rsidP="002828BD">
      <w:pPr>
        <w:pStyle w:val="ExhibitText"/>
      </w:pPr>
    </w:p>
    <w:tbl>
      <w:tblPr>
        <w:tblW w:w="1287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1092"/>
        <w:gridCol w:w="1276"/>
        <w:gridCol w:w="1134"/>
        <w:gridCol w:w="1559"/>
        <w:gridCol w:w="2268"/>
        <w:gridCol w:w="1559"/>
        <w:gridCol w:w="1146"/>
        <w:gridCol w:w="1216"/>
      </w:tblGrid>
      <w:tr w:rsidR="000C1C95" w:rsidRPr="0047017F" w14:paraId="5C656429" w14:textId="77777777" w:rsidTr="0047017F">
        <w:trPr>
          <w:trHeight w:val="455"/>
        </w:trPr>
        <w:tc>
          <w:tcPr>
            <w:tcW w:w="1620" w:type="dxa"/>
            <w:shd w:val="clear" w:color="auto" w:fill="auto"/>
            <w:vAlign w:val="center"/>
            <w:hideMark/>
          </w:tcPr>
          <w:p w14:paraId="62BA1B5E" w14:textId="3C091993" w:rsidR="000C1C95" w:rsidRPr="0047017F" w:rsidRDefault="000C1C95" w:rsidP="004E285E">
            <w:pPr>
              <w:rPr>
                <w:rFonts w:ascii="Arial" w:hAnsi="Arial" w:cs="Arial"/>
                <w:b/>
                <w:sz w:val="18"/>
              </w:rPr>
            </w:pPr>
            <w:r w:rsidRPr="0047017F">
              <w:rPr>
                <w:rFonts w:ascii="Arial" w:hAnsi="Arial" w:cs="Arial"/>
                <w:b/>
                <w:sz w:val="18"/>
              </w:rPr>
              <w:t>Country</w:t>
            </w:r>
          </w:p>
        </w:tc>
        <w:tc>
          <w:tcPr>
            <w:tcW w:w="1092" w:type="dxa"/>
            <w:shd w:val="clear" w:color="auto" w:fill="auto"/>
            <w:vAlign w:val="center"/>
            <w:hideMark/>
          </w:tcPr>
          <w:p w14:paraId="18B8CB47" w14:textId="77777777" w:rsidR="000C1C95" w:rsidRPr="0047017F" w:rsidRDefault="000C1C95" w:rsidP="000C1C95">
            <w:pPr>
              <w:jc w:val="center"/>
              <w:rPr>
                <w:rFonts w:ascii="Arial" w:hAnsi="Arial" w:cs="Arial"/>
                <w:b/>
                <w:sz w:val="18"/>
              </w:rPr>
            </w:pPr>
            <w:r w:rsidRPr="0047017F">
              <w:rPr>
                <w:rFonts w:ascii="Arial" w:hAnsi="Arial" w:cs="Arial"/>
                <w:b/>
                <w:sz w:val="18"/>
              </w:rPr>
              <w:t>Ease of Doing Business Ranking</w:t>
            </w:r>
          </w:p>
        </w:tc>
        <w:tc>
          <w:tcPr>
            <w:tcW w:w="1276" w:type="dxa"/>
            <w:shd w:val="clear" w:color="auto" w:fill="auto"/>
            <w:vAlign w:val="center"/>
            <w:hideMark/>
          </w:tcPr>
          <w:p w14:paraId="787A697C" w14:textId="526CE30E" w:rsidR="004E285E" w:rsidRPr="0047017F" w:rsidRDefault="000C1C95" w:rsidP="00181834">
            <w:pPr>
              <w:jc w:val="center"/>
              <w:rPr>
                <w:rFonts w:ascii="Arial" w:hAnsi="Arial" w:cs="Arial"/>
                <w:b/>
                <w:sz w:val="18"/>
              </w:rPr>
            </w:pPr>
            <w:r w:rsidRPr="0047017F">
              <w:rPr>
                <w:rFonts w:ascii="Arial" w:hAnsi="Arial" w:cs="Arial"/>
                <w:b/>
                <w:sz w:val="18"/>
              </w:rPr>
              <w:t xml:space="preserve">GDP per </w:t>
            </w:r>
            <w:r w:rsidR="004E285E" w:rsidRPr="0047017F">
              <w:rPr>
                <w:rFonts w:ascii="Arial" w:hAnsi="Arial" w:cs="Arial"/>
                <w:b/>
                <w:sz w:val="18"/>
              </w:rPr>
              <w:t>C</w:t>
            </w:r>
            <w:r w:rsidRPr="0047017F">
              <w:rPr>
                <w:rFonts w:ascii="Arial" w:hAnsi="Arial" w:cs="Arial"/>
                <w:b/>
                <w:sz w:val="18"/>
              </w:rPr>
              <w:t>apita</w:t>
            </w:r>
          </w:p>
          <w:p w14:paraId="045B2C60" w14:textId="375E39CE" w:rsidR="000C1C95" w:rsidRPr="0047017F" w:rsidRDefault="004E285E" w:rsidP="00181834">
            <w:pPr>
              <w:jc w:val="center"/>
              <w:rPr>
                <w:rFonts w:ascii="Arial" w:hAnsi="Arial" w:cs="Arial"/>
                <w:b/>
                <w:sz w:val="18"/>
              </w:rPr>
            </w:pPr>
            <w:r w:rsidRPr="0047017F">
              <w:rPr>
                <w:rFonts w:ascii="Arial" w:hAnsi="Arial" w:cs="Arial"/>
                <w:b/>
                <w:sz w:val="18"/>
              </w:rPr>
              <w:t>(</w:t>
            </w:r>
            <w:r w:rsidR="003858B3">
              <w:rPr>
                <w:rFonts w:ascii="Arial" w:hAnsi="Arial" w:cs="Arial"/>
                <w:b/>
                <w:sz w:val="18"/>
              </w:rPr>
              <w:t xml:space="preserve">in </w:t>
            </w:r>
            <w:r w:rsidR="000C1C95" w:rsidRPr="0047017F">
              <w:rPr>
                <w:rFonts w:ascii="Arial" w:hAnsi="Arial" w:cs="Arial"/>
                <w:b/>
                <w:sz w:val="18"/>
              </w:rPr>
              <w:t>$</w:t>
            </w:r>
            <w:r w:rsidRPr="0047017F">
              <w:rPr>
                <w:rFonts w:ascii="Arial" w:hAnsi="Arial" w:cs="Arial"/>
                <w:b/>
                <w:sz w:val="18"/>
              </w:rPr>
              <w:t>)</w:t>
            </w:r>
            <w:r w:rsidR="000C1C95" w:rsidRPr="0047017F">
              <w:rPr>
                <w:rFonts w:ascii="Arial" w:hAnsi="Arial" w:cs="Arial"/>
                <w:b/>
                <w:sz w:val="18"/>
              </w:rPr>
              <w:t xml:space="preserve"> </w:t>
            </w:r>
          </w:p>
        </w:tc>
        <w:tc>
          <w:tcPr>
            <w:tcW w:w="1134" w:type="dxa"/>
            <w:shd w:val="clear" w:color="auto" w:fill="auto"/>
            <w:vAlign w:val="center"/>
            <w:hideMark/>
          </w:tcPr>
          <w:p w14:paraId="47C5B11B" w14:textId="77777777" w:rsidR="004E285E" w:rsidRPr="0047017F" w:rsidRDefault="000C1C95" w:rsidP="009479DC">
            <w:pPr>
              <w:jc w:val="center"/>
              <w:rPr>
                <w:rFonts w:ascii="Arial" w:hAnsi="Arial" w:cs="Arial"/>
                <w:b/>
                <w:sz w:val="18"/>
              </w:rPr>
            </w:pPr>
            <w:r w:rsidRPr="0047017F">
              <w:rPr>
                <w:rFonts w:ascii="Arial" w:hAnsi="Arial" w:cs="Arial"/>
                <w:b/>
                <w:sz w:val="18"/>
              </w:rPr>
              <w:t xml:space="preserve">GDP </w:t>
            </w:r>
          </w:p>
          <w:p w14:paraId="38C22096" w14:textId="08095048" w:rsidR="000C1C95" w:rsidRPr="0047017F" w:rsidRDefault="004E285E" w:rsidP="00232A47">
            <w:pPr>
              <w:jc w:val="center"/>
              <w:rPr>
                <w:rFonts w:ascii="Arial" w:hAnsi="Arial" w:cs="Arial"/>
                <w:b/>
                <w:sz w:val="18"/>
              </w:rPr>
            </w:pPr>
            <w:r w:rsidRPr="0047017F">
              <w:rPr>
                <w:rFonts w:ascii="Arial" w:hAnsi="Arial" w:cs="Arial"/>
                <w:b/>
                <w:sz w:val="18"/>
              </w:rPr>
              <w:t>(</w:t>
            </w:r>
            <w:r w:rsidR="003858B3">
              <w:rPr>
                <w:rFonts w:ascii="Arial" w:hAnsi="Arial" w:cs="Arial"/>
                <w:b/>
                <w:sz w:val="18"/>
              </w:rPr>
              <w:t xml:space="preserve">in </w:t>
            </w:r>
            <w:r w:rsidR="000C1C95" w:rsidRPr="0047017F">
              <w:rPr>
                <w:rFonts w:ascii="Arial" w:hAnsi="Arial" w:cs="Arial"/>
                <w:b/>
                <w:sz w:val="18"/>
              </w:rPr>
              <w:t>$</w:t>
            </w:r>
            <w:r w:rsidR="00232A47">
              <w:rPr>
                <w:rFonts w:ascii="Arial" w:hAnsi="Arial" w:cs="Arial"/>
                <w:b/>
                <w:sz w:val="18"/>
              </w:rPr>
              <w:t xml:space="preserve"> billions</w:t>
            </w:r>
            <w:r w:rsidRPr="0047017F">
              <w:rPr>
                <w:rFonts w:ascii="Arial" w:hAnsi="Arial" w:cs="Arial"/>
                <w:b/>
                <w:sz w:val="18"/>
              </w:rPr>
              <w:t>)</w:t>
            </w:r>
          </w:p>
        </w:tc>
        <w:tc>
          <w:tcPr>
            <w:tcW w:w="1559" w:type="dxa"/>
            <w:shd w:val="clear" w:color="auto" w:fill="auto"/>
            <w:vAlign w:val="center"/>
            <w:hideMark/>
          </w:tcPr>
          <w:p w14:paraId="0A68FFCD" w14:textId="4E731355" w:rsidR="000C1C95" w:rsidRPr="0047017F" w:rsidRDefault="000C1C95" w:rsidP="00801530">
            <w:pPr>
              <w:jc w:val="center"/>
              <w:rPr>
                <w:rFonts w:ascii="Arial" w:hAnsi="Arial" w:cs="Arial"/>
                <w:b/>
                <w:sz w:val="18"/>
              </w:rPr>
            </w:pPr>
            <w:r w:rsidRPr="0047017F">
              <w:rPr>
                <w:rFonts w:ascii="Arial" w:hAnsi="Arial" w:cs="Arial"/>
                <w:b/>
                <w:sz w:val="18"/>
              </w:rPr>
              <w:t xml:space="preserve">Consumer Expenditure on Fruits per </w:t>
            </w:r>
            <w:r w:rsidR="004E285E" w:rsidRPr="0047017F">
              <w:rPr>
                <w:rFonts w:ascii="Arial" w:hAnsi="Arial" w:cs="Arial"/>
                <w:b/>
                <w:sz w:val="18"/>
              </w:rPr>
              <w:t>C</w:t>
            </w:r>
            <w:r w:rsidRPr="0047017F">
              <w:rPr>
                <w:rFonts w:ascii="Arial" w:hAnsi="Arial" w:cs="Arial"/>
                <w:b/>
                <w:sz w:val="18"/>
              </w:rPr>
              <w:t xml:space="preserve">apita </w:t>
            </w:r>
            <w:r w:rsidR="004E285E" w:rsidRPr="0047017F">
              <w:rPr>
                <w:rFonts w:ascii="Arial" w:hAnsi="Arial" w:cs="Arial"/>
                <w:b/>
                <w:sz w:val="18"/>
              </w:rPr>
              <w:t>(</w:t>
            </w:r>
            <w:r w:rsidR="003858B3">
              <w:rPr>
                <w:rFonts w:ascii="Arial" w:hAnsi="Arial" w:cs="Arial"/>
                <w:b/>
                <w:sz w:val="18"/>
              </w:rPr>
              <w:t xml:space="preserve">in </w:t>
            </w:r>
            <w:r w:rsidRPr="0047017F">
              <w:rPr>
                <w:rFonts w:ascii="Arial" w:hAnsi="Arial" w:cs="Arial"/>
                <w:b/>
                <w:sz w:val="18"/>
              </w:rPr>
              <w:t>$</w:t>
            </w:r>
            <w:r w:rsidR="004E285E" w:rsidRPr="0047017F">
              <w:rPr>
                <w:rFonts w:ascii="Arial" w:hAnsi="Arial" w:cs="Arial"/>
                <w:b/>
                <w:sz w:val="18"/>
              </w:rPr>
              <w:t>)</w:t>
            </w:r>
          </w:p>
        </w:tc>
        <w:tc>
          <w:tcPr>
            <w:tcW w:w="2268" w:type="dxa"/>
            <w:shd w:val="clear" w:color="auto" w:fill="auto"/>
            <w:vAlign w:val="center"/>
            <w:hideMark/>
          </w:tcPr>
          <w:p w14:paraId="689C31B6" w14:textId="2A1B8947" w:rsidR="004E285E" w:rsidRPr="0047017F" w:rsidRDefault="000C1C95" w:rsidP="003E7CB5">
            <w:pPr>
              <w:jc w:val="center"/>
              <w:rPr>
                <w:rFonts w:ascii="Arial" w:hAnsi="Arial" w:cs="Arial"/>
                <w:b/>
                <w:sz w:val="18"/>
              </w:rPr>
            </w:pPr>
            <w:r w:rsidRPr="0047017F">
              <w:rPr>
                <w:rFonts w:ascii="Arial" w:hAnsi="Arial" w:cs="Arial"/>
                <w:b/>
                <w:sz w:val="18"/>
              </w:rPr>
              <w:t xml:space="preserve">Consumer Expenditure on Fruit and Vegetable Juices per </w:t>
            </w:r>
            <w:r w:rsidR="004E285E" w:rsidRPr="0047017F">
              <w:rPr>
                <w:rFonts w:ascii="Arial" w:hAnsi="Arial" w:cs="Arial"/>
                <w:b/>
                <w:sz w:val="18"/>
              </w:rPr>
              <w:t>C</w:t>
            </w:r>
            <w:r w:rsidRPr="0047017F">
              <w:rPr>
                <w:rFonts w:ascii="Arial" w:hAnsi="Arial" w:cs="Arial"/>
                <w:b/>
                <w:sz w:val="18"/>
              </w:rPr>
              <w:t xml:space="preserve">apita </w:t>
            </w:r>
          </w:p>
          <w:p w14:paraId="7929FEC3" w14:textId="7CED2CEC" w:rsidR="000C1C95" w:rsidRPr="0047017F" w:rsidRDefault="004E285E" w:rsidP="00B912DD">
            <w:pPr>
              <w:jc w:val="center"/>
              <w:rPr>
                <w:rFonts w:ascii="Arial" w:hAnsi="Arial" w:cs="Arial"/>
                <w:b/>
                <w:sz w:val="18"/>
              </w:rPr>
            </w:pPr>
            <w:r w:rsidRPr="0047017F">
              <w:rPr>
                <w:rFonts w:ascii="Arial" w:hAnsi="Arial" w:cs="Arial"/>
                <w:b/>
                <w:sz w:val="18"/>
              </w:rPr>
              <w:t>(</w:t>
            </w:r>
            <w:r w:rsidR="003858B3">
              <w:rPr>
                <w:rFonts w:ascii="Arial" w:hAnsi="Arial" w:cs="Arial"/>
                <w:b/>
                <w:sz w:val="18"/>
              </w:rPr>
              <w:t xml:space="preserve">in </w:t>
            </w:r>
            <w:r w:rsidR="000C1C95" w:rsidRPr="0047017F">
              <w:rPr>
                <w:rFonts w:ascii="Arial" w:hAnsi="Arial" w:cs="Arial"/>
                <w:b/>
                <w:sz w:val="18"/>
              </w:rPr>
              <w:t>$</w:t>
            </w:r>
            <w:r w:rsidRPr="0047017F">
              <w:rPr>
                <w:rFonts w:ascii="Arial" w:hAnsi="Arial" w:cs="Arial"/>
                <w:b/>
                <w:sz w:val="18"/>
              </w:rPr>
              <w:t>)</w:t>
            </w:r>
          </w:p>
        </w:tc>
        <w:tc>
          <w:tcPr>
            <w:tcW w:w="1559" w:type="dxa"/>
            <w:shd w:val="clear" w:color="auto" w:fill="auto"/>
            <w:vAlign w:val="center"/>
            <w:hideMark/>
          </w:tcPr>
          <w:p w14:paraId="5B1F6DE2" w14:textId="2CCB635E" w:rsidR="000C1C95" w:rsidRPr="0047017F" w:rsidRDefault="000C1C95" w:rsidP="00B912DD">
            <w:pPr>
              <w:jc w:val="center"/>
              <w:rPr>
                <w:rFonts w:ascii="Arial" w:hAnsi="Arial" w:cs="Arial"/>
                <w:b/>
                <w:sz w:val="18"/>
              </w:rPr>
            </w:pPr>
            <w:r w:rsidRPr="0047017F">
              <w:rPr>
                <w:rFonts w:ascii="Arial" w:hAnsi="Arial" w:cs="Arial"/>
                <w:b/>
                <w:sz w:val="18"/>
              </w:rPr>
              <w:t xml:space="preserve">Disposable Income per </w:t>
            </w:r>
            <w:r w:rsidR="004E285E" w:rsidRPr="0047017F">
              <w:rPr>
                <w:rFonts w:ascii="Arial" w:hAnsi="Arial" w:cs="Arial"/>
                <w:b/>
                <w:sz w:val="18"/>
              </w:rPr>
              <w:t>C</w:t>
            </w:r>
            <w:r w:rsidRPr="0047017F">
              <w:rPr>
                <w:rFonts w:ascii="Arial" w:hAnsi="Arial" w:cs="Arial"/>
                <w:b/>
                <w:sz w:val="18"/>
              </w:rPr>
              <w:t xml:space="preserve">apita </w:t>
            </w:r>
            <w:r w:rsidR="004E285E" w:rsidRPr="0047017F">
              <w:rPr>
                <w:rFonts w:ascii="Arial" w:hAnsi="Arial" w:cs="Arial"/>
                <w:b/>
                <w:sz w:val="18"/>
              </w:rPr>
              <w:t>(</w:t>
            </w:r>
            <w:r w:rsidR="003858B3">
              <w:rPr>
                <w:rFonts w:ascii="Arial" w:hAnsi="Arial" w:cs="Arial"/>
                <w:b/>
                <w:sz w:val="18"/>
              </w:rPr>
              <w:t xml:space="preserve">in </w:t>
            </w:r>
            <w:r w:rsidRPr="0047017F">
              <w:rPr>
                <w:rFonts w:ascii="Arial" w:hAnsi="Arial" w:cs="Arial"/>
                <w:b/>
                <w:sz w:val="18"/>
              </w:rPr>
              <w:t>$</w:t>
            </w:r>
            <w:r w:rsidR="004E285E" w:rsidRPr="0047017F">
              <w:rPr>
                <w:rFonts w:ascii="Arial" w:hAnsi="Arial" w:cs="Arial"/>
                <w:b/>
                <w:sz w:val="18"/>
              </w:rPr>
              <w:t>)</w:t>
            </w:r>
          </w:p>
        </w:tc>
        <w:tc>
          <w:tcPr>
            <w:tcW w:w="1146" w:type="dxa"/>
            <w:shd w:val="clear" w:color="auto" w:fill="auto"/>
            <w:vAlign w:val="center"/>
            <w:hideMark/>
          </w:tcPr>
          <w:p w14:paraId="5FC7586F" w14:textId="06DFF67B" w:rsidR="000C1C95" w:rsidRPr="0047017F" w:rsidRDefault="000C1C95" w:rsidP="004E285E">
            <w:pPr>
              <w:jc w:val="center"/>
              <w:rPr>
                <w:rFonts w:ascii="Arial" w:hAnsi="Arial" w:cs="Arial"/>
                <w:b/>
                <w:sz w:val="18"/>
              </w:rPr>
            </w:pPr>
            <w:r w:rsidRPr="0047017F">
              <w:rPr>
                <w:rFonts w:ascii="Arial" w:hAnsi="Arial" w:cs="Arial"/>
                <w:b/>
                <w:sz w:val="18"/>
              </w:rPr>
              <w:t xml:space="preserve">Total Population </w:t>
            </w:r>
            <w:r w:rsidR="004E285E" w:rsidRPr="0047017F">
              <w:rPr>
                <w:rFonts w:ascii="Arial" w:hAnsi="Arial" w:cs="Arial"/>
                <w:b/>
                <w:sz w:val="18"/>
              </w:rPr>
              <w:t>(</w:t>
            </w:r>
            <w:r w:rsidRPr="0047017F">
              <w:rPr>
                <w:rFonts w:ascii="Arial" w:hAnsi="Arial" w:cs="Arial"/>
                <w:b/>
                <w:sz w:val="18"/>
              </w:rPr>
              <w:t>in</w:t>
            </w:r>
            <w:r w:rsidR="004E285E" w:rsidRPr="0047017F">
              <w:rPr>
                <w:rFonts w:ascii="Arial" w:hAnsi="Arial" w:cs="Arial"/>
                <w:b/>
                <w:sz w:val="18"/>
              </w:rPr>
              <w:t xml:space="preserve"> ‘</w:t>
            </w:r>
            <w:r w:rsidRPr="0047017F">
              <w:rPr>
                <w:rFonts w:ascii="Arial" w:hAnsi="Arial" w:cs="Arial"/>
                <w:b/>
                <w:sz w:val="18"/>
              </w:rPr>
              <w:t>000</w:t>
            </w:r>
            <w:r w:rsidR="004E285E" w:rsidRPr="0047017F">
              <w:rPr>
                <w:rFonts w:ascii="Arial" w:hAnsi="Arial" w:cs="Arial"/>
                <w:b/>
                <w:sz w:val="18"/>
              </w:rPr>
              <w:t>)</w:t>
            </w:r>
          </w:p>
        </w:tc>
        <w:tc>
          <w:tcPr>
            <w:tcW w:w="1216" w:type="dxa"/>
            <w:shd w:val="clear" w:color="auto" w:fill="auto"/>
            <w:vAlign w:val="center"/>
            <w:hideMark/>
          </w:tcPr>
          <w:p w14:paraId="7D987249" w14:textId="5C0A0065" w:rsidR="000C1C95" w:rsidRPr="0047017F" w:rsidRDefault="000C1C95" w:rsidP="000C1C95">
            <w:pPr>
              <w:jc w:val="center"/>
              <w:rPr>
                <w:rFonts w:ascii="Arial" w:hAnsi="Arial" w:cs="Arial"/>
                <w:b/>
                <w:sz w:val="18"/>
              </w:rPr>
            </w:pPr>
            <w:r w:rsidRPr="0047017F">
              <w:rPr>
                <w:rFonts w:ascii="Arial" w:hAnsi="Arial" w:cs="Arial"/>
                <w:b/>
                <w:sz w:val="18"/>
              </w:rPr>
              <w:t xml:space="preserve">Urban Population </w:t>
            </w:r>
            <w:r w:rsidR="004E285E" w:rsidRPr="0047017F">
              <w:rPr>
                <w:rFonts w:ascii="Arial" w:hAnsi="Arial" w:cs="Arial"/>
                <w:b/>
                <w:sz w:val="18"/>
              </w:rPr>
              <w:t>(</w:t>
            </w:r>
            <w:r w:rsidRPr="0047017F">
              <w:rPr>
                <w:rFonts w:ascii="Arial" w:hAnsi="Arial" w:cs="Arial"/>
                <w:b/>
                <w:sz w:val="18"/>
              </w:rPr>
              <w:t xml:space="preserve">in </w:t>
            </w:r>
            <w:r w:rsidR="004E285E" w:rsidRPr="0047017F">
              <w:rPr>
                <w:rFonts w:ascii="Arial" w:hAnsi="Arial" w:cs="Arial"/>
                <w:b/>
                <w:sz w:val="18"/>
              </w:rPr>
              <w:t>‘</w:t>
            </w:r>
            <w:r w:rsidRPr="0047017F">
              <w:rPr>
                <w:rFonts w:ascii="Arial" w:hAnsi="Arial" w:cs="Arial"/>
                <w:b/>
                <w:sz w:val="18"/>
              </w:rPr>
              <w:t>000</w:t>
            </w:r>
            <w:r w:rsidR="004E285E" w:rsidRPr="0047017F">
              <w:rPr>
                <w:rFonts w:ascii="Arial" w:hAnsi="Arial" w:cs="Arial"/>
                <w:b/>
                <w:sz w:val="18"/>
              </w:rPr>
              <w:t>)</w:t>
            </w:r>
          </w:p>
        </w:tc>
      </w:tr>
      <w:tr w:rsidR="000C1C95" w:rsidRPr="0047017F" w14:paraId="719320DA" w14:textId="77777777" w:rsidTr="0047017F">
        <w:trPr>
          <w:trHeight w:val="264"/>
        </w:trPr>
        <w:tc>
          <w:tcPr>
            <w:tcW w:w="1620" w:type="dxa"/>
            <w:shd w:val="clear" w:color="auto" w:fill="auto"/>
            <w:noWrap/>
            <w:vAlign w:val="center"/>
            <w:hideMark/>
          </w:tcPr>
          <w:p w14:paraId="38C06CA9" w14:textId="77777777" w:rsidR="000C1C95" w:rsidRPr="0047017F" w:rsidRDefault="000C1C95" w:rsidP="000C1C95">
            <w:pPr>
              <w:rPr>
                <w:rFonts w:ascii="Arial" w:hAnsi="Arial" w:cs="Arial"/>
                <w:sz w:val="18"/>
              </w:rPr>
            </w:pPr>
            <w:r w:rsidRPr="0047017F">
              <w:rPr>
                <w:rFonts w:ascii="Arial" w:hAnsi="Arial" w:cs="Arial"/>
                <w:sz w:val="18"/>
              </w:rPr>
              <w:t>Belarus</w:t>
            </w:r>
          </w:p>
        </w:tc>
        <w:tc>
          <w:tcPr>
            <w:tcW w:w="1092" w:type="dxa"/>
            <w:shd w:val="clear" w:color="auto" w:fill="auto"/>
            <w:noWrap/>
            <w:vAlign w:val="center"/>
            <w:hideMark/>
          </w:tcPr>
          <w:p w14:paraId="49155B39" w14:textId="77777777" w:rsidR="000C1C95" w:rsidRPr="0047017F" w:rsidRDefault="000C1C95" w:rsidP="00836CB3">
            <w:pPr>
              <w:jc w:val="right"/>
              <w:rPr>
                <w:rFonts w:ascii="Arial" w:hAnsi="Arial" w:cs="Arial"/>
                <w:sz w:val="18"/>
              </w:rPr>
            </w:pPr>
            <w:r w:rsidRPr="0047017F">
              <w:rPr>
                <w:rFonts w:ascii="Arial" w:hAnsi="Arial" w:cs="Arial"/>
                <w:sz w:val="18"/>
              </w:rPr>
              <w:t>37</w:t>
            </w:r>
          </w:p>
        </w:tc>
        <w:tc>
          <w:tcPr>
            <w:tcW w:w="1276" w:type="dxa"/>
            <w:shd w:val="clear" w:color="auto" w:fill="auto"/>
            <w:noWrap/>
            <w:vAlign w:val="center"/>
            <w:hideMark/>
          </w:tcPr>
          <w:p w14:paraId="53596CA7" w14:textId="77777777" w:rsidR="000C1C95" w:rsidRPr="0047017F" w:rsidRDefault="000C1C95" w:rsidP="00836CB3">
            <w:pPr>
              <w:jc w:val="right"/>
              <w:rPr>
                <w:rFonts w:ascii="Arial" w:hAnsi="Arial" w:cs="Arial"/>
                <w:sz w:val="18"/>
              </w:rPr>
            </w:pPr>
            <w:r w:rsidRPr="0047017F">
              <w:rPr>
                <w:rFonts w:ascii="Arial" w:hAnsi="Arial" w:cs="Arial"/>
                <w:sz w:val="18"/>
              </w:rPr>
              <w:t>5,013.50</w:t>
            </w:r>
          </w:p>
        </w:tc>
        <w:tc>
          <w:tcPr>
            <w:tcW w:w="1134" w:type="dxa"/>
            <w:shd w:val="clear" w:color="auto" w:fill="auto"/>
            <w:noWrap/>
            <w:vAlign w:val="center"/>
            <w:hideMark/>
          </w:tcPr>
          <w:p w14:paraId="28AA1F6E" w14:textId="77777777" w:rsidR="000C1C95" w:rsidRPr="0047017F" w:rsidRDefault="000C1C95" w:rsidP="00836CB3">
            <w:pPr>
              <w:jc w:val="right"/>
              <w:rPr>
                <w:rFonts w:ascii="Arial" w:hAnsi="Arial" w:cs="Arial"/>
                <w:sz w:val="18"/>
              </w:rPr>
            </w:pPr>
            <w:r w:rsidRPr="0047017F">
              <w:rPr>
                <w:rFonts w:ascii="Arial" w:hAnsi="Arial" w:cs="Arial"/>
                <w:sz w:val="18"/>
              </w:rPr>
              <w:t>48</w:t>
            </w:r>
          </w:p>
        </w:tc>
        <w:tc>
          <w:tcPr>
            <w:tcW w:w="1559" w:type="dxa"/>
            <w:shd w:val="clear" w:color="auto" w:fill="auto"/>
            <w:noWrap/>
            <w:vAlign w:val="center"/>
            <w:hideMark/>
          </w:tcPr>
          <w:p w14:paraId="218493DB" w14:textId="77777777" w:rsidR="000C1C95" w:rsidRPr="0047017F" w:rsidRDefault="000C1C95" w:rsidP="00836CB3">
            <w:pPr>
              <w:jc w:val="right"/>
              <w:rPr>
                <w:rFonts w:ascii="Arial" w:hAnsi="Arial" w:cs="Arial"/>
                <w:sz w:val="18"/>
              </w:rPr>
            </w:pPr>
            <w:r w:rsidRPr="0047017F">
              <w:rPr>
                <w:rFonts w:ascii="Arial" w:hAnsi="Arial" w:cs="Arial"/>
                <w:sz w:val="18"/>
              </w:rPr>
              <w:t>61.90</w:t>
            </w:r>
          </w:p>
        </w:tc>
        <w:tc>
          <w:tcPr>
            <w:tcW w:w="2268" w:type="dxa"/>
            <w:shd w:val="clear" w:color="auto" w:fill="auto"/>
            <w:noWrap/>
            <w:vAlign w:val="center"/>
            <w:hideMark/>
          </w:tcPr>
          <w:p w14:paraId="76290AAD" w14:textId="77777777" w:rsidR="000C1C95" w:rsidRPr="0047017F" w:rsidRDefault="000C1C95" w:rsidP="00836CB3">
            <w:pPr>
              <w:jc w:val="right"/>
              <w:rPr>
                <w:rFonts w:ascii="Arial" w:hAnsi="Arial" w:cs="Arial"/>
                <w:sz w:val="18"/>
              </w:rPr>
            </w:pPr>
            <w:r w:rsidRPr="0047017F">
              <w:rPr>
                <w:rFonts w:ascii="Arial" w:hAnsi="Arial" w:cs="Arial"/>
                <w:sz w:val="18"/>
              </w:rPr>
              <w:t>8.00</w:t>
            </w:r>
          </w:p>
        </w:tc>
        <w:tc>
          <w:tcPr>
            <w:tcW w:w="1559" w:type="dxa"/>
            <w:shd w:val="clear" w:color="auto" w:fill="auto"/>
            <w:noWrap/>
            <w:vAlign w:val="center"/>
            <w:hideMark/>
          </w:tcPr>
          <w:p w14:paraId="1F8B920D" w14:textId="77777777" w:rsidR="000C1C95" w:rsidRPr="0047017F" w:rsidRDefault="000C1C95" w:rsidP="00836CB3">
            <w:pPr>
              <w:jc w:val="right"/>
              <w:rPr>
                <w:rFonts w:ascii="Arial" w:hAnsi="Arial" w:cs="Arial"/>
                <w:sz w:val="18"/>
              </w:rPr>
            </w:pPr>
            <w:r w:rsidRPr="0047017F">
              <w:rPr>
                <w:rFonts w:ascii="Arial" w:hAnsi="Arial" w:cs="Arial"/>
                <w:sz w:val="18"/>
              </w:rPr>
              <w:t>2,987.70</w:t>
            </w:r>
          </w:p>
        </w:tc>
        <w:tc>
          <w:tcPr>
            <w:tcW w:w="1146" w:type="dxa"/>
            <w:shd w:val="clear" w:color="auto" w:fill="auto"/>
            <w:noWrap/>
            <w:vAlign w:val="center"/>
            <w:hideMark/>
          </w:tcPr>
          <w:p w14:paraId="486EB24C" w14:textId="77777777" w:rsidR="000C1C95" w:rsidRPr="0047017F" w:rsidRDefault="000C1C95" w:rsidP="00836CB3">
            <w:pPr>
              <w:jc w:val="right"/>
              <w:rPr>
                <w:rFonts w:ascii="Arial" w:hAnsi="Arial" w:cs="Arial"/>
                <w:sz w:val="18"/>
              </w:rPr>
            </w:pPr>
            <w:r w:rsidRPr="0047017F">
              <w:rPr>
                <w:rFonts w:ascii="Arial" w:hAnsi="Arial" w:cs="Arial"/>
                <w:sz w:val="18"/>
              </w:rPr>
              <w:t>9,487.50</w:t>
            </w:r>
          </w:p>
        </w:tc>
        <w:tc>
          <w:tcPr>
            <w:tcW w:w="1216" w:type="dxa"/>
            <w:shd w:val="clear" w:color="auto" w:fill="auto"/>
            <w:noWrap/>
            <w:vAlign w:val="center"/>
            <w:hideMark/>
          </w:tcPr>
          <w:p w14:paraId="59BAE294" w14:textId="77777777" w:rsidR="000C1C95" w:rsidRPr="0047017F" w:rsidRDefault="000C1C95" w:rsidP="00836CB3">
            <w:pPr>
              <w:jc w:val="right"/>
              <w:rPr>
                <w:rFonts w:ascii="Arial" w:hAnsi="Arial" w:cs="Arial"/>
                <w:sz w:val="18"/>
              </w:rPr>
            </w:pPr>
            <w:r w:rsidRPr="0047017F">
              <w:rPr>
                <w:rFonts w:ascii="Arial" w:hAnsi="Arial" w:cs="Arial"/>
                <w:sz w:val="18"/>
              </w:rPr>
              <w:t>7,379.30</w:t>
            </w:r>
          </w:p>
        </w:tc>
      </w:tr>
      <w:tr w:rsidR="000C1C95" w:rsidRPr="0047017F" w14:paraId="4D5E8ADC" w14:textId="77777777" w:rsidTr="0047017F">
        <w:trPr>
          <w:trHeight w:val="264"/>
        </w:trPr>
        <w:tc>
          <w:tcPr>
            <w:tcW w:w="1620" w:type="dxa"/>
            <w:shd w:val="clear" w:color="auto" w:fill="auto"/>
            <w:noWrap/>
            <w:vAlign w:val="center"/>
            <w:hideMark/>
          </w:tcPr>
          <w:p w14:paraId="34604A46" w14:textId="77777777" w:rsidR="000C1C95" w:rsidRPr="0047017F" w:rsidRDefault="000C1C95" w:rsidP="000C1C95">
            <w:pPr>
              <w:rPr>
                <w:rFonts w:ascii="Arial" w:hAnsi="Arial" w:cs="Arial"/>
                <w:sz w:val="18"/>
              </w:rPr>
            </w:pPr>
            <w:r w:rsidRPr="0047017F">
              <w:rPr>
                <w:rFonts w:ascii="Arial" w:hAnsi="Arial" w:cs="Arial"/>
                <w:sz w:val="18"/>
              </w:rPr>
              <w:t xml:space="preserve">Belgium </w:t>
            </w:r>
          </w:p>
        </w:tc>
        <w:tc>
          <w:tcPr>
            <w:tcW w:w="1092" w:type="dxa"/>
            <w:shd w:val="clear" w:color="auto" w:fill="auto"/>
            <w:noWrap/>
            <w:vAlign w:val="center"/>
            <w:hideMark/>
          </w:tcPr>
          <w:p w14:paraId="6D0E3BAA" w14:textId="77777777" w:rsidR="000C1C95" w:rsidRPr="0047017F" w:rsidRDefault="000C1C95" w:rsidP="00836CB3">
            <w:pPr>
              <w:jc w:val="right"/>
              <w:rPr>
                <w:rFonts w:ascii="Arial" w:hAnsi="Arial" w:cs="Arial"/>
                <w:sz w:val="18"/>
              </w:rPr>
            </w:pPr>
            <w:r w:rsidRPr="0047017F">
              <w:rPr>
                <w:rFonts w:ascii="Arial" w:hAnsi="Arial" w:cs="Arial"/>
                <w:sz w:val="18"/>
              </w:rPr>
              <w:t>42</w:t>
            </w:r>
          </w:p>
        </w:tc>
        <w:tc>
          <w:tcPr>
            <w:tcW w:w="1276" w:type="dxa"/>
            <w:shd w:val="clear" w:color="auto" w:fill="auto"/>
            <w:noWrap/>
            <w:vAlign w:val="center"/>
            <w:hideMark/>
          </w:tcPr>
          <w:p w14:paraId="5613D999" w14:textId="77777777" w:rsidR="000C1C95" w:rsidRPr="0047017F" w:rsidRDefault="000C1C95" w:rsidP="00836CB3">
            <w:pPr>
              <w:jc w:val="right"/>
              <w:rPr>
                <w:rFonts w:ascii="Arial" w:hAnsi="Arial" w:cs="Arial"/>
                <w:sz w:val="18"/>
              </w:rPr>
            </w:pPr>
            <w:r w:rsidRPr="0047017F">
              <w:rPr>
                <w:rFonts w:ascii="Arial" w:hAnsi="Arial" w:cs="Arial"/>
                <w:sz w:val="18"/>
              </w:rPr>
              <w:t>41,348.90</w:t>
            </w:r>
          </w:p>
        </w:tc>
        <w:tc>
          <w:tcPr>
            <w:tcW w:w="1134" w:type="dxa"/>
            <w:shd w:val="clear" w:color="auto" w:fill="auto"/>
            <w:noWrap/>
            <w:vAlign w:val="center"/>
            <w:hideMark/>
          </w:tcPr>
          <w:p w14:paraId="528FB1B3" w14:textId="77777777" w:rsidR="000C1C95" w:rsidRPr="0047017F" w:rsidRDefault="000C1C95" w:rsidP="00836CB3">
            <w:pPr>
              <w:jc w:val="right"/>
              <w:rPr>
                <w:rFonts w:ascii="Arial" w:hAnsi="Arial" w:cs="Arial"/>
                <w:sz w:val="18"/>
              </w:rPr>
            </w:pPr>
            <w:r w:rsidRPr="0047017F">
              <w:rPr>
                <w:rFonts w:ascii="Arial" w:hAnsi="Arial" w:cs="Arial"/>
                <w:sz w:val="18"/>
              </w:rPr>
              <w:t>466</w:t>
            </w:r>
          </w:p>
        </w:tc>
        <w:tc>
          <w:tcPr>
            <w:tcW w:w="1559" w:type="dxa"/>
            <w:shd w:val="clear" w:color="auto" w:fill="auto"/>
            <w:noWrap/>
            <w:vAlign w:val="center"/>
            <w:hideMark/>
          </w:tcPr>
          <w:p w14:paraId="6DA1082D" w14:textId="77777777" w:rsidR="000C1C95" w:rsidRPr="0047017F" w:rsidRDefault="000C1C95" w:rsidP="00836CB3">
            <w:pPr>
              <w:jc w:val="right"/>
              <w:rPr>
                <w:rFonts w:ascii="Arial" w:hAnsi="Arial" w:cs="Arial"/>
                <w:sz w:val="18"/>
              </w:rPr>
            </w:pPr>
            <w:r w:rsidRPr="0047017F">
              <w:rPr>
                <w:rFonts w:ascii="Arial" w:hAnsi="Arial" w:cs="Arial"/>
                <w:sz w:val="18"/>
              </w:rPr>
              <w:t>194.80</w:t>
            </w:r>
          </w:p>
        </w:tc>
        <w:tc>
          <w:tcPr>
            <w:tcW w:w="2268" w:type="dxa"/>
            <w:shd w:val="clear" w:color="auto" w:fill="auto"/>
            <w:noWrap/>
            <w:vAlign w:val="center"/>
            <w:hideMark/>
          </w:tcPr>
          <w:p w14:paraId="55C3929E" w14:textId="77777777" w:rsidR="000C1C95" w:rsidRPr="0047017F" w:rsidRDefault="000C1C95" w:rsidP="00836CB3">
            <w:pPr>
              <w:jc w:val="right"/>
              <w:rPr>
                <w:rFonts w:ascii="Arial" w:hAnsi="Arial" w:cs="Arial"/>
                <w:sz w:val="18"/>
              </w:rPr>
            </w:pPr>
            <w:r w:rsidRPr="0047017F">
              <w:rPr>
                <w:rFonts w:ascii="Arial" w:hAnsi="Arial" w:cs="Arial"/>
                <w:sz w:val="18"/>
              </w:rPr>
              <w:t>180.50</w:t>
            </w:r>
          </w:p>
        </w:tc>
        <w:tc>
          <w:tcPr>
            <w:tcW w:w="1559" w:type="dxa"/>
            <w:shd w:val="clear" w:color="auto" w:fill="auto"/>
            <w:noWrap/>
            <w:vAlign w:val="center"/>
            <w:hideMark/>
          </w:tcPr>
          <w:p w14:paraId="4ADCA35F" w14:textId="77777777" w:rsidR="000C1C95" w:rsidRPr="0047017F" w:rsidRDefault="000C1C95" w:rsidP="00836CB3">
            <w:pPr>
              <w:jc w:val="right"/>
              <w:rPr>
                <w:rFonts w:ascii="Arial" w:hAnsi="Arial" w:cs="Arial"/>
                <w:sz w:val="18"/>
              </w:rPr>
            </w:pPr>
            <w:r w:rsidRPr="0047017F">
              <w:rPr>
                <w:rFonts w:ascii="Arial" w:hAnsi="Arial" w:cs="Arial"/>
                <w:sz w:val="18"/>
              </w:rPr>
              <w:t>23,115.60</w:t>
            </w:r>
          </w:p>
        </w:tc>
        <w:tc>
          <w:tcPr>
            <w:tcW w:w="1146" w:type="dxa"/>
            <w:shd w:val="clear" w:color="auto" w:fill="auto"/>
            <w:noWrap/>
            <w:vAlign w:val="center"/>
            <w:hideMark/>
          </w:tcPr>
          <w:p w14:paraId="0D74438A" w14:textId="77777777" w:rsidR="000C1C95" w:rsidRPr="0047017F" w:rsidRDefault="000C1C95" w:rsidP="00836CB3">
            <w:pPr>
              <w:jc w:val="right"/>
              <w:rPr>
                <w:rFonts w:ascii="Arial" w:hAnsi="Arial" w:cs="Arial"/>
                <w:sz w:val="18"/>
              </w:rPr>
            </w:pPr>
            <w:r w:rsidRPr="0047017F">
              <w:rPr>
                <w:rFonts w:ascii="Arial" w:hAnsi="Arial" w:cs="Arial"/>
                <w:sz w:val="18"/>
              </w:rPr>
              <w:t>11,267.90</w:t>
            </w:r>
          </w:p>
        </w:tc>
        <w:tc>
          <w:tcPr>
            <w:tcW w:w="1216" w:type="dxa"/>
            <w:shd w:val="clear" w:color="auto" w:fill="auto"/>
            <w:noWrap/>
            <w:vAlign w:val="center"/>
            <w:hideMark/>
          </w:tcPr>
          <w:p w14:paraId="404FB84F" w14:textId="77777777" w:rsidR="000C1C95" w:rsidRPr="0047017F" w:rsidRDefault="000C1C95" w:rsidP="00836CB3">
            <w:pPr>
              <w:jc w:val="right"/>
              <w:rPr>
                <w:rFonts w:ascii="Arial" w:hAnsi="Arial" w:cs="Arial"/>
                <w:sz w:val="18"/>
              </w:rPr>
            </w:pPr>
            <w:r w:rsidRPr="0047017F">
              <w:rPr>
                <w:rFonts w:ascii="Arial" w:hAnsi="Arial" w:cs="Arial"/>
                <w:sz w:val="18"/>
              </w:rPr>
              <w:t>11,030.80</w:t>
            </w:r>
          </w:p>
        </w:tc>
      </w:tr>
      <w:tr w:rsidR="000C1C95" w:rsidRPr="0047017F" w14:paraId="4B2C10B4" w14:textId="77777777" w:rsidTr="0047017F">
        <w:trPr>
          <w:trHeight w:val="264"/>
        </w:trPr>
        <w:tc>
          <w:tcPr>
            <w:tcW w:w="1620" w:type="dxa"/>
            <w:shd w:val="clear" w:color="auto" w:fill="auto"/>
            <w:noWrap/>
            <w:vAlign w:val="center"/>
            <w:hideMark/>
          </w:tcPr>
          <w:p w14:paraId="3F0203CC" w14:textId="77777777" w:rsidR="000C1C95" w:rsidRPr="0047017F" w:rsidRDefault="000C1C95" w:rsidP="000C1C95">
            <w:pPr>
              <w:rPr>
                <w:rFonts w:ascii="Arial" w:hAnsi="Arial" w:cs="Arial"/>
                <w:sz w:val="18"/>
              </w:rPr>
            </w:pPr>
            <w:r w:rsidRPr="0047017F">
              <w:rPr>
                <w:rFonts w:ascii="Arial" w:hAnsi="Arial" w:cs="Arial"/>
                <w:sz w:val="18"/>
              </w:rPr>
              <w:t>Bosnia-Herzegovina</w:t>
            </w:r>
          </w:p>
        </w:tc>
        <w:tc>
          <w:tcPr>
            <w:tcW w:w="1092" w:type="dxa"/>
            <w:shd w:val="clear" w:color="auto" w:fill="auto"/>
            <w:noWrap/>
            <w:vAlign w:val="center"/>
            <w:hideMark/>
          </w:tcPr>
          <w:p w14:paraId="4B5875D6" w14:textId="77777777" w:rsidR="000C1C95" w:rsidRPr="0047017F" w:rsidRDefault="000C1C95" w:rsidP="00836CB3">
            <w:pPr>
              <w:jc w:val="right"/>
              <w:rPr>
                <w:rFonts w:ascii="Arial" w:hAnsi="Arial" w:cs="Arial"/>
                <w:sz w:val="18"/>
              </w:rPr>
            </w:pPr>
            <w:r w:rsidRPr="0047017F">
              <w:rPr>
                <w:rFonts w:ascii="Arial" w:hAnsi="Arial" w:cs="Arial"/>
                <w:sz w:val="18"/>
              </w:rPr>
              <w:t>81</w:t>
            </w:r>
          </w:p>
        </w:tc>
        <w:tc>
          <w:tcPr>
            <w:tcW w:w="1276" w:type="dxa"/>
            <w:shd w:val="clear" w:color="auto" w:fill="auto"/>
            <w:noWrap/>
            <w:vAlign w:val="center"/>
            <w:hideMark/>
          </w:tcPr>
          <w:p w14:paraId="1BAD6C95" w14:textId="77777777" w:rsidR="000C1C95" w:rsidRPr="0047017F" w:rsidRDefault="000C1C95" w:rsidP="00836CB3">
            <w:pPr>
              <w:jc w:val="right"/>
              <w:rPr>
                <w:rFonts w:ascii="Arial" w:hAnsi="Arial" w:cs="Arial"/>
                <w:sz w:val="18"/>
              </w:rPr>
            </w:pPr>
            <w:r w:rsidRPr="0047017F">
              <w:rPr>
                <w:rFonts w:ascii="Arial" w:hAnsi="Arial" w:cs="Arial"/>
                <w:sz w:val="18"/>
              </w:rPr>
              <w:t>4,281.00</w:t>
            </w:r>
          </w:p>
        </w:tc>
        <w:tc>
          <w:tcPr>
            <w:tcW w:w="1134" w:type="dxa"/>
            <w:shd w:val="clear" w:color="auto" w:fill="auto"/>
            <w:noWrap/>
            <w:vAlign w:val="center"/>
            <w:hideMark/>
          </w:tcPr>
          <w:p w14:paraId="672B61CC" w14:textId="77777777" w:rsidR="000C1C95" w:rsidRPr="0047017F" w:rsidRDefault="000C1C95" w:rsidP="00836CB3">
            <w:pPr>
              <w:jc w:val="right"/>
              <w:rPr>
                <w:rFonts w:ascii="Arial" w:hAnsi="Arial" w:cs="Arial"/>
                <w:sz w:val="18"/>
              </w:rPr>
            </w:pPr>
            <w:r w:rsidRPr="0047017F">
              <w:rPr>
                <w:rFonts w:ascii="Arial" w:hAnsi="Arial" w:cs="Arial"/>
                <w:sz w:val="18"/>
              </w:rPr>
              <w:t>16</w:t>
            </w:r>
          </w:p>
        </w:tc>
        <w:tc>
          <w:tcPr>
            <w:tcW w:w="1559" w:type="dxa"/>
            <w:shd w:val="clear" w:color="auto" w:fill="auto"/>
            <w:noWrap/>
            <w:vAlign w:val="center"/>
            <w:hideMark/>
          </w:tcPr>
          <w:p w14:paraId="0653CEDE" w14:textId="77777777" w:rsidR="000C1C95" w:rsidRPr="0047017F" w:rsidRDefault="000C1C95" w:rsidP="00836CB3">
            <w:pPr>
              <w:jc w:val="right"/>
              <w:rPr>
                <w:rFonts w:ascii="Arial" w:hAnsi="Arial" w:cs="Arial"/>
                <w:sz w:val="18"/>
              </w:rPr>
            </w:pPr>
            <w:r w:rsidRPr="0047017F">
              <w:rPr>
                <w:rFonts w:ascii="Arial" w:hAnsi="Arial" w:cs="Arial"/>
                <w:sz w:val="18"/>
              </w:rPr>
              <w:t>84.70</w:t>
            </w:r>
          </w:p>
        </w:tc>
        <w:tc>
          <w:tcPr>
            <w:tcW w:w="2268" w:type="dxa"/>
            <w:shd w:val="clear" w:color="auto" w:fill="auto"/>
            <w:noWrap/>
            <w:vAlign w:val="center"/>
            <w:hideMark/>
          </w:tcPr>
          <w:p w14:paraId="5833C282" w14:textId="77777777" w:rsidR="000C1C95" w:rsidRPr="0047017F" w:rsidRDefault="000C1C95" w:rsidP="00836CB3">
            <w:pPr>
              <w:jc w:val="right"/>
              <w:rPr>
                <w:rFonts w:ascii="Arial" w:hAnsi="Arial" w:cs="Arial"/>
                <w:sz w:val="18"/>
              </w:rPr>
            </w:pPr>
            <w:r w:rsidRPr="0047017F">
              <w:rPr>
                <w:rFonts w:ascii="Arial" w:hAnsi="Arial" w:cs="Arial"/>
                <w:sz w:val="18"/>
              </w:rPr>
              <w:t>80.80</w:t>
            </w:r>
          </w:p>
        </w:tc>
        <w:tc>
          <w:tcPr>
            <w:tcW w:w="1559" w:type="dxa"/>
            <w:shd w:val="clear" w:color="auto" w:fill="auto"/>
            <w:noWrap/>
            <w:vAlign w:val="center"/>
            <w:hideMark/>
          </w:tcPr>
          <w:p w14:paraId="54B9E757" w14:textId="77777777" w:rsidR="000C1C95" w:rsidRPr="0047017F" w:rsidRDefault="000C1C95" w:rsidP="00836CB3">
            <w:pPr>
              <w:jc w:val="right"/>
              <w:rPr>
                <w:rFonts w:ascii="Arial" w:hAnsi="Arial" w:cs="Arial"/>
                <w:sz w:val="18"/>
              </w:rPr>
            </w:pPr>
            <w:r w:rsidRPr="0047017F">
              <w:rPr>
                <w:rFonts w:ascii="Arial" w:hAnsi="Arial" w:cs="Arial"/>
                <w:sz w:val="18"/>
              </w:rPr>
              <w:t>3,554.50</w:t>
            </w:r>
          </w:p>
        </w:tc>
        <w:tc>
          <w:tcPr>
            <w:tcW w:w="1146" w:type="dxa"/>
            <w:shd w:val="clear" w:color="auto" w:fill="auto"/>
            <w:noWrap/>
            <w:vAlign w:val="center"/>
            <w:hideMark/>
          </w:tcPr>
          <w:p w14:paraId="7AECE6F1" w14:textId="77777777" w:rsidR="000C1C95" w:rsidRPr="0047017F" w:rsidRDefault="000C1C95" w:rsidP="00836CB3">
            <w:pPr>
              <w:jc w:val="right"/>
              <w:rPr>
                <w:rFonts w:ascii="Arial" w:hAnsi="Arial" w:cs="Arial"/>
                <w:sz w:val="18"/>
              </w:rPr>
            </w:pPr>
            <w:r w:rsidRPr="0047017F">
              <w:rPr>
                <w:rFonts w:ascii="Arial" w:hAnsi="Arial" w:cs="Arial"/>
                <w:sz w:val="18"/>
              </w:rPr>
              <w:t>3,816.20</w:t>
            </w:r>
          </w:p>
        </w:tc>
        <w:tc>
          <w:tcPr>
            <w:tcW w:w="1216" w:type="dxa"/>
            <w:shd w:val="clear" w:color="auto" w:fill="auto"/>
            <w:noWrap/>
            <w:vAlign w:val="center"/>
            <w:hideMark/>
          </w:tcPr>
          <w:p w14:paraId="6D64B2CB" w14:textId="77777777" w:rsidR="000C1C95" w:rsidRPr="0047017F" w:rsidRDefault="000C1C95" w:rsidP="00836CB3">
            <w:pPr>
              <w:jc w:val="right"/>
              <w:rPr>
                <w:rFonts w:ascii="Arial" w:hAnsi="Arial" w:cs="Arial"/>
                <w:sz w:val="18"/>
              </w:rPr>
            </w:pPr>
            <w:r w:rsidRPr="0047017F">
              <w:rPr>
                <w:rFonts w:ascii="Arial" w:hAnsi="Arial" w:cs="Arial"/>
                <w:sz w:val="18"/>
              </w:rPr>
              <w:t>2,004.70</w:t>
            </w:r>
          </w:p>
        </w:tc>
      </w:tr>
      <w:tr w:rsidR="000C1C95" w:rsidRPr="0047017F" w14:paraId="3C05CDE0" w14:textId="77777777" w:rsidTr="0047017F">
        <w:trPr>
          <w:trHeight w:val="264"/>
        </w:trPr>
        <w:tc>
          <w:tcPr>
            <w:tcW w:w="1620" w:type="dxa"/>
            <w:shd w:val="clear" w:color="auto" w:fill="auto"/>
            <w:noWrap/>
            <w:vAlign w:val="center"/>
            <w:hideMark/>
          </w:tcPr>
          <w:p w14:paraId="7489A613" w14:textId="77777777" w:rsidR="000C1C95" w:rsidRPr="0047017F" w:rsidRDefault="000C1C95" w:rsidP="000C1C95">
            <w:pPr>
              <w:rPr>
                <w:rFonts w:ascii="Arial" w:hAnsi="Arial" w:cs="Arial"/>
                <w:sz w:val="18"/>
              </w:rPr>
            </w:pPr>
            <w:r w:rsidRPr="0047017F">
              <w:rPr>
                <w:rFonts w:ascii="Arial" w:hAnsi="Arial" w:cs="Arial"/>
                <w:sz w:val="18"/>
              </w:rPr>
              <w:t>Bulgaria</w:t>
            </w:r>
          </w:p>
        </w:tc>
        <w:tc>
          <w:tcPr>
            <w:tcW w:w="1092" w:type="dxa"/>
            <w:shd w:val="clear" w:color="auto" w:fill="auto"/>
            <w:noWrap/>
            <w:vAlign w:val="center"/>
            <w:hideMark/>
          </w:tcPr>
          <w:p w14:paraId="5FB51B30" w14:textId="77777777" w:rsidR="000C1C95" w:rsidRPr="0047017F" w:rsidRDefault="000C1C95" w:rsidP="00836CB3">
            <w:pPr>
              <w:jc w:val="right"/>
              <w:rPr>
                <w:rFonts w:ascii="Arial" w:hAnsi="Arial" w:cs="Arial"/>
                <w:sz w:val="18"/>
              </w:rPr>
            </w:pPr>
            <w:r w:rsidRPr="0047017F">
              <w:rPr>
                <w:rFonts w:ascii="Arial" w:hAnsi="Arial" w:cs="Arial"/>
                <w:sz w:val="18"/>
              </w:rPr>
              <w:t>39</w:t>
            </w:r>
          </w:p>
        </w:tc>
        <w:tc>
          <w:tcPr>
            <w:tcW w:w="1276" w:type="dxa"/>
            <w:shd w:val="clear" w:color="auto" w:fill="auto"/>
            <w:noWrap/>
            <w:vAlign w:val="center"/>
            <w:hideMark/>
          </w:tcPr>
          <w:p w14:paraId="41E0FD0B" w14:textId="77777777" w:rsidR="000C1C95" w:rsidRPr="0047017F" w:rsidRDefault="000C1C95" w:rsidP="00836CB3">
            <w:pPr>
              <w:jc w:val="right"/>
              <w:rPr>
                <w:rFonts w:ascii="Arial" w:hAnsi="Arial" w:cs="Arial"/>
                <w:sz w:val="18"/>
              </w:rPr>
            </w:pPr>
            <w:r w:rsidRPr="0047017F">
              <w:rPr>
                <w:rFonts w:ascii="Arial" w:hAnsi="Arial" w:cs="Arial"/>
                <w:sz w:val="18"/>
              </w:rPr>
              <w:t>7,285.60</w:t>
            </w:r>
          </w:p>
        </w:tc>
        <w:tc>
          <w:tcPr>
            <w:tcW w:w="1134" w:type="dxa"/>
            <w:shd w:val="clear" w:color="auto" w:fill="auto"/>
            <w:noWrap/>
            <w:vAlign w:val="center"/>
            <w:hideMark/>
          </w:tcPr>
          <w:p w14:paraId="6F586B74" w14:textId="77777777" w:rsidR="000C1C95" w:rsidRPr="0047017F" w:rsidRDefault="000C1C95" w:rsidP="00836CB3">
            <w:pPr>
              <w:jc w:val="right"/>
              <w:rPr>
                <w:rFonts w:ascii="Arial" w:hAnsi="Arial" w:cs="Arial"/>
                <w:sz w:val="18"/>
              </w:rPr>
            </w:pPr>
            <w:r w:rsidRPr="0047017F">
              <w:rPr>
                <w:rFonts w:ascii="Arial" w:hAnsi="Arial" w:cs="Arial"/>
                <w:sz w:val="18"/>
              </w:rPr>
              <w:t>52</w:t>
            </w:r>
          </w:p>
        </w:tc>
        <w:tc>
          <w:tcPr>
            <w:tcW w:w="1559" w:type="dxa"/>
            <w:shd w:val="clear" w:color="auto" w:fill="auto"/>
            <w:noWrap/>
            <w:vAlign w:val="center"/>
            <w:hideMark/>
          </w:tcPr>
          <w:p w14:paraId="2E1F46E4" w14:textId="77777777" w:rsidR="000C1C95" w:rsidRPr="0047017F" w:rsidRDefault="000C1C95" w:rsidP="00836CB3">
            <w:pPr>
              <w:jc w:val="right"/>
              <w:rPr>
                <w:rFonts w:ascii="Arial" w:hAnsi="Arial" w:cs="Arial"/>
                <w:sz w:val="18"/>
              </w:rPr>
            </w:pPr>
            <w:r w:rsidRPr="0047017F">
              <w:rPr>
                <w:rFonts w:ascii="Arial" w:hAnsi="Arial" w:cs="Arial"/>
                <w:sz w:val="18"/>
              </w:rPr>
              <w:t>46.00</w:t>
            </w:r>
          </w:p>
        </w:tc>
        <w:tc>
          <w:tcPr>
            <w:tcW w:w="2268" w:type="dxa"/>
            <w:shd w:val="clear" w:color="auto" w:fill="auto"/>
            <w:noWrap/>
            <w:vAlign w:val="center"/>
            <w:hideMark/>
          </w:tcPr>
          <w:p w14:paraId="00EF5526" w14:textId="77777777" w:rsidR="000C1C95" w:rsidRPr="0047017F" w:rsidRDefault="000C1C95" w:rsidP="00836CB3">
            <w:pPr>
              <w:jc w:val="right"/>
              <w:rPr>
                <w:rFonts w:ascii="Arial" w:hAnsi="Arial" w:cs="Arial"/>
                <w:sz w:val="18"/>
              </w:rPr>
            </w:pPr>
            <w:r w:rsidRPr="0047017F">
              <w:rPr>
                <w:rFonts w:ascii="Arial" w:hAnsi="Arial" w:cs="Arial"/>
                <w:sz w:val="18"/>
              </w:rPr>
              <w:t>86.70</w:t>
            </w:r>
          </w:p>
        </w:tc>
        <w:tc>
          <w:tcPr>
            <w:tcW w:w="1559" w:type="dxa"/>
            <w:shd w:val="clear" w:color="auto" w:fill="auto"/>
            <w:noWrap/>
            <w:vAlign w:val="center"/>
            <w:hideMark/>
          </w:tcPr>
          <w:p w14:paraId="78A24EBF" w14:textId="77777777" w:rsidR="000C1C95" w:rsidRPr="0047017F" w:rsidRDefault="000C1C95" w:rsidP="00836CB3">
            <w:pPr>
              <w:jc w:val="right"/>
              <w:rPr>
                <w:rFonts w:ascii="Arial" w:hAnsi="Arial" w:cs="Arial"/>
                <w:sz w:val="18"/>
              </w:rPr>
            </w:pPr>
            <w:r w:rsidRPr="0047017F">
              <w:rPr>
                <w:rFonts w:ascii="Arial" w:hAnsi="Arial" w:cs="Arial"/>
                <w:sz w:val="18"/>
              </w:rPr>
              <w:t>4,126.50</w:t>
            </w:r>
          </w:p>
        </w:tc>
        <w:tc>
          <w:tcPr>
            <w:tcW w:w="1146" w:type="dxa"/>
            <w:shd w:val="clear" w:color="auto" w:fill="auto"/>
            <w:noWrap/>
            <w:vAlign w:val="center"/>
            <w:hideMark/>
          </w:tcPr>
          <w:p w14:paraId="05B3DB38" w14:textId="77777777" w:rsidR="000C1C95" w:rsidRPr="0047017F" w:rsidRDefault="000C1C95" w:rsidP="00836CB3">
            <w:pPr>
              <w:jc w:val="right"/>
              <w:rPr>
                <w:rFonts w:ascii="Arial" w:hAnsi="Arial" w:cs="Arial"/>
                <w:sz w:val="18"/>
              </w:rPr>
            </w:pPr>
            <w:r w:rsidRPr="0047017F">
              <w:rPr>
                <w:rFonts w:ascii="Arial" w:hAnsi="Arial" w:cs="Arial"/>
                <w:sz w:val="18"/>
              </w:rPr>
              <w:t>7,153.80</w:t>
            </w:r>
          </w:p>
        </w:tc>
        <w:tc>
          <w:tcPr>
            <w:tcW w:w="1216" w:type="dxa"/>
            <w:shd w:val="clear" w:color="auto" w:fill="auto"/>
            <w:noWrap/>
            <w:vAlign w:val="center"/>
            <w:hideMark/>
          </w:tcPr>
          <w:p w14:paraId="5FEDACAA" w14:textId="77777777" w:rsidR="000C1C95" w:rsidRPr="0047017F" w:rsidRDefault="000C1C95" w:rsidP="00836CB3">
            <w:pPr>
              <w:jc w:val="right"/>
              <w:rPr>
                <w:rFonts w:ascii="Arial" w:hAnsi="Arial" w:cs="Arial"/>
                <w:sz w:val="18"/>
              </w:rPr>
            </w:pPr>
            <w:r w:rsidRPr="0047017F">
              <w:rPr>
                <w:rFonts w:ascii="Arial" w:hAnsi="Arial" w:cs="Arial"/>
                <w:sz w:val="18"/>
              </w:rPr>
              <w:t>5,227.20</w:t>
            </w:r>
          </w:p>
        </w:tc>
      </w:tr>
      <w:tr w:rsidR="000C1C95" w:rsidRPr="0047017F" w14:paraId="7E7C5799" w14:textId="77777777" w:rsidTr="0047017F">
        <w:trPr>
          <w:trHeight w:val="264"/>
        </w:trPr>
        <w:tc>
          <w:tcPr>
            <w:tcW w:w="1620" w:type="dxa"/>
            <w:shd w:val="clear" w:color="auto" w:fill="auto"/>
            <w:noWrap/>
            <w:vAlign w:val="center"/>
            <w:hideMark/>
          </w:tcPr>
          <w:p w14:paraId="45B7D53A" w14:textId="77777777" w:rsidR="000C1C95" w:rsidRPr="0047017F" w:rsidRDefault="000C1C95" w:rsidP="000C1C95">
            <w:pPr>
              <w:rPr>
                <w:rFonts w:ascii="Arial" w:hAnsi="Arial" w:cs="Arial"/>
                <w:sz w:val="18"/>
              </w:rPr>
            </w:pPr>
            <w:r w:rsidRPr="0047017F">
              <w:rPr>
                <w:rFonts w:ascii="Arial" w:hAnsi="Arial" w:cs="Arial"/>
                <w:sz w:val="18"/>
              </w:rPr>
              <w:t>Croatia</w:t>
            </w:r>
          </w:p>
        </w:tc>
        <w:tc>
          <w:tcPr>
            <w:tcW w:w="1092" w:type="dxa"/>
            <w:shd w:val="clear" w:color="auto" w:fill="auto"/>
            <w:noWrap/>
            <w:vAlign w:val="center"/>
            <w:hideMark/>
          </w:tcPr>
          <w:p w14:paraId="387BFD85" w14:textId="77777777" w:rsidR="000C1C95" w:rsidRPr="0047017F" w:rsidRDefault="000C1C95" w:rsidP="00836CB3">
            <w:pPr>
              <w:jc w:val="right"/>
              <w:rPr>
                <w:rFonts w:ascii="Arial" w:hAnsi="Arial" w:cs="Arial"/>
                <w:sz w:val="18"/>
              </w:rPr>
            </w:pPr>
            <w:r w:rsidRPr="0047017F">
              <w:rPr>
                <w:rFonts w:ascii="Arial" w:hAnsi="Arial" w:cs="Arial"/>
                <w:sz w:val="18"/>
              </w:rPr>
              <w:t>43</w:t>
            </w:r>
          </w:p>
        </w:tc>
        <w:tc>
          <w:tcPr>
            <w:tcW w:w="1276" w:type="dxa"/>
            <w:shd w:val="clear" w:color="auto" w:fill="auto"/>
            <w:noWrap/>
            <w:vAlign w:val="center"/>
            <w:hideMark/>
          </w:tcPr>
          <w:p w14:paraId="07B99CEE" w14:textId="77777777" w:rsidR="000C1C95" w:rsidRPr="0047017F" w:rsidRDefault="000C1C95" w:rsidP="00836CB3">
            <w:pPr>
              <w:jc w:val="right"/>
              <w:rPr>
                <w:rFonts w:ascii="Arial" w:hAnsi="Arial" w:cs="Arial"/>
                <w:sz w:val="18"/>
              </w:rPr>
            </w:pPr>
            <w:r w:rsidRPr="0047017F">
              <w:rPr>
                <w:rFonts w:ascii="Arial" w:hAnsi="Arial" w:cs="Arial"/>
                <w:sz w:val="18"/>
              </w:rPr>
              <w:t>12,004.40</w:t>
            </w:r>
          </w:p>
        </w:tc>
        <w:tc>
          <w:tcPr>
            <w:tcW w:w="1134" w:type="dxa"/>
            <w:shd w:val="clear" w:color="auto" w:fill="auto"/>
            <w:noWrap/>
            <w:vAlign w:val="center"/>
            <w:hideMark/>
          </w:tcPr>
          <w:p w14:paraId="76C6001E" w14:textId="77777777" w:rsidR="000C1C95" w:rsidRPr="0047017F" w:rsidRDefault="000C1C95" w:rsidP="00836CB3">
            <w:pPr>
              <w:jc w:val="right"/>
              <w:rPr>
                <w:rFonts w:ascii="Arial" w:hAnsi="Arial" w:cs="Arial"/>
                <w:sz w:val="18"/>
              </w:rPr>
            </w:pPr>
            <w:r w:rsidRPr="0047017F">
              <w:rPr>
                <w:rFonts w:ascii="Arial" w:hAnsi="Arial" w:cs="Arial"/>
                <w:sz w:val="18"/>
              </w:rPr>
              <w:t>50</w:t>
            </w:r>
          </w:p>
        </w:tc>
        <w:tc>
          <w:tcPr>
            <w:tcW w:w="1559" w:type="dxa"/>
            <w:shd w:val="clear" w:color="auto" w:fill="auto"/>
            <w:noWrap/>
            <w:vAlign w:val="center"/>
            <w:hideMark/>
          </w:tcPr>
          <w:p w14:paraId="24FF7ECE" w14:textId="77777777" w:rsidR="000C1C95" w:rsidRPr="0047017F" w:rsidRDefault="000C1C95" w:rsidP="00836CB3">
            <w:pPr>
              <w:jc w:val="right"/>
              <w:rPr>
                <w:rFonts w:ascii="Arial" w:hAnsi="Arial" w:cs="Arial"/>
                <w:sz w:val="18"/>
              </w:rPr>
            </w:pPr>
            <w:r w:rsidRPr="0047017F">
              <w:rPr>
                <w:rFonts w:ascii="Arial" w:hAnsi="Arial" w:cs="Arial"/>
                <w:sz w:val="18"/>
              </w:rPr>
              <w:t>137.70</w:t>
            </w:r>
          </w:p>
        </w:tc>
        <w:tc>
          <w:tcPr>
            <w:tcW w:w="2268" w:type="dxa"/>
            <w:shd w:val="clear" w:color="auto" w:fill="auto"/>
            <w:noWrap/>
            <w:vAlign w:val="center"/>
            <w:hideMark/>
          </w:tcPr>
          <w:p w14:paraId="78B05AB5" w14:textId="77777777" w:rsidR="000C1C95" w:rsidRPr="0047017F" w:rsidRDefault="000C1C95" w:rsidP="00836CB3">
            <w:pPr>
              <w:jc w:val="right"/>
              <w:rPr>
                <w:rFonts w:ascii="Arial" w:hAnsi="Arial" w:cs="Arial"/>
                <w:sz w:val="18"/>
              </w:rPr>
            </w:pPr>
            <w:r w:rsidRPr="0047017F">
              <w:rPr>
                <w:rFonts w:ascii="Arial" w:hAnsi="Arial" w:cs="Arial"/>
                <w:sz w:val="18"/>
              </w:rPr>
              <w:t>89.30</w:t>
            </w:r>
          </w:p>
        </w:tc>
        <w:tc>
          <w:tcPr>
            <w:tcW w:w="1559" w:type="dxa"/>
            <w:shd w:val="clear" w:color="auto" w:fill="auto"/>
            <w:noWrap/>
            <w:vAlign w:val="center"/>
            <w:hideMark/>
          </w:tcPr>
          <w:p w14:paraId="2094C299" w14:textId="77777777" w:rsidR="000C1C95" w:rsidRPr="0047017F" w:rsidRDefault="000C1C95" w:rsidP="00836CB3">
            <w:pPr>
              <w:jc w:val="right"/>
              <w:rPr>
                <w:rFonts w:ascii="Arial" w:hAnsi="Arial" w:cs="Arial"/>
                <w:sz w:val="18"/>
              </w:rPr>
            </w:pPr>
            <w:r w:rsidRPr="0047017F">
              <w:rPr>
                <w:rFonts w:ascii="Arial" w:hAnsi="Arial" w:cs="Arial"/>
                <w:sz w:val="18"/>
              </w:rPr>
              <w:t>7,658.30</w:t>
            </w:r>
          </w:p>
        </w:tc>
        <w:tc>
          <w:tcPr>
            <w:tcW w:w="1146" w:type="dxa"/>
            <w:shd w:val="clear" w:color="auto" w:fill="auto"/>
            <w:noWrap/>
            <w:vAlign w:val="center"/>
            <w:hideMark/>
          </w:tcPr>
          <w:p w14:paraId="05FA3057" w14:textId="77777777" w:rsidR="000C1C95" w:rsidRPr="0047017F" w:rsidRDefault="000C1C95" w:rsidP="00836CB3">
            <w:pPr>
              <w:jc w:val="right"/>
              <w:rPr>
                <w:rFonts w:ascii="Arial" w:hAnsi="Arial" w:cs="Arial"/>
                <w:sz w:val="18"/>
              </w:rPr>
            </w:pPr>
            <w:r w:rsidRPr="0047017F">
              <w:rPr>
                <w:rFonts w:ascii="Arial" w:hAnsi="Arial" w:cs="Arial"/>
                <w:sz w:val="18"/>
              </w:rPr>
              <w:t>4,190.70</w:t>
            </w:r>
          </w:p>
        </w:tc>
        <w:tc>
          <w:tcPr>
            <w:tcW w:w="1216" w:type="dxa"/>
            <w:shd w:val="clear" w:color="auto" w:fill="auto"/>
            <w:noWrap/>
            <w:vAlign w:val="center"/>
            <w:hideMark/>
          </w:tcPr>
          <w:p w14:paraId="6A1D3B64" w14:textId="77777777" w:rsidR="000C1C95" w:rsidRPr="0047017F" w:rsidRDefault="000C1C95" w:rsidP="00836CB3">
            <w:pPr>
              <w:jc w:val="right"/>
              <w:rPr>
                <w:rFonts w:ascii="Arial" w:hAnsi="Arial" w:cs="Arial"/>
                <w:sz w:val="18"/>
              </w:rPr>
            </w:pPr>
            <w:r w:rsidRPr="0047017F">
              <w:rPr>
                <w:rFonts w:ascii="Arial" w:hAnsi="Arial" w:cs="Arial"/>
                <w:sz w:val="18"/>
              </w:rPr>
              <w:t>2,484.70</w:t>
            </w:r>
          </w:p>
        </w:tc>
      </w:tr>
      <w:tr w:rsidR="000C1C95" w:rsidRPr="0047017F" w14:paraId="4705717A" w14:textId="77777777" w:rsidTr="0047017F">
        <w:trPr>
          <w:trHeight w:val="264"/>
        </w:trPr>
        <w:tc>
          <w:tcPr>
            <w:tcW w:w="1620" w:type="dxa"/>
            <w:shd w:val="clear" w:color="auto" w:fill="auto"/>
            <w:noWrap/>
            <w:vAlign w:val="center"/>
            <w:hideMark/>
          </w:tcPr>
          <w:p w14:paraId="0339747C" w14:textId="77777777" w:rsidR="000C1C95" w:rsidRPr="0047017F" w:rsidRDefault="000C1C95" w:rsidP="000C1C95">
            <w:pPr>
              <w:rPr>
                <w:rFonts w:ascii="Arial" w:hAnsi="Arial" w:cs="Arial"/>
                <w:sz w:val="18"/>
              </w:rPr>
            </w:pPr>
            <w:r w:rsidRPr="0047017F">
              <w:rPr>
                <w:rFonts w:ascii="Arial" w:hAnsi="Arial" w:cs="Arial"/>
                <w:sz w:val="18"/>
              </w:rPr>
              <w:t>Czech Republic</w:t>
            </w:r>
          </w:p>
        </w:tc>
        <w:tc>
          <w:tcPr>
            <w:tcW w:w="1092" w:type="dxa"/>
            <w:shd w:val="clear" w:color="auto" w:fill="auto"/>
            <w:noWrap/>
            <w:vAlign w:val="center"/>
            <w:hideMark/>
          </w:tcPr>
          <w:p w14:paraId="4E365BBD" w14:textId="77777777" w:rsidR="000C1C95" w:rsidRPr="0047017F" w:rsidRDefault="000C1C95" w:rsidP="00836CB3">
            <w:pPr>
              <w:jc w:val="right"/>
              <w:rPr>
                <w:rFonts w:ascii="Arial" w:hAnsi="Arial" w:cs="Arial"/>
                <w:sz w:val="18"/>
              </w:rPr>
            </w:pPr>
            <w:r w:rsidRPr="0047017F">
              <w:rPr>
                <w:rFonts w:ascii="Arial" w:hAnsi="Arial" w:cs="Arial"/>
                <w:sz w:val="18"/>
              </w:rPr>
              <w:t>27</w:t>
            </w:r>
          </w:p>
        </w:tc>
        <w:tc>
          <w:tcPr>
            <w:tcW w:w="1276" w:type="dxa"/>
            <w:shd w:val="clear" w:color="auto" w:fill="auto"/>
            <w:noWrap/>
            <w:vAlign w:val="center"/>
            <w:hideMark/>
          </w:tcPr>
          <w:p w14:paraId="166A3F53" w14:textId="77777777" w:rsidR="000C1C95" w:rsidRPr="0047017F" w:rsidRDefault="000C1C95" w:rsidP="00836CB3">
            <w:pPr>
              <w:jc w:val="right"/>
              <w:rPr>
                <w:rFonts w:ascii="Arial" w:hAnsi="Arial" w:cs="Arial"/>
                <w:sz w:val="18"/>
              </w:rPr>
            </w:pPr>
            <w:r w:rsidRPr="0047017F">
              <w:rPr>
                <w:rFonts w:ascii="Arial" w:hAnsi="Arial" w:cs="Arial"/>
                <w:sz w:val="18"/>
              </w:rPr>
              <w:t>18,342.10</w:t>
            </w:r>
          </w:p>
        </w:tc>
        <w:tc>
          <w:tcPr>
            <w:tcW w:w="1134" w:type="dxa"/>
            <w:shd w:val="clear" w:color="auto" w:fill="auto"/>
            <w:noWrap/>
            <w:vAlign w:val="center"/>
            <w:hideMark/>
          </w:tcPr>
          <w:p w14:paraId="050C1F95" w14:textId="77777777" w:rsidR="000C1C95" w:rsidRPr="0047017F" w:rsidRDefault="000C1C95" w:rsidP="00836CB3">
            <w:pPr>
              <w:jc w:val="right"/>
              <w:rPr>
                <w:rFonts w:ascii="Arial" w:hAnsi="Arial" w:cs="Arial"/>
                <w:sz w:val="18"/>
              </w:rPr>
            </w:pPr>
            <w:r w:rsidRPr="0047017F">
              <w:rPr>
                <w:rFonts w:ascii="Arial" w:hAnsi="Arial" w:cs="Arial"/>
                <w:sz w:val="18"/>
              </w:rPr>
              <w:t>194</w:t>
            </w:r>
          </w:p>
        </w:tc>
        <w:tc>
          <w:tcPr>
            <w:tcW w:w="1559" w:type="dxa"/>
            <w:shd w:val="clear" w:color="auto" w:fill="auto"/>
            <w:noWrap/>
            <w:vAlign w:val="center"/>
            <w:hideMark/>
          </w:tcPr>
          <w:p w14:paraId="3D245518" w14:textId="77777777" w:rsidR="000C1C95" w:rsidRPr="0047017F" w:rsidRDefault="000C1C95" w:rsidP="00836CB3">
            <w:pPr>
              <w:jc w:val="right"/>
              <w:rPr>
                <w:rFonts w:ascii="Arial" w:hAnsi="Arial" w:cs="Arial"/>
                <w:sz w:val="18"/>
              </w:rPr>
            </w:pPr>
            <w:r w:rsidRPr="0047017F">
              <w:rPr>
                <w:rFonts w:ascii="Arial" w:hAnsi="Arial" w:cs="Arial"/>
                <w:sz w:val="18"/>
              </w:rPr>
              <w:t>135.00</w:t>
            </w:r>
          </w:p>
        </w:tc>
        <w:tc>
          <w:tcPr>
            <w:tcW w:w="2268" w:type="dxa"/>
            <w:shd w:val="clear" w:color="auto" w:fill="auto"/>
            <w:noWrap/>
            <w:vAlign w:val="center"/>
            <w:hideMark/>
          </w:tcPr>
          <w:p w14:paraId="35E15BE0" w14:textId="77777777" w:rsidR="000C1C95" w:rsidRPr="0047017F" w:rsidRDefault="000C1C95" w:rsidP="00836CB3">
            <w:pPr>
              <w:jc w:val="right"/>
              <w:rPr>
                <w:rFonts w:ascii="Arial" w:hAnsi="Arial" w:cs="Arial"/>
                <w:sz w:val="18"/>
              </w:rPr>
            </w:pPr>
            <w:r w:rsidRPr="0047017F">
              <w:rPr>
                <w:rFonts w:ascii="Arial" w:hAnsi="Arial" w:cs="Arial"/>
                <w:sz w:val="18"/>
              </w:rPr>
              <w:t>89.10</w:t>
            </w:r>
          </w:p>
        </w:tc>
        <w:tc>
          <w:tcPr>
            <w:tcW w:w="1559" w:type="dxa"/>
            <w:shd w:val="clear" w:color="auto" w:fill="auto"/>
            <w:noWrap/>
            <w:vAlign w:val="center"/>
            <w:hideMark/>
          </w:tcPr>
          <w:p w14:paraId="218E7845" w14:textId="77777777" w:rsidR="000C1C95" w:rsidRPr="0047017F" w:rsidRDefault="000C1C95" w:rsidP="00836CB3">
            <w:pPr>
              <w:jc w:val="right"/>
              <w:rPr>
                <w:rFonts w:ascii="Arial" w:hAnsi="Arial" w:cs="Arial"/>
                <w:sz w:val="18"/>
              </w:rPr>
            </w:pPr>
            <w:r w:rsidRPr="0047017F">
              <w:rPr>
                <w:rFonts w:ascii="Arial" w:hAnsi="Arial" w:cs="Arial"/>
                <w:sz w:val="18"/>
              </w:rPr>
              <w:t>9,481.90</w:t>
            </w:r>
          </w:p>
        </w:tc>
        <w:tc>
          <w:tcPr>
            <w:tcW w:w="1146" w:type="dxa"/>
            <w:shd w:val="clear" w:color="auto" w:fill="auto"/>
            <w:noWrap/>
            <w:vAlign w:val="center"/>
            <w:hideMark/>
          </w:tcPr>
          <w:p w14:paraId="71A8A503" w14:textId="77777777" w:rsidR="000C1C95" w:rsidRPr="0047017F" w:rsidRDefault="000C1C95" w:rsidP="00836CB3">
            <w:pPr>
              <w:jc w:val="right"/>
              <w:rPr>
                <w:rFonts w:ascii="Arial" w:hAnsi="Arial" w:cs="Arial"/>
                <w:sz w:val="18"/>
              </w:rPr>
            </w:pPr>
            <w:r w:rsidRPr="0047017F">
              <w:rPr>
                <w:rFonts w:ascii="Arial" w:hAnsi="Arial" w:cs="Arial"/>
                <w:sz w:val="18"/>
              </w:rPr>
              <w:t>10,553.20</w:t>
            </w:r>
          </w:p>
        </w:tc>
        <w:tc>
          <w:tcPr>
            <w:tcW w:w="1216" w:type="dxa"/>
            <w:shd w:val="clear" w:color="auto" w:fill="auto"/>
            <w:noWrap/>
            <w:vAlign w:val="center"/>
            <w:hideMark/>
          </w:tcPr>
          <w:p w14:paraId="6DCF5BE6" w14:textId="77777777" w:rsidR="000C1C95" w:rsidRPr="0047017F" w:rsidRDefault="000C1C95" w:rsidP="00836CB3">
            <w:pPr>
              <w:jc w:val="right"/>
              <w:rPr>
                <w:rFonts w:ascii="Arial" w:hAnsi="Arial" w:cs="Arial"/>
                <w:sz w:val="18"/>
              </w:rPr>
            </w:pPr>
            <w:r w:rsidRPr="0047017F">
              <w:rPr>
                <w:rFonts w:ascii="Arial" w:hAnsi="Arial" w:cs="Arial"/>
                <w:sz w:val="18"/>
              </w:rPr>
              <w:t>7,727.30</w:t>
            </w:r>
          </w:p>
        </w:tc>
      </w:tr>
      <w:tr w:rsidR="000C1C95" w:rsidRPr="0047017F" w14:paraId="032D2F08" w14:textId="77777777" w:rsidTr="0047017F">
        <w:trPr>
          <w:trHeight w:val="264"/>
        </w:trPr>
        <w:tc>
          <w:tcPr>
            <w:tcW w:w="1620" w:type="dxa"/>
            <w:shd w:val="clear" w:color="auto" w:fill="auto"/>
            <w:noWrap/>
            <w:vAlign w:val="center"/>
            <w:hideMark/>
          </w:tcPr>
          <w:p w14:paraId="36DF36F4" w14:textId="77777777" w:rsidR="000C1C95" w:rsidRPr="0047017F" w:rsidRDefault="000C1C95" w:rsidP="000C1C95">
            <w:pPr>
              <w:rPr>
                <w:rFonts w:ascii="Arial" w:hAnsi="Arial" w:cs="Arial"/>
                <w:sz w:val="18"/>
              </w:rPr>
            </w:pPr>
            <w:r w:rsidRPr="0047017F">
              <w:rPr>
                <w:rFonts w:ascii="Arial" w:hAnsi="Arial" w:cs="Arial"/>
                <w:sz w:val="18"/>
              </w:rPr>
              <w:t xml:space="preserve">Denmark </w:t>
            </w:r>
          </w:p>
        </w:tc>
        <w:tc>
          <w:tcPr>
            <w:tcW w:w="1092" w:type="dxa"/>
            <w:shd w:val="clear" w:color="auto" w:fill="auto"/>
            <w:noWrap/>
            <w:vAlign w:val="center"/>
            <w:hideMark/>
          </w:tcPr>
          <w:p w14:paraId="2C4BFC1E" w14:textId="77777777" w:rsidR="000C1C95" w:rsidRPr="0047017F" w:rsidRDefault="000C1C95" w:rsidP="00836CB3">
            <w:pPr>
              <w:jc w:val="right"/>
              <w:rPr>
                <w:rFonts w:ascii="Arial" w:hAnsi="Arial" w:cs="Arial"/>
                <w:sz w:val="18"/>
              </w:rPr>
            </w:pPr>
            <w:r w:rsidRPr="0047017F">
              <w:rPr>
                <w:rFonts w:ascii="Arial" w:hAnsi="Arial" w:cs="Arial"/>
                <w:sz w:val="18"/>
              </w:rPr>
              <w:t>3</w:t>
            </w:r>
          </w:p>
        </w:tc>
        <w:tc>
          <w:tcPr>
            <w:tcW w:w="1276" w:type="dxa"/>
            <w:shd w:val="clear" w:color="auto" w:fill="auto"/>
            <w:noWrap/>
            <w:vAlign w:val="center"/>
            <w:hideMark/>
          </w:tcPr>
          <w:p w14:paraId="7A13DDB1" w14:textId="77777777" w:rsidR="000C1C95" w:rsidRPr="0047017F" w:rsidRDefault="000C1C95" w:rsidP="00836CB3">
            <w:pPr>
              <w:jc w:val="right"/>
              <w:rPr>
                <w:rFonts w:ascii="Arial" w:hAnsi="Arial" w:cs="Arial"/>
                <w:sz w:val="18"/>
              </w:rPr>
            </w:pPr>
            <w:r w:rsidRPr="0047017F">
              <w:rPr>
                <w:rFonts w:ascii="Arial" w:hAnsi="Arial" w:cs="Arial"/>
                <w:sz w:val="18"/>
              </w:rPr>
              <w:t>53,838.50</w:t>
            </w:r>
          </w:p>
        </w:tc>
        <w:tc>
          <w:tcPr>
            <w:tcW w:w="1134" w:type="dxa"/>
            <w:shd w:val="clear" w:color="auto" w:fill="auto"/>
            <w:noWrap/>
            <w:vAlign w:val="center"/>
            <w:hideMark/>
          </w:tcPr>
          <w:p w14:paraId="672CC47D" w14:textId="77777777" w:rsidR="000C1C95" w:rsidRPr="0047017F" w:rsidRDefault="000C1C95" w:rsidP="00836CB3">
            <w:pPr>
              <w:jc w:val="right"/>
              <w:rPr>
                <w:rFonts w:ascii="Arial" w:hAnsi="Arial" w:cs="Arial"/>
                <w:sz w:val="18"/>
              </w:rPr>
            </w:pPr>
            <w:r w:rsidRPr="0047017F">
              <w:rPr>
                <w:rFonts w:ascii="Arial" w:hAnsi="Arial" w:cs="Arial"/>
                <w:sz w:val="18"/>
              </w:rPr>
              <w:t>306</w:t>
            </w:r>
          </w:p>
        </w:tc>
        <w:tc>
          <w:tcPr>
            <w:tcW w:w="1559" w:type="dxa"/>
            <w:shd w:val="clear" w:color="auto" w:fill="auto"/>
            <w:noWrap/>
            <w:vAlign w:val="center"/>
            <w:hideMark/>
          </w:tcPr>
          <w:p w14:paraId="3B7ACC8C" w14:textId="77777777" w:rsidR="000C1C95" w:rsidRPr="0047017F" w:rsidRDefault="000C1C95" w:rsidP="00836CB3">
            <w:pPr>
              <w:jc w:val="right"/>
              <w:rPr>
                <w:rFonts w:ascii="Arial" w:hAnsi="Arial" w:cs="Arial"/>
                <w:sz w:val="18"/>
              </w:rPr>
            </w:pPr>
            <w:r w:rsidRPr="0047017F">
              <w:rPr>
                <w:rFonts w:ascii="Arial" w:hAnsi="Arial" w:cs="Arial"/>
                <w:sz w:val="18"/>
              </w:rPr>
              <w:t>157.60</w:t>
            </w:r>
          </w:p>
        </w:tc>
        <w:tc>
          <w:tcPr>
            <w:tcW w:w="2268" w:type="dxa"/>
            <w:shd w:val="clear" w:color="auto" w:fill="auto"/>
            <w:noWrap/>
            <w:vAlign w:val="center"/>
            <w:hideMark/>
          </w:tcPr>
          <w:p w14:paraId="7105E83B" w14:textId="77777777" w:rsidR="000C1C95" w:rsidRPr="0047017F" w:rsidRDefault="000C1C95" w:rsidP="00836CB3">
            <w:pPr>
              <w:jc w:val="right"/>
              <w:rPr>
                <w:rFonts w:ascii="Arial" w:hAnsi="Arial" w:cs="Arial"/>
                <w:sz w:val="18"/>
              </w:rPr>
            </w:pPr>
            <w:r w:rsidRPr="0047017F">
              <w:rPr>
                <w:rFonts w:ascii="Arial" w:hAnsi="Arial" w:cs="Arial"/>
                <w:sz w:val="18"/>
              </w:rPr>
              <w:t>180.30</w:t>
            </w:r>
          </w:p>
        </w:tc>
        <w:tc>
          <w:tcPr>
            <w:tcW w:w="1559" w:type="dxa"/>
            <w:shd w:val="clear" w:color="auto" w:fill="auto"/>
            <w:noWrap/>
            <w:vAlign w:val="center"/>
            <w:hideMark/>
          </w:tcPr>
          <w:p w14:paraId="0AAB0351" w14:textId="77777777" w:rsidR="000C1C95" w:rsidRPr="0047017F" w:rsidRDefault="000C1C95" w:rsidP="00836CB3">
            <w:pPr>
              <w:jc w:val="right"/>
              <w:rPr>
                <w:rFonts w:ascii="Arial" w:hAnsi="Arial" w:cs="Arial"/>
                <w:sz w:val="18"/>
              </w:rPr>
            </w:pPr>
            <w:r w:rsidRPr="0047017F">
              <w:rPr>
                <w:rFonts w:ascii="Arial" w:hAnsi="Arial" w:cs="Arial"/>
                <w:sz w:val="18"/>
              </w:rPr>
              <w:t>25,780.70</w:t>
            </w:r>
          </w:p>
        </w:tc>
        <w:tc>
          <w:tcPr>
            <w:tcW w:w="1146" w:type="dxa"/>
            <w:shd w:val="clear" w:color="auto" w:fill="auto"/>
            <w:noWrap/>
            <w:vAlign w:val="center"/>
            <w:hideMark/>
          </w:tcPr>
          <w:p w14:paraId="5DAAF2D8" w14:textId="77777777" w:rsidR="000C1C95" w:rsidRPr="0047017F" w:rsidRDefault="000C1C95" w:rsidP="00836CB3">
            <w:pPr>
              <w:jc w:val="right"/>
              <w:rPr>
                <w:rFonts w:ascii="Arial" w:hAnsi="Arial" w:cs="Arial"/>
                <w:sz w:val="18"/>
              </w:rPr>
            </w:pPr>
            <w:r w:rsidRPr="0047017F">
              <w:rPr>
                <w:rFonts w:ascii="Arial" w:hAnsi="Arial" w:cs="Arial"/>
                <w:sz w:val="18"/>
              </w:rPr>
              <w:t>5,687.60</w:t>
            </w:r>
          </w:p>
        </w:tc>
        <w:tc>
          <w:tcPr>
            <w:tcW w:w="1216" w:type="dxa"/>
            <w:shd w:val="clear" w:color="auto" w:fill="auto"/>
            <w:noWrap/>
            <w:vAlign w:val="center"/>
            <w:hideMark/>
          </w:tcPr>
          <w:p w14:paraId="0233400F" w14:textId="77777777" w:rsidR="000C1C95" w:rsidRPr="0047017F" w:rsidRDefault="000C1C95" w:rsidP="00836CB3">
            <w:pPr>
              <w:jc w:val="right"/>
              <w:rPr>
                <w:rFonts w:ascii="Arial" w:hAnsi="Arial" w:cs="Arial"/>
                <w:sz w:val="18"/>
              </w:rPr>
            </w:pPr>
            <w:r w:rsidRPr="0047017F">
              <w:rPr>
                <w:rFonts w:ascii="Arial" w:hAnsi="Arial" w:cs="Arial"/>
                <w:sz w:val="18"/>
              </w:rPr>
              <w:t>5,004.70</w:t>
            </w:r>
          </w:p>
        </w:tc>
      </w:tr>
      <w:tr w:rsidR="000C1C95" w:rsidRPr="0047017F" w14:paraId="03D0FFE0" w14:textId="77777777" w:rsidTr="0047017F">
        <w:trPr>
          <w:trHeight w:val="264"/>
        </w:trPr>
        <w:tc>
          <w:tcPr>
            <w:tcW w:w="1620" w:type="dxa"/>
            <w:shd w:val="clear" w:color="auto" w:fill="auto"/>
            <w:noWrap/>
            <w:vAlign w:val="center"/>
            <w:hideMark/>
          </w:tcPr>
          <w:p w14:paraId="7772067E" w14:textId="77777777" w:rsidR="000C1C95" w:rsidRPr="0047017F" w:rsidRDefault="000C1C95" w:rsidP="000C1C95">
            <w:pPr>
              <w:rPr>
                <w:rFonts w:ascii="Arial" w:hAnsi="Arial" w:cs="Arial"/>
                <w:sz w:val="18"/>
              </w:rPr>
            </w:pPr>
            <w:r w:rsidRPr="0047017F">
              <w:rPr>
                <w:rFonts w:ascii="Arial" w:hAnsi="Arial" w:cs="Arial"/>
                <w:sz w:val="18"/>
              </w:rPr>
              <w:t>Estonia</w:t>
            </w:r>
          </w:p>
        </w:tc>
        <w:tc>
          <w:tcPr>
            <w:tcW w:w="1092" w:type="dxa"/>
            <w:shd w:val="clear" w:color="auto" w:fill="auto"/>
            <w:noWrap/>
            <w:vAlign w:val="center"/>
            <w:hideMark/>
          </w:tcPr>
          <w:p w14:paraId="6C7016A3" w14:textId="77777777" w:rsidR="000C1C95" w:rsidRPr="0047017F" w:rsidRDefault="000C1C95" w:rsidP="00836CB3">
            <w:pPr>
              <w:jc w:val="right"/>
              <w:rPr>
                <w:rFonts w:ascii="Arial" w:hAnsi="Arial" w:cs="Arial"/>
                <w:sz w:val="18"/>
              </w:rPr>
            </w:pPr>
            <w:r w:rsidRPr="0047017F">
              <w:rPr>
                <w:rFonts w:ascii="Arial" w:hAnsi="Arial" w:cs="Arial"/>
                <w:sz w:val="18"/>
              </w:rPr>
              <w:t>12</w:t>
            </w:r>
          </w:p>
        </w:tc>
        <w:tc>
          <w:tcPr>
            <w:tcW w:w="1276" w:type="dxa"/>
            <w:shd w:val="clear" w:color="auto" w:fill="auto"/>
            <w:noWrap/>
            <w:vAlign w:val="center"/>
            <w:hideMark/>
          </w:tcPr>
          <w:p w14:paraId="23216221" w14:textId="77777777" w:rsidR="000C1C95" w:rsidRPr="0047017F" w:rsidRDefault="000C1C95" w:rsidP="00836CB3">
            <w:pPr>
              <w:jc w:val="right"/>
              <w:rPr>
                <w:rFonts w:ascii="Arial" w:hAnsi="Arial" w:cs="Arial"/>
                <w:sz w:val="18"/>
              </w:rPr>
            </w:pPr>
            <w:r w:rsidRPr="0047017F">
              <w:rPr>
                <w:rFonts w:ascii="Arial" w:hAnsi="Arial" w:cs="Arial"/>
                <w:sz w:val="18"/>
              </w:rPr>
              <w:t>18,136.00</w:t>
            </w:r>
          </w:p>
        </w:tc>
        <w:tc>
          <w:tcPr>
            <w:tcW w:w="1134" w:type="dxa"/>
            <w:shd w:val="clear" w:color="auto" w:fill="auto"/>
            <w:noWrap/>
            <w:vAlign w:val="center"/>
            <w:hideMark/>
          </w:tcPr>
          <w:p w14:paraId="52BE49A7" w14:textId="77777777" w:rsidR="000C1C95" w:rsidRPr="0047017F" w:rsidRDefault="000C1C95" w:rsidP="00836CB3">
            <w:pPr>
              <w:jc w:val="right"/>
              <w:rPr>
                <w:rFonts w:ascii="Arial" w:hAnsi="Arial" w:cs="Arial"/>
                <w:sz w:val="18"/>
              </w:rPr>
            </w:pPr>
            <w:r w:rsidRPr="0047017F">
              <w:rPr>
                <w:rFonts w:ascii="Arial" w:hAnsi="Arial" w:cs="Arial"/>
                <w:sz w:val="18"/>
              </w:rPr>
              <w:t>23</w:t>
            </w:r>
          </w:p>
        </w:tc>
        <w:tc>
          <w:tcPr>
            <w:tcW w:w="1559" w:type="dxa"/>
            <w:shd w:val="clear" w:color="auto" w:fill="auto"/>
            <w:noWrap/>
            <w:vAlign w:val="center"/>
            <w:hideMark/>
          </w:tcPr>
          <w:p w14:paraId="691C7850" w14:textId="77777777" w:rsidR="000C1C95" w:rsidRPr="0047017F" w:rsidRDefault="000C1C95" w:rsidP="00836CB3">
            <w:pPr>
              <w:jc w:val="right"/>
              <w:rPr>
                <w:rFonts w:ascii="Arial" w:hAnsi="Arial" w:cs="Arial"/>
                <w:sz w:val="18"/>
              </w:rPr>
            </w:pPr>
            <w:r w:rsidRPr="0047017F">
              <w:rPr>
                <w:rFonts w:ascii="Arial" w:hAnsi="Arial" w:cs="Arial"/>
                <w:sz w:val="18"/>
              </w:rPr>
              <w:t>121.30</w:t>
            </w:r>
          </w:p>
        </w:tc>
        <w:tc>
          <w:tcPr>
            <w:tcW w:w="2268" w:type="dxa"/>
            <w:shd w:val="clear" w:color="auto" w:fill="auto"/>
            <w:noWrap/>
            <w:vAlign w:val="center"/>
            <w:hideMark/>
          </w:tcPr>
          <w:p w14:paraId="04407D71" w14:textId="77777777" w:rsidR="000C1C95" w:rsidRPr="0047017F" w:rsidRDefault="000C1C95" w:rsidP="00836CB3">
            <w:pPr>
              <w:jc w:val="right"/>
              <w:rPr>
                <w:rFonts w:ascii="Arial" w:hAnsi="Arial" w:cs="Arial"/>
                <w:sz w:val="18"/>
              </w:rPr>
            </w:pPr>
            <w:r w:rsidRPr="0047017F">
              <w:rPr>
                <w:rFonts w:ascii="Arial" w:hAnsi="Arial" w:cs="Arial"/>
                <w:sz w:val="18"/>
              </w:rPr>
              <w:t>106.20</w:t>
            </w:r>
          </w:p>
        </w:tc>
        <w:tc>
          <w:tcPr>
            <w:tcW w:w="1559" w:type="dxa"/>
            <w:shd w:val="clear" w:color="auto" w:fill="auto"/>
            <w:noWrap/>
            <w:vAlign w:val="center"/>
            <w:hideMark/>
          </w:tcPr>
          <w:p w14:paraId="39190C80" w14:textId="77777777" w:rsidR="000C1C95" w:rsidRPr="0047017F" w:rsidRDefault="000C1C95" w:rsidP="00836CB3">
            <w:pPr>
              <w:jc w:val="right"/>
              <w:rPr>
                <w:rFonts w:ascii="Arial" w:hAnsi="Arial" w:cs="Arial"/>
                <w:sz w:val="18"/>
              </w:rPr>
            </w:pPr>
            <w:r w:rsidRPr="0047017F">
              <w:rPr>
                <w:rFonts w:ascii="Arial" w:hAnsi="Arial" w:cs="Arial"/>
                <w:sz w:val="18"/>
              </w:rPr>
              <w:t>9,888.90</w:t>
            </w:r>
          </w:p>
        </w:tc>
        <w:tc>
          <w:tcPr>
            <w:tcW w:w="1146" w:type="dxa"/>
            <w:shd w:val="clear" w:color="auto" w:fill="auto"/>
            <w:noWrap/>
            <w:vAlign w:val="center"/>
            <w:hideMark/>
          </w:tcPr>
          <w:p w14:paraId="11016A09" w14:textId="77777777" w:rsidR="000C1C95" w:rsidRPr="0047017F" w:rsidRDefault="000C1C95" w:rsidP="00836CB3">
            <w:pPr>
              <w:jc w:val="right"/>
              <w:rPr>
                <w:rFonts w:ascii="Arial" w:hAnsi="Arial" w:cs="Arial"/>
                <w:sz w:val="18"/>
              </w:rPr>
            </w:pPr>
            <w:r w:rsidRPr="0047017F">
              <w:rPr>
                <w:rFonts w:ascii="Arial" w:hAnsi="Arial" w:cs="Arial"/>
                <w:sz w:val="18"/>
              </w:rPr>
              <w:t>1,267.70</w:t>
            </w:r>
          </w:p>
        </w:tc>
        <w:tc>
          <w:tcPr>
            <w:tcW w:w="1216" w:type="dxa"/>
            <w:shd w:val="clear" w:color="auto" w:fill="auto"/>
            <w:noWrap/>
            <w:vAlign w:val="center"/>
            <w:hideMark/>
          </w:tcPr>
          <w:p w14:paraId="7E4DA572" w14:textId="77777777" w:rsidR="000C1C95" w:rsidRPr="0047017F" w:rsidRDefault="000C1C95" w:rsidP="00836CB3">
            <w:pPr>
              <w:jc w:val="right"/>
              <w:rPr>
                <w:rFonts w:ascii="Arial" w:hAnsi="Arial" w:cs="Arial"/>
                <w:sz w:val="18"/>
              </w:rPr>
            </w:pPr>
            <w:r w:rsidRPr="0047017F">
              <w:rPr>
                <w:rFonts w:ascii="Arial" w:hAnsi="Arial" w:cs="Arial"/>
                <w:sz w:val="18"/>
              </w:rPr>
              <w:t>888.60</w:t>
            </w:r>
          </w:p>
        </w:tc>
      </w:tr>
      <w:tr w:rsidR="000C1C95" w:rsidRPr="0047017F" w14:paraId="18E654F0" w14:textId="77777777" w:rsidTr="0047017F">
        <w:trPr>
          <w:trHeight w:val="264"/>
        </w:trPr>
        <w:tc>
          <w:tcPr>
            <w:tcW w:w="1620" w:type="dxa"/>
            <w:shd w:val="clear" w:color="auto" w:fill="auto"/>
            <w:noWrap/>
            <w:vAlign w:val="center"/>
            <w:hideMark/>
          </w:tcPr>
          <w:p w14:paraId="03F4F8CA" w14:textId="77777777" w:rsidR="000C1C95" w:rsidRPr="0047017F" w:rsidRDefault="000C1C95" w:rsidP="000C1C95">
            <w:pPr>
              <w:rPr>
                <w:rFonts w:ascii="Arial" w:hAnsi="Arial" w:cs="Arial"/>
                <w:sz w:val="18"/>
              </w:rPr>
            </w:pPr>
            <w:r w:rsidRPr="0047017F">
              <w:rPr>
                <w:rFonts w:ascii="Arial" w:hAnsi="Arial" w:cs="Arial"/>
                <w:sz w:val="18"/>
              </w:rPr>
              <w:t xml:space="preserve">Finland </w:t>
            </w:r>
          </w:p>
        </w:tc>
        <w:tc>
          <w:tcPr>
            <w:tcW w:w="1092" w:type="dxa"/>
            <w:shd w:val="clear" w:color="auto" w:fill="auto"/>
            <w:noWrap/>
            <w:vAlign w:val="center"/>
            <w:hideMark/>
          </w:tcPr>
          <w:p w14:paraId="67F90AA3" w14:textId="77777777" w:rsidR="000C1C95" w:rsidRPr="0047017F" w:rsidRDefault="000C1C95" w:rsidP="00836CB3">
            <w:pPr>
              <w:jc w:val="right"/>
              <w:rPr>
                <w:rFonts w:ascii="Arial" w:hAnsi="Arial" w:cs="Arial"/>
                <w:sz w:val="18"/>
              </w:rPr>
            </w:pPr>
            <w:r w:rsidRPr="0047017F">
              <w:rPr>
                <w:rFonts w:ascii="Arial" w:hAnsi="Arial" w:cs="Arial"/>
                <w:sz w:val="18"/>
              </w:rPr>
              <w:t>13</w:t>
            </w:r>
          </w:p>
        </w:tc>
        <w:tc>
          <w:tcPr>
            <w:tcW w:w="1276" w:type="dxa"/>
            <w:shd w:val="clear" w:color="auto" w:fill="auto"/>
            <w:noWrap/>
            <w:vAlign w:val="center"/>
            <w:hideMark/>
          </w:tcPr>
          <w:p w14:paraId="581A0454" w14:textId="77777777" w:rsidR="000C1C95" w:rsidRPr="0047017F" w:rsidRDefault="000C1C95" w:rsidP="00836CB3">
            <w:pPr>
              <w:jc w:val="right"/>
              <w:rPr>
                <w:rFonts w:ascii="Arial" w:hAnsi="Arial" w:cs="Arial"/>
                <w:sz w:val="18"/>
              </w:rPr>
            </w:pPr>
            <w:r w:rsidRPr="0047017F">
              <w:rPr>
                <w:rFonts w:ascii="Arial" w:hAnsi="Arial" w:cs="Arial"/>
                <w:sz w:val="18"/>
              </w:rPr>
              <w:t>43,124.90</w:t>
            </w:r>
          </w:p>
        </w:tc>
        <w:tc>
          <w:tcPr>
            <w:tcW w:w="1134" w:type="dxa"/>
            <w:shd w:val="clear" w:color="auto" w:fill="auto"/>
            <w:noWrap/>
            <w:vAlign w:val="center"/>
            <w:hideMark/>
          </w:tcPr>
          <w:p w14:paraId="7924E0AE" w14:textId="77777777" w:rsidR="000C1C95" w:rsidRPr="0047017F" w:rsidRDefault="000C1C95" w:rsidP="00836CB3">
            <w:pPr>
              <w:jc w:val="right"/>
              <w:rPr>
                <w:rFonts w:ascii="Arial" w:hAnsi="Arial" w:cs="Arial"/>
                <w:sz w:val="18"/>
              </w:rPr>
            </w:pPr>
            <w:r w:rsidRPr="0047017F">
              <w:rPr>
                <w:rFonts w:ascii="Arial" w:hAnsi="Arial" w:cs="Arial"/>
                <w:sz w:val="18"/>
              </w:rPr>
              <w:t>237</w:t>
            </w:r>
          </w:p>
        </w:tc>
        <w:tc>
          <w:tcPr>
            <w:tcW w:w="1559" w:type="dxa"/>
            <w:shd w:val="clear" w:color="auto" w:fill="auto"/>
            <w:noWrap/>
            <w:vAlign w:val="center"/>
            <w:hideMark/>
          </w:tcPr>
          <w:p w14:paraId="16CC6F12" w14:textId="77777777" w:rsidR="000C1C95" w:rsidRPr="0047017F" w:rsidRDefault="000C1C95" w:rsidP="00836CB3">
            <w:pPr>
              <w:jc w:val="right"/>
              <w:rPr>
                <w:rFonts w:ascii="Arial" w:hAnsi="Arial" w:cs="Arial"/>
                <w:sz w:val="18"/>
              </w:rPr>
            </w:pPr>
            <w:r w:rsidRPr="0047017F">
              <w:rPr>
                <w:rFonts w:ascii="Arial" w:hAnsi="Arial" w:cs="Arial"/>
                <w:sz w:val="18"/>
              </w:rPr>
              <w:t>280.50</w:t>
            </w:r>
          </w:p>
        </w:tc>
        <w:tc>
          <w:tcPr>
            <w:tcW w:w="2268" w:type="dxa"/>
            <w:shd w:val="clear" w:color="auto" w:fill="auto"/>
            <w:noWrap/>
            <w:vAlign w:val="center"/>
            <w:hideMark/>
          </w:tcPr>
          <w:p w14:paraId="3BCDC2C2" w14:textId="77777777" w:rsidR="000C1C95" w:rsidRPr="0047017F" w:rsidRDefault="000C1C95" w:rsidP="00836CB3">
            <w:pPr>
              <w:jc w:val="right"/>
              <w:rPr>
                <w:rFonts w:ascii="Arial" w:hAnsi="Arial" w:cs="Arial"/>
                <w:sz w:val="18"/>
              </w:rPr>
            </w:pPr>
            <w:r w:rsidRPr="0047017F">
              <w:rPr>
                <w:rFonts w:ascii="Arial" w:hAnsi="Arial" w:cs="Arial"/>
                <w:sz w:val="18"/>
              </w:rPr>
              <w:t>194.10</w:t>
            </w:r>
          </w:p>
        </w:tc>
        <w:tc>
          <w:tcPr>
            <w:tcW w:w="1559" w:type="dxa"/>
            <w:shd w:val="clear" w:color="auto" w:fill="auto"/>
            <w:noWrap/>
            <w:vAlign w:val="center"/>
            <w:hideMark/>
          </w:tcPr>
          <w:p w14:paraId="5FB54F50" w14:textId="77777777" w:rsidR="000C1C95" w:rsidRPr="0047017F" w:rsidRDefault="000C1C95" w:rsidP="00836CB3">
            <w:pPr>
              <w:jc w:val="right"/>
              <w:rPr>
                <w:rFonts w:ascii="Arial" w:hAnsi="Arial" w:cs="Arial"/>
                <w:sz w:val="18"/>
              </w:rPr>
            </w:pPr>
            <w:r w:rsidRPr="0047017F">
              <w:rPr>
                <w:rFonts w:ascii="Arial" w:hAnsi="Arial" w:cs="Arial"/>
                <w:sz w:val="18"/>
              </w:rPr>
              <w:t>24,565.20</w:t>
            </w:r>
          </w:p>
        </w:tc>
        <w:tc>
          <w:tcPr>
            <w:tcW w:w="1146" w:type="dxa"/>
            <w:shd w:val="clear" w:color="auto" w:fill="auto"/>
            <w:noWrap/>
            <w:vAlign w:val="center"/>
            <w:hideMark/>
          </w:tcPr>
          <w:p w14:paraId="49B08ACD" w14:textId="77777777" w:rsidR="000C1C95" w:rsidRPr="0047017F" w:rsidRDefault="000C1C95" w:rsidP="00836CB3">
            <w:pPr>
              <w:jc w:val="right"/>
              <w:rPr>
                <w:rFonts w:ascii="Arial" w:hAnsi="Arial" w:cs="Arial"/>
                <w:sz w:val="18"/>
              </w:rPr>
            </w:pPr>
            <w:r w:rsidRPr="0047017F">
              <w:rPr>
                <w:rFonts w:ascii="Arial" w:hAnsi="Arial" w:cs="Arial"/>
                <w:sz w:val="18"/>
              </w:rPr>
              <w:t>5,487.30</w:t>
            </w:r>
          </w:p>
        </w:tc>
        <w:tc>
          <w:tcPr>
            <w:tcW w:w="1216" w:type="dxa"/>
            <w:shd w:val="clear" w:color="auto" w:fill="auto"/>
            <w:noWrap/>
            <w:vAlign w:val="center"/>
            <w:hideMark/>
          </w:tcPr>
          <w:p w14:paraId="14C9B30A" w14:textId="77777777" w:rsidR="000C1C95" w:rsidRPr="0047017F" w:rsidRDefault="000C1C95" w:rsidP="00836CB3">
            <w:pPr>
              <w:jc w:val="right"/>
              <w:rPr>
                <w:rFonts w:ascii="Arial" w:hAnsi="Arial" w:cs="Arial"/>
                <w:sz w:val="18"/>
              </w:rPr>
            </w:pPr>
            <w:r w:rsidRPr="0047017F">
              <w:rPr>
                <w:rFonts w:ascii="Arial" w:hAnsi="Arial" w:cs="Arial"/>
                <w:sz w:val="18"/>
              </w:rPr>
              <w:t>4,629.00</w:t>
            </w:r>
          </w:p>
        </w:tc>
      </w:tr>
      <w:tr w:rsidR="000C1C95" w:rsidRPr="0047017F" w14:paraId="5BB9B2DA" w14:textId="77777777" w:rsidTr="0047017F">
        <w:trPr>
          <w:trHeight w:val="264"/>
        </w:trPr>
        <w:tc>
          <w:tcPr>
            <w:tcW w:w="1620" w:type="dxa"/>
            <w:shd w:val="clear" w:color="auto" w:fill="auto"/>
            <w:noWrap/>
            <w:vAlign w:val="center"/>
            <w:hideMark/>
          </w:tcPr>
          <w:p w14:paraId="5755278B" w14:textId="77777777" w:rsidR="000C1C95" w:rsidRPr="0047017F" w:rsidRDefault="000C1C95" w:rsidP="000C1C95">
            <w:pPr>
              <w:rPr>
                <w:rFonts w:ascii="Arial" w:hAnsi="Arial" w:cs="Arial"/>
                <w:sz w:val="18"/>
              </w:rPr>
            </w:pPr>
            <w:r w:rsidRPr="0047017F">
              <w:rPr>
                <w:rFonts w:ascii="Arial" w:hAnsi="Arial" w:cs="Arial"/>
                <w:sz w:val="18"/>
              </w:rPr>
              <w:t xml:space="preserve">France </w:t>
            </w:r>
          </w:p>
        </w:tc>
        <w:tc>
          <w:tcPr>
            <w:tcW w:w="1092" w:type="dxa"/>
            <w:shd w:val="clear" w:color="auto" w:fill="auto"/>
            <w:noWrap/>
            <w:vAlign w:val="center"/>
            <w:hideMark/>
          </w:tcPr>
          <w:p w14:paraId="78DAEDB6" w14:textId="77777777" w:rsidR="000C1C95" w:rsidRPr="0047017F" w:rsidRDefault="000C1C95" w:rsidP="00836CB3">
            <w:pPr>
              <w:jc w:val="right"/>
              <w:rPr>
                <w:rFonts w:ascii="Arial" w:hAnsi="Arial" w:cs="Arial"/>
                <w:sz w:val="18"/>
              </w:rPr>
            </w:pPr>
            <w:r w:rsidRPr="0047017F">
              <w:rPr>
                <w:rFonts w:ascii="Arial" w:hAnsi="Arial" w:cs="Arial"/>
                <w:sz w:val="18"/>
              </w:rPr>
              <w:t>29</w:t>
            </w:r>
          </w:p>
        </w:tc>
        <w:tc>
          <w:tcPr>
            <w:tcW w:w="1276" w:type="dxa"/>
            <w:shd w:val="clear" w:color="auto" w:fill="auto"/>
            <w:noWrap/>
            <w:vAlign w:val="center"/>
            <w:hideMark/>
          </w:tcPr>
          <w:p w14:paraId="01DE66BE" w14:textId="77777777" w:rsidR="000C1C95" w:rsidRPr="0047017F" w:rsidRDefault="000C1C95" w:rsidP="00836CB3">
            <w:pPr>
              <w:jc w:val="right"/>
              <w:rPr>
                <w:rFonts w:ascii="Arial" w:hAnsi="Arial" w:cs="Arial"/>
                <w:sz w:val="18"/>
              </w:rPr>
            </w:pPr>
            <w:r w:rsidRPr="0047017F">
              <w:rPr>
                <w:rFonts w:ascii="Arial" w:hAnsi="Arial" w:cs="Arial"/>
                <w:sz w:val="18"/>
              </w:rPr>
              <w:t>38,137.80</w:t>
            </w:r>
          </w:p>
        </w:tc>
        <w:tc>
          <w:tcPr>
            <w:tcW w:w="1134" w:type="dxa"/>
            <w:shd w:val="clear" w:color="auto" w:fill="auto"/>
            <w:noWrap/>
            <w:vAlign w:val="center"/>
            <w:hideMark/>
          </w:tcPr>
          <w:p w14:paraId="4C1831CF" w14:textId="77777777" w:rsidR="000C1C95" w:rsidRPr="0047017F" w:rsidRDefault="000C1C95" w:rsidP="00836CB3">
            <w:pPr>
              <w:jc w:val="right"/>
              <w:rPr>
                <w:rFonts w:ascii="Arial" w:hAnsi="Arial" w:cs="Arial"/>
                <w:sz w:val="18"/>
              </w:rPr>
            </w:pPr>
            <w:r w:rsidRPr="0047017F">
              <w:rPr>
                <w:rFonts w:ascii="Arial" w:hAnsi="Arial" w:cs="Arial"/>
                <w:sz w:val="18"/>
              </w:rPr>
              <w:t>2,460</w:t>
            </w:r>
          </w:p>
        </w:tc>
        <w:tc>
          <w:tcPr>
            <w:tcW w:w="1559" w:type="dxa"/>
            <w:shd w:val="clear" w:color="auto" w:fill="auto"/>
            <w:noWrap/>
            <w:vAlign w:val="center"/>
            <w:hideMark/>
          </w:tcPr>
          <w:p w14:paraId="573BA12D" w14:textId="77777777" w:rsidR="000C1C95" w:rsidRPr="0047017F" w:rsidRDefault="000C1C95" w:rsidP="00836CB3">
            <w:pPr>
              <w:jc w:val="right"/>
              <w:rPr>
                <w:rFonts w:ascii="Arial" w:hAnsi="Arial" w:cs="Arial"/>
                <w:sz w:val="18"/>
              </w:rPr>
            </w:pPr>
            <w:r w:rsidRPr="0047017F">
              <w:rPr>
                <w:rFonts w:ascii="Arial" w:hAnsi="Arial" w:cs="Arial"/>
                <w:sz w:val="18"/>
              </w:rPr>
              <w:t>172.30</w:t>
            </w:r>
          </w:p>
        </w:tc>
        <w:tc>
          <w:tcPr>
            <w:tcW w:w="2268" w:type="dxa"/>
            <w:shd w:val="clear" w:color="auto" w:fill="auto"/>
            <w:noWrap/>
            <w:vAlign w:val="center"/>
            <w:hideMark/>
          </w:tcPr>
          <w:p w14:paraId="25A31710" w14:textId="77777777" w:rsidR="000C1C95" w:rsidRPr="0047017F" w:rsidRDefault="000C1C95" w:rsidP="00836CB3">
            <w:pPr>
              <w:jc w:val="right"/>
              <w:rPr>
                <w:rFonts w:ascii="Arial" w:hAnsi="Arial" w:cs="Arial"/>
                <w:sz w:val="18"/>
              </w:rPr>
            </w:pPr>
            <w:r w:rsidRPr="0047017F">
              <w:rPr>
                <w:rFonts w:ascii="Arial" w:hAnsi="Arial" w:cs="Arial"/>
                <w:sz w:val="18"/>
              </w:rPr>
              <w:t>165.00</w:t>
            </w:r>
          </w:p>
        </w:tc>
        <w:tc>
          <w:tcPr>
            <w:tcW w:w="1559" w:type="dxa"/>
            <w:shd w:val="clear" w:color="auto" w:fill="auto"/>
            <w:noWrap/>
            <w:vAlign w:val="center"/>
            <w:hideMark/>
          </w:tcPr>
          <w:p w14:paraId="7CB880DF" w14:textId="77777777" w:rsidR="000C1C95" w:rsidRPr="0047017F" w:rsidRDefault="000C1C95" w:rsidP="00836CB3">
            <w:pPr>
              <w:jc w:val="right"/>
              <w:rPr>
                <w:rFonts w:ascii="Arial" w:hAnsi="Arial" w:cs="Arial"/>
                <w:sz w:val="18"/>
              </w:rPr>
            </w:pPr>
            <w:r w:rsidRPr="0047017F">
              <w:rPr>
                <w:rFonts w:ascii="Arial" w:hAnsi="Arial" w:cs="Arial"/>
                <w:sz w:val="18"/>
              </w:rPr>
              <w:t>23,658.20</w:t>
            </w:r>
          </w:p>
        </w:tc>
        <w:tc>
          <w:tcPr>
            <w:tcW w:w="1146" w:type="dxa"/>
            <w:shd w:val="clear" w:color="auto" w:fill="auto"/>
            <w:noWrap/>
            <w:vAlign w:val="center"/>
            <w:hideMark/>
          </w:tcPr>
          <w:p w14:paraId="4D34F6D4" w14:textId="77777777" w:rsidR="000C1C95" w:rsidRPr="0047017F" w:rsidRDefault="000C1C95" w:rsidP="00836CB3">
            <w:pPr>
              <w:jc w:val="right"/>
              <w:rPr>
                <w:rFonts w:ascii="Arial" w:hAnsi="Arial" w:cs="Arial"/>
                <w:sz w:val="18"/>
              </w:rPr>
            </w:pPr>
            <w:r w:rsidRPr="0047017F">
              <w:rPr>
                <w:rFonts w:ascii="Arial" w:hAnsi="Arial" w:cs="Arial"/>
                <w:sz w:val="18"/>
              </w:rPr>
              <w:t>64,496.20</w:t>
            </w:r>
          </w:p>
        </w:tc>
        <w:tc>
          <w:tcPr>
            <w:tcW w:w="1216" w:type="dxa"/>
            <w:shd w:val="clear" w:color="auto" w:fill="auto"/>
            <w:noWrap/>
            <w:vAlign w:val="center"/>
            <w:hideMark/>
          </w:tcPr>
          <w:p w14:paraId="03EDFAC3" w14:textId="77777777" w:rsidR="000C1C95" w:rsidRPr="0047017F" w:rsidRDefault="000C1C95" w:rsidP="00836CB3">
            <w:pPr>
              <w:jc w:val="right"/>
              <w:rPr>
                <w:rFonts w:ascii="Arial" w:hAnsi="Arial" w:cs="Arial"/>
                <w:sz w:val="18"/>
              </w:rPr>
            </w:pPr>
            <w:r w:rsidRPr="0047017F">
              <w:rPr>
                <w:rFonts w:ascii="Arial" w:hAnsi="Arial" w:cs="Arial"/>
                <w:sz w:val="18"/>
              </w:rPr>
              <w:t>56,988.90</w:t>
            </w:r>
          </w:p>
        </w:tc>
      </w:tr>
      <w:tr w:rsidR="000C1C95" w:rsidRPr="0047017F" w14:paraId="55AD90EE" w14:textId="77777777" w:rsidTr="0047017F">
        <w:trPr>
          <w:trHeight w:val="264"/>
        </w:trPr>
        <w:tc>
          <w:tcPr>
            <w:tcW w:w="1620" w:type="dxa"/>
            <w:shd w:val="clear" w:color="auto" w:fill="auto"/>
            <w:noWrap/>
            <w:vAlign w:val="center"/>
            <w:hideMark/>
          </w:tcPr>
          <w:p w14:paraId="7E0F2EE2" w14:textId="77777777" w:rsidR="000C1C95" w:rsidRPr="0047017F" w:rsidRDefault="000C1C95" w:rsidP="000C1C95">
            <w:pPr>
              <w:rPr>
                <w:rFonts w:ascii="Arial" w:hAnsi="Arial" w:cs="Arial"/>
                <w:sz w:val="18"/>
              </w:rPr>
            </w:pPr>
            <w:r w:rsidRPr="0047017F">
              <w:rPr>
                <w:rFonts w:ascii="Arial" w:hAnsi="Arial" w:cs="Arial"/>
                <w:sz w:val="18"/>
              </w:rPr>
              <w:t xml:space="preserve">Georgia </w:t>
            </w:r>
          </w:p>
        </w:tc>
        <w:tc>
          <w:tcPr>
            <w:tcW w:w="1092" w:type="dxa"/>
            <w:shd w:val="clear" w:color="auto" w:fill="auto"/>
            <w:noWrap/>
            <w:vAlign w:val="center"/>
            <w:hideMark/>
          </w:tcPr>
          <w:p w14:paraId="27867E34" w14:textId="77777777" w:rsidR="000C1C95" w:rsidRPr="0047017F" w:rsidRDefault="000C1C95" w:rsidP="00836CB3">
            <w:pPr>
              <w:jc w:val="right"/>
              <w:rPr>
                <w:rFonts w:ascii="Arial" w:hAnsi="Arial" w:cs="Arial"/>
                <w:sz w:val="18"/>
              </w:rPr>
            </w:pPr>
            <w:r w:rsidRPr="0047017F">
              <w:rPr>
                <w:rFonts w:ascii="Arial" w:hAnsi="Arial" w:cs="Arial"/>
                <w:sz w:val="18"/>
              </w:rPr>
              <w:t>16</w:t>
            </w:r>
          </w:p>
        </w:tc>
        <w:tc>
          <w:tcPr>
            <w:tcW w:w="1276" w:type="dxa"/>
            <w:shd w:val="clear" w:color="auto" w:fill="auto"/>
            <w:noWrap/>
            <w:vAlign w:val="center"/>
            <w:hideMark/>
          </w:tcPr>
          <w:p w14:paraId="6DA44C28" w14:textId="77777777" w:rsidR="000C1C95" w:rsidRPr="0047017F" w:rsidRDefault="000C1C95" w:rsidP="00836CB3">
            <w:pPr>
              <w:jc w:val="right"/>
              <w:rPr>
                <w:rFonts w:ascii="Arial" w:hAnsi="Arial" w:cs="Arial"/>
                <w:sz w:val="18"/>
              </w:rPr>
            </w:pPr>
            <w:r w:rsidRPr="0047017F">
              <w:rPr>
                <w:rFonts w:ascii="Arial" w:hAnsi="Arial" w:cs="Arial"/>
                <w:sz w:val="18"/>
              </w:rPr>
              <w:t>3,810.90</w:t>
            </w:r>
          </w:p>
        </w:tc>
        <w:tc>
          <w:tcPr>
            <w:tcW w:w="1134" w:type="dxa"/>
            <w:shd w:val="clear" w:color="auto" w:fill="auto"/>
            <w:noWrap/>
            <w:vAlign w:val="center"/>
            <w:hideMark/>
          </w:tcPr>
          <w:p w14:paraId="530A8E5F" w14:textId="77777777" w:rsidR="000C1C95" w:rsidRPr="0047017F" w:rsidRDefault="000C1C95" w:rsidP="00836CB3">
            <w:pPr>
              <w:jc w:val="right"/>
              <w:rPr>
                <w:rFonts w:ascii="Arial" w:hAnsi="Arial" w:cs="Arial"/>
                <w:sz w:val="18"/>
              </w:rPr>
            </w:pPr>
            <w:r w:rsidRPr="0047017F">
              <w:rPr>
                <w:rFonts w:ascii="Arial" w:hAnsi="Arial" w:cs="Arial"/>
                <w:sz w:val="18"/>
              </w:rPr>
              <w:t>14</w:t>
            </w:r>
          </w:p>
        </w:tc>
        <w:tc>
          <w:tcPr>
            <w:tcW w:w="1559" w:type="dxa"/>
            <w:shd w:val="clear" w:color="auto" w:fill="auto"/>
            <w:noWrap/>
            <w:vAlign w:val="center"/>
            <w:hideMark/>
          </w:tcPr>
          <w:p w14:paraId="5704A575" w14:textId="77777777" w:rsidR="000C1C95" w:rsidRPr="0047017F" w:rsidRDefault="000C1C95" w:rsidP="00836CB3">
            <w:pPr>
              <w:jc w:val="right"/>
              <w:rPr>
                <w:rFonts w:ascii="Arial" w:hAnsi="Arial" w:cs="Arial"/>
                <w:sz w:val="18"/>
              </w:rPr>
            </w:pPr>
            <w:r w:rsidRPr="0047017F">
              <w:rPr>
                <w:rFonts w:ascii="Arial" w:hAnsi="Arial" w:cs="Arial"/>
                <w:sz w:val="18"/>
              </w:rPr>
              <w:t>23.30</w:t>
            </w:r>
          </w:p>
        </w:tc>
        <w:tc>
          <w:tcPr>
            <w:tcW w:w="2268" w:type="dxa"/>
            <w:shd w:val="clear" w:color="auto" w:fill="auto"/>
            <w:noWrap/>
            <w:vAlign w:val="center"/>
            <w:hideMark/>
          </w:tcPr>
          <w:p w14:paraId="684C5643" w14:textId="77777777" w:rsidR="000C1C95" w:rsidRPr="0047017F" w:rsidRDefault="000C1C95" w:rsidP="00836CB3">
            <w:pPr>
              <w:jc w:val="right"/>
              <w:rPr>
                <w:rFonts w:ascii="Arial" w:hAnsi="Arial" w:cs="Arial"/>
                <w:sz w:val="18"/>
              </w:rPr>
            </w:pPr>
            <w:r w:rsidRPr="0047017F">
              <w:rPr>
                <w:rFonts w:ascii="Arial" w:hAnsi="Arial" w:cs="Arial"/>
                <w:sz w:val="18"/>
              </w:rPr>
              <w:t>14.30</w:t>
            </w:r>
          </w:p>
        </w:tc>
        <w:tc>
          <w:tcPr>
            <w:tcW w:w="1559" w:type="dxa"/>
            <w:shd w:val="clear" w:color="auto" w:fill="auto"/>
            <w:noWrap/>
            <w:vAlign w:val="center"/>
            <w:hideMark/>
          </w:tcPr>
          <w:p w14:paraId="53964399" w14:textId="77777777" w:rsidR="000C1C95" w:rsidRPr="0047017F" w:rsidRDefault="000C1C95" w:rsidP="00836CB3">
            <w:pPr>
              <w:jc w:val="right"/>
              <w:rPr>
                <w:rFonts w:ascii="Arial" w:hAnsi="Arial" w:cs="Arial"/>
                <w:sz w:val="18"/>
              </w:rPr>
            </w:pPr>
            <w:r w:rsidRPr="0047017F">
              <w:rPr>
                <w:rFonts w:ascii="Arial" w:hAnsi="Arial" w:cs="Arial"/>
                <w:sz w:val="18"/>
              </w:rPr>
              <w:t>2,643.90</w:t>
            </w:r>
          </w:p>
        </w:tc>
        <w:tc>
          <w:tcPr>
            <w:tcW w:w="1146" w:type="dxa"/>
            <w:shd w:val="clear" w:color="auto" w:fill="auto"/>
            <w:noWrap/>
            <w:vAlign w:val="center"/>
            <w:hideMark/>
          </w:tcPr>
          <w:p w14:paraId="46AC16B4" w14:textId="77777777" w:rsidR="000C1C95" w:rsidRPr="0047017F" w:rsidRDefault="000C1C95" w:rsidP="00836CB3">
            <w:pPr>
              <w:jc w:val="right"/>
              <w:rPr>
                <w:rFonts w:ascii="Arial" w:hAnsi="Arial" w:cs="Arial"/>
                <w:sz w:val="18"/>
              </w:rPr>
            </w:pPr>
            <w:r w:rsidRPr="0047017F">
              <w:rPr>
                <w:rFonts w:ascii="Arial" w:hAnsi="Arial" w:cs="Arial"/>
                <w:sz w:val="18"/>
              </w:rPr>
              <w:t>3,720.40</w:t>
            </w:r>
          </w:p>
        </w:tc>
        <w:tc>
          <w:tcPr>
            <w:tcW w:w="1216" w:type="dxa"/>
            <w:shd w:val="clear" w:color="auto" w:fill="auto"/>
            <w:noWrap/>
            <w:vAlign w:val="center"/>
            <w:hideMark/>
          </w:tcPr>
          <w:p w14:paraId="52EFD43A" w14:textId="77777777" w:rsidR="000C1C95" w:rsidRPr="0047017F" w:rsidRDefault="000C1C95" w:rsidP="00836CB3">
            <w:pPr>
              <w:jc w:val="right"/>
              <w:rPr>
                <w:rFonts w:ascii="Arial" w:hAnsi="Arial" w:cs="Arial"/>
                <w:sz w:val="18"/>
              </w:rPr>
            </w:pPr>
            <w:r w:rsidRPr="0047017F">
              <w:rPr>
                <w:rFonts w:ascii="Arial" w:hAnsi="Arial" w:cs="Arial"/>
                <w:sz w:val="18"/>
              </w:rPr>
              <w:t>2,148.10</w:t>
            </w:r>
          </w:p>
        </w:tc>
      </w:tr>
      <w:tr w:rsidR="000C1C95" w:rsidRPr="0047017F" w14:paraId="3982E076" w14:textId="77777777" w:rsidTr="0047017F">
        <w:trPr>
          <w:trHeight w:val="264"/>
        </w:trPr>
        <w:tc>
          <w:tcPr>
            <w:tcW w:w="1620" w:type="dxa"/>
            <w:shd w:val="clear" w:color="auto" w:fill="auto"/>
            <w:noWrap/>
            <w:vAlign w:val="center"/>
            <w:hideMark/>
          </w:tcPr>
          <w:p w14:paraId="7E9DEED2" w14:textId="77777777" w:rsidR="000C1C95" w:rsidRPr="0047017F" w:rsidRDefault="000C1C95" w:rsidP="000C1C95">
            <w:pPr>
              <w:rPr>
                <w:rFonts w:ascii="Arial" w:hAnsi="Arial" w:cs="Arial"/>
                <w:sz w:val="18"/>
              </w:rPr>
            </w:pPr>
            <w:r w:rsidRPr="0047017F">
              <w:rPr>
                <w:rFonts w:ascii="Arial" w:hAnsi="Arial" w:cs="Arial"/>
                <w:sz w:val="18"/>
              </w:rPr>
              <w:t xml:space="preserve">Greece </w:t>
            </w:r>
          </w:p>
        </w:tc>
        <w:tc>
          <w:tcPr>
            <w:tcW w:w="1092" w:type="dxa"/>
            <w:shd w:val="clear" w:color="auto" w:fill="auto"/>
            <w:noWrap/>
            <w:vAlign w:val="center"/>
            <w:hideMark/>
          </w:tcPr>
          <w:p w14:paraId="0BDFF1DE" w14:textId="77777777" w:rsidR="000C1C95" w:rsidRPr="0047017F" w:rsidRDefault="000C1C95" w:rsidP="00836CB3">
            <w:pPr>
              <w:jc w:val="right"/>
              <w:rPr>
                <w:rFonts w:ascii="Arial" w:hAnsi="Arial" w:cs="Arial"/>
                <w:sz w:val="18"/>
              </w:rPr>
            </w:pPr>
            <w:r w:rsidRPr="0047017F">
              <w:rPr>
                <w:rFonts w:ascii="Arial" w:hAnsi="Arial" w:cs="Arial"/>
                <w:sz w:val="18"/>
              </w:rPr>
              <w:t>61</w:t>
            </w:r>
          </w:p>
        </w:tc>
        <w:tc>
          <w:tcPr>
            <w:tcW w:w="1276" w:type="dxa"/>
            <w:shd w:val="clear" w:color="auto" w:fill="auto"/>
            <w:noWrap/>
            <w:vAlign w:val="center"/>
            <w:hideMark/>
          </w:tcPr>
          <w:p w14:paraId="294E83A1" w14:textId="77777777" w:rsidR="000C1C95" w:rsidRPr="0047017F" w:rsidRDefault="000C1C95" w:rsidP="00836CB3">
            <w:pPr>
              <w:jc w:val="right"/>
              <w:rPr>
                <w:rFonts w:ascii="Arial" w:hAnsi="Arial" w:cs="Arial"/>
                <w:sz w:val="18"/>
              </w:rPr>
            </w:pPr>
            <w:r w:rsidRPr="0047017F">
              <w:rPr>
                <w:rFonts w:ascii="Arial" w:hAnsi="Arial" w:cs="Arial"/>
                <w:sz w:val="18"/>
              </w:rPr>
              <w:t>18,080.50</w:t>
            </w:r>
          </w:p>
        </w:tc>
        <w:tc>
          <w:tcPr>
            <w:tcW w:w="1134" w:type="dxa"/>
            <w:shd w:val="clear" w:color="auto" w:fill="auto"/>
            <w:noWrap/>
            <w:vAlign w:val="center"/>
            <w:hideMark/>
          </w:tcPr>
          <w:p w14:paraId="441C70E2" w14:textId="77777777" w:rsidR="000C1C95" w:rsidRPr="0047017F" w:rsidRDefault="000C1C95" w:rsidP="00836CB3">
            <w:pPr>
              <w:jc w:val="right"/>
              <w:rPr>
                <w:rFonts w:ascii="Arial" w:hAnsi="Arial" w:cs="Arial"/>
                <w:sz w:val="18"/>
              </w:rPr>
            </w:pPr>
            <w:r w:rsidRPr="0047017F">
              <w:rPr>
                <w:rFonts w:ascii="Arial" w:hAnsi="Arial" w:cs="Arial"/>
                <w:sz w:val="18"/>
              </w:rPr>
              <w:t>195</w:t>
            </w:r>
          </w:p>
        </w:tc>
        <w:tc>
          <w:tcPr>
            <w:tcW w:w="1559" w:type="dxa"/>
            <w:shd w:val="clear" w:color="auto" w:fill="auto"/>
            <w:noWrap/>
            <w:vAlign w:val="center"/>
            <w:hideMark/>
          </w:tcPr>
          <w:p w14:paraId="12236D30" w14:textId="77777777" w:rsidR="000C1C95" w:rsidRPr="0047017F" w:rsidRDefault="000C1C95" w:rsidP="00836CB3">
            <w:pPr>
              <w:jc w:val="right"/>
              <w:rPr>
                <w:rFonts w:ascii="Arial" w:hAnsi="Arial" w:cs="Arial"/>
                <w:sz w:val="18"/>
              </w:rPr>
            </w:pPr>
            <w:r w:rsidRPr="0047017F">
              <w:rPr>
                <w:rFonts w:ascii="Arial" w:hAnsi="Arial" w:cs="Arial"/>
                <w:sz w:val="18"/>
              </w:rPr>
              <w:t>174.90</w:t>
            </w:r>
          </w:p>
        </w:tc>
        <w:tc>
          <w:tcPr>
            <w:tcW w:w="2268" w:type="dxa"/>
            <w:shd w:val="clear" w:color="auto" w:fill="auto"/>
            <w:noWrap/>
            <w:vAlign w:val="center"/>
            <w:hideMark/>
          </w:tcPr>
          <w:p w14:paraId="7420912B" w14:textId="77777777" w:rsidR="000C1C95" w:rsidRPr="0047017F" w:rsidRDefault="000C1C95" w:rsidP="00836CB3">
            <w:pPr>
              <w:jc w:val="right"/>
              <w:rPr>
                <w:rFonts w:ascii="Arial" w:hAnsi="Arial" w:cs="Arial"/>
                <w:sz w:val="18"/>
              </w:rPr>
            </w:pPr>
            <w:r w:rsidRPr="0047017F">
              <w:rPr>
                <w:rFonts w:ascii="Arial" w:hAnsi="Arial" w:cs="Arial"/>
                <w:sz w:val="18"/>
              </w:rPr>
              <w:t>90.70</w:t>
            </w:r>
          </w:p>
        </w:tc>
        <w:tc>
          <w:tcPr>
            <w:tcW w:w="1559" w:type="dxa"/>
            <w:shd w:val="clear" w:color="auto" w:fill="auto"/>
            <w:noWrap/>
            <w:vAlign w:val="center"/>
            <w:hideMark/>
          </w:tcPr>
          <w:p w14:paraId="206E0A72" w14:textId="77777777" w:rsidR="000C1C95" w:rsidRPr="0047017F" w:rsidRDefault="000C1C95" w:rsidP="00836CB3">
            <w:pPr>
              <w:jc w:val="right"/>
              <w:rPr>
                <w:rFonts w:ascii="Arial" w:hAnsi="Arial" w:cs="Arial"/>
                <w:sz w:val="18"/>
              </w:rPr>
            </w:pPr>
            <w:r w:rsidRPr="0047017F">
              <w:rPr>
                <w:rFonts w:ascii="Arial" w:hAnsi="Arial" w:cs="Arial"/>
                <w:sz w:val="18"/>
              </w:rPr>
              <w:t>12,523.20</w:t>
            </w:r>
          </w:p>
        </w:tc>
        <w:tc>
          <w:tcPr>
            <w:tcW w:w="1146" w:type="dxa"/>
            <w:shd w:val="clear" w:color="auto" w:fill="auto"/>
            <w:noWrap/>
            <w:vAlign w:val="center"/>
            <w:hideMark/>
          </w:tcPr>
          <w:p w14:paraId="38937994" w14:textId="77777777" w:rsidR="000C1C95" w:rsidRPr="0047017F" w:rsidRDefault="000C1C95" w:rsidP="00836CB3">
            <w:pPr>
              <w:jc w:val="right"/>
              <w:rPr>
                <w:rFonts w:ascii="Arial" w:hAnsi="Arial" w:cs="Arial"/>
                <w:sz w:val="18"/>
              </w:rPr>
            </w:pPr>
            <w:r w:rsidRPr="0047017F">
              <w:rPr>
                <w:rFonts w:ascii="Arial" w:hAnsi="Arial" w:cs="Arial"/>
                <w:sz w:val="18"/>
              </w:rPr>
              <w:t>10,793.50</w:t>
            </w:r>
          </w:p>
        </w:tc>
        <w:tc>
          <w:tcPr>
            <w:tcW w:w="1216" w:type="dxa"/>
            <w:shd w:val="clear" w:color="auto" w:fill="auto"/>
            <w:noWrap/>
            <w:vAlign w:val="center"/>
            <w:hideMark/>
          </w:tcPr>
          <w:p w14:paraId="0CABE528" w14:textId="77777777" w:rsidR="000C1C95" w:rsidRPr="0047017F" w:rsidRDefault="000C1C95" w:rsidP="00836CB3">
            <w:pPr>
              <w:jc w:val="right"/>
              <w:rPr>
                <w:rFonts w:ascii="Arial" w:hAnsi="Arial" w:cs="Arial"/>
                <w:sz w:val="18"/>
              </w:rPr>
            </w:pPr>
            <w:r w:rsidRPr="0047017F">
              <w:rPr>
                <w:rFonts w:ascii="Arial" w:hAnsi="Arial" w:cs="Arial"/>
                <w:sz w:val="18"/>
              </w:rPr>
              <w:t>8,454.00</w:t>
            </w:r>
          </w:p>
        </w:tc>
      </w:tr>
      <w:tr w:rsidR="000C1C95" w:rsidRPr="0047017F" w14:paraId="15A8848E" w14:textId="77777777" w:rsidTr="0047017F">
        <w:trPr>
          <w:trHeight w:val="264"/>
        </w:trPr>
        <w:tc>
          <w:tcPr>
            <w:tcW w:w="1620" w:type="dxa"/>
            <w:shd w:val="clear" w:color="auto" w:fill="auto"/>
            <w:noWrap/>
            <w:vAlign w:val="center"/>
            <w:hideMark/>
          </w:tcPr>
          <w:p w14:paraId="6CE9D9CB" w14:textId="77777777" w:rsidR="000C1C95" w:rsidRPr="0047017F" w:rsidRDefault="000C1C95" w:rsidP="000C1C95">
            <w:pPr>
              <w:rPr>
                <w:rFonts w:ascii="Arial" w:hAnsi="Arial" w:cs="Arial"/>
                <w:sz w:val="18"/>
              </w:rPr>
            </w:pPr>
            <w:r w:rsidRPr="0047017F">
              <w:rPr>
                <w:rFonts w:ascii="Arial" w:hAnsi="Arial" w:cs="Arial"/>
                <w:sz w:val="18"/>
              </w:rPr>
              <w:t xml:space="preserve">Hungary </w:t>
            </w:r>
          </w:p>
        </w:tc>
        <w:tc>
          <w:tcPr>
            <w:tcW w:w="1092" w:type="dxa"/>
            <w:shd w:val="clear" w:color="auto" w:fill="auto"/>
            <w:noWrap/>
            <w:vAlign w:val="center"/>
            <w:hideMark/>
          </w:tcPr>
          <w:p w14:paraId="62553329" w14:textId="77777777" w:rsidR="000C1C95" w:rsidRPr="0047017F" w:rsidRDefault="000C1C95" w:rsidP="00836CB3">
            <w:pPr>
              <w:jc w:val="right"/>
              <w:rPr>
                <w:rFonts w:ascii="Arial" w:hAnsi="Arial" w:cs="Arial"/>
                <w:sz w:val="18"/>
              </w:rPr>
            </w:pPr>
            <w:r w:rsidRPr="0047017F">
              <w:rPr>
                <w:rFonts w:ascii="Arial" w:hAnsi="Arial" w:cs="Arial"/>
                <w:sz w:val="18"/>
              </w:rPr>
              <w:t>41</w:t>
            </w:r>
          </w:p>
        </w:tc>
        <w:tc>
          <w:tcPr>
            <w:tcW w:w="1276" w:type="dxa"/>
            <w:shd w:val="clear" w:color="auto" w:fill="auto"/>
            <w:noWrap/>
            <w:vAlign w:val="center"/>
            <w:hideMark/>
          </w:tcPr>
          <w:p w14:paraId="799893D1" w14:textId="77777777" w:rsidR="000C1C95" w:rsidRPr="0047017F" w:rsidRDefault="000C1C95" w:rsidP="00836CB3">
            <w:pPr>
              <w:jc w:val="right"/>
              <w:rPr>
                <w:rFonts w:ascii="Arial" w:hAnsi="Arial" w:cs="Arial"/>
                <w:sz w:val="18"/>
              </w:rPr>
            </w:pPr>
            <w:r w:rsidRPr="0047017F">
              <w:rPr>
                <w:rFonts w:ascii="Arial" w:hAnsi="Arial" w:cs="Arial"/>
                <w:sz w:val="18"/>
              </w:rPr>
              <w:t>12,673.50</w:t>
            </w:r>
          </w:p>
        </w:tc>
        <w:tc>
          <w:tcPr>
            <w:tcW w:w="1134" w:type="dxa"/>
            <w:shd w:val="clear" w:color="auto" w:fill="auto"/>
            <w:noWrap/>
            <w:vAlign w:val="center"/>
            <w:hideMark/>
          </w:tcPr>
          <w:p w14:paraId="6D6BB6A7" w14:textId="77777777" w:rsidR="000C1C95" w:rsidRPr="0047017F" w:rsidRDefault="000C1C95" w:rsidP="00836CB3">
            <w:pPr>
              <w:jc w:val="right"/>
              <w:rPr>
                <w:rFonts w:ascii="Arial" w:hAnsi="Arial" w:cs="Arial"/>
                <w:sz w:val="18"/>
              </w:rPr>
            </w:pPr>
            <w:r w:rsidRPr="0047017F">
              <w:rPr>
                <w:rFonts w:ascii="Arial" w:hAnsi="Arial" w:cs="Arial"/>
                <w:sz w:val="18"/>
              </w:rPr>
              <w:t>125</w:t>
            </w:r>
          </w:p>
        </w:tc>
        <w:tc>
          <w:tcPr>
            <w:tcW w:w="1559" w:type="dxa"/>
            <w:shd w:val="clear" w:color="auto" w:fill="auto"/>
            <w:noWrap/>
            <w:vAlign w:val="center"/>
            <w:hideMark/>
          </w:tcPr>
          <w:p w14:paraId="584B1D14" w14:textId="77777777" w:rsidR="000C1C95" w:rsidRPr="0047017F" w:rsidRDefault="000C1C95" w:rsidP="00836CB3">
            <w:pPr>
              <w:jc w:val="right"/>
              <w:rPr>
                <w:rFonts w:ascii="Arial" w:hAnsi="Arial" w:cs="Arial"/>
                <w:sz w:val="18"/>
              </w:rPr>
            </w:pPr>
            <w:r w:rsidRPr="0047017F">
              <w:rPr>
                <w:rFonts w:ascii="Arial" w:hAnsi="Arial" w:cs="Arial"/>
                <w:sz w:val="18"/>
              </w:rPr>
              <w:t>69.40</w:t>
            </w:r>
          </w:p>
        </w:tc>
        <w:tc>
          <w:tcPr>
            <w:tcW w:w="2268" w:type="dxa"/>
            <w:shd w:val="clear" w:color="auto" w:fill="auto"/>
            <w:noWrap/>
            <w:vAlign w:val="center"/>
            <w:hideMark/>
          </w:tcPr>
          <w:p w14:paraId="54A75E35" w14:textId="77777777" w:rsidR="000C1C95" w:rsidRPr="0047017F" w:rsidRDefault="000C1C95" w:rsidP="00836CB3">
            <w:pPr>
              <w:jc w:val="right"/>
              <w:rPr>
                <w:rFonts w:ascii="Arial" w:hAnsi="Arial" w:cs="Arial"/>
                <w:sz w:val="18"/>
              </w:rPr>
            </w:pPr>
            <w:r w:rsidRPr="0047017F">
              <w:rPr>
                <w:rFonts w:ascii="Arial" w:hAnsi="Arial" w:cs="Arial"/>
                <w:sz w:val="18"/>
              </w:rPr>
              <w:t>105.10</w:t>
            </w:r>
          </w:p>
        </w:tc>
        <w:tc>
          <w:tcPr>
            <w:tcW w:w="1559" w:type="dxa"/>
            <w:shd w:val="clear" w:color="auto" w:fill="auto"/>
            <w:noWrap/>
            <w:vAlign w:val="center"/>
            <w:hideMark/>
          </w:tcPr>
          <w:p w14:paraId="33D5FE35" w14:textId="77777777" w:rsidR="000C1C95" w:rsidRPr="0047017F" w:rsidRDefault="000C1C95" w:rsidP="00836CB3">
            <w:pPr>
              <w:jc w:val="right"/>
              <w:rPr>
                <w:rFonts w:ascii="Arial" w:hAnsi="Arial" w:cs="Arial"/>
                <w:sz w:val="18"/>
              </w:rPr>
            </w:pPr>
            <w:r w:rsidRPr="0047017F">
              <w:rPr>
                <w:rFonts w:ascii="Arial" w:hAnsi="Arial" w:cs="Arial"/>
                <w:sz w:val="18"/>
              </w:rPr>
              <w:t>6,566.20</w:t>
            </w:r>
          </w:p>
        </w:tc>
        <w:tc>
          <w:tcPr>
            <w:tcW w:w="1146" w:type="dxa"/>
            <w:shd w:val="clear" w:color="auto" w:fill="auto"/>
            <w:noWrap/>
            <w:vAlign w:val="center"/>
            <w:hideMark/>
          </w:tcPr>
          <w:p w14:paraId="338600C2" w14:textId="77777777" w:rsidR="000C1C95" w:rsidRPr="0047017F" w:rsidRDefault="000C1C95" w:rsidP="00836CB3">
            <w:pPr>
              <w:jc w:val="right"/>
              <w:rPr>
                <w:rFonts w:ascii="Arial" w:hAnsi="Arial" w:cs="Arial"/>
                <w:sz w:val="18"/>
              </w:rPr>
            </w:pPr>
            <w:r w:rsidRPr="0047017F">
              <w:rPr>
                <w:rFonts w:ascii="Arial" w:hAnsi="Arial" w:cs="Arial"/>
                <w:sz w:val="18"/>
              </w:rPr>
              <w:t>9,830.50</w:t>
            </w:r>
          </w:p>
        </w:tc>
        <w:tc>
          <w:tcPr>
            <w:tcW w:w="1216" w:type="dxa"/>
            <w:shd w:val="clear" w:color="auto" w:fill="auto"/>
            <w:noWrap/>
            <w:vAlign w:val="center"/>
            <w:hideMark/>
          </w:tcPr>
          <w:p w14:paraId="36D7F396" w14:textId="77777777" w:rsidR="000C1C95" w:rsidRPr="0047017F" w:rsidRDefault="000C1C95" w:rsidP="00836CB3">
            <w:pPr>
              <w:jc w:val="right"/>
              <w:rPr>
                <w:rFonts w:ascii="Arial" w:hAnsi="Arial" w:cs="Arial"/>
                <w:sz w:val="18"/>
              </w:rPr>
            </w:pPr>
            <w:r w:rsidRPr="0047017F">
              <w:rPr>
                <w:rFonts w:ascii="Arial" w:hAnsi="Arial" w:cs="Arial"/>
                <w:sz w:val="18"/>
              </w:rPr>
              <w:t>6,929.80</w:t>
            </w:r>
          </w:p>
        </w:tc>
      </w:tr>
      <w:tr w:rsidR="000C1C95" w:rsidRPr="0047017F" w14:paraId="5D6C3ED7" w14:textId="77777777" w:rsidTr="0047017F">
        <w:trPr>
          <w:trHeight w:val="264"/>
        </w:trPr>
        <w:tc>
          <w:tcPr>
            <w:tcW w:w="1620" w:type="dxa"/>
            <w:shd w:val="clear" w:color="auto" w:fill="auto"/>
            <w:noWrap/>
            <w:vAlign w:val="center"/>
            <w:hideMark/>
          </w:tcPr>
          <w:p w14:paraId="7CF204DD" w14:textId="77777777" w:rsidR="000C1C95" w:rsidRPr="0047017F" w:rsidRDefault="000C1C95" w:rsidP="000C1C95">
            <w:pPr>
              <w:rPr>
                <w:rFonts w:ascii="Arial" w:hAnsi="Arial" w:cs="Arial"/>
                <w:sz w:val="18"/>
              </w:rPr>
            </w:pPr>
            <w:r w:rsidRPr="0047017F">
              <w:rPr>
                <w:rFonts w:ascii="Arial" w:hAnsi="Arial" w:cs="Arial"/>
                <w:sz w:val="18"/>
              </w:rPr>
              <w:t xml:space="preserve">Italy </w:t>
            </w:r>
          </w:p>
        </w:tc>
        <w:tc>
          <w:tcPr>
            <w:tcW w:w="1092" w:type="dxa"/>
            <w:shd w:val="clear" w:color="auto" w:fill="auto"/>
            <w:noWrap/>
            <w:vAlign w:val="center"/>
            <w:hideMark/>
          </w:tcPr>
          <w:p w14:paraId="6BB184D9" w14:textId="77777777" w:rsidR="000C1C95" w:rsidRPr="0047017F" w:rsidRDefault="000C1C95" w:rsidP="00836CB3">
            <w:pPr>
              <w:jc w:val="right"/>
              <w:rPr>
                <w:rFonts w:ascii="Arial" w:hAnsi="Arial" w:cs="Arial"/>
                <w:sz w:val="18"/>
              </w:rPr>
            </w:pPr>
            <w:r w:rsidRPr="0047017F">
              <w:rPr>
                <w:rFonts w:ascii="Arial" w:hAnsi="Arial" w:cs="Arial"/>
                <w:sz w:val="18"/>
              </w:rPr>
              <w:t>50</w:t>
            </w:r>
          </w:p>
        </w:tc>
        <w:tc>
          <w:tcPr>
            <w:tcW w:w="1276" w:type="dxa"/>
            <w:shd w:val="clear" w:color="auto" w:fill="auto"/>
            <w:noWrap/>
            <w:vAlign w:val="center"/>
            <w:hideMark/>
          </w:tcPr>
          <w:p w14:paraId="14426EB2" w14:textId="77777777" w:rsidR="000C1C95" w:rsidRPr="0047017F" w:rsidRDefault="000C1C95" w:rsidP="00836CB3">
            <w:pPr>
              <w:jc w:val="right"/>
              <w:rPr>
                <w:rFonts w:ascii="Arial" w:hAnsi="Arial" w:cs="Arial"/>
                <w:sz w:val="18"/>
              </w:rPr>
            </w:pPr>
            <w:r w:rsidRPr="0047017F">
              <w:rPr>
                <w:rFonts w:ascii="Arial" w:hAnsi="Arial" w:cs="Arial"/>
                <w:sz w:val="18"/>
              </w:rPr>
              <w:t>30,406.70</w:t>
            </w:r>
          </w:p>
        </w:tc>
        <w:tc>
          <w:tcPr>
            <w:tcW w:w="1134" w:type="dxa"/>
            <w:shd w:val="clear" w:color="auto" w:fill="auto"/>
            <w:noWrap/>
            <w:vAlign w:val="center"/>
            <w:hideMark/>
          </w:tcPr>
          <w:p w14:paraId="539D71DD" w14:textId="77777777" w:rsidR="000C1C95" w:rsidRPr="0047017F" w:rsidRDefault="000C1C95" w:rsidP="00836CB3">
            <w:pPr>
              <w:jc w:val="right"/>
              <w:rPr>
                <w:rFonts w:ascii="Arial" w:hAnsi="Arial" w:cs="Arial"/>
                <w:sz w:val="18"/>
              </w:rPr>
            </w:pPr>
            <w:r w:rsidRPr="0047017F">
              <w:rPr>
                <w:rFonts w:ascii="Arial" w:hAnsi="Arial" w:cs="Arial"/>
                <w:sz w:val="18"/>
              </w:rPr>
              <w:t>1,854</w:t>
            </w:r>
          </w:p>
        </w:tc>
        <w:tc>
          <w:tcPr>
            <w:tcW w:w="1559" w:type="dxa"/>
            <w:shd w:val="clear" w:color="auto" w:fill="auto"/>
            <w:noWrap/>
            <w:vAlign w:val="center"/>
            <w:hideMark/>
          </w:tcPr>
          <w:p w14:paraId="5A2604E6" w14:textId="77777777" w:rsidR="000C1C95" w:rsidRPr="0047017F" w:rsidRDefault="000C1C95" w:rsidP="00836CB3">
            <w:pPr>
              <w:jc w:val="right"/>
              <w:rPr>
                <w:rFonts w:ascii="Arial" w:hAnsi="Arial" w:cs="Arial"/>
                <w:sz w:val="18"/>
              </w:rPr>
            </w:pPr>
            <w:r w:rsidRPr="0047017F">
              <w:rPr>
                <w:rFonts w:ascii="Arial" w:hAnsi="Arial" w:cs="Arial"/>
                <w:sz w:val="18"/>
              </w:rPr>
              <w:t>227.20</w:t>
            </w:r>
          </w:p>
        </w:tc>
        <w:tc>
          <w:tcPr>
            <w:tcW w:w="2268" w:type="dxa"/>
            <w:shd w:val="clear" w:color="auto" w:fill="auto"/>
            <w:noWrap/>
            <w:vAlign w:val="center"/>
            <w:hideMark/>
          </w:tcPr>
          <w:p w14:paraId="7F96CEAE" w14:textId="77777777" w:rsidR="000C1C95" w:rsidRPr="0047017F" w:rsidRDefault="000C1C95" w:rsidP="00836CB3">
            <w:pPr>
              <w:jc w:val="right"/>
              <w:rPr>
                <w:rFonts w:ascii="Arial" w:hAnsi="Arial" w:cs="Arial"/>
                <w:sz w:val="18"/>
              </w:rPr>
            </w:pPr>
            <w:r w:rsidRPr="0047017F">
              <w:rPr>
                <w:rFonts w:ascii="Arial" w:hAnsi="Arial" w:cs="Arial"/>
                <w:sz w:val="18"/>
              </w:rPr>
              <w:t>126.70</w:t>
            </w:r>
          </w:p>
        </w:tc>
        <w:tc>
          <w:tcPr>
            <w:tcW w:w="1559" w:type="dxa"/>
            <w:shd w:val="clear" w:color="auto" w:fill="auto"/>
            <w:noWrap/>
            <w:vAlign w:val="center"/>
            <w:hideMark/>
          </w:tcPr>
          <w:p w14:paraId="5783F553" w14:textId="77777777" w:rsidR="000C1C95" w:rsidRPr="0047017F" w:rsidRDefault="000C1C95" w:rsidP="00836CB3">
            <w:pPr>
              <w:jc w:val="right"/>
              <w:rPr>
                <w:rFonts w:ascii="Arial" w:hAnsi="Arial" w:cs="Arial"/>
                <w:sz w:val="18"/>
              </w:rPr>
            </w:pPr>
            <w:r w:rsidRPr="0047017F">
              <w:rPr>
                <w:rFonts w:ascii="Arial" w:hAnsi="Arial" w:cs="Arial"/>
                <w:sz w:val="18"/>
              </w:rPr>
              <w:t>19,709.60</w:t>
            </w:r>
          </w:p>
        </w:tc>
        <w:tc>
          <w:tcPr>
            <w:tcW w:w="1146" w:type="dxa"/>
            <w:shd w:val="clear" w:color="auto" w:fill="auto"/>
            <w:noWrap/>
            <w:vAlign w:val="center"/>
            <w:hideMark/>
          </w:tcPr>
          <w:p w14:paraId="7C6764C3" w14:textId="77777777" w:rsidR="000C1C95" w:rsidRPr="0047017F" w:rsidRDefault="000C1C95" w:rsidP="00836CB3">
            <w:pPr>
              <w:jc w:val="right"/>
              <w:rPr>
                <w:rFonts w:ascii="Arial" w:hAnsi="Arial" w:cs="Arial"/>
                <w:sz w:val="18"/>
              </w:rPr>
            </w:pPr>
            <w:r w:rsidRPr="0047017F">
              <w:rPr>
                <w:rFonts w:ascii="Arial" w:hAnsi="Arial" w:cs="Arial"/>
                <w:sz w:val="18"/>
              </w:rPr>
              <w:t>60,986.80</w:t>
            </w:r>
          </w:p>
        </w:tc>
        <w:tc>
          <w:tcPr>
            <w:tcW w:w="1216" w:type="dxa"/>
            <w:shd w:val="clear" w:color="auto" w:fill="auto"/>
            <w:noWrap/>
            <w:vAlign w:val="center"/>
            <w:hideMark/>
          </w:tcPr>
          <w:p w14:paraId="25919776" w14:textId="77777777" w:rsidR="000C1C95" w:rsidRPr="0047017F" w:rsidRDefault="000C1C95" w:rsidP="00836CB3">
            <w:pPr>
              <w:jc w:val="right"/>
              <w:rPr>
                <w:rFonts w:ascii="Arial" w:hAnsi="Arial" w:cs="Arial"/>
                <w:sz w:val="18"/>
              </w:rPr>
            </w:pPr>
            <w:r w:rsidRPr="0047017F">
              <w:rPr>
                <w:rFonts w:ascii="Arial" w:hAnsi="Arial" w:cs="Arial"/>
                <w:sz w:val="18"/>
              </w:rPr>
              <w:t>42,556.50</w:t>
            </w:r>
          </w:p>
        </w:tc>
      </w:tr>
      <w:tr w:rsidR="000C1C95" w:rsidRPr="0047017F" w14:paraId="5085F00D" w14:textId="77777777" w:rsidTr="0047017F">
        <w:trPr>
          <w:trHeight w:val="264"/>
        </w:trPr>
        <w:tc>
          <w:tcPr>
            <w:tcW w:w="1620" w:type="dxa"/>
            <w:shd w:val="clear" w:color="auto" w:fill="auto"/>
            <w:noWrap/>
            <w:vAlign w:val="center"/>
            <w:hideMark/>
          </w:tcPr>
          <w:p w14:paraId="1CB3A80E" w14:textId="77777777" w:rsidR="000C1C95" w:rsidRPr="0047017F" w:rsidRDefault="000C1C95" w:rsidP="000C1C95">
            <w:pPr>
              <w:rPr>
                <w:rFonts w:ascii="Arial" w:hAnsi="Arial" w:cs="Arial"/>
                <w:sz w:val="18"/>
              </w:rPr>
            </w:pPr>
            <w:r w:rsidRPr="0047017F">
              <w:rPr>
                <w:rFonts w:ascii="Arial" w:hAnsi="Arial" w:cs="Arial"/>
                <w:sz w:val="18"/>
              </w:rPr>
              <w:t xml:space="preserve">Latvia </w:t>
            </w:r>
          </w:p>
        </w:tc>
        <w:tc>
          <w:tcPr>
            <w:tcW w:w="1092" w:type="dxa"/>
            <w:shd w:val="clear" w:color="auto" w:fill="auto"/>
            <w:noWrap/>
            <w:vAlign w:val="center"/>
            <w:hideMark/>
          </w:tcPr>
          <w:p w14:paraId="3342F4C8" w14:textId="77777777" w:rsidR="000C1C95" w:rsidRPr="0047017F" w:rsidRDefault="000C1C95" w:rsidP="00836CB3">
            <w:pPr>
              <w:jc w:val="right"/>
              <w:rPr>
                <w:rFonts w:ascii="Arial" w:hAnsi="Arial" w:cs="Arial"/>
                <w:sz w:val="18"/>
              </w:rPr>
            </w:pPr>
            <w:r w:rsidRPr="0047017F">
              <w:rPr>
                <w:rFonts w:ascii="Arial" w:hAnsi="Arial" w:cs="Arial"/>
                <w:sz w:val="18"/>
              </w:rPr>
              <w:t>14</w:t>
            </w:r>
          </w:p>
        </w:tc>
        <w:tc>
          <w:tcPr>
            <w:tcW w:w="1276" w:type="dxa"/>
            <w:shd w:val="clear" w:color="auto" w:fill="auto"/>
            <w:noWrap/>
            <w:vAlign w:val="center"/>
            <w:hideMark/>
          </w:tcPr>
          <w:p w14:paraId="2AB57260" w14:textId="77777777" w:rsidR="000C1C95" w:rsidRPr="0047017F" w:rsidRDefault="000C1C95" w:rsidP="00836CB3">
            <w:pPr>
              <w:jc w:val="right"/>
              <w:rPr>
                <w:rFonts w:ascii="Arial" w:hAnsi="Arial" w:cs="Arial"/>
                <w:sz w:val="18"/>
              </w:rPr>
            </w:pPr>
            <w:r w:rsidRPr="0047017F">
              <w:rPr>
                <w:rFonts w:ascii="Arial" w:hAnsi="Arial" w:cs="Arial"/>
                <w:sz w:val="18"/>
              </w:rPr>
              <w:t>13,917.50</w:t>
            </w:r>
          </w:p>
        </w:tc>
        <w:tc>
          <w:tcPr>
            <w:tcW w:w="1134" w:type="dxa"/>
            <w:shd w:val="clear" w:color="auto" w:fill="auto"/>
            <w:noWrap/>
            <w:vAlign w:val="center"/>
            <w:hideMark/>
          </w:tcPr>
          <w:p w14:paraId="0DF19EED" w14:textId="77777777" w:rsidR="000C1C95" w:rsidRPr="0047017F" w:rsidRDefault="000C1C95" w:rsidP="00836CB3">
            <w:pPr>
              <w:jc w:val="right"/>
              <w:rPr>
                <w:rFonts w:ascii="Arial" w:hAnsi="Arial" w:cs="Arial"/>
                <w:sz w:val="18"/>
              </w:rPr>
            </w:pPr>
            <w:r w:rsidRPr="0047017F">
              <w:rPr>
                <w:rFonts w:ascii="Arial" w:hAnsi="Arial" w:cs="Arial"/>
                <w:sz w:val="18"/>
              </w:rPr>
              <w:t>27</w:t>
            </w:r>
          </w:p>
        </w:tc>
        <w:tc>
          <w:tcPr>
            <w:tcW w:w="1559" w:type="dxa"/>
            <w:shd w:val="clear" w:color="auto" w:fill="auto"/>
            <w:noWrap/>
            <w:vAlign w:val="center"/>
            <w:hideMark/>
          </w:tcPr>
          <w:p w14:paraId="096A999B" w14:textId="77777777" w:rsidR="000C1C95" w:rsidRPr="0047017F" w:rsidRDefault="000C1C95" w:rsidP="00836CB3">
            <w:pPr>
              <w:jc w:val="right"/>
              <w:rPr>
                <w:rFonts w:ascii="Arial" w:hAnsi="Arial" w:cs="Arial"/>
                <w:sz w:val="18"/>
              </w:rPr>
            </w:pPr>
            <w:r w:rsidRPr="0047017F">
              <w:rPr>
                <w:rFonts w:ascii="Arial" w:hAnsi="Arial" w:cs="Arial"/>
                <w:sz w:val="18"/>
              </w:rPr>
              <w:t>126.10</w:t>
            </w:r>
          </w:p>
        </w:tc>
        <w:tc>
          <w:tcPr>
            <w:tcW w:w="2268" w:type="dxa"/>
            <w:shd w:val="clear" w:color="auto" w:fill="auto"/>
            <w:noWrap/>
            <w:vAlign w:val="center"/>
            <w:hideMark/>
          </w:tcPr>
          <w:p w14:paraId="599388ED" w14:textId="77777777" w:rsidR="000C1C95" w:rsidRPr="0047017F" w:rsidRDefault="000C1C95" w:rsidP="00836CB3">
            <w:pPr>
              <w:jc w:val="right"/>
              <w:rPr>
                <w:rFonts w:ascii="Arial" w:hAnsi="Arial" w:cs="Arial"/>
                <w:sz w:val="18"/>
              </w:rPr>
            </w:pPr>
            <w:r w:rsidRPr="0047017F">
              <w:rPr>
                <w:rFonts w:ascii="Arial" w:hAnsi="Arial" w:cs="Arial"/>
                <w:sz w:val="18"/>
              </w:rPr>
              <w:t>79.60</w:t>
            </w:r>
          </w:p>
        </w:tc>
        <w:tc>
          <w:tcPr>
            <w:tcW w:w="1559" w:type="dxa"/>
            <w:shd w:val="clear" w:color="auto" w:fill="auto"/>
            <w:noWrap/>
            <w:vAlign w:val="center"/>
            <w:hideMark/>
          </w:tcPr>
          <w:p w14:paraId="0BF8E017" w14:textId="77777777" w:rsidR="000C1C95" w:rsidRPr="0047017F" w:rsidRDefault="000C1C95" w:rsidP="00836CB3">
            <w:pPr>
              <w:jc w:val="right"/>
              <w:rPr>
                <w:rFonts w:ascii="Arial" w:hAnsi="Arial" w:cs="Arial"/>
                <w:sz w:val="18"/>
              </w:rPr>
            </w:pPr>
            <w:r w:rsidRPr="0047017F">
              <w:rPr>
                <w:rFonts w:ascii="Arial" w:hAnsi="Arial" w:cs="Arial"/>
                <w:sz w:val="18"/>
              </w:rPr>
              <w:t>8,332.60</w:t>
            </w:r>
          </w:p>
        </w:tc>
        <w:tc>
          <w:tcPr>
            <w:tcW w:w="1146" w:type="dxa"/>
            <w:shd w:val="clear" w:color="auto" w:fill="auto"/>
            <w:noWrap/>
            <w:vAlign w:val="center"/>
            <w:hideMark/>
          </w:tcPr>
          <w:p w14:paraId="65B98CB9" w14:textId="77777777" w:rsidR="000C1C95" w:rsidRPr="0047017F" w:rsidRDefault="000C1C95" w:rsidP="00836CB3">
            <w:pPr>
              <w:jc w:val="right"/>
              <w:rPr>
                <w:rFonts w:ascii="Arial" w:hAnsi="Arial" w:cs="Arial"/>
                <w:sz w:val="18"/>
              </w:rPr>
            </w:pPr>
            <w:r w:rsidRPr="0047017F">
              <w:rPr>
                <w:rFonts w:ascii="Arial" w:hAnsi="Arial" w:cs="Arial"/>
                <w:sz w:val="18"/>
              </w:rPr>
              <w:t>1,969.00</w:t>
            </w:r>
          </w:p>
        </w:tc>
        <w:tc>
          <w:tcPr>
            <w:tcW w:w="1216" w:type="dxa"/>
            <w:shd w:val="clear" w:color="auto" w:fill="auto"/>
            <w:noWrap/>
            <w:vAlign w:val="center"/>
            <w:hideMark/>
          </w:tcPr>
          <w:p w14:paraId="1A588228" w14:textId="77777777" w:rsidR="000C1C95" w:rsidRPr="0047017F" w:rsidRDefault="000C1C95" w:rsidP="00836CB3">
            <w:pPr>
              <w:jc w:val="right"/>
              <w:rPr>
                <w:rFonts w:ascii="Arial" w:hAnsi="Arial" w:cs="Arial"/>
                <w:sz w:val="18"/>
              </w:rPr>
            </w:pPr>
            <w:r w:rsidRPr="0047017F">
              <w:rPr>
                <w:rFonts w:ascii="Arial" w:hAnsi="Arial" w:cs="Arial"/>
                <w:sz w:val="18"/>
              </w:rPr>
              <w:t>1,339.70</w:t>
            </w:r>
          </w:p>
        </w:tc>
      </w:tr>
      <w:tr w:rsidR="000C1C95" w:rsidRPr="0047017F" w14:paraId="59EDD402" w14:textId="77777777" w:rsidTr="0047017F">
        <w:trPr>
          <w:trHeight w:val="264"/>
        </w:trPr>
        <w:tc>
          <w:tcPr>
            <w:tcW w:w="1620" w:type="dxa"/>
            <w:shd w:val="clear" w:color="auto" w:fill="auto"/>
            <w:noWrap/>
            <w:vAlign w:val="center"/>
            <w:hideMark/>
          </w:tcPr>
          <w:p w14:paraId="3D57136A" w14:textId="77777777" w:rsidR="000C1C95" w:rsidRPr="0047017F" w:rsidRDefault="000C1C95" w:rsidP="000C1C95">
            <w:pPr>
              <w:rPr>
                <w:rFonts w:ascii="Arial" w:hAnsi="Arial" w:cs="Arial"/>
                <w:sz w:val="18"/>
              </w:rPr>
            </w:pPr>
            <w:r w:rsidRPr="0047017F">
              <w:rPr>
                <w:rFonts w:ascii="Arial" w:hAnsi="Arial" w:cs="Arial"/>
                <w:sz w:val="18"/>
              </w:rPr>
              <w:t xml:space="preserve">Lithuania </w:t>
            </w:r>
          </w:p>
        </w:tc>
        <w:tc>
          <w:tcPr>
            <w:tcW w:w="1092" w:type="dxa"/>
            <w:shd w:val="clear" w:color="auto" w:fill="auto"/>
            <w:noWrap/>
            <w:vAlign w:val="center"/>
            <w:hideMark/>
          </w:tcPr>
          <w:p w14:paraId="5090AA8A" w14:textId="77777777" w:rsidR="000C1C95" w:rsidRPr="0047017F" w:rsidRDefault="000C1C95" w:rsidP="00836CB3">
            <w:pPr>
              <w:jc w:val="right"/>
              <w:rPr>
                <w:rFonts w:ascii="Arial" w:hAnsi="Arial" w:cs="Arial"/>
                <w:sz w:val="18"/>
              </w:rPr>
            </w:pPr>
            <w:r w:rsidRPr="0047017F">
              <w:rPr>
                <w:rFonts w:ascii="Arial" w:hAnsi="Arial" w:cs="Arial"/>
                <w:sz w:val="18"/>
              </w:rPr>
              <w:t>21</w:t>
            </w:r>
          </w:p>
        </w:tc>
        <w:tc>
          <w:tcPr>
            <w:tcW w:w="1276" w:type="dxa"/>
            <w:shd w:val="clear" w:color="auto" w:fill="auto"/>
            <w:noWrap/>
            <w:vAlign w:val="center"/>
            <w:hideMark/>
          </w:tcPr>
          <w:p w14:paraId="58EB5296" w14:textId="77777777" w:rsidR="000C1C95" w:rsidRPr="0047017F" w:rsidRDefault="000C1C95" w:rsidP="00836CB3">
            <w:pPr>
              <w:jc w:val="right"/>
              <w:rPr>
                <w:rFonts w:ascii="Arial" w:hAnsi="Arial" w:cs="Arial"/>
                <w:sz w:val="18"/>
              </w:rPr>
            </w:pPr>
            <w:r w:rsidRPr="0047017F">
              <w:rPr>
                <w:rFonts w:ascii="Arial" w:hAnsi="Arial" w:cs="Arial"/>
                <w:sz w:val="18"/>
              </w:rPr>
              <w:t>14,766.00</w:t>
            </w:r>
          </w:p>
        </w:tc>
        <w:tc>
          <w:tcPr>
            <w:tcW w:w="1134" w:type="dxa"/>
            <w:shd w:val="clear" w:color="auto" w:fill="auto"/>
            <w:noWrap/>
            <w:vAlign w:val="center"/>
            <w:hideMark/>
          </w:tcPr>
          <w:p w14:paraId="56CC3841" w14:textId="77777777" w:rsidR="000C1C95" w:rsidRPr="0047017F" w:rsidRDefault="000C1C95" w:rsidP="00836CB3">
            <w:pPr>
              <w:jc w:val="right"/>
              <w:rPr>
                <w:rFonts w:ascii="Arial" w:hAnsi="Arial" w:cs="Arial"/>
                <w:sz w:val="18"/>
              </w:rPr>
            </w:pPr>
            <w:r w:rsidRPr="0047017F">
              <w:rPr>
                <w:rFonts w:ascii="Arial" w:hAnsi="Arial" w:cs="Arial"/>
                <w:sz w:val="18"/>
              </w:rPr>
              <w:t>43</w:t>
            </w:r>
          </w:p>
        </w:tc>
        <w:tc>
          <w:tcPr>
            <w:tcW w:w="1559" w:type="dxa"/>
            <w:shd w:val="clear" w:color="auto" w:fill="auto"/>
            <w:noWrap/>
            <w:vAlign w:val="center"/>
            <w:hideMark/>
          </w:tcPr>
          <w:p w14:paraId="739707CD" w14:textId="77777777" w:rsidR="000C1C95" w:rsidRPr="0047017F" w:rsidRDefault="000C1C95" w:rsidP="00836CB3">
            <w:pPr>
              <w:jc w:val="right"/>
              <w:rPr>
                <w:rFonts w:ascii="Arial" w:hAnsi="Arial" w:cs="Arial"/>
                <w:sz w:val="18"/>
              </w:rPr>
            </w:pPr>
            <w:r w:rsidRPr="0047017F">
              <w:rPr>
                <w:rFonts w:ascii="Arial" w:hAnsi="Arial" w:cs="Arial"/>
                <w:sz w:val="18"/>
              </w:rPr>
              <w:t>149.80</w:t>
            </w:r>
          </w:p>
        </w:tc>
        <w:tc>
          <w:tcPr>
            <w:tcW w:w="2268" w:type="dxa"/>
            <w:shd w:val="clear" w:color="auto" w:fill="auto"/>
            <w:noWrap/>
            <w:vAlign w:val="center"/>
            <w:hideMark/>
          </w:tcPr>
          <w:p w14:paraId="04133CC9" w14:textId="77777777" w:rsidR="000C1C95" w:rsidRPr="0047017F" w:rsidRDefault="000C1C95" w:rsidP="00836CB3">
            <w:pPr>
              <w:jc w:val="right"/>
              <w:rPr>
                <w:rFonts w:ascii="Arial" w:hAnsi="Arial" w:cs="Arial"/>
                <w:sz w:val="18"/>
              </w:rPr>
            </w:pPr>
            <w:r w:rsidRPr="0047017F">
              <w:rPr>
                <w:rFonts w:ascii="Arial" w:hAnsi="Arial" w:cs="Arial"/>
                <w:sz w:val="18"/>
              </w:rPr>
              <w:t>88.80</w:t>
            </w:r>
          </w:p>
        </w:tc>
        <w:tc>
          <w:tcPr>
            <w:tcW w:w="1559" w:type="dxa"/>
            <w:shd w:val="clear" w:color="auto" w:fill="auto"/>
            <w:noWrap/>
            <w:vAlign w:val="center"/>
            <w:hideMark/>
          </w:tcPr>
          <w:p w14:paraId="710FA17D" w14:textId="77777777" w:rsidR="000C1C95" w:rsidRPr="0047017F" w:rsidRDefault="000C1C95" w:rsidP="00836CB3">
            <w:pPr>
              <w:jc w:val="right"/>
              <w:rPr>
                <w:rFonts w:ascii="Arial" w:hAnsi="Arial" w:cs="Arial"/>
                <w:sz w:val="18"/>
              </w:rPr>
            </w:pPr>
            <w:r w:rsidRPr="0047017F">
              <w:rPr>
                <w:rFonts w:ascii="Arial" w:hAnsi="Arial" w:cs="Arial"/>
                <w:sz w:val="18"/>
              </w:rPr>
              <w:t>9,387.30</w:t>
            </w:r>
          </w:p>
        </w:tc>
        <w:tc>
          <w:tcPr>
            <w:tcW w:w="1146" w:type="dxa"/>
            <w:shd w:val="clear" w:color="auto" w:fill="auto"/>
            <w:noWrap/>
            <w:vAlign w:val="center"/>
            <w:hideMark/>
          </w:tcPr>
          <w:p w14:paraId="7FB33AA2" w14:textId="77777777" w:rsidR="000C1C95" w:rsidRPr="0047017F" w:rsidRDefault="000C1C95" w:rsidP="00836CB3">
            <w:pPr>
              <w:jc w:val="right"/>
              <w:rPr>
                <w:rFonts w:ascii="Arial" w:hAnsi="Arial" w:cs="Arial"/>
                <w:sz w:val="18"/>
              </w:rPr>
            </w:pPr>
            <w:r w:rsidRPr="0047017F">
              <w:rPr>
                <w:rFonts w:ascii="Arial" w:hAnsi="Arial" w:cs="Arial"/>
                <w:sz w:val="18"/>
              </w:rPr>
              <w:t>2,888.60</w:t>
            </w:r>
          </w:p>
        </w:tc>
        <w:tc>
          <w:tcPr>
            <w:tcW w:w="1216" w:type="dxa"/>
            <w:shd w:val="clear" w:color="auto" w:fill="auto"/>
            <w:noWrap/>
            <w:vAlign w:val="center"/>
            <w:hideMark/>
          </w:tcPr>
          <w:p w14:paraId="19DD4D5E" w14:textId="77777777" w:rsidR="000C1C95" w:rsidRPr="0047017F" w:rsidRDefault="000C1C95" w:rsidP="00836CB3">
            <w:pPr>
              <w:jc w:val="right"/>
              <w:rPr>
                <w:rFonts w:ascii="Arial" w:hAnsi="Arial" w:cs="Arial"/>
                <w:sz w:val="18"/>
              </w:rPr>
            </w:pPr>
            <w:r w:rsidRPr="0047017F">
              <w:rPr>
                <w:rFonts w:ascii="Arial" w:hAnsi="Arial" w:cs="Arial"/>
                <w:sz w:val="18"/>
              </w:rPr>
              <w:t>1,943.20</w:t>
            </w:r>
          </w:p>
        </w:tc>
      </w:tr>
      <w:tr w:rsidR="000C1C95" w:rsidRPr="0047017F" w14:paraId="646EA7E2" w14:textId="77777777" w:rsidTr="0047017F">
        <w:trPr>
          <w:trHeight w:val="264"/>
        </w:trPr>
        <w:tc>
          <w:tcPr>
            <w:tcW w:w="1620" w:type="dxa"/>
            <w:shd w:val="clear" w:color="auto" w:fill="auto"/>
            <w:noWrap/>
            <w:vAlign w:val="center"/>
            <w:hideMark/>
          </w:tcPr>
          <w:p w14:paraId="13EB27CC" w14:textId="77777777" w:rsidR="000C1C95" w:rsidRPr="0047017F" w:rsidRDefault="000C1C95" w:rsidP="000C1C95">
            <w:pPr>
              <w:rPr>
                <w:rFonts w:ascii="Arial" w:hAnsi="Arial" w:cs="Arial"/>
                <w:sz w:val="18"/>
              </w:rPr>
            </w:pPr>
            <w:r w:rsidRPr="0047017F">
              <w:rPr>
                <w:rFonts w:ascii="Arial" w:hAnsi="Arial" w:cs="Arial"/>
                <w:sz w:val="18"/>
              </w:rPr>
              <w:t xml:space="preserve">Macedonia </w:t>
            </w:r>
          </w:p>
        </w:tc>
        <w:tc>
          <w:tcPr>
            <w:tcW w:w="1092" w:type="dxa"/>
            <w:shd w:val="clear" w:color="auto" w:fill="auto"/>
            <w:noWrap/>
            <w:vAlign w:val="center"/>
            <w:hideMark/>
          </w:tcPr>
          <w:p w14:paraId="3F627322" w14:textId="77777777" w:rsidR="000C1C95" w:rsidRPr="0047017F" w:rsidRDefault="000C1C95" w:rsidP="00836CB3">
            <w:pPr>
              <w:jc w:val="right"/>
              <w:rPr>
                <w:rFonts w:ascii="Arial" w:hAnsi="Arial" w:cs="Arial"/>
                <w:sz w:val="18"/>
              </w:rPr>
            </w:pPr>
            <w:r w:rsidRPr="0047017F">
              <w:rPr>
                <w:rFonts w:ascii="Arial" w:hAnsi="Arial" w:cs="Arial"/>
                <w:sz w:val="18"/>
              </w:rPr>
              <w:t>10</w:t>
            </w:r>
          </w:p>
        </w:tc>
        <w:tc>
          <w:tcPr>
            <w:tcW w:w="1276" w:type="dxa"/>
            <w:shd w:val="clear" w:color="auto" w:fill="auto"/>
            <w:noWrap/>
            <w:vAlign w:val="center"/>
            <w:hideMark/>
          </w:tcPr>
          <w:p w14:paraId="3EE7B7C4" w14:textId="77777777" w:rsidR="000C1C95" w:rsidRPr="0047017F" w:rsidRDefault="000C1C95" w:rsidP="00836CB3">
            <w:pPr>
              <w:jc w:val="right"/>
              <w:rPr>
                <w:rFonts w:ascii="Arial" w:hAnsi="Arial" w:cs="Arial"/>
                <w:sz w:val="18"/>
              </w:rPr>
            </w:pPr>
            <w:r w:rsidRPr="0047017F">
              <w:rPr>
                <w:rFonts w:ascii="Arial" w:hAnsi="Arial" w:cs="Arial"/>
                <w:sz w:val="18"/>
              </w:rPr>
              <w:t>5,225.00</w:t>
            </w:r>
          </w:p>
        </w:tc>
        <w:tc>
          <w:tcPr>
            <w:tcW w:w="1134" w:type="dxa"/>
            <w:shd w:val="clear" w:color="auto" w:fill="auto"/>
            <w:noWrap/>
            <w:vAlign w:val="center"/>
            <w:hideMark/>
          </w:tcPr>
          <w:p w14:paraId="5A81C0EE" w14:textId="77777777" w:rsidR="000C1C95" w:rsidRPr="0047017F" w:rsidRDefault="000C1C95" w:rsidP="00836CB3">
            <w:pPr>
              <w:jc w:val="right"/>
              <w:rPr>
                <w:rFonts w:ascii="Arial" w:hAnsi="Arial" w:cs="Arial"/>
                <w:sz w:val="18"/>
              </w:rPr>
            </w:pPr>
            <w:r w:rsidRPr="0047017F">
              <w:rPr>
                <w:rFonts w:ascii="Arial" w:hAnsi="Arial" w:cs="Arial"/>
                <w:sz w:val="18"/>
              </w:rPr>
              <w:t>11</w:t>
            </w:r>
          </w:p>
        </w:tc>
        <w:tc>
          <w:tcPr>
            <w:tcW w:w="1559" w:type="dxa"/>
            <w:shd w:val="clear" w:color="auto" w:fill="auto"/>
            <w:noWrap/>
            <w:vAlign w:val="center"/>
            <w:hideMark/>
          </w:tcPr>
          <w:p w14:paraId="3ED3456D" w14:textId="77777777" w:rsidR="000C1C95" w:rsidRPr="0047017F" w:rsidRDefault="000C1C95" w:rsidP="00836CB3">
            <w:pPr>
              <w:jc w:val="right"/>
              <w:rPr>
                <w:rFonts w:ascii="Arial" w:hAnsi="Arial" w:cs="Arial"/>
                <w:sz w:val="18"/>
              </w:rPr>
            </w:pPr>
            <w:r w:rsidRPr="0047017F">
              <w:rPr>
                <w:rFonts w:ascii="Arial" w:hAnsi="Arial" w:cs="Arial"/>
                <w:sz w:val="18"/>
              </w:rPr>
              <w:t>55.60</w:t>
            </w:r>
          </w:p>
        </w:tc>
        <w:tc>
          <w:tcPr>
            <w:tcW w:w="2268" w:type="dxa"/>
            <w:shd w:val="clear" w:color="auto" w:fill="auto"/>
            <w:noWrap/>
            <w:vAlign w:val="center"/>
            <w:hideMark/>
          </w:tcPr>
          <w:p w14:paraId="4A1B2DB4" w14:textId="77777777" w:rsidR="000C1C95" w:rsidRPr="0047017F" w:rsidRDefault="000C1C95" w:rsidP="00836CB3">
            <w:pPr>
              <w:jc w:val="right"/>
              <w:rPr>
                <w:rFonts w:ascii="Arial" w:hAnsi="Arial" w:cs="Arial"/>
                <w:sz w:val="18"/>
              </w:rPr>
            </w:pPr>
            <w:r w:rsidRPr="0047017F">
              <w:rPr>
                <w:rFonts w:ascii="Arial" w:hAnsi="Arial" w:cs="Arial"/>
                <w:sz w:val="18"/>
              </w:rPr>
              <w:t>81.90</w:t>
            </w:r>
          </w:p>
        </w:tc>
        <w:tc>
          <w:tcPr>
            <w:tcW w:w="1559" w:type="dxa"/>
            <w:shd w:val="clear" w:color="auto" w:fill="auto"/>
            <w:noWrap/>
            <w:vAlign w:val="center"/>
            <w:hideMark/>
          </w:tcPr>
          <w:p w14:paraId="0FB53AB2" w14:textId="77777777" w:rsidR="000C1C95" w:rsidRPr="0047017F" w:rsidRDefault="000C1C95" w:rsidP="00836CB3">
            <w:pPr>
              <w:jc w:val="right"/>
              <w:rPr>
                <w:rFonts w:ascii="Arial" w:hAnsi="Arial" w:cs="Arial"/>
                <w:sz w:val="18"/>
              </w:rPr>
            </w:pPr>
            <w:r w:rsidRPr="0047017F">
              <w:rPr>
                <w:rFonts w:ascii="Arial" w:hAnsi="Arial" w:cs="Arial"/>
                <w:sz w:val="18"/>
              </w:rPr>
              <w:t>3,523.40</w:t>
            </w:r>
          </w:p>
        </w:tc>
        <w:tc>
          <w:tcPr>
            <w:tcW w:w="1146" w:type="dxa"/>
            <w:shd w:val="clear" w:color="auto" w:fill="auto"/>
            <w:noWrap/>
            <w:vAlign w:val="center"/>
            <w:hideMark/>
          </w:tcPr>
          <w:p w14:paraId="36996C25" w14:textId="77777777" w:rsidR="000C1C95" w:rsidRPr="0047017F" w:rsidRDefault="000C1C95" w:rsidP="00836CB3">
            <w:pPr>
              <w:jc w:val="right"/>
              <w:rPr>
                <w:rFonts w:ascii="Arial" w:hAnsi="Arial" w:cs="Arial"/>
                <w:sz w:val="18"/>
              </w:rPr>
            </w:pPr>
            <w:r w:rsidRPr="0047017F">
              <w:rPr>
                <w:rFonts w:ascii="Arial" w:hAnsi="Arial" w:cs="Arial"/>
                <w:sz w:val="18"/>
              </w:rPr>
              <w:t>2,067.90</w:t>
            </w:r>
          </w:p>
        </w:tc>
        <w:tc>
          <w:tcPr>
            <w:tcW w:w="1216" w:type="dxa"/>
            <w:shd w:val="clear" w:color="auto" w:fill="auto"/>
            <w:noWrap/>
            <w:vAlign w:val="center"/>
            <w:hideMark/>
          </w:tcPr>
          <w:p w14:paraId="36D6AB19" w14:textId="77777777" w:rsidR="000C1C95" w:rsidRPr="0047017F" w:rsidRDefault="000C1C95" w:rsidP="00836CB3">
            <w:pPr>
              <w:jc w:val="right"/>
              <w:rPr>
                <w:rFonts w:ascii="Arial" w:hAnsi="Arial" w:cs="Arial"/>
                <w:sz w:val="18"/>
              </w:rPr>
            </w:pPr>
            <w:r w:rsidRPr="0047017F">
              <w:rPr>
                <w:rFonts w:ascii="Arial" w:hAnsi="Arial" w:cs="Arial"/>
                <w:sz w:val="18"/>
              </w:rPr>
              <w:t>1,240.90</w:t>
            </w:r>
          </w:p>
        </w:tc>
      </w:tr>
      <w:tr w:rsidR="000C1C95" w:rsidRPr="0047017F" w14:paraId="49D55752" w14:textId="77777777" w:rsidTr="0047017F">
        <w:trPr>
          <w:trHeight w:val="264"/>
        </w:trPr>
        <w:tc>
          <w:tcPr>
            <w:tcW w:w="1620" w:type="dxa"/>
            <w:shd w:val="clear" w:color="auto" w:fill="auto"/>
            <w:noWrap/>
            <w:vAlign w:val="center"/>
            <w:hideMark/>
          </w:tcPr>
          <w:p w14:paraId="042B8616" w14:textId="77777777" w:rsidR="000C1C95" w:rsidRPr="0047017F" w:rsidRDefault="000C1C95" w:rsidP="000C1C95">
            <w:pPr>
              <w:rPr>
                <w:rFonts w:ascii="Arial" w:hAnsi="Arial" w:cs="Arial"/>
                <w:sz w:val="18"/>
              </w:rPr>
            </w:pPr>
            <w:r w:rsidRPr="0047017F">
              <w:rPr>
                <w:rFonts w:ascii="Arial" w:hAnsi="Arial" w:cs="Arial"/>
                <w:sz w:val="18"/>
              </w:rPr>
              <w:t xml:space="preserve">Montenegro </w:t>
            </w:r>
          </w:p>
        </w:tc>
        <w:tc>
          <w:tcPr>
            <w:tcW w:w="1092" w:type="dxa"/>
            <w:shd w:val="clear" w:color="auto" w:fill="auto"/>
            <w:noWrap/>
            <w:vAlign w:val="center"/>
            <w:hideMark/>
          </w:tcPr>
          <w:p w14:paraId="14C3AC92" w14:textId="77777777" w:rsidR="000C1C95" w:rsidRPr="0047017F" w:rsidRDefault="000C1C95" w:rsidP="00836CB3">
            <w:pPr>
              <w:jc w:val="right"/>
              <w:rPr>
                <w:rFonts w:ascii="Arial" w:hAnsi="Arial" w:cs="Arial"/>
                <w:sz w:val="18"/>
              </w:rPr>
            </w:pPr>
            <w:r w:rsidRPr="0047017F">
              <w:rPr>
                <w:rFonts w:ascii="Arial" w:hAnsi="Arial" w:cs="Arial"/>
                <w:sz w:val="18"/>
              </w:rPr>
              <w:t>51</w:t>
            </w:r>
          </w:p>
        </w:tc>
        <w:tc>
          <w:tcPr>
            <w:tcW w:w="1276" w:type="dxa"/>
            <w:shd w:val="clear" w:color="auto" w:fill="auto"/>
            <w:noWrap/>
            <w:vAlign w:val="center"/>
            <w:hideMark/>
          </w:tcPr>
          <w:p w14:paraId="31C027D2" w14:textId="77777777" w:rsidR="000C1C95" w:rsidRPr="0047017F" w:rsidRDefault="000C1C95" w:rsidP="00836CB3">
            <w:pPr>
              <w:jc w:val="right"/>
              <w:rPr>
                <w:rFonts w:ascii="Arial" w:hAnsi="Arial" w:cs="Arial"/>
                <w:sz w:val="18"/>
              </w:rPr>
            </w:pPr>
            <w:r w:rsidRPr="0047017F">
              <w:rPr>
                <w:rFonts w:ascii="Arial" w:hAnsi="Arial" w:cs="Arial"/>
                <w:sz w:val="18"/>
              </w:rPr>
              <w:t>6,888.10</w:t>
            </w:r>
          </w:p>
        </w:tc>
        <w:tc>
          <w:tcPr>
            <w:tcW w:w="1134" w:type="dxa"/>
            <w:shd w:val="clear" w:color="auto" w:fill="auto"/>
            <w:noWrap/>
            <w:vAlign w:val="center"/>
            <w:hideMark/>
          </w:tcPr>
          <w:p w14:paraId="33C46168" w14:textId="77777777" w:rsidR="000C1C95" w:rsidRPr="0047017F" w:rsidRDefault="000C1C95" w:rsidP="00836CB3">
            <w:pPr>
              <w:jc w:val="right"/>
              <w:rPr>
                <w:rFonts w:ascii="Arial" w:hAnsi="Arial" w:cs="Arial"/>
                <w:sz w:val="18"/>
              </w:rPr>
            </w:pPr>
            <w:r w:rsidRPr="0047017F">
              <w:rPr>
                <w:rFonts w:ascii="Arial" w:hAnsi="Arial" w:cs="Arial"/>
                <w:sz w:val="18"/>
              </w:rPr>
              <w:t>4</w:t>
            </w:r>
          </w:p>
        </w:tc>
        <w:tc>
          <w:tcPr>
            <w:tcW w:w="1559" w:type="dxa"/>
            <w:shd w:val="clear" w:color="auto" w:fill="auto"/>
            <w:noWrap/>
            <w:vAlign w:val="center"/>
            <w:hideMark/>
          </w:tcPr>
          <w:p w14:paraId="0FD99C84" w14:textId="77777777" w:rsidR="000C1C95" w:rsidRPr="0047017F" w:rsidRDefault="000C1C95" w:rsidP="00836CB3">
            <w:pPr>
              <w:jc w:val="right"/>
              <w:rPr>
                <w:rFonts w:ascii="Arial" w:hAnsi="Arial" w:cs="Arial"/>
                <w:sz w:val="18"/>
              </w:rPr>
            </w:pPr>
            <w:r w:rsidRPr="0047017F">
              <w:rPr>
                <w:rFonts w:ascii="Arial" w:hAnsi="Arial" w:cs="Arial"/>
                <w:sz w:val="18"/>
              </w:rPr>
              <w:t>64.80</w:t>
            </w:r>
          </w:p>
        </w:tc>
        <w:tc>
          <w:tcPr>
            <w:tcW w:w="2268" w:type="dxa"/>
            <w:shd w:val="clear" w:color="auto" w:fill="auto"/>
            <w:noWrap/>
            <w:vAlign w:val="center"/>
            <w:hideMark/>
          </w:tcPr>
          <w:p w14:paraId="2A561D3E" w14:textId="77777777" w:rsidR="000C1C95" w:rsidRPr="0047017F" w:rsidRDefault="000C1C95" w:rsidP="00836CB3">
            <w:pPr>
              <w:jc w:val="right"/>
              <w:rPr>
                <w:rFonts w:ascii="Arial" w:hAnsi="Arial" w:cs="Arial"/>
                <w:sz w:val="18"/>
              </w:rPr>
            </w:pPr>
            <w:r w:rsidRPr="0047017F">
              <w:rPr>
                <w:rFonts w:ascii="Arial" w:hAnsi="Arial" w:cs="Arial"/>
                <w:sz w:val="18"/>
              </w:rPr>
              <w:t>39.00</w:t>
            </w:r>
          </w:p>
        </w:tc>
        <w:tc>
          <w:tcPr>
            <w:tcW w:w="1559" w:type="dxa"/>
            <w:shd w:val="clear" w:color="auto" w:fill="auto"/>
            <w:noWrap/>
            <w:vAlign w:val="center"/>
            <w:hideMark/>
          </w:tcPr>
          <w:p w14:paraId="44AC8A39" w14:textId="50D98A06" w:rsidR="000C1C95" w:rsidRPr="0047017F" w:rsidRDefault="000C1C95" w:rsidP="0047017F">
            <w:pPr>
              <w:jc w:val="right"/>
              <w:rPr>
                <w:rFonts w:ascii="Arial" w:hAnsi="Arial" w:cs="Arial"/>
                <w:sz w:val="18"/>
              </w:rPr>
            </w:pPr>
            <w:r w:rsidRPr="0047017F">
              <w:rPr>
                <w:rFonts w:ascii="Arial" w:hAnsi="Arial" w:cs="Arial"/>
                <w:sz w:val="18"/>
              </w:rPr>
              <w:t>4,631.50</w:t>
            </w:r>
          </w:p>
        </w:tc>
        <w:tc>
          <w:tcPr>
            <w:tcW w:w="1146" w:type="dxa"/>
            <w:shd w:val="clear" w:color="auto" w:fill="auto"/>
            <w:noWrap/>
            <w:vAlign w:val="center"/>
            <w:hideMark/>
          </w:tcPr>
          <w:p w14:paraId="2A3F771D" w14:textId="77777777" w:rsidR="000C1C95" w:rsidRPr="0047017F" w:rsidRDefault="000C1C95" w:rsidP="00836CB3">
            <w:pPr>
              <w:jc w:val="right"/>
              <w:rPr>
                <w:rFonts w:ascii="Arial" w:hAnsi="Arial" w:cs="Arial"/>
                <w:sz w:val="18"/>
              </w:rPr>
            </w:pPr>
            <w:r w:rsidRPr="0047017F">
              <w:rPr>
                <w:rFonts w:ascii="Arial" w:hAnsi="Arial" w:cs="Arial"/>
                <w:sz w:val="18"/>
              </w:rPr>
              <w:t>617.20</w:t>
            </w:r>
          </w:p>
        </w:tc>
        <w:tc>
          <w:tcPr>
            <w:tcW w:w="1216" w:type="dxa"/>
            <w:shd w:val="clear" w:color="auto" w:fill="auto"/>
            <w:noWrap/>
            <w:vAlign w:val="center"/>
            <w:hideMark/>
          </w:tcPr>
          <w:p w14:paraId="5FC9552C" w14:textId="77777777" w:rsidR="000C1C95" w:rsidRPr="0047017F" w:rsidRDefault="000C1C95" w:rsidP="00836CB3">
            <w:pPr>
              <w:jc w:val="right"/>
              <w:rPr>
                <w:rFonts w:ascii="Arial" w:hAnsi="Arial" w:cs="Arial"/>
                <w:sz w:val="18"/>
              </w:rPr>
            </w:pPr>
            <w:r w:rsidRPr="0047017F">
              <w:rPr>
                <w:rFonts w:ascii="Arial" w:hAnsi="Arial" w:cs="Arial"/>
                <w:sz w:val="18"/>
              </w:rPr>
              <w:t>409.70</w:t>
            </w:r>
          </w:p>
        </w:tc>
      </w:tr>
      <w:tr w:rsidR="000C1C95" w:rsidRPr="0047017F" w14:paraId="551168BF" w14:textId="77777777" w:rsidTr="0047017F">
        <w:trPr>
          <w:trHeight w:val="264"/>
        </w:trPr>
        <w:tc>
          <w:tcPr>
            <w:tcW w:w="1620" w:type="dxa"/>
            <w:shd w:val="clear" w:color="auto" w:fill="auto"/>
            <w:noWrap/>
            <w:vAlign w:val="center"/>
            <w:hideMark/>
          </w:tcPr>
          <w:p w14:paraId="1883B291" w14:textId="77777777" w:rsidR="000C1C95" w:rsidRPr="0047017F" w:rsidRDefault="000C1C95" w:rsidP="000C1C95">
            <w:pPr>
              <w:rPr>
                <w:rFonts w:ascii="Arial" w:hAnsi="Arial" w:cs="Arial"/>
                <w:sz w:val="18"/>
              </w:rPr>
            </w:pPr>
            <w:r w:rsidRPr="0047017F">
              <w:rPr>
                <w:rFonts w:ascii="Arial" w:hAnsi="Arial" w:cs="Arial"/>
                <w:sz w:val="18"/>
              </w:rPr>
              <w:t xml:space="preserve">Netherlands </w:t>
            </w:r>
          </w:p>
        </w:tc>
        <w:tc>
          <w:tcPr>
            <w:tcW w:w="1092" w:type="dxa"/>
            <w:shd w:val="clear" w:color="auto" w:fill="auto"/>
            <w:noWrap/>
            <w:vAlign w:val="center"/>
            <w:hideMark/>
          </w:tcPr>
          <w:p w14:paraId="0F662CFC" w14:textId="77777777" w:rsidR="000C1C95" w:rsidRPr="0047017F" w:rsidRDefault="000C1C95" w:rsidP="00836CB3">
            <w:pPr>
              <w:jc w:val="right"/>
              <w:rPr>
                <w:rFonts w:ascii="Arial" w:hAnsi="Arial" w:cs="Arial"/>
                <w:sz w:val="18"/>
              </w:rPr>
            </w:pPr>
            <w:r w:rsidRPr="0047017F">
              <w:rPr>
                <w:rFonts w:ascii="Arial" w:hAnsi="Arial" w:cs="Arial"/>
                <w:sz w:val="18"/>
              </w:rPr>
              <w:t>28</w:t>
            </w:r>
          </w:p>
        </w:tc>
        <w:tc>
          <w:tcPr>
            <w:tcW w:w="1276" w:type="dxa"/>
            <w:shd w:val="clear" w:color="auto" w:fill="auto"/>
            <w:noWrap/>
            <w:vAlign w:val="center"/>
            <w:hideMark/>
          </w:tcPr>
          <w:p w14:paraId="5DD87DE3" w14:textId="77777777" w:rsidR="000C1C95" w:rsidRPr="0047017F" w:rsidRDefault="000C1C95" w:rsidP="00836CB3">
            <w:pPr>
              <w:jc w:val="right"/>
              <w:rPr>
                <w:rFonts w:ascii="Arial" w:hAnsi="Arial" w:cs="Arial"/>
                <w:sz w:val="18"/>
              </w:rPr>
            </w:pPr>
            <w:r w:rsidRPr="0047017F">
              <w:rPr>
                <w:rFonts w:ascii="Arial" w:hAnsi="Arial" w:cs="Arial"/>
                <w:sz w:val="18"/>
              </w:rPr>
              <w:t>45,402.20</w:t>
            </w:r>
          </w:p>
        </w:tc>
        <w:tc>
          <w:tcPr>
            <w:tcW w:w="1134" w:type="dxa"/>
            <w:shd w:val="clear" w:color="auto" w:fill="auto"/>
            <w:noWrap/>
            <w:vAlign w:val="center"/>
            <w:hideMark/>
          </w:tcPr>
          <w:p w14:paraId="55624C19" w14:textId="77777777" w:rsidR="000C1C95" w:rsidRPr="0047017F" w:rsidRDefault="000C1C95" w:rsidP="00836CB3">
            <w:pPr>
              <w:jc w:val="right"/>
              <w:rPr>
                <w:rFonts w:ascii="Arial" w:hAnsi="Arial" w:cs="Arial"/>
                <w:sz w:val="18"/>
              </w:rPr>
            </w:pPr>
            <w:r w:rsidRPr="0047017F">
              <w:rPr>
                <w:rFonts w:ascii="Arial" w:hAnsi="Arial" w:cs="Arial"/>
                <w:sz w:val="18"/>
              </w:rPr>
              <w:t>771</w:t>
            </w:r>
          </w:p>
        </w:tc>
        <w:tc>
          <w:tcPr>
            <w:tcW w:w="1559" w:type="dxa"/>
            <w:shd w:val="clear" w:color="auto" w:fill="auto"/>
            <w:noWrap/>
            <w:vAlign w:val="center"/>
            <w:hideMark/>
          </w:tcPr>
          <w:p w14:paraId="370E44BB" w14:textId="77777777" w:rsidR="000C1C95" w:rsidRPr="0047017F" w:rsidRDefault="000C1C95" w:rsidP="00836CB3">
            <w:pPr>
              <w:jc w:val="right"/>
              <w:rPr>
                <w:rFonts w:ascii="Arial" w:hAnsi="Arial" w:cs="Arial"/>
                <w:sz w:val="18"/>
              </w:rPr>
            </w:pPr>
            <w:r w:rsidRPr="0047017F">
              <w:rPr>
                <w:rFonts w:ascii="Arial" w:hAnsi="Arial" w:cs="Arial"/>
                <w:sz w:val="18"/>
              </w:rPr>
              <w:t>151.40</w:t>
            </w:r>
          </w:p>
        </w:tc>
        <w:tc>
          <w:tcPr>
            <w:tcW w:w="2268" w:type="dxa"/>
            <w:shd w:val="clear" w:color="auto" w:fill="auto"/>
            <w:noWrap/>
            <w:vAlign w:val="center"/>
            <w:hideMark/>
          </w:tcPr>
          <w:p w14:paraId="396F981F" w14:textId="77777777" w:rsidR="000C1C95" w:rsidRPr="0047017F" w:rsidRDefault="000C1C95" w:rsidP="00836CB3">
            <w:pPr>
              <w:jc w:val="right"/>
              <w:rPr>
                <w:rFonts w:ascii="Arial" w:hAnsi="Arial" w:cs="Arial"/>
                <w:sz w:val="18"/>
              </w:rPr>
            </w:pPr>
            <w:r w:rsidRPr="0047017F">
              <w:rPr>
                <w:rFonts w:ascii="Arial" w:hAnsi="Arial" w:cs="Arial"/>
                <w:sz w:val="18"/>
              </w:rPr>
              <w:t>128.80</w:t>
            </w:r>
          </w:p>
        </w:tc>
        <w:tc>
          <w:tcPr>
            <w:tcW w:w="1559" w:type="dxa"/>
            <w:shd w:val="clear" w:color="auto" w:fill="auto"/>
            <w:noWrap/>
            <w:vAlign w:val="center"/>
            <w:hideMark/>
          </w:tcPr>
          <w:p w14:paraId="092B9D1B" w14:textId="77777777" w:rsidR="000C1C95" w:rsidRPr="0047017F" w:rsidRDefault="000C1C95" w:rsidP="00836CB3">
            <w:pPr>
              <w:jc w:val="right"/>
              <w:rPr>
                <w:rFonts w:ascii="Arial" w:hAnsi="Arial" w:cs="Arial"/>
                <w:sz w:val="18"/>
              </w:rPr>
            </w:pPr>
            <w:r w:rsidRPr="0047017F">
              <w:rPr>
                <w:rFonts w:ascii="Arial" w:hAnsi="Arial" w:cs="Arial"/>
                <w:sz w:val="18"/>
              </w:rPr>
              <w:t>21,618.00</w:t>
            </w:r>
          </w:p>
        </w:tc>
        <w:tc>
          <w:tcPr>
            <w:tcW w:w="1146" w:type="dxa"/>
            <w:shd w:val="clear" w:color="auto" w:fill="auto"/>
            <w:noWrap/>
            <w:vAlign w:val="center"/>
            <w:hideMark/>
          </w:tcPr>
          <w:p w14:paraId="6936BEFE" w14:textId="77777777" w:rsidR="000C1C95" w:rsidRPr="0047017F" w:rsidRDefault="000C1C95" w:rsidP="00836CB3">
            <w:pPr>
              <w:jc w:val="right"/>
              <w:rPr>
                <w:rFonts w:ascii="Arial" w:hAnsi="Arial" w:cs="Arial"/>
                <w:sz w:val="18"/>
              </w:rPr>
            </w:pPr>
            <w:r w:rsidRPr="0047017F">
              <w:rPr>
                <w:rFonts w:ascii="Arial" w:hAnsi="Arial" w:cs="Arial"/>
                <w:sz w:val="18"/>
              </w:rPr>
              <w:t>16,978.00</w:t>
            </w:r>
          </w:p>
        </w:tc>
        <w:tc>
          <w:tcPr>
            <w:tcW w:w="1216" w:type="dxa"/>
            <w:shd w:val="clear" w:color="auto" w:fill="auto"/>
            <w:noWrap/>
            <w:vAlign w:val="center"/>
            <w:hideMark/>
          </w:tcPr>
          <w:p w14:paraId="7449FA3A" w14:textId="77777777" w:rsidR="000C1C95" w:rsidRPr="0047017F" w:rsidRDefault="000C1C95" w:rsidP="00836CB3">
            <w:pPr>
              <w:jc w:val="right"/>
              <w:rPr>
                <w:rFonts w:ascii="Arial" w:hAnsi="Arial" w:cs="Arial"/>
                <w:sz w:val="18"/>
              </w:rPr>
            </w:pPr>
            <w:r w:rsidRPr="0047017F">
              <w:rPr>
                <w:rFonts w:ascii="Arial" w:hAnsi="Arial" w:cs="Arial"/>
                <w:sz w:val="18"/>
              </w:rPr>
              <w:t>14,422.80</w:t>
            </w:r>
          </w:p>
        </w:tc>
      </w:tr>
      <w:tr w:rsidR="000C1C95" w:rsidRPr="0047017F" w14:paraId="4AD84CEC" w14:textId="77777777" w:rsidTr="0047017F">
        <w:trPr>
          <w:trHeight w:val="264"/>
        </w:trPr>
        <w:tc>
          <w:tcPr>
            <w:tcW w:w="1620" w:type="dxa"/>
            <w:shd w:val="clear" w:color="auto" w:fill="auto"/>
            <w:noWrap/>
            <w:vAlign w:val="center"/>
            <w:hideMark/>
          </w:tcPr>
          <w:p w14:paraId="17EC53F6" w14:textId="77777777" w:rsidR="000C1C95" w:rsidRPr="0047017F" w:rsidRDefault="000C1C95" w:rsidP="000C1C95">
            <w:pPr>
              <w:rPr>
                <w:rFonts w:ascii="Arial" w:hAnsi="Arial" w:cs="Arial"/>
                <w:sz w:val="18"/>
              </w:rPr>
            </w:pPr>
            <w:r w:rsidRPr="0047017F">
              <w:rPr>
                <w:rFonts w:ascii="Arial" w:hAnsi="Arial" w:cs="Arial"/>
                <w:sz w:val="18"/>
              </w:rPr>
              <w:t xml:space="preserve">Norway </w:t>
            </w:r>
          </w:p>
        </w:tc>
        <w:tc>
          <w:tcPr>
            <w:tcW w:w="1092" w:type="dxa"/>
            <w:shd w:val="clear" w:color="auto" w:fill="auto"/>
            <w:noWrap/>
            <w:vAlign w:val="center"/>
            <w:hideMark/>
          </w:tcPr>
          <w:p w14:paraId="605DBF69" w14:textId="77777777" w:rsidR="000C1C95" w:rsidRPr="0047017F" w:rsidRDefault="000C1C95" w:rsidP="00836CB3">
            <w:pPr>
              <w:jc w:val="right"/>
              <w:rPr>
                <w:rFonts w:ascii="Arial" w:hAnsi="Arial" w:cs="Arial"/>
                <w:sz w:val="18"/>
              </w:rPr>
            </w:pPr>
            <w:r w:rsidRPr="0047017F">
              <w:rPr>
                <w:rFonts w:ascii="Arial" w:hAnsi="Arial" w:cs="Arial"/>
                <w:sz w:val="18"/>
              </w:rPr>
              <w:t>6</w:t>
            </w:r>
          </w:p>
        </w:tc>
        <w:tc>
          <w:tcPr>
            <w:tcW w:w="1276" w:type="dxa"/>
            <w:shd w:val="clear" w:color="auto" w:fill="auto"/>
            <w:noWrap/>
            <w:vAlign w:val="center"/>
            <w:hideMark/>
          </w:tcPr>
          <w:p w14:paraId="0784FE15" w14:textId="77777777" w:rsidR="000C1C95" w:rsidRPr="0047017F" w:rsidRDefault="000C1C95" w:rsidP="00836CB3">
            <w:pPr>
              <w:jc w:val="right"/>
              <w:rPr>
                <w:rFonts w:ascii="Arial" w:hAnsi="Arial" w:cs="Arial"/>
                <w:sz w:val="18"/>
              </w:rPr>
            </w:pPr>
            <w:r w:rsidRPr="0047017F">
              <w:rPr>
                <w:rFonts w:ascii="Arial" w:hAnsi="Arial" w:cs="Arial"/>
                <w:sz w:val="18"/>
              </w:rPr>
              <w:t>70,294.40</w:t>
            </w:r>
          </w:p>
        </w:tc>
        <w:tc>
          <w:tcPr>
            <w:tcW w:w="1134" w:type="dxa"/>
            <w:shd w:val="clear" w:color="auto" w:fill="auto"/>
            <w:noWrap/>
            <w:vAlign w:val="center"/>
            <w:hideMark/>
          </w:tcPr>
          <w:p w14:paraId="1414246D" w14:textId="77777777" w:rsidR="000C1C95" w:rsidRPr="0047017F" w:rsidRDefault="000C1C95" w:rsidP="00836CB3">
            <w:pPr>
              <w:jc w:val="right"/>
              <w:rPr>
                <w:rFonts w:ascii="Arial" w:hAnsi="Arial" w:cs="Arial"/>
                <w:sz w:val="18"/>
              </w:rPr>
            </w:pPr>
            <w:r w:rsidRPr="0047017F">
              <w:rPr>
                <w:rFonts w:ascii="Arial" w:hAnsi="Arial" w:cs="Arial"/>
                <w:sz w:val="18"/>
              </w:rPr>
              <w:t>367</w:t>
            </w:r>
          </w:p>
        </w:tc>
        <w:tc>
          <w:tcPr>
            <w:tcW w:w="1559" w:type="dxa"/>
            <w:shd w:val="clear" w:color="auto" w:fill="auto"/>
            <w:noWrap/>
            <w:vAlign w:val="center"/>
            <w:hideMark/>
          </w:tcPr>
          <w:p w14:paraId="63C6374C" w14:textId="77777777" w:rsidR="000C1C95" w:rsidRPr="0047017F" w:rsidRDefault="000C1C95" w:rsidP="00836CB3">
            <w:pPr>
              <w:jc w:val="right"/>
              <w:rPr>
                <w:rFonts w:ascii="Arial" w:hAnsi="Arial" w:cs="Arial"/>
                <w:sz w:val="18"/>
              </w:rPr>
            </w:pPr>
            <w:r w:rsidRPr="0047017F">
              <w:rPr>
                <w:rFonts w:ascii="Arial" w:hAnsi="Arial" w:cs="Arial"/>
                <w:sz w:val="18"/>
              </w:rPr>
              <w:t>244.00</w:t>
            </w:r>
          </w:p>
        </w:tc>
        <w:tc>
          <w:tcPr>
            <w:tcW w:w="2268" w:type="dxa"/>
            <w:shd w:val="clear" w:color="auto" w:fill="auto"/>
            <w:noWrap/>
            <w:vAlign w:val="center"/>
            <w:hideMark/>
          </w:tcPr>
          <w:p w14:paraId="4644464F" w14:textId="77777777" w:rsidR="000C1C95" w:rsidRPr="0047017F" w:rsidRDefault="000C1C95" w:rsidP="00836CB3">
            <w:pPr>
              <w:jc w:val="right"/>
              <w:rPr>
                <w:rFonts w:ascii="Arial" w:hAnsi="Arial" w:cs="Arial"/>
                <w:sz w:val="18"/>
              </w:rPr>
            </w:pPr>
            <w:r w:rsidRPr="0047017F">
              <w:rPr>
                <w:rFonts w:ascii="Arial" w:hAnsi="Arial" w:cs="Arial"/>
                <w:sz w:val="18"/>
              </w:rPr>
              <w:t>379.80</w:t>
            </w:r>
          </w:p>
        </w:tc>
        <w:tc>
          <w:tcPr>
            <w:tcW w:w="1559" w:type="dxa"/>
            <w:shd w:val="clear" w:color="auto" w:fill="auto"/>
            <w:noWrap/>
            <w:vAlign w:val="center"/>
            <w:hideMark/>
          </w:tcPr>
          <w:p w14:paraId="444A2D86" w14:textId="77777777" w:rsidR="000C1C95" w:rsidRPr="0047017F" w:rsidRDefault="000C1C95" w:rsidP="00836CB3">
            <w:pPr>
              <w:jc w:val="right"/>
              <w:rPr>
                <w:rFonts w:ascii="Arial" w:hAnsi="Arial" w:cs="Arial"/>
                <w:sz w:val="18"/>
              </w:rPr>
            </w:pPr>
            <w:r w:rsidRPr="0047017F">
              <w:rPr>
                <w:rFonts w:ascii="Arial" w:hAnsi="Arial" w:cs="Arial"/>
                <w:sz w:val="18"/>
              </w:rPr>
              <w:t>34,640.40</w:t>
            </w:r>
          </w:p>
        </w:tc>
        <w:tc>
          <w:tcPr>
            <w:tcW w:w="1146" w:type="dxa"/>
            <w:shd w:val="clear" w:color="auto" w:fill="auto"/>
            <w:noWrap/>
            <w:vAlign w:val="center"/>
            <w:hideMark/>
          </w:tcPr>
          <w:p w14:paraId="6CC14BF0" w14:textId="77777777" w:rsidR="000C1C95" w:rsidRPr="0047017F" w:rsidRDefault="000C1C95" w:rsidP="00836CB3">
            <w:pPr>
              <w:jc w:val="right"/>
              <w:rPr>
                <w:rFonts w:ascii="Arial" w:hAnsi="Arial" w:cs="Arial"/>
                <w:sz w:val="18"/>
              </w:rPr>
            </w:pPr>
            <w:r w:rsidRPr="0047017F">
              <w:rPr>
                <w:rFonts w:ascii="Arial" w:hAnsi="Arial" w:cs="Arial"/>
                <w:sz w:val="18"/>
              </w:rPr>
              <w:t>5,214.00</w:t>
            </w:r>
          </w:p>
        </w:tc>
        <w:tc>
          <w:tcPr>
            <w:tcW w:w="1216" w:type="dxa"/>
            <w:shd w:val="clear" w:color="auto" w:fill="auto"/>
            <w:noWrap/>
            <w:vAlign w:val="center"/>
            <w:hideMark/>
          </w:tcPr>
          <w:p w14:paraId="4E8B235C" w14:textId="77777777" w:rsidR="000C1C95" w:rsidRPr="0047017F" w:rsidRDefault="000C1C95" w:rsidP="00836CB3">
            <w:pPr>
              <w:jc w:val="right"/>
              <w:rPr>
                <w:rFonts w:ascii="Arial" w:hAnsi="Arial" w:cs="Arial"/>
                <w:sz w:val="18"/>
              </w:rPr>
            </w:pPr>
            <w:r w:rsidRPr="0047017F">
              <w:rPr>
                <w:rFonts w:ascii="Arial" w:hAnsi="Arial" w:cs="Arial"/>
                <w:sz w:val="18"/>
              </w:rPr>
              <w:t>4,209.30</w:t>
            </w:r>
          </w:p>
        </w:tc>
      </w:tr>
      <w:tr w:rsidR="000C1C95" w:rsidRPr="0047017F" w14:paraId="04B1B9E1" w14:textId="77777777" w:rsidTr="0047017F">
        <w:trPr>
          <w:trHeight w:val="264"/>
        </w:trPr>
        <w:tc>
          <w:tcPr>
            <w:tcW w:w="1620" w:type="dxa"/>
            <w:shd w:val="clear" w:color="auto" w:fill="auto"/>
            <w:noWrap/>
            <w:vAlign w:val="center"/>
            <w:hideMark/>
          </w:tcPr>
          <w:p w14:paraId="670BE508" w14:textId="77777777" w:rsidR="000C1C95" w:rsidRPr="0047017F" w:rsidRDefault="000C1C95" w:rsidP="000C1C95">
            <w:pPr>
              <w:rPr>
                <w:rFonts w:ascii="Arial" w:hAnsi="Arial" w:cs="Arial"/>
                <w:sz w:val="18"/>
              </w:rPr>
            </w:pPr>
            <w:r w:rsidRPr="0047017F">
              <w:rPr>
                <w:rFonts w:ascii="Arial" w:hAnsi="Arial" w:cs="Arial"/>
                <w:sz w:val="18"/>
              </w:rPr>
              <w:t xml:space="preserve">Poland </w:t>
            </w:r>
          </w:p>
        </w:tc>
        <w:tc>
          <w:tcPr>
            <w:tcW w:w="1092" w:type="dxa"/>
            <w:shd w:val="clear" w:color="auto" w:fill="auto"/>
            <w:noWrap/>
            <w:vAlign w:val="center"/>
            <w:hideMark/>
          </w:tcPr>
          <w:p w14:paraId="4E5E41F1" w14:textId="77777777" w:rsidR="000C1C95" w:rsidRPr="0047017F" w:rsidRDefault="000C1C95" w:rsidP="00836CB3">
            <w:pPr>
              <w:jc w:val="right"/>
              <w:rPr>
                <w:rFonts w:ascii="Arial" w:hAnsi="Arial" w:cs="Arial"/>
                <w:sz w:val="18"/>
              </w:rPr>
            </w:pPr>
            <w:r w:rsidRPr="0047017F">
              <w:rPr>
                <w:rFonts w:ascii="Arial" w:hAnsi="Arial" w:cs="Arial"/>
                <w:sz w:val="18"/>
              </w:rPr>
              <w:t>24</w:t>
            </w:r>
          </w:p>
        </w:tc>
        <w:tc>
          <w:tcPr>
            <w:tcW w:w="1276" w:type="dxa"/>
            <w:shd w:val="clear" w:color="auto" w:fill="auto"/>
            <w:noWrap/>
            <w:vAlign w:val="center"/>
            <w:hideMark/>
          </w:tcPr>
          <w:p w14:paraId="111492D2" w14:textId="77777777" w:rsidR="000C1C95" w:rsidRPr="0047017F" w:rsidRDefault="000C1C95" w:rsidP="00836CB3">
            <w:pPr>
              <w:jc w:val="right"/>
              <w:rPr>
                <w:rFonts w:ascii="Arial" w:hAnsi="Arial" w:cs="Arial"/>
                <w:sz w:val="18"/>
              </w:rPr>
            </w:pPr>
            <w:r w:rsidRPr="0047017F">
              <w:rPr>
                <w:rFonts w:ascii="Arial" w:hAnsi="Arial" w:cs="Arial"/>
                <w:sz w:val="18"/>
              </w:rPr>
              <w:t>12,228.70</w:t>
            </w:r>
          </w:p>
        </w:tc>
        <w:tc>
          <w:tcPr>
            <w:tcW w:w="1134" w:type="dxa"/>
            <w:shd w:val="clear" w:color="auto" w:fill="auto"/>
            <w:noWrap/>
            <w:vAlign w:val="center"/>
            <w:hideMark/>
          </w:tcPr>
          <w:p w14:paraId="5D5134B7" w14:textId="77777777" w:rsidR="000C1C95" w:rsidRPr="0047017F" w:rsidRDefault="000C1C95" w:rsidP="00836CB3">
            <w:pPr>
              <w:jc w:val="right"/>
              <w:rPr>
                <w:rFonts w:ascii="Arial" w:hAnsi="Arial" w:cs="Arial"/>
                <w:sz w:val="18"/>
              </w:rPr>
            </w:pPr>
            <w:r w:rsidRPr="0047017F">
              <w:rPr>
                <w:rFonts w:ascii="Arial" w:hAnsi="Arial" w:cs="Arial"/>
                <w:sz w:val="18"/>
              </w:rPr>
              <w:t>470</w:t>
            </w:r>
          </w:p>
        </w:tc>
        <w:tc>
          <w:tcPr>
            <w:tcW w:w="1559" w:type="dxa"/>
            <w:shd w:val="clear" w:color="auto" w:fill="auto"/>
            <w:noWrap/>
            <w:vAlign w:val="center"/>
            <w:hideMark/>
          </w:tcPr>
          <w:p w14:paraId="0F6033B0" w14:textId="77777777" w:rsidR="000C1C95" w:rsidRPr="0047017F" w:rsidRDefault="000C1C95" w:rsidP="00836CB3">
            <w:pPr>
              <w:jc w:val="right"/>
              <w:rPr>
                <w:rFonts w:ascii="Arial" w:hAnsi="Arial" w:cs="Arial"/>
                <w:sz w:val="18"/>
              </w:rPr>
            </w:pPr>
            <w:r w:rsidRPr="0047017F">
              <w:rPr>
                <w:rFonts w:ascii="Arial" w:hAnsi="Arial" w:cs="Arial"/>
                <w:sz w:val="18"/>
              </w:rPr>
              <w:t>57.00</w:t>
            </w:r>
          </w:p>
        </w:tc>
        <w:tc>
          <w:tcPr>
            <w:tcW w:w="2268" w:type="dxa"/>
            <w:shd w:val="clear" w:color="auto" w:fill="auto"/>
            <w:noWrap/>
            <w:vAlign w:val="center"/>
            <w:hideMark/>
          </w:tcPr>
          <w:p w14:paraId="78ABAD4B" w14:textId="77777777" w:rsidR="000C1C95" w:rsidRPr="0047017F" w:rsidRDefault="000C1C95" w:rsidP="00836CB3">
            <w:pPr>
              <w:jc w:val="right"/>
              <w:rPr>
                <w:rFonts w:ascii="Arial" w:hAnsi="Arial" w:cs="Arial"/>
                <w:sz w:val="18"/>
              </w:rPr>
            </w:pPr>
            <w:r w:rsidRPr="0047017F">
              <w:rPr>
                <w:rFonts w:ascii="Arial" w:hAnsi="Arial" w:cs="Arial"/>
                <w:sz w:val="18"/>
              </w:rPr>
              <w:t>66.20</w:t>
            </w:r>
          </w:p>
        </w:tc>
        <w:tc>
          <w:tcPr>
            <w:tcW w:w="1559" w:type="dxa"/>
            <w:shd w:val="clear" w:color="auto" w:fill="auto"/>
            <w:noWrap/>
            <w:vAlign w:val="center"/>
            <w:hideMark/>
          </w:tcPr>
          <w:p w14:paraId="6D240596" w14:textId="77777777" w:rsidR="000C1C95" w:rsidRPr="0047017F" w:rsidRDefault="000C1C95" w:rsidP="00836CB3">
            <w:pPr>
              <w:jc w:val="right"/>
              <w:rPr>
                <w:rFonts w:ascii="Arial" w:hAnsi="Arial" w:cs="Arial"/>
                <w:sz w:val="18"/>
              </w:rPr>
            </w:pPr>
            <w:r w:rsidRPr="0047017F">
              <w:rPr>
                <w:rFonts w:ascii="Arial" w:hAnsi="Arial" w:cs="Arial"/>
                <w:sz w:val="18"/>
              </w:rPr>
              <w:t>7,144.60</w:t>
            </w:r>
          </w:p>
        </w:tc>
        <w:tc>
          <w:tcPr>
            <w:tcW w:w="1146" w:type="dxa"/>
            <w:shd w:val="clear" w:color="auto" w:fill="auto"/>
            <w:noWrap/>
            <w:vAlign w:val="center"/>
            <w:hideMark/>
          </w:tcPr>
          <w:p w14:paraId="19F748B3" w14:textId="77777777" w:rsidR="000C1C95" w:rsidRPr="0047017F" w:rsidRDefault="000C1C95" w:rsidP="00836CB3">
            <w:pPr>
              <w:jc w:val="right"/>
              <w:rPr>
                <w:rFonts w:ascii="Arial" w:hAnsi="Arial" w:cs="Arial"/>
                <w:sz w:val="18"/>
              </w:rPr>
            </w:pPr>
            <w:r w:rsidRPr="0047017F">
              <w:rPr>
                <w:rFonts w:ascii="Arial" w:hAnsi="Arial" w:cs="Arial"/>
                <w:sz w:val="18"/>
              </w:rPr>
              <w:t>38,437.20</w:t>
            </w:r>
          </w:p>
        </w:tc>
        <w:tc>
          <w:tcPr>
            <w:tcW w:w="1216" w:type="dxa"/>
            <w:shd w:val="clear" w:color="auto" w:fill="auto"/>
            <w:noWrap/>
            <w:vAlign w:val="center"/>
            <w:hideMark/>
          </w:tcPr>
          <w:p w14:paraId="3EACC296" w14:textId="77777777" w:rsidR="000C1C95" w:rsidRPr="0047017F" w:rsidRDefault="000C1C95" w:rsidP="00836CB3">
            <w:pPr>
              <w:jc w:val="right"/>
              <w:rPr>
                <w:rFonts w:ascii="Arial" w:hAnsi="Arial" w:cs="Arial"/>
                <w:sz w:val="18"/>
              </w:rPr>
            </w:pPr>
            <w:r w:rsidRPr="0047017F">
              <w:rPr>
                <w:rFonts w:ascii="Arial" w:hAnsi="Arial" w:cs="Arial"/>
                <w:sz w:val="18"/>
              </w:rPr>
              <w:t>23,166.40</w:t>
            </w:r>
          </w:p>
        </w:tc>
      </w:tr>
      <w:tr w:rsidR="000C1C95" w:rsidRPr="0047017F" w14:paraId="0821B01A" w14:textId="77777777" w:rsidTr="0047017F">
        <w:trPr>
          <w:trHeight w:val="264"/>
        </w:trPr>
        <w:tc>
          <w:tcPr>
            <w:tcW w:w="1620" w:type="dxa"/>
            <w:shd w:val="clear" w:color="auto" w:fill="auto"/>
            <w:noWrap/>
            <w:vAlign w:val="center"/>
            <w:hideMark/>
          </w:tcPr>
          <w:p w14:paraId="3134A7DC" w14:textId="77777777" w:rsidR="000C1C95" w:rsidRPr="0047017F" w:rsidRDefault="000C1C95" w:rsidP="000C1C95">
            <w:pPr>
              <w:rPr>
                <w:rFonts w:ascii="Arial" w:hAnsi="Arial" w:cs="Arial"/>
                <w:sz w:val="18"/>
              </w:rPr>
            </w:pPr>
            <w:r w:rsidRPr="0047017F">
              <w:rPr>
                <w:rFonts w:ascii="Arial" w:hAnsi="Arial" w:cs="Arial"/>
                <w:sz w:val="18"/>
              </w:rPr>
              <w:t xml:space="preserve">Portugal </w:t>
            </w:r>
          </w:p>
        </w:tc>
        <w:tc>
          <w:tcPr>
            <w:tcW w:w="1092" w:type="dxa"/>
            <w:shd w:val="clear" w:color="auto" w:fill="auto"/>
            <w:noWrap/>
            <w:vAlign w:val="center"/>
            <w:hideMark/>
          </w:tcPr>
          <w:p w14:paraId="4C186276" w14:textId="77777777" w:rsidR="000C1C95" w:rsidRPr="0047017F" w:rsidRDefault="000C1C95" w:rsidP="00836CB3">
            <w:pPr>
              <w:jc w:val="right"/>
              <w:rPr>
                <w:rFonts w:ascii="Arial" w:hAnsi="Arial" w:cs="Arial"/>
                <w:sz w:val="18"/>
              </w:rPr>
            </w:pPr>
            <w:r w:rsidRPr="0047017F">
              <w:rPr>
                <w:rFonts w:ascii="Arial" w:hAnsi="Arial" w:cs="Arial"/>
                <w:sz w:val="18"/>
              </w:rPr>
              <w:t>25</w:t>
            </w:r>
          </w:p>
        </w:tc>
        <w:tc>
          <w:tcPr>
            <w:tcW w:w="1276" w:type="dxa"/>
            <w:shd w:val="clear" w:color="auto" w:fill="auto"/>
            <w:noWrap/>
            <w:vAlign w:val="center"/>
            <w:hideMark/>
          </w:tcPr>
          <w:p w14:paraId="5E8623E7" w14:textId="77777777" w:rsidR="000C1C95" w:rsidRPr="0047017F" w:rsidRDefault="000C1C95" w:rsidP="00836CB3">
            <w:pPr>
              <w:jc w:val="right"/>
              <w:rPr>
                <w:rFonts w:ascii="Arial" w:hAnsi="Arial" w:cs="Arial"/>
                <w:sz w:val="18"/>
              </w:rPr>
            </w:pPr>
            <w:r w:rsidRPr="0047017F">
              <w:rPr>
                <w:rFonts w:ascii="Arial" w:hAnsi="Arial" w:cs="Arial"/>
                <w:sz w:val="18"/>
              </w:rPr>
              <w:t>19,755.90</w:t>
            </w:r>
          </w:p>
        </w:tc>
        <w:tc>
          <w:tcPr>
            <w:tcW w:w="1134" w:type="dxa"/>
            <w:shd w:val="clear" w:color="auto" w:fill="auto"/>
            <w:noWrap/>
            <w:vAlign w:val="center"/>
            <w:hideMark/>
          </w:tcPr>
          <w:p w14:paraId="5B1C495B" w14:textId="77777777" w:rsidR="000C1C95" w:rsidRPr="0047017F" w:rsidRDefault="000C1C95" w:rsidP="00836CB3">
            <w:pPr>
              <w:jc w:val="right"/>
              <w:rPr>
                <w:rFonts w:ascii="Arial" w:hAnsi="Arial" w:cs="Arial"/>
                <w:sz w:val="18"/>
              </w:rPr>
            </w:pPr>
            <w:r w:rsidRPr="0047017F">
              <w:rPr>
                <w:rFonts w:ascii="Arial" w:hAnsi="Arial" w:cs="Arial"/>
                <w:sz w:val="18"/>
              </w:rPr>
              <w:t>204</w:t>
            </w:r>
          </w:p>
        </w:tc>
        <w:tc>
          <w:tcPr>
            <w:tcW w:w="1559" w:type="dxa"/>
            <w:shd w:val="clear" w:color="auto" w:fill="auto"/>
            <w:noWrap/>
            <w:vAlign w:val="center"/>
            <w:hideMark/>
          </w:tcPr>
          <w:p w14:paraId="67370C3C" w14:textId="77777777" w:rsidR="000C1C95" w:rsidRPr="0047017F" w:rsidRDefault="000C1C95" w:rsidP="00836CB3">
            <w:pPr>
              <w:jc w:val="right"/>
              <w:rPr>
                <w:rFonts w:ascii="Arial" w:hAnsi="Arial" w:cs="Arial"/>
                <w:sz w:val="18"/>
              </w:rPr>
            </w:pPr>
            <w:r w:rsidRPr="0047017F">
              <w:rPr>
                <w:rFonts w:ascii="Arial" w:hAnsi="Arial" w:cs="Arial"/>
                <w:sz w:val="18"/>
              </w:rPr>
              <w:t>182.80</w:t>
            </w:r>
          </w:p>
        </w:tc>
        <w:tc>
          <w:tcPr>
            <w:tcW w:w="2268" w:type="dxa"/>
            <w:shd w:val="clear" w:color="auto" w:fill="auto"/>
            <w:noWrap/>
            <w:vAlign w:val="center"/>
            <w:hideMark/>
          </w:tcPr>
          <w:p w14:paraId="45DD5461" w14:textId="77777777" w:rsidR="000C1C95" w:rsidRPr="0047017F" w:rsidRDefault="000C1C95" w:rsidP="00836CB3">
            <w:pPr>
              <w:jc w:val="right"/>
              <w:rPr>
                <w:rFonts w:ascii="Arial" w:hAnsi="Arial" w:cs="Arial"/>
                <w:sz w:val="18"/>
              </w:rPr>
            </w:pPr>
            <w:r w:rsidRPr="0047017F">
              <w:rPr>
                <w:rFonts w:ascii="Arial" w:hAnsi="Arial" w:cs="Arial"/>
                <w:sz w:val="18"/>
              </w:rPr>
              <w:t>62.90</w:t>
            </w:r>
          </w:p>
        </w:tc>
        <w:tc>
          <w:tcPr>
            <w:tcW w:w="1559" w:type="dxa"/>
            <w:shd w:val="clear" w:color="auto" w:fill="auto"/>
            <w:noWrap/>
            <w:vAlign w:val="center"/>
            <w:hideMark/>
          </w:tcPr>
          <w:p w14:paraId="56FAED5F" w14:textId="77777777" w:rsidR="000C1C95" w:rsidRPr="0047017F" w:rsidRDefault="000C1C95" w:rsidP="00836CB3">
            <w:pPr>
              <w:jc w:val="right"/>
              <w:rPr>
                <w:rFonts w:ascii="Arial" w:hAnsi="Arial" w:cs="Arial"/>
                <w:sz w:val="18"/>
              </w:rPr>
            </w:pPr>
            <w:r w:rsidRPr="0047017F">
              <w:rPr>
                <w:rFonts w:ascii="Arial" w:hAnsi="Arial" w:cs="Arial"/>
                <w:sz w:val="18"/>
              </w:rPr>
              <w:t>13,240.50</w:t>
            </w:r>
          </w:p>
        </w:tc>
        <w:tc>
          <w:tcPr>
            <w:tcW w:w="1146" w:type="dxa"/>
            <w:shd w:val="clear" w:color="auto" w:fill="auto"/>
            <w:noWrap/>
            <w:vAlign w:val="center"/>
            <w:hideMark/>
          </w:tcPr>
          <w:p w14:paraId="73713112" w14:textId="77777777" w:rsidR="000C1C95" w:rsidRPr="0047017F" w:rsidRDefault="000C1C95" w:rsidP="00836CB3">
            <w:pPr>
              <w:jc w:val="right"/>
              <w:rPr>
                <w:rFonts w:ascii="Arial" w:hAnsi="Arial" w:cs="Arial"/>
                <w:sz w:val="18"/>
              </w:rPr>
            </w:pPr>
            <w:r w:rsidRPr="0047017F">
              <w:rPr>
                <w:rFonts w:ascii="Arial" w:hAnsi="Arial" w:cs="Arial"/>
                <w:sz w:val="18"/>
              </w:rPr>
              <w:t>10,341.30</w:t>
            </w:r>
          </w:p>
        </w:tc>
        <w:tc>
          <w:tcPr>
            <w:tcW w:w="1216" w:type="dxa"/>
            <w:shd w:val="clear" w:color="auto" w:fill="auto"/>
            <w:noWrap/>
            <w:vAlign w:val="center"/>
            <w:hideMark/>
          </w:tcPr>
          <w:p w14:paraId="58747E64" w14:textId="77777777" w:rsidR="000C1C95" w:rsidRPr="0047017F" w:rsidRDefault="000C1C95" w:rsidP="00836CB3">
            <w:pPr>
              <w:jc w:val="right"/>
              <w:rPr>
                <w:rFonts w:ascii="Arial" w:hAnsi="Arial" w:cs="Arial"/>
                <w:sz w:val="18"/>
              </w:rPr>
            </w:pPr>
            <w:r w:rsidRPr="0047017F">
              <w:rPr>
                <w:rFonts w:ascii="Arial" w:hAnsi="Arial" w:cs="Arial"/>
                <w:sz w:val="18"/>
              </w:rPr>
              <w:t>6,619.50</w:t>
            </w:r>
          </w:p>
        </w:tc>
      </w:tr>
      <w:tr w:rsidR="000C1C95" w:rsidRPr="0047017F" w14:paraId="41B5256B" w14:textId="77777777" w:rsidTr="0047017F">
        <w:trPr>
          <w:trHeight w:val="264"/>
        </w:trPr>
        <w:tc>
          <w:tcPr>
            <w:tcW w:w="1620" w:type="dxa"/>
            <w:shd w:val="clear" w:color="auto" w:fill="auto"/>
            <w:noWrap/>
            <w:vAlign w:val="center"/>
            <w:hideMark/>
          </w:tcPr>
          <w:p w14:paraId="0F6D8CE5" w14:textId="77777777" w:rsidR="000C1C95" w:rsidRPr="0047017F" w:rsidRDefault="000C1C95" w:rsidP="000C1C95">
            <w:pPr>
              <w:rPr>
                <w:rFonts w:ascii="Arial" w:hAnsi="Arial" w:cs="Arial"/>
                <w:sz w:val="18"/>
              </w:rPr>
            </w:pPr>
            <w:r w:rsidRPr="0047017F">
              <w:rPr>
                <w:rFonts w:ascii="Arial" w:hAnsi="Arial" w:cs="Arial"/>
                <w:sz w:val="18"/>
              </w:rPr>
              <w:t xml:space="preserve">Romania </w:t>
            </w:r>
          </w:p>
        </w:tc>
        <w:tc>
          <w:tcPr>
            <w:tcW w:w="1092" w:type="dxa"/>
            <w:shd w:val="clear" w:color="auto" w:fill="auto"/>
            <w:noWrap/>
            <w:vAlign w:val="center"/>
            <w:hideMark/>
          </w:tcPr>
          <w:p w14:paraId="78C2F08C" w14:textId="77777777" w:rsidR="000C1C95" w:rsidRPr="0047017F" w:rsidRDefault="000C1C95" w:rsidP="00836CB3">
            <w:pPr>
              <w:jc w:val="right"/>
              <w:rPr>
                <w:rFonts w:ascii="Arial" w:hAnsi="Arial" w:cs="Arial"/>
                <w:sz w:val="18"/>
              </w:rPr>
            </w:pPr>
            <w:r w:rsidRPr="0047017F">
              <w:rPr>
                <w:rFonts w:ascii="Arial" w:hAnsi="Arial" w:cs="Arial"/>
                <w:sz w:val="18"/>
              </w:rPr>
              <w:t>36</w:t>
            </w:r>
          </w:p>
        </w:tc>
        <w:tc>
          <w:tcPr>
            <w:tcW w:w="1276" w:type="dxa"/>
            <w:shd w:val="clear" w:color="auto" w:fill="auto"/>
            <w:noWrap/>
            <w:vAlign w:val="center"/>
            <w:hideMark/>
          </w:tcPr>
          <w:p w14:paraId="69933660" w14:textId="77777777" w:rsidR="000C1C95" w:rsidRPr="0047017F" w:rsidRDefault="000C1C95" w:rsidP="00836CB3">
            <w:pPr>
              <w:jc w:val="right"/>
              <w:rPr>
                <w:rFonts w:ascii="Arial" w:hAnsi="Arial" w:cs="Arial"/>
                <w:sz w:val="18"/>
              </w:rPr>
            </w:pPr>
            <w:r w:rsidRPr="0047017F">
              <w:rPr>
                <w:rFonts w:ascii="Arial" w:hAnsi="Arial" w:cs="Arial"/>
                <w:sz w:val="18"/>
              </w:rPr>
              <w:t>9,469.80</w:t>
            </w:r>
          </w:p>
        </w:tc>
        <w:tc>
          <w:tcPr>
            <w:tcW w:w="1134" w:type="dxa"/>
            <w:shd w:val="clear" w:color="auto" w:fill="auto"/>
            <w:noWrap/>
            <w:vAlign w:val="center"/>
            <w:hideMark/>
          </w:tcPr>
          <w:p w14:paraId="4F99E31B" w14:textId="77777777" w:rsidR="000C1C95" w:rsidRPr="0047017F" w:rsidRDefault="000C1C95" w:rsidP="00836CB3">
            <w:pPr>
              <w:jc w:val="right"/>
              <w:rPr>
                <w:rFonts w:ascii="Arial" w:hAnsi="Arial" w:cs="Arial"/>
                <w:sz w:val="18"/>
              </w:rPr>
            </w:pPr>
            <w:r w:rsidRPr="0047017F">
              <w:rPr>
                <w:rFonts w:ascii="Arial" w:hAnsi="Arial" w:cs="Arial"/>
                <w:sz w:val="18"/>
              </w:rPr>
              <w:t>187</w:t>
            </w:r>
          </w:p>
        </w:tc>
        <w:tc>
          <w:tcPr>
            <w:tcW w:w="1559" w:type="dxa"/>
            <w:shd w:val="clear" w:color="auto" w:fill="auto"/>
            <w:noWrap/>
            <w:vAlign w:val="center"/>
            <w:hideMark/>
          </w:tcPr>
          <w:p w14:paraId="5DAA61AB" w14:textId="77777777" w:rsidR="000C1C95" w:rsidRPr="0047017F" w:rsidRDefault="000C1C95" w:rsidP="00836CB3">
            <w:pPr>
              <w:jc w:val="right"/>
              <w:rPr>
                <w:rFonts w:ascii="Arial" w:hAnsi="Arial" w:cs="Arial"/>
                <w:sz w:val="18"/>
              </w:rPr>
            </w:pPr>
            <w:r w:rsidRPr="0047017F">
              <w:rPr>
                <w:rFonts w:ascii="Arial" w:hAnsi="Arial" w:cs="Arial"/>
                <w:sz w:val="18"/>
              </w:rPr>
              <w:t>90.30</w:t>
            </w:r>
          </w:p>
        </w:tc>
        <w:tc>
          <w:tcPr>
            <w:tcW w:w="2268" w:type="dxa"/>
            <w:shd w:val="clear" w:color="auto" w:fill="auto"/>
            <w:noWrap/>
            <w:vAlign w:val="center"/>
            <w:hideMark/>
          </w:tcPr>
          <w:p w14:paraId="6C71B54F" w14:textId="77777777" w:rsidR="000C1C95" w:rsidRPr="0047017F" w:rsidRDefault="000C1C95" w:rsidP="00836CB3">
            <w:pPr>
              <w:jc w:val="right"/>
              <w:rPr>
                <w:rFonts w:ascii="Arial" w:hAnsi="Arial" w:cs="Arial"/>
                <w:sz w:val="18"/>
              </w:rPr>
            </w:pPr>
            <w:r w:rsidRPr="0047017F">
              <w:rPr>
                <w:rFonts w:ascii="Arial" w:hAnsi="Arial" w:cs="Arial"/>
                <w:sz w:val="18"/>
              </w:rPr>
              <w:t>76.90</w:t>
            </w:r>
          </w:p>
        </w:tc>
        <w:tc>
          <w:tcPr>
            <w:tcW w:w="1559" w:type="dxa"/>
            <w:shd w:val="clear" w:color="auto" w:fill="auto"/>
            <w:noWrap/>
            <w:vAlign w:val="center"/>
            <w:hideMark/>
          </w:tcPr>
          <w:p w14:paraId="61458FE2" w14:textId="77777777" w:rsidR="000C1C95" w:rsidRPr="0047017F" w:rsidRDefault="000C1C95" w:rsidP="00836CB3">
            <w:pPr>
              <w:jc w:val="right"/>
              <w:rPr>
                <w:rFonts w:ascii="Arial" w:hAnsi="Arial" w:cs="Arial"/>
                <w:sz w:val="18"/>
              </w:rPr>
            </w:pPr>
            <w:r w:rsidRPr="0047017F">
              <w:rPr>
                <w:rFonts w:ascii="Arial" w:hAnsi="Arial" w:cs="Arial"/>
                <w:sz w:val="18"/>
              </w:rPr>
              <w:t>5,482.50</w:t>
            </w:r>
          </w:p>
        </w:tc>
        <w:tc>
          <w:tcPr>
            <w:tcW w:w="1146" w:type="dxa"/>
            <w:shd w:val="clear" w:color="auto" w:fill="auto"/>
            <w:noWrap/>
            <w:vAlign w:val="center"/>
            <w:hideMark/>
          </w:tcPr>
          <w:p w14:paraId="44ADB86D" w14:textId="77777777" w:rsidR="000C1C95" w:rsidRPr="0047017F" w:rsidRDefault="000C1C95" w:rsidP="00836CB3">
            <w:pPr>
              <w:jc w:val="right"/>
              <w:rPr>
                <w:rFonts w:ascii="Arial" w:hAnsi="Arial" w:cs="Arial"/>
                <w:sz w:val="18"/>
              </w:rPr>
            </w:pPr>
            <w:r w:rsidRPr="0047017F">
              <w:rPr>
                <w:rFonts w:ascii="Arial" w:hAnsi="Arial" w:cs="Arial"/>
                <w:sz w:val="18"/>
              </w:rPr>
              <w:t>19,774.90</w:t>
            </w:r>
          </w:p>
        </w:tc>
        <w:tc>
          <w:tcPr>
            <w:tcW w:w="1216" w:type="dxa"/>
            <w:shd w:val="clear" w:color="auto" w:fill="auto"/>
            <w:noWrap/>
            <w:vAlign w:val="center"/>
            <w:hideMark/>
          </w:tcPr>
          <w:p w14:paraId="578919F1" w14:textId="77777777" w:rsidR="000C1C95" w:rsidRPr="0047017F" w:rsidRDefault="000C1C95" w:rsidP="00836CB3">
            <w:pPr>
              <w:jc w:val="right"/>
              <w:rPr>
                <w:rFonts w:ascii="Arial" w:hAnsi="Arial" w:cs="Arial"/>
                <w:sz w:val="18"/>
              </w:rPr>
            </w:pPr>
            <w:r w:rsidRPr="0047017F">
              <w:rPr>
                <w:rFonts w:ascii="Arial" w:hAnsi="Arial" w:cs="Arial"/>
                <w:sz w:val="18"/>
              </w:rPr>
              <w:t>10,683.60</w:t>
            </w:r>
          </w:p>
        </w:tc>
      </w:tr>
    </w:tbl>
    <w:p w14:paraId="5D693ECE" w14:textId="77777777" w:rsidR="000C1C95" w:rsidRPr="0047017F" w:rsidRDefault="000C1C95" w:rsidP="002828BD">
      <w:pPr>
        <w:pStyle w:val="ExhibitText"/>
      </w:pPr>
    </w:p>
    <w:p w14:paraId="299B42DF" w14:textId="77777777" w:rsidR="000C1C95" w:rsidRPr="0047017F" w:rsidRDefault="000C1C95" w:rsidP="002828BD">
      <w:pPr>
        <w:pStyle w:val="ExhibitText"/>
      </w:pPr>
      <w:r w:rsidRPr="0047017F">
        <w:br w:type="page"/>
      </w:r>
    </w:p>
    <w:p w14:paraId="44613D47" w14:textId="77777777" w:rsidR="000C1C95" w:rsidRPr="0047017F" w:rsidRDefault="000C1C95" w:rsidP="00EF240D">
      <w:pPr>
        <w:pStyle w:val="ExhibitHeading"/>
        <w:outlineLvl w:val="0"/>
      </w:pPr>
      <w:r w:rsidRPr="0047017F">
        <w:lastRenderedPageBreak/>
        <w:t>Exhibit 8 (Continued)</w:t>
      </w:r>
    </w:p>
    <w:p w14:paraId="6178A595" w14:textId="77777777" w:rsidR="000C1C95" w:rsidRPr="0047017F" w:rsidRDefault="000C1C95" w:rsidP="002828BD">
      <w:pPr>
        <w:pStyle w:val="ExhibitText"/>
      </w:pPr>
    </w:p>
    <w:tbl>
      <w:tblPr>
        <w:tblW w:w="12775"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8"/>
        <w:gridCol w:w="1134"/>
        <w:gridCol w:w="1559"/>
        <w:gridCol w:w="1418"/>
        <w:gridCol w:w="1559"/>
        <w:gridCol w:w="1843"/>
        <w:gridCol w:w="1275"/>
        <w:gridCol w:w="1276"/>
        <w:gridCol w:w="1473"/>
      </w:tblGrid>
      <w:tr w:rsidR="000C1C95" w:rsidRPr="0047017F" w14:paraId="41BC381F" w14:textId="77777777" w:rsidTr="0047017F">
        <w:trPr>
          <w:trHeight w:val="1056"/>
        </w:trPr>
        <w:tc>
          <w:tcPr>
            <w:tcW w:w="1238" w:type="dxa"/>
            <w:shd w:val="clear" w:color="auto" w:fill="auto"/>
            <w:vAlign w:val="center"/>
            <w:hideMark/>
          </w:tcPr>
          <w:p w14:paraId="6C752855" w14:textId="426DF4FE" w:rsidR="000C1C95" w:rsidRPr="0047017F" w:rsidRDefault="000C1C95" w:rsidP="004E285E">
            <w:pPr>
              <w:rPr>
                <w:rFonts w:ascii="Arial" w:hAnsi="Arial" w:cs="Arial"/>
                <w:b/>
                <w:sz w:val="18"/>
              </w:rPr>
            </w:pPr>
            <w:r w:rsidRPr="0047017F">
              <w:rPr>
                <w:rFonts w:ascii="Arial" w:hAnsi="Arial" w:cs="Arial"/>
                <w:b/>
                <w:sz w:val="18"/>
              </w:rPr>
              <w:t>Country</w:t>
            </w:r>
          </w:p>
        </w:tc>
        <w:tc>
          <w:tcPr>
            <w:tcW w:w="1134" w:type="dxa"/>
            <w:shd w:val="clear" w:color="auto" w:fill="auto"/>
            <w:vAlign w:val="center"/>
            <w:hideMark/>
          </w:tcPr>
          <w:p w14:paraId="65993199" w14:textId="77777777" w:rsidR="000C1C95" w:rsidRPr="0047017F" w:rsidRDefault="000C1C95" w:rsidP="000C1C95">
            <w:pPr>
              <w:jc w:val="center"/>
              <w:rPr>
                <w:rFonts w:ascii="Arial" w:hAnsi="Arial" w:cs="Arial"/>
                <w:b/>
                <w:sz w:val="18"/>
              </w:rPr>
            </w:pPr>
            <w:r w:rsidRPr="0047017F">
              <w:rPr>
                <w:rFonts w:ascii="Arial" w:hAnsi="Arial" w:cs="Arial"/>
                <w:b/>
                <w:sz w:val="18"/>
              </w:rPr>
              <w:t>Ease of Doing Business Ranking</w:t>
            </w:r>
          </w:p>
        </w:tc>
        <w:tc>
          <w:tcPr>
            <w:tcW w:w="1559" w:type="dxa"/>
            <w:shd w:val="clear" w:color="auto" w:fill="auto"/>
            <w:vAlign w:val="center"/>
            <w:hideMark/>
          </w:tcPr>
          <w:p w14:paraId="4110AA00" w14:textId="4002557E" w:rsidR="000C1C95" w:rsidRPr="0047017F" w:rsidRDefault="000C1C95" w:rsidP="00181834">
            <w:pPr>
              <w:jc w:val="center"/>
              <w:rPr>
                <w:rFonts w:ascii="Arial" w:hAnsi="Arial" w:cs="Arial"/>
                <w:b/>
                <w:sz w:val="18"/>
              </w:rPr>
            </w:pPr>
            <w:r w:rsidRPr="0047017F">
              <w:rPr>
                <w:rFonts w:ascii="Arial" w:hAnsi="Arial" w:cs="Arial"/>
                <w:b/>
                <w:sz w:val="18"/>
              </w:rPr>
              <w:t xml:space="preserve">GDP per </w:t>
            </w:r>
            <w:r w:rsidR="004E285E" w:rsidRPr="0047017F">
              <w:rPr>
                <w:rFonts w:ascii="Arial" w:hAnsi="Arial" w:cs="Arial"/>
                <w:b/>
                <w:sz w:val="18"/>
              </w:rPr>
              <w:t>C</w:t>
            </w:r>
            <w:r w:rsidRPr="0047017F">
              <w:rPr>
                <w:rFonts w:ascii="Arial" w:hAnsi="Arial" w:cs="Arial"/>
                <w:b/>
                <w:sz w:val="18"/>
              </w:rPr>
              <w:t xml:space="preserve">apita </w:t>
            </w:r>
            <w:r w:rsidR="004E285E" w:rsidRPr="0047017F">
              <w:rPr>
                <w:rFonts w:ascii="Arial" w:hAnsi="Arial" w:cs="Arial"/>
                <w:b/>
                <w:sz w:val="18"/>
              </w:rPr>
              <w:t>(</w:t>
            </w:r>
            <w:r w:rsidR="003858B3">
              <w:rPr>
                <w:rFonts w:ascii="Arial" w:hAnsi="Arial" w:cs="Arial"/>
                <w:b/>
                <w:sz w:val="18"/>
              </w:rPr>
              <w:t xml:space="preserve">in </w:t>
            </w:r>
            <w:r w:rsidRPr="0047017F">
              <w:rPr>
                <w:rFonts w:ascii="Arial" w:hAnsi="Arial" w:cs="Arial"/>
                <w:b/>
                <w:sz w:val="18"/>
              </w:rPr>
              <w:t>$</w:t>
            </w:r>
            <w:r w:rsidR="004E285E" w:rsidRPr="0047017F">
              <w:rPr>
                <w:rFonts w:ascii="Arial" w:hAnsi="Arial" w:cs="Arial"/>
                <w:b/>
                <w:sz w:val="18"/>
              </w:rPr>
              <w:t>)</w:t>
            </w:r>
            <w:r w:rsidRPr="0047017F">
              <w:rPr>
                <w:rFonts w:ascii="Arial" w:hAnsi="Arial" w:cs="Arial"/>
                <w:b/>
                <w:sz w:val="18"/>
              </w:rPr>
              <w:t xml:space="preserve"> </w:t>
            </w:r>
          </w:p>
        </w:tc>
        <w:tc>
          <w:tcPr>
            <w:tcW w:w="1418" w:type="dxa"/>
            <w:shd w:val="clear" w:color="auto" w:fill="auto"/>
            <w:vAlign w:val="center"/>
            <w:hideMark/>
          </w:tcPr>
          <w:p w14:paraId="37569FA9" w14:textId="2268BEAA" w:rsidR="000C1C95" w:rsidRPr="0047017F" w:rsidRDefault="000C1C95" w:rsidP="00232A47">
            <w:pPr>
              <w:jc w:val="center"/>
              <w:rPr>
                <w:rFonts w:ascii="Arial" w:hAnsi="Arial" w:cs="Arial"/>
                <w:b/>
                <w:sz w:val="18"/>
              </w:rPr>
            </w:pPr>
            <w:r w:rsidRPr="0047017F">
              <w:rPr>
                <w:rFonts w:ascii="Arial" w:hAnsi="Arial" w:cs="Arial"/>
                <w:b/>
                <w:sz w:val="18"/>
              </w:rPr>
              <w:t xml:space="preserve">GDP </w:t>
            </w:r>
            <w:r w:rsidR="004E285E" w:rsidRPr="0047017F">
              <w:rPr>
                <w:rFonts w:ascii="Arial" w:hAnsi="Arial" w:cs="Arial"/>
                <w:b/>
                <w:sz w:val="18"/>
              </w:rPr>
              <w:t>(</w:t>
            </w:r>
            <w:r w:rsidR="003858B3">
              <w:rPr>
                <w:rFonts w:ascii="Arial" w:hAnsi="Arial" w:cs="Arial"/>
                <w:b/>
                <w:sz w:val="18"/>
              </w:rPr>
              <w:t xml:space="preserve">in </w:t>
            </w:r>
            <w:r w:rsidRPr="0047017F">
              <w:rPr>
                <w:rFonts w:ascii="Arial" w:hAnsi="Arial" w:cs="Arial"/>
                <w:b/>
                <w:sz w:val="18"/>
              </w:rPr>
              <w:t>$</w:t>
            </w:r>
            <w:r w:rsidR="00232A47">
              <w:rPr>
                <w:rFonts w:ascii="Arial" w:hAnsi="Arial" w:cs="Arial"/>
                <w:b/>
                <w:sz w:val="18"/>
              </w:rPr>
              <w:t xml:space="preserve"> billions</w:t>
            </w:r>
            <w:r w:rsidR="004E285E" w:rsidRPr="0047017F">
              <w:rPr>
                <w:rFonts w:ascii="Arial" w:hAnsi="Arial" w:cs="Arial"/>
                <w:b/>
                <w:sz w:val="18"/>
              </w:rPr>
              <w:t>)</w:t>
            </w:r>
          </w:p>
        </w:tc>
        <w:tc>
          <w:tcPr>
            <w:tcW w:w="1559" w:type="dxa"/>
            <w:shd w:val="clear" w:color="auto" w:fill="auto"/>
            <w:vAlign w:val="center"/>
            <w:hideMark/>
          </w:tcPr>
          <w:p w14:paraId="1137F22F" w14:textId="0EAFFF7B" w:rsidR="000C1C95" w:rsidRPr="0047017F" w:rsidRDefault="000C1C95" w:rsidP="009479DC">
            <w:pPr>
              <w:jc w:val="center"/>
              <w:rPr>
                <w:rFonts w:ascii="Arial" w:hAnsi="Arial" w:cs="Arial"/>
                <w:b/>
                <w:sz w:val="18"/>
              </w:rPr>
            </w:pPr>
            <w:r w:rsidRPr="0047017F">
              <w:rPr>
                <w:rFonts w:ascii="Arial" w:hAnsi="Arial" w:cs="Arial"/>
                <w:b/>
                <w:sz w:val="18"/>
              </w:rPr>
              <w:t xml:space="preserve">Consumer Expenditure on Fruits per </w:t>
            </w:r>
            <w:r w:rsidR="004E285E" w:rsidRPr="0047017F">
              <w:rPr>
                <w:rFonts w:ascii="Arial" w:hAnsi="Arial" w:cs="Arial"/>
                <w:b/>
                <w:sz w:val="18"/>
              </w:rPr>
              <w:t>C</w:t>
            </w:r>
            <w:r w:rsidRPr="0047017F">
              <w:rPr>
                <w:rFonts w:ascii="Arial" w:hAnsi="Arial" w:cs="Arial"/>
                <w:b/>
                <w:sz w:val="18"/>
              </w:rPr>
              <w:t xml:space="preserve">apita </w:t>
            </w:r>
            <w:r w:rsidR="004E285E" w:rsidRPr="0047017F">
              <w:rPr>
                <w:rFonts w:ascii="Arial" w:hAnsi="Arial" w:cs="Arial"/>
                <w:b/>
                <w:sz w:val="18"/>
              </w:rPr>
              <w:t>(</w:t>
            </w:r>
            <w:r w:rsidR="003858B3">
              <w:rPr>
                <w:rFonts w:ascii="Arial" w:hAnsi="Arial" w:cs="Arial"/>
                <w:b/>
                <w:sz w:val="18"/>
              </w:rPr>
              <w:t xml:space="preserve">in </w:t>
            </w:r>
            <w:r w:rsidRPr="0047017F">
              <w:rPr>
                <w:rFonts w:ascii="Arial" w:hAnsi="Arial" w:cs="Arial"/>
                <w:b/>
                <w:sz w:val="18"/>
              </w:rPr>
              <w:t>$</w:t>
            </w:r>
            <w:r w:rsidR="004E285E" w:rsidRPr="0047017F">
              <w:rPr>
                <w:rFonts w:ascii="Arial" w:hAnsi="Arial" w:cs="Arial"/>
                <w:b/>
                <w:sz w:val="18"/>
              </w:rPr>
              <w:t>)</w:t>
            </w:r>
          </w:p>
        </w:tc>
        <w:tc>
          <w:tcPr>
            <w:tcW w:w="1843" w:type="dxa"/>
            <w:shd w:val="clear" w:color="auto" w:fill="auto"/>
            <w:vAlign w:val="center"/>
            <w:hideMark/>
          </w:tcPr>
          <w:p w14:paraId="2A52BC1C" w14:textId="4E2B18B1" w:rsidR="000C1C95" w:rsidRPr="0047017F" w:rsidRDefault="000C1C95" w:rsidP="00801530">
            <w:pPr>
              <w:jc w:val="center"/>
              <w:rPr>
                <w:rFonts w:ascii="Arial" w:hAnsi="Arial" w:cs="Arial"/>
                <w:b/>
                <w:sz w:val="18"/>
              </w:rPr>
            </w:pPr>
            <w:r w:rsidRPr="0047017F">
              <w:rPr>
                <w:rFonts w:ascii="Arial" w:hAnsi="Arial" w:cs="Arial"/>
                <w:b/>
                <w:sz w:val="18"/>
              </w:rPr>
              <w:t xml:space="preserve">Consumer Expenditure on Fruit and Vegetable Juices per </w:t>
            </w:r>
            <w:r w:rsidR="004E285E" w:rsidRPr="0047017F">
              <w:rPr>
                <w:rFonts w:ascii="Arial" w:hAnsi="Arial" w:cs="Arial"/>
                <w:b/>
                <w:sz w:val="18"/>
              </w:rPr>
              <w:t>C</w:t>
            </w:r>
            <w:r w:rsidRPr="0047017F">
              <w:rPr>
                <w:rFonts w:ascii="Arial" w:hAnsi="Arial" w:cs="Arial"/>
                <w:b/>
                <w:sz w:val="18"/>
              </w:rPr>
              <w:t xml:space="preserve">apita </w:t>
            </w:r>
            <w:r w:rsidR="004E285E" w:rsidRPr="0047017F">
              <w:rPr>
                <w:rFonts w:ascii="Arial" w:hAnsi="Arial" w:cs="Arial"/>
                <w:b/>
                <w:sz w:val="18"/>
              </w:rPr>
              <w:t>(</w:t>
            </w:r>
            <w:r w:rsidR="003858B3">
              <w:rPr>
                <w:rFonts w:ascii="Arial" w:hAnsi="Arial" w:cs="Arial"/>
                <w:b/>
                <w:sz w:val="18"/>
              </w:rPr>
              <w:t xml:space="preserve">in </w:t>
            </w:r>
            <w:r w:rsidRPr="0047017F">
              <w:rPr>
                <w:rFonts w:ascii="Arial" w:hAnsi="Arial" w:cs="Arial"/>
                <w:b/>
                <w:sz w:val="18"/>
              </w:rPr>
              <w:t>$</w:t>
            </w:r>
            <w:r w:rsidR="004E285E" w:rsidRPr="0047017F">
              <w:rPr>
                <w:rFonts w:ascii="Arial" w:hAnsi="Arial" w:cs="Arial"/>
                <w:b/>
                <w:sz w:val="18"/>
              </w:rPr>
              <w:t>)</w:t>
            </w:r>
          </w:p>
        </w:tc>
        <w:tc>
          <w:tcPr>
            <w:tcW w:w="1275" w:type="dxa"/>
            <w:shd w:val="clear" w:color="auto" w:fill="auto"/>
            <w:vAlign w:val="center"/>
            <w:hideMark/>
          </w:tcPr>
          <w:p w14:paraId="0F992EAC" w14:textId="4489BD93" w:rsidR="004E285E" w:rsidRPr="0047017F" w:rsidRDefault="000C1C95" w:rsidP="00801530">
            <w:pPr>
              <w:jc w:val="center"/>
              <w:rPr>
                <w:rFonts w:ascii="Arial" w:hAnsi="Arial" w:cs="Arial"/>
                <w:b/>
                <w:sz w:val="18"/>
              </w:rPr>
            </w:pPr>
            <w:r w:rsidRPr="0047017F">
              <w:rPr>
                <w:rFonts w:ascii="Arial" w:hAnsi="Arial" w:cs="Arial"/>
                <w:b/>
                <w:sz w:val="18"/>
              </w:rPr>
              <w:t xml:space="preserve">Disposable Income per </w:t>
            </w:r>
            <w:r w:rsidR="004E285E" w:rsidRPr="0047017F">
              <w:rPr>
                <w:rFonts w:ascii="Arial" w:hAnsi="Arial" w:cs="Arial"/>
                <w:b/>
                <w:sz w:val="18"/>
              </w:rPr>
              <w:t>C</w:t>
            </w:r>
            <w:r w:rsidRPr="0047017F">
              <w:rPr>
                <w:rFonts w:ascii="Arial" w:hAnsi="Arial" w:cs="Arial"/>
                <w:b/>
                <w:sz w:val="18"/>
              </w:rPr>
              <w:t xml:space="preserve">apita </w:t>
            </w:r>
          </w:p>
          <w:p w14:paraId="43073924" w14:textId="6CD424B7" w:rsidR="000C1C95" w:rsidRPr="0047017F" w:rsidRDefault="004E285E" w:rsidP="003E7CB5">
            <w:pPr>
              <w:jc w:val="center"/>
              <w:rPr>
                <w:rFonts w:ascii="Arial" w:hAnsi="Arial" w:cs="Arial"/>
                <w:b/>
                <w:sz w:val="18"/>
              </w:rPr>
            </w:pPr>
            <w:r w:rsidRPr="0047017F">
              <w:rPr>
                <w:rFonts w:ascii="Arial" w:hAnsi="Arial" w:cs="Arial"/>
                <w:b/>
                <w:sz w:val="18"/>
              </w:rPr>
              <w:t>(</w:t>
            </w:r>
            <w:r w:rsidR="003858B3">
              <w:rPr>
                <w:rFonts w:ascii="Arial" w:hAnsi="Arial" w:cs="Arial"/>
                <w:b/>
                <w:sz w:val="18"/>
              </w:rPr>
              <w:t xml:space="preserve">in </w:t>
            </w:r>
            <w:r w:rsidR="000C1C95" w:rsidRPr="0047017F">
              <w:rPr>
                <w:rFonts w:ascii="Arial" w:hAnsi="Arial" w:cs="Arial"/>
                <w:b/>
                <w:sz w:val="18"/>
              </w:rPr>
              <w:t>$</w:t>
            </w:r>
            <w:r w:rsidRPr="0047017F">
              <w:rPr>
                <w:rFonts w:ascii="Arial" w:hAnsi="Arial" w:cs="Arial"/>
                <w:b/>
                <w:sz w:val="18"/>
              </w:rPr>
              <w:t>)</w:t>
            </w:r>
          </w:p>
        </w:tc>
        <w:tc>
          <w:tcPr>
            <w:tcW w:w="1276" w:type="dxa"/>
            <w:shd w:val="clear" w:color="auto" w:fill="auto"/>
            <w:vAlign w:val="center"/>
            <w:hideMark/>
          </w:tcPr>
          <w:p w14:paraId="0727F20C" w14:textId="282F5A30" w:rsidR="000C1C95" w:rsidRPr="0047017F" w:rsidRDefault="000C1C95" w:rsidP="00B912DD">
            <w:pPr>
              <w:jc w:val="center"/>
              <w:rPr>
                <w:rFonts w:ascii="Arial" w:hAnsi="Arial" w:cs="Arial"/>
                <w:b/>
                <w:sz w:val="18"/>
              </w:rPr>
            </w:pPr>
            <w:r w:rsidRPr="0047017F">
              <w:rPr>
                <w:rFonts w:ascii="Arial" w:hAnsi="Arial" w:cs="Arial"/>
                <w:b/>
                <w:sz w:val="18"/>
              </w:rPr>
              <w:t xml:space="preserve">Total Population </w:t>
            </w:r>
            <w:r w:rsidR="004E285E" w:rsidRPr="0047017F">
              <w:rPr>
                <w:rFonts w:ascii="Arial" w:hAnsi="Arial" w:cs="Arial"/>
                <w:b/>
                <w:sz w:val="18"/>
              </w:rPr>
              <w:t>(</w:t>
            </w:r>
            <w:r w:rsidRPr="0047017F">
              <w:rPr>
                <w:rFonts w:ascii="Arial" w:hAnsi="Arial" w:cs="Arial"/>
                <w:b/>
                <w:sz w:val="18"/>
              </w:rPr>
              <w:t xml:space="preserve">in </w:t>
            </w:r>
            <w:r w:rsidR="004E285E" w:rsidRPr="0047017F">
              <w:rPr>
                <w:rFonts w:ascii="Arial" w:hAnsi="Arial" w:cs="Arial"/>
                <w:b/>
                <w:sz w:val="18"/>
              </w:rPr>
              <w:t>‘</w:t>
            </w:r>
            <w:r w:rsidRPr="0047017F">
              <w:rPr>
                <w:rFonts w:ascii="Arial" w:hAnsi="Arial" w:cs="Arial"/>
                <w:b/>
                <w:sz w:val="18"/>
              </w:rPr>
              <w:t>000</w:t>
            </w:r>
            <w:r w:rsidR="004E285E" w:rsidRPr="0047017F">
              <w:rPr>
                <w:rFonts w:ascii="Arial" w:hAnsi="Arial" w:cs="Arial"/>
                <w:b/>
                <w:sz w:val="18"/>
              </w:rPr>
              <w:t>)</w:t>
            </w:r>
          </w:p>
        </w:tc>
        <w:tc>
          <w:tcPr>
            <w:tcW w:w="1473" w:type="dxa"/>
            <w:shd w:val="clear" w:color="auto" w:fill="auto"/>
            <w:vAlign w:val="center"/>
            <w:hideMark/>
          </w:tcPr>
          <w:p w14:paraId="459D6FAC" w14:textId="77777777" w:rsidR="004E285E" w:rsidRPr="0047017F" w:rsidRDefault="000C1C95" w:rsidP="000C1C95">
            <w:pPr>
              <w:jc w:val="center"/>
              <w:rPr>
                <w:rFonts w:ascii="Arial" w:hAnsi="Arial" w:cs="Arial"/>
                <w:b/>
                <w:sz w:val="18"/>
              </w:rPr>
            </w:pPr>
            <w:r w:rsidRPr="0047017F">
              <w:rPr>
                <w:rFonts w:ascii="Arial" w:hAnsi="Arial" w:cs="Arial"/>
                <w:b/>
                <w:sz w:val="18"/>
              </w:rPr>
              <w:t xml:space="preserve">Urban Population </w:t>
            </w:r>
          </w:p>
          <w:p w14:paraId="227D7347" w14:textId="11ACF4F8" w:rsidR="000C1C95" w:rsidRPr="0047017F" w:rsidRDefault="004E285E" w:rsidP="00181834">
            <w:pPr>
              <w:jc w:val="center"/>
              <w:rPr>
                <w:rFonts w:ascii="Arial" w:hAnsi="Arial" w:cs="Arial"/>
                <w:b/>
                <w:sz w:val="18"/>
              </w:rPr>
            </w:pPr>
            <w:r w:rsidRPr="0047017F">
              <w:rPr>
                <w:rFonts w:ascii="Arial" w:hAnsi="Arial" w:cs="Arial"/>
                <w:b/>
                <w:sz w:val="18"/>
              </w:rPr>
              <w:t>(</w:t>
            </w:r>
            <w:r w:rsidR="000C1C95" w:rsidRPr="0047017F">
              <w:rPr>
                <w:rFonts w:ascii="Arial" w:hAnsi="Arial" w:cs="Arial"/>
                <w:b/>
                <w:sz w:val="18"/>
              </w:rPr>
              <w:t xml:space="preserve">in </w:t>
            </w:r>
            <w:r w:rsidRPr="0047017F">
              <w:rPr>
                <w:rFonts w:ascii="Arial" w:hAnsi="Arial" w:cs="Arial"/>
                <w:b/>
                <w:sz w:val="18"/>
              </w:rPr>
              <w:t>‘</w:t>
            </w:r>
            <w:r w:rsidR="000C1C95" w:rsidRPr="0047017F">
              <w:rPr>
                <w:rFonts w:ascii="Arial" w:hAnsi="Arial" w:cs="Arial"/>
                <w:b/>
                <w:sz w:val="18"/>
              </w:rPr>
              <w:t>000</w:t>
            </w:r>
            <w:r w:rsidRPr="0047017F">
              <w:rPr>
                <w:rFonts w:ascii="Arial" w:hAnsi="Arial" w:cs="Arial"/>
                <w:b/>
                <w:sz w:val="18"/>
              </w:rPr>
              <w:t>)</w:t>
            </w:r>
          </w:p>
        </w:tc>
      </w:tr>
      <w:tr w:rsidR="000C1C95" w:rsidRPr="0047017F" w14:paraId="19D1811B" w14:textId="77777777" w:rsidTr="0047017F">
        <w:trPr>
          <w:trHeight w:val="264"/>
        </w:trPr>
        <w:tc>
          <w:tcPr>
            <w:tcW w:w="1238" w:type="dxa"/>
            <w:shd w:val="clear" w:color="auto" w:fill="auto"/>
            <w:noWrap/>
            <w:vAlign w:val="center"/>
            <w:hideMark/>
          </w:tcPr>
          <w:p w14:paraId="6CC1C21E" w14:textId="77777777" w:rsidR="000C1C95" w:rsidRPr="0047017F" w:rsidRDefault="000C1C95" w:rsidP="000C1C95">
            <w:pPr>
              <w:rPr>
                <w:rFonts w:ascii="Arial" w:hAnsi="Arial" w:cs="Arial"/>
                <w:sz w:val="18"/>
              </w:rPr>
            </w:pPr>
            <w:r w:rsidRPr="0047017F">
              <w:rPr>
                <w:rFonts w:ascii="Arial" w:hAnsi="Arial" w:cs="Arial"/>
                <w:sz w:val="18"/>
              </w:rPr>
              <w:t xml:space="preserve">Russia </w:t>
            </w:r>
          </w:p>
        </w:tc>
        <w:tc>
          <w:tcPr>
            <w:tcW w:w="1134" w:type="dxa"/>
            <w:shd w:val="clear" w:color="auto" w:fill="auto"/>
            <w:noWrap/>
            <w:vAlign w:val="center"/>
            <w:hideMark/>
          </w:tcPr>
          <w:p w14:paraId="6040F654" w14:textId="77777777" w:rsidR="000C1C95" w:rsidRPr="0047017F" w:rsidRDefault="000C1C95" w:rsidP="00836CB3">
            <w:pPr>
              <w:jc w:val="right"/>
              <w:rPr>
                <w:rFonts w:ascii="Arial" w:hAnsi="Arial" w:cs="Arial"/>
                <w:sz w:val="18"/>
              </w:rPr>
            </w:pPr>
            <w:r w:rsidRPr="0047017F">
              <w:rPr>
                <w:rFonts w:ascii="Arial" w:hAnsi="Arial" w:cs="Arial"/>
                <w:sz w:val="18"/>
              </w:rPr>
              <w:t>40</w:t>
            </w:r>
          </w:p>
        </w:tc>
        <w:tc>
          <w:tcPr>
            <w:tcW w:w="1559" w:type="dxa"/>
            <w:shd w:val="clear" w:color="auto" w:fill="auto"/>
            <w:noWrap/>
            <w:vAlign w:val="center"/>
            <w:hideMark/>
          </w:tcPr>
          <w:p w14:paraId="3736D10E" w14:textId="77777777" w:rsidR="000C1C95" w:rsidRPr="0047017F" w:rsidRDefault="000C1C95" w:rsidP="00836CB3">
            <w:pPr>
              <w:jc w:val="right"/>
              <w:rPr>
                <w:rFonts w:ascii="Arial" w:hAnsi="Arial" w:cs="Arial"/>
                <w:sz w:val="18"/>
              </w:rPr>
            </w:pPr>
            <w:r w:rsidRPr="0047017F">
              <w:rPr>
                <w:rFonts w:ascii="Arial" w:hAnsi="Arial" w:cs="Arial"/>
                <w:sz w:val="18"/>
              </w:rPr>
              <w:t>8,627.00</w:t>
            </w:r>
          </w:p>
        </w:tc>
        <w:tc>
          <w:tcPr>
            <w:tcW w:w="1418" w:type="dxa"/>
            <w:shd w:val="clear" w:color="auto" w:fill="auto"/>
            <w:noWrap/>
            <w:vAlign w:val="center"/>
            <w:hideMark/>
          </w:tcPr>
          <w:p w14:paraId="4CFEC613" w14:textId="77777777" w:rsidR="000C1C95" w:rsidRPr="0047017F" w:rsidRDefault="000C1C95" w:rsidP="00836CB3">
            <w:pPr>
              <w:jc w:val="right"/>
              <w:rPr>
                <w:rFonts w:ascii="Arial" w:hAnsi="Arial" w:cs="Arial"/>
                <w:sz w:val="18"/>
              </w:rPr>
            </w:pPr>
            <w:r w:rsidRPr="0047017F">
              <w:rPr>
                <w:rFonts w:ascii="Arial" w:hAnsi="Arial" w:cs="Arial"/>
                <w:sz w:val="18"/>
              </w:rPr>
              <w:t>1,244</w:t>
            </w:r>
          </w:p>
        </w:tc>
        <w:tc>
          <w:tcPr>
            <w:tcW w:w="1559" w:type="dxa"/>
            <w:shd w:val="clear" w:color="auto" w:fill="auto"/>
            <w:noWrap/>
            <w:vAlign w:val="center"/>
            <w:hideMark/>
          </w:tcPr>
          <w:p w14:paraId="6501A563" w14:textId="77777777" w:rsidR="000C1C95" w:rsidRPr="0047017F" w:rsidRDefault="000C1C95" w:rsidP="00836CB3">
            <w:pPr>
              <w:jc w:val="right"/>
              <w:rPr>
                <w:rFonts w:ascii="Arial" w:hAnsi="Arial" w:cs="Arial"/>
                <w:sz w:val="18"/>
              </w:rPr>
            </w:pPr>
            <w:r w:rsidRPr="0047017F">
              <w:rPr>
                <w:rFonts w:ascii="Arial" w:hAnsi="Arial" w:cs="Arial"/>
                <w:sz w:val="18"/>
              </w:rPr>
              <w:t>116.20</w:t>
            </w:r>
          </w:p>
        </w:tc>
        <w:tc>
          <w:tcPr>
            <w:tcW w:w="1843" w:type="dxa"/>
            <w:shd w:val="clear" w:color="auto" w:fill="auto"/>
            <w:noWrap/>
            <w:vAlign w:val="center"/>
            <w:hideMark/>
          </w:tcPr>
          <w:p w14:paraId="0B32A2AE" w14:textId="77777777" w:rsidR="000C1C95" w:rsidRPr="0047017F" w:rsidRDefault="000C1C95" w:rsidP="00836CB3">
            <w:pPr>
              <w:jc w:val="right"/>
              <w:rPr>
                <w:rFonts w:ascii="Arial" w:hAnsi="Arial" w:cs="Arial"/>
                <w:sz w:val="18"/>
              </w:rPr>
            </w:pPr>
            <w:r w:rsidRPr="0047017F">
              <w:rPr>
                <w:rFonts w:ascii="Arial" w:hAnsi="Arial" w:cs="Arial"/>
                <w:sz w:val="18"/>
              </w:rPr>
              <w:t>80.20</w:t>
            </w:r>
          </w:p>
        </w:tc>
        <w:tc>
          <w:tcPr>
            <w:tcW w:w="1275" w:type="dxa"/>
            <w:shd w:val="clear" w:color="auto" w:fill="auto"/>
            <w:noWrap/>
            <w:vAlign w:val="center"/>
            <w:hideMark/>
          </w:tcPr>
          <w:p w14:paraId="3097AD47" w14:textId="77777777" w:rsidR="000C1C95" w:rsidRPr="0047017F" w:rsidRDefault="000C1C95" w:rsidP="00836CB3">
            <w:pPr>
              <w:jc w:val="right"/>
              <w:rPr>
                <w:rFonts w:ascii="Arial" w:hAnsi="Arial" w:cs="Arial"/>
                <w:sz w:val="18"/>
              </w:rPr>
            </w:pPr>
            <w:r w:rsidRPr="0047017F">
              <w:rPr>
                <w:rFonts w:ascii="Arial" w:hAnsi="Arial" w:cs="Arial"/>
                <w:sz w:val="18"/>
              </w:rPr>
              <w:t>4,778.90</w:t>
            </w:r>
          </w:p>
        </w:tc>
        <w:tc>
          <w:tcPr>
            <w:tcW w:w="1276" w:type="dxa"/>
            <w:shd w:val="clear" w:color="auto" w:fill="auto"/>
            <w:noWrap/>
            <w:vAlign w:val="center"/>
            <w:hideMark/>
          </w:tcPr>
          <w:p w14:paraId="45DF3BE2" w14:textId="77777777" w:rsidR="000C1C95" w:rsidRPr="0047017F" w:rsidRDefault="000C1C95" w:rsidP="00836CB3">
            <w:pPr>
              <w:jc w:val="right"/>
              <w:rPr>
                <w:rFonts w:ascii="Arial" w:hAnsi="Arial" w:cs="Arial"/>
                <w:sz w:val="18"/>
              </w:rPr>
            </w:pPr>
            <w:r w:rsidRPr="0047017F">
              <w:rPr>
                <w:rFonts w:ascii="Arial" w:hAnsi="Arial" w:cs="Arial"/>
                <w:sz w:val="18"/>
              </w:rPr>
              <w:t>144,218.20</w:t>
            </w:r>
          </w:p>
        </w:tc>
        <w:tc>
          <w:tcPr>
            <w:tcW w:w="1473" w:type="dxa"/>
            <w:shd w:val="clear" w:color="auto" w:fill="auto"/>
            <w:noWrap/>
            <w:vAlign w:val="center"/>
            <w:hideMark/>
          </w:tcPr>
          <w:p w14:paraId="200924B2" w14:textId="77777777" w:rsidR="000C1C95" w:rsidRPr="0047017F" w:rsidRDefault="000C1C95" w:rsidP="00836CB3">
            <w:pPr>
              <w:jc w:val="right"/>
              <w:rPr>
                <w:rFonts w:ascii="Arial" w:hAnsi="Arial" w:cs="Arial"/>
                <w:sz w:val="18"/>
              </w:rPr>
            </w:pPr>
            <w:r w:rsidRPr="0047017F">
              <w:rPr>
                <w:rFonts w:ascii="Arial" w:hAnsi="Arial" w:cs="Arial"/>
                <w:sz w:val="18"/>
              </w:rPr>
              <w:t>107,290.30</w:t>
            </w:r>
          </w:p>
        </w:tc>
      </w:tr>
      <w:tr w:rsidR="000C1C95" w:rsidRPr="0047017F" w14:paraId="7A7E1708" w14:textId="77777777" w:rsidTr="0047017F">
        <w:trPr>
          <w:trHeight w:val="264"/>
        </w:trPr>
        <w:tc>
          <w:tcPr>
            <w:tcW w:w="1238" w:type="dxa"/>
            <w:shd w:val="clear" w:color="auto" w:fill="auto"/>
            <w:noWrap/>
            <w:vAlign w:val="center"/>
            <w:hideMark/>
          </w:tcPr>
          <w:p w14:paraId="1552A461" w14:textId="77777777" w:rsidR="000C1C95" w:rsidRPr="0047017F" w:rsidRDefault="000C1C95" w:rsidP="000C1C95">
            <w:pPr>
              <w:rPr>
                <w:rFonts w:ascii="Arial" w:hAnsi="Arial" w:cs="Arial"/>
                <w:sz w:val="18"/>
              </w:rPr>
            </w:pPr>
            <w:r w:rsidRPr="0047017F">
              <w:rPr>
                <w:rFonts w:ascii="Arial" w:hAnsi="Arial" w:cs="Arial"/>
                <w:sz w:val="18"/>
              </w:rPr>
              <w:t xml:space="preserve">Serbia </w:t>
            </w:r>
          </w:p>
        </w:tc>
        <w:tc>
          <w:tcPr>
            <w:tcW w:w="1134" w:type="dxa"/>
            <w:shd w:val="clear" w:color="auto" w:fill="auto"/>
            <w:noWrap/>
            <w:vAlign w:val="center"/>
            <w:hideMark/>
          </w:tcPr>
          <w:p w14:paraId="1E78E03A" w14:textId="77777777" w:rsidR="000C1C95" w:rsidRPr="0047017F" w:rsidRDefault="000C1C95" w:rsidP="00836CB3">
            <w:pPr>
              <w:jc w:val="right"/>
              <w:rPr>
                <w:rFonts w:ascii="Arial" w:hAnsi="Arial" w:cs="Arial"/>
                <w:sz w:val="18"/>
              </w:rPr>
            </w:pPr>
            <w:r w:rsidRPr="0047017F">
              <w:rPr>
                <w:rFonts w:ascii="Arial" w:hAnsi="Arial" w:cs="Arial"/>
                <w:sz w:val="18"/>
              </w:rPr>
              <w:t>47</w:t>
            </w:r>
          </w:p>
        </w:tc>
        <w:tc>
          <w:tcPr>
            <w:tcW w:w="1559" w:type="dxa"/>
            <w:shd w:val="clear" w:color="auto" w:fill="auto"/>
            <w:noWrap/>
            <w:vAlign w:val="center"/>
            <w:hideMark/>
          </w:tcPr>
          <w:p w14:paraId="1E3ED362" w14:textId="77777777" w:rsidR="000C1C95" w:rsidRPr="0047017F" w:rsidRDefault="000C1C95" w:rsidP="00836CB3">
            <w:pPr>
              <w:jc w:val="right"/>
              <w:rPr>
                <w:rFonts w:ascii="Arial" w:hAnsi="Arial" w:cs="Arial"/>
                <w:sz w:val="18"/>
              </w:rPr>
            </w:pPr>
            <w:r w:rsidRPr="0047017F">
              <w:rPr>
                <w:rFonts w:ascii="Arial" w:hAnsi="Arial" w:cs="Arial"/>
                <w:sz w:val="18"/>
              </w:rPr>
              <w:t>5,328.10</w:t>
            </w:r>
          </w:p>
        </w:tc>
        <w:tc>
          <w:tcPr>
            <w:tcW w:w="1418" w:type="dxa"/>
            <w:shd w:val="clear" w:color="auto" w:fill="auto"/>
            <w:noWrap/>
            <w:vAlign w:val="center"/>
            <w:hideMark/>
          </w:tcPr>
          <w:p w14:paraId="6B4026EC" w14:textId="77777777" w:rsidR="000C1C95" w:rsidRPr="0047017F" w:rsidRDefault="000C1C95" w:rsidP="00836CB3">
            <w:pPr>
              <w:jc w:val="right"/>
              <w:rPr>
                <w:rFonts w:ascii="Arial" w:hAnsi="Arial" w:cs="Arial"/>
                <w:sz w:val="18"/>
              </w:rPr>
            </w:pPr>
            <w:r w:rsidRPr="0047017F">
              <w:rPr>
                <w:rFonts w:ascii="Arial" w:hAnsi="Arial" w:cs="Arial"/>
                <w:sz w:val="18"/>
              </w:rPr>
              <w:t>38</w:t>
            </w:r>
          </w:p>
        </w:tc>
        <w:tc>
          <w:tcPr>
            <w:tcW w:w="1559" w:type="dxa"/>
            <w:shd w:val="clear" w:color="auto" w:fill="auto"/>
            <w:noWrap/>
            <w:vAlign w:val="center"/>
            <w:hideMark/>
          </w:tcPr>
          <w:p w14:paraId="17222126" w14:textId="77777777" w:rsidR="000C1C95" w:rsidRPr="0047017F" w:rsidRDefault="000C1C95" w:rsidP="00836CB3">
            <w:pPr>
              <w:jc w:val="right"/>
              <w:rPr>
                <w:rFonts w:ascii="Arial" w:hAnsi="Arial" w:cs="Arial"/>
                <w:sz w:val="18"/>
              </w:rPr>
            </w:pPr>
            <w:r w:rsidRPr="0047017F">
              <w:rPr>
                <w:rFonts w:ascii="Arial" w:hAnsi="Arial" w:cs="Arial"/>
                <w:sz w:val="18"/>
              </w:rPr>
              <w:t>51.90</w:t>
            </w:r>
          </w:p>
        </w:tc>
        <w:tc>
          <w:tcPr>
            <w:tcW w:w="1843" w:type="dxa"/>
            <w:shd w:val="clear" w:color="auto" w:fill="auto"/>
            <w:noWrap/>
            <w:vAlign w:val="center"/>
            <w:hideMark/>
          </w:tcPr>
          <w:p w14:paraId="135E7A8F" w14:textId="77777777" w:rsidR="000C1C95" w:rsidRPr="0047017F" w:rsidRDefault="000C1C95" w:rsidP="00836CB3">
            <w:pPr>
              <w:jc w:val="right"/>
              <w:rPr>
                <w:rFonts w:ascii="Arial" w:hAnsi="Arial" w:cs="Arial"/>
                <w:sz w:val="18"/>
              </w:rPr>
            </w:pPr>
            <w:r w:rsidRPr="0047017F">
              <w:rPr>
                <w:rFonts w:ascii="Arial" w:hAnsi="Arial" w:cs="Arial"/>
                <w:sz w:val="18"/>
              </w:rPr>
              <w:t>69.10</w:t>
            </w:r>
          </w:p>
        </w:tc>
        <w:tc>
          <w:tcPr>
            <w:tcW w:w="1275" w:type="dxa"/>
            <w:shd w:val="clear" w:color="auto" w:fill="auto"/>
            <w:noWrap/>
            <w:vAlign w:val="center"/>
            <w:hideMark/>
          </w:tcPr>
          <w:p w14:paraId="2A908BEE" w14:textId="77777777" w:rsidR="000C1C95" w:rsidRPr="0047017F" w:rsidRDefault="000C1C95" w:rsidP="00836CB3">
            <w:pPr>
              <w:jc w:val="right"/>
              <w:rPr>
                <w:rFonts w:ascii="Arial" w:hAnsi="Arial" w:cs="Arial"/>
                <w:sz w:val="18"/>
              </w:rPr>
            </w:pPr>
            <w:r w:rsidRPr="0047017F">
              <w:rPr>
                <w:rFonts w:ascii="Arial" w:hAnsi="Arial" w:cs="Arial"/>
                <w:sz w:val="18"/>
              </w:rPr>
              <w:t>3,794.10</w:t>
            </w:r>
          </w:p>
        </w:tc>
        <w:tc>
          <w:tcPr>
            <w:tcW w:w="1276" w:type="dxa"/>
            <w:shd w:val="clear" w:color="auto" w:fill="auto"/>
            <w:noWrap/>
            <w:vAlign w:val="center"/>
            <w:hideMark/>
          </w:tcPr>
          <w:p w14:paraId="0654E3FC" w14:textId="77777777" w:rsidR="000C1C95" w:rsidRPr="0047017F" w:rsidRDefault="000C1C95" w:rsidP="00836CB3">
            <w:pPr>
              <w:jc w:val="right"/>
              <w:rPr>
                <w:rFonts w:ascii="Arial" w:hAnsi="Arial" w:cs="Arial"/>
                <w:sz w:val="18"/>
              </w:rPr>
            </w:pPr>
            <w:r w:rsidRPr="0047017F">
              <w:rPr>
                <w:rFonts w:ascii="Arial" w:hAnsi="Arial" w:cs="Arial"/>
                <w:sz w:val="18"/>
              </w:rPr>
              <w:t>7,074.10</w:t>
            </w:r>
          </w:p>
        </w:tc>
        <w:tc>
          <w:tcPr>
            <w:tcW w:w="1473" w:type="dxa"/>
            <w:shd w:val="clear" w:color="auto" w:fill="auto"/>
            <w:noWrap/>
            <w:vAlign w:val="center"/>
            <w:hideMark/>
          </w:tcPr>
          <w:p w14:paraId="01BAE8B5" w14:textId="77777777" w:rsidR="000C1C95" w:rsidRPr="0047017F" w:rsidRDefault="000C1C95" w:rsidP="00836CB3">
            <w:pPr>
              <w:jc w:val="right"/>
              <w:rPr>
                <w:rFonts w:ascii="Arial" w:hAnsi="Arial" w:cs="Arial"/>
                <w:sz w:val="18"/>
              </w:rPr>
            </w:pPr>
            <w:r w:rsidRPr="0047017F">
              <w:rPr>
                <w:rFonts w:ascii="Arial" w:hAnsi="Arial" w:cs="Arial"/>
                <w:sz w:val="18"/>
              </w:rPr>
              <w:t>4,112.00</w:t>
            </w:r>
          </w:p>
        </w:tc>
      </w:tr>
      <w:tr w:rsidR="000C1C95" w:rsidRPr="0047017F" w14:paraId="6612C8A0" w14:textId="77777777" w:rsidTr="0047017F">
        <w:trPr>
          <w:trHeight w:val="264"/>
        </w:trPr>
        <w:tc>
          <w:tcPr>
            <w:tcW w:w="1238" w:type="dxa"/>
            <w:shd w:val="clear" w:color="auto" w:fill="auto"/>
            <w:noWrap/>
            <w:vAlign w:val="center"/>
            <w:hideMark/>
          </w:tcPr>
          <w:p w14:paraId="52467F59" w14:textId="77777777" w:rsidR="000C1C95" w:rsidRPr="0047017F" w:rsidRDefault="000C1C95" w:rsidP="000C1C95">
            <w:pPr>
              <w:rPr>
                <w:rFonts w:ascii="Arial" w:hAnsi="Arial" w:cs="Arial"/>
                <w:sz w:val="18"/>
              </w:rPr>
            </w:pPr>
            <w:r w:rsidRPr="0047017F">
              <w:rPr>
                <w:rFonts w:ascii="Arial" w:hAnsi="Arial" w:cs="Arial"/>
                <w:sz w:val="18"/>
              </w:rPr>
              <w:t xml:space="preserve">Slovakia </w:t>
            </w:r>
          </w:p>
        </w:tc>
        <w:tc>
          <w:tcPr>
            <w:tcW w:w="1134" w:type="dxa"/>
            <w:shd w:val="clear" w:color="auto" w:fill="auto"/>
            <w:noWrap/>
            <w:vAlign w:val="center"/>
            <w:hideMark/>
          </w:tcPr>
          <w:p w14:paraId="75906A65" w14:textId="77777777" w:rsidR="000C1C95" w:rsidRPr="0047017F" w:rsidRDefault="000C1C95" w:rsidP="00836CB3">
            <w:pPr>
              <w:jc w:val="right"/>
              <w:rPr>
                <w:rFonts w:ascii="Arial" w:hAnsi="Arial" w:cs="Arial"/>
                <w:sz w:val="18"/>
              </w:rPr>
            </w:pPr>
            <w:r w:rsidRPr="0047017F">
              <w:rPr>
                <w:rFonts w:ascii="Arial" w:hAnsi="Arial" w:cs="Arial"/>
                <w:sz w:val="18"/>
              </w:rPr>
              <w:t>33</w:t>
            </w:r>
          </w:p>
        </w:tc>
        <w:tc>
          <w:tcPr>
            <w:tcW w:w="1559" w:type="dxa"/>
            <w:shd w:val="clear" w:color="auto" w:fill="auto"/>
            <w:noWrap/>
            <w:vAlign w:val="center"/>
            <w:hideMark/>
          </w:tcPr>
          <w:p w14:paraId="404EA891" w14:textId="77777777" w:rsidR="000C1C95" w:rsidRPr="0047017F" w:rsidRDefault="000C1C95" w:rsidP="00836CB3">
            <w:pPr>
              <w:jc w:val="right"/>
              <w:rPr>
                <w:rFonts w:ascii="Arial" w:hAnsi="Arial" w:cs="Arial"/>
                <w:sz w:val="18"/>
              </w:rPr>
            </w:pPr>
            <w:r w:rsidRPr="0047017F">
              <w:rPr>
                <w:rFonts w:ascii="Arial" w:hAnsi="Arial" w:cs="Arial"/>
                <w:sz w:val="18"/>
              </w:rPr>
              <w:t>16,514.20</w:t>
            </w:r>
          </w:p>
        </w:tc>
        <w:tc>
          <w:tcPr>
            <w:tcW w:w="1418" w:type="dxa"/>
            <w:shd w:val="clear" w:color="auto" w:fill="auto"/>
            <w:noWrap/>
            <w:vAlign w:val="center"/>
            <w:hideMark/>
          </w:tcPr>
          <w:p w14:paraId="24A59087" w14:textId="77777777" w:rsidR="000C1C95" w:rsidRPr="0047017F" w:rsidRDefault="000C1C95" w:rsidP="00836CB3">
            <w:pPr>
              <w:jc w:val="right"/>
              <w:rPr>
                <w:rFonts w:ascii="Arial" w:hAnsi="Arial" w:cs="Arial"/>
                <w:sz w:val="18"/>
              </w:rPr>
            </w:pPr>
            <w:r w:rsidRPr="0047017F">
              <w:rPr>
                <w:rFonts w:ascii="Arial" w:hAnsi="Arial" w:cs="Arial"/>
                <w:sz w:val="18"/>
              </w:rPr>
              <w:t>90</w:t>
            </w:r>
          </w:p>
        </w:tc>
        <w:tc>
          <w:tcPr>
            <w:tcW w:w="1559" w:type="dxa"/>
            <w:shd w:val="clear" w:color="auto" w:fill="auto"/>
            <w:noWrap/>
            <w:vAlign w:val="center"/>
            <w:hideMark/>
          </w:tcPr>
          <w:p w14:paraId="7EA65A50" w14:textId="77777777" w:rsidR="000C1C95" w:rsidRPr="0047017F" w:rsidRDefault="000C1C95" w:rsidP="00836CB3">
            <w:pPr>
              <w:jc w:val="right"/>
              <w:rPr>
                <w:rFonts w:ascii="Arial" w:hAnsi="Arial" w:cs="Arial"/>
                <w:sz w:val="18"/>
              </w:rPr>
            </w:pPr>
            <w:r w:rsidRPr="0047017F">
              <w:rPr>
                <w:rFonts w:ascii="Arial" w:hAnsi="Arial" w:cs="Arial"/>
                <w:sz w:val="18"/>
              </w:rPr>
              <w:t>83.10</w:t>
            </w:r>
          </w:p>
        </w:tc>
        <w:tc>
          <w:tcPr>
            <w:tcW w:w="1843" w:type="dxa"/>
            <w:shd w:val="clear" w:color="auto" w:fill="auto"/>
            <w:noWrap/>
            <w:vAlign w:val="center"/>
            <w:hideMark/>
          </w:tcPr>
          <w:p w14:paraId="4EE3B602" w14:textId="77777777" w:rsidR="000C1C95" w:rsidRPr="0047017F" w:rsidRDefault="000C1C95" w:rsidP="00836CB3">
            <w:pPr>
              <w:jc w:val="right"/>
              <w:rPr>
                <w:rFonts w:ascii="Arial" w:hAnsi="Arial" w:cs="Arial"/>
                <w:sz w:val="18"/>
              </w:rPr>
            </w:pPr>
            <w:r w:rsidRPr="0047017F">
              <w:rPr>
                <w:rFonts w:ascii="Arial" w:hAnsi="Arial" w:cs="Arial"/>
                <w:sz w:val="18"/>
              </w:rPr>
              <w:t>72.90</w:t>
            </w:r>
          </w:p>
        </w:tc>
        <w:tc>
          <w:tcPr>
            <w:tcW w:w="1275" w:type="dxa"/>
            <w:shd w:val="clear" w:color="auto" w:fill="auto"/>
            <w:noWrap/>
            <w:vAlign w:val="center"/>
            <w:hideMark/>
          </w:tcPr>
          <w:p w14:paraId="10CA49D0" w14:textId="77777777" w:rsidR="000C1C95" w:rsidRPr="0047017F" w:rsidRDefault="000C1C95" w:rsidP="00836CB3">
            <w:pPr>
              <w:jc w:val="right"/>
              <w:rPr>
                <w:rFonts w:ascii="Arial" w:hAnsi="Arial" w:cs="Arial"/>
                <w:sz w:val="18"/>
              </w:rPr>
            </w:pPr>
            <w:r w:rsidRPr="0047017F">
              <w:rPr>
                <w:rFonts w:ascii="Arial" w:hAnsi="Arial" w:cs="Arial"/>
                <w:sz w:val="18"/>
              </w:rPr>
              <w:t>9,532.90</w:t>
            </w:r>
          </w:p>
        </w:tc>
        <w:tc>
          <w:tcPr>
            <w:tcW w:w="1276" w:type="dxa"/>
            <w:shd w:val="clear" w:color="auto" w:fill="auto"/>
            <w:noWrap/>
            <w:vAlign w:val="center"/>
            <w:hideMark/>
          </w:tcPr>
          <w:p w14:paraId="3B7E774C" w14:textId="77777777" w:rsidR="000C1C95" w:rsidRPr="0047017F" w:rsidRDefault="000C1C95" w:rsidP="00836CB3">
            <w:pPr>
              <w:jc w:val="right"/>
              <w:rPr>
                <w:rFonts w:ascii="Arial" w:hAnsi="Arial" w:cs="Arial"/>
                <w:sz w:val="18"/>
              </w:rPr>
            </w:pPr>
            <w:r w:rsidRPr="0047017F">
              <w:rPr>
                <w:rFonts w:ascii="Arial" w:hAnsi="Arial" w:cs="Arial"/>
                <w:sz w:val="18"/>
              </w:rPr>
              <w:t>5,423.20</w:t>
            </w:r>
          </w:p>
        </w:tc>
        <w:tc>
          <w:tcPr>
            <w:tcW w:w="1473" w:type="dxa"/>
            <w:shd w:val="clear" w:color="auto" w:fill="auto"/>
            <w:noWrap/>
            <w:vAlign w:val="center"/>
            <w:hideMark/>
          </w:tcPr>
          <w:p w14:paraId="7DB36411" w14:textId="77777777" w:rsidR="000C1C95" w:rsidRPr="0047017F" w:rsidRDefault="000C1C95" w:rsidP="00836CB3">
            <w:pPr>
              <w:jc w:val="right"/>
              <w:rPr>
                <w:rFonts w:ascii="Arial" w:hAnsi="Arial" w:cs="Arial"/>
                <w:sz w:val="18"/>
              </w:rPr>
            </w:pPr>
            <w:r w:rsidRPr="0047017F">
              <w:rPr>
                <w:rFonts w:ascii="Arial" w:hAnsi="Arial" w:cs="Arial"/>
                <w:sz w:val="18"/>
              </w:rPr>
              <w:t>2,944.00</w:t>
            </w:r>
          </w:p>
        </w:tc>
      </w:tr>
      <w:tr w:rsidR="000C1C95" w:rsidRPr="0047017F" w14:paraId="0937217A" w14:textId="77777777" w:rsidTr="0047017F">
        <w:trPr>
          <w:trHeight w:val="264"/>
        </w:trPr>
        <w:tc>
          <w:tcPr>
            <w:tcW w:w="1238" w:type="dxa"/>
            <w:shd w:val="clear" w:color="auto" w:fill="auto"/>
            <w:noWrap/>
            <w:vAlign w:val="center"/>
            <w:hideMark/>
          </w:tcPr>
          <w:p w14:paraId="79A7840E" w14:textId="77777777" w:rsidR="000C1C95" w:rsidRPr="0047017F" w:rsidRDefault="000C1C95" w:rsidP="000C1C95">
            <w:pPr>
              <w:rPr>
                <w:rFonts w:ascii="Arial" w:hAnsi="Arial" w:cs="Arial"/>
                <w:sz w:val="18"/>
              </w:rPr>
            </w:pPr>
            <w:r w:rsidRPr="0047017F">
              <w:rPr>
                <w:rFonts w:ascii="Arial" w:hAnsi="Arial" w:cs="Arial"/>
                <w:sz w:val="18"/>
              </w:rPr>
              <w:t xml:space="preserve">Slovenia </w:t>
            </w:r>
          </w:p>
        </w:tc>
        <w:tc>
          <w:tcPr>
            <w:tcW w:w="1134" w:type="dxa"/>
            <w:shd w:val="clear" w:color="auto" w:fill="auto"/>
            <w:noWrap/>
            <w:vAlign w:val="center"/>
            <w:hideMark/>
          </w:tcPr>
          <w:p w14:paraId="2A81F670" w14:textId="77777777" w:rsidR="000C1C95" w:rsidRPr="0047017F" w:rsidRDefault="000C1C95" w:rsidP="00836CB3">
            <w:pPr>
              <w:jc w:val="right"/>
              <w:rPr>
                <w:rFonts w:ascii="Arial" w:hAnsi="Arial" w:cs="Arial"/>
                <w:sz w:val="18"/>
              </w:rPr>
            </w:pPr>
            <w:r w:rsidRPr="0047017F">
              <w:rPr>
                <w:rFonts w:ascii="Arial" w:hAnsi="Arial" w:cs="Arial"/>
                <w:sz w:val="18"/>
              </w:rPr>
              <w:t>30</w:t>
            </w:r>
          </w:p>
        </w:tc>
        <w:tc>
          <w:tcPr>
            <w:tcW w:w="1559" w:type="dxa"/>
            <w:shd w:val="clear" w:color="auto" w:fill="auto"/>
            <w:noWrap/>
            <w:vAlign w:val="center"/>
            <w:hideMark/>
          </w:tcPr>
          <w:p w14:paraId="56D7E926" w14:textId="77777777" w:rsidR="000C1C95" w:rsidRPr="0047017F" w:rsidRDefault="000C1C95" w:rsidP="00836CB3">
            <w:pPr>
              <w:jc w:val="right"/>
              <w:rPr>
                <w:rFonts w:ascii="Arial" w:hAnsi="Arial" w:cs="Arial"/>
                <w:sz w:val="18"/>
              </w:rPr>
            </w:pPr>
            <w:r w:rsidRPr="0047017F">
              <w:rPr>
                <w:rFonts w:ascii="Arial" w:hAnsi="Arial" w:cs="Arial"/>
                <w:sz w:val="18"/>
              </w:rPr>
              <w:t>21,294.70</w:t>
            </w:r>
          </w:p>
        </w:tc>
        <w:tc>
          <w:tcPr>
            <w:tcW w:w="1418" w:type="dxa"/>
            <w:shd w:val="clear" w:color="auto" w:fill="auto"/>
            <w:noWrap/>
            <w:vAlign w:val="center"/>
            <w:hideMark/>
          </w:tcPr>
          <w:p w14:paraId="34183511" w14:textId="77777777" w:rsidR="000C1C95" w:rsidRPr="0047017F" w:rsidRDefault="000C1C95" w:rsidP="00836CB3">
            <w:pPr>
              <w:jc w:val="right"/>
              <w:rPr>
                <w:rFonts w:ascii="Arial" w:hAnsi="Arial" w:cs="Arial"/>
                <w:sz w:val="18"/>
              </w:rPr>
            </w:pPr>
            <w:r w:rsidRPr="0047017F">
              <w:rPr>
                <w:rFonts w:ascii="Arial" w:hAnsi="Arial" w:cs="Arial"/>
                <w:sz w:val="18"/>
              </w:rPr>
              <w:t>44</w:t>
            </w:r>
          </w:p>
        </w:tc>
        <w:tc>
          <w:tcPr>
            <w:tcW w:w="1559" w:type="dxa"/>
            <w:shd w:val="clear" w:color="auto" w:fill="auto"/>
            <w:noWrap/>
            <w:vAlign w:val="center"/>
            <w:hideMark/>
          </w:tcPr>
          <w:p w14:paraId="1FB893FC" w14:textId="77777777" w:rsidR="000C1C95" w:rsidRPr="0047017F" w:rsidRDefault="000C1C95" w:rsidP="00836CB3">
            <w:pPr>
              <w:jc w:val="right"/>
              <w:rPr>
                <w:rFonts w:ascii="Arial" w:hAnsi="Arial" w:cs="Arial"/>
                <w:sz w:val="18"/>
              </w:rPr>
            </w:pPr>
            <w:r w:rsidRPr="0047017F">
              <w:rPr>
                <w:rFonts w:ascii="Arial" w:hAnsi="Arial" w:cs="Arial"/>
                <w:sz w:val="18"/>
              </w:rPr>
              <w:t>126.60</w:t>
            </w:r>
          </w:p>
        </w:tc>
        <w:tc>
          <w:tcPr>
            <w:tcW w:w="1843" w:type="dxa"/>
            <w:shd w:val="clear" w:color="auto" w:fill="auto"/>
            <w:noWrap/>
            <w:vAlign w:val="center"/>
            <w:hideMark/>
          </w:tcPr>
          <w:p w14:paraId="0711F6FA" w14:textId="77777777" w:rsidR="000C1C95" w:rsidRPr="0047017F" w:rsidRDefault="000C1C95" w:rsidP="00836CB3">
            <w:pPr>
              <w:jc w:val="right"/>
              <w:rPr>
                <w:rFonts w:ascii="Arial" w:hAnsi="Arial" w:cs="Arial"/>
                <w:sz w:val="18"/>
              </w:rPr>
            </w:pPr>
            <w:r w:rsidRPr="0047017F">
              <w:rPr>
                <w:rFonts w:ascii="Arial" w:hAnsi="Arial" w:cs="Arial"/>
                <w:sz w:val="18"/>
              </w:rPr>
              <w:t>103.20</w:t>
            </w:r>
          </w:p>
        </w:tc>
        <w:tc>
          <w:tcPr>
            <w:tcW w:w="1275" w:type="dxa"/>
            <w:shd w:val="clear" w:color="auto" w:fill="auto"/>
            <w:noWrap/>
            <w:vAlign w:val="center"/>
            <w:hideMark/>
          </w:tcPr>
          <w:p w14:paraId="573C92C9" w14:textId="77777777" w:rsidR="000C1C95" w:rsidRPr="0047017F" w:rsidRDefault="000C1C95" w:rsidP="00836CB3">
            <w:pPr>
              <w:jc w:val="right"/>
              <w:rPr>
                <w:rFonts w:ascii="Arial" w:hAnsi="Arial" w:cs="Arial"/>
                <w:sz w:val="18"/>
              </w:rPr>
            </w:pPr>
            <w:r w:rsidRPr="0047017F">
              <w:rPr>
                <w:rFonts w:ascii="Arial" w:hAnsi="Arial" w:cs="Arial"/>
                <w:sz w:val="18"/>
              </w:rPr>
              <w:t>12,761.70</w:t>
            </w:r>
          </w:p>
        </w:tc>
        <w:tc>
          <w:tcPr>
            <w:tcW w:w="1276" w:type="dxa"/>
            <w:shd w:val="clear" w:color="auto" w:fill="auto"/>
            <w:noWrap/>
            <w:vAlign w:val="center"/>
            <w:hideMark/>
          </w:tcPr>
          <w:p w14:paraId="49D80B2D" w14:textId="77777777" w:rsidR="000C1C95" w:rsidRPr="0047017F" w:rsidRDefault="000C1C95" w:rsidP="00836CB3">
            <w:pPr>
              <w:jc w:val="right"/>
              <w:rPr>
                <w:rFonts w:ascii="Arial" w:hAnsi="Arial" w:cs="Arial"/>
                <w:sz w:val="18"/>
              </w:rPr>
            </w:pPr>
            <w:r w:rsidRPr="0047017F">
              <w:rPr>
                <w:rFonts w:ascii="Arial" w:hAnsi="Arial" w:cs="Arial"/>
                <w:sz w:val="18"/>
              </w:rPr>
              <w:t>2,064.30</w:t>
            </w:r>
          </w:p>
        </w:tc>
        <w:tc>
          <w:tcPr>
            <w:tcW w:w="1473" w:type="dxa"/>
            <w:shd w:val="clear" w:color="auto" w:fill="auto"/>
            <w:noWrap/>
            <w:vAlign w:val="center"/>
            <w:hideMark/>
          </w:tcPr>
          <w:p w14:paraId="0031953E" w14:textId="77777777" w:rsidR="000C1C95" w:rsidRPr="0047017F" w:rsidRDefault="000C1C95" w:rsidP="00836CB3">
            <w:pPr>
              <w:jc w:val="right"/>
              <w:rPr>
                <w:rFonts w:ascii="Arial" w:hAnsi="Arial" w:cs="Arial"/>
                <w:sz w:val="18"/>
              </w:rPr>
            </w:pPr>
            <w:r w:rsidRPr="0047017F">
              <w:rPr>
                <w:rFonts w:ascii="Arial" w:hAnsi="Arial" w:cs="Arial"/>
                <w:sz w:val="18"/>
              </w:rPr>
              <w:t>1,029.20</w:t>
            </w:r>
          </w:p>
        </w:tc>
      </w:tr>
      <w:tr w:rsidR="000C1C95" w:rsidRPr="0047017F" w14:paraId="04FCC16F" w14:textId="77777777" w:rsidTr="0047017F">
        <w:trPr>
          <w:trHeight w:val="264"/>
        </w:trPr>
        <w:tc>
          <w:tcPr>
            <w:tcW w:w="1238" w:type="dxa"/>
            <w:shd w:val="clear" w:color="auto" w:fill="auto"/>
            <w:noWrap/>
            <w:vAlign w:val="center"/>
            <w:hideMark/>
          </w:tcPr>
          <w:p w14:paraId="230BF068" w14:textId="77777777" w:rsidR="000C1C95" w:rsidRPr="0047017F" w:rsidRDefault="000C1C95" w:rsidP="000C1C95">
            <w:pPr>
              <w:rPr>
                <w:rFonts w:ascii="Arial" w:hAnsi="Arial" w:cs="Arial"/>
                <w:sz w:val="18"/>
              </w:rPr>
            </w:pPr>
            <w:r w:rsidRPr="0047017F">
              <w:rPr>
                <w:rFonts w:ascii="Arial" w:hAnsi="Arial" w:cs="Arial"/>
                <w:sz w:val="18"/>
              </w:rPr>
              <w:t xml:space="preserve">Spain </w:t>
            </w:r>
          </w:p>
        </w:tc>
        <w:tc>
          <w:tcPr>
            <w:tcW w:w="1134" w:type="dxa"/>
            <w:shd w:val="clear" w:color="auto" w:fill="auto"/>
            <w:noWrap/>
            <w:vAlign w:val="center"/>
            <w:hideMark/>
          </w:tcPr>
          <w:p w14:paraId="1C1298A5" w14:textId="77777777" w:rsidR="000C1C95" w:rsidRPr="0047017F" w:rsidRDefault="000C1C95" w:rsidP="00836CB3">
            <w:pPr>
              <w:jc w:val="right"/>
              <w:rPr>
                <w:rFonts w:ascii="Arial" w:hAnsi="Arial" w:cs="Arial"/>
                <w:sz w:val="18"/>
              </w:rPr>
            </w:pPr>
            <w:r w:rsidRPr="0047017F">
              <w:rPr>
                <w:rFonts w:ascii="Arial" w:hAnsi="Arial" w:cs="Arial"/>
                <w:sz w:val="18"/>
              </w:rPr>
              <w:t>32</w:t>
            </w:r>
          </w:p>
        </w:tc>
        <w:tc>
          <w:tcPr>
            <w:tcW w:w="1559" w:type="dxa"/>
            <w:shd w:val="clear" w:color="auto" w:fill="auto"/>
            <w:noWrap/>
            <w:vAlign w:val="center"/>
            <w:hideMark/>
          </w:tcPr>
          <w:p w14:paraId="1076B87D" w14:textId="77777777" w:rsidR="000C1C95" w:rsidRPr="0047017F" w:rsidRDefault="000C1C95" w:rsidP="00836CB3">
            <w:pPr>
              <w:jc w:val="right"/>
              <w:rPr>
                <w:rFonts w:ascii="Arial" w:hAnsi="Arial" w:cs="Arial"/>
                <w:sz w:val="18"/>
              </w:rPr>
            </w:pPr>
            <w:r w:rsidRPr="0047017F">
              <w:rPr>
                <w:rFonts w:ascii="Arial" w:hAnsi="Arial" w:cs="Arial"/>
                <w:sz w:val="18"/>
              </w:rPr>
              <w:t>26,578.50</w:t>
            </w:r>
          </w:p>
        </w:tc>
        <w:tc>
          <w:tcPr>
            <w:tcW w:w="1418" w:type="dxa"/>
            <w:shd w:val="clear" w:color="auto" w:fill="auto"/>
            <w:noWrap/>
            <w:vAlign w:val="center"/>
            <w:hideMark/>
          </w:tcPr>
          <w:p w14:paraId="35905AA1" w14:textId="77777777" w:rsidR="000C1C95" w:rsidRPr="0047017F" w:rsidRDefault="000C1C95" w:rsidP="00836CB3">
            <w:pPr>
              <w:jc w:val="right"/>
              <w:rPr>
                <w:rFonts w:ascii="Arial" w:hAnsi="Arial" w:cs="Arial"/>
                <w:sz w:val="18"/>
              </w:rPr>
            </w:pPr>
            <w:r w:rsidRPr="0047017F">
              <w:rPr>
                <w:rFonts w:ascii="Arial" w:hAnsi="Arial" w:cs="Arial"/>
                <w:sz w:val="18"/>
              </w:rPr>
              <w:t>1,233</w:t>
            </w:r>
          </w:p>
        </w:tc>
        <w:tc>
          <w:tcPr>
            <w:tcW w:w="1559" w:type="dxa"/>
            <w:shd w:val="clear" w:color="auto" w:fill="auto"/>
            <w:noWrap/>
            <w:vAlign w:val="center"/>
            <w:hideMark/>
          </w:tcPr>
          <w:p w14:paraId="7DF1B20E" w14:textId="77777777" w:rsidR="000C1C95" w:rsidRPr="0047017F" w:rsidRDefault="000C1C95" w:rsidP="00836CB3">
            <w:pPr>
              <w:jc w:val="right"/>
              <w:rPr>
                <w:rFonts w:ascii="Arial" w:hAnsi="Arial" w:cs="Arial"/>
                <w:sz w:val="18"/>
              </w:rPr>
            </w:pPr>
            <w:r w:rsidRPr="0047017F">
              <w:rPr>
                <w:rFonts w:ascii="Arial" w:hAnsi="Arial" w:cs="Arial"/>
                <w:sz w:val="18"/>
              </w:rPr>
              <w:t>170.10</w:t>
            </w:r>
          </w:p>
        </w:tc>
        <w:tc>
          <w:tcPr>
            <w:tcW w:w="1843" w:type="dxa"/>
            <w:shd w:val="clear" w:color="auto" w:fill="auto"/>
            <w:noWrap/>
            <w:vAlign w:val="center"/>
            <w:hideMark/>
          </w:tcPr>
          <w:p w14:paraId="3C48CA42" w14:textId="77777777" w:rsidR="000C1C95" w:rsidRPr="0047017F" w:rsidRDefault="000C1C95" w:rsidP="00836CB3">
            <w:pPr>
              <w:jc w:val="right"/>
              <w:rPr>
                <w:rFonts w:ascii="Arial" w:hAnsi="Arial" w:cs="Arial"/>
                <w:sz w:val="18"/>
              </w:rPr>
            </w:pPr>
            <w:r w:rsidRPr="0047017F">
              <w:rPr>
                <w:rFonts w:ascii="Arial" w:hAnsi="Arial" w:cs="Arial"/>
                <w:sz w:val="18"/>
              </w:rPr>
              <w:t>117.10</w:t>
            </w:r>
          </w:p>
        </w:tc>
        <w:tc>
          <w:tcPr>
            <w:tcW w:w="1275" w:type="dxa"/>
            <w:shd w:val="clear" w:color="auto" w:fill="auto"/>
            <w:noWrap/>
            <w:vAlign w:val="center"/>
            <w:hideMark/>
          </w:tcPr>
          <w:p w14:paraId="4F841387" w14:textId="77777777" w:rsidR="000C1C95" w:rsidRPr="0047017F" w:rsidRDefault="000C1C95" w:rsidP="00836CB3">
            <w:pPr>
              <w:jc w:val="right"/>
              <w:rPr>
                <w:rFonts w:ascii="Arial" w:hAnsi="Arial" w:cs="Arial"/>
                <w:sz w:val="18"/>
              </w:rPr>
            </w:pPr>
            <w:r w:rsidRPr="0047017F">
              <w:rPr>
                <w:rFonts w:ascii="Arial" w:hAnsi="Arial" w:cs="Arial"/>
                <w:sz w:val="18"/>
              </w:rPr>
              <w:t>16,474.00</w:t>
            </w:r>
          </w:p>
        </w:tc>
        <w:tc>
          <w:tcPr>
            <w:tcW w:w="1276" w:type="dxa"/>
            <w:shd w:val="clear" w:color="auto" w:fill="auto"/>
            <w:noWrap/>
            <w:vAlign w:val="center"/>
            <w:hideMark/>
          </w:tcPr>
          <w:p w14:paraId="18EDFBCF" w14:textId="77777777" w:rsidR="000C1C95" w:rsidRPr="0047017F" w:rsidRDefault="000C1C95" w:rsidP="00836CB3">
            <w:pPr>
              <w:jc w:val="right"/>
              <w:rPr>
                <w:rFonts w:ascii="Arial" w:hAnsi="Arial" w:cs="Arial"/>
                <w:sz w:val="18"/>
              </w:rPr>
            </w:pPr>
            <w:r w:rsidRPr="0047017F">
              <w:rPr>
                <w:rFonts w:ascii="Arial" w:hAnsi="Arial" w:cs="Arial"/>
                <w:sz w:val="18"/>
              </w:rPr>
              <w:t>46,374.40</w:t>
            </w:r>
          </w:p>
        </w:tc>
        <w:tc>
          <w:tcPr>
            <w:tcW w:w="1473" w:type="dxa"/>
            <w:shd w:val="clear" w:color="auto" w:fill="auto"/>
            <w:noWrap/>
            <w:vAlign w:val="center"/>
            <w:hideMark/>
          </w:tcPr>
          <w:p w14:paraId="7CE1FEE6" w14:textId="77777777" w:rsidR="000C1C95" w:rsidRPr="0047017F" w:rsidRDefault="000C1C95" w:rsidP="00836CB3">
            <w:pPr>
              <w:jc w:val="right"/>
              <w:rPr>
                <w:rFonts w:ascii="Arial" w:hAnsi="Arial" w:cs="Arial"/>
                <w:sz w:val="18"/>
              </w:rPr>
            </w:pPr>
            <w:r w:rsidRPr="0047017F">
              <w:rPr>
                <w:rFonts w:ascii="Arial" w:hAnsi="Arial" w:cs="Arial"/>
                <w:sz w:val="18"/>
              </w:rPr>
              <w:t>36,251.20</w:t>
            </w:r>
          </w:p>
        </w:tc>
      </w:tr>
      <w:tr w:rsidR="000C1C95" w:rsidRPr="0047017F" w14:paraId="47308013" w14:textId="77777777" w:rsidTr="0047017F">
        <w:trPr>
          <w:trHeight w:val="264"/>
        </w:trPr>
        <w:tc>
          <w:tcPr>
            <w:tcW w:w="1238" w:type="dxa"/>
            <w:shd w:val="clear" w:color="auto" w:fill="auto"/>
            <w:noWrap/>
            <w:vAlign w:val="center"/>
            <w:hideMark/>
          </w:tcPr>
          <w:p w14:paraId="6F9566CF" w14:textId="77777777" w:rsidR="000C1C95" w:rsidRPr="0047017F" w:rsidRDefault="000C1C95" w:rsidP="000C1C95">
            <w:pPr>
              <w:rPr>
                <w:rFonts w:ascii="Arial" w:hAnsi="Arial" w:cs="Arial"/>
                <w:sz w:val="18"/>
              </w:rPr>
            </w:pPr>
            <w:r w:rsidRPr="0047017F">
              <w:rPr>
                <w:rFonts w:ascii="Arial" w:hAnsi="Arial" w:cs="Arial"/>
                <w:sz w:val="18"/>
              </w:rPr>
              <w:t xml:space="preserve">Sweden </w:t>
            </w:r>
          </w:p>
        </w:tc>
        <w:tc>
          <w:tcPr>
            <w:tcW w:w="1134" w:type="dxa"/>
            <w:shd w:val="clear" w:color="auto" w:fill="auto"/>
            <w:noWrap/>
            <w:vAlign w:val="center"/>
            <w:hideMark/>
          </w:tcPr>
          <w:p w14:paraId="519608D6" w14:textId="77777777" w:rsidR="000C1C95" w:rsidRPr="0047017F" w:rsidRDefault="000C1C95" w:rsidP="00836CB3">
            <w:pPr>
              <w:jc w:val="right"/>
              <w:rPr>
                <w:rFonts w:ascii="Arial" w:hAnsi="Arial" w:cs="Arial"/>
                <w:sz w:val="18"/>
              </w:rPr>
            </w:pPr>
            <w:r w:rsidRPr="0047017F">
              <w:rPr>
                <w:rFonts w:ascii="Arial" w:hAnsi="Arial" w:cs="Arial"/>
                <w:sz w:val="18"/>
              </w:rPr>
              <w:t>9</w:t>
            </w:r>
          </w:p>
        </w:tc>
        <w:tc>
          <w:tcPr>
            <w:tcW w:w="1559" w:type="dxa"/>
            <w:shd w:val="clear" w:color="auto" w:fill="auto"/>
            <w:noWrap/>
            <w:vAlign w:val="center"/>
            <w:hideMark/>
          </w:tcPr>
          <w:p w14:paraId="03DDDA7B" w14:textId="77777777" w:rsidR="000C1C95" w:rsidRPr="0047017F" w:rsidRDefault="000C1C95" w:rsidP="00836CB3">
            <w:pPr>
              <w:jc w:val="right"/>
              <w:rPr>
                <w:rFonts w:ascii="Arial" w:hAnsi="Arial" w:cs="Arial"/>
                <w:sz w:val="18"/>
              </w:rPr>
            </w:pPr>
            <w:r w:rsidRPr="0047017F">
              <w:rPr>
                <w:rFonts w:ascii="Arial" w:hAnsi="Arial" w:cs="Arial"/>
                <w:sz w:val="18"/>
              </w:rPr>
              <w:t>51,833.80</w:t>
            </w:r>
          </w:p>
        </w:tc>
        <w:tc>
          <w:tcPr>
            <w:tcW w:w="1418" w:type="dxa"/>
            <w:shd w:val="clear" w:color="auto" w:fill="auto"/>
            <w:noWrap/>
            <w:vAlign w:val="center"/>
            <w:hideMark/>
          </w:tcPr>
          <w:p w14:paraId="711340E6" w14:textId="77777777" w:rsidR="000C1C95" w:rsidRPr="0047017F" w:rsidRDefault="000C1C95" w:rsidP="00836CB3">
            <w:pPr>
              <w:jc w:val="right"/>
              <w:rPr>
                <w:rFonts w:ascii="Arial" w:hAnsi="Arial" w:cs="Arial"/>
                <w:sz w:val="18"/>
              </w:rPr>
            </w:pPr>
            <w:r w:rsidRPr="0047017F">
              <w:rPr>
                <w:rFonts w:ascii="Arial" w:hAnsi="Arial" w:cs="Arial"/>
                <w:sz w:val="18"/>
              </w:rPr>
              <w:t>511</w:t>
            </w:r>
          </w:p>
        </w:tc>
        <w:tc>
          <w:tcPr>
            <w:tcW w:w="1559" w:type="dxa"/>
            <w:shd w:val="clear" w:color="auto" w:fill="auto"/>
            <w:noWrap/>
            <w:vAlign w:val="center"/>
            <w:hideMark/>
          </w:tcPr>
          <w:p w14:paraId="0AADBBCF" w14:textId="77777777" w:rsidR="000C1C95" w:rsidRPr="0047017F" w:rsidRDefault="000C1C95" w:rsidP="00836CB3">
            <w:pPr>
              <w:jc w:val="right"/>
              <w:rPr>
                <w:rFonts w:ascii="Arial" w:hAnsi="Arial" w:cs="Arial"/>
                <w:sz w:val="18"/>
              </w:rPr>
            </w:pPr>
            <w:r w:rsidRPr="0047017F">
              <w:rPr>
                <w:rFonts w:ascii="Arial" w:hAnsi="Arial" w:cs="Arial"/>
                <w:sz w:val="18"/>
              </w:rPr>
              <w:t>210.60</w:t>
            </w:r>
          </w:p>
        </w:tc>
        <w:tc>
          <w:tcPr>
            <w:tcW w:w="1843" w:type="dxa"/>
            <w:shd w:val="clear" w:color="auto" w:fill="auto"/>
            <w:noWrap/>
            <w:vAlign w:val="center"/>
            <w:hideMark/>
          </w:tcPr>
          <w:p w14:paraId="460A983D" w14:textId="77777777" w:rsidR="000C1C95" w:rsidRPr="0047017F" w:rsidRDefault="000C1C95" w:rsidP="00836CB3">
            <w:pPr>
              <w:jc w:val="right"/>
              <w:rPr>
                <w:rFonts w:ascii="Arial" w:hAnsi="Arial" w:cs="Arial"/>
                <w:sz w:val="18"/>
              </w:rPr>
            </w:pPr>
            <w:r w:rsidRPr="0047017F">
              <w:rPr>
                <w:rFonts w:ascii="Arial" w:hAnsi="Arial" w:cs="Arial"/>
                <w:sz w:val="18"/>
              </w:rPr>
              <w:t>197.70</w:t>
            </w:r>
          </w:p>
        </w:tc>
        <w:tc>
          <w:tcPr>
            <w:tcW w:w="1275" w:type="dxa"/>
            <w:shd w:val="clear" w:color="auto" w:fill="auto"/>
            <w:noWrap/>
            <w:vAlign w:val="center"/>
            <w:hideMark/>
          </w:tcPr>
          <w:p w14:paraId="1F7F442A" w14:textId="77777777" w:rsidR="000C1C95" w:rsidRPr="0047017F" w:rsidRDefault="000C1C95" w:rsidP="00836CB3">
            <w:pPr>
              <w:jc w:val="right"/>
              <w:rPr>
                <w:rFonts w:ascii="Arial" w:hAnsi="Arial" w:cs="Arial"/>
                <w:sz w:val="18"/>
              </w:rPr>
            </w:pPr>
            <w:r w:rsidRPr="0047017F">
              <w:rPr>
                <w:rFonts w:ascii="Arial" w:hAnsi="Arial" w:cs="Arial"/>
                <w:sz w:val="18"/>
              </w:rPr>
              <w:t>25,055.80</w:t>
            </w:r>
          </w:p>
        </w:tc>
        <w:tc>
          <w:tcPr>
            <w:tcW w:w="1276" w:type="dxa"/>
            <w:shd w:val="clear" w:color="auto" w:fill="auto"/>
            <w:noWrap/>
            <w:vAlign w:val="center"/>
            <w:hideMark/>
          </w:tcPr>
          <w:p w14:paraId="7066B73A" w14:textId="77777777" w:rsidR="000C1C95" w:rsidRPr="0047017F" w:rsidRDefault="000C1C95" w:rsidP="00836CB3">
            <w:pPr>
              <w:jc w:val="right"/>
              <w:rPr>
                <w:rFonts w:ascii="Arial" w:hAnsi="Arial" w:cs="Arial"/>
                <w:sz w:val="18"/>
              </w:rPr>
            </w:pPr>
            <w:r w:rsidRPr="0047017F">
              <w:rPr>
                <w:rFonts w:ascii="Arial" w:hAnsi="Arial" w:cs="Arial"/>
                <w:sz w:val="18"/>
              </w:rPr>
              <w:t>9,851.00</w:t>
            </w:r>
          </w:p>
        </w:tc>
        <w:tc>
          <w:tcPr>
            <w:tcW w:w="1473" w:type="dxa"/>
            <w:shd w:val="clear" w:color="auto" w:fill="auto"/>
            <w:noWrap/>
            <w:vAlign w:val="center"/>
            <w:hideMark/>
          </w:tcPr>
          <w:p w14:paraId="2F902036" w14:textId="77777777" w:rsidR="000C1C95" w:rsidRPr="0047017F" w:rsidRDefault="000C1C95" w:rsidP="00836CB3">
            <w:pPr>
              <w:jc w:val="right"/>
              <w:rPr>
                <w:rFonts w:ascii="Arial" w:hAnsi="Arial" w:cs="Arial"/>
                <w:sz w:val="18"/>
              </w:rPr>
            </w:pPr>
            <w:r w:rsidRPr="0047017F">
              <w:rPr>
                <w:rFonts w:ascii="Arial" w:hAnsi="Arial" w:cs="Arial"/>
                <w:sz w:val="18"/>
              </w:rPr>
              <w:t>8,468.30</w:t>
            </w:r>
          </w:p>
        </w:tc>
      </w:tr>
      <w:tr w:rsidR="000C1C95" w:rsidRPr="0047017F" w14:paraId="23905967" w14:textId="77777777" w:rsidTr="0047017F">
        <w:trPr>
          <w:trHeight w:val="264"/>
        </w:trPr>
        <w:tc>
          <w:tcPr>
            <w:tcW w:w="1238" w:type="dxa"/>
            <w:shd w:val="clear" w:color="auto" w:fill="auto"/>
            <w:noWrap/>
            <w:vAlign w:val="center"/>
            <w:hideMark/>
          </w:tcPr>
          <w:p w14:paraId="2AAE252E" w14:textId="77777777" w:rsidR="000C1C95" w:rsidRPr="0047017F" w:rsidRDefault="000C1C95" w:rsidP="000C1C95">
            <w:pPr>
              <w:rPr>
                <w:rFonts w:ascii="Arial" w:hAnsi="Arial" w:cs="Arial"/>
                <w:sz w:val="18"/>
              </w:rPr>
            </w:pPr>
            <w:r w:rsidRPr="0047017F">
              <w:rPr>
                <w:rFonts w:ascii="Arial" w:hAnsi="Arial" w:cs="Arial"/>
                <w:sz w:val="18"/>
              </w:rPr>
              <w:t xml:space="preserve">Turkey </w:t>
            </w:r>
          </w:p>
        </w:tc>
        <w:tc>
          <w:tcPr>
            <w:tcW w:w="1134" w:type="dxa"/>
            <w:shd w:val="clear" w:color="auto" w:fill="auto"/>
            <w:noWrap/>
            <w:vAlign w:val="center"/>
            <w:hideMark/>
          </w:tcPr>
          <w:p w14:paraId="75D52C1A" w14:textId="77777777" w:rsidR="000C1C95" w:rsidRPr="0047017F" w:rsidRDefault="000C1C95" w:rsidP="00836CB3">
            <w:pPr>
              <w:jc w:val="right"/>
              <w:rPr>
                <w:rFonts w:ascii="Arial" w:hAnsi="Arial" w:cs="Arial"/>
                <w:sz w:val="18"/>
              </w:rPr>
            </w:pPr>
            <w:r w:rsidRPr="0047017F">
              <w:rPr>
                <w:rFonts w:ascii="Arial" w:hAnsi="Arial" w:cs="Arial"/>
                <w:sz w:val="18"/>
              </w:rPr>
              <w:t>69</w:t>
            </w:r>
          </w:p>
        </w:tc>
        <w:tc>
          <w:tcPr>
            <w:tcW w:w="1559" w:type="dxa"/>
            <w:shd w:val="clear" w:color="auto" w:fill="auto"/>
            <w:noWrap/>
            <w:vAlign w:val="center"/>
            <w:hideMark/>
          </w:tcPr>
          <w:p w14:paraId="0E09CBD9" w14:textId="77777777" w:rsidR="000C1C95" w:rsidRPr="0047017F" w:rsidRDefault="000C1C95" w:rsidP="00836CB3">
            <w:pPr>
              <w:jc w:val="right"/>
              <w:rPr>
                <w:rFonts w:ascii="Arial" w:hAnsi="Arial" w:cs="Arial"/>
                <w:sz w:val="18"/>
              </w:rPr>
            </w:pPr>
            <w:r w:rsidRPr="0047017F">
              <w:rPr>
                <w:rFonts w:ascii="Arial" w:hAnsi="Arial" w:cs="Arial"/>
                <w:sz w:val="18"/>
              </w:rPr>
              <w:t>10,617.80</w:t>
            </w:r>
          </w:p>
        </w:tc>
        <w:tc>
          <w:tcPr>
            <w:tcW w:w="1418" w:type="dxa"/>
            <w:shd w:val="clear" w:color="auto" w:fill="auto"/>
            <w:noWrap/>
            <w:vAlign w:val="center"/>
            <w:hideMark/>
          </w:tcPr>
          <w:p w14:paraId="28DDF49D" w14:textId="77777777" w:rsidR="000C1C95" w:rsidRPr="0047017F" w:rsidRDefault="000C1C95" w:rsidP="00836CB3">
            <w:pPr>
              <w:jc w:val="right"/>
              <w:rPr>
                <w:rFonts w:ascii="Arial" w:hAnsi="Arial" w:cs="Arial"/>
                <w:sz w:val="18"/>
              </w:rPr>
            </w:pPr>
            <w:r w:rsidRPr="0047017F">
              <w:rPr>
                <w:rFonts w:ascii="Arial" w:hAnsi="Arial" w:cs="Arial"/>
                <w:sz w:val="18"/>
              </w:rPr>
              <w:t>834</w:t>
            </w:r>
          </w:p>
        </w:tc>
        <w:tc>
          <w:tcPr>
            <w:tcW w:w="1559" w:type="dxa"/>
            <w:shd w:val="clear" w:color="auto" w:fill="auto"/>
            <w:noWrap/>
            <w:vAlign w:val="center"/>
            <w:hideMark/>
          </w:tcPr>
          <w:p w14:paraId="65FDE806" w14:textId="77777777" w:rsidR="000C1C95" w:rsidRPr="0047017F" w:rsidRDefault="000C1C95" w:rsidP="00836CB3">
            <w:pPr>
              <w:jc w:val="right"/>
              <w:rPr>
                <w:rFonts w:ascii="Arial" w:hAnsi="Arial" w:cs="Arial"/>
                <w:sz w:val="18"/>
              </w:rPr>
            </w:pPr>
            <w:r w:rsidRPr="0047017F">
              <w:rPr>
                <w:rFonts w:ascii="Arial" w:hAnsi="Arial" w:cs="Arial"/>
                <w:sz w:val="18"/>
              </w:rPr>
              <w:t>164.90</w:t>
            </w:r>
          </w:p>
        </w:tc>
        <w:tc>
          <w:tcPr>
            <w:tcW w:w="1843" w:type="dxa"/>
            <w:shd w:val="clear" w:color="auto" w:fill="auto"/>
            <w:noWrap/>
            <w:vAlign w:val="center"/>
            <w:hideMark/>
          </w:tcPr>
          <w:p w14:paraId="58BB28D6" w14:textId="77777777" w:rsidR="000C1C95" w:rsidRPr="0047017F" w:rsidRDefault="000C1C95" w:rsidP="00836CB3">
            <w:pPr>
              <w:jc w:val="right"/>
              <w:rPr>
                <w:rFonts w:ascii="Arial" w:hAnsi="Arial" w:cs="Arial"/>
                <w:sz w:val="18"/>
              </w:rPr>
            </w:pPr>
            <w:r w:rsidRPr="0047017F">
              <w:rPr>
                <w:rFonts w:ascii="Arial" w:hAnsi="Arial" w:cs="Arial"/>
                <w:sz w:val="18"/>
              </w:rPr>
              <w:t>85.70</w:t>
            </w:r>
          </w:p>
        </w:tc>
        <w:tc>
          <w:tcPr>
            <w:tcW w:w="1275" w:type="dxa"/>
            <w:shd w:val="clear" w:color="auto" w:fill="auto"/>
            <w:noWrap/>
            <w:vAlign w:val="center"/>
            <w:hideMark/>
          </w:tcPr>
          <w:p w14:paraId="1F1A80D9" w14:textId="77777777" w:rsidR="000C1C95" w:rsidRPr="0047017F" w:rsidRDefault="000C1C95" w:rsidP="00836CB3">
            <w:pPr>
              <w:jc w:val="right"/>
              <w:rPr>
                <w:rFonts w:ascii="Arial" w:hAnsi="Arial" w:cs="Arial"/>
                <w:sz w:val="18"/>
              </w:rPr>
            </w:pPr>
            <w:r w:rsidRPr="0047017F">
              <w:rPr>
                <w:rFonts w:ascii="Arial" w:hAnsi="Arial" w:cs="Arial"/>
                <w:sz w:val="18"/>
              </w:rPr>
              <w:t>6,806.00</w:t>
            </w:r>
          </w:p>
        </w:tc>
        <w:tc>
          <w:tcPr>
            <w:tcW w:w="1276" w:type="dxa"/>
            <w:shd w:val="clear" w:color="auto" w:fill="auto"/>
            <w:noWrap/>
            <w:vAlign w:val="center"/>
            <w:hideMark/>
          </w:tcPr>
          <w:p w14:paraId="56CDB5E9" w14:textId="77777777" w:rsidR="000C1C95" w:rsidRPr="0047017F" w:rsidRDefault="000C1C95" w:rsidP="00836CB3">
            <w:pPr>
              <w:jc w:val="right"/>
              <w:rPr>
                <w:rFonts w:ascii="Arial" w:hAnsi="Arial" w:cs="Arial"/>
                <w:sz w:val="18"/>
              </w:rPr>
            </w:pPr>
            <w:r w:rsidRPr="0047017F">
              <w:rPr>
                <w:rFonts w:ascii="Arial" w:hAnsi="Arial" w:cs="Arial"/>
                <w:sz w:val="18"/>
              </w:rPr>
              <w:t>78,505.10</w:t>
            </w:r>
          </w:p>
        </w:tc>
        <w:tc>
          <w:tcPr>
            <w:tcW w:w="1473" w:type="dxa"/>
            <w:shd w:val="clear" w:color="auto" w:fill="auto"/>
            <w:noWrap/>
            <w:vAlign w:val="center"/>
            <w:hideMark/>
          </w:tcPr>
          <w:p w14:paraId="2CC88483" w14:textId="77777777" w:rsidR="000C1C95" w:rsidRPr="0047017F" w:rsidRDefault="000C1C95" w:rsidP="00836CB3">
            <w:pPr>
              <w:jc w:val="right"/>
              <w:rPr>
                <w:rFonts w:ascii="Arial" w:hAnsi="Arial" w:cs="Arial"/>
                <w:sz w:val="18"/>
              </w:rPr>
            </w:pPr>
            <w:r w:rsidRPr="0047017F">
              <w:rPr>
                <w:rFonts w:ascii="Arial" w:hAnsi="Arial" w:cs="Arial"/>
                <w:sz w:val="18"/>
              </w:rPr>
              <w:t>56,806.50</w:t>
            </w:r>
          </w:p>
        </w:tc>
      </w:tr>
      <w:tr w:rsidR="000C1C95" w:rsidRPr="0047017F" w14:paraId="1E139DD1" w14:textId="77777777" w:rsidTr="0047017F">
        <w:trPr>
          <w:trHeight w:val="264"/>
        </w:trPr>
        <w:tc>
          <w:tcPr>
            <w:tcW w:w="1238" w:type="dxa"/>
            <w:shd w:val="clear" w:color="auto" w:fill="auto"/>
            <w:noWrap/>
            <w:vAlign w:val="center"/>
            <w:hideMark/>
          </w:tcPr>
          <w:p w14:paraId="73C286A7" w14:textId="77777777" w:rsidR="000C1C95" w:rsidRPr="0047017F" w:rsidRDefault="000C1C95" w:rsidP="000C1C95">
            <w:pPr>
              <w:rPr>
                <w:rFonts w:ascii="Arial" w:hAnsi="Arial" w:cs="Arial"/>
                <w:sz w:val="18"/>
              </w:rPr>
            </w:pPr>
            <w:r w:rsidRPr="0047017F">
              <w:rPr>
                <w:rFonts w:ascii="Arial" w:hAnsi="Arial" w:cs="Arial"/>
                <w:sz w:val="18"/>
              </w:rPr>
              <w:t xml:space="preserve">Ukraine </w:t>
            </w:r>
          </w:p>
        </w:tc>
        <w:tc>
          <w:tcPr>
            <w:tcW w:w="1134" w:type="dxa"/>
            <w:shd w:val="clear" w:color="auto" w:fill="auto"/>
            <w:noWrap/>
            <w:vAlign w:val="center"/>
            <w:hideMark/>
          </w:tcPr>
          <w:p w14:paraId="08B4A464" w14:textId="77777777" w:rsidR="000C1C95" w:rsidRPr="0047017F" w:rsidRDefault="000C1C95" w:rsidP="00836CB3">
            <w:pPr>
              <w:jc w:val="right"/>
              <w:rPr>
                <w:rFonts w:ascii="Arial" w:hAnsi="Arial" w:cs="Arial"/>
                <w:sz w:val="18"/>
              </w:rPr>
            </w:pPr>
            <w:r w:rsidRPr="0047017F">
              <w:rPr>
                <w:rFonts w:ascii="Arial" w:hAnsi="Arial" w:cs="Arial"/>
                <w:sz w:val="18"/>
              </w:rPr>
              <w:t>80</w:t>
            </w:r>
          </w:p>
        </w:tc>
        <w:tc>
          <w:tcPr>
            <w:tcW w:w="1559" w:type="dxa"/>
            <w:shd w:val="clear" w:color="auto" w:fill="auto"/>
            <w:noWrap/>
            <w:vAlign w:val="center"/>
            <w:hideMark/>
          </w:tcPr>
          <w:p w14:paraId="15133D37" w14:textId="77777777" w:rsidR="000C1C95" w:rsidRPr="0047017F" w:rsidRDefault="000C1C95" w:rsidP="00836CB3">
            <w:pPr>
              <w:jc w:val="right"/>
              <w:rPr>
                <w:rFonts w:ascii="Arial" w:hAnsi="Arial" w:cs="Arial"/>
                <w:sz w:val="18"/>
              </w:rPr>
            </w:pPr>
            <w:r w:rsidRPr="0047017F">
              <w:rPr>
                <w:rFonts w:ascii="Arial" w:hAnsi="Arial" w:cs="Arial"/>
                <w:sz w:val="18"/>
              </w:rPr>
              <w:t>2,032.50</w:t>
            </w:r>
          </w:p>
        </w:tc>
        <w:tc>
          <w:tcPr>
            <w:tcW w:w="1418" w:type="dxa"/>
            <w:shd w:val="clear" w:color="auto" w:fill="auto"/>
            <w:noWrap/>
            <w:vAlign w:val="center"/>
            <w:hideMark/>
          </w:tcPr>
          <w:p w14:paraId="1E2012E4" w14:textId="77777777" w:rsidR="000C1C95" w:rsidRPr="0047017F" w:rsidRDefault="000C1C95" w:rsidP="00836CB3">
            <w:pPr>
              <w:jc w:val="right"/>
              <w:rPr>
                <w:rFonts w:ascii="Arial" w:hAnsi="Arial" w:cs="Arial"/>
                <w:sz w:val="18"/>
              </w:rPr>
            </w:pPr>
            <w:r w:rsidRPr="0047017F">
              <w:rPr>
                <w:rFonts w:ascii="Arial" w:hAnsi="Arial" w:cs="Arial"/>
                <w:sz w:val="18"/>
              </w:rPr>
              <w:t>91</w:t>
            </w:r>
          </w:p>
        </w:tc>
        <w:tc>
          <w:tcPr>
            <w:tcW w:w="1559" w:type="dxa"/>
            <w:shd w:val="clear" w:color="auto" w:fill="auto"/>
            <w:noWrap/>
            <w:vAlign w:val="center"/>
            <w:hideMark/>
          </w:tcPr>
          <w:p w14:paraId="4F81793D" w14:textId="77777777" w:rsidR="000C1C95" w:rsidRPr="0047017F" w:rsidRDefault="000C1C95" w:rsidP="00836CB3">
            <w:pPr>
              <w:jc w:val="right"/>
              <w:rPr>
                <w:rFonts w:ascii="Arial" w:hAnsi="Arial" w:cs="Arial"/>
                <w:sz w:val="18"/>
              </w:rPr>
            </w:pPr>
            <w:r w:rsidRPr="0047017F">
              <w:rPr>
                <w:rFonts w:ascii="Arial" w:hAnsi="Arial" w:cs="Arial"/>
                <w:sz w:val="18"/>
              </w:rPr>
              <w:t>32.50</w:t>
            </w:r>
          </w:p>
        </w:tc>
        <w:tc>
          <w:tcPr>
            <w:tcW w:w="1843" w:type="dxa"/>
            <w:shd w:val="clear" w:color="auto" w:fill="auto"/>
            <w:noWrap/>
            <w:vAlign w:val="center"/>
            <w:hideMark/>
          </w:tcPr>
          <w:p w14:paraId="3514ECC8" w14:textId="77777777" w:rsidR="000C1C95" w:rsidRPr="0047017F" w:rsidRDefault="000C1C95" w:rsidP="00836CB3">
            <w:pPr>
              <w:jc w:val="right"/>
              <w:rPr>
                <w:rFonts w:ascii="Arial" w:hAnsi="Arial" w:cs="Arial"/>
                <w:sz w:val="18"/>
              </w:rPr>
            </w:pPr>
            <w:r w:rsidRPr="0047017F">
              <w:rPr>
                <w:rFonts w:ascii="Arial" w:hAnsi="Arial" w:cs="Arial"/>
                <w:sz w:val="18"/>
              </w:rPr>
              <w:t>29.00</w:t>
            </w:r>
          </w:p>
        </w:tc>
        <w:tc>
          <w:tcPr>
            <w:tcW w:w="1275" w:type="dxa"/>
            <w:shd w:val="clear" w:color="auto" w:fill="auto"/>
            <w:noWrap/>
            <w:vAlign w:val="center"/>
            <w:hideMark/>
          </w:tcPr>
          <w:p w14:paraId="7ECC8367" w14:textId="77777777" w:rsidR="000C1C95" w:rsidRPr="0047017F" w:rsidRDefault="000C1C95" w:rsidP="00836CB3">
            <w:pPr>
              <w:jc w:val="right"/>
              <w:rPr>
                <w:rFonts w:ascii="Arial" w:hAnsi="Arial" w:cs="Arial"/>
                <w:sz w:val="18"/>
              </w:rPr>
            </w:pPr>
            <w:r w:rsidRPr="0047017F">
              <w:rPr>
                <w:rFonts w:ascii="Arial" w:hAnsi="Arial" w:cs="Arial"/>
                <w:sz w:val="18"/>
              </w:rPr>
              <w:t>1,566.00</w:t>
            </w:r>
          </w:p>
        </w:tc>
        <w:tc>
          <w:tcPr>
            <w:tcW w:w="1276" w:type="dxa"/>
            <w:shd w:val="clear" w:color="auto" w:fill="auto"/>
            <w:noWrap/>
            <w:vAlign w:val="center"/>
            <w:hideMark/>
          </w:tcPr>
          <w:p w14:paraId="06DA02F4" w14:textId="77777777" w:rsidR="000C1C95" w:rsidRPr="0047017F" w:rsidRDefault="000C1C95" w:rsidP="00836CB3">
            <w:pPr>
              <w:jc w:val="right"/>
              <w:rPr>
                <w:rFonts w:ascii="Arial" w:hAnsi="Arial" w:cs="Arial"/>
                <w:sz w:val="18"/>
              </w:rPr>
            </w:pPr>
            <w:r w:rsidRPr="0047017F">
              <w:rPr>
                <w:rFonts w:ascii="Arial" w:hAnsi="Arial" w:cs="Arial"/>
                <w:sz w:val="18"/>
              </w:rPr>
              <w:t>44,934.10</w:t>
            </w:r>
          </w:p>
        </w:tc>
        <w:tc>
          <w:tcPr>
            <w:tcW w:w="1473" w:type="dxa"/>
            <w:shd w:val="clear" w:color="auto" w:fill="auto"/>
            <w:noWrap/>
            <w:vAlign w:val="center"/>
            <w:hideMark/>
          </w:tcPr>
          <w:p w14:paraId="74AFF9EB" w14:textId="77777777" w:rsidR="000C1C95" w:rsidRPr="0047017F" w:rsidRDefault="000C1C95" w:rsidP="00836CB3">
            <w:pPr>
              <w:jc w:val="right"/>
              <w:rPr>
                <w:rFonts w:ascii="Arial" w:hAnsi="Arial" w:cs="Arial"/>
                <w:sz w:val="18"/>
              </w:rPr>
            </w:pPr>
            <w:r w:rsidRPr="0047017F">
              <w:rPr>
                <w:rFonts w:ascii="Arial" w:hAnsi="Arial" w:cs="Arial"/>
                <w:sz w:val="18"/>
              </w:rPr>
              <w:t>30,956.00</w:t>
            </w:r>
          </w:p>
        </w:tc>
      </w:tr>
      <w:tr w:rsidR="000C1C95" w:rsidRPr="0047017F" w14:paraId="1F25D076" w14:textId="77777777" w:rsidTr="0047017F">
        <w:trPr>
          <w:trHeight w:val="264"/>
        </w:trPr>
        <w:tc>
          <w:tcPr>
            <w:tcW w:w="1238" w:type="dxa"/>
            <w:shd w:val="clear" w:color="auto" w:fill="auto"/>
            <w:noWrap/>
            <w:vAlign w:val="center"/>
            <w:hideMark/>
          </w:tcPr>
          <w:p w14:paraId="719A0EB3" w14:textId="77777777" w:rsidR="000C1C95" w:rsidRPr="0047017F" w:rsidRDefault="000C1C95" w:rsidP="000C1C95">
            <w:pPr>
              <w:rPr>
                <w:rFonts w:ascii="Arial" w:hAnsi="Arial" w:cs="Arial"/>
                <w:sz w:val="18"/>
              </w:rPr>
            </w:pPr>
            <w:r w:rsidRPr="0047017F">
              <w:rPr>
                <w:rFonts w:ascii="Arial" w:hAnsi="Arial" w:cs="Arial"/>
                <w:sz w:val="18"/>
              </w:rPr>
              <w:t xml:space="preserve">United Kingdom </w:t>
            </w:r>
          </w:p>
        </w:tc>
        <w:tc>
          <w:tcPr>
            <w:tcW w:w="1134" w:type="dxa"/>
            <w:shd w:val="clear" w:color="auto" w:fill="auto"/>
            <w:noWrap/>
            <w:vAlign w:val="center"/>
            <w:hideMark/>
          </w:tcPr>
          <w:p w14:paraId="3E32D693" w14:textId="77777777" w:rsidR="000C1C95" w:rsidRPr="0047017F" w:rsidRDefault="000C1C95" w:rsidP="00836CB3">
            <w:pPr>
              <w:jc w:val="right"/>
              <w:rPr>
                <w:rFonts w:ascii="Arial" w:hAnsi="Arial" w:cs="Arial"/>
                <w:sz w:val="18"/>
              </w:rPr>
            </w:pPr>
            <w:r w:rsidRPr="0047017F">
              <w:rPr>
                <w:rFonts w:ascii="Arial" w:hAnsi="Arial" w:cs="Arial"/>
                <w:sz w:val="18"/>
              </w:rPr>
              <w:t>7</w:t>
            </w:r>
          </w:p>
        </w:tc>
        <w:tc>
          <w:tcPr>
            <w:tcW w:w="1559" w:type="dxa"/>
            <w:shd w:val="clear" w:color="auto" w:fill="auto"/>
            <w:noWrap/>
            <w:vAlign w:val="center"/>
            <w:hideMark/>
          </w:tcPr>
          <w:p w14:paraId="3F5E8E75" w14:textId="77777777" w:rsidR="000C1C95" w:rsidRPr="0047017F" w:rsidRDefault="000C1C95" w:rsidP="00836CB3">
            <w:pPr>
              <w:jc w:val="right"/>
              <w:rPr>
                <w:rFonts w:ascii="Arial" w:hAnsi="Arial" w:cs="Arial"/>
                <w:sz w:val="18"/>
              </w:rPr>
            </w:pPr>
            <w:r w:rsidRPr="0047017F">
              <w:rPr>
                <w:rFonts w:ascii="Arial" w:hAnsi="Arial" w:cs="Arial"/>
                <w:sz w:val="18"/>
              </w:rPr>
              <w:t>39,988.10</w:t>
            </w:r>
          </w:p>
        </w:tc>
        <w:tc>
          <w:tcPr>
            <w:tcW w:w="1418" w:type="dxa"/>
            <w:shd w:val="clear" w:color="auto" w:fill="auto"/>
            <w:noWrap/>
            <w:vAlign w:val="center"/>
            <w:hideMark/>
          </w:tcPr>
          <w:p w14:paraId="298BFC2A" w14:textId="77777777" w:rsidR="000C1C95" w:rsidRPr="0047017F" w:rsidRDefault="000C1C95" w:rsidP="00836CB3">
            <w:pPr>
              <w:jc w:val="right"/>
              <w:rPr>
                <w:rFonts w:ascii="Arial" w:hAnsi="Arial" w:cs="Arial"/>
                <w:sz w:val="18"/>
              </w:rPr>
            </w:pPr>
            <w:r w:rsidRPr="0047017F">
              <w:rPr>
                <w:rFonts w:ascii="Arial" w:hAnsi="Arial" w:cs="Arial"/>
                <w:sz w:val="18"/>
              </w:rPr>
              <w:t>2,615</w:t>
            </w:r>
          </w:p>
        </w:tc>
        <w:tc>
          <w:tcPr>
            <w:tcW w:w="1559" w:type="dxa"/>
            <w:shd w:val="clear" w:color="auto" w:fill="auto"/>
            <w:noWrap/>
            <w:vAlign w:val="center"/>
            <w:hideMark/>
          </w:tcPr>
          <w:p w14:paraId="7A55B30B" w14:textId="77777777" w:rsidR="000C1C95" w:rsidRPr="0047017F" w:rsidRDefault="000C1C95" w:rsidP="00836CB3">
            <w:pPr>
              <w:jc w:val="right"/>
              <w:rPr>
                <w:rFonts w:ascii="Arial" w:hAnsi="Arial" w:cs="Arial"/>
                <w:sz w:val="18"/>
              </w:rPr>
            </w:pPr>
            <w:r w:rsidRPr="0047017F">
              <w:rPr>
                <w:rFonts w:ascii="Arial" w:hAnsi="Arial" w:cs="Arial"/>
                <w:sz w:val="18"/>
              </w:rPr>
              <w:t>173.30</w:t>
            </w:r>
          </w:p>
        </w:tc>
        <w:tc>
          <w:tcPr>
            <w:tcW w:w="1843" w:type="dxa"/>
            <w:shd w:val="clear" w:color="auto" w:fill="auto"/>
            <w:noWrap/>
            <w:vAlign w:val="center"/>
            <w:hideMark/>
          </w:tcPr>
          <w:p w14:paraId="44C29A64" w14:textId="77777777" w:rsidR="000C1C95" w:rsidRPr="0047017F" w:rsidRDefault="000C1C95" w:rsidP="00836CB3">
            <w:pPr>
              <w:jc w:val="right"/>
              <w:rPr>
                <w:rFonts w:ascii="Arial" w:hAnsi="Arial" w:cs="Arial"/>
                <w:sz w:val="18"/>
              </w:rPr>
            </w:pPr>
            <w:r w:rsidRPr="0047017F">
              <w:rPr>
                <w:rFonts w:ascii="Arial" w:hAnsi="Arial" w:cs="Arial"/>
                <w:sz w:val="18"/>
              </w:rPr>
              <w:t>171.30</w:t>
            </w:r>
          </w:p>
        </w:tc>
        <w:tc>
          <w:tcPr>
            <w:tcW w:w="1275" w:type="dxa"/>
            <w:shd w:val="clear" w:color="auto" w:fill="auto"/>
            <w:noWrap/>
            <w:vAlign w:val="center"/>
            <w:hideMark/>
          </w:tcPr>
          <w:p w14:paraId="78A9CFA8" w14:textId="77777777" w:rsidR="000C1C95" w:rsidRPr="0047017F" w:rsidRDefault="000C1C95" w:rsidP="00836CB3">
            <w:pPr>
              <w:jc w:val="right"/>
              <w:rPr>
                <w:rFonts w:ascii="Arial" w:hAnsi="Arial" w:cs="Arial"/>
                <w:sz w:val="18"/>
              </w:rPr>
            </w:pPr>
            <w:r w:rsidRPr="0047017F">
              <w:rPr>
                <w:rFonts w:ascii="Arial" w:hAnsi="Arial" w:cs="Arial"/>
                <w:sz w:val="18"/>
              </w:rPr>
              <w:t>25,467.10</w:t>
            </w:r>
          </w:p>
        </w:tc>
        <w:tc>
          <w:tcPr>
            <w:tcW w:w="1276" w:type="dxa"/>
            <w:shd w:val="clear" w:color="auto" w:fill="auto"/>
            <w:noWrap/>
            <w:vAlign w:val="center"/>
            <w:hideMark/>
          </w:tcPr>
          <w:p w14:paraId="25905E5D" w14:textId="77777777" w:rsidR="000C1C95" w:rsidRPr="0047017F" w:rsidRDefault="000C1C95" w:rsidP="00836CB3">
            <w:pPr>
              <w:jc w:val="right"/>
              <w:rPr>
                <w:rFonts w:ascii="Arial" w:hAnsi="Arial" w:cs="Arial"/>
                <w:sz w:val="18"/>
              </w:rPr>
            </w:pPr>
            <w:r w:rsidRPr="0047017F">
              <w:rPr>
                <w:rFonts w:ascii="Arial" w:hAnsi="Arial" w:cs="Arial"/>
                <w:sz w:val="18"/>
              </w:rPr>
              <w:t>65,382.60</w:t>
            </w:r>
          </w:p>
        </w:tc>
        <w:tc>
          <w:tcPr>
            <w:tcW w:w="1473" w:type="dxa"/>
            <w:shd w:val="clear" w:color="auto" w:fill="auto"/>
            <w:noWrap/>
            <w:vAlign w:val="center"/>
            <w:hideMark/>
          </w:tcPr>
          <w:p w14:paraId="2E80D2DA" w14:textId="77777777" w:rsidR="000C1C95" w:rsidRPr="0047017F" w:rsidRDefault="000C1C95" w:rsidP="00836CB3">
            <w:pPr>
              <w:jc w:val="right"/>
              <w:rPr>
                <w:rFonts w:ascii="Arial" w:hAnsi="Arial" w:cs="Arial"/>
                <w:sz w:val="18"/>
              </w:rPr>
            </w:pPr>
            <w:r w:rsidRPr="0047017F">
              <w:rPr>
                <w:rFonts w:ascii="Arial" w:hAnsi="Arial" w:cs="Arial"/>
                <w:sz w:val="18"/>
              </w:rPr>
              <w:t>52,495.00</w:t>
            </w:r>
          </w:p>
        </w:tc>
      </w:tr>
    </w:tbl>
    <w:p w14:paraId="4A1C4DF9" w14:textId="77777777" w:rsidR="00F03469" w:rsidRPr="0047017F" w:rsidRDefault="00F03469" w:rsidP="002828BD">
      <w:pPr>
        <w:pStyle w:val="ExhibitText"/>
      </w:pPr>
    </w:p>
    <w:p w14:paraId="5DC92CF8" w14:textId="6CFEA360" w:rsidR="004E285E" w:rsidRPr="0047017F" w:rsidRDefault="004E285E" w:rsidP="00EF240D">
      <w:pPr>
        <w:pStyle w:val="Footnote"/>
        <w:outlineLvl w:val="0"/>
      </w:pPr>
      <w:r w:rsidRPr="0047017F">
        <w:t xml:space="preserve">Note: </w:t>
      </w:r>
      <w:r w:rsidR="0047017F">
        <w:t>GDP = gross domestic product</w:t>
      </w:r>
      <w:r w:rsidR="00C146D6">
        <w:t>.</w:t>
      </w:r>
    </w:p>
    <w:p w14:paraId="1A97D353" w14:textId="03E05C00" w:rsidR="006F31CD" w:rsidRPr="0047017F" w:rsidRDefault="006F31CD" w:rsidP="00836CB3">
      <w:pPr>
        <w:pStyle w:val="Footnote"/>
      </w:pPr>
      <w:r w:rsidRPr="0047017F">
        <w:t>Source</w:t>
      </w:r>
      <w:r w:rsidR="00F03469" w:rsidRPr="0047017F">
        <w:t>:</w:t>
      </w:r>
      <w:r w:rsidRPr="0047017F">
        <w:t xml:space="preserve"> Euromonitor International</w:t>
      </w:r>
      <w:r w:rsidR="00E752AB" w:rsidRPr="0047017F">
        <w:t>,</w:t>
      </w:r>
      <w:r w:rsidRPr="0047017F">
        <w:t xml:space="preserve"> </w:t>
      </w:r>
      <w:r w:rsidR="00E752AB" w:rsidRPr="0047017F">
        <w:t>“</w:t>
      </w:r>
      <w:r w:rsidRPr="0047017F">
        <w:t xml:space="preserve">Countries </w:t>
      </w:r>
      <w:r w:rsidR="00E752AB" w:rsidRPr="0047017F">
        <w:t>O</w:t>
      </w:r>
      <w:r w:rsidRPr="0047017F">
        <w:t>rdered A</w:t>
      </w:r>
      <w:r w:rsidR="00F03469" w:rsidRPr="0047017F">
        <w:t xml:space="preserve"> to </w:t>
      </w:r>
      <w:r w:rsidRPr="0047017F">
        <w:t>Z</w:t>
      </w:r>
      <w:r w:rsidR="00F03469" w:rsidRPr="0047017F">
        <w:t>,</w:t>
      </w:r>
      <w:r w:rsidR="00E752AB" w:rsidRPr="0047017F">
        <w:t>”</w:t>
      </w:r>
      <w:r w:rsidRPr="0047017F">
        <w:t xml:space="preserve"> </w:t>
      </w:r>
      <w:r w:rsidR="00320284">
        <w:t>P</w:t>
      </w:r>
      <w:r w:rsidR="0047017F">
        <w:t>assport</w:t>
      </w:r>
      <w:r w:rsidR="00320284">
        <w:t>,</w:t>
      </w:r>
      <w:r w:rsidR="0047017F">
        <w:t xml:space="preserve"> </w:t>
      </w:r>
      <w:r w:rsidR="00F03469" w:rsidRPr="0047017F">
        <w:t>a</w:t>
      </w:r>
      <w:r w:rsidRPr="0047017F">
        <w:t xml:space="preserve">ccessed March </w:t>
      </w:r>
      <w:r w:rsidR="00181834" w:rsidRPr="0047017F">
        <w:t xml:space="preserve">4, </w:t>
      </w:r>
      <w:r w:rsidRPr="0047017F">
        <w:t xml:space="preserve">2017. </w:t>
      </w:r>
    </w:p>
    <w:p w14:paraId="4D92C7B5" w14:textId="77777777" w:rsidR="000C1C95" w:rsidRPr="0047017F" w:rsidRDefault="000C1C95" w:rsidP="002828BD">
      <w:pPr>
        <w:pStyle w:val="ExhibitText"/>
      </w:pPr>
    </w:p>
    <w:sectPr w:rsidR="000C1C95" w:rsidRPr="0047017F" w:rsidSect="000C1C95">
      <w:headerReference w:type="default" r:id="rId16"/>
      <w:endnotePr>
        <w:numFmt w:val="decimal"/>
      </w:endnotePr>
      <w:pgSz w:w="15840" w:h="12240" w:orient="landscape"/>
      <w:pgMar w:top="1440" w:right="1440" w:bottom="1440" w:left="1440" w:header="108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BBE906" w16cid:durableId="1D9E09DC"/>
  <w16cid:commentId w16cid:paraId="7FC527DF" w16cid:durableId="1D9E09DD"/>
  <w16cid:commentId w16cid:paraId="33C5CDAB" w16cid:durableId="1D9E09DE"/>
  <w16cid:commentId w16cid:paraId="3F8FB9F3" w16cid:durableId="1D9E09DF"/>
  <w16cid:commentId w16cid:paraId="282E6D91" w16cid:durableId="1D9E09E0"/>
  <w16cid:commentId w16cid:paraId="75DEB47B" w16cid:durableId="1D9E09E1"/>
  <w16cid:commentId w16cid:paraId="6F9FBFAC" w16cid:durableId="1D9E09E2"/>
  <w16cid:commentId w16cid:paraId="1A6E645C" w16cid:durableId="1D9E09E3"/>
  <w16cid:commentId w16cid:paraId="2A91493B" w16cid:durableId="1D9E09E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ABD376" w14:textId="77777777" w:rsidR="004D40CD" w:rsidRDefault="004D40CD" w:rsidP="00D75295">
      <w:r>
        <w:separator/>
      </w:r>
    </w:p>
  </w:endnote>
  <w:endnote w:type="continuationSeparator" w:id="0">
    <w:p w14:paraId="55B4A936" w14:textId="77777777" w:rsidR="004D40CD" w:rsidRDefault="004D40CD"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5611CB" w14:textId="77777777" w:rsidR="004D40CD" w:rsidRDefault="004D40CD" w:rsidP="00D75295">
      <w:r>
        <w:separator/>
      </w:r>
    </w:p>
  </w:footnote>
  <w:footnote w:type="continuationSeparator" w:id="0">
    <w:p w14:paraId="21F1D966" w14:textId="77777777" w:rsidR="004D40CD" w:rsidRDefault="004D40CD" w:rsidP="00D75295">
      <w:r>
        <w:continuationSeparator/>
      </w:r>
    </w:p>
  </w:footnote>
  <w:footnote w:id="1">
    <w:p w14:paraId="1289D9AB" w14:textId="7FCE84DE" w:rsidR="004D40CD" w:rsidRPr="00836CB3" w:rsidRDefault="004D40CD" w:rsidP="00836CB3">
      <w:pPr>
        <w:pStyle w:val="Footnote"/>
        <w:rPr>
          <w:lang w:val="en-CA"/>
        </w:rPr>
      </w:pPr>
      <w:r>
        <w:rPr>
          <w:rStyle w:val="FootnoteReference"/>
        </w:rPr>
        <w:footnoteRef/>
      </w:r>
      <w:r>
        <w:t xml:space="preserve"> </w:t>
      </w:r>
      <w:r>
        <w:rPr>
          <w:lang w:val="en-CA"/>
        </w:rPr>
        <w:t>All currency amounts are in US$ unless otherwise specified.</w:t>
      </w:r>
    </w:p>
  </w:footnote>
  <w:footnote w:id="2">
    <w:p w14:paraId="119A1D08" w14:textId="5BCA9D72" w:rsidR="004D40CD" w:rsidRPr="003B1949" w:rsidRDefault="004D40CD" w:rsidP="00836CB3">
      <w:pPr>
        <w:pStyle w:val="Footnote"/>
        <w:rPr>
          <w:szCs w:val="16"/>
          <w:lang w:val="en-CA"/>
        </w:rPr>
      </w:pPr>
      <w:r w:rsidRPr="003513DC">
        <w:rPr>
          <w:rStyle w:val="FootnoteReference"/>
          <w:sz w:val="16"/>
          <w:szCs w:val="16"/>
        </w:rPr>
        <w:footnoteRef/>
      </w:r>
      <w:r w:rsidRPr="003B1949">
        <w:rPr>
          <w:szCs w:val="16"/>
          <w:lang w:val="en-CA"/>
        </w:rPr>
        <w:t xml:space="preserve"> </w:t>
      </w:r>
      <w:r w:rsidRPr="003B1949">
        <w:rPr>
          <w:lang w:val="en-CA"/>
        </w:rPr>
        <w:t>“</w:t>
      </w:r>
      <w:proofErr w:type="spellStart"/>
      <w:r w:rsidRPr="003B1949">
        <w:rPr>
          <w:lang w:val="en-CA"/>
        </w:rPr>
        <w:t>Bei</w:t>
      </w:r>
      <w:proofErr w:type="spellEnd"/>
      <w:r w:rsidRPr="003B1949">
        <w:rPr>
          <w:lang w:val="en-CA"/>
        </w:rPr>
        <w:t xml:space="preserve"> </w:t>
      </w:r>
      <w:proofErr w:type="spellStart"/>
      <w:r w:rsidRPr="003B1949">
        <w:rPr>
          <w:lang w:val="en-CA"/>
        </w:rPr>
        <w:t>Samenstau</w:t>
      </w:r>
      <w:proofErr w:type="spellEnd"/>
      <w:r w:rsidRPr="003B1949">
        <w:rPr>
          <w:lang w:val="en-CA"/>
        </w:rPr>
        <w:t xml:space="preserve"> </w:t>
      </w:r>
      <w:proofErr w:type="spellStart"/>
      <w:r w:rsidRPr="003B1949">
        <w:rPr>
          <w:lang w:val="en-CA"/>
        </w:rPr>
        <w:t>schütteln</w:t>
      </w:r>
      <w:proofErr w:type="spellEnd"/>
      <w:r w:rsidRPr="003B1949">
        <w:rPr>
          <w:lang w:val="en-CA"/>
        </w:rPr>
        <w:t>: ‘</w:t>
      </w:r>
      <w:proofErr w:type="spellStart"/>
      <w:r w:rsidRPr="003B1949">
        <w:rPr>
          <w:lang w:val="en-CA"/>
        </w:rPr>
        <w:t>Für</w:t>
      </w:r>
      <w:proofErr w:type="spellEnd"/>
      <w:r w:rsidRPr="003B1949">
        <w:rPr>
          <w:lang w:val="en-CA"/>
        </w:rPr>
        <w:t xml:space="preserve"> </w:t>
      </w:r>
      <w:proofErr w:type="spellStart"/>
      <w:r w:rsidRPr="003B1949">
        <w:rPr>
          <w:lang w:val="en-CA"/>
        </w:rPr>
        <w:t>ihre</w:t>
      </w:r>
      <w:proofErr w:type="spellEnd"/>
      <w:r w:rsidRPr="003B1949">
        <w:rPr>
          <w:lang w:val="en-CA"/>
        </w:rPr>
        <w:t xml:space="preserve"> </w:t>
      </w:r>
      <w:proofErr w:type="spellStart"/>
      <w:r w:rsidRPr="003B1949">
        <w:rPr>
          <w:lang w:val="en-CA"/>
        </w:rPr>
        <w:t>Chia</w:t>
      </w:r>
      <w:r>
        <w:rPr>
          <w:lang w:val="en-CA"/>
        </w:rPr>
        <w:t>samen-Saft-Kampagne</w:t>
      </w:r>
      <w:proofErr w:type="spellEnd"/>
      <w:r>
        <w:rPr>
          <w:lang w:val="en-CA"/>
        </w:rPr>
        <w:t xml:space="preserve"> </w:t>
      </w:r>
      <w:proofErr w:type="spellStart"/>
      <w:r>
        <w:rPr>
          <w:lang w:val="en-CA"/>
        </w:rPr>
        <w:t>setzen</w:t>
      </w:r>
      <w:proofErr w:type="spellEnd"/>
      <w:r>
        <w:rPr>
          <w:lang w:val="en-CA"/>
        </w:rPr>
        <w:t xml:space="preserve"> die “</w:t>
      </w:r>
      <w:proofErr w:type="spellStart"/>
      <w:r w:rsidRPr="003B1949">
        <w:rPr>
          <w:lang w:val="en-CA"/>
        </w:rPr>
        <w:t>Einhornkotze</w:t>
      </w:r>
      <w:proofErr w:type="spellEnd"/>
      <w:r w:rsidRPr="003B1949">
        <w:rPr>
          <w:lang w:val="en-CA"/>
        </w:rPr>
        <w:t>’-</w:t>
      </w:r>
      <w:proofErr w:type="spellStart"/>
      <w:r w:rsidRPr="003B1949">
        <w:rPr>
          <w:lang w:val="en-CA"/>
        </w:rPr>
        <w:t>Experten</w:t>
      </w:r>
      <w:proofErr w:type="spellEnd"/>
      <w:r w:rsidRPr="003B1949">
        <w:rPr>
          <w:lang w:val="en-CA"/>
        </w:rPr>
        <w:t xml:space="preserve"> von True Fruits auf anzügliche Sprüche,” [Shake in case of seminal congestion: The unicornvomit-experts of True Fruits are using </w:t>
      </w:r>
      <w:r>
        <w:rPr>
          <w:lang w:val="en-CA"/>
        </w:rPr>
        <w:t>raunchy patterns for their chia seeds campaign]</w:t>
      </w:r>
      <w:r w:rsidRPr="003B1949">
        <w:rPr>
          <w:lang w:val="en-CA"/>
        </w:rPr>
        <w:t xml:space="preserve"> Meedia Redaktion, August 29, 2016, accessed October 4, 2017, http://meedia.de/2016/08/29/bei-samenstau-schuetteln-fuer-ihre-chiasamen-saft-kampagne-setzen-die-einhornkotze-experten-von-true-fruits-auf-anzuegliche-sprueche.</w:t>
      </w:r>
    </w:p>
  </w:footnote>
  <w:footnote w:id="3">
    <w:p w14:paraId="60586AA9" w14:textId="5EF6797D" w:rsidR="004D40CD" w:rsidRPr="00320284" w:rsidRDefault="004D40CD" w:rsidP="00836CB3">
      <w:pPr>
        <w:pStyle w:val="Footnote"/>
        <w:rPr>
          <w:i/>
          <w:szCs w:val="16"/>
        </w:rPr>
      </w:pPr>
      <w:r w:rsidRPr="00320284">
        <w:rPr>
          <w:rStyle w:val="FootnoteReference"/>
          <w:sz w:val="16"/>
          <w:szCs w:val="16"/>
        </w:rPr>
        <w:footnoteRef/>
      </w:r>
      <w:r w:rsidRPr="00320284">
        <w:rPr>
          <w:szCs w:val="16"/>
        </w:rPr>
        <w:t xml:space="preserve"> “Consumption of Smoothies in Austria from 2008 to 2016 (in Million </w:t>
      </w:r>
      <w:proofErr w:type="spellStart"/>
      <w:r w:rsidRPr="00320284">
        <w:rPr>
          <w:szCs w:val="16"/>
        </w:rPr>
        <w:t>Liters</w:t>
      </w:r>
      <w:proofErr w:type="spellEnd"/>
      <w:r w:rsidRPr="00320284">
        <w:rPr>
          <w:szCs w:val="16"/>
        </w:rPr>
        <w:t xml:space="preserve">),” Statista, accessed </w:t>
      </w:r>
      <w:r>
        <w:rPr>
          <w:szCs w:val="16"/>
        </w:rPr>
        <w:t>October 4,</w:t>
      </w:r>
      <w:r w:rsidRPr="00320284">
        <w:rPr>
          <w:szCs w:val="16"/>
        </w:rPr>
        <w:t xml:space="preserve"> 2017,</w:t>
      </w:r>
      <w:r w:rsidRPr="00320284">
        <w:rPr>
          <w:i/>
          <w:szCs w:val="16"/>
        </w:rPr>
        <w:t xml:space="preserve"> </w:t>
      </w:r>
      <w:r w:rsidRPr="00320284">
        <w:rPr>
          <w:szCs w:val="16"/>
        </w:rPr>
        <w:t xml:space="preserve">www.statista.com/statistics/425627/consumption-of-smoothies-austria. </w:t>
      </w:r>
    </w:p>
  </w:footnote>
  <w:footnote w:id="4">
    <w:p w14:paraId="476B5638" w14:textId="0A923534" w:rsidR="004D40CD" w:rsidRPr="00C70423" w:rsidRDefault="004D40CD" w:rsidP="0047017F">
      <w:pPr>
        <w:pStyle w:val="Footnote"/>
      </w:pPr>
      <w:r w:rsidRPr="003B1949">
        <w:rPr>
          <w:rStyle w:val="FootnoteReference"/>
        </w:rPr>
        <w:footnoteRef/>
      </w:r>
      <w:r w:rsidRPr="00C70423">
        <w:t xml:space="preserve"> Percy </w:t>
      </w:r>
      <w:proofErr w:type="spellStart"/>
      <w:r w:rsidRPr="00C70423">
        <w:t>Bongers</w:t>
      </w:r>
      <w:proofErr w:type="spellEnd"/>
      <w:r w:rsidRPr="00C70423">
        <w:t>, “</w:t>
      </w:r>
      <w:proofErr w:type="spellStart"/>
      <w:r w:rsidRPr="00C70423">
        <w:t>Nur</w:t>
      </w:r>
      <w:proofErr w:type="spellEnd"/>
      <w:r w:rsidRPr="00C70423">
        <w:t xml:space="preserve"> das </w:t>
      </w:r>
      <w:proofErr w:type="spellStart"/>
      <w:r w:rsidRPr="00C70423">
        <w:t>Beste</w:t>
      </w:r>
      <w:proofErr w:type="spellEnd"/>
      <w:r w:rsidRPr="00C70423">
        <w:t xml:space="preserve"> in der </w:t>
      </w:r>
      <w:proofErr w:type="spellStart"/>
      <w:r w:rsidRPr="00C70423">
        <w:t>Flasche</w:t>
      </w:r>
      <w:proofErr w:type="spellEnd"/>
      <w:r w:rsidRPr="00C70423">
        <w:t xml:space="preserve"> [Only the best in the bottle],” </w:t>
      </w:r>
      <w:proofErr w:type="spellStart"/>
      <w:r w:rsidRPr="00C70423">
        <w:t>besserhaushalten</w:t>
      </w:r>
      <w:proofErr w:type="spellEnd"/>
      <w:r w:rsidRPr="00C70423">
        <w:t>, January 2017, accessed October 4, 2017, www.besserhaushalten.news/essen-leben/gourmet-genuss/true-fruits-100-frucht-no-tricks.html.</w:t>
      </w:r>
    </w:p>
  </w:footnote>
  <w:footnote w:id="5">
    <w:p w14:paraId="64EA3BBD" w14:textId="7B7FB39E" w:rsidR="004D40CD" w:rsidRPr="00C70423" w:rsidRDefault="004D40CD" w:rsidP="00836CB3">
      <w:pPr>
        <w:pStyle w:val="Footnote"/>
        <w:rPr>
          <w:spacing w:val="-4"/>
          <w:kern w:val="2"/>
        </w:rPr>
      </w:pPr>
      <w:r w:rsidRPr="003B1949">
        <w:rPr>
          <w:rStyle w:val="FootnoteReference"/>
          <w:spacing w:val="-4"/>
          <w:kern w:val="2"/>
        </w:rPr>
        <w:footnoteRef/>
      </w:r>
      <w:r w:rsidRPr="00C70423">
        <w:rPr>
          <w:spacing w:val="-4"/>
          <w:kern w:val="2"/>
        </w:rPr>
        <w:t xml:space="preserve"> “Global Smoothies Market to Reach $9.0 Billion by 2015, According to New Report by Global Industry Analysts, Inc.,” prweb</w:t>
      </w:r>
      <w:r w:rsidRPr="00C70423">
        <w:rPr>
          <w:i/>
          <w:spacing w:val="-4"/>
          <w:kern w:val="2"/>
        </w:rPr>
        <w:t xml:space="preserve">, </w:t>
      </w:r>
      <w:r w:rsidRPr="00C70423">
        <w:rPr>
          <w:spacing w:val="-4"/>
          <w:kern w:val="2"/>
        </w:rPr>
        <w:t xml:space="preserve">April 5, 2010, accessed October 4, 2017, www.prweb.com/releases/smoothies_market/frozen_mix_smoothie/prweb3808804.htm. </w:t>
      </w:r>
    </w:p>
  </w:footnote>
  <w:footnote w:id="6">
    <w:p w14:paraId="0902AB76" w14:textId="18108705" w:rsidR="004D40CD" w:rsidRPr="00C70423" w:rsidRDefault="004D40CD" w:rsidP="00836CB3">
      <w:pPr>
        <w:pStyle w:val="Footnote"/>
        <w:rPr>
          <w:spacing w:val="-8"/>
          <w:kern w:val="2"/>
        </w:rPr>
      </w:pPr>
      <w:r w:rsidRPr="003B1949">
        <w:rPr>
          <w:rStyle w:val="FootnoteReference"/>
          <w:spacing w:val="-8"/>
          <w:kern w:val="2"/>
        </w:rPr>
        <w:footnoteRef/>
      </w:r>
      <w:r w:rsidRPr="00C70423">
        <w:rPr>
          <w:spacing w:val="-8"/>
          <w:kern w:val="2"/>
        </w:rPr>
        <w:t xml:space="preserve"> Global Industry Analysts, Inc., “Evergreen Consumer Preference for Nutrient Loaded Blended Juices Sustains the Undying Popularity of Smoothies,” strategy.com, August 2016, accessed October 4, 2017, www.strategyr.com/MarketResearch/Smoothies_Market_Trends.asp.</w:t>
      </w:r>
    </w:p>
  </w:footnote>
  <w:footnote w:id="7">
    <w:p w14:paraId="467893A0" w14:textId="309FA334" w:rsidR="004D40CD" w:rsidRPr="00C70423" w:rsidRDefault="004D40CD" w:rsidP="00836CB3">
      <w:pPr>
        <w:pStyle w:val="Footnote"/>
      </w:pPr>
      <w:r w:rsidRPr="003B1949">
        <w:rPr>
          <w:rStyle w:val="FootnoteReference"/>
        </w:rPr>
        <w:footnoteRef/>
      </w:r>
      <w:r w:rsidRPr="00C70423">
        <w:t xml:space="preserve"> Andrew Alvarez, “Juice &amp; Smoothie Bars: Market Research Report,” IBISWorld, September 2016, accessed October 4, 2017, www.ibisworld.com/industry-trends/specialized-market-research-reports/consumer-goods-services/food-service-drinking-places/juice-smoothie-bars.html.</w:t>
      </w:r>
    </w:p>
  </w:footnote>
  <w:footnote w:id="8">
    <w:p w14:paraId="20355AA2" w14:textId="7744BFDA" w:rsidR="004D40CD" w:rsidRPr="00C70423" w:rsidRDefault="004D40CD" w:rsidP="0047017F">
      <w:pPr>
        <w:pStyle w:val="Footnote"/>
      </w:pPr>
      <w:r w:rsidRPr="003B1949">
        <w:rPr>
          <w:rStyle w:val="FootnoteReference"/>
        </w:rPr>
        <w:footnoteRef/>
      </w:r>
      <w:r w:rsidRPr="00C70423">
        <w:t xml:space="preserve"> “How Big is the Smoothie Industry</w:t>
      </w:r>
      <w:proofErr w:type="gramStart"/>
      <w:r w:rsidRPr="00C70423">
        <w:t>?,</w:t>
      </w:r>
      <w:proofErr w:type="gramEnd"/>
      <w:r w:rsidRPr="00C70423">
        <w:t>” Planet Smoothie,</w:t>
      </w:r>
      <w:r w:rsidRPr="00C70423">
        <w:rPr>
          <w:i/>
        </w:rPr>
        <w:t xml:space="preserve"> </w:t>
      </w:r>
      <w:r w:rsidRPr="00C70423">
        <w:t>accessed March 2017, http://planetsmoothiefranchise.com/learn-planet-smoothie/big-smoothie-industry.</w:t>
      </w:r>
    </w:p>
  </w:footnote>
  <w:footnote w:id="9">
    <w:p w14:paraId="40DDE5D2" w14:textId="043940E3" w:rsidR="004D40CD" w:rsidRPr="003B1949" w:rsidRDefault="004D40CD">
      <w:pPr>
        <w:pStyle w:val="FootnoteText"/>
        <w:rPr>
          <w:lang w:val="en-US"/>
        </w:rPr>
      </w:pPr>
      <w:r w:rsidRPr="003B1949">
        <w:rPr>
          <w:rStyle w:val="FootnoteReference"/>
          <w:rFonts w:ascii="Arial" w:hAnsi="Arial" w:cs="Arial"/>
          <w:sz w:val="17"/>
          <w:szCs w:val="17"/>
        </w:rPr>
        <w:footnoteRef/>
      </w:r>
      <w:r w:rsidRPr="003B1949">
        <w:rPr>
          <w:rFonts w:ascii="Arial" w:hAnsi="Arial" w:cs="Arial"/>
          <w:sz w:val="17"/>
          <w:szCs w:val="17"/>
        </w:rPr>
        <w:t xml:space="preserve"> Andrew Alvarez, </w:t>
      </w:r>
      <w:r>
        <w:rPr>
          <w:rFonts w:ascii="Arial" w:hAnsi="Arial" w:cs="Arial"/>
          <w:sz w:val="17"/>
          <w:szCs w:val="17"/>
        </w:rPr>
        <w:t>op. cit.</w:t>
      </w:r>
    </w:p>
  </w:footnote>
  <w:footnote w:id="10">
    <w:p w14:paraId="75B50049" w14:textId="2A514286" w:rsidR="004D40CD" w:rsidRPr="008D1F0F" w:rsidRDefault="004D40CD" w:rsidP="00836CB3">
      <w:pPr>
        <w:pStyle w:val="Footnote"/>
      </w:pPr>
      <w:r w:rsidRPr="003B1949">
        <w:rPr>
          <w:rStyle w:val="FootnoteReference"/>
        </w:rPr>
        <w:footnoteRef/>
      </w:r>
      <w:r w:rsidRPr="008D1F0F">
        <w:t xml:space="preserve"> Alvarez,</w:t>
      </w:r>
      <w:r w:rsidRPr="008D1F0F">
        <w:rPr>
          <w:i/>
        </w:rPr>
        <w:t xml:space="preserve"> </w:t>
      </w:r>
      <w:r w:rsidRPr="008D1F0F">
        <w:t>op. cit.</w:t>
      </w:r>
    </w:p>
  </w:footnote>
  <w:footnote w:id="11">
    <w:p w14:paraId="3BD8F3CB" w14:textId="0A71D291" w:rsidR="004D40CD" w:rsidRPr="008D1F0F" w:rsidRDefault="004D40CD" w:rsidP="00836CB3">
      <w:pPr>
        <w:pStyle w:val="Footnote"/>
      </w:pPr>
      <w:r w:rsidRPr="003B1949">
        <w:rPr>
          <w:rStyle w:val="FootnoteReference"/>
        </w:rPr>
        <w:footnoteRef/>
      </w:r>
      <w:r w:rsidRPr="008D1F0F">
        <w:t xml:space="preserve"> Richard Lazazzera, “Infographic: The Most Popular Smoothie in North America,” Vivonet</w:t>
      </w:r>
      <w:r w:rsidRPr="008D1F0F">
        <w:rPr>
          <w:i/>
        </w:rPr>
        <w:t xml:space="preserve">, </w:t>
      </w:r>
      <w:r w:rsidRPr="008D1F0F">
        <w:t>October 3, 2012, accessed October 4, 2017, www.vivonet.com/blog/bid/159764/infographic-the-most-popular-smoothie-in-north-america.</w:t>
      </w:r>
    </w:p>
  </w:footnote>
  <w:footnote w:id="12">
    <w:p w14:paraId="0D0D9594" w14:textId="4BA7CDE1" w:rsidR="004D40CD" w:rsidRPr="008D1F0F" w:rsidRDefault="004D40CD" w:rsidP="00836CB3">
      <w:pPr>
        <w:pStyle w:val="Footnote"/>
      </w:pPr>
      <w:r w:rsidRPr="003B1949">
        <w:rPr>
          <w:rStyle w:val="FootnoteReference"/>
          <w:lang w:val="de-DE"/>
        </w:rPr>
        <w:footnoteRef/>
      </w:r>
      <w:r w:rsidRPr="008D1F0F">
        <w:t xml:space="preserve"> </w:t>
      </w:r>
      <w:bookmarkStart w:id="0" w:name="_Hlk486605270"/>
      <w:r w:rsidRPr="003B1949">
        <w:rPr>
          <w:spacing w:val="-4"/>
          <w:kern w:val="17"/>
        </w:rPr>
        <w:t>Laura Wood, “Global Smoothies Market Growth of 7.1% CAGR by 2020—Analysis, Technologies &amp; Forecasts Report 2016–2020—Key Vendors: Bolthouse Farms, Innocent Drinks, Suja Juice—Research and Markets,” Business Wire, July 5, 2016, accessed October 4, 2017, www.businesswire.com/news/home/20160705005722/en/Global-Smoothies-Market-Growth-7.1-CAGR-2020.</w:t>
      </w:r>
    </w:p>
    <w:bookmarkEnd w:id="0"/>
  </w:footnote>
  <w:footnote w:id="13">
    <w:p w14:paraId="1D92007D" w14:textId="7F921C55" w:rsidR="004D40CD" w:rsidRPr="00C644A7" w:rsidRDefault="004D40CD" w:rsidP="00984421">
      <w:pPr>
        <w:pStyle w:val="Footnote"/>
      </w:pPr>
      <w:r w:rsidRPr="003B1949">
        <w:rPr>
          <w:rStyle w:val="FootnoteReference"/>
        </w:rPr>
        <w:footnoteRef/>
      </w:r>
      <w:r w:rsidRPr="008D1F0F">
        <w:t xml:space="preserve"> Global Industry Analysts, op. cit.</w:t>
      </w:r>
    </w:p>
  </w:footnote>
  <w:footnote w:id="14">
    <w:p w14:paraId="2FFF67F6" w14:textId="4DC04810" w:rsidR="004D40CD" w:rsidRPr="003B1949" w:rsidRDefault="004D40CD">
      <w:pPr>
        <w:pStyle w:val="FootnoteText"/>
        <w:rPr>
          <w:rFonts w:ascii="Arial" w:hAnsi="Arial" w:cs="Arial"/>
          <w:sz w:val="17"/>
          <w:szCs w:val="17"/>
          <w:lang w:val="en-US"/>
        </w:rPr>
      </w:pPr>
      <w:r w:rsidRPr="003B1949">
        <w:rPr>
          <w:rStyle w:val="FootnoteReference"/>
          <w:rFonts w:ascii="Arial" w:hAnsi="Arial" w:cs="Arial"/>
          <w:sz w:val="17"/>
          <w:szCs w:val="17"/>
        </w:rPr>
        <w:footnoteRef/>
      </w:r>
      <w:r w:rsidRPr="003B1949">
        <w:rPr>
          <w:rFonts w:ascii="Arial" w:hAnsi="Arial" w:cs="Arial"/>
          <w:sz w:val="17"/>
          <w:szCs w:val="17"/>
        </w:rPr>
        <w:t xml:space="preserve"> </w:t>
      </w:r>
      <w:r w:rsidRPr="008D1F0F">
        <w:rPr>
          <w:rFonts w:ascii="Arial" w:hAnsi="Arial" w:cs="Arial"/>
          <w:sz w:val="17"/>
          <w:szCs w:val="17"/>
        </w:rPr>
        <w:t>Andrew Alvarez, “Juice &amp; Smoothie Bars: Market Research Report,” IBISWorld, September 2016, accessed October 4, 2017, www.ibisworld.com/industry-trends/specialized-market-research-reports/consumer-goods-services/food-service-drinking-places/juice-smoothie-bars.html.</w:t>
      </w:r>
    </w:p>
  </w:footnote>
  <w:footnote w:id="15">
    <w:p w14:paraId="5523EE37" w14:textId="0780E6D6" w:rsidR="004D40CD" w:rsidRPr="003B1949" w:rsidRDefault="004D40CD">
      <w:pPr>
        <w:pStyle w:val="FootnoteText"/>
        <w:rPr>
          <w:rFonts w:ascii="Arial" w:hAnsi="Arial" w:cs="Arial"/>
          <w:sz w:val="17"/>
          <w:szCs w:val="17"/>
          <w:lang w:val="en-US"/>
        </w:rPr>
      </w:pPr>
      <w:r w:rsidRPr="003B1949">
        <w:rPr>
          <w:rStyle w:val="FootnoteReference"/>
          <w:rFonts w:ascii="Arial" w:hAnsi="Arial" w:cs="Arial"/>
          <w:sz w:val="17"/>
          <w:szCs w:val="17"/>
        </w:rPr>
        <w:footnoteRef/>
      </w:r>
      <w:r w:rsidRPr="003B1949">
        <w:rPr>
          <w:rFonts w:ascii="Arial" w:hAnsi="Arial" w:cs="Arial"/>
          <w:sz w:val="17"/>
          <w:szCs w:val="17"/>
        </w:rPr>
        <w:t xml:space="preserve"> </w:t>
      </w:r>
      <w:r>
        <w:rPr>
          <w:rFonts w:ascii="Arial" w:hAnsi="Arial" w:cs="Arial"/>
          <w:sz w:val="17"/>
          <w:szCs w:val="17"/>
        </w:rPr>
        <w:t>Ibid.</w:t>
      </w:r>
    </w:p>
  </w:footnote>
  <w:footnote w:id="16">
    <w:p w14:paraId="192E4F88" w14:textId="1ED702EE" w:rsidR="004D40CD" w:rsidRPr="008D1F0F" w:rsidRDefault="004D40CD" w:rsidP="00836CB3">
      <w:pPr>
        <w:pStyle w:val="Footnote"/>
      </w:pPr>
      <w:r w:rsidRPr="003B1949">
        <w:rPr>
          <w:rStyle w:val="FootnoteReference"/>
        </w:rPr>
        <w:footnoteRef/>
      </w:r>
      <w:r w:rsidRPr="008D1F0F">
        <w:t xml:space="preserve"> </w:t>
      </w:r>
      <w:r>
        <w:t>Ibid.</w:t>
      </w:r>
    </w:p>
  </w:footnote>
  <w:footnote w:id="17">
    <w:p w14:paraId="02F4FC50" w14:textId="7AED562E" w:rsidR="004D40CD" w:rsidRPr="003B1949" w:rsidRDefault="004D40CD">
      <w:pPr>
        <w:pStyle w:val="FootnoteText"/>
        <w:rPr>
          <w:rFonts w:ascii="Arial" w:hAnsi="Arial" w:cs="Arial"/>
          <w:sz w:val="17"/>
          <w:szCs w:val="17"/>
        </w:rPr>
      </w:pPr>
      <w:r w:rsidRPr="003B1949">
        <w:rPr>
          <w:rStyle w:val="FootnoteReference"/>
          <w:rFonts w:ascii="Arial" w:hAnsi="Arial" w:cs="Arial"/>
          <w:sz w:val="17"/>
          <w:szCs w:val="17"/>
        </w:rPr>
        <w:footnoteRef/>
      </w:r>
      <w:r w:rsidRPr="003B1949">
        <w:rPr>
          <w:rFonts w:ascii="Arial" w:hAnsi="Arial" w:cs="Arial"/>
          <w:sz w:val="17"/>
          <w:szCs w:val="17"/>
        </w:rPr>
        <w:t xml:space="preserve"> </w:t>
      </w:r>
      <w:r>
        <w:rPr>
          <w:rFonts w:ascii="Arial" w:hAnsi="Arial" w:cs="Arial"/>
          <w:sz w:val="17"/>
          <w:szCs w:val="17"/>
        </w:rPr>
        <w:t>Ibid.</w:t>
      </w:r>
    </w:p>
  </w:footnote>
  <w:footnote w:id="18">
    <w:p w14:paraId="26DB0B7E" w14:textId="607B28CD" w:rsidR="004D40CD" w:rsidRPr="003B1949" w:rsidRDefault="004D40CD">
      <w:pPr>
        <w:pStyle w:val="FootnoteText"/>
        <w:rPr>
          <w:rFonts w:ascii="Arial" w:hAnsi="Arial" w:cs="Arial"/>
          <w:sz w:val="17"/>
          <w:szCs w:val="17"/>
        </w:rPr>
      </w:pPr>
      <w:r w:rsidRPr="003B1949">
        <w:rPr>
          <w:rStyle w:val="FootnoteReference"/>
          <w:rFonts w:ascii="Arial" w:hAnsi="Arial" w:cs="Arial"/>
          <w:sz w:val="17"/>
          <w:szCs w:val="17"/>
        </w:rPr>
        <w:footnoteRef/>
      </w:r>
      <w:r w:rsidRPr="003B1949">
        <w:rPr>
          <w:rFonts w:ascii="Arial" w:hAnsi="Arial" w:cs="Arial"/>
          <w:sz w:val="17"/>
          <w:szCs w:val="17"/>
        </w:rPr>
        <w:t xml:space="preserve"> </w:t>
      </w:r>
      <w:r w:rsidRPr="008D1F0F">
        <w:rPr>
          <w:rFonts w:ascii="Arial" w:hAnsi="Arial" w:cs="Arial"/>
          <w:sz w:val="17"/>
          <w:szCs w:val="17"/>
        </w:rPr>
        <w:t xml:space="preserve">Andrew Alvarez, </w:t>
      </w:r>
      <w:r>
        <w:rPr>
          <w:rFonts w:ascii="Arial" w:hAnsi="Arial" w:cs="Arial"/>
          <w:sz w:val="17"/>
          <w:szCs w:val="17"/>
        </w:rPr>
        <w:t>op. cit.</w:t>
      </w:r>
    </w:p>
  </w:footnote>
  <w:footnote w:id="19">
    <w:p w14:paraId="20ADC2DD" w14:textId="30EA273E" w:rsidR="004D40CD" w:rsidRPr="00C644A7" w:rsidRDefault="004D40CD" w:rsidP="00836CB3">
      <w:pPr>
        <w:pStyle w:val="Footnote"/>
      </w:pPr>
      <w:r w:rsidRPr="003B1949">
        <w:rPr>
          <w:rStyle w:val="FootnoteReference"/>
        </w:rPr>
        <w:footnoteRef/>
      </w:r>
      <w:r w:rsidRPr="008D1F0F">
        <w:t xml:space="preserve"> Global Industry Analysts, op. cit.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ACE75" w14:textId="19252469" w:rsidR="004D40CD" w:rsidRDefault="004D40CD"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862DF5">
      <w:rPr>
        <w:rFonts w:ascii="Arial" w:hAnsi="Arial"/>
        <w:b/>
        <w:noProof/>
      </w:rPr>
      <w:t>8</w:t>
    </w:r>
    <w:r>
      <w:rPr>
        <w:rFonts w:ascii="Arial" w:hAnsi="Arial"/>
        <w:b/>
      </w:rPr>
      <w:fldChar w:fldCharType="end"/>
    </w:r>
    <w:r>
      <w:rPr>
        <w:rFonts w:ascii="Arial" w:hAnsi="Arial"/>
        <w:b/>
      </w:rPr>
      <w:tab/>
      <w:t>9B17A058</w:t>
    </w:r>
  </w:p>
  <w:p w14:paraId="731F1F64" w14:textId="77777777" w:rsidR="004D40CD" w:rsidRPr="00C92CC4" w:rsidRDefault="004D40CD">
    <w:pPr>
      <w:pStyle w:val="Header"/>
      <w:rPr>
        <w:sz w:val="18"/>
        <w:szCs w:val="18"/>
      </w:rPr>
    </w:pPr>
  </w:p>
  <w:p w14:paraId="0C0424B6" w14:textId="77777777" w:rsidR="004D40CD" w:rsidRPr="00C92CC4" w:rsidRDefault="004D40CD">
    <w:pPr>
      <w:pStyle w:val="Header"/>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14A1AB" w14:textId="3DF32663" w:rsidR="004D40CD" w:rsidRDefault="004D40CD" w:rsidP="000C1C95">
    <w:pPr>
      <w:pBdr>
        <w:bottom w:val="single" w:sz="18" w:space="1" w:color="auto"/>
      </w:pBdr>
      <w:tabs>
        <w:tab w:val="right" w:pos="129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862DF5">
      <w:rPr>
        <w:rFonts w:ascii="Arial" w:hAnsi="Arial"/>
        <w:b/>
        <w:noProof/>
      </w:rPr>
      <w:t>13</w:t>
    </w:r>
    <w:r>
      <w:rPr>
        <w:rFonts w:ascii="Arial" w:hAnsi="Arial"/>
        <w:b/>
      </w:rPr>
      <w:fldChar w:fldCharType="end"/>
    </w:r>
    <w:r>
      <w:rPr>
        <w:rFonts w:ascii="Arial" w:hAnsi="Arial"/>
        <w:b/>
      </w:rPr>
      <w:tab/>
      <w:t>9B17A058</w:t>
    </w:r>
  </w:p>
  <w:p w14:paraId="728AFA8E" w14:textId="77777777" w:rsidR="004D40CD" w:rsidRPr="00C92CC4" w:rsidRDefault="004D40CD" w:rsidP="000C1C95">
    <w:pPr>
      <w:pStyle w:val="Header"/>
      <w:tabs>
        <w:tab w:val="clear" w:pos="4680"/>
        <w:tab w:val="clear" w:pos="9360"/>
        <w:tab w:val="right" w:pos="12960"/>
      </w:tabs>
      <w:rPr>
        <w:sz w:val="18"/>
        <w:szCs w:val="18"/>
      </w:rPr>
    </w:pPr>
  </w:p>
  <w:p w14:paraId="58BB06D5" w14:textId="77777777" w:rsidR="004D40CD" w:rsidRPr="00C92CC4" w:rsidRDefault="004D40CD" w:rsidP="000C1C95">
    <w:pPr>
      <w:pStyle w:val="Header"/>
      <w:tabs>
        <w:tab w:val="clear" w:pos="4680"/>
        <w:tab w:val="clear" w:pos="9360"/>
        <w:tab w:val="right" w:pos="1296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D150A6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15A109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75EA65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AEF8E24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B6EF46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BC9AF02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BD6B0B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D80E2F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53C225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2B6359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5EE87E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0"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3" w15:restartNumberingAfterBreak="0">
    <w:nsid w:val="659A0AB6"/>
    <w:multiLevelType w:val="hybridMultilevel"/>
    <w:tmpl w:val="99107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5"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4"/>
  </w:num>
  <w:num w:numId="12">
    <w:abstractNumId w:val="19"/>
  </w:num>
  <w:num w:numId="13">
    <w:abstractNumId w:val="13"/>
  </w:num>
  <w:num w:numId="14">
    <w:abstractNumId w:val="20"/>
  </w:num>
  <w:num w:numId="15">
    <w:abstractNumId w:val="21"/>
  </w:num>
  <w:num w:numId="16">
    <w:abstractNumId w:val="22"/>
  </w:num>
  <w:num w:numId="17">
    <w:abstractNumId w:val="16"/>
  </w:num>
  <w:num w:numId="18">
    <w:abstractNumId w:val="24"/>
  </w:num>
  <w:num w:numId="19">
    <w:abstractNumId w:val="12"/>
  </w:num>
  <w:num w:numId="20">
    <w:abstractNumId w:val="11"/>
  </w:num>
  <w:num w:numId="21">
    <w:abstractNumId w:val="25"/>
  </w:num>
  <w:num w:numId="22">
    <w:abstractNumId w:val="18"/>
  </w:num>
  <w:num w:numId="23">
    <w:abstractNumId w:val="26"/>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6"/>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6"/>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5"/>
  </w:num>
  <w:num w:numId="27">
    <w:abstractNumId w:val="17"/>
  </w:num>
  <w:num w:numId="28">
    <w:abstractNumId w:val="23"/>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1228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PWAFVersion" w:val="5.0"/>
  </w:docVars>
  <w:rsids>
    <w:rsidRoot w:val="008A4DC4"/>
    <w:rsid w:val="0000085A"/>
    <w:rsid w:val="000131AE"/>
    <w:rsid w:val="00013360"/>
    <w:rsid w:val="00016A96"/>
    <w:rsid w:val="000216CE"/>
    <w:rsid w:val="00025DC7"/>
    <w:rsid w:val="00026486"/>
    <w:rsid w:val="000276D4"/>
    <w:rsid w:val="00032D2E"/>
    <w:rsid w:val="00044ECC"/>
    <w:rsid w:val="0005198F"/>
    <w:rsid w:val="000531D3"/>
    <w:rsid w:val="0005646B"/>
    <w:rsid w:val="000635D2"/>
    <w:rsid w:val="0008102D"/>
    <w:rsid w:val="0009403C"/>
    <w:rsid w:val="00094C0E"/>
    <w:rsid w:val="000A6840"/>
    <w:rsid w:val="000B5D3E"/>
    <w:rsid w:val="000C1C95"/>
    <w:rsid w:val="000D284D"/>
    <w:rsid w:val="000F0C22"/>
    <w:rsid w:val="000F6B09"/>
    <w:rsid w:val="000F6FDC"/>
    <w:rsid w:val="00104567"/>
    <w:rsid w:val="00112753"/>
    <w:rsid w:val="00123AB3"/>
    <w:rsid w:val="0012583A"/>
    <w:rsid w:val="0012732D"/>
    <w:rsid w:val="00154FC9"/>
    <w:rsid w:val="00172F54"/>
    <w:rsid w:val="00181834"/>
    <w:rsid w:val="0019241A"/>
    <w:rsid w:val="001A04F0"/>
    <w:rsid w:val="001A5335"/>
    <w:rsid w:val="001A752D"/>
    <w:rsid w:val="001C7012"/>
    <w:rsid w:val="001D411B"/>
    <w:rsid w:val="00203AA1"/>
    <w:rsid w:val="00213E98"/>
    <w:rsid w:val="00216C50"/>
    <w:rsid w:val="00232A47"/>
    <w:rsid w:val="00253F3F"/>
    <w:rsid w:val="00255E36"/>
    <w:rsid w:val="00256509"/>
    <w:rsid w:val="0026440D"/>
    <w:rsid w:val="002749A8"/>
    <w:rsid w:val="002828BD"/>
    <w:rsid w:val="00296F30"/>
    <w:rsid w:val="002A1318"/>
    <w:rsid w:val="002A6C1E"/>
    <w:rsid w:val="002B53B8"/>
    <w:rsid w:val="002B5801"/>
    <w:rsid w:val="002E32F0"/>
    <w:rsid w:val="002E431B"/>
    <w:rsid w:val="002F3AD6"/>
    <w:rsid w:val="002F460C"/>
    <w:rsid w:val="002F48D6"/>
    <w:rsid w:val="003036DF"/>
    <w:rsid w:val="00320284"/>
    <w:rsid w:val="0033075E"/>
    <w:rsid w:val="0034332C"/>
    <w:rsid w:val="003438AA"/>
    <w:rsid w:val="003513DC"/>
    <w:rsid w:val="00354899"/>
    <w:rsid w:val="00355FD6"/>
    <w:rsid w:val="00361C8E"/>
    <w:rsid w:val="00362AE6"/>
    <w:rsid w:val="00364A5C"/>
    <w:rsid w:val="00373FB1"/>
    <w:rsid w:val="003815B1"/>
    <w:rsid w:val="003858B3"/>
    <w:rsid w:val="003B1949"/>
    <w:rsid w:val="003B1E36"/>
    <w:rsid w:val="003B30D8"/>
    <w:rsid w:val="003B3D71"/>
    <w:rsid w:val="003B7EF2"/>
    <w:rsid w:val="003C3FA4"/>
    <w:rsid w:val="003D3073"/>
    <w:rsid w:val="003E3221"/>
    <w:rsid w:val="003E7CB5"/>
    <w:rsid w:val="003F2B0C"/>
    <w:rsid w:val="003F495E"/>
    <w:rsid w:val="0040436A"/>
    <w:rsid w:val="004221E4"/>
    <w:rsid w:val="00446A4F"/>
    <w:rsid w:val="00464508"/>
    <w:rsid w:val="0047017F"/>
    <w:rsid w:val="00471088"/>
    <w:rsid w:val="00483AF9"/>
    <w:rsid w:val="004855AA"/>
    <w:rsid w:val="004A02A5"/>
    <w:rsid w:val="004A4B80"/>
    <w:rsid w:val="004B1CCB"/>
    <w:rsid w:val="004D40CD"/>
    <w:rsid w:val="004D73A5"/>
    <w:rsid w:val="004E285E"/>
    <w:rsid w:val="005021D7"/>
    <w:rsid w:val="00505663"/>
    <w:rsid w:val="005151BA"/>
    <w:rsid w:val="00516C8A"/>
    <w:rsid w:val="00532CF5"/>
    <w:rsid w:val="005374DE"/>
    <w:rsid w:val="005528CB"/>
    <w:rsid w:val="00566771"/>
    <w:rsid w:val="0058066F"/>
    <w:rsid w:val="00581E2E"/>
    <w:rsid w:val="00584F15"/>
    <w:rsid w:val="00596AD0"/>
    <w:rsid w:val="005C20D1"/>
    <w:rsid w:val="005D3D43"/>
    <w:rsid w:val="005F03F6"/>
    <w:rsid w:val="006163F7"/>
    <w:rsid w:val="00616AF4"/>
    <w:rsid w:val="00652606"/>
    <w:rsid w:val="00680092"/>
    <w:rsid w:val="00682754"/>
    <w:rsid w:val="006844AA"/>
    <w:rsid w:val="0069186E"/>
    <w:rsid w:val="006A58A9"/>
    <w:rsid w:val="006A606D"/>
    <w:rsid w:val="006B163B"/>
    <w:rsid w:val="006B7F7A"/>
    <w:rsid w:val="006C0371"/>
    <w:rsid w:val="006C08B6"/>
    <w:rsid w:val="006C0B1A"/>
    <w:rsid w:val="006C4384"/>
    <w:rsid w:val="006C6065"/>
    <w:rsid w:val="006C6747"/>
    <w:rsid w:val="006C7F9F"/>
    <w:rsid w:val="006D61F4"/>
    <w:rsid w:val="006E0B77"/>
    <w:rsid w:val="006E2F6D"/>
    <w:rsid w:val="006E3E0C"/>
    <w:rsid w:val="006E58F6"/>
    <w:rsid w:val="006E77E1"/>
    <w:rsid w:val="006F131D"/>
    <w:rsid w:val="006F1D9E"/>
    <w:rsid w:val="006F31CD"/>
    <w:rsid w:val="007023DF"/>
    <w:rsid w:val="00727E2B"/>
    <w:rsid w:val="00746F20"/>
    <w:rsid w:val="00752BCD"/>
    <w:rsid w:val="007624AD"/>
    <w:rsid w:val="00766DA1"/>
    <w:rsid w:val="00770E9F"/>
    <w:rsid w:val="007866A6"/>
    <w:rsid w:val="007A130D"/>
    <w:rsid w:val="007A1349"/>
    <w:rsid w:val="007A40FB"/>
    <w:rsid w:val="007C3EE3"/>
    <w:rsid w:val="007C40E2"/>
    <w:rsid w:val="007C549A"/>
    <w:rsid w:val="007D4102"/>
    <w:rsid w:val="007E5921"/>
    <w:rsid w:val="007F7790"/>
    <w:rsid w:val="00801530"/>
    <w:rsid w:val="00821FFC"/>
    <w:rsid w:val="00824DD4"/>
    <w:rsid w:val="0082674C"/>
    <w:rsid w:val="008271CA"/>
    <w:rsid w:val="00827E0A"/>
    <w:rsid w:val="00834C93"/>
    <w:rsid w:val="00836CB3"/>
    <w:rsid w:val="00843833"/>
    <w:rsid w:val="008467D5"/>
    <w:rsid w:val="00856D9F"/>
    <w:rsid w:val="00862DF5"/>
    <w:rsid w:val="00866F6D"/>
    <w:rsid w:val="008A4DC4"/>
    <w:rsid w:val="008B6B34"/>
    <w:rsid w:val="008C7AEE"/>
    <w:rsid w:val="008D1F0F"/>
    <w:rsid w:val="008E0E5C"/>
    <w:rsid w:val="009067A4"/>
    <w:rsid w:val="0090722E"/>
    <w:rsid w:val="00933165"/>
    <w:rsid w:val="009340DB"/>
    <w:rsid w:val="009360B2"/>
    <w:rsid w:val="00945F9E"/>
    <w:rsid w:val="009479DC"/>
    <w:rsid w:val="009637FB"/>
    <w:rsid w:val="00972498"/>
    <w:rsid w:val="00974CC6"/>
    <w:rsid w:val="00976AD4"/>
    <w:rsid w:val="00976C4A"/>
    <w:rsid w:val="00984421"/>
    <w:rsid w:val="009928E1"/>
    <w:rsid w:val="00996A96"/>
    <w:rsid w:val="009A312F"/>
    <w:rsid w:val="009A5348"/>
    <w:rsid w:val="009A67BB"/>
    <w:rsid w:val="009C76D5"/>
    <w:rsid w:val="009D5970"/>
    <w:rsid w:val="009F7AA4"/>
    <w:rsid w:val="00A224B3"/>
    <w:rsid w:val="00A24260"/>
    <w:rsid w:val="00A25E9A"/>
    <w:rsid w:val="00A42366"/>
    <w:rsid w:val="00A559DB"/>
    <w:rsid w:val="00A96E1F"/>
    <w:rsid w:val="00AA0BF6"/>
    <w:rsid w:val="00AC28B9"/>
    <w:rsid w:val="00AE4474"/>
    <w:rsid w:val="00AF35FC"/>
    <w:rsid w:val="00AF3DD4"/>
    <w:rsid w:val="00B03639"/>
    <w:rsid w:val="00B04592"/>
    <w:rsid w:val="00B0652A"/>
    <w:rsid w:val="00B11DD5"/>
    <w:rsid w:val="00B17E60"/>
    <w:rsid w:val="00B23E71"/>
    <w:rsid w:val="00B27E38"/>
    <w:rsid w:val="00B305D4"/>
    <w:rsid w:val="00B3757D"/>
    <w:rsid w:val="00B40937"/>
    <w:rsid w:val="00B423EF"/>
    <w:rsid w:val="00B453DE"/>
    <w:rsid w:val="00B4742F"/>
    <w:rsid w:val="00B6126E"/>
    <w:rsid w:val="00B628FE"/>
    <w:rsid w:val="00B73227"/>
    <w:rsid w:val="00B901F9"/>
    <w:rsid w:val="00B912DD"/>
    <w:rsid w:val="00B92E07"/>
    <w:rsid w:val="00BC7C29"/>
    <w:rsid w:val="00BD33AD"/>
    <w:rsid w:val="00BD6EFB"/>
    <w:rsid w:val="00C10832"/>
    <w:rsid w:val="00C146D6"/>
    <w:rsid w:val="00C15BE2"/>
    <w:rsid w:val="00C22219"/>
    <w:rsid w:val="00C3447F"/>
    <w:rsid w:val="00C453F1"/>
    <w:rsid w:val="00C70423"/>
    <w:rsid w:val="00C72490"/>
    <w:rsid w:val="00C800CE"/>
    <w:rsid w:val="00C81491"/>
    <w:rsid w:val="00C81676"/>
    <w:rsid w:val="00C90CC4"/>
    <w:rsid w:val="00C92CC4"/>
    <w:rsid w:val="00CA0AFB"/>
    <w:rsid w:val="00CA1A92"/>
    <w:rsid w:val="00CA2CE1"/>
    <w:rsid w:val="00CA3976"/>
    <w:rsid w:val="00CA757B"/>
    <w:rsid w:val="00CB6B09"/>
    <w:rsid w:val="00CC1787"/>
    <w:rsid w:val="00CC182C"/>
    <w:rsid w:val="00CD0824"/>
    <w:rsid w:val="00CD2908"/>
    <w:rsid w:val="00CF1E57"/>
    <w:rsid w:val="00D00672"/>
    <w:rsid w:val="00D03A82"/>
    <w:rsid w:val="00D07D73"/>
    <w:rsid w:val="00D15344"/>
    <w:rsid w:val="00D248C2"/>
    <w:rsid w:val="00D31BEC"/>
    <w:rsid w:val="00D31D88"/>
    <w:rsid w:val="00D5079F"/>
    <w:rsid w:val="00D63150"/>
    <w:rsid w:val="00D64A32"/>
    <w:rsid w:val="00D64EFC"/>
    <w:rsid w:val="00D75295"/>
    <w:rsid w:val="00D76CE9"/>
    <w:rsid w:val="00D90696"/>
    <w:rsid w:val="00D97F12"/>
    <w:rsid w:val="00DA3F5B"/>
    <w:rsid w:val="00DA526C"/>
    <w:rsid w:val="00DA5729"/>
    <w:rsid w:val="00DB42E7"/>
    <w:rsid w:val="00DF32C2"/>
    <w:rsid w:val="00DF6F2E"/>
    <w:rsid w:val="00E0435F"/>
    <w:rsid w:val="00E044AF"/>
    <w:rsid w:val="00E27C94"/>
    <w:rsid w:val="00E46B9F"/>
    <w:rsid w:val="00E471A7"/>
    <w:rsid w:val="00E601D1"/>
    <w:rsid w:val="00E635CF"/>
    <w:rsid w:val="00E65F50"/>
    <w:rsid w:val="00E752AB"/>
    <w:rsid w:val="00E76FD2"/>
    <w:rsid w:val="00EB5410"/>
    <w:rsid w:val="00EC6E0A"/>
    <w:rsid w:val="00ED4E18"/>
    <w:rsid w:val="00ED56D8"/>
    <w:rsid w:val="00ED5D3B"/>
    <w:rsid w:val="00ED6050"/>
    <w:rsid w:val="00EE1F37"/>
    <w:rsid w:val="00EE7937"/>
    <w:rsid w:val="00EF240D"/>
    <w:rsid w:val="00EF4450"/>
    <w:rsid w:val="00F0159C"/>
    <w:rsid w:val="00F02134"/>
    <w:rsid w:val="00F03469"/>
    <w:rsid w:val="00F04B9A"/>
    <w:rsid w:val="00F105B7"/>
    <w:rsid w:val="00F11940"/>
    <w:rsid w:val="00F17A21"/>
    <w:rsid w:val="00F35F07"/>
    <w:rsid w:val="00F50E91"/>
    <w:rsid w:val="00F57D29"/>
    <w:rsid w:val="00F67B59"/>
    <w:rsid w:val="00F71A64"/>
    <w:rsid w:val="00F722D8"/>
    <w:rsid w:val="00F92A99"/>
    <w:rsid w:val="00F96201"/>
    <w:rsid w:val="00F96285"/>
    <w:rsid w:val="00FC12A3"/>
    <w:rsid w:val="00FC30E9"/>
    <w:rsid w:val="00FC5A6E"/>
    <w:rsid w:val="00FD0B18"/>
    <w:rsid w:val="00FD0F82"/>
    <w:rsid w:val="00FE714F"/>
    <w:rsid w:val="00FF0F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060F925"/>
  <w15:docId w15:val="{0B4D221B-424F-4528-BDD2-E2AA5EAFB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C7C29"/>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link w:val="Heading1Char"/>
    <w:uiPriority w:val="9"/>
    <w:qFormat/>
    <w:rsid w:val="005C20D1"/>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qFormat/>
    <w:rsid w:val="00362AE6"/>
    <w:rPr>
      <w:b w:val="0"/>
      <w:color w:val="auto"/>
      <w:vertAlign w:val="superscript"/>
    </w:rPr>
  </w:style>
  <w:style w:type="paragraph" w:customStyle="1" w:styleId="Footnote">
    <w:name w:val="Footnote"/>
    <w:basedOn w:val="FootnoteText"/>
    <w:link w:val="FootnoteChar"/>
    <w:qFormat/>
    <w:rsid w:val="006F1D9E"/>
    <w:pPr>
      <w:jc w:val="both"/>
    </w:pPr>
    <w:rPr>
      <w:rFonts w:ascii="Arial" w:hAnsi="Arial" w:cs="Arial"/>
      <w:sz w:val="17"/>
      <w:szCs w:val="17"/>
    </w:rPr>
  </w:style>
  <w:style w:type="character" w:customStyle="1" w:styleId="FootnoteChar">
    <w:name w:val="Footnote Char"/>
    <w:basedOn w:val="FootnoteTextChar"/>
    <w:link w:val="Footnote"/>
    <w:rsid w:val="006F1D9E"/>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3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paragraph" w:customStyle="1" w:styleId="IveyQuotes">
    <w:name w:val="Ivey Quotes"/>
    <w:basedOn w:val="Normal"/>
    <w:link w:val="IveyQuotesChar"/>
    <w:qFormat/>
    <w:rsid w:val="004A4B80"/>
    <w:pPr>
      <w:tabs>
        <w:tab w:val="left" w:pos="-1440"/>
        <w:tab w:val="left" w:pos="-720"/>
        <w:tab w:val="left" w:pos="1"/>
        <w:tab w:val="right" w:pos="9360"/>
      </w:tabs>
      <w:ind w:left="284"/>
      <w:contextualSpacing/>
      <w:jc w:val="both"/>
    </w:pPr>
    <w:rPr>
      <w:sz w:val="22"/>
    </w:rPr>
  </w:style>
  <w:style w:type="character" w:customStyle="1" w:styleId="IveyQuotesChar">
    <w:name w:val="Ivey Quotes Char"/>
    <w:basedOn w:val="DefaultParagraphFont"/>
    <w:link w:val="IveyQuotes"/>
    <w:rsid w:val="004A4B80"/>
    <w:rPr>
      <w:rFonts w:ascii="Times New Roman" w:eastAsia="Times New Roman" w:hAnsi="Times New Roman" w:cs="Times New Roman"/>
      <w:szCs w:val="20"/>
      <w:lang w:val="en-GB"/>
    </w:rPr>
  </w:style>
  <w:style w:type="character" w:customStyle="1" w:styleId="Heading1Char">
    <w:name w:val="Heading 1 Char"/>
    <w:basedOn w:val="DefaultParagraphFont"/>
    <w:link w:val="Heading1"/>
    <w:uiPriority w:val="9"/>
    <w:rsid w:val="005C20D1"/>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216C50"/>
    <w:rPr>
      <w:color w:val="800080" w:themeColor="followedHyperlink"/>
      <w:u w:val="single"/>
    </w:rPr>
  </w:style>
  <w:style w:type="character" w:customStyle="1" w:styleId="UnresolvedMention1">
    <w:name w:val="Unresolved Mention1"/>
    <w:basedOn w:val="DefaultParagraphFont"/>
    <w:uiPriority w:val="99"/>
    <w:semiHidden/>
    <w:unhideWhenUsed/>
    <w:rsid w:val="003513D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C3EDCA-5FD7-4834-A052-DDF643943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13</Pages>
  <Words>4208</Words>
  <Characters>23990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28142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Martinali, Sara</cp:lastModifiedBy>
  <cp:revision>5</cp:revision>
  <cp:lastPrinted>2017-11-13T13:52:00Z</cp:lastPrinted>
  <dcterms:created xsi:type="dcterms:W3CDTF">2017-11-07T19:50:00Z</dcterms:created>
  <dcterms:modified xsi:type="dcterms:W3CDTF">2018-03-22T12:10:00Z</dcterms:modified>
</cp:coreProperties>
</file>