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1FC94" w14:textId="61D8D737" w:rsidR="008467D5" w:rsidRPr="002B43C8" w:rsidRDefault="001A3E09" w:rsidP="002E4F13">
      <w:pPr>
        <w:tabs>
          <w:tab w:val="left" w:pos="-1440"/>
          <w:tab w:val="left" w:pos="-720"/>
          <w:tab w:val="left" w:pos="1"/>
          <w:tab w:val="right" w:pos="9360"/>
        </w:tabs>
        <w:rPr>
          <w:rFonts w:ascii="Arial" w:hAnsi="Arial"/>
          <w:sz w:val="24"/>
          <w:lang w:val="en-GB"/>
        </w:rPr>
      </w:pPr>
      <w:r w:rsidRPr="001A3E09">
        <w:rPr>
          <w:rFonts w:ascii="Arial" w:hAnsi="Arial"/>
          <w:b/>
          <w:noProof/>
          <w:sz w:val="24"/>
        </w:rPr>
        <w:drawing>
          <wp:inline distT="0" distB="0" distL="0" distR="0" wp14:anchorId="5BB92677" wp14:editId="69058F5A">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2E4F13">
        <w:rPr>
          <w:rFonts w:ascii="Arial" w:hAnsi="Arial"/>
          <w:sz w:val="24"/>
          <w:lang w:val="en-GB"/>
        </w:rPr>
        <w:tab/>
      </w:r>
      <w:r w:rsidR="002E4F13" w:rsidRPr="002E4F13">
        <w:rPr>
          <w:rFonts w:ascii="IveyVHWLogos" w:eastAsia="SimSun" w:hAnsi="IveyVHWLogos"/>
          <w:noProof/>
          <w:sz w:val="44"/>
          <w:szCs w:val="44"/>
        </w:rPr>
        <w:drawing>
          <wp:inline distT="0" distB="0" distL="0" distR="0" wp14:anchorId="711FCF5A" wp14:editId="6C62A63B">
            <wp:extent cx="1328580" cy="548640"/>
            <wp:effectExtent l="0" t="0" r="5080" b="3810"/>
            <wp:docPr id="25" name="Picture 25"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p w14:paraId="5EA2641C" w14:textId="77777777" w:rsidR="00856D9F" w:rsidRPr="002B43C8"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16E77DAF" w14:textId="683346CE" w:rsidR="00D75295" w:rsidRPr="002B43C8" w:rsidRDefault="002A3689" w:rsidP="007F36EF">
      <w:pPr>
        <w:pStyle w:val="ProductNumber"/>
        <w:outlineLvl w:val="0"/>
        <w:rPr>
          <w:lang w:val="en-GB"/>
        </w:rPr>
      </w:pPr>
      <w:r>
        <w:rPr>
          <w:lang w:val="en-GB"/>
        </w:rPr>
        <w:t>9B17A059</w:t>
      </w:r>
    </w:p>
    <w:p w14:paraId="49CD718C" w14:textId="77777777" w:rsidR="00D75295" w:rsidRPr="002B43C8" w:rsidRDefault="00D75295" w:rsidP="00D75295">
      <w:pPr>
        <w:jc w:val="right"/>
        <w:rPr>
          <w:rFonts w:ascii="Arial" w:hAnsi="Arial"/>
          <w:b/>
          <w:sz w:val="28"/>
          <w:szCs w:val="28"/>
          <w:lang w:val="en-GB"/>
        </w:rPr>
      </w:pPr>
    </w:p>
    <w:p w14:paraId="6989F2EE" w14:textId="77777777" w:rsidR="00866F6D" w:rsidRPr="002B43C8" w:rsidRDefault="00866F6D" w:rsidP="00D75295">
      <w:pPr>
        <w:jc w:val="right"/>
        <w:rPr>
          <w:rFonts w:ascii="Arial" w:hAnsi="Arial"/>
          <w:b/>
          <w:sz w:val="28"/>
          <w:szCs w:val="28"/>
          <w:lang w:val="en-GB"/>
        </w:rPr>
      </w:pPr>
    </w:p>
    <w:p w14:paraId="6C3983F4" w14:textId="77777777" w:rsidR="00013360" w:rsidRPr="002B43C8" w:rsidRDefault="0087062D" w:rsidP="00013360">
      <w:pPr>
        <w:pStyle w:val="CaseTitle"/>
        <w:spacing w:after="0" w:line="240" w:lineRule="auto"/>
        <w:rPr>
          <w:lang w:val="en-GB"/>
        </w:rPr>
      </w:pPr>
      <w:r w:rsidRPr="002B43C8">
        <w:rPr>
          <w:lang w:val="en-GB"/>
        </w:rPr>
        <w:t>MARUTI SUZUKI INDIA LIMITED: LEVERAGING THE CHANGED ECONOMY</w:t>
      </w:r>
    </w:p>
    <w:p w14:paraId="75880C44" w14:textId="77777777" w:rsidR="00013360" w:rsidRPr="002B43C8" w:rsidRDefault="00013360" w:rsidP="00013360">
      <w:pPr>
        <w:pStyle w:val="CaseTitle"/>
        <w:spacing w:after="0" w:line="240" w:lineRule="auto"/>
        <w:rPr>
          <w:sz w:val="20"/>
          <w:szCs w:val="20"/>
          <w:lang w:val="en-GB"/>
        </w:rPr>
      </w:pPr>
    </w:p>
    <w:p w14:paraId="7F4B8ACE" w14:textId="77777777" w:rsidR="00CA3976" w:rsidRPr="002B43C8" w:rsidRDefault="00CA3976" w:rsidP="00013360">
      <w:pPr>
        <w:pStyle w:val="CaseTitle"/>
        <w:spacing w:after="0" w:line="240" w:lineRule="auto"/>
        <w:rPr>
          <w:sz w:val="20"/>
          <w:szCs w:val="20"/>
          <w:lang w:val="en-GB"/>
        </w:rPr>
      </w:pPr>
    </w:p>
    <w:p w14:paraId="1018F5A7" w14:textId="77777777" w:rsidR="00013360" w:rsidRPr="002B43C8" w:rsidRDefault="00013360" w:rsidP="00013360">
      <w:pPr>
        <w:pStyle w:val="CaseTitle"/>
        <w:spacing w:after="0" w:line="240" w:lineRule="auto"/>
        <w:rPr>
          <w:sz w:val="20"/>
          <w:szCs w:val="20"/>
          <w:lang w:val="en-GB"/>
        </w:rPr>
      </w:pPr>
    </w:p>
    <w:p w14:paraId="2894C20A" w14:textId="37020B74" w:rsidR="00013360" w:rsidRPr="002B43C8" w:rsidRDefault="0087062D" w:rsidP="00104567">
      <w:pPr>
        <w:pStyle w:val="StyleCopyrightStatementAfter0ptBottomSinglesolidline1"/>
        <w:rPr>
          <w:lang w:val="en-GB"/>
        </w:rPr>
      </w:pPr>
      <w:r w:rsidRPr="002B43C8">
        <w:rPr>
          <w:lang w:val="en-GB"/>
        </w:rPr>
        <w:t>Prateeksha Parihar, Jagrook Dawra and Vinita Sahay</w:t>
      </w:r>
      <w:r w:rsidR="007E5921" w:rsidRPr="002B43C8">
        <w:rPr>
          <w:lang w:val="en-GB"/>
        </w:rPr>
        <w:t xml:space="preserve"> wrote this case sol</w:t>
      </w:r>
      <w:r w:rsidR="00D75295" w:rsidRPr="002B43C8">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DE4C036" w14:textId="77777777" w:rsidR="00013360" w:rsidRPr="002B43C8" w:rsidRDefault="00013360" w:rsidP="00104567">
      <w:pPr>
        <w:pStyle w:val="StyleCopyrightStatementAfter0ptBottomSinglesolidline1"/>
        <w:rPr>
          <w:lang w:val="en-GB"/>
        </w:rPr>
      </w:pPr>
    </w:p>
    <w:p w14:paraId="3F912E6D" w14:textId="5C5213B6" w:rsidR="001A3E09" w:rsidRPr="0047017F" w:rsidRDefault="001A3E09" w:rsidP="001A3E09">
      <w:pPr>
        <w:pStyle w:val="StyleStyleCopyrightStatementAfter0ptBottomSinglesolid"/>
      </w:pPr>
      <w:r w:rsidRPr="0047017F">
        <w:t>This publication may not be transmitted, photocopied, digitized</w:t>
      </w:r>
      <w:r w:rsidR="002C26C6">
        <w:t>,</w:t>
      </w:r>
      <w:r w:rsidRPr="0047017F">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FAEEE6E" w14:textId="77777777" w:rsidR="001A3E09" w:rsidRPr="0047017F" w:rsidRDefault="001A3E09" w:rsidP="001A3E09">
      <w:pPr>
        <w:pStyle w:val="StyleStyleCopyrightStatementAfter0ptBottomSinglesolid"/>
      </w:pPr>
    </w:p>
    <w:p w14:paraId="0539A8D5" w14:textId="1922B7D0" w:rsidR="003B7EF2" w:rsidRPr="002B43C8" w:rsidRDefault="001A3E09" w:rsidP="001A3E09">
      <w:pPr>
        <w:pStyle w:val="StyleStyleCopyrightStatementAfter0ptBottomSinglesolid"/>
        <w:rPr>
          <w:lang w:val="en-GB"/>
        </w:rPr>
      </w:pPr>
      <w:r w:rsidRPr="0047017F">
        <w:t xml:space="preserve">Copyright © 2017, </w:t>
      </w:r>
      <w:r w:rsidRPr="0047017F">
        <w:rPr>
          <w:lang w:val="en-CA"/>
        </w:rPr>
        <w:t>Richard Ivey School of Business Foundation</w:t>
      </w:r>
      <w:r w:rsidR="003B7EF2" w:rsidRPr="002B43C8">
        <w:rPr>
          <w:lang w:val="en-GB"/>
        </w:rPr>
        <w:tab/>
        <w:t xml:space="preserve">Version: </w:t>
      </w:r>
      <w:r w:rsidR="00361C8E" w:rsidRPr="002B43C8">
        <w:rPr>
          <w:lang w:val="en-GB"/>
        </w:rPr>
        <w:t>201</w:t>
      </w:r>
      <w:r w:rsidR="00DC15D4" w:rsidRPr="002B43C8">
        <w:rPr>
          <w:lang w:val="en-GB"/>
        </w:rPr>
        <w:t>7</w:t>
      </w:r>
      <w:bookmarkStart w:id="0" w:name="_GoBack"/>
      <w:bookmarkEnd w:id="0"/>
      <w:r w:rsidR="00361C8E" w:rsidRPr="002B43C8">
        <w:rPr>
          <w:lang w:val="en-GB"/>
        </w:rPr>
        <w:t>-</w:t>
      </w:r>
      <w:r>
        <w:rPr>
          <w:lang w:val="en-GB"/>
        </w:rPr>
        <w:t>11</w:t>
      </w:r>
      <w:r w:rsidR="00DC5CE2">
        <w:rPr>
          <w:lang w:val="en-GB"/>
        </w:rPr>
        <w:t>-</w:t>
      </w:r>
      <w:r w:rsidR="00D61187">
        <w:rPr>
          <w:lang w:val="en-GB"/>
        </w:rPr>
        <w:t>13</w:t>
      </w:r>
    </w:p>
    <w:p w14:paraId="100EAE93" w14:textId="77777777" w:rsidR="003B7EF2" w:rsidRPr="00EA13C5" w:rsidRDefault="003B7EF2" w:rsidP="00104567">
      <w:pPr>
        <w:pStyle w:val="StyleCopyrightStatementAfter0ptBottomSinglesolidline1"/>
        <w:rPr>
          <w:rFonts w:ascii="Times New Roman" w:hAnsi="Times New Roman"/>
          <w:sz w:val="20"/>
          <w:lang w:val="en-GB"/>
        </w:rPr>
      </w:pPr>
    </w:p>
    <w:p w14:paraId="1E4C03EA" w14:textId="77777777" w:rsidR="003B7EF2" w:rsidRPr="00EA13C5" w:rsidRDefault="003B7EF2" w:rsidP="006F1D9E">
      <w:pPr>
        <w:pStyle w:val="Footnote"/>
        <w:rPr>
          <w:sz w:val="20"/>
          <w:szCs w:val="20"/>
          <w:lang w:val="en-GB"/>
        </w:rPr>
      </w:pPr>
    </w:p>
    <w:p w14:paraId="653ED88F" w14:textId="62A04CDF" w:rsidR="00C8508B" w:rsidRPr="002B43C8" w:rsidRDefault="00C8508B" w:rsidP="00C8508B">
      <w:pPr>
        <w:pStyle w:val="BodyTextMain"/>
        <w:rPr>
          <w:lang w:val="en-GB"/>
        </w:rPr>
      </w:pPr>
      <w:r w:rsidRPr="002B43C8">
        <w:rPr>
          <w:lang w:val="en-GB"/>
        </w:rPr>
        <w:t>It was May</w:t>
      </w:r>
      <w:r w:rsidR="00F632EF">
        <w:rPr>
          <w:lang w:val="en-GB"/>
        </w:rPr>
        <w:t xml:space="preserve"> 25,</w:t>
      </w:r>
      <w:r w:rsidR="00D61187">
        <w:rPr>
          <w:lang w:val="en-GB"/>
        </w:rPr>
        <w:t xml:space="preserve"> 2015</w:t>
      </w:r>
      <w:r w:rsidRPr="002B43C8">
        <w:rPr>
          <w:lang w:val="en-GB"/>
        </w:rPr>
        <w:t xml:space="preserve">, and Venkat Shankar, </w:t>
      </w:r>
      <w:r w:rsidR="00F632EF">
        <w:rPr>
          <w:lang w:val="en-GB"/>
        </w:rPr>
        <w:t>h</w:t>
      </w:r>
      <w:r w:rsidRPr="002B43C8">
        <w:rPr>
          <w:lang w:val="en-GB"/>
        </w:rPr>
        <w:t xml:space="preserve">ead of Sales and Marketing for Maruti Suzuki India Limited (MSIL), had the latest report on sales of MSIL’s various car models. </w:t>
      </w:r>
      <w:r w:rsidR="002C5F22">
        <w:rPr>
          <w:lang w:val="en-GB"/>
        </w:rPr>
        <w:t xml:space="preserve">Unfortunately, the reports were less than encouraging. Shankar </w:t>
      </w:r>
      <w:r w:rsidRPr="002B43C8">
        <w:rPr>
          <w:lang w:val="en-GB"/>
        </w:rPr>
        <w:t>call</w:t>
      </w:r>
      <w:r w:rsidR="002C5F22">
        <w:rPr>
          <w:lang w:val="en-GB"/>
        </w:rPr>
        <w:t>ed</w:t>
      </w:r>
      <w:r w:rsidRPr="002B43C8">
        <w:rPr>
          <w:lang w:val="en-GB"/>
        </w:rPr>
        <w:t xml:space="preserve"> an urgent meeting with his team of executives to </w:t>
      </w:r>
      <w:r w:rsidR="002C5F22">
        <w:rPr>
          <w:lang w:val="en-GB"/>
        </w:rPr>
        <w:t>discuss</w:t>
      </w:r>
      <w:r w:rsidRPr="002B43C8">
        <w:rPr>
          <w:lang w:val="en-GB"/>
        </w:rPr>
        <w:t xml:space="preserve"> MSIL</w:t>
      </w:r>
      <w:r w:rsidR="002C5F22">
        <w:rPr>
          <w:lang w:val="en-GB"/>
        </w:rPr>
        <w:t>’s sluggish performance</w:t>
      </w:r>
      <w:r w:rsidRPr="002B43C8">
        <w:rPr>
          <w:lang w:val="en-GB"/>
        </w:rPr>
        <w:t xml:space="preserve"> in the high-end car market. After the meeting, he </w:t>
      </w:r>
      <w:r w:rsidR="000C669F">
        <w:rPr>
          <w:lang w:val="en-GB"/>
        </w:rPr>
        <w:t xml:space="preserve">mentally </w:t>
      </w:r>
      <w:r w:rsidRPr="002B43C8">
        <w:rPr>
          <w:lang w:val="en-GB"/>
        </w:rPr>
        <w:t>replayed the</w:t>
      </w:r>
      <w:r w:rsidR="002141C0">
        <w:rPr>
          <w:lang w:val="en-GB"/>
        </w:rPr>
        <w:t xml:space="preserve"> </w:t>
      </w:r>
      <w:r w:rsidRPr="002B43C8">
        <w:rPr>
          <w:lang w:val="en-GB"/>
        </w:rPr>
        <w:t>events of the day and the different perspectives shared by his team members in the meeting.</w:t>
      </w:r>
    </w:p>
    <w:p w14:paraId="3706DAC3" w14:textId="77777777" w:rsidR="00C8508B" w:rsidRPr="00EA13C5" w:rsidRDefault="00C8508B" w:rsidP="00C8508B">
      <w:pPr>
        <w:pStyle w:val="BodyTextMain"/>
        <w:rPr>
          <w:sz w:val="20"/>
          <w:szCs w:val="20"/>
          <w:lang w:val="en-GB"/>
        </w:rPr>
      </w:pPr>
    </w:p>
    <w:p w14:paraId="1D034B80" w14:textId="06CC167C" w:rsidR="00C8508B" w:rsidRPr="002B43C8" w:rsidRDefault="00C8508B" w:rsidP="00C8508B">
      <w:pPr>
        <w:pStyle w:val="BodyTextMain"/>
        <w:rPr>
          <w:lang w:val="en-GB"/>
        </w:rPr>
      </w:pPr>
      <w:r w:rsidRPr="002B43C8">
        <w:rPr>
          <w:lang w:val="en-GB"/>
        </w:rPr>
        <w:t xml:space="preserve">During the meeting, Ravi Shekhar, </w:t>
      </w:r>
      <w:r w:rsidR="000C669F">
        <w:rPr>
          <w:lang w:val="en-GB"/>
        </w:rPr>
        <w:t>e</w:t>
      </w:r>
      <w:r w:rsidRPr="002B43C8">
        <w:rPr>
          <w:lang w:val="en-GB"/>
        </w:rPr>
        <w:t xml:space="preserve">xecutive </w:t>
      </w:r>
      <w:r w:rsidR="000C669F">
        <w:rPr>
          <w:lang w:val="en-GB"/>
        </w:rPr>
        <w:t>o</w:t>
      </w:r>
      <w:r w:rsidRPr="002B43C8">
        <w:rPr>
          <w:lang w:val="en-GB"/>
        </w:rPr>
        <w:t xml:space="preserve">fficer </w:t>
      </w:r>
      <w:r w:rsidR="008D52D8">
        <w:rPr>
          <w:lang w:val="en-GB"/>
        </w:rPr>
        <w:t xml:space="preserve">of </w:t>
      </w:r>
      <w:r w:rsidRPr="002B43C8">
        <w:rPr>
          <w:lang w:val="en-GB"/>
        </w:rPr>
        <w:t>Sales and Marketing</w:t>
      </w:r>
      <w:r w:rsidR="008D52D8">
        <w:rPr>
          <w:lang w:val="en-GB"/>
        </w:rPr>
        <w:t>,</w:t>
      </w:r>
      <w:r w:rsidRPr="002B43C8">
        <w:rPr>
          <w:lang w:val="en-GB"/>
        </w:rPr>
        <w:t xml:space="preserve"> </w:t>
      </w:r>
      <w:r w:rsidR="008D52D8">
        <w:rPr>
          <w:lang w:val="en-GB"/>
        </w:rPr>
        <w:t>reviewed</w:t>
      </w:r>
      <w:r w:rsidRPr="002B43C8">
        <w:rPr>
          <w:lang w:val="en-GB"/>
        </w:rPr>
        <w:t xml:space="preserve"> the annual sales and growth of passenger vehicles</w:t>
      </w:r>
      <w:r w:rsidR="008D52D8">
        <w:rPr>
          <w:lang w:val="en-GB"/>
        </w:rPr>
        <w:t xml:space="preserve">, both </w:t>
      </w:r>
      <w:r w:rsidR="00935B76">
        <w:rPr>
          <w:lang w:val="en-GB"/>
        </w:rPr>
        <w:t>at</w:t>
      </w:r>
      <w:r w:rsidRPr="002B43C8">
        <w:rPr>
          <w:lang w:val="en-GB"/>
        </w:rPr>
        <w:t xml:space="preserve"> MSIL and </w:t>
      </w:r>
      <w:r w:rsidR="008D52D8">
        <w:rPr>
          <w:lang w:val="en-GB"/>
        </w:rPr>
        <w:t>in the i</w:t>
      </w:r>
      <w:r w:rsidRPr="002B43C8">
        <w:rPr>
          <w:lang w:val="en-GB"/>
        </w:rPr>
        <w:t>ndustry</w:t>
      </w:r>
      <w:r w:rsidR="008D52D8">
        <w:rPr>
          <w:lang w:val="en-GB"/>
        </w:rPr>
        <w:t xml:space="preserve"> as a whole</w:t>
      </w:r>
      <w:r w:rsidRPr="002B43C8">
        <w:rPr>
          <w:lang w:val="en-GB"/>
        </w:rPr>
        <w:t xml:space="preserve"> (see Exhibit</w:t>
      </w:r>
      <w:r w:rsidR="008D52D8">
        <w:rPr>
          <w:lang w:val="en-GB"/>
        </w:rPr>
        <w:t>s</w:t>
      </w:r>
      <w:r w:rsidRPr="002B43C8">
        <w:rPr>
          <w:lang w:val="en-GB"/>
        </w:rPr>
        <w:t xml:space="preserve"> 1A and 1B). He</w:t>
      </w:r>
      <w:r w:rsidR="008D52D8">
        <w:rPr>
          <w:lang w:val="en-GB"/>
        </w:rPr>
        <w:t xml:space="preserve"> also</w:t>
      </w:r>
      <w:r w:rsidRPr="002B43C8">
        <w:rPr>
          <w:lang w:val="en-GB"/>
        </w:rPr>
        <w:t xml:space="preserve"> highlighted the annual sales and growth of the different passenger car segment</w:t>
      </w:r>
      <w:r w:rsidR="00935B76">
        <w:rPr>
          <w:lang w:val="en-GB"/>
        </w:rPr>
        <w:t>s</w:t>
      </w:r>
      <w:r w:rsidRPr="002B43C8">
        <w:rPr>
          <w:lang w:val="en-GB"/>
        </w:rPr>
        <w:t xml:space="preserve"> </w:t>
      </w:r>
      <w:r w:rsidR="00935B76">
        <w:rPr>
          <w:lang w:val="en-GB"/>
        </w:rPr>
        <w:t>at</w:t>
      </w:r>
      <w:r w:rsidRPr="002B43C8">
        <w:rPr>
          <w:lang w:val="en-GB"/>
        </w:rPr>
        <w:t xml:space="preserve"> MSIL and </w:t>
      </w:r>
      <w:r w:rsidR="00935B76">
        <w:rPr>
          <w:lang w:val="en-GB"/>
        </w:rPr>
        <w:t>in the overall i</w:t>
      </w:r>
      <w:r w:rsidRPr="002B43C8">
        <w:rPr>
          <w:lang w:val="en-GB"/>
        </w:rPr>
        <w:t>ndustry (see Exhibit</w:t>
      </w:r>
      <w:r w:rsidR="008D52D8">
        <w:rPr>
          <w:lang w:val="en-GB"/>
        </w:rPr>
        <w:t>s</w:t>
      </w:r>
      <w:r w:rsidRPr="002B43C8">
        <w:rPr>
          <w:lang w:val="en-GB"/>
        </w:rPr>
        <w:t xml:space="preserve"> 2A and 2B)</w:t>
      </w:r>
      <w:r w:rsidR="00935B76">
        <w:rPr>
          <w:lang w:val="en-GB"/>
        </w:rPr>
        <w:t>,</w:t>
      </w:r>
      <w:r w:rsidRPr="002B43C8">
        <w:rPr>
          <w:lang w:val="en-GB"/>
        </w:rPr>
        <w:t xml:space="preserve"> with a special mention of </w:t>
      </w:r>
      <w:r w:rsidR="00935B76">
        <w:rPr>
          <w:lang w:val="en-GB"/>
        </w:rPr>
        <w:t xml:space="preserve">MSIL’s </w:t>
      </w:r>
      <w:r w:rsidRPr="002B43C8">
        <w:rPr>
          <w:lang w:val="en-GB"/>
        </w:rPr>
        <w:t xml:space="preserve">low performance in </w:t>
      </w:r>
      <w:r w:rsidR="00935B76">
        <w:rPr>
          <w:lang w:val="en-GB"/>
        </w:rPr>
        <w:t xml:space="preserve">the </w:t>
      </w:r>
      <w:r w:rsidRPr="002B43C8">
        <w:rPr>
          <w:lang w:val="en-GB"/>
        </w:rPr>
        <w:t>executive segment (see Exhibit 3)</w:t>
      </w:r>
      <w:r w:rsidR="00935B76">
        <w:rPr>
          <w:lang w:val="en-GB"/>
        </w:rPr>
        <w:t>. Shekhar then</w:t>
      </w:r>
      <w:r w:rsidRPr="002B43C8">
        <w:rPr>
          <w:lang w:val="en-GB"/>
        </w:rPr>
        <w:t xml:space="preserve"> detailed the market segmentation based on income and </w:t>
      </w:r>
      <w:r w:rsidR="00935B76">
        <w:rPr>
          <w:lang w:val="en-GB"/>
        </w:rPr>
        <w:t>n</w:t>
      </w:r>
      <w:r w:rsidRPr="002B43C8">
        <w:rPr>
          <w:lang w:val="en-GB"/>
        </w:rPr>
        <w:t xml:space="preserve">et worth (see Exhibit 4). </w:t>
      </w:r>
      <w:r w:rsidR="00935B76">
        <w:rPr>
          <w:lang w:val="en-GB"/>
        </w:rPr>
        <w:t xml:space="preserve">He </w:t>
      </w:r>
      <w:r w:rsidRPr="002B43C8">
        <w:rPr>
          <w:lang w:val="en-GB"/>
        </w:rPr>
        <w:t xml:space="preserve">showed </w:t>
      </w:r>
      <w:r w:rsidR="00935B76">
        <w:rPr>
          <w:lang w:val="en-GB"/>
        </w:rPr>
        <w:t xml:space="preserve">Shankar </w:t>
      </w:r>
      <w:r w:rsidRPr="002B43C8">
        <w:rPr>
          <w:lang w:val="en-GB"/>
        </w:rPr>
        <w:t xml:space="preserve">the </w:t>
      </w:r>
      <w:r w:rsidR="00935B76">
        <w:rPr>
          <w:lang w:val="en-GB"/>
        </w:rPr>
        <w:t>materials he was referring to</w:t>
      </w:r>
      <w:r w:rsidR="00935B76" w:rsidRPr="002B43C8">
        <w:rPr>
          <w:lang w:val="en-GB"/>
        </w:rPr>
        <w:t xml:space="preserve"> </w:t>
      </w:r>
      <w:r w:rsidRPr="002B43C8">
        <w:rPr>
          <w:lang w:val="en-GB"/>
        </w:rPr>
        <w:t>and said,</w:t>
      </w:r>
    </w:p>
    <w:p w14:paraId="22742D1E" w14:textId="77777777" w:rsidR="00C8508B" w:rsidRPr="00EA13C5" w:rsidRDefault="00C8508B" w:rsidP="00C8508B">
      <w:pPr>
        <w:pStyle w:val="BodyTextMain"/>
        <w:rPr>
          <w:sz w:val="20"/>
          <w:szCs w:val="20"/>
          <w:lang w:val="en-GB"/>
        </w:rPr>
      </w:pPr>
    </w:p>
    <w:p w14:paraId="5DF3938A" w14:textId="7D96B56A" w:rsidR="00C8508B" w:rsidRPr="002B43C8" w:rsidRDefault="00C8508B" w:rsidP="004A6577">
      <w:pPr>
        <w:pStyle w:val="BodyTextMain"/>
        <w:ind w:left="720"/>
        <w:rPr>
          <w:lang w:val="en-GB"/>
        </w:rPr>
      </w:pPr>
      <w:r w:rsidRPr="002B43C8">
        <w:rPr>
          <w:lang w:val="en-GB"/>
        </w:rPr>
        <w:t xml:space="preserve">The Indian market is rapidly changing, and new segments of customers are emerging. The growth of the mid-size and executive segment has surpassed the most popular segments—mini and compact cars. Though we are doing exceptionally well in the small car segment, the margins are low in this segment compared to </w:t>
      </w:r>
      <w:r w:rsidR="00935B76">
        <w:rPr>
          <w:lang w:val="en-GB"/>
        </w:rPr>
        <w:t>sport utility vehicles (</w:t>
      </w:r>
      <w:r w:rsidRPr="002B43C8">
        <w:rPr>
          <w:lang w:val="en-GB"/>
        </w:rPr>
        <w:t>SUV</w:t>
      </w:r>
      <w:r w:rsidR="00935B76">
        <w:rPr>
          <w:lang w:val="en-GB"/>
        </w:rPr>
        <w:t>s)</w:t>
      </w:r>
      <w:r w:rsidRPr="002B43C8">
        <w:rPr>
          <w:lang w:val="en-GB"/>
        </w:rPr>
        <w:t xml:space="preserve"> and executive and luxury cars. Moreover</w:t>
      </w:r>
      <w:r w:rsidR="00935B76">
        <w:rPr>
          <w:lang w:val="en-GB"/>
        </w:rPr>
        <w:t>,</w:t>
      </w:r>
      <w:r w:rsidRPr="002B43C8">
        <w:rPr>
          <w:lang w:val="en-GB"/>
        </w:rPr>
        <w:t xml:space="preserve"> customers today also prefer buying high-end cars with more money in their pockets. We have to take new initiatives to meet the diversifying expectations of the</w:t>
      </w:r>
      <w:r w:rsidR="00935B76">
        <w:rPr>
          <w:lang w:val="en-GB"/>
        </w:rPr>
        <w:t>se</w:t>
      </w:r>
      <w:r w:rsidRPr="002B43C8">
        <w:rPr>
          <w:lang w:val="en-GB"/>
        </w:rPr>
        <w:t xml:space="preserve"> customers</w:t>
      </w:r>
      <w:r w:rsidR="00935B76">
        <w:rPr>
          <w:lang w:val="en-GB"/>
        </w:rPr>
        <w:t xml:space="preserve">; </w:t>
      </w:r>
      <w:r w:rsidRPr="002B43C8">
        <w:rPr>
          <w:lang w:val="en-GB"/>
        </w:rPr>
        <w:t xml:space="preserve">we need to move past our </w:t>
      </w:r>
      <w:r w:rsidR="00935B76">
        <w:rPr>
          <w:lang w:val="en-GB"/>
        </w:rPr>
        <w:t>“</w:t>
      </w:r>
      <w:r w:rsidRPr="002B43C8">
        <w:rPr>
          <w:lang w:val="en-GB"/>
        </w:rPr>
        <w:t>small</w:t>
      </w:r>
      <w:r w:rsidR="00935B76">
        <w:rPr>
          <w:lang w:val="en-GB"/>
        </w:rPr>
        <w:t xml:space="preserve"> </w:t>
      </w:r>
      <w:r w:rsidRPr="002B43C8">
        <w:rPr>
          <w:lang w:val="en-GB"/>
        </w:rPr>
        <w:t>car</w:t>
      </w:r>
      <w:r w:rsidR="00935B76">
        <w:rPr>
          <w:lang w:val="en-GB"/>
        </w:rPr>
        <w:t>”</w:t>
      </w:r>
      <w:r w:rsidRPr="002B43C8">
        <w:rPr>
          <w:lang w:val="en-GB"/>
        </w:rPr>
        <w:t xml:space="preserve"> image and start constructing a new image.</w:t>
      </w:r>
    </w:p>
    <w:p w14:paraId="64700573" w14:textId="77777777" w:rsidR="00C8508B" w:rsidRPr="00EA13C5" w:rsidRDefault="00C8508B" w:rsidP="00C8508B">
      <w:pPr>
        <w:pStyle w:val="BodyTextMain"/>
        <w:rPr>
          <w:sz w:val="20"/>
          <w:szCs w:val="20"/>
          <w:lang w:val="en-GB"/>
        </w:rPr>
      </w:pPr>
    </w:p>
    <w:p w14:paraId="388DF155" w14:textId="4777EAC0" w:rsidR="00C8508B" w:rsidRPr="001A3E09" w:rsidRDefault="00C8508B" w:rsidP="00C8508B">
      <w:pPr>
        <w:pStyle w:val="BodyTextMain"/>
        <w:rPr>
          <w:spacing w:val="-6"/>
          <w:kern w:val="22"/>
          <w:lang w:val="en-GB"/>
        </w:rPr>
      </w:pPr>
      <w:r w:rsidRPr="001A3E09">
        <w:rPr>
          <w:spacing w:val="-6"/>
          <w:kern w:val="22"/>
          <w:lang w:val="en-GB"/>
        </w:rPr>
        <w:t xml:space="preserve">However, </w:t>
      </w:r>
      <w:r w:rsidR="00B05817" w:rsidRPr="001A3E09">
        <w:rPr>
          <w:spacing w:val="-6"/>
          <w:kern w:val="22"/>
          <w:lang w:val="en-GB"/>
        </w:rPr>
        <w:t xml:space="preserve">Sameer </w:t>
      </w:r>
      <w:r w:rsidRPr="001A3E09">
        <w:rPr>
          <w:spacing w:val="-6"/>
          <w:kern w:val="22"/>
          <w:lang w:val="en-GB"/>
        </w:rPr>
        <w:t xml:space="preserve">Bhati </w:t>
      </w:r>
      <w:r w:rsidR="00173781" w:rsidRPr="001A3E09">
        <w:rPr>
          <w:spacing w:val="-6"/>
          <w:kern w:val="22"/>
          <w:lang w:val="en-GB"/>
        </w:rPr>
        <w:t>e</w:t>
      </w:r>
      <w:r w:rsidR="00067CE5" w:rsidRPr="001A3E09">
        <w:rPr>
          <w:spacing w:val="-6"/>
          <w:kern w:val="22"/>
          <w:lang w:val="en-GB"/>
        </w:rPr>
        <w:t>xecutive</w:t>
      </w:r>
      <w:r w:rsidR="00344FB7" w:rsidRPr="001A3E09">
        <w:rPr>
          <w:spacing w:val="-6"/>
          <w:kern w:val="22"/>
          <w:lang w:val="en-GB"/>
        </w:rPr>
        <w:t xml:space="preserve"> officer</w:t>
      </w:r>
      <w:r w:rsidR="00067CE5" w:rsidRPr="001A3E09">
        <w:rPr>
          <w:spacing w:val="-6"/>
          <w:kern w:val="22"/>
          <w:lang w:val="en-GB"/>
        </w:rPr>
        <w:t xml:space="preserve">, </w:t>
      </w:r>
      <w:r w:rsidRPr="001A3E09">
        <w:rPr>
          <w:spacing w:val="-6"/>
          <w:kern w:val="22"/>
          <w:lang w:val="en-GB"/>
        </w:rPr>
        <w:t>Sales and Marketing</w:t>
      </w:r>
      <w:r w:rsidR="00184250" w:rsidRPr="001A3E09" w:rsidDel="00184250">
        <w:rPr>
          <w:spacing w:val="-6"/>
          <w:kern w:val="22"/>
          <w:lang w:val="en-GB"/>
        </w:rPr>
        <w:t xml:space="preserve"> </w:t>
      </w:r>
      <w:r w:rsidR="00184250" w:rsidRPr="001A3E09">
        <w:rPr>
          <w:spacing w:val="-6"/>
          <w:kern w:val="22"/>
          <w:lang w:val="en-GB"/>
        </w:rPr>
        <w:t>h</w:t>
      </w:r>
      <w:r w:rsidR="00935B76" w:rsidRPr="001A3E09">
        <w:rPr>
          <w:spacing w:val="-6"/>
          <w:kern w:val="22"/>
          <w:lang w:val="en-GB"/>
        </w:rPr>
        <w:t>ad</w:t>
      </w:r>
      <w:r w:rsidRPr="001A3E09">
        <w:rPr>
          <w:spacing w:val="-6"/>
          <w:kern w:val="22"/>
          <w:lang w:val="en-GB"/>
        </w:rPr>
        <w:t xml:space="preserve"> a detailed report </w:t>
      </w:r>
      <w:r w:rsidR="00935B76" w:rsidRPr="001A3E09">
        <w:rPr>
          <w:spacing w:val="-6"/>
          <w:kern w:val="22"/>
          <w:lang w:val="en-GB"/>
        </w:rPr>
        <w:t>based on surveys</w:t>
      </w:r>
      <w:r w:rsidRPr="001A3E09">
        <w:rPr>
          <w:spacing w:val="-6"/>
          <w:kern w:val="22"/>
          <w:lang w:val="en-GB"/>
        </w:rPr>
        <w:t xml:space="preserve"> of </w:t>
      </w:r>
      <w:r w:rsidR="00880091">
        <w:rPr>
          <w:spacing w:val="-6"/>
          <w:kern w:val="22"/>
          <w:lang w:val="en-GB"/>
        </w:rPr>
        <w:t xml:space="preserve">a </w:t>
      </w:r>
      <w:r w:rsidRPr="001A3E09">
        <w:rPr>
          <w:spacing w:val="-6"/>
          <w:kern w:val="22"/>
          <w:lang w:val="en-GB"/>
        </w:rPr>
        <w:t xml:space="preserve">sample of customers </w:t>
      </w:r>
      <w:r w:rsidR="00314E2D" w:rsidRPr="001A3E09">
        <w:rPr>
          <w:spacing w:val="-6"/>
          <w:kern w:val="22"/>
          <w:lang w:val="en-GB"/>
        </w:rPr>
        <w:t xml:space="preserve">regarding their perceptions about </w:t>
      </w:r>
      <w:r w:rsidRPr="001A3E09">
        <w:rPr>
          <w:spacing w:val="-6"/>
          <w:kern w:val="22"/>
          <w:lang w:val="en-GB"/>
        </w:rPr>
        <w:t>MSIL and its competitors (see Exhibit 5)</w:t>
      </w:r>
      <w:r w:rsidR="00314E2D" w:rsidRPr="001A3E09">
        <w:rPr>
          <w:spacing w:val="-6"/>
          <w:kern w:val="22"/>
          <w:lang w:val="en-GB"/>
        </w:rPr>
        <w:t>.</w:t>
      </w:r>
      <w:r w:rsidRPr="001A3E09">
        <w:rPr>
          <w:spacing w:val="-6"/>
          <w:kern w:val="22"/>
          <w:lang w:val="en-GB"/>
        </w:rPr>
        <w:t xml:space="preserve"> </w:t>
      </w:r>
      <w:r w:rsidR="00314E2D" w:rsidRPr="001A3E09">
        <w:rPr>
          <w:spacing w:val="-6"/>
          <w:kern w:val="22"/>
          <w:lang w:val="en-GB"/>
        </w:rPr>
        <w:t xml:space="preserve">Bhati </w:t>
      </w:r>
      <w:r w:rsidRPr="001A3E09">
        <w:rPr>
          <w:spacing w:val="-6"/>
          <w:kern w:val="22"/>
          <w:lang w:val="en-GB"/>
        </w:rPr>
        <w:t>commented,</w:t>
      </w:r>
    </w:p>
    <w:p w14:paraId="38701A94" w14:textId="77777777" w:rsidR="00C8508B" w:rsidRPr="00EA13C5" w:rsidRDefault="00C8508B" w:rsidP="00C8508B">
      <w:pPr>
        <w:pStyle w:val="BodyTextMain"/>
        <w:rPr>
          <w:sz w:val="20"/>
          <w:szCs w:val="20"/>
          <w:lang w:val="en-GB"/>
        </w:rPr>
      </w:pPr>
    </w:p>
    <w:p w14:paraId="3FB86B4B" w14:textId="6F9598BB" w:rsidR="00C8508B" w:rsidRPr="001A3E09" w:rsidRDefault="00C8508B" w:rsidP="00660A90">
      <w:pPr>
        <w:pStyle w:val="BodyTextMain"/>
        <w:ind w:left="720"/>
        <w:rPr>
          <w:spacing w:val="-2"/>
          <w:kern w:val="22"/>
          <w:lang w:val="en-GB"/>
        </w:rPr>
      </w:pPr>
      <w:r w:rsidRPr="001A3E09">
        <w:rPr>
          <w:spacing w:val="-2"/>
          <w:kern w:val="22"/>
          <w:lang w:val="en-GB"/>
        </w:rPr>
        <w:t xml:space="preserve">We have done </w:t>
      </w:r>
      <w:r w:rsidR="00314E2D" w:rsidRPr="001A3E09">
        <w:rPr>
          <w:spacing w:val="-2"/>
          <w:kern w:val="22"/>
          <w:lang w:val="en-GB"/>
        </w:rPr>
        <w:t>very</w:t>
      </w:r>
      <w:r w:rsidRPr="001A3E09">
        <w:rPr>
          <w:spacing w:val="-2"/>
          <w:kern w:val="22"/>
          <w:lang w:val="en-GB"/>
        </w:rPr>
        <w:t xml:space="preserve"> well in the small</w:t>
      </w:r>
      <w:r w:rsidR="00314E2D" w:rsidRPr="001A3E09">
        <w:rPr>
          <w:spacing w:val="-2"/>
          <w:kern w:val="22"/>
          <w:lang w:val="en-GB"/>
        </w:rPr>
        <w:t xml:space="preserve"> </w:t>
      </w:r>
      <w:r w:rsidRPr="001A3E09">
        <w:rPr>
          <w:spacing w:val="-2"/>
          <w:kern w:val="22"/>
          <w:lang w:val="en-GB"/>
        </w:rPr>
        <w:t xml:space="preserve">car segment in the past three decades. Out of a total 15 million units sold by 2015, there were 3.1 million units of </w:t>
      </w:r>
      <w:r w:rsidR="00314E2D" w:rsidRPr="001A3E09">
        <w:rPr>
          <w:spacing w:val="-2"/>
          <w:kern w:val="22"/>
          <w:lang w:val="en-GB"/>
        </w:rPr>
        <w:t xml:space="preserve">the </w:t>
      </w:r>
      <w:r w:rsidRPr="001A3E09">
        <w:rPr>
          <w:spacing w:val="-2"/>
          <w:kern w:val="22"/>
          <w:lang w:val="en-GB"/>
        </w:rPr>
        <w:t>Alto (including the K10 model), 1.6 million units of</w:t>
      </w:r>
      <w:r w:rsidR="00314E2D" w:rsidRPr="001A3E09">
        <w:rPr>
          <w:spacing w:val="-2"/>
          <w:kern w:val="22"/>
          <w:lang w:val="en-GB"/>
        </w:rPr>
        <w:t xml:space="preserve"> the</w:t>
      </w:r>
      <w:r w:rsidRPr="001A3E09">
        <w:rPr>
          <w:spacing w:val="-2"/>
          <w:kern w:val="22"/>
          <w:lang w:val="en-GB"/>
        </w:rPr>
        <w:t xml:space="preserve"> Wagon R, 1.3 million units of </w:t>
      </w:r>
      <w:r w:rsidR="00314E2D" w:rsidRPr="001A3E09">
        <w:rPr>
          <w:spacing w:val="-2"/>
          <w:kern w:val="22"/>
          <w:lang w:val="en-GB"/>
        </w:rPr>
        <w:t xml:space="preserve">the </w:t>
      </w:r>
      <w:r w:rsidRPr="001A3E09">
        <w:rPr>
          <w:spacing w:val="-2"/>
          <w:kern w:val="22"/>
          <w:lang w:val="en-GB"/>
        </w:rPr>
        <w:t xml:space="preserve">Swift, and 2.8 million units of </w:t>
      </w:r>
      <w:r w:rsidR="00314E2D" w:rsidRPr="001A3E09">
        <w:rPr>
          <w:spacing w:val="-2"/>
          <w:kern w:val="22"/>
          <w:lang w:val="en-GB"/>
        </w:rPr>
        <w:t xml:space="preserve">the </w:t>
      </w:r>
      <w:r w:rsidRPr="001A3E09">
        <w:rPr>
          <w:spacing w:val="-2"/>
          <w:kern w:val="22"/>
          <w:lang w:val="en-GB"/>
        </w:rPr>
        <w:t>Maruti 800 (whose production stopped in 2014). These small cars are our strength, and any step taken to enter the high-</w:t>
      </w:r>
      <w:r w:rsidRPr="001A3E09">
        <w:rPr>
          <w:spacing w:val="-2"/>
          <w:kern w:val="22"/>
          <w:lang w:val="en-GB"/>
        </w:rPr>
        <w:lastRenderedPageBreak/>
        <w:t xml:space="preserve">end market might </w:t>
      </w:r>
      <w:r w:rsidR="00314E2D" w:rsidRPr="001A3E09">
        <w:rPr>
          <w:spacing w:val="-2"/>
          <w:kern w:val="22"/>
          <w:lang w:val="en-GB"/>
        </w:rPr>
        <w:t xml:space="preserve">affect </w:t>
      </w:r>
      <w:r w:rsidRPr="001A3E09">
        <w:rPr>
          <w:spacing w:val="-2"/>
          <w:kern w:val="22"/>
          <w:lang w:val="en-GB"/>
        </w:rPr>
        <w:t>MSIL’s image as a “value for money” car</w:t>
      </w:r>
      <w:r w:rsidR="007F36EF" w:rsidRPr="001A3E09">
        <w:rPr>
          <w:spacing w:val="-2"/>
          <w:kern w:val="22"/>
          <w:lang w:val="en-GB"/>
        </w:rPr>
        <w:t xml:space="preserve"> </w:t>
      </w:r>
      <w:r w:rsidRPr="001A3E09">
        <w:rPr>
          <w:spacing w:val="-2"/>
          <w:kern w:val="22"/>
          <w:lang w:val="en-GB"/>
        </w:rPr>
        <w:t xml:space="preserve">maker. And if we reflect back on the past, we can see the failure of several high-end car models like </w:t>
      </w:r>
      <w:r w:rsidR="00314E2D" w:rsidRPr="001A3E09">
        <w:rPr>
          <w:spacing w:val="-2"/>
          <w:kern w:val="22"/>
          <w:lang w:val="en-GB"/>
        </w:rPr>
        <w:t xml:space="preserve">the </w:t>
      </w:r>
      <w:r w:rsidRPr="001A3E09">
        <w:rPr>
          <w:spacing w:val="-2"/>
          <w:kern w:val="22"/>
          <w:lang w:val="en-GB"/>
        </w:rPr>
        <w:t xml:space="preserve">Baleno, SX4, </w:t>
      </w:r>
      <w:r w:rsidR="00314E2D" w:rsidRPr="001A3E09">
        <w:rPr>
          <w:spacing w:val="-2"/>
          <w:kern w:val="22"/>
          <w:lang w:val="en-GB"/>
        </w:rPr>
        <w:t xml:space="preserve">the </w:t>
      </w:r>
      <w:r w:rsidRPr="001A3E09">
        <w:rPr>
          <w:spacing w:val="-2"/>
          <w:kern w:val="22"/>
          <w:lang w:val="en-GB"/>
        </w:rPr>
        <w:t xml:space="preserve">Grand Vitara, and </w:t>
      </w:r>
      <w:r w:rsidR="00314E2D" w:rsidRPr="001A3E09">
        <w:rPr>
          <w:spacing w:val="-2"/>
          <w:kern w:val="22"/>
          <w:lang w:val="en-GB"/>
        </w:rPr>
        <w:t xml:space="preserve">the </w:t>
      </w:r>
      <w:r w:rsidRPr="001A3E09">
        <w:rPr>
          <w:spacing w:val="-2"/>
          <w:kern w:val="22"/>
          <w:lang w:val="en-GB"/>
        </w:rPr>
        <w:t xml:space="preserve">Kizashi, which reinforces the fact that we are perceived as </w:t>
      </w:r>
      <w:r w:rsidR="00314E2D" w:rsidRPr="001A3E09">
        <w:rPr>
          <w:spacing w:val="-2"/>
          <w:kern w:val="22"/>
          <w:lang w:val="en-GB"/>
        </w:rPr>
        <w:t>a</w:t>
      </w:r>
      <w:r w:rsidRPr="001A3E09">
        <w:rPr>
          <w:spacing w:val="-2"/>
          <w:kern w:val="22"/>
          <w:lang w:val="en-GB"/>
        </w:rPr>
        <w:t xml:space="preserve"> </w:t>
      </w:r>
      <w:r w:rsidR="00314E2D" w:rsidRPr="001A3E09">
        <w:rPr>
          <w:spacing w:val="-2"/>
          <w:kern w:val="22"/>
          <w:lang w:val="en-GB"/>
        </w:rPr>
        <w:t>[maker of small cars].</w:t>
      </w:r>
      <w:r w:rsidRPr="001A3E09">
        <w:rPr>
          <w:spacing w:val="-2"/>
          <w:kern w:val="22"/>
          <w:lang w:val="en-GB"/>
        </w:rPr>
        <w:t xml:space="preserve"> To maintain a strong position in the car market, we should strengthen our small</w:t>
      </w:r>
      <w:r w:rsidR="00314E2D" w:rsidRPr="001A3E09">
        <w:rPr>
          <w:spacing w:val="-2"/>
          <w:kern w:val="22"/>
          <w:lang w:val="en-GB"/>
        </w:rPr>
        <w:t xml:space="preserve"> </w:t>
      </w:r>
      <w:r w:rsidRPr="001A3E09">
        <w:rPr>
          <w:spacing w:val="-2"/>
          <w:kern w:val="22"/>
          <w:lang w:val="en-GB"/>
        </w:rPr>
        <w:t>car portfolio by launching new models as well as improved versions of existing cars in this segment</w:t>
      </w:r>
      <w:r w:rsidR="00660A90" w:rsidRPr="001A3E09">
        <w:rPr>
          <w:spacing w:val="-2"/>
          <w:kern w:val="22"/>
          <w:lang w:val="en-GB"/>
        </w:rPr>
        <w:t>.</w:t>
      </w:r>
    </w:p>
    <w:p w14:paraId="20F8F9AF" w14:textId="77777777" w:rsidR="00C8508B" w:rsidRPr="00A42DB4" w:rsidRDefault="00C8508B" w:rsidP="00C8508B">
      <w:pPr>
        <w:pStyle w:val="BodyTextMain"/>
        <w:rPr>
          <w:sz w:val="18"/>
          <w:szCs w:val="18"/>
          <w:lang w:val="en-GB"/>
        </w:rPr>
      </w:pPr>
    </w:p>
    <w:p w14:paraId="0A8F7576" w14:textId="6A809472" w:rsidR="00C8508B" w:rsidRPr="002B43C8" w:rsidRDefault="00314E2D" w:rsidP="007F36EF">
      <w:pPr>
        <w:pStyle w:val="BodyTextMain"/>
        <w:outlineLvl w:val="0"/>
        <w:rPr>
          <w:lang w:val="en-GB"/>
        </w:rPr>
      </w:pPr>
      <w:r>
        <w:rPr>
          <w:color w:val="252525"/>
          <w:lang w:val="en-GB"/>
        </w:rPr>
        <w:t>Another Sales and Marketing e</w:t>
      </w:r>
      <w:r w:rsidR="00C8508B" w:rsidRPr="002B43C8">
        <w:rPr>
          <w:color w:val="252525"/>
          <w:lang w:val="en-GB"/>
        </w:rPr>
        <w:t xml:space="preserve">xecutive </w:t>
      </w:r>
      <w:r>
        <w:rPr>
          <w:color w:val="252525"/>
          <w:lang w:val="en-GB"/>
        </w:rPr>
        <w:t>o</w:t>
      </w:r>
      <w:r w:rsidR="00C8508B" w:rsidRPr="002B43C8">
        <w:rPr>
          <w:color w:val="252525"/>
          <w:lang w:val="en-GB"/>
        </w:rPr>
        <w:t>fficer</w:t>
      </w:r>
      <w:r>
        <w:rPr>
          <w:lang w:val="en-GB"/>
        </w:rPr>
        <w:t xml:space="preserve">, Abhijeet Kumar, </w:t>
      </w:r>
      <w:r w:rsidR="00C8508B" w:rsidRPr="002B43C8">
        <w:rPr>
          <w:color w:val="252525"/>
          <w:lang w:val="en-GB"/>
        </w:rPr>
        <w:t xml:space="preserve">observed, </w:t>
      </w:r>
    </w:p>
    <w:p w14:paraId="3C99DCE6" w14:textId="77777777" w:rsidR="00C8508B" w:rsidRPr="00A42DB4" w:rsidRDefault="00C8508B" w:rsidP="00C8508B">
      <w:pPr>
        <w:pStyle w:val="BodyTextMain"/>
        <w:rPr>
          <w:sz w:val="18"/>
          <w:szCs w:val="18"/>
          <w:lang w:val="en-GB"/>
        </w:rPr>
      </w:pPr>
    </w:p>
    <w:p w14:paraId="75BC43C2" w14:textId="306D3213" w:rsidR="00C8508B" w:rsidRPr="001A3E09" w:rsidRDefault="00C8508B" w:rsidP="00660A90">
      <w:pPr>
        <w:pStyle w:val="BodyTextMain"/>
        <w:ind w:left="720"/>
        <w:rPr>
          <w:spacing w:val="-2"/>
          <w:kern w:val="22"/>
          <w:lang w:val="en-GB"/>
        </w:rPr>
      </w:pPr>
      <w:r w:rsidRPr="001A3E09">
        <w:rPr>
          <w:spacing w:val="-2"/>
          <w:kern w:val="22"/>
          <w:lang w:val="en-GB"/>
        </w:rPr>
        <w:t>MSIL has carried the image of small car</w:t>
      </w:r>
      <w:r w:rsidR="007F36EF" w:rsidRPr="001A3E09">
        <w:rPr>
          <w:spacing w:val="-2"/>
          <w:kern w:val="22"/>
          <w:lang w:val="en-GB"/>
        </w:rPr>
        <w:t xml:space="preserve"> </w:t>
      </w:r>
      <w:r w:rsidRPr="001A3E09">
        <w:rPr>
          <w:spacing w:val="-2"/>
          <w:kern w:val="22"/>
          <w:lang w:val="en-GB"/>
        </w:rPr>
        <w:t xml:space="preserve">maker over the last three decades. </w:t>
      </w:r>
      <w:r w:rsidR="00314E2D" w:rsidRPr="001A3E09">
        <w:rPr>
          <w:spacing w:val="-2"/>
          <w:kern w:val="22"/>
          <w:lang w:val="en-GB"/>
        </w:rPr>
        <w:t>Because</w:t>
      </w:r>
      <w:r w:rsidRPr="001A3E09">
        <w:rPr>
          <w:spacing w:val="-2"/>
          <w:kern w:val="22"/>
          <w:lang w:val="en-GB"/>
        </w:rPr>
        <w:t xml:space="preserve"> we are viewed as a “value for money” brand, it will be a very long journey for MSIL to rebuild its image as a high-end </w:t>
      </w:r>
      <w:r w:rsidR="007F36EF" w:rsidRPr="001A3E09">
        <w:rPr>
          <w:spacing w:val="-2"/>
          <w:kern w:val="22"/>
          <w:lang w:val="en-GB"/>
        </w:rPr>
        <w:t>car maker</w:t>
      </w:r>
      <w:r w:rsidRPr="001A3E09">
        <w:rPr>
          <w:spacing w:val="-2"/>
          <w:kern w:val="22"/>
          <w:lang w:val="en-GB"/>
        </w:rPr>
        <w:t xml:space="preserve">. This rebuilding could prove harmful to its current image as a small </w:t>
      </w:r>
      <w:r w:rsidR="007F36EF" w:rsidRPr="001A3E09">
        <w:rPr>
          <w:spacing w:val="-2"/>
          <w:kern w:val="22"/>
          <w:lang w:val="en-GB"/>
        </w:rPr>
        <w:t>car maker</w:t>
      </w:r>
      <w:r w:rsidRPr="001A3E09">
        <w:rPr>
          <w:spacing w:val="-2"/>
          <w:kern w:val="22"/>
          <w:lang w:val="en-GB"/>
        </w:rPr>
        <w:t>. Currently, the major share and revenue of our passenger vehicles comes from small cars. But we need to align our strategies to meet the goal of the company, which is to sell 2 million cars per year and earn more profits. To reach this goal</w:t>
      </w:r>
      <w:r w:rsidR="00314E2D" w:rsidRPr="001A3E09">
        <w:rPr>
          <w:spacing w:val="-2"/>
          <w:kern w:val="22"/>
          <w:lang w:val="en-GB"/>
        </w:rPr>
        <w:t>,</w:t>
      </w:r>
      <w:r w:rsidRPr="001A3E09">
        <w:rPr>
          <w:spacing w:val="-2"/>
          <w:kern w:val="22"/>
          <w:lang w:val="en-GB"/>
        </w:rPr>
        <w:t xml:space="preserve"> we need to balance the situation and come up with a mixed strategy that increases </w:t>
      </w:r>
      <w:r w:rsidR="00314E2D" w:rsidRPr="001A3E09">
        <w:rPr>
          <w:spacing w:val="-2"/>
          <w:kern w:val="22"/>
          <w:lang w:val="en-GB"/>
        </w:rPr>
        <w:t>MSIL’s</w:t>
      </w:r>
      <w:r w:rsidRPr="001A3E09">
        <w:rPr>
          <w:spacing w:val="-2"/>
          <w:kern w:val="22"/>
          <w:lang w:val="en-GB"/>
        </w:rPr>
        <w:t xml:space="preserve"> profits and market share in the high-end car segment during the long-term strategy implementation, while keepin</w:t>
      </w:r>
      <w:r w:rsidR="00660A90" w:rsidRPr="001A3E09">
        <w:rPr>
          <w:spacing w:val="-2"/>
          <w:kern w:val="22"/>
          <w:lang w:val="en-GB"/>
        </w:rPr>
        <w:t>g our small car segment intact.</w:t>
      </w:r>
    </w:p>
    <w:p w14:paraId="5280725F" w14:textId="77777777" w:rsidR="00C8508B" w:rsidRPr="00A42DB4" w:rsidRDefault="00C8508B" w:rsidP="00C8508B">
      <w:pPr>
        <w:pStyle w:val="BodyTextMain"/>
        <w:rPr>
          <w:sz w:val="18"/>
          <w:szCs w:val="18"/>
          <w:lang w:val="en-GB"/>
        </w:rPr>
      </w:pPr>
    </w:p>
    <w:p w14:paraId="24B07AF5" w14:textId="7359A6A3" w:rsidR="00C8508B" w:rsidRPr="002B43C8" w:rsidRDefault="00314E2D" w:rsidP="00C8508B">
      <w:pPr>
        <w:pStyle w:val="BodyTextMain"/>
        <w:rPr>
          <w:lang w:val="en-GB"/>
        </w:rPr>
      </w:pPr>
      <w:r>
        <w:rPr>
          <w:lang w:val="en-GB"/>
        </w:rPr>
        <w:t>After listening to</w:t>
      </w:r>
      <w:r w:rsidR="00C8508B" w:rsidRPr="002B43C8">
        <w:rPr>
          <w:lang w:val="en-GB"/>
        </w:rPr>
        <w:t xml:space="preserve"> these various views</w:t>
      </w:r>
      <w:r>
        <w:rPr>
          <w:lang w:val="en-GB"/>
        </w:rPr>
        <w:t>,</w:t>
      </w:r>
      <w:r w:rsidR="00C8508B" w:rsidRPr="002B43C8">
        <w:rPr>
          <w:lang w:val="en-GB"/>
        </w:rPr>
        <w:t xml:space="preserve"> </w:t>
      </w:r>
      <w:r w:rsidR="00935B76">
        <w:rPr>
          <w:lang w:val="en-GB"/>
        </w:rPr>
        <w:t xml:space="preserve">Shankar </w:t>
      </w:r>
      <w:r w:rsidR="000B0758">
        <w:rPr>
          <w:lang w:val="en-GB"/>
        </w:rPr>
        <w:t>was unsure</w:t>
      </w:r>
      <w:r w:rsidR="00C8508B" w:rsidRPr="002B43C8">
        <w:rPr>
          <w:lang w:val="en-GB"/>
        </w:rPr>
        <w:t xml:space="preserve"> whether MSIL should continue to maintain </w:t>
      </w:r>
      <w:r>
        <w:rPr>
          <w:lang w:val="en-GB"/>
        </w:rPr>
        <w:t>its image</w:t>
      </w:r>
      <w:r w:rsidR="00C8508B" w:rsidRPr="002B43C8">
        <w:rPr>
          <w:lang w:val="en-GB"/>
        </w:rPr>
        <w:t xml:space="preserve"> as a “value for money” </w:t>
      </w:r>
      <w:r w:rsidR="007F36EF">
        <w:rPr>
          <w:lang w:val="en-GB"/>
        </w:rPr>
        <w:t>car maker</w:t>
      </w:r>
      <w:r w:rsidR="000B0758">
        <w:rPr>
          <w:lang w:val="en-GB"/>
        </w:rPr>
        <w:t>,</w:t>
      </w:r>
      <w:r w:rsidR="00C8508B" w:rsidRPr="002B43C8">
        <w:rPr>
          <w:lang w:val="en-GB"/>
        </w:rPr>
        <w:t xml:space="preserve"> or expand in</w:t>
      </w:r>
      <w:r w:rsidR="000B0758">
        <w:rPr>
          <w:lang w:val="en-GB"/>
        </w:rPr>
        <w:t>to</w:t>
      </w:r>
      <w:r w:rsidR="00C8508B" w:rsidRPr="002B43C8">
        <w:rPr>
          <w:lang w:val="en-GB"/>
        </w:rPr>
        <w:t xml:space="preserve"> other car segments and target high-end cars, which looked more promising in terms of profits.</w:t>
      </w:r>
      <w:r w:rsidR="000B0758">
        <w:rPr>
          <w:lang w:val="en-GB"/>
        </w:rPr>
        <w:t xml:space="preserve"> He resolved to review the relevant information and consider the situation carefully before deciding.</w:t>
      </w:r>
    </w:p>
    <w:p w14:paraId="2169D7AE" w14:textId="77777777" w:rsidR="00150820" w:rsidRPr="00A42DB4" w:rsidRDefault="00150820" w:rsidP="00C8508B">
      <w:pPr>
        <w:pStyle w:val="BodyTextMain"/>
        <w:rPr>
          <w:sz w:val="18"/>
          <w:szCs w:val="18"/>
          <w:lang w:val="en-GB"/>
        </w:rPr>
      </w:pPr>
    </w:p>
    <w:p w14:paraId="7483FD68" w14:textId="77777777" w:rsidR="00150820" w:rsidRPr="00A42DB4" w:rsidRDefault="00150820" w:rsidP="00C8508B">
      <w:pPr>
        <w:pStyle w:val="BodyTextMain"/>
        <w:rPr>
          <w:sz w:val="18"/>
          <w:szCs w:val="18"/>
          <w:lang w:val="en-GB"/>
        </w:rPr>
      </w:pPr>
    </w:p>
    <w:p w14:paraId="069D7EC3" w14:textId="77777777" w:rsidR="00C8508B" w:rsidRPr="002B43C8" w:rsidRDefault="00C8508B" w:rsidP="007F36EF">
      <w:pPr>
        <w:pStyle w:val="Casehead1"/>
        <w:outlineLvl w:val="0"/>
        <w:rPr>
          <w:lang w:val="en-GB"/>
        </w:rPr>
      </w:pPr>
      <w:r w:rsidRPr="002B43C8">
        <w:rPr>
          <w:lang w:val="en-GB"/>
        </w:rPr>
        <w:t>MSIL’S BACKGROUND</w:t>
      </w:r>
    </w:p>
    <w:p w14:paraId="6314BB9B" w14:textId="77777777" w:rsidR="00C8508B" w:rsidRPr="00A42DB4" w:rsidRDefault="00C8508B" w:rsidP="00C8508B">
      <w:pPr>
        <w:pStyle w:val="BodyTextMain"/>
        <w:rPr>
          <w:sz w:val="18"/>
          <w:szCs w:val="18"/>
          <w:lang w:val="en-GB"/>
        </w:rPr>
      </w:pPr>
    </w:p>
    <w:p w14:paraId="2D6E0F10" w14:textId="7A51B569" w:rsidR="00C8508B" w:rsidRPr="001A3E09" w:rsidRDefault="00C8508B" w:rsidP="00C8508B">
      <w:pPr>
        <w:pStyle w:val="BodyTextMain"/>
        <w:rPr>
          <w:spacing w:val="-2"/>
          <w:kern w:val="22"/>
          <w:lang w:val="en-GB"/>
        </w:rPr>
      </w:pPr>
      <w:r w:rsidRPr="001A3E09">
        <w:rPr>
          <w:spacing w:val="-2"/>
          <w:kern w:val="22"/>
          <w:lang w:val="en-GB"/>
        </w:rPr>
        <w:t xml:space="preserve">Maruti Udyog Limited (MUL) was incorporated by the </w:t>
      </w:r>
      <w:r w:rsidR="000B0758" w:rsidRPr="001A3E09">
        <w:rPr>
          <w:spacing w:val="-2"/>
          <w:kern w:val="22"/>
          <w:lang w:val="en-GB"/>
        </w:rPr>
        <w:t>G</w:t>
      </w:r>
      <w:r w:rsidRPr="001A3E09">
        <w:rPr>
          <w:spacing w:val="-2"/>
          <w:kern w:val="22"/>
          <w:lang w:val="en-GB"/>
        </w:rPr>
        <w:t xml:space="preserve">overnment of India in 1981. A year later, a joint venture started between MUL and Suzuki Motor Corporation for the import and indigenous production of cars. The company launched its first car, </w:t>
      </w:r>
      <w:r w:rsidR="00A24990" w:rsidRPr="001A3E09">
        <w:rPr>
          <w:spacing w:val="-2"/>
          <w:kern w:val="22"/>
          <w:lang w:val="en-GB"/>
        </w:rPr>
        <w:t xml:space="preserve">the </w:t>
      </w:r>
      <w:r w:rsidRPr="001A3E09">
        <w:rPr>
          <w:spacing w:val="-2"/>
          <w:kern w:val="22"/>
          <w:lang w:val="en-GB"/>
        </w:rPr>
        <w:t>Maruti 800</w:t>
      </w:r>
      <w:r w:rsidR="002925F8">
        <w:rPr>
          <w:spacing w:val="-2"/>
          <w:kern w:val="22"/>
          <w:lang w:val="en-GB"/>
        </w:rPr>
        <w:t>,</w:t>
      </w:r>
      <w:r w:rsidRPr="001A3E09">
        <w:rPr>
          <w:spacing w:val="-2"/>
          <w:kern w:val="22"/>
          <w:lang w:val="en-GB"/>
        </w:rPr>
        <w:t xml:space="preserve"> in 1983, </w:t>
      </w:r>
      <w:r w:rsidR="00A24990" w:rsidRPr="001A3E09">
        <w:rPr>
          <w:spacing w:val="-2"/>
          <w:kern w:val="22"/>
          <w:lang w:val="en-GB"/>
        </w:rPr>
        <w:t>followed by</w:t>
      </w:r>
      <w:r w:rsidRPr="001A3E09">
        <w:rPr>
          <w:spacing w:val="-2"/>
          <w:kern w:val="22"/>
          <w:lang w:val="en-GB"/>
        </w:rPr>
        <w:t xml:space="preserve"> its fir</w:t>
      </w:r>
      <w:r w:rsidR="000B0758" w:rsidRPr="001A3E09">
        <w:rPr>
          <w:spacing w:val="-2"/>
          <w:kern w:val="22"/>
          <w:lang w:val="en-GB"/>
        </w:rPr>
        <w:t>s</w:t>
      </w:r>
      <w:r w:rsidRPr="001A3E09">
        <w:rPr>
          <w:spacing w:val="-2"/>
          <w:kern w:val="22"/>
          <w:lang w:val="en-GB"/>
        </w:rPr>
        <w:t xml:space="preserve">t van, </w:t>
      </w:r>
      <w:r w:rsidR="00A24990" w:rsidRPr="001A3E09">
        <w:rPr>
          <w:spacing w:val="-2"/>
          <w:kern w:val="22"/>
          <w:lang w:val="en-GB"/>
        </w:rPr>
        <w:t xml:space="preserve">the </w:t>
      </w:r>
      <w:r w:rsidRPr="001A3E09">
        <w:rPr>
          <w:spacing w:val="-2"/>
          <w:kern w:val="22"/>
          <w:lang w:val="en-GB"/>
        </w:rPr>
        <w:t>Omni, in 1984</w:t>
      </w:r>
      <w:r w:rsidR="00A24990" w:rsidRPr="001A3E09">
        <w:rPr>
          <w:spacing w:val="-2"/>
          <w:kern w:val="22"/>
          <w:lang w:val="en-GB"/>
        </w:rPr>
        <w:t>,</w:t>
      </w:r>
      <w:r w:rsidRPr="001A3E09">
        <w:rPr>
          <w:spacing w:val="-2"/>
          <w:kern w:val="22"/>
          <w:lang w:val="en-GB"/>
        </w:rPr>
        <w:t xml:space="preserve"> and</w:t>
      </w:r>
      <w:r w:rsidR="00A24990" w:rsidRPr="001A3E09">
        <w:rPr>
          <w:spacing w:val="-2"/>
          <w:kern w:val="22"/>
          <w:lang w:val="en-GB"/>
        </w:rPr>
        <w:t xml:space="preserve"> the</w:t>
      </w:r>
      <w:r w:rsidRPr="001A3E09">
        <w:rPr>
          <w:spacing w:val="-2"/>
          <w:kern w:val="22"/>
          <w:lang w:val="en-GB"/>
        </w:rPr>
        <w:t xml:space="preserve"> Gypsy, its first </w:t>
      </w:r>
      <w:r w:rsidR="00DA1F78" w:rsidRPr="001A3E09">
        <w:rPr>
          <w:spacing w:val="-2"/>
          <w:kern w:val="22"/>
          <w:lang w:val="en-GB"/>
        </w:rPr>
        <w:t xml:space="preserve">utility </w:t>
      </w:r>
      <w:r w:rsidR="005E66ED" w:rsidRPr="001A3E09">
        <w:rPr>
          <w:spacing w:val="-2"/>
          <w:kern w:val="22"/>
          <w:lang w:val="en-GB"/>
        </w:rPr>
        <w:t>vehicle</w:t>
      </w:r>
      <w:r w:rsidR="00A531CA" w:rsidRPr="001A3E09">
        <w:rPr>
          <w:spacing w:val="-2"/>
          <w:kern w:val="22"/>
          <w:lang w:val="en-GB"/>
        </w:rPr>
        <w:t>,</w:t>
      </w:r>
      <w:r w:rsidRPr="001A3E09">
        <w:rPr>
          <w:spacing w:val="-2"/>
          <w:kern w:val="22"/>
          <w:lang w:val="en-GB"/>
        </w:rPr>
        <w:t xml:space="preserve"> in 1985. In 1991, </w:t>
      </w:r>
      <w:r w:rsidR="000B0758" w:rsidRPr="001A3E09">
        <w:rPr>
          <w:spacing w:val="-2"/>
          <w:kern w:val="22"/>
          <w:lang w:val="en-GB"/>
        </w:rPr>
        <w:t>the government</w:t>
      </w:r>
      <w:r w:rsidRPr="001A3E09">
        <w:rPr>
          <w:spacing w:val="-2"/>
          <w:kern w:val="22"/>
          <w:lang w:val="en-GB"/>
        </w:rPr>
        <w:t xml:space="preserve"> decided to establish MUL as a public sector undertaking</w:t>
      </w:r>
      <w:r w:rsidR="000B0758" w:rsidRPr="001A3E09">
        <w:rPr>
          <w:spacing w:val="-2"/>
          <w:kern w:val="22"/>
          <w:lang w:val="en-GB"/>
        </w:rPr>
        <w:t>,</w:t>
      </w:r>
      <w:r w:rsidRPr="001A3E09">
        <w:rPr>
          <w:spacing w:val="-2"/>
          <w:kern w:val="22"/>
          <w:lang w:val="en-GB"/>
        </w:rPr>
        <w:t xml:space="preserve"> with 40 per cent foreign equity of </w:t>
      </w:r>
      <w:r w:rsidR="000B0758" w:rsidRPr="001A3E09">
        <w:rPr>
          <w:spacing w:val="-2"/>
          <w:kern w:val="22"/>
          <w:lang w:val="en-GB"/>
        </w:rPr>
        <w:t>Suzuki Motor Corporation</w:t>
      </w:r>
      <w:r w:rsidRPr="001A3E09">
        <w:rPr>
          <w:spacing w:val="-2"/>
          <w:kern w:val="22"/>
          <w:lang w:val="en-GB"/>
        </w:rPr>
        <w:t>. Through</w:t>
      </w:r>
      <w:r w:rsidR="002925F8">
        <w:rPr>
          <w:spacing w:val="-2"/>
          <w:kern w:val="22"/>
          <w:lang w:val="en-GB"/>
        </w:rPr>
        <w:t>out</w:t>
      </w:r>
      <w:r w:rsidRPr="001A3E09">
        <w:rPr>
          <w:spacing w:val="-2"/>
          <w:kern w:val="22"/>
          <w:lang w:val="en-GB"/>
        </w:rPr>
        <w:t xml:space="preserve"> the following </w:t>
      </w:r>
      <w:r w:rsidR="00A531CA" w:rsidRPr="001A3E09">
        <w:rPr>
          <w:spacing w:val="-2"/>
          <w:kern w:val="22"/>
          <w:lang w:val="en-GB"/>
        </w:rPr>
        <w:t xml:space="preserve">15 </w:t>
      </w:r>
      <w:r w:rsidRPr="001A3E09">
        <w:rPr>
          <w:spacing w:val="-2"/>
          <w:kern w:val="22"/>
          <w:lang w:val="en-GB"/>
        </w:rPr>
        <w:t>years, MSIL was privatized and stakes of</w:t>
      </w:r>
      <w:r w:rsidR="000B0758" w:rsidRPr="001A3E09">
        <w:rPr>
          <w:spacing w:val="-2"/>
          <w:kern w:val="22"/>
          <w:lang w:val="en-GB"/>
        </w:rPr>
        <w:t xml:space="preserve"> Suzuki Motor Corporation</w:t>
      </w:r>
      <w:r w:rsidRPr="001A3E09">
        <w:rPr>
          <w:spacing w:val="-2"/>
          <w:kern w:val="22"/>
          <w:lang w:val="en-GB"/>
        </w:rPr>
        <w:t xml:space="preserve"> changed in MUL (see Exhibit 6). To reflect the change, the company was re</w:t>
      </w:r>
      <w:r w:rsidR="002925F8">
        <w:rPr>
          <w:spacing w:val="-2"/>
          <w:kern w:val="22"/>
          <w:lang w:val="en-GB"/>
        </w:rPr>
        <w:t>-</w:t>
      </w:r>
      <w:r w:rsidRPr="001A3E09">
        <w:rPr>
          <w:spacing w:val="-2"/>
          <w:kern w:val="22"/>
          <w:lang w:val="en-GB"/>
        </w:rPr>
        <w:t>named Maruti Suzuki India Limited in 2006.</w:t>
      </w:r>
    </w:p>
    <w:p w14:paraId="7244A5E9" w14:textId="77777777" w:rsidR="00C8508B" w:rsidRPr="00A42DB4" w:rsidRDefault="00C8508B" w:rsidP="00C8508B">
      <w:pPr>
        <w:pStyle w:val="BodyTextMain"/>
        <w:rPr>
          <w:sz w:val="18"/>
          <w:szCs w:val="18"/>
          <w:lang w:val="en-GB"/>
        </w:rPr>
      </w:pPr>
    </w:p>
    <w:p w14:paraId="4E9DD853" w14:textId="15CFEEC7" w:rsidR="00C8508B" w:rsidRPr="002B43C8" w:rsidRDefault="0036227B" w:rsidP="00C8508B">
      <w:pPr>
        <w:pStyle w:val="BodyTextMain"/>
        <w:rPr>
          <w:lang w:val="en-GB"/>
        </w:rPr>
      </w:pPr>
      <w:r>
        <w:rPr>
          <w:lang w:val="en-GB"/>
        </w:rPr>
        <w:t>By</w:t>
      </w:r>
      <w:r w:rsidR="00C8508B" w:rsidRPr="002B43C8">
        <w:rPr>
          <w:lang w:val="en-GB"/>
        </w:rPr>
        <w:t xml:space="preserve"> 2013</w:t>
      </w:r>
      <w:r w:rsidR="00A531CA">
        <w:rPr>
          <w:lang w:val="en-GB"/>
        </w:rPr>
        <w:t>,</w:t>
      </w:r>
      <w:r w:rsidR="00C8508B" w:rsidRPr="002B43C8">
        <w:rPr>
          <w:lang w:val="en-GB"/>
        </w:rPr>
        <w:t xml:space="preserve"> MSIL was the biggest passenger car manufacturer in India. In </w:t>
      </w:r>
      <w:r w:rsidR="005C5158">
        <w:rPr>
          <w:lang w:val="en-GB"/>
        </w:rPr>
        <w:t>fiscal year (</w:t>
      </w:r>
      <w:r w:rsidR="00536058">
        <w:rPr>
          <w:lang w:val="en-GB"/>
        </w:rPr>
        <w:t>FY</w:t>
      </w:r>
      <w:r w:rsidR="005C5158">
        <w:rPr>
          <w:lang w:val="en-GB"/>
        </w:rPr>
        <w:t>)</w:t>
      </w:r>
      <w:r w:rsidR="00536058">
        <w:rPr>
          <w:lang w:val="en-GB"/>
        </w:rPr>
        <w:t xml:space="preserve"> </w:t>
      </w:r>
      <w:r w:rsidR="00C8508B" w:rsidRPr="002B43C8">
        <w:rPr>
          <w:lang w:val="en-GB"/>
        </w:rPr>
        <w:t>2014</w:t>
      </w:r>
      <w:r w:rsidR="00A531CA">
        <w:rPr>
          <w:lang w:val="en-GB"/>
        </w:rPr>
        <w:t>–</w:t>
      </w:r>
      <w:r w:rsidR="00C8508B" w:rsidRPr="002B43C8">
        <w:rPr>
          <w:lang w:val="en-GB"/>
        </w:rPr>
        <w:t>15</w:t>
      </w:r>
      <w:r w:rsidR="00C97363">
        <w:rPr>
          <w:lang w:val="en-GB"/>
        </w:rPr>
        <w:t>,</w:t>
      </w:r>
      <w:r w:rsidR="00C8508B" w:rsidRPr="002B43C8">
        <w:rPr>
          <w:lang w:val="en-GB"/>
        </w:rPr>
        <w:t xml:space="preserve"> </w:t>
      </w:r>
      <w:r w:rsidR="00A531CA">
        <w:rPr>
          <w:lang w:val="en-GB"/>
        </w:rPr>
        <w:t>the firm</w:t>
      </w:r>
      <w:r w:rsidR="00C8508B" w:rsidRPr="002B43C8">
        <w:rPr>
          <w:lang w:val="en-GB"/>
        </w:rPr>
        <w:t xml:space="preserve"> was a leader in the passenger car segment (see Exhibit 7a)</w:t>
      </w:r>
      <w:r>
        <w:rPr>
          <w:lang w:val="en-GB"/>
        </w:rPr>
        <w:t>,</w:t>
      </w:r>
      <w:r w:rsidR="00C8508B" w:rsidRPr="002B43C8">
        <w:rPr>
          <w:lang w:val="en-GB"/>
        </w:rPr>
        <w:t xml:space="preserve"> with 45</w:t>
      </w:r>
      <w:r w:rsidR="005E6166">
        <w:rPr>
          <w:lang w:val="en-GB"/>
        </w:rPr>
        <w:t xml:space="preserve"> per cent</w:t>
      </w:r>
      <w:r w:rsidR="00C8508B" w:rsidRPr="002B43C8">
        <w:rPr>
          <w:lang w:val="en-GB"/>
        </w:rPr>
        <w:t xml:space="preserve"> domestic market share</w:t>
      </w:r>
      <w:r w:rsidR="00A531CA">
        <w:rPr>
          <w:lang w:val="en-GB"/>
        </w:rPr>
        <w:t>,</w:t>
      </w:r>
      <w:r w:rsidR="00C8508B" w:rsidRPr="002B43C8">
        <w:rPr>
          <w:lang w:val="en-GB"/>
        </w:rPr>
        <w:t xml:space="preserve"> and stood fourth in </w:t>
      </w:r>
      <w:r w:rsidR="0043156F">
        <w:rPr>
          <w:lang w:val="en-GB"/>
        </w:rPr>
        <w:t xml:space="preserve">utility vehicles </w:t>
      </w:r>
      <w:r w:rsidR="00A531CA">
        <w:rPr>
          <w:lang w:val="en-GB"/>
        </w:rPr>
        <w:t>sales</w:t>
      </w:r>
      <w:r w:rsidR="00C8508B" w:rsidRPr="002B43C8">
        <w:rPr>
          <w:lang w:val="en-GB"/>
        </w:rPr>
        <w:t xml:space="preserve"> (see Exhibit 7b)</w:t>
      </w:r>
      <w:r>
        <w:rPr>
          <w:lang w:val="en-GB"/>
        </w:rPr>
        <w:t>,</w:t>
      </w:r>
      <w:r w:rsidR="00C8508B" w:rsidRPr="002B43C8">
        <w:rPr>
          <w:lang w:val="en-GB"/>
        </w:rPr>
        <w:t xml:space="preserve"> with total revenue of approximately </w:t>
      </w:r>
      <w:r w:rsidR="0084249B">
        <w:rPr>
          <w:lang w:val="en-GB"/>
        </w:rPr>
        <w:t>US</w:t>
      </w:r>
      <w:r w:rsidR="00C8508B" w:rsidRPr="002B43C8">
        <w:rPr>
          <w:lang w:val="en-GB"/>
        </w:rPr>
        <w:t>$6.99 billion.</w:t>
      </w:r>
      <w:r w:rsidR="0084249B">
        <w:rPr>
          <w:rStyle w:val="FootnoteReference"/>
          <w:lang w:val="en-GB"/>
        </w:rPr>
        <w:footnoteReference w:id="1"/>
      </w:r>
      <w:r w:rsidR="00C8508B" w:rsidRPr="002B43C8">
        <w:rPr>
          <w:lang w:val="en-GB"/>
        </w:rPr>
        <w:t xml:space="preserve"> MSIL’s</w:t>
      </w:r>
      <w:r w:rsidR="00D03725">
        <w:rPr>
          <w:lang w:val="en-GB"/>
        </w:rPr>
        <w:t xml:space="preserve"> 30-year history</w:t>
      </w:r>
      <w:r w:rsidR="00C8508B" w:rsidRPr="002B43C8">
        <w:rPr>
          <w:lang w:val="en-GB"/>
        </w:rPr>
        <w:t xml:space="preserve"> in India gave it a better understanding of the product and service needs of Indian customers. Over the years, the company</w:t>
      </w:r>
      <w:r w:rsidR="00D03725">
        <w:rPr>
          <w:lang w:val="en-GB"/>
        </w:rPr>
        <w:t>’</w:t>
      </w:r>
      <w:r w:rsidR="00C8508B" w:rsidRPr="002B43C8">
        <w:rPr>
          <w:lang w:val="en-GB"/>
        </w:rPr>
        <w:t xml:space="preserve">s product range had </w:t>
      </w:r>
      <w:r w:rsidR="006F67E9">
        <w:rPr>
          <w:lang w:val="en-GB"/>
        </w:rPr>
        <w:t>grown to include</w:t>
      </w:r>
      <w:r w:rsidR="00C8508B" w:rsidRPr="002B43C8">
        <w:rPr>
          <w:lang w:val="en-GB"/>
        </w:rPr>
        <w:t xml:space="preserve"> 13 car brands (see Exhibit 8), 1</w:t>
      </w:r>
      <w:r w:rsidR="00D03725">
        <w:rPr>
          <w:lang w:val="en-GB"/>
        </w:rPr>
        <w:t>,</w:t>
      </w:r>
      <w:r w:rsidR="00C8508B" w:rsidRPr="002B43C8">
        <w:rPr>
          <w:lang w:val="en-GB"/>
        </w:rPr>
        <w:t>619 sales outlets, and 3,086 service cent</w:t>
      </w:r>
      <w:r w:rsidR="00181230">
        <w:rPr>
          <w:lang w:val="en-GB"/>
        </w:rPr>
        <w:t>re</w:t>
      </w:r>
      <w:r w:rsidR="00C8508B" w:rsidRPr="002B43C8">
        <w:rPr>
          <w:lang w:val="en-GB"/>
        </w:rPr>
        <w:t xml:space="preserve">s in the country. </w:t>
      </w:r>
      <w:r w:rsidR="00112E36">
        <w:rPr>
          <w:lang w:val="en-GB"/>
        </w:rPr>
        <w:t>Further, MSIL had been</w:t>
      </w:r>
      <w:r w:rsidR="00C8508B" w:rsidRPr="002B43C8">
        <w:rPr>
          <w:lang w:val="en-GB"/>
        </w:rPr>
        <w:t xml:space="preserve"> number one in the J</w:t>
      </w:r>
      <w:r w:rsidR="00112E36">
        <w:rPr>
          <w:lang w:val="en-GB"/>
        </w:rPr>
        <w:t>.</w:t>
      </w:r>
      <w:r w:rsidR="00C8508B" w:rsidRPr="002B43C8">
        <w:rPr>
          <w:lang w:val="en-GB"/>
        </w:rPr>
        <w:t>D</w:t>
      </w:r>
      <w:r w:rsidR="00112E36">
        <w:rPr>
          <w:lang w:val="en-GB"/>
        </w:rPr>
        <w:t>.</w:t>
      </w:r>
      <w:r w:rsidR="00C8508B" w:rsidRPr="002B43C8">
        <w:rPr>
          <w:lang w:val="en-GB"/>
        </w:rPr>
        <w:t xml:space="preserve"> Power </w:t>
      </w:r>
      <w:r w:rsidR="00112E36">
        <w:rPr>
          <w:lang w:val="en-GB"/>
        </w:rPr>
        <w:t>C</w:t>
      </w:r>
      <w:r w:rsidR="00C8508B" w:rsidRPr="002B43C8">
        <w:rPr>
          <w:lang w:val="en-GB"/>
        </w:rPr>
        <w:t xml:space="preserve">ustomer </w:t>
      </w:r>
      <w:r w:rsidR="00112E36">
        <w:rPr>
          <w:lang w:val="en-GB"/>
        </w:rPr>
        <w:t>S</w:t>
      </w:r>
      <w:r w:rsidR="00C8508B" w:rsidRPr="002B43C8">
        <w:rPr>
          <w:lang w:val="en-GB"/>
        </w:rPr>
        <w:t xml:space="preserve">atisfaction </w:t>
      </w:r>
      <w:r w:rsidR="00112E36">
        <w:rPr>
          <w:lang w:val="en-GB"/>
        </w:rPr>
        <w:t>I</w:t>
      </w:r>
      <w:r w:rsidR="00C8508B" w:rsidRPr="002B43C8">
        <w:rPr>
          <w:lang w:val="en-GB"/>
        </w:rPr>
        <w:t xml:space="preserve">ndex </w:t>
      </w:r>
      <w:r w:rsidR="00112E36">
        <w:rPr>
          <w:lang w:val="en-GB"/>
        </w:rPr>
        <w:t xml:space="preserve">since </w:t>
      </w:r>
      <w:r w:rsidR="00A62AB1">
        <w:rPr>
          <w:lang w:val="en-GB"/>
        </w:rPr>
        <w:t>2000</w:t>
      </w:r>
      <w:r w:rsidR="00C8508B" w:rsidRPr="002B43C8">
        <w:rPr>
          <w:lang w:val="en-GB"/>
        </w:rPr>
        <w:t xml:space="preserve">. In </w:t>
      </w:r>
      <w:r w:rsidR="00C61ADA">
        <w:rPr>
          <w:lang w:val="en-GB"/>
        </w:rPr>
        <w:t>FY</w:t>
      </w:r>
      <w:r w:rsidR="00C8508B" w:rsidRPr="002B43C8">
        <w:rPr>
          <w:lang w:val="en-GB"/>
        </w:rPr>
        <w:t>2014</w:t>
      </w:r>
      <w:r w:rsidR="00034BAD">
        <w:rPr>
          <w:lang w:val="en-GB"/>
        </w:rPr>
        <w:t>–</w:t>
      </w:r>
      <w:r w:rsidR="00C8508B" w:rsidRPr="002B43C8">
        <w:rPr>
          <w:lang w:val="en-GB"/>
        </w:rPr>
        <w:t>15</w:t>
      </w:r>
      <w:r w:rsidR="00034BAD">
        <w:rPr>
          <w:lang w:val="en-GB"/>
        </w:rPr>
        <w:t>,</w:t>
      </w:r>
      <w:r w:rsidR="00C8508B" w:rsidRPr="002B43C8">
        <w:rPr>
          <w:lang w:val="en-GB"/>
        </w:rPr>
        <w:t xml:space="preserve"> MSIL’s bestselling models</w:t>
      </w:r>
      <w:r w:rsidR="00034BAD">
        <w:rPr>
          <w:lang w:val="en-GB"/>
        </w:rPr>
        <w:t>—the</w:t>
      </w:r>
      <w:r w:rsidR="00C8508B" w:rsidRPr="002B43C8">
        <w:rPr>
          <w:lang w:val="en-GB"/>
        </w:rPr>
        <w:t xml:space="preserve"> Alto, Swift, Dzire, and Wagon R</w:t>
      </w:r>
      <w:r w:rsidR="00034BAD">
        <w:rPr>
          <w:lang w:val="en-GB"/>
        </w:rPr>
        <w:t>—</w:t>
      </w:r>
      <w:r w:rsidR="00C8508B" w:rsidRPr="002B43C8">
        <w:rPr>
          <w:lang w:val="en-GB"/>
        </w:rPr>
        <w:t>were the top four sellers in the passenger car market.</w:t>
      </w:r>
    </w:p>
    <w:p w14:paraId="1880CB96" w14:textId="77777777" w:rsidR="00FF003D" w:rsidRPr="00A42DB4" w:rsidRDefault="00FF003D" w:rsidP="00C8508B">
      <w:pPr>
        <w:pStyle w:val="BodyTextMain"/>
        <w:rPr>
          <w:sz w:val="18"/>
          <w:szCs w:val="18"/>
          <w:lang w:val="en-GB"/>
        </w:rPr>
      </w:pPr>
    </w:p>
    <w:p w14:paraId="200EEE65" w14:textId="77777777" w:rsidR="00FF003D" w:rsidRPr="00A42DB4" w:rsidRDefault="00FF003D" w:rsidP="00C8508B">
      <w:pPr>
        <w:pStyle w:val="BodyTextMain"/>
        <w:rPr>
          <w:sz w:val="18"/>
          <w:szCs w:val="18"/>
          <w:lang w:val="en-GB"/>
        </w:rPr>
      </w:pPr>
    </w:p>
    <w:p w14:paraId="77DC554E" w14:textId="77777777" w:rsidR="00C8508B" w:rsidRPr="002B43C8" w:rsidRDefault="00C8508B" w:rsidP="002141C0">
      <w:pPr>
        <w:pStyle w:val="Casehead1"/>
        <w:keepNext/>
        <w:outlineLvl w:val="0"/>
        <w:rPr>
          <w:lang w:val="en-GB"/>
        </w:rPr>
      </w:pPr>
      <w:r w:rsidRPr="002B43C8">
        <w:rPr>
          <w:lang w:val="en-GB"/>
        </w:rPr>
        <w:t>MSIL’S BRANDS</w:t>
      </w:r>
    </w:p>
    <w:p w14:paraId="5AC18F84" w14:textId="77777777" w:rsidR="00C8508B" w:rsidRPr="00A42DB4" w:rsidRDefault="00C8508B" w:rsidP="001A3E09">
      <w:pPr>
        <w:pStyle w:val="BodyTextMain"/>
        <w:rPr>
          <w:sz w:val="18"/>
          <w:szCs w:val="18"/>
          <w:lang w:val="en-GB"/>
        </w:rPr>
      </w:pPr>
    </w:p>
    <w:p w14:paraId="4EAB904C" w14:textId="77777777" w:rsidR="00C8508B" w:rsidRPr="002B43C8" w:rsidRDefault="00C8508B" w:rsidP="002141C0">
      <w:pPr>
        <w:pStyle w:val="Casehead2"/>
        <w:keepNext/>
        <w:outlineLvl w:val="0"/>
        <w:rPr>
          <w:lang w:val="en-GB"/>
        </w:rPr>
      </w:pPr>
      <w:r w:rsidRPr="002B43C8">
        <w:rPr>
          <w:lang w:val="en-GB"/>
        </w:rPr>
        <w:t>Hatchback</w:t>
      </w:r>
    </w:p>
    <w:p w14:paraId="26CB892E" w14:textId="77777777" w:rsidR="00C8508B" w:rsidRPr="00A42DB4" w:rsidRDefault="00C8508B" w:rsidP="001A3E09">
      <w:pPr>
        <w:pStyle w:val="BodyTextMain"/>
        <w:rPr>
          <w:color w:val="252525"/>
          <w:sz w:val="18"/>
          <w:szCs w:val="18"/>
          <w:lang w:val="en-GB"/>
        </w:rPr>
      </w:pPr>
    </w:p>
    <w:p w14:paraId="695A6DD2" w14:textId="00D0A988" w:rsidR="00C8508B" w:rsidRPr="00EC5423" w:rsidRDefault="00C8508B" w:rsidP="001A3E09">
      <w:pPr>
        <w:pStyle w:val="BodyTextMain"/>
        <w:rPr>
          <w:kern w:val="22"/>
          <w:lang w:val="en-GB"/>
        </w:rPr>
      </w:pPr>
      <w:r w:rsidRPr="00EC5423">
        <w:rPr>
          <w:color w:val="252525"/>
          <w:kern w:val="22"/>
          <w:lang w:val="en-GB"/>
        </w:rPr>
        <w:t>The Wagon R was launched in 1999 against</w:t>
      </w:r>
      <w:r w:rsidR="005F277F" w:rsidRPr="00EC5423">
        <w:rPr>
          <w:color w:val="252525"/>
          <w:kern w:val="22"/>
          <w:lang w:val="en-GB"/>
        </w:rPr>
        <w:t xml:space="preserve"> MSIL’s biggest competitors at the time, the</w:t>
      </w:r>
      <w:r w:rsidRPr="00EC5423">
        <w:rPr>
          <w:kern w:val="22"/>
          <w:lang w:val="en-GB"/>
        </w:rPr>
        <w:t xml:space="preserve"> Hyundai Santro and </w:t>
      </w:r>
      <w:r w:rsidR="005F277F" w:rsidRPr="00EC5423">
        <w:rPr>
          <w:kern w:val="22"/>
          <w:lang w:val="en-GB"/>
        </w:rPr>
        <w:t xml:space="preserve">the </w:t>
      </w:r>
      <w:r w:rsidRPr="00EC5423">
        <w:rPr>
          <w:kern w:val="22"/>
          <w:lang w:val="en-GB"/>
        </w:rPr>
        <w:t>Tata Indica</w:t>
      </w:r>
      <w:r w:rsidR="005F277F" w:rsidRPr="00EC5423">
        <w:rPr>
          <w:kern w:val="22"/>
          <w:lang w:val="en-GB"/>
        </w:rPr>
        <w:t>.</w:t>
      </w:r>
      <w:r w:rsidRPr="00EC5423">
        <w:rPr>
          <w:kern w:val="22"/>
          <w:lang w:val="en-GB"/>
        </w:rPr>
        <w:t xml:space="preserve"> </w:t>
      </w:r>
      <w:r w:rsidR="005F277F" w:rsidRPr="00EC5423">
        <w:rPr>
          <w:kern w:val="22"/>
          <w:lang w:val="en-GB"/>
        </w:rPr>
        <w:t>The Wagon R</w:t>
      </w:r>
      <w:r w:rsidRPr="00EC5423">
        <w:rPr>
          <w:kern w:val="22"/>
          <w:lang w:val="en-GB"/>
        </w:rPr>
        <w:t xml:space="preserve"> was positioned as a </w:t>
      </w:r>
      <w:r w:rsidR="00530B65" w:rsidRPr="00EC5423">
        <w:rPr>
          <w:kern w:val="22"/>
          <w:lang w:val="en-GB"/>
        </w:rPr>
        <w:t>hatchback vehicle</w:t>
      </w:r>
      <w:r w:rsidRPr="00EC5423">
        <w:rPr>
          <w:kern w:val="22"/>
          <w:lang w:val="en-GB"/>
        </w:rPr>
        <w:t xml:space="preserve"> for smarter people</w:t>
      </w:r>
      <w:r w:rsidR="005F277F" w:rsidRPr="00EC5423">
        <w:rPr>
          <w:kern w:val="22"/>
          <w:lang w:val="en-GB"/>
        </w:rPr>
        <w:t>;</w:t>
      </w:r>
      <w:r w:rsidRPr="00EC5423">
        <w:rPr>
          <w:kern w:val="22"/>
          <w:lang w:val="en-GB"/>
        </w:rPr>
        <w:t xml:space="preserve"> </w:t>
      </w:r>
      <w:r w:rsidR="005F277F" w:rsidRPr="00EC5423">
        <w:rPr>
          <w:kern w:val="22"/>
          <w:lang w:val="en-GB"/>
        </w:rPr>
        <w:t>i</w:t>
      </w:r>
      <w:r w:rsidRPr="00EC5423">
        <w:rPr>
          <w:kern w:val="22"/>
          <w:lang w:val="en-GB"/>
        </w:rPr>
        <w:t xml:space="preserve">t saw five </w:t>
      </w:r>
      <w:r w:rsidRPr="00EC5423">
        <w:rPr>
          <w:kern w:val="22"/>
          <w:lang w:val="en-GB"/>
        </w:rPr>
        <w:lastRenderedPageBreak/>
        <w:t>generations in terms of technology, was successfully adopted in</w:t>
      </w:r>
      <w:r w:rsidR="00530B65" w:rsidRPr="00EC5423">
        <w:rPr>
          <w:kern w:val="22"/>
          <w:lang w:val="en-GB"/>
        </w:rPr>
        <w:t>to</w:t>
      </w:r>
      <w:r w:rsidRPr="00EC5423">
        <w:rPr>
          <w:kern w:val="22"/>
          <w:lang w:val="en-GB"/>
        </w:rPr>
        <w:t xml:space="preserve"> the market, and kept a sales ranking </w:t>
      </w:r>
      <w:r w:rsidRPr="00CD4A3F">
        <w:rPr>
          <w:spacing w:val="-4"/>
          <w:kern w:val="22"/>
          <w:lang w:val="en-GB"/>
        </w:rPr>
        <w:t>among the five top-selling cars</w:t>
      </w:r>
      <w:r w:rsidR="009569FC" w:rsidRPr="00CD4A3F">
        <w:rPr>
          <w:spacing w:val="-4"/>
          <w:kern w:val="22"/>
          <w:lang w:val="en-GB"/>
        </w:rPr>
        <w:t xml:space="preserve">. </w:t>
      </w:r>
      <w:r w:rsidR="00EF7457" w:rsidRPr="00CD4A3F">
        <w:rPr>
          <w:spacing w:val="-4"/>
          <w:kern w:val="22"/>
          <w:lang w:val="en-GB"/>
        </w:rPr>
        <w:t xml:space="preserve">One of the </w:t>
      </w:r>
      <w:r w:rsidR="00E8372C" w:rsidRPr="00CD4A3F">
        <w:rPr>
          <w:spacing w:val="-4"/>
          <w:kern w:val="22"/>
          <w:lang w:val="en-GB"/>
        </w:rPr>
        <w:t>latest</w:t>
      </w:r>
      <w:r w:rsidR="009569FC" w:rsidRPr="00CD4A3F">
        <w:rPr>
          <w:spacing w:val="-4"/>
          <w:kern w:val="22"/>
          <w:lang w:val="en-GB"/>
        </w:rPr>
        <w:t xml:space="preserve"> version</w:t>
      </w:r>
      <w:r w:rsidR="004A2467" w:rsidRPr="00CD4A3F">
        <w:rPr>
          <w:spacing w:val="-4"/>
          <w:kern w:val="22"/>
          <w:lang w:val="en-GB"/>
        </w:rPr>
        <w:t>s</w:t>
      </w:r>
      <w:r w:rsidR="009569FC" w:rsidRPr="00CD4A3F">
        <w:rPr>
          <w:spacing w:val="-4"/>
          <w:kern w:val="22"/>
          <w:lang w:val="en-GB"/>
        </w:rPr>
        <w:t xml:space="preserve"> of the Wagon R</w:t>
      </w:r>
      <w:r w:rsidRPr="00CD4A3F">
        <w:rPr>
          <w:spacing w:val="-4"/>
          <w:kern w:val="22"/>
          <w:lang w:val="en-GB"/>
        </w:rPr>
        <w:t xml:space="preserve"> </w:t>
      </w:r>
      <w:r w:rsidR="003C1D48" w:rsidRPr="00CD4A3F">
        <w:rPr>
          <w:spacing w:val="-4"/>
          <w:kern w:val="22"/>
          <w:lang w:val="en-GB"/>
        </w:rPr>
        <w:t xml:space="preserve">was </w:t>
      </w:r>
      <w:r w:rsidRPr="00CD4A3F">
        <w:rPr>
          <w:spacing w:val="-4"/>
          <w:kern w:val="22"/>
          <w:lang w:val="en-GB"/>
        </w:rPr>
        <w:t>the Stingray</w:t>
      </w:r>
      <w:r w:rsidR="003C1D48" w:rsidRPr="00CD4A3F">
        <w:rPr>
          <w:spacing w:val="-4"/>
          <w:kern w:val="22"/>
          <w:lang w:val="en-GB"/>
        </w:rPr>
        <w:t>,</w:t>
      </w:r>
      <w:r w:rsidR="009569FC" w:rsidRPr="00CD4A3F">
        <w:rPr>
          <w:spacing w:val="-4"/>
          <w:kern w:val="22"/>
          <w:lang w:val="en-GB"/>
        </w:rPr>
        <w:t xml:space="preserve"> launched</w:t>
      </w:r>
      <w:r w:rsidRPr="00CD4A3F">
        <w:rPr>
          <w:spacing w:val="-4"/>
          <w:kern w:val="22"/>
          <w:lang w:val="en-GB"/>
        </w:rPr>
        <w:t xml:space="preserve"> in 2014.</w:t>
      </w:r>
    </w:p>
    <w:p w14:paraId="4D33EF66" w14:textId="27939B77" w:rsidR="00C8508B" w:rsidRPr="002B43C8" w:rsidRDefault="00C8508B" w:rsidP="00C8508B">
      <w:pPr>
        <w:pStyle w:val="BodyTextMain"/>
        <w:rPr>
          <w:color w:val="252525"/>
          <w:lang w:val="en-GB"/>
        </w:rPr>
      </w:pPr>
      <w:r w:rsidRPr="002B43C8">
        <w:rPr>
          <w:color w:val="252525"/>
          <w:lang w:val="en-GB"/>
        </w:rPr>
        <w:t xml:space="preserve">The Alto, </w:t>
      </w:r>
      <w:r w:rsidR="00D17966">
        <w:rPr>
          <w:color w:val="252525"/>
          <w:lang w:val="en-GB"/>
        </w:rPr>
        <w:t>released</w:t>
      </w:r>
      <w:r w:rsidR="00D17966" w:rsidRPr="002B43C8">
        <w:rPr>
          <w:color w:val="252525"/>
          <w:lang w:val="en-GB"/>
        </w:rPr>
        <w:t xml:space="preserve"> </w:t>
      </w:r>
      <w:r w:rsidRPr="002B43C8">
        <w:rPr>
          <w:color w:val="252525"/>
          <w:lang w:val="en-GB"/>
        </w:rPr>
        <w:t xml:space="preserve">in 2000, was </w:t>
      </w:r>
      <w:r w:rsidR="005F277F">
        <w:rPr>
          <w:color w:val="252525"/>
          <w:lang w:val="en-GB"/>
        </w:rPr>
        <w:t>MSIL’s</w:t>
      </w:r>
      <w:r w:rsidRPr="002B43C8">
        <w:rPr>
          <w:color w:val="252525"/>
          <w:lang w:val="en-GB"/>
        </w:rPr>
        <w:t xml:space="preserve"> mini hatchback</w:t>
      </w:r>
      <w:r w:rsidR="005F277F">
        <w:rPr>
          <w:color w:val="252525"/>
          <w:lang w:val="en-GB"/>
        </w:rPr>
        <w:t xml:space="preserve"> offering</w:t>
      </w:r>
      <w:r w:rsidRPr="002B43C8">
        <w:rPr>
          <w:color w:val="252525"/>
          <w:lang w:val="en-GB"/>
        </w:rPr>
        <w:t>, and in 2014</w:t>
      </w:r>
      <w:r w:rsidR="005F277F">
        <w:rPr>
          <w:color w:val="252525"/>
          <w:lang w:val="en-GB"/>
        </w:rPr>
        <w:t>,</w:t>
      </w:r>
      <w:r w:rsidRPr="002B43C8">
        <w:rPr>
          <w:color w:val="252525"/>
          <w:lang w:val="en-GB"/>
        </w:rPr>
        <w:t xml:space="preserve"> it became the entry-level car when production of the iconic model Maruti 800 stopped. </w:t>
      </w:r>
      <w:r w:rsidR="009569FC">
        <w:rPr>
          <w:color w:val="252525"/>
          <w:lang w:val="en-GB"/>
        </w:rPr>
        <w:t>The Alto</w:t>
      </w:r>
      <w:r w:rsidRPr="002B43C8">
        <w:rPr>
          <w:color w:val="252525"/>
          <w:lang w:val="en-GB"/>
        </w:rPr>
        <w:t xml:space="preserve"> was the </w:t>
      </w:r>
      <w:r w:rsidR="009569FC">
        <w:rPr>
          <w:color w:val="252525"/>
          <w:lang w:val="en-GB"/>
        </w:rPr>
        <w:t>best</w:t>
      </w:r>
      <w:r w:rsidRPr="002B43C8">
        <w:rPr>
          <w:color w:val="252525"/>
          <w:lang w:val="en-GB"/>
        </w:rPr>
        <w:t xml:space="preserve">selling car in </w:t>
      </w:r>
      <w:r w:rsidR="009569FC">
        <w:rPr>
          <w:color w:val="252525"/>
          <w:lang w:val="en-GB"/>
        </w:rPr>
        <w:t>India</w:t>
      </w:r>
      <w:r w:rsidRPr="002B43C8">
        <w:rPr>
          <w:color w:val="252525"/>
          <w:lang w:val="en-GB"/>
        </w:rPr>
        <w:t>, reaching total sales of 2.5 million units in 2014. The Alto K10</w:t>
      </w:r>
      <w:r w:rsidR="00CC2B8A">
        <w:rPr>
          <w:color w:val="252525"/>
          <w:lang w:val="en-GB"/>
        </w:rPr>
        <w:t>,</w:t>
      </w:r>
      <w:r w:rsidRPr="002B43C8">
        <w:rPr>
          <w:color w:val="252525"/>
          <w:lang w:val="en-GB"/>
        </w:rPr>
        <w:t xml:space="preserve"> launched in 2010, together with the Alto 800</w:t>
      </w:r>
      <w:r w:rsidR="00CC2B8A">
        <w:rPr>
          <w:color w:val="252525"/>
          <w:lang w:val="en-GB"/>
        </w:rPr>
        <w:t>,</w:t>
      </w:r>
      <w:r w:rsidRPr="002B43C8">
        <w:rPr>
          <w:color w:val="252525"/>
          <w:lang w:val="en-GB"/>
        </w:rPr>
        <w:t xml:space="preserve"> launched in 2012, dominated the market in the mini</w:t>
      </w:r>
      <w:r w:rsidR="00CD4A3F">
        <w:rPr>
          <w:color w:val="252525"/>
          <w:lang w:val="en-GB"/>
        </w:rPr>
        <w:t xml:space="preserve"> </w:t>
      </w:r>
      <w:r w:rsidRPr="002B43C8">
        <w:rPr>
          <w:color w:val="252525"/>
          <w:lang w:val="en-GB"/>
        </w:rPr>
        <w:t>hatchback segment.</w:t>
      </w:r>
    </w:p>
    <w:p w14:paraId="5C73FB4A" w14:textId="77777777" w:rsidR="00C8508B" w:rsidRPr="00EA13C5" w:rsidRDefault="00C8508B" w:rsidP="00C8508B">
      <w:pPr>
        <w:pStyle w:val="BodyTextMain"/>
        <w:rPr>
          <w:color w:val="252525"/>
          <w:sz w:val="20"/>
          <w:szCs w:val="20"/>
          <w:lang w:val="en-GB"/>
        </w:rPr>
      </w:pPr>
    </w:p>
    <w:p w14:paraId="687C1A8D" w14:textId="4AEB77EB" w:rsidR="00C8508B" w:rsidRPr="00A42DB4" w:rsidRDefault="00C8508B" w:rsidP="00C8508B">
      <w:pPr>
        <w:pStyle w:val="BodyTextMain"/>
        <w:rPr>
          <w:spacing w:val="-2"/>
          <w:kern w:val="22"/>
          <w:lang w:val="en-GB"/>
        </w:rPr>
      </w:pPr>
      <w:r w:rsidRPr="00A42DB4">
        <w:rPr>
          <w:spacing w:val="-2"/>
          <w:kern w:val="22"/>
          <w:lang w:val="en-GB"/>
        </w:rPr>
        <w:t xml:space="preserve">The Swift, which MSIL launched in 2005, was envisaged as a premium </w:t>
      </w:r>
      <w:r w:rsidR="00CC2B8A" w:rsidRPr="00A42DB4">
        <w:rPr>
          <w:spacing w:val="-2"/>
          <w:kern w:val="22"/>
          <w:lang w:val="en-GB"/>
        </w:rPr>
        <w:t>“</w:t>
      </w:r>
      <w:r w:rsidRPr="00A42DB4">
        <w:rPr>
          <w:spacing w:val="-2"/>
          <w:kern w:val="22"/>
          <w:lang w:val="en-GB"/>
        </w:rPr>
        <w:t>sporty</w:t>
      </w:r>
      <w:r w:rsidR="00CC2B8A" w:rsidRPr="00A42DB4">
        <w:rPr>
          <w:spacing w:val="-2"/>
          <w:kern w:val="22"/>
          <w:lang w:val="en-GB"/>
        </w:rPr>
        <w:t>”</w:t>
      </w:r>
      <w:r w:rsidRPr="00A42DB4">
        <w:rPr>
          <w:spacing w:val="-2"/>
          <w:kern w:val="22"/>
          <w:lang w:val="en-GB"/>
        </w:rPr>
        <w:t xml:space="preserve"> hatchback. It was a cross between a hatchback and a sedan</w:t>
      </w:r>
      <w:r w:rsidR="00CC2B8A" w:rsidRPr="00A42DB4">
        <w:rPr>
          <w:spacing w:val="-2"/>
          <w:kern w:val="22"/>
          <w:lang w:val="en-GB"/>
        </w:rPr>
        <w:t>,</w:t>
      </w:r>
      <w:r w:rsidRPr="00A42DB4">
        <w:rPr>
          <w:spacing w:val="-2"/>
          <w:kern w:val="22"/>
          <w:lang w:val="en-GB"/>
        </w:rPr>
        <w:t xml:space="preserve"> and had a comparatively low price point. Thus, the Swift </w:t>
      </w:r>
      <w:r w:rsidR="00D17966" w:rsidRPr="00A42DB4">
        <w:rPr>
          <w:spacing w:val="-2"/>
          <w:kern w:val="22"/>
          <w:lang w:val="en-GB"/>
        </w:rPr>
        <w:t>competed with</w:t>
      </w:r>
      <w:r w:rsidRPr="00A42DB4">
        <w:rPr>
          <w:spacing w:val="-2"/>
          <w:kern w:val="22"/>
          <w:lang w:val="en-GB"/>
        </w:rPr>
        <w:t xml:space="preserve"> Honda </w:t>
      </w:r>
      <w:r w:rsidR="00252DAF" w:rsidRPr="00A42DB4">
        <w:rPr>
          <w:spacing w:val="-2"/>
          <w:kern w:val="22"/>
          <w:lang w:val="en-GB"/>
        </w:rPr>
        <w:t>Cars India L</w:t>
      </w:r>
      <w:r w:rsidR="00CD4A3F">
        <w:rPr>
          <w:spacing w:val="-2"/>
          <w:kern w:val="22"/>
          <w:lang w:val="en-GB"/>
        </w:rPr>
        <w:t>imi</w:t>
      </w:r>
      <w:r w:rsidR="00252DAF" w:rsidRPr="00A42DB4">
        <w:rPr>
          <w:spacing w:val="-2"/>
          <w:kern w:val="22"/>
          <w:lang w:val="en-GB"/>
        </w:rPr>
        <w:t>t</w:t>
      </w:r>
      <w:r w:rsidR="00CD4A3F">
        <w:rPr>
          <w:spacing w:val="-2"/>
          <w:kern w:val="22"/>
          <w:lang w:val="en-GB"/>
        </w:rPr>
        <w:t>e</w:t>
      </w:r>
      <w:r w:rsidR="00252DAF" w:rsidRPr="00A42DB4">
        <w:rPr>
          <w:spacing w:val="-2"/>
          <w:kern w:val="22"/>
          <w:lang w:val="en-GB"/>
        </w:rPr>
        <w:t xml:space="preserve">d (Honda) </w:t>
      </w:r>
      <w:r w:rsidRPr="00A42DB4">
        <w:rPr>
          <w:spacing w:val="-2"/>
          <w:kern w:val="22"/>
          <w:lang w:val="en-GB"/>
        </w:rPr>
        <w:t xml:space="preserve">and </w:t>
      </w:r>
      <w:r w:rsidR="00252DAF" w:rsidRPr="00A42DB4">
        <w:rPr>
          <w:spacing w:val="-2"/>
          <w:kern w:val="22"/>
          <w:lang w:val="en-GB"/>
        </w:rPr>
        <w:t xml:space="preserve">Hyundai Motor India Limited (Hyundai) </w:t>
      </w:r>
      <w:r w:rsidRPr="00A42DB4">
        <w:rPr>
          <w:spacing w:val="-2"/>
          <w:kern w:val="22"/>
          <w:lang w:val="en-GB"/>
        </w:rPr>
        <w:t>in the sedan market, which the latter companies had captured with models like the Honda City and the Hyundai Getz (see Exhibit 8).</w:t>
      </w:r>
    </w:p>
    <w:p w14:paraId="7C1376CD" w14:textId="77777777" w:rsidR="00C8508B" w:rsidRPr="00EA13C5" w:rsidRDefault="00C8508B" w:rsidP="00C8508B">
      <w:pPr>
        <w:pStyle w:val="BodyTextMain"/>
        <w:rPr>
          <w:sz w:val="20"/>
          <w:szCs w:val="20"/>
          <w:lang w:val="en-GB"/>
        </w:rPr>
      </w:pPr>
    </w:p>
    <w:p w14:paraId="11C17FAD" w14:textId="3A4045F3" w:rsidR="00C8508B" w:rsidRPr="002B43C8" w:rsidRDefault="00C8508B" w:rsidP="00C8508B">
      <w:pPr>
        <w:pStyle w:val="BodyTextMain"/>
        <w:rPr>
          <w:lang w:val="en-GB"/>
        </w:rPr>
      </w:pPr>
      <w:r w:rsidRPr="002B43C8">
        <w:rPr>
          <w:lang w:val="en-GB"/>
        </w:rPr>
        <w:t>The Ritz</w:t>
      </w:r>
      <w:r w:rsidR="00CC2B8A">
        <w:rPr>
          <w:lang w:val="en-GB"/>
        </w:rPr>
        <w:t xml:space="preserve"> was</w:t>
      </w:r>
      <w:r w:rsidRPr="002B43C8">
        <w:rPr>
          <w:i/>
          <w:lang w:val="en-GB"/>
        </w:rPr>
        <w:t xml:space="preserve"> </w:t>
      </w:r>
      <w:r w:rsidRPr="002B43C8">
        <w:rPr>
          <w:lang w:val="en-GB"/>
        </w:rPr>
        <w:t xml:space="preserve">launched in 2009, </w:t>
      </w:r>
      <w:r w:rsidR="00CC2B8A">
        <w:rPr>
          <w:lang w:val="en-GB"/>
        </w:rPr>
        <w:t xml:space="preserve">and </w:t>
      </w:r>
      <w:r w:rsidRPr="002B43C8">
        <w:rPr>
          <w:lang w:val="en-GB"/>
        </w:rPr>
        <w:t>featur</w:t>
      </w:r>
      <w:r w:rsidR="00CC2B8A">
        <w:rPr>
          <w:lang w:val="en-GB"/>
        </w:rPr>
        <w:t>ed</w:t>
      </w:r>
      <w:r w:rsidRPr="002B43C8">
        <w:rPr>
          <w:lang w:val="en-GB"/>
        </w:rPr>
        <w:t xml:space="preserve"> automatic transmission and a premium tallboy hatchback design. Called the Suzuki Splash in the international market, it was positioned as a </w:t>
      </w:r>
      <w:r w:rsidR="00D17966">
        <w:rPr>
          <w:lang w:val="en-GB"/>
        </w:rPr>
        <w:t>“</w:t>
      </w:r>
      <w:r w:rsidRPr="002B43C8">
        <w:rPr>
          <w:lang w:val="en-GB"/>
        </w:rPr>
        <w:t>pleasure</w:t>
      </w:r>
      <w:r w:rsidR="00D17966">
        <w:rPr>
          <w:lang w:val="en-GB"/>
        </w:rPr>
        <w:t xml:space="preserve"> </w:t>
      </w:r>
      <w:r w:rsidRPr="002B43C8">
        <w:rPr>
          <w:lang w:val="en-GB"/>
        </w:rPr>
        <w:t>driving</w:t>
      </w:r>
      <w:r w:rsidR="00D17966">
        <w:rPr>
          <w:lang w:val="en-GB"/>
        </w:rPr>
        <w:t>”</w:t>
      </w:r>
      <w:r w:rsidRPr="002B43C8">
        <w:rPr>
          <w:lang w:val="en-GB"/>
        </w:rPr>
        <w:t xml:space="preserve"> car. </w:t>
      </w:r>
      <w:r w:rsidR="00D17966">
        <w:rPr>
          <w:lang w:val="en-GB"/>
        </w:rPr>
        <w:t>The Ritz</w:t>
      </w:r>
      <w:r w:rsidRPr="002B43C8">
        <w:rPr>
          <w:lang w:val="en-GB"/>
        </w:rPr>
        <w:t xml:space="preserve"> stood in direct competition to other tallboy image cars like the Hyundai i20. The Ritz variant came with a K-series engine and represented a step forward by MSIL on the technology front. </w:t>
      </w:r>
      <w:r w:rsidR="007A365C">
        <w:rPr>
          <w:lang w:val="en-GB"/>
        </w:rPr>
        <w:t xml:space="preserve">With this car, </w:t>
      </w:r>
      <w:r w:rsidRPr="002B43C8">
        <w:rPr>
          <w:lang w:val="en-GB"/>
        </w:rPr>
        <w:t xml:space="preserve">MSIL tried to shift </w:t>
      </w:r>
      <w:r w:rsidR="008535A9">
        <w:rPr>
          <w:lang w:val="en-GB"/>
        </w:rPr>
        <w:t xml:space="preserve">its focus </w:t>
      </w:r>
      <w:r w:rsidRPr="002B43C8">
        <w:rPr>
          <w:lang w:val="en-GB"/>
        </w:rPr>
        <w:t>from</w:t>
      </w:r>
      <w:r w:rsidR="003334A0">
        <w:rPr>
          <w:lang w:val="en-GB"/>
        </w:rPr>
        <w:t xml:space="preserve"> earlier</w:t>
      </w:r>
      <w:r w:rsidR="003334A0" w:rsidRPr="002B43C8">
        <w:rPr>
          <w:lang w:val="en-GB"/>
        </w:rPr>
        <w:t xml:space="preserve"> </w:t>
      </w:r>
      <w:r w:rsidRPr="002B43C8">
        <w:rPr>
          <w:lang w:val="en-GB"/>
        </w:rPr>
        <w:t>functional values like mileage and price to other values like joy and eco-friendliness</w:t>
      </w:r>
      <w:r w:rsidR="00CF777E">
        <w:rPr>
          <w:lang w:val="en-GB"/>
        </w:rPr>
        <w:t>.</w:t>
      </w:r>
      <w:r w:rsidR="00861B2D">
        <w:rPr>
          <w:lang w:val="en-GB"/>
        </w:rPr>
        <w:t xml:space="preserve"> </w:t>
      </w:r>
    </w:p>
    <w:p w14:paraId="474BC439" w14:textId="77777777" w:rsidR="00C8508B" w:rsidRPr="00EA13C5" w:rsidRDefault="00C8508B" w:rsidP="00C8508B">
      <w:pPr>
        <w:pStyle w:val="BodyTextMain"/>
        <w:rPr>
          <w:sz w:val="20"/>
          <w:szCs w:val="20"/>
          <w:lang w:val="en-GB"/>
        </w:rPr>
      </w:pPr>
    </w:p>
    <w:p w14:paraId="40B39746" w14:textId="73979A0B" w:rsidR="000735FF" w:rsidRPr="002B43C8" w:rsidRDefault="00C8508B" w:rsidP="00C8508B">
      <w:pPr>
        <w:pStyle w:val="BodyTextMain"/>
        <w:rPr>
          <w:b/>
          <w:i/>
          <w:lang w:val="en-GB"/>
        </w:rPr>
      </w:pPr>
      <w:r w:rsidRPr="002B43C8">
        <w:rPr>
          <w:lang w:val="en-GB"/>
        </w:rPr>
        <w:t>The Celerio,</w:t>
      </w:r>
      <w:r w:rsidR="00D17966">
        <w:rPr>
          <w:lang w:val="en-GB"/>
        </w:rPr>
        <w:t xml:space="preserve"> introduced</w:t>
      </w:r>
      <w:r w:rsidRPr="002B43C8">
        <w:rPr>
          <w:lang w:val="en-GB"/>
        </w:rPr>
        <w:t xml:space="preserve"> in 2014, was a contemporary hatchback and a replacement for two of MSIL’s </w:t>
      </w:r>
      <w:r w:rsidR="00D17966">
        <w:rPr>
          <w:lang w:val="en-GB"/>
        </w:rPr>
        <w:t xml:space="preserve">earlier </w:t>
      </w:r>
      <w:r w:rsidRPr="002B43C8">
        <w:rPr>
          <w:lang w:val="en-GB"/>
        </w:rPr>
        <w:t xml:space="preserve">cars, </w:t>
      </w:r>
      <w:r w:rsidR="00D17966">
        <w:rPr>
          <w:lang w:val="en-GB"/>
        </w:rPr>
        <w:t xml:space="preserve">the </w:t>
      </w:r>
      <w:r w:rsidRPr="002B43C8">
        <w:rPr>
          <w:lang w:val="en-GB"/>
        </w:rPr>
        <w:t xml:space="preserve">A-Star and Zen Estillo. It was a competitor </w:t>
      </w:r>
      <w:r w:rsidR="00CD4A3F">
        <w:rPr>
          <w:lang w:val="en-GB"/>
        </w:rPr>
        <w:t>against</w:t>
      </w:r>
      <w:r w:rsidRPr="002B43C8">
        <w:rPr>
          <w:lang w:val="en-GB"/>
        </w:rPr>
        <w:t xml:space="preserve"> the Hyundai i10 and </w:t>
      </w:r>
      <w:r w:rsidR="009115D3">
        <w:rPr>
          <w:lang w:val="en-GB"/>
        </w:rPr>
        <w:t>sold</w:t>
      </w:r>
      <w:r w:rsidRPr="002B43C8">
        <w:rPr>
          <w:lang w:val="en-GB"/>
        </w:rPr>
        <w:t xml:space="preserve"> </w:t>
      </w:r>
      <w:r w:rsidR="003A55D3">
        <w:rPr>
          <w:lang w:val="en-GB"/>
        </w:rPr>
        <w:t xml:space="preserve">about </w:t>
      </w:r>
      <w:r w:rsidRPr="002B43C8">
        <w:rPr>
          <w:lang w:val="en-GB"/>
        </w:rPr>
        <w:t>5</w:t>
      </w:r>
      <w:r w:rsidR="00D17966">
        <w:rPr>
          <w:lang w:val="en-GB"/>
        </w:rPr>
        <w:t>,</w:t>
      </w:r>
      <w:r w:rsidRPr="002B43C8">
        <w:rPr>
          <w:lang w:val="en-GB"/>
        </w:rPr>
        <w:t xml:space="preserve">800 units per month. </w:t>
      </w:r>
      <w:r w:rsidR="00D17966">
        <w:rPr>
          <w:lang w:val="en-GB"/>
        </w:rPr>
        <w:t>The Celerio</w:t>
      </w:r>
      <w:r w:rsidRPr="002B43C8">
        <w:rPr>
          <w:lang w:val="en-GB"/>
        </w:rPr>
        <w:t xml:space="preserve"> was the first car in the hatchback segment to have </w:t>
      </w:r>
      <w:r w:rsidR="00D17966">
        <w:rPr>
          <w:lang w:val="en-GB"/>
        </w:rPr>
        <w:t>a</w:t>
      </w:r>
      <w:r w:rsidRPr="002B43C8">
        <w:rPr>
          <w:lang w:val="en-GB"/>
        </w:rPr>
        <w:t xml:space="preserve">utomated </w:t>
      </w:r>
      <w:r w:rsidR="00D17966">
        <w:rPr>
          <w:lang w:val="en-GB"/>
        </w:rPr>
        <w:t>m</w:t>
      </w:r>
      <w:r w:rsidRPr="002B43C8">
        <w:rPr>
          <w:lang w:val="en-GB"/>
        </w:rPr>
        <w:t xml:space="preserve">anual </w:t>
      </w:r>
      <w:r w:rsidR="00D17966">
        <w:rPr>
          <w:lang w:val="en-GB"/>
        </w:rPr>
        <w:t>t</w:t>
      </w:r>
      <w:r w:rsidRPr="002B43C8">
        <w:rPr>
          <w:lang w:val="en-GB"/>
        </w:rPr>
        <w:t>ransmission</w:t>
      </w:r>
      <w:r w:rsidR="003A55D3">
        <w:rPr>
          <w:lang w:val="en-GB"/>
        </w:rPr>
        <w:t>,</w:t>
      </w:r>
      <w:r w:rsidR="000735FF" w:rsidRPr="002B43C8">
        <w:rPr>
          <w:lang w:val="en-GB"/>
        </w:rPr>
        <w:t xml:space="preserve"> and </w:t>
      </w:r>
      <w:r w:rsidR="00430571">
        <w:rPr>
          <w:lang w:val="en-GB"/>
        </w:rPr>
        <w:t xml:space="preserve">its </w:t>
      </w:r>
      <w:r w:rsidR="003A55D3">
        <w:rPr>
          <w:lang w:val="en-GB"/>
        </w:rPr>
        <w:t>d</w:t>
      </w:r>
      <w:r w:rsidR="000735FF" w:rsidRPr="002B43C8">
        <w:rPr>
          <w:lang w:val="en-GB"/>
        </w:rPr>
        <w:t>iesel</w:t>
      </w:r>
      <w:r w:rsidR="003A55D3">
        <w:rPr>
          <w:lang w:val="en-GB"/>
        </w:rPr>
        <w:t xml:space="preserve"> version </w:t>
      </w:r>
      <w:r w:rsidR="000735FF" w:rsidRPr="002B43C8">
        <w:rPr>
          <w:lang w:val="en-GB"/>
        </w:rPr>
        <w:t xml:space="preserve">was </w:t>
      </w:r>
      <w:r w:rsidR="003A55D3">
        <w:rPr>
          <w:lang w:val="en-GB"/>
        </w:rPr>
        <w:t xml:space="preserve">advertised </w:t>
      </w:r>
      <w:r w:rsidR="008D64C6">
        <w:rPr>
          <w:lang w:val="en-GB"/>
        </w:rPr>
        <w:t xml:space="preserve">by MSIL </w:t>
      </w:r>
      <w:r w:rsidR="003A55D3">
        <w:rPr>
          <w:lang w:val="en-GB"/>
        </w:rPr>
        <w:t>as</w:t>
      </w:r>
      <w:r w:rsidR="000735FF" w:rsidRPr="002B43C8">
        <w:rPr>
          <w:lang w:val="en-GB"/>
        </w:rPr>
        <w:t xml:space="preserve"> India’s most fuel</w:t>
      </w:r>
      <w:r w:rsidR="00CD4A3F">
        <w:rPr>
          <w:lang w:val="en-GB"/>
        </w:rPr>
        <w:t xml:space="preserve"> </w:t>
      </w:r>
      <w:r w:rsidR="000735FF" w:rsidRPr="002B43C8">
        <w:rPr>
          <w:lang w:val="en-GB"/>
        </w:rPr>
        <w:t xml:space="preserve">efficient car. </w:t>
      </w:r>
    </w:p>
    <w:p w14:paraId="44BF26BB" w14:textId="77777777" w:rsidR="000735FF" w:rsidRPr="00EA13C5" w:rsidRDefault="000735FF" w:rsidP="00C8508B">
      <w:pPr>
        <w:pStyle w:val="BodyTextMain"/>
        <w:rPr>
          <w:i/>
          <w:sz w:val="20"/>
          <w:szCs w:val="20"/>
          <w:lang w:val="en-GB"/>
        </w:rPr>
      </w:pPr>
    </w:p>
    <w:p w14:paraId="743DA6A7" w14:textId="77777777" w:rsidR="000735FF" w:rsidRPr="00EA13C5" w:rsidRDefault="000735FF" w:rsidP="00C8508B">
      <w:pPr>
        <w:pStyle w:val="BodyTextMain"/>
        <w:rPr>
          <w:i/>
          <w:sz w:val="20"/>
          <w:szCs w:val="20"/>
          <w:lang w:val="en-GB"/>
        </w:rPr>
      </w:pPr>
    </w:p>
    <w:p w14:paraId="7C2F42E2" w14:textId="5FBC0A46" w:rsidR="000735FF" w:rsidRPr="002B43C8" w:rsidRDefault="007F210F" w:rsidP="007F36EF">
      <w:pPr>
        <w:pStyle w:val="Casehead2"/>
        <w:outlineLvl w:val="0"/>
        <w:rPr>
          <w:lang w:val="en-GB"/>
        </w:rPr>
      </w:pPr>
      <w:r>
        <w:rPr>
          <w:lang w:val="en-GB"/>
        </w:rPr>
        <w:t>Utility Vehicles</w:t>
      </w:r>
    </w:p>
    <w:p w14:paraId="3C25DFCC" w14:textId="77777777" w:rsidR="000735FF" w:rsidRPr="00EA13C5" w:rsidRDefault="000735FF" w:rsidP="00C8508B">
      <w:pPr>
        <w:pStyle w:val="BodyTextMain"/>
        <w:rPr>
          <w:i/>
          <w:sz w:val="20"/>
          <w:szCs w:val="20"/>
          <w:lang w:val="en-GB"/>
        </w:rPr>
      </w:pPr>
    </w:p>
    <w:p w14:paraId="14076D27" w14:textId="1063B7F8" w:rsidR="000735FF" w:rsidRPr="002B43C8" w:rsidRDefault="00B6198A" w:rsidP="00C8508B">
      <w:pPr>
        <w:pStyle w:val="BodyTextMain"/>
        <w:rPr>
          <w:lang w:val="en-GB"/>
        </w:rPr>
      </w:pPr>
      <w:r>
        <w:rPr>
          <w:lang w:val="en-GB"/>
        </w:rPr>
        <w:t>MSIL had</w:t>
      </w:r>
      <w:r w:rsidR="000735FF" w:rsidRPr="002B43C8">
        <w:rPr>
          <w:lang w:val="en-GB"/>
        </w:rPr>
        <w:t xml:space="preserve"> two </w:t>
      </w:r>
      <w:r w:rsidR="00E86C12">
        <w:rPr>
          <w:lang w:val="en-GB"/>
        </w:rPr>
        <w:t>utility vehicles</w:t>
      </w:r>
      <w:r w:rsidR="000735FF" w:rsidRPr="002B43C8">
        <w:rPr>
          <w:lang w:val="en-GB"/>
        </w:rPr>
        <w:t xml:space="preserve">, </w:t>
      </w:r>
      <w:r w:rsidR="003A55D3">
        <w:rPr>
          <w:lang w:val="en-GB"/>
        </w:rPr>
        <w:t xml:space="preserve">the </w:t>
      </w:r>
      <w:r w:rsidR="000735FF" w:rsidRPr="002B43C8">
        <w:rPr>
          <w:lang w:val="en-GB"/>
        </w:rPr>
        <w:t xml:space="preserve">Gypsy and Ertiga, </w:t>
      </w:r>
      <w:r w:rsidR="006A0B6B">
        <w:rPr>
          <w:lang w:val="en-GB"/>
        </w:rPr>
        <w:t>under</w:t>
      </w:r>
      <w:r w:rsidR="00CD4A3F">
        <w:rPr>
          <w:lang w:val="en-GB"/>
        </w:rPr>
        <w:t xml:space="preserve"> the</w:t>
      </w:r>
      <w:r w:rsidR="006A0B6B">
        <w:rPr>
          <w:lang w:val="en-GB"/>
        </w:rPr>
        <w:t xml:space="preserve"> B segment</w:t>
      </w:r>
      <w:r w:rsidR="00F6375B">
        <w:rPr>
          <w:rStyle w:val="FootnoteReference"/>
          <w:lang w:val="en-GB"/>
        </w:rPr>
        <w:footnoteReference w:id="2"/>
      </w:r>
      <w:r w:rsidR="006A0B6B">
        <w:rPr>
          <w:lang w:val="en-GB"/>
        </w:rPr>
        <w:t xml:space="preserve"> </w:t>
      </w:r>
      <w:r w:rsidR="00081F53">
        <w:rPr>
          <w:lang w:val="en-GB"/>
        </w:rPr>
        <w:t>in</w:t>
      </w:r>
      <w:r w:rsidR="000735FF" w:rsidRPr="002B43C8">
        <w:rPr>
          <w:lang w:val="en-GB"/>
        </w:rPr>
        <w:t xml:space="preserve"> </w:t>
      </w:r>
      <w:r w:rsidR="008A6BAB">
        <w:rPr>
          <w:lang w:val="en-GB"/>
        </w:rPr>
        <w:t xml:space="preserve">its </w:t>
      </w:r>
      <w:r w:rsidR="000735FF" w:rsidRPr="002B43C8">
        <w:rPr>
          <w:lang w:val="en-GB"/>
        </w:rPr>
        <w:t xml:space="preserve">portfolio. MSIL’s first </w:t>
      </w:r>
      <w:r w:rsidR="00F86C43">
        <w:rPr>
          <w:lang w:val="en-GB"/>
        </w:rPr>
        <w:t>utility vehicle</w:t>
      </w:r>
      <w:r w:rsidR="000735FF" w:rsidRPr="002B43C8">
        <w:rPr>
          <w:lang w:val="en-GB"/>
        </w:rPr>
        <w:t>, the Gypsy</w:t>
      </w:r>
      <w:r w:rsidR="00A214B9">
        <w:rPr>
          <w:lang w:val="en-GB"/>
        </w:rPr>
        <w:t>, was</w:t>
      </w:r>
      <w:r w:rsidR="000735FF" w:rsidRPr="002B43C8">
        <w:rPr>
          <w:lang w:val="en-GB"/>
        </w:rPr>
        <w:t xml:space="preserve"> launched in 1985 </w:t>
      </w:r>
      <w:r w:rsidR="00A214B9">
        <w:rPr>
          <w:lang w:val="en-GB"/>
        </w:rPr>
        <w:t>and</w:t>
      </w:r>
      <w:r w:rsidR="000735FF" w:rsidRPr="002B43C8">
        <w:rPr>
          <w:lang w:val="en-GB"/>
        </w:rPr>
        <w:t xml:space="preserve"> positioned as a family vehicle</w:t>
      </w:r>
      <w:r w:rsidR="00A214B9">
        <w:rPr>
          <w:lang w:val="en-GB"/>
        </w:rPr>
        <w:t>.</w:t>
      </w:r>
      <w:r w:rsidR="000735FF" w:rsidRPr="002B43C8">
        <w:rPr>
          <w:lang w:val="en-GB"/>
        </w:rPr>
        <w:t xml:space="preserve"> </w:t>
      </w:r>
      <w:r w:rsidR="00A214B9">
        <w:rPr>
          <w:lang w:val="en-GB"/>
        </w:rPr>
        <w:t>L</w:t>
      </w:r>
      <w:r w:rsidR="000735FF" w:rsidRPr="002B43C8">
        <w:rPr>
          <w:lang w:val="en-GB"/>
        </w:rPr>
        <w:t>ater</w:t>
      </w:r>
      <w:r w:rsidR="00A214B9">
        <w:rPr>
          <w:lang w:val="en-GB"/>
        </w:rPr>
        <w:t>, it</w:t>
      </w:r>
      <w:r w:rsidR="000735FF" w:rsidRPr="002B43C8">
        <w:rPr>
          <w:lang w:val="en-GB"/>
        </w:rPr>
        <w:t xml:space="preserve"> was also used commercially, serving different business purposes. Due to its classic look, </w:t>
      </w:r>
      <w:r w:rsidR="00A214B9">
        <w:rPr>
          <w:lang w:val="en-GB"/>
        </w:rPr>
        <w:t xml:space="preserve">the Gypsy </w:t>
      </w:r>
      <w:r w:rsidR="000735FF" w:rsidRPr="002B43C8">
        <w:rPr>
          <w:lang w:val="en-GB"/>
        </w:rPr>
        <w:t>had mass appeal as a rugged off-road adventure</w:t>
      </w:r>
      <w:r w:rsidR="00A214B9">
        <w:rPr>
          <w:lang w:val="en-GB"/>
        </w:rPr>
        <w:t xml:space="preserve"> vehicle</w:t>
      </w:r>
      <w:r w:rsidR="000735FF" w:rsidRPr="002B43C8">
        <w:rPr>
          <w:lang w:val="en-GB"/>
        </w:rPr>
        <w:t xml:space="preserve">. With </w:t>
      </w:r>
      <w:r w:rsidR="00A214B9">
        <w:rPr>
          <w:lang w:val="en-GB"/>
        </w:rPr>
        <w:t>consumers’</w:t>
      </w:r>
      <w:r w:rsidR="000735FF" w:rsidRPr="002B43C8">
        <w:rPr>
          <w:lang w:val="en-GB"/>
        </w:rPr>
        <w:t xml:space="preserve"> increased inclination towards multi-utility vehicles, MSIL launched the Ertiga in 2012</w:t>
      </w:r>
      <w:r w:rsidR="00A214B9">
        <w:rPr>
          <w:lang w:val="en-GB"/>
        </w:rPr>
        <w:t>; this vehicle</w:t>
      </w:r>
      <w:r w:rsidR="000735FF" w:rsidRPr="002B43C8">
        <w:rPr>
          <w:lang w:val="en-GB"/>
        </w:rPr>
        <w:t xml:space="preserve"> was positioned as a family car and suited the taste</w:t>
      </w:r>
      <w:r w:rsidR="00A214B9">
        <w:rPr>
          <w:lang w:val="en-GB"/>
        </w:rPr>
        <w:t>s</w:t>
      </w:r>
      <w:r w:rsidR="000735FF" w:rsidRPr="002B43C8">
        <w:rPr>
          <w:lang w:val="en-GB"/>
        </w:rPr>
        <w:t xml:space="preserve"> of</w:t>
      </w:r>
      <w:r w:rsidR="00A214B9">
        <w:rPr>
          <w:lang w:val="en-GB"/>
        </w:rPr>
        <w:t xml:space="preserve"> many</w:t>
      </w:r>
      <w:r w:rsidR="000735FF" w:rsidRPr="002B43C8">
        <w:rPr>
          <w:lang w:val="en-GB"/>
        </w:rPr>
        <w:t xml:space="preserve"> Indian customers. It was the second-highest-selling </w:t>
      </w:r>
      <w:r w:rsidR="0018394C">
        <w:rPr>
          <w:lang w:val="en-GB"/>
        </w:rPr>
        <w:t>utility vehicle</w:t>
      </w:r>
      <w:r w:rsidR="0018394C" w:rsidRPr="002B43C8">
        <w:rPr>
          <w:lang w:val="en-GB"/>
        </w:rPr>
        <w:t xml:space="preserve"> </w:t>
      </w:r>
      <w:r w:rsidR="000735FF" w:rsidRPr="002B43C8">
        <w:rPr>
          <w:lang w:val="en-GB"/>
        </w:rPr>
        <w:t xml:space="preserve">after the </w:t>
      </w:r>
      <w:r w:rsidR="00252DAF">
        <w:rPr>
          <w:lang w:val="en-GB"/>
        </w:rPr>
        <w:t>Mahindra</w:t>
      </w:r>
      <w:r w:rsidR="000735FF" w:rsidRPr="002B43C8">
        <w:rPr>
          <w:lang w:val="en-GB"/>
        </w:rPr>
        <w:t xml:space="preserve"> Bolero in 2014</w:t>
      </w:r>
      <w:r w:rsidR="00A214B9">
        <w:rPr>
          <w:lang w:val="en-GB"/>
        </w:rPr>
        <w:t>.</w:t>
      </w:r>
      <w:r w:rsidR="000735FF" w:rsidRPr="002B43C8">
        <w:rPr>
          <w:rStyle w:val="FootnoteReference"/>
          <w:lang w:val="en-GB"/>
        </w:rPr>
        <w:footnoteReference w:id="3"/>
      </w:r>
    </w:p>
    <w:p w14:paraId="7BF3350D" w14:textId="77777777" w:rsidR="000735FF" w:rsidRPr="00EA13C5" w:rsidRDefault="000735FF" w:rsidP="00C8508B">
      <w:pPr>
        <w:pStyle w:val="BodyTextMain"/>
        <w:rPr>
          <w:sz w:val="20"/>
          <w:szCs w:val="20"/>
          <w:lang w:val="en-GB"/>
        </w:rPr>
      </w:pPr>
    </w:p>
    <w:p w14:paraId="3C47234B" w14:textId="77777777" w:rsidR="000735FF" w:rsidRPr="00EA13C5" w:rsidRDefault="000735FF" w:rsidP="00C8508B">
      <w:pPr>
        <w:pStyle w:val="BodyTextMain"/>
        <w:rPr>
          <w:sz w:val="20"/>
          <w:szCs w:val="20"/>
          <w:lang w:val="en-GB"/>
        </w:rPr>
      </w:pPr>
    </w:p>
    <w:p w14:paraId="1021B98F" w14:textId="77777777" w:rsidR="000735FF" w:rsidRPr="002B43C8" w:rsidRDefault="000735FF" w:rsidP="00275853">
      <w:pPr>
        <w:pStyle w:val="BodyTextMain"/>
        <w:keepNext/>
        <w:outlineLvl w:val="0"/>
        <w:rPr>
          <w:rFonts w:ascii="Arial" w:hAnsi="Arial" w:cs="Arial"/>
          <w:b/>
          <w:sz w:val="20"/>
          <w:szCs w:val="20"/>
          <w:lang w:val="en-GB"/>
        </w:rPr>
      </w:pPr>
      <w:r w:rsidRPr="002B43C8">
        <w:rPr>
          <w:rFonts w:ascii="Arial" w:hAnsi="Arial" w:cs="Arial"/>
          <w:b/>
          <w:sz w:val="20"/>
          <w:szCs w:val="20"/>
          <w:lang w:val="en-GB"/>
        </w:rPr>
        <w:t>Vans</w:t>
      </w:r>
    </w:p>
    <w:p w14:paraId="78D85719" w14:textId="77777777" w:rsidR="000735FF" w:rsidRPr="00EA13C5" w:rsidRDefault="000735FF" w:rsidP="00275853">
      <w:pPr>
        <w:pStyle w:val="BodyTextMain"/>
        <w:keepNext/>
        <w:rPr>
          <w:i/>
          <w:sz w:val="20"/>
          <w:szCs w:val="20"/>
          <w:lang w:val="en-GB"/>
        </w:rPr>
      </w:pPr>
    </w:p>
    <w:p w14:paraId="1E92441C" w14:textId="0FB7397C" w:rsidR="000735FF" w:rsidRPr="002B43C8" w:rsidRDefault="000735FF" w:rsidP="00275853">
      <w:pPr>
        <w:pStyle w:val="BodyTextMain"/>
        <w:keepNext/>
        <w:rPr>
          <w:lang w:val="en-GB"/>
        </w:rPr>
      </w:pPr>
      <w:r w:rsidRPr="002B43C8">
        <w:rPr>
          <w:lang w:val="en-GB"/>
        </w:rPr>
        <w:t xml:space="preserve">MSIL’s Eeco and Omni fell </w:t>
      </w:r>
      <w:r w:rsidR="00CD4A3F">
        <w:rPr>
          <w:lang w:val="en-GB"/>
        </w:rPr>
        <w:t>under</w:t>
      </w:r>
      <w:r w:rsidRPr="002B43C8">
        <w:rPr>
          <w:lang w:val="en-GB"/>
        </w:rPr>
        <w:t xml:space="preserve"> the hard-top vans category of the C segment. MSIL positioned its first van, the Omni</w:t>
      </w:r>
      <w:r w:rsidR="00A214B9">
        <w:rPr>
          <w:lang w:val="en-GB"/>
        </w:rPr>
        <w:t xml:space="preserve"> (released in 1984)</w:t>
      </w:r>
      <w:r w:rsidRPr="002B43C8">
        <w:rPr>
          <w:lang w:val="en-GB"/>
        </w:rPr>
        <w:t xml:space="preserve">, as a spacious van </w:t>
      </w:r>
      <w:r w:rsidR="00CD4A3F">
        <w:rPr>
          <w:lang w:val="en-GB"/>
        </w:rPr>
        <w:t>that</w:t>
      </w:r>
      <w:r w:rsidRPr="002B43C8">
        <w:rPr>
          <w:lang w:val="en-GB"/>
        </w:rPr>
        <w:t xml:space="preserve"> fit every member of a family in a single vehicle. The</w:t>
      </w:r>
      <w:r w:rsidR="00A214B9">
        <w:rPr>
          <w:lang w:val="en-GB"/>
        </w:rPr>
        <w:t xml:space="preserve"> company </w:t>
      </w:r>
      <w:r w:rsidRPr="002B43C8">
        <w:rPr>
          <w:lang w:val="en-GB"/>
        </w:rPr>
        <w:t>continu</w:t>
      </w:r>
      <w:r w:rsidR="00A214B9">
        <w:rPr>
          <w:lang w:val="en-GB"/>
        </w:rPr>
        <w:t>ed to</w:t>
      </w:r>
      <w:r w:rsidR="00A214B9" w:rsidRPr="00A214B9">
        <w:rPr>
          <w:lang w:val="en-GB"/>
        </w:rPr>
        <w:t xml:space="preserve"> </w:t>
      </w:r>
      <w:r w:rsidR="00A214B9">
        <w:rPr>
          <w:lang w:val="en-GB"/>
        </w:rPr>
        <w:t>successfully</w:t>
      </w:r>
      <w:r w:rsidRPr="002B43C8">
        <w:rPr>
          <w:lang w:val="en-GB"/>
        </w:rPr>
        <w:t xml:space="preserve"> </w:t>
      </w:r>
      <w:r w:rsidR="00A214B9">
        <w:rPr>
          <w:lang w:val="en-GB"/>
        </w:rPr>
        <w:t>produce and sell</w:t>
      </w:r>
      <w:r w:rsidRPr="002B43C8">
        <w:rPr>
          <w:lang w:val="en-GB"/>
        </w:rPr>
        <w:t xml:space="preserve"> </w:t>
      </w:r>
      <w:r w:rsidR="00A214B9">
        <w:rPr>
          <w:lang w:val="en-GB"/>
        </w:rPr>
        <w:t>the Omni</w:t>
      </w:r>
      <w:r w:rsidRPr="002B43C8">
        <w:rPr>
          <w:lang w:val="en-GB"/>
        </w:rPr>
        <w:t xml:space="preserve"> for </w:t>
      </w:r>
      <w:r w:rsidR="004D3239">
        <w:rPr>
          <w:lang w:val="en-GB"/>
        </w:rPr>
        <w:t>30 years</w:t>
      </w:r>
      <w:r w:rsidRPr="002B43C8">
        <w:rPr>
          <w:lang w:val="en-GB"/>
        </w:rPr>
        <w:t xml:space="preserve">. The Eeco was launched in 2009 as a basic means of affordable transport. Due to its affordable price </w:t>
      </w:r>
      <w:r w:rsidR="00EC650C">
        <w:rPr>
          <w:lang w:val="en-GB"/>
        </w:rPr>
        <w:t>point</w:t>
      </w:r>
      <w:r w:rsidRPr="002B43C8">
        <w:rPr>
          <w:lang w:val="en-GB"/>
        </w:rPr>
        <w:t xml:space="preserve">, it was positioned as </w:t>
      </w:r>
      <w:r w:rsidR="00154EE4">
        <w:rPr>
          <w:lang w:val="en-GB"/>
        </w:rPr>
        <w:t xml:space="preserve">a </w:t>
      </w:r>
      <w:r w:rsidR="00EC650C">
        <w:rPr>
          <w:lang w:val="en-GB"/>
        </w:rPr>
        <w:t>basic vehicle that could be used for either</w:t>
      </w:r>
      <w:r w:rsidRPr="002B43C8">
        <w:rPr>
          <w:lang w:val="en-GB"/>
        </w:rPr>
        <w:t xml:space="preserve"> family or business purpose</w:t>
      </w:r>
      <w:r w:rsidR="00EC650C">
        <w:rPr>
          <w:lang w:val="en-GB"/>
        </w:rPr>
        <w:t>s</w:t>
      </w:r>
      <w:r w:rsidRPr="002B43C8">
        <w:rPr>
          <w:lang w:val="en-GB"/>
        </w:rPr>
        <w:t xml:space="preserve">. </w:t>
      </w:r>
    </w:p>
    <w:p w14:paraId="6C4B9A8B" w14:textId="77777777" w:rsidR="000735FF" w:rsidRPr="00EA13C5" w:rsidRDefault="000735FF" w:rsidP="00C8508B">
      <w:pPr>
        <w:pStyle w:val="BodyTextMain"/>
        <w:rPr>
          <w:sz w:val="20"/>
          <w:szCs w:val="20"/>
          <w:lang w:val="en-GB"/>
        </w:rPr>
      </w:pPr>
    </w:p>
    <w:p w14:paraId="2B74C56D" w14:textId="77777777" w:rsidR="000735FF" w:rsidRPr="00EA13C5" w:rsidRDefault="000735FF" w:rsidP="00C8508B">
      <w:pPr>
        <w:pStyle w:val="BodyTextMain"/>
        <w:rPr>
          <w:sz w:val="20"/>
          <w:szCs w:val="20"/>
          <w:lang w:val="en-GB"/>
        </w:rPr>
      </w:pPr>
    </w:p>
    <w:p w14:paraId="39C6B50C" w14:textId="77777777" w:rsidR="000735FF" w:rsidRDefault="000735FF" w:rsidP="00E66B42">
      <w:pPr>
        <w:pStyle w:val="BodyTextMain"/>
        <w:keepNext/>
        <w:outlineLvl w:val="0"/>
        <w:rPr>
          <w:rFonts w:ascii="Arial" w:hAnsi="Arial" w:cs="Arial"/>
          <w:b/>
          <w:sz w:val="20"/>
          <w:szCs w:val="20"/>
          <w:lang w:val="en-GB"/>
        </w:rPr>
      </w:pPr>
      <w:r w:rsidRPr="002B43C8">
        <w:rPr>
          <w:rFonts w:ascii="Arial" w:hAnsi="Arial" w:cs="Arial"/>
          <w:b/>
          <w:sz w:val="20"/>
          <w:szCs w:val="20"/>
          <w:lang w:val="en-GB"/>
        </w:rPr>
        <w:lastRenderedPageBreak/>
        <w:t>Sedans</w:t>
      </w:r>
    </w:p>
    <w:p w14:paraId="5F1AEAE3" w14:textId="77777777" w:rsidR="00EA13C5" w:rsidRPr="00EA13C5" w:rsidRDefault="00EA13C5" w:rsidP="00E66B42">
      <w:pPr>
        <w:pStyle w:val="BodyTextMain"/>
        <w:keepNext/>
        <w:rPr>
          <w:sz w:val="20"/>
          <w:szCs w:val="20"/>
        </w:rPr>
      </w:pPr>
    </w:p>
    <w:p w14:paraId="38B5756E" w14:textId="032501F3" w:rsidR="000735FF" w:rsidRPr="002B43C8" w:rsidRDefault="000735FF" w:rsidP="00E66B42">
      <w:pPr>
        <w:pStyle w:val="BodyTextMain"/>
        <w:keepNext/>
        <w:rPr>
          <w:lang w:val="en-GB"/>
        </w:rPr>
      </w:pPr>
      <w:r w:rsidRPr="002B43C8">
        <w:rPr>
          <w:lang w:val="en-GB"/>
        </w:rPr>
        <w:t>The Dzire was a compact sedan launched in 2008</w:t>
      </w:r>
      <w:r w:rsidR="004A4FD0">
        <w:rPr>
          <w:lang w:val="en-GB"/>
        </w:rPr>
        <w:t>,</w:t>
      </w:r>
      <w:r w:rsidRPr="002B43C8">
        <w:rPr>
          <w:lang w:val="en-GB"/>
        </w:rPr>
        <w:t xml:space="preserve"> after the failure of </w:t>
      </w:r>
      <w:r w:rsidR="004A4FD0">
        <w:rPr>
          <w:lang w:val="en-GB"/>
        </w:rPr>
        <w:t xml:space="preserve">the </w:t>
      </w:r>
      <w:r w:rsidRPr="002B43C8">
        <w:rPr>
          <w:lang w:val="en-GB"/>
        </w:rPr>
        <w:t>Baleno</w:t>
      </w:r>
      <w:r w:rsidR="004A4FD0">
        <w:rPr>
          <w:lang w:val="en-GB"/>
        </w:rPr>
        <w:t>, another MSIL offering</w:t>
      </w:r>
      <w:r w:rsidRPr="002B43C8">
        <w:rPr>
          <w:lang w:val="en-GB"/>
        </w:rPr>
        <w:t xml:space="preserve"> in the high-price segment. </w:t>
      </w:r>
      <w:r w:rsidR="004A4FD0">
        <w:rPr>
          <w:lang w:val="en-GB"/>
        </w:rPr>
        <w:t xml:space="preserve">The </w:t>
      </w:r>
      <w:r w:rsidRPr="002B43C8">
        <w:rPr>
          <w:lang w:val="en-GB"/>
        </w:rPr>
        <w:t xml:space="preserve">Dzire earned a major market share in the sedan market and was among the five top-selling cars in India. It was launched </w:t>
      </w:r>
      <w:r w:rsidR="004A4FD0">
        <w:rPr>
          <w:lang w:val="en-GB"/>
        </w:rPr>
        <w:t>at</w:t>
      </w:r>
      <w:r w:rsidR="004A4FD0" w:rsidRPr="002B43C8">
        <w:rPr>
          <w:lang w:val="en-GB"/>
        </w:rPr>
        <w:t xml:space="preserve"> </w:t>
      </w:r>
      <w:r w:rsidRPr="002B43C8">
        <w:rPr>
          <w:lang w:val="en-GB"/>
        </w:rPr>
        <w:t>a lower price point than its competitors</w:t>
      </w:r>
      <w:r w:rsidR="00CD4A3F">
        <w:rPr>
          <w:lang w:val="en-GB"/>
        </w:rPr>
        <w:t>’</w:t>
      </w:r>
      <w:r w:rsidRPr="002B43C8">
        <w:rPr>
          <w:lang w:val="en-GB"/>
        </w:rPr>
        <w:t xml:space="preserve"> models</w:t>
      </w:r>
      <w:r w:rsidR="004A4FD0">
        <w:rPr>
          <w:lang w:val="en-GB"/>
        </w:rPr>
        <w:t xml:space="preserve"> (e.g., the</w:t>
      </w:r>
      <w:r w:rsidRPr="002B43C8">
        <w:rPr>
          <w:lang w:val="en-GB"/>
        </w:rPr>
        <w:t xml:space="preserve"> Hyundai Xcent, </w:t>
      </w:r>
      <w:r w:rsidR="004A4FD0">
        <w:rPr>
          <w:lang w:val="en-GB"/>
        </w:rPr>
        <w:t xml:space="preserve">the </w:t>
      </w:r>
      <w:r w:rsidRPr="002B43C8">
        <w:rPr>
          <w:lang w:val="en-GB"/>
        </w:rPr>
        <w:t xml:space="preserve">Toyota Etios, </w:t>
      </w:r>
      <w:r w:rsidR="004A4FD0">
        <w:rPr>
          <w:lang w:val="en-GB"/>
        </w:rPr>
        <w:t xml:space="preserve">the </w:t>
      </w:r>
      <w:r w:rsidRPr="002B43C8">
        <w:rPr>
          <w:lang w:val="en-GB"/>
        </w:rPr>
        <w:t xml:space="preserve">Honda Amaze, </w:t>
      </w:r>
      <w:r w:rsidR="004A4FD0">
        <w:rPr>
          <w:lang w:val="en-GB"/>
        </w:rPr>
        <w:t xml:space="preserve">the </w:t>
      </w:r>
      <w:r w:rsidRPr="002B43C8">
        <w:rPr>
          <w:lang w:val="en-GB"/>
        </w:rPr>
        <w:t>Tata Indigo, and</w:t>
      </w:r>
      <w:r w:rsidR="004A4FD0">
        <w:rPr>
          <w:lang w:val="en-GB"/>
        </w:rPr>
        <w:t xml:space="preserve"> the</w:t>
      </w:r>
      <w:r w:rsidRPr="002B43C8">
        <w:rPr>
          <w:lang w:val="en-GB"/>
        </w:rPr>
        <w:t xml:space="preserve"> Tata Zest</w:t>
      </w:r>
      <w:r w:rsidR="004A4FD0">
        <w:rPr>
          <w:lang w:val="en-GB"/>
        </w:rPr>
        <w:t>)</w:t>
      </w:r>
      <w:r w:rsidRPr="002B43C8">
        <w:rPr>
          <w:lang w:val="en-GB"/>
        </w:rPr>
        <w:t xml:space="preserve">. </w:t>
      </w:r>
      <w:r w:rsidR="004A4FD0">
        <w:rPr>
          <w:lang w:val="en-GB"/>
        </w:rPr>
        <w:t>A</w:t>
      </w:r>
      <w:r w:rsidRPr="002B43C8">
        <w:rPr>
          <w:lang w:val="en-GB"/>
        </w:rPr>
        <w:t xml:space="preserve">n updated sedan variant of </w:t>
      </w:r>
      <w:r w:rsidR="004A4FD0">
        <w:rPr>
          <w:lang w:val="en-GB"/>
        </w:rPr>
        <w:t xml:space="preserve">the </w:t>
      </w:r>
      <w:r w:rsidRPr="002B43C8">
        <w:rPr>
          <w:lang w:val="en-GB"/>
        </w:rPr>
        <w:t>Dzire</w:t>
      </w:r>
      <w:r w:rsidR="004A4FD0">
        <w:rPr>
          <w:lang w:val="en-GB"/>
        </w:rPr>
        <w:t>, the Dzire Tour, was released</w:t>
      </w:r>
      <w:r w:rsidRPr="002B43C8">
        <w:rPr>
          <w:lang w:val="en-GB"/>
        </w:rPr>
        <w:t xml:space="preserve"> in the super-compact category.</w:t>
      </w:r>
    </w:p>
    <w:p w14:paraId="2466DEF8" w14:textId="77777777" w:rsidR="000735FF" w:rsidRPr="00EA13C5" w:rsidRDefault="000735FF" w:rsidP="00C8508B">
      <w:pPr>
        <w:pStyle w:val="BodyTextMain"/>
        <w:rPr>
          <w:sz w:val="20"/>
          <w:szCs w:val="20"/>
          <w:lang w:val="en-GB"/>
        </w:rPr>
      </w:pPr>
    </w:p>
    <w:p w14:paraId="19849A0D" w14:textId="4C3FF0A3" w:rsidR="000735FF" w:rsidRPr="002B43C8" w:rsidRDefault="00F356C4" w:rsidP="00C8508B">
      <w:pPr>
        <w:pStyle w:val="BodyTextMain"/>
        <w:rPr>
          <w:lang w:val="en-GB"/>
        </w:rPr>
      </w:pPr>
      <w:r>
        <w:rPr>
          <w:lang w:val="en-GB"/>
        </w:rPr>
        <w:t>In 2014, t</w:t>
      </w:r>
      <w:r w:rsidR="000735FF" w:rsidRPr="002B43C8">
        <w:rPr>
          <w:lang w:val="en-GB"/>
        </w:rPr>
        <w:t>he only mid-size sedan in MSIL’s portfolio was the C</w:t>
      </w:r>
      <w:r w:rsidR="007F36EF">
        <w:rPr>
          <w:lang w:val="en-GB"/>
        </w:rPr>
        <w:t>iaz</w:t>
      </w:r>
      <w:r w:rsidR="000735FF" w:rsidRPr="002B43C8">
        <w:rPr>
          <w:lang w:val="en-GB"/>
        </w:rPr>
        <w:t xml:space="preserve">; it was an addition to </w:t>
      </w:r>
      <w:r>
        <w:rPr>
          <w:lang w:val="en-GB"/>
        </w:rPr>
        <w:t>MSIL’s</w:t>
      </w:r>
      <w:r w:rsidR="000735FF" w:rsidRPr="002B43C8">
        <w:rPr>
          <w:lang w:val="en-GB"/>
        </w:rPr>
        <w:t xml:space="preserve"> higher</w:t>
      </w:r>
      <w:r>
        <w:rPr>
          <w:lang w:val="en-GB"/>
        </w:rPr>
        <w:t>-</w:t>
      </w:r>
      <w:r w:rsidR="000735FF" w:rsidRPr="002B43C8">
        <w:rPr>
          <w:lang w:val="en-GB"/>
        </w:rPr>
        <w:t>price</w:t>
      </w:r>
      <w:r>
        <w:rPr>
          <w:lang w:val="en-GB"/>
        </w:rPr>
        <w:t>d</w:t>
      </w:r>
      <w:r w:rsidR="000735FF" w:rsidRPr="002B43C8">
        <w:rPr>
          <w:lang w:val="en-GB"/>
        </w:rPr>
        <w:t xml:space="preserve"> offerings and an attempt to overcome the</w:t>
      </w:r>
      <w:r>
        <w:rPr>
          <w:lang w:val="en-GB"/>
        </w:rPr>
        <w:t xml:space="preserve"> company’s</w:t>
      </w:r>
      <w:r w:rsidR="000735FF" w:rsidRPr="002B43C8">
        <w:rPr>
          <w:lang w:val="en-GB"/>
        </w:rPr>
        <w:t xml:space="preserve"> image as </w:t>
      </w:r>
      <w:r w:rsidR="007F36EF">
        <w:rPr>
          <w:lang w:val="en-GB"/>
        </w:rPr>
        <w:t>a</w:t>
      </w:r>
      <w:r w:rsidR="000735FF" w:rsidRPr="002B43C8">
        <w:rPr>
          <w:lang w:val="en-GB"/>
        </w:rPr>
        <w:t xml:space="preserve"> small car</w:t>
      </w:r>
      <w:r w:rsidR="007F36EF">
        <w:rPr>
          <w:lang w:val="en-GB"/>
        </w:rPr>
        <w:t xml:space="preserve"> </w:t>
      </w:r>
      <w:r w:rsidR="000735FF" w:rsidRPr="002B43C8">
        <w:rPr>
          <w:lang w:val="en-GB"/>
        </w:rPr>
        <w:t xml:space="preserve">maker. </w:t>
      </w:r>
      <w:r w:rsidR="007F36EF">
        <w:rPr>
          <w:lang w:val="en-GB"/>
        </w:rPr>
        <w:t>The Ciaz</w:t>
      </w:r>
      <w:r w:rsidR="000735FF" w:rsidRPr="002B43C8">
        <w:rPr>
          <w:lang w:val="en-GB"/>
        </w:rPr>
        <w:t xml:space="preserve"> offered the look of a big</w:t>
      </w:r>
      <w:r w:rsidR="007F36EF">
        <w:rPr>
          <w:lang w:val="en-GB"/>
        </w:rPr>
        <w:t>ger</w:t>
      </w:r>
      <w:r w:rsidR="000735FF" w:rsidRPr="002B43C8">
        <w:rPr>
          <w:lang w:val="en-GB"/>
        </w:rPr>
        <w:t xml:space="preserve"> car </w:t>
      </w:r>
      <w:r w:rsidR="007F36EF">
        <w:rPr>
          <w:lang w:val="en-GB"/>
        </w:rPr>
        <w:t>and the appeal of</w:t>
      </w:r>
      <w:r w:rsidR="000735FF" w:rsidRPr="002B43C8">
        <w:rPr>
          <w:lang w:val="en-GB"/>
        </w:rPr>
        <w:t xml:space="preserve"> a status symbol</w:t>
      </w:r>
      <w:r w:rsidR="007F36EF">
        <w:rPr>
          <w:lang w:val="en-GB"/>
        </w:rPr>
        <w:t>, and was</w:t>
      </w:r>
      <w:r w:rsidR="000735FF" w:rsidRPr="002B43C8">
        <w:rPr>
          <w:lang w:val="en-GB"/>
        </w:rPr>
        <w:t xml:space="preserve"> </w:t>
      </w:r>
      <w:r w:rsidR="007F36EF">
        <w:rPr>
          <w:lang w:val="en-GB"/>
        </w:rPr>
        <w:t xml:space="preserve">an </w:t>
      </w:r>
      <w:r w:rsidR="000735FF" w:rsidRPr="002B43C8">
        <w:rPr>
          <w:lang w:val="en-GB"/>
        </w:rPr>
        <w:t xml:space="preserve">attempt to retain </w:t>
      </w:r>
      <w:r w:rsidR="007F36EF">
        <w:rPr>
          <w:lang w:val="en-GB"/>
        </w:rPr>
        <w:t xml:space="preserve">MSIL </w:t>
      </w:r>
      <w:r w:rsidR="000735FF" w:rsidRPr="002B43C8">
        <w:rPr>
          <w:lang w:val="en-GB"/>
        </w:rPr>
        <w:t>customers who wanted to upgrade from the Swift and Dzire</w:t>
      </w:r>
      <w:r w:rsidR="007F36EF">
        <w:rPr>
          <w:lang w:val="en-GB"/>
        </w:rPr>
        <w:t>.</w:t>
      </w:r>
      <w:r w:rsidR="000735FF" w:rsidRPr="002B43C8">
        <w:rPr>
          <w:rStyle w:val="FootnoteReference"/>
          <w:color w:val="252525"/>
          <w:lang w:val="en-GB"/>
        </w:rPr>
        <w:footnoteReference w:id="4"/>
      </w:r>
      <w:r w:rsidR="000735FF" w:rsidRPr="002B43C8">
        <w:rPr>
          <w:lang w:val="en-GB"/>
        </w:rPr>
        <w:t xml:space="preserve"> </w:t>
      </w:r>
      <w:r w:rsidR="00CD4A3F">
        <w:rPr>
          <w:lang w:val="en-GB"/>
        </w:rPr>
        <w:t>It</w:t>
      </w:r>
      <w:r w:rsidR="007F36EF">
        <w:rPr>
          <w:lang w:val="en-GB"/>
        </w:rPr>
        <w:t xml:space="preserve"> was intended to compete with </w:t>
      </w:r>
      <w:r w:rsidR="000735FF" w:rsidRPr="002B43C8">
        <w:rPr>
          <w:lang w:val="en-GB"/>
        </w:rPr>
        <w:t>the top players in the mid-size category of sedans</w:t>
      </w:r>
      <w:r w:rsidR="007F36EF">
        <w:rPr>
          <w:lang w:val="en-GB"/>
        </w:rPr>
        <w:t>:</w:t>
      </w:r>
      <w:r w:rsidR="000735FF" w:rsidRPr="002B43C8">
        <w:rPr>
          <w:lang w:val="en-GB"/>
        </w:rPr>
        <w:t xml:space="preserve"> </w:t>
      </w:r>
      <w:r w:rsidR="007F36EF">
        <w:rPr>
          <w:lang w:val="en-GB"/>
        </w:rPr>
        <w:t>the</w:t>
      </w:r>
      <w:r w:rsidR="000735FF" w:rsidRPr="002B43C8">
        <w:rPr>
          <w:lang w:val="en-GB"/>
        </w:rPr>
        <w:t xml:space="preserve"> Honda City, Hyundai Verna, and Volkswagen Vento. </w:t>
      </w:r>
    </w:p>
    <w:p w14:paraId="0F16A2EB" w14:textId="77777777" w:rsidR="000735FF" w:rsidRPr="00EA13C5" w:rsidRDefault="000735FF" w:rsidP="00C8508B">
      <w:pPr>
        <w:pStyle w:val="BodyTextMain"/>
        <w:rPr>
          <w:sz w:val="20"/>
          <w:szCs w:val="20"/>
          <w:lang w:val="en-GB"/>
        </w:rPr>
      </w:pPr>
    </w:p>
    <w:p w14:paraId="7274BBB4" w14:textId="77777777" w:rsidR="000735FF" w:rsidRPr="00EA13C5" w:rsidRDefault="000735FF" w:rsidP="00C8508B">
      <w:pPr>
        <w:pStyle w:val="BodyTextMain"/>
        <w:rPr>
          <w:sz w:val="20"/>
          <w:szCs w:val="20"/>
          <w:lang w:val="en-GB"/>
        </w:rPr>
      </w:pPr>
    </w:p>
    <w:p w14:paraId="0351DA49" w14:textId="77777777" w:rsidR="000735FF" w:rsidRPr="002B43C8" w:rsidRDefault="000735FF" w:rsidP="007F36EF">
      <w:pPr>
        <w:pStyle w:val="Casehead1"/>
        <w:outlineLvl w:val="0"/>
        <w:rPr>
          <w:rFonts w:eastAsiaTheme="majorEastAsia"/>
          <w:lang w:val="en-GB"/>
        </w:rPr>
      </w:pPr>
      <w:r w:rsidRPr="002B43C8">
        <w:rPr>
          <w:rFonts w:eastAsiaTheme="majorEastAsia"/>
          <w:lang w:val="en-GB"/>
        </w:rPr>
        <w:t xml:space="preserve">INDIAN PASSENGER VEHICLE MARKET </w:t>
      </w:r>
    </w:p>
    <w:p w14:paraId="762FD997" w14:textId="77777777" w:rsidR="000735FF" w:rsidRPr="00EA13C5" w:rsidRDefault="000735FF" w:rsidP="00C8508B">
      <w:pPr>
        <w:pStyle w:val="BodyTextMain"/>
        <w:rPr>
          <w:rFonts w:eastAsiaTheme="majorEastAsia"/>
          <w:sz w:val="20"/>
          <w:szCs w:val="20"/>
          <w:lang w:val="en-GB"/>
        </w:rPr>
      </w:pPr>
    </w:p>
    <w:p w14:paraId="24BB631B" w14:textId="52CF4A96" w:rsidR="000735FF" w:rsidRPr="002B43C8" w:rsidRDefault="000735FF" w:rsidP="00C8508B">
      <w:pPr>
        <w:pStyle w:val="BodyTextMain"/>
        <w:rPr>
          <w:lang w:val="en-GB"/>
        </w:rPr>
      </w:pPr>
      <w:r w:rsidRPr="002B43C8">
        <w:rPr>
          <w:lang w:val="en-GB"/>
        </w:rPr>
        <w:t>The automobile industry’s performance was driven by</w:t>
      </w:r>
      <w:r w:rsidR="002406B5">
        <w:rPr>
          <w:lang w:val="en-GB"/>
        </w:rPr>
        <w:t xml:space="preserve"> many</w:t>
      </w:r>
      <w:r w:rsidRPr="002B43C8">
        <w:rPr>
          <w:lang w:val="en-GB"/>
        </w:rPr>
        <w:t xml:space="preserve"> factors</w:t>
      </w:r>
      <w:r w:rsidR="002406B5">
        <w:rPr>
          <w:lang w:val="en-GB"/>
        </w:rPr>
        <w:t>, including</w:t>
      </w:r>
      <w:r w:rsidRPr="002B43C8">
        <w:rPr>
          <w:lang w:val="en-GB"/>
        </w:rPr>
        <w:t xml:space="preserve"> government policies on fuel prices and duties, infrastructure</w:t>
      </w:r>
      <w:r w:rsidR="002406B5">
        <w:rPr>
          <w:lang w:val="en-GB"/>
        </w:rPr>
        <w:t xml:space="preserve"> issues</w:t>
      </w:r>
      <w:r w:rsidRPr="002B43C8">
        <w:rPr>
          <w:lang w:val="en-GB"/>
        </w:rPr>
        <w:t>, companies’ enlarged and well-supported dealership networks, technological innovation</w:t>
      </w:r>
      <w:r w:rsidR="002406B5">
        <w:rPr>
          <w:lang w:val="en-GB"/>
        </w:rPr>
        <w:t>s</w:t>
      </w:r>
      <w:r w:rsidRPr="002B43C8">
        <w:rPr>
          <w:lang w:val="en-GB"/>
        </w:rPr>
        <w:t>, consumers’ lifestyles, and</w:t>
      </w:r>
      <w:r w:rsidR="002406B5">
        <w:rPr>
          <w:lang w:val="en-GB"/>
        </w:rPr>
        <w:t xml:space="preserve"> variations in</w:t>
      </w:r>
      <w:r w:rsidRPr="002B43C8">
        <w:rPr>
          <w:lang w:val="en-GB"/>
        </w:rPr>
        <w:t xml:space="preserve"> consumer income.</w:t>
      </w:r>
    </w:p>
    <w:p w14:paraId="43D5C6EB" w14:textId="77777777" w:rsidR="000735FF" w:rsidRPr="00EA13C5" w:rsidRDefault="000735FF" w:rsidP="00C8508B">
      <w:pPr>
        <w:pStyle w:val="BodyTextMain"/>
        <w:rPr>
          <w:sz w:val="20"/>
          <w:szCs w:val="20"/>
          <w:lang w:val="en-GB"/>
        </w:rPr>
      </w:pPr>
    </w:p>
    <w:p w14:paraId="7B3D037A" w14:textId="77777777" w:rsidR="000735FF" w:rsidRPr="00EA13C5" w:rsidRDefault="000735FF" w:rsidP="00C8508B">
      <w:pPr>
        <w:pStyle w:val="BodyTextMain"/>
        <w:rPr>
          <w:sz w:val="20"/>
          <w:szCs w:val="20"/>
          <w:lang w:val="en-GB"/>
        </w:rPr>
      </w:pPr>
    </w:p>
    <w:p w14:paraId="6EBB64EA" w14:textId="0D2ACC6D" w:rsidR="000735FF" w:rsidRPr="002B43C8" w:rsidRDefault="002406B5" w:rsidP="007F36EF">
      <w:pPr>
        <w:pStyle w:val="Casehead2"/>
        <w:outlineLvl w:val="0"/>
        <w:rPr>
          <w:lang w:val="en-GB"/>
        </w:rPr>
      </w:pPr>
      <w:r>
        <w:rPr>
          <w:lang w:val="en-GB"/>
        </w:rPr>
        <w:t xml:space="preserve">The </w:t>
      </w:r>
      <w:r w:rsidR="000735FF" w:rsidRPr="002B43C8">
        <w:rPr>
          <w:lang w:val="en-GB"/>
        </w:rPr>
        <w:t xml:space="preserve">Role of Government </w:t>
      </w:r>
    </w:p>
    <w:p w14:paraId="261B601E" w14:textId="77777777" w:rsidR="000735FF" w:rsidRPr="00EA13C5" w:rsidRDefault="000735FF" w:rsidP="00C8508B">
      <w:pPr>
        <w:pStyle w:val="BodyTextMain"/>
        <w:rPr>
          <w:sz w:val="20"/>
          <w:szCs w:val="20"/>
          <w:lang w:val="en-GB"/>
        </w:rPr>
      </w:pPr>
    </w:p>
    <w:p w14:paraId="0343232A" w14:textId="4BFF722F" w:rsidR="000735FF" w:rsidRPr="002B43C8" w:rsidRDefault="002406B5" w:rsidP="00C8508B">
      <w:pPr>
        <w:pStyle w:val="BodyTextMain"/>
        <w:rPr>
          <w:lang w:val="en-GB"/>
        </w:rPr>
      </w:pPr>
      <w:r>
        <w:rPr>
          <w:lang w:val="en-GB"/>
        </w:rPr>
        <w:t>After India’s</w:t>
      </w:r>
      <w:r w:rsidR="000735FF" w:rsidRPr="002B43C8">
        <w:rPr>
          <w:lang w:val="en-GB"/>
        </w:rPr>
        <w:t xml:space="preserve"> </w:t>
      </w:r>
      <w:r w:rsidR="00597CB2">
        <w:rPr>
          <w:lang w:val="en-GB"/>
        </w:rPr>
        <w:t xml:space="preserve">economic </w:t>
      </w:r>
      <w:r w:rsidR="000735FF" w:rsidRPr="002B43C8">
        <w:rPr>
          <w:lang w:val="en-GB"/>
        </w:rPr>
        <w:t xml:space="preserve">liberalization </w:t>
      </w:r>
      <w:r>
        <w:rPr>
          <w:lang w:val="en-GB"/>
        </w:rPr>
        <w:t xml:space="preserve">in </w:t>
      </w:r>
      <w:r w:rsidR="000735FF" w:rsidRPr="002B43C8">
        <w:rPr>
          <w:lang w:val="en-GB"/>
        </w:rPr>
        <w:t xml:space="preserve">1991, the flow of </w:t>
      </w:r>
      <w:r>
        <w:rPr>
          <w:lang w:val="en-GB"/>
        </w:rPr>
        <w:t>f</w:t>
      </w:r>
      <w:r w:rsidR="000735FF" w:rsidRPr="002B43C8">
        <w:rPr>
          <w:lang w:val="en-GB"/>
        </w:rPr>
        <w:t xml:space="preserve">oreign </w:t>
      </w:r>
      <w:r>
        <w:rPr>
          <w:lang w:val="en-GB"/>
        </w:rPr>
        <w:t>d</w:t>
      </w:r>
      <w:r w:rsidR="000735FF" w:rsidRPr="002B43C8">
        <w:rPr>
          <w:lang w:val="en-GB"/>
        </w:rPr>
        <w:t xml:space="preserve">irect </w:t>
      </w:r>
      <w:r>
        <w:rPr>
          <w:lang w:val="en-GB"/>
        </w:rPr>
        <w:t>i</w:t>
      </w:r>
      <w:r w:rsidR="000735FF" w:rsidRPr="002B43C8">
        <w:rPr>
          <w:lang w:val="en-GB"/>
        </w:rPr>
        <w:t>nvestment into the automobile industry enabled growth in the production of automobiles in the country</w:t>
      </w:r>
      <w:r w:rsidR="00EB140B">
        <w:rPr>
          <w:lang w:val="en-GB"/>
        </w:rPr>
        <w:t>.</w:t>
      </w:r>
      <w:r w:rsidR="000735FF" w:rsidRPr="002B43C8">
        <w:rPr>
          <w:lang w:val="en-GB"/>
        </w:rPr>
        <w:t xml:space="preserve"> M</w:t>
      </w:r>
      <w:r w:rsidR="00987813">
        <w:rPr>
          <w:lang w:val="en-GB"/>
        </w:rPr>
        <w:t>ultinational corporations</w:t>
      </w:r>
      <w:r w:rsidR="000735FF" w:rsidRPr="002B43C8">
        <w:rPr>
          <w:lang w:val="en-GB"/>
        </w:rPr>
        <w:t xml:space="preserve"> placed their faith in the long-term potential of the Indian market and invested in local products, built in India with local expertise at </w:t>
      </w:r>
      <w:r w:rsidR="001A3E09">
        <w:rPr>
          <w:lang w:val="en-GB"/>
        </w:rPr>
        <w:t xml:space="preserve">a </w:t>
      </w:r>
      <w:r w:rsidR="007363EE">
        <w:rPr>
          <w:lang w:val="en-GB"/>
        </w:rPr>
        <w:t>lower</w:t>
      </w:r>
      <w:r w:rsidR="00987813">
        <w:rPr>
          <w:lang w:val="en-GB"/>
        </w:rPr>
        <w:t xml:space="preserve"> </w:t>
      </w:r>
      <w:r w:rsidR="001A3E09">
        <w:rPr>
          <w:lang w:val="en-GB"/>
        </w:rPr>
        <w:t>cost.</w:t>
      </w:r>
    </w:p>
    <w:p w14:paraId="41A8A194" w14:textId="77777777" w:rsidR="000735FF" w:rsidRPr="00EA13C5" w:rsidRDefault="000735FF" w:rsidP="00C8508B">
      <w:pPr>
        <w:pStyle w:val="BodyTextMain"/>
        <w:rPr>
          <w:sz w:val="20"/>
          <w:szCs w:val="20"/>
          <w:lang w:val="en-GB"/>
        </w:rPr>
      </w:pPr>
    </w:p>
    <w:p w14:paraId="7D4B81C2" w14:textId="142389E2" w:rsidR="000735FF" w:rsidRPr="002B43C8" w:rsidRDefault="000735FF" w:rsidP="00C8508B">
      <w:pPr>
        <w:pStyle w:val="BodyTextMain"/>
        <w:rPr>
          <w:lang w:val="en-GB"/>
        </w:rPr>
      </w:pPr>
      <w:r w:rsidRPr="002B43C8">
        <w:rPr>
          <w:lang w:val="en-GB"/>
        </w:rPr>
        <w:t xml:space="preserve">Fuel prices </w:t>
      </w:r>
      <w:r w:rsidR="00987813">
        <w:rPr>
          <w:lang w:val="en-GB"/>
        </w:rPr>
        <w:t>heavily influenced which</w:t>
      </w:r>
      <w:r w:rsidRPr="002B43C8">
        <w:rPr>
          <w:lang w:val="en-GB"/>
        </w:rPr>
        <w:t xml:space="preserve"> variants </w:t>
      </w:r>
      <w:r w:rsidR="00987813">
        <w:rPr>
          <w:lang w:val="en-GB"/>
        </w:rPr>
        <w:t xml:space="preserve">of vehicles sold well </w:t>
      </w:r>
      <w:r w:rsidRPr="002B43C8">
        <w:rPr>
          <w:lang w:val="en-GB"/>
        </w:rPr>
        <w:t>(</w:t>
      </w:r>
      <w:r w:rsidR="00987813">
        <w:rPr>
          <w:lang w:val="en-GB"/>
        </w:rPr>
        <w:t xml:space="preserve">those that used </w:t>
      </w:r>
      <w:r w:rsidRPr="002B43C8">
        <w:rPr>
          <w:lang w:val="en-GB"/>
        </w:rPr>
        <w:t xml:space="preserve">diesel, petrol, or </w:t>
      </w:r>
      <w:r w:rsidR="00987813">
        <w:rPr>
          <w:lang w:val="en-GB"/>
        </w:rPr>
        <w:t>compressed natural gas (</w:t>
      </w:r>
      <w:r w:rsidRPr="002B43C8">
        <w:rPr>
          <w:lang w:val="en-GB"/>
        </w:rPr>
        <w:t>CNG</w:t>
      </w:r>
      <w:r w:rsidR="00987813">
        <w:rPr>
          <w:lang w:val="en-GB"/>
        </w:rPr>
        <w:t>)</w:t>
      </w:r>
      <w:r w:rsidRPr="002B43C8">
        <w:rPr>
          <w:lang w:val="en-GB"/>
        </w:rPr>
        <w:t>)</w:t>
      </w:r>
      <w:r w:rsidR="00987813">
        <w:rPr>
          <w:lang w:val="en-GB"/>
        </w:rPr>
        <w:t>.</w:t>
      </w:r>
      <w:r w:rsidRPr="002B43C8">
        <w:rPr>
          <w:lang w:val="en-GB"/>
        </w:rPr>
        <w:t xml:space="preserve"> Historically, India was a huge market for diesel vehicles, but when the difference between diesel and petrol </w:t>
      </w:r>
      <w:r w:rsidR="00987813">
        <w:rPr>
          <w:lang w:val="en-GB"/>
        </w:rPr>
        <w:t xml:space="preserve">prices was </w:t>
      </w:r>
      <w:r w:rsidRPr="002B43C8">
        <w:rPr>
          <w:lang w:val="en-GB"/>
        </w:rPr>
        <w:t xml:space="preserve">reduced following </w:t>
      </w:r>
      <w:r w:rsidR="008A1D00">
        <w:rPr>
          <w:lang w:val="en-GB"/>
        </w:rPr>
        <w:t xml:space="preserve">the </w:t>
      </w:r>
      <w:r w:rsidRPr="002B43C8">
        <w:rPr>
          <w:lang w:val="en-GB"/>
        </w:rPr>
        <w:t>deregulation of fuel prices, diesel vehicle sales</w:t>
      </w:r>
      <w:r w:rsidR="00987813">
        <w:rPr>
          <w:lang w:val="en-GB"/>
        </w:rPr>
        <w:t xml:space="preserve"> declined</w:t>
      </w:r>
      <w:r w:rsidRPr="002B43C8">
        <w:rPr>
          <w:lang w:val="en-GB"/>
        </w:rPr>
        <w:t xml:space="preserve">. This </w:t>
      </w:r>
      <w:r w:rsidR="00987813">
        <w:rPr>
          <w:lang w:val="en-GB"/>
        </w:rPr>
        <w:t xml:space="preserve">drop </w:t>
      </w:r>
      <w:r w:rsidRPr="002B43C8">
        <w:rPr>
          <w:lang w:val="en-GB"/>
        </w:rPr>
        <w:t xml:space="preserve">was alarming for the industry </w:t>
      </w:r>
      <w:r w:rsidR="00987813">
        <w:rPr>
          <w:lang w:val="en-GB"/>
        </w:rPr>
        <w:t>because</w:t>
      </w:r>
      <w:r w:rsidRPr="002B43C8">
        <w:rPr>
          <w:lang w:val="en-GB"/>
        </w:rPr>
        <w:t xml:space="preserve"> many companies were working on diesel models. </w:t>
      </w:r>
    </w:p>
    <w:p w14:paraId="0B7EF5DC" w14:textId="77777777" w:rsidR="00A42DB4" w:rsidRPr="00EA13C5" w:rsidRDefault="00A42DB4" w:rsidP="00C8508B">
      <w:pPr>
        <w:pStyle w:val="BodyTextMain"/>
        <w:rPr>
          <w:sz w:val="20"/>
          <w:szCs w:val="20"/>
          <w:lang w:val="en-GB"/>
        </w:rPr>
      </w:pPr>
    </w:p>
    <w:p w14:paraId="12A9DA1A" w14:textId="326D6FD4" w:rsidR="000735FF" w:rsidRPr="002B43C8" w:rsidRDefault="000735FF" w:rsidP="00C8508B">
      <w:pPr>
        <w:pStyle w:val="BodyTextMain"/>
        <w:rPr>
          <w:lang w:val="en-GB"/>
        </w:rPr>
      </w:pPr>
      <w:r w:rsidRPr="002B43C8">
        <w:rPr>
          <w:lang w:val="en-GB"/>
        </w:rPr>
        <w:t>Excise dut</w:t>
      </w:r>
      <w:r w:rsidR="00597CB2">
        <w:rPr>
          <w:lang w:val="en-GB"/>
        </w:rPr>
        <w:t>ies</w:t>
      </w:r>
      <w:r w:rsidRPr="002B43C8">
        <w:rPr>
          <w:lang w:val="en-GB"/>
        </w:rPr>
        <w:t xml:space="preserve"> and road tax</w:t>
      </w:r>
      <w:r w:rsidR="00597CB2">
        <w:rPr>
          <w:lang w:val="en-GB"/>
        </w:rPr>
        <w:t>es</w:t>
      </w:r>
      <w:r w:rsidRPr="002B43C8">
        <w:rPr>
          <w:lang w:val="en-GB"/>
        </w:rPr>
        <w:t xml:space="preserve"> also affect</w:t>
      </w:r>
      <w:r w:rsidR="000E4D8D">
        <w:rPr>
          <w:lang w:val="en-GB"/>
        </w:rPr>
        <w:t>ed</w:t>
      </w:r>
      <w:r w:rsidRPr="002B43C8">
        <w:rPr>
          <w:lang w:val="en-GB"/>
        </w:rPr>
        <w:t xml:space="preserve"> the sales of vehicles. Low excise dut</w:t>
      </w:r>
      <w:r w:rsidR="004C6AC9">
        <w:rPr>
          <w:lang w:val="en-GB"/>
        </w:rPr>
        <w:t>ies</w:t>
      </w:r>
      <w:r w:rsidRPr="002B43C8">
        <w:rPr>
          <w:lang w:val="en-GB"/>
        </w:rPr>
        <w:t xml:space="preserve"> on small cars (12</w:t>
      </w:r>
      <w:r w:rsidR="005E6166">
        <w:rPr>
          <w:lang w:val="en-GB"/>
        </w:rPr>
        <w:t xml:space="preserve"> per cent</w:t>
      </w:r>
      <w:r w:rsidRPr="002B43C8">
        <w:rPr>
          <w:lang w:val="en-GB"/>
        </w:rPr>
        <w:t xml:space="preserve"> in 2015) compared to </w:t>
      </w:r>
      <w:r w:rsidR="004C6AC9">
        <w:rPr>
          <w:lang w:val="en-GB"/>
        </w:rPr>
        <w:t>large</w:t>
      </w:r>
      <w:r w:rsidRPr="002B43C8">
        <w:rPr>
          <w:lang w:val="en-GB"/>
        </w:rPr>
        <w:t xml:space="preserve"> cars (27</w:t>
      </w:r>
      <w:r w:rsidR="005E6166">
        <w:rPr>
          <w:lang w:val="en-GB"/>
        </w:rPr>
        <w:t xml:space="preserve"> per cent</w:t>
      </w:r>
      <w:r w:rsidRPr="002B43C8">
        <w:rPr>
          <w:lang w:val="en-GB"/>
        </w:rPr>
        <w:t xml:space="preserve"> for large cars and 24–30</w:t>
      </w:r>
      <w:r w:rsidR="005E6166">
        <w:rPr>
          <w:lang w:val="en-GB"/>
        </w:rPr>
        <w:t xml:space="preserve"> per cent</w:t>
      </w:r>
      <w:r w:rsidRPr="002B43C8">
        <w:rPr>
          <w:lang w:val="en-GB"/>
        </w:rPr>
        <w:t xml:space="preserve"> for SUVs) </w:t>
      </w:r>
      <w:r w:rsidR="004C6AC9">
        <w:rPr>
          <w:lang w:val="en-GB"/>
        </w:rPr>
        <w:t>remained a primary</w:t>
      </w:r>
      <w:r w:rsidRPr="002B43C8">
        <w:rPr>
          <w:lang w:val="en-GB"/>
        </w:rPr>
        <w:t xml:space="preserve"> reason for the popularity of small cars. Further, </w:t>
      </w:r>
      <w:r w:rsidR="008A1D00">
        <w:rPr>
          <w:lang w:val="en-GB"/>
        </w:rPr>
        <w:t xml:space="preserve">as </w:t>
      </w:r>
      <w:r w:rsidRPr="002B43C8">
        <w:rPr>
          <w:lang w:val="en-GB"/>
        </w:rPr>
        <w:t>a dealer shared,</w:t>
      </w:r>
    </w:p>
    <w:p w14:paraId="1920DF3B" w14:textId="77777777" w:rsidR="000735FF" w:rsidRPr="00EA13C5" w:rsidRDefault="000735FF" w:rsidP="00C8508B">
      <w:pPr>
        <w:pStyle w:val="BodyTextMain"/>
        <w:rPr>
          <w:sz w:val="20"/>
          <w:szCs w:val="20"/>
          <w:lang w:val="en-GB"/>
        </w:rPr>
      </w:pPr>
    </w:p>
    <w:p w14:paraId="1D208E5D" w14:textId="40D7B9E7" w:rsidR="000735FF" w:rsidRPr="00A42DB4" w:rsidRDefault="000735FF" w:rsidP="00CC73E0">
      <w:pPr>
        <w:pStyle w:val="BodyTextMain"/>
        <w:ind w:left="720"/>
        <w:rPr>
          <w:spacing w:val="-4"/>
          <w:kern w:val="22"/>
          <w:lang w:val="en-GB"/>
        </w:rPr>
      </w:pPr>
      <w:r w:rsidRPr="00A42DB4">
        <w:rPr>
          <w:spacing w:val="-4"/>
          <w:kern w:val="22"/>
          <w:lang w:val="en-GB"/>
        </w:rPr>
        <w:t>In 2014</w:t>
      </w:r>
      <w:r w:rsidR="00395F21" w:rsidRPr="00A42DB4">
        <w:rPr>
          <w:spacing w:val="-4"/>
          <w:kern w:val="22"/>
          <w:lang w:val="en-GB"/>
        </w:rPr>
        <w:t>,</w:t>
      </w:r>
      <w:r w:rsidRPr="00A42DB4">
        <w:rPr>
          <w:spacing w:val="-4"/>
          <w:kern w:val="22"/>
          <w:lang w:val="en-GB"/>
        </w:rPr>
        <w:t xml:space="preserve"> the government had announced a 4–6</w:t>
      </w:r>
      <w:r w:rsidR="005E6166" w:rsidRPr="00A42DB4">
        <w:rPr>
          <w:spacing w:val="-4"/>
          <w:kern w:val="22"/>
          <w:lang w:val="en-GB"/>
        </w:rPr>
        <w:t xml:space="preserve"> per cent</w:t>
      </w:r>
      <w:r w:rsidRPr="00A42DB4">
        <w:rPr>
          <w:spacing w:val="-4"/>
          <w:kern w:val="22"/>
          <w:lang w:val="en-GB"/>
        </w:rPr>
        <w:t xml:space="preserve"> cut in the excise duty to stir up demand against continuous low sales; when these cuts were removed in 2015</w:t>
      </w:r>
      <w:r w:rsidR="00395F21" w:rsidRPr="00A42DB4">
        <w:rPr>
          <w:spacing w:val="-4"/>
          <w:kern w:val="22"/>
          <w:lang w:val="en-GB"/>
        </w:rPr>
        <w:t>,</w:t>
      </w:r>
      <w:r w:rsidRPr="00A42DB4">
        <w:rPr>
          <w:spacing w:val="-4"/>
          <w:kern w:val="22"/>
          <w:lang w:val="en-GB"/>
        </w:rPr>
        <w:t xml:space="preserve"> sales reduced. So whenever there are cuts in duties and taxes, resulting in lower prices for vehicles, there is a boost in vehicle sales. Even a 2</w:t>
      </w:r>
      <w:r w:rsidR="005E6166" w:rsidRPr="00A42DB4">
        <w:rPr>
          <w:spacing w:val="-4"/>
          <w:kern w:val="22"/>
          <w:lang w:val="en-GB"/>
        </w:rPr>
        <w:t xml:space="preserve"> per cent</w:t>
      </w:r>
      <w:r w:rsidRPr="00A42DB4">
        <w:rPr>
          <w:spacing w:val="-4"/>
          <w:kern w:val="22"/>
          <w:lang w:val="en-GB"/>
        </w:rPr>
        <w:t xml:space="preserve"> increase in road tax</w:t>
      </w:r>
      <w:r w:rsidR="00395F21" w:rsidRPr="00A42DB4">
        <w:rPr>
          <w:spacing w:val="-4"/>
          <w:kern w:val="22"/>
          <w:lang w:val="en-GB"/>
        </w:rPr>
        <w:t>es</w:t>
      </w:r>
      <w:r w:rsidRPr="00A42DB4">
        <w:rPr>
          <w:spacing w:val="-4"/>
          <w:kern w:val="22"/>
          <w:lang w:val="en-GB"/>
        </w:rPr>
        <w:t xml:space="preserve"> can slow down the sales of passenger vehicles for months.</w:t>
      </w:r>
    </w:p>
    <w:p w14:paraId="0502348B" w14:textId="77777777" w:rsidR="000735FF" w:rsidRPr="00EA13C5" w:rsidRDefault="000735FF" w:rsidP="00C8508B">
      <w:pPr>
        <w:pStyle w:val="BodyTextMain"/>
        <w:rPr>
          <w:sz w:val="20"/>
          <w:szCs w:val="20"/>
          <w:lang w:val="en-GB"/>
        </w:rPr>
      </w:pPr>
    </w:p>
    <w:p w14:paraId="6EC3C0EF" w14:textId="7EB47424" w:rsidR="00570550" w:rsidRPr="002B43C8" w:rsidRDefault="000735FF" w:rsidP="00570550">
      <w:pPr>
        <w:pStyle w:val="BodyTextMain"/>
        <w:rPr>
          <w:lang w:val="en-GB"/>
        </w:rPr>
      </w:pPr>
      <w:r w:rsidRPr="002B43C8">
        <w:rPr>
          <w:lang w:val="en-GB"/>
        </w:rPr>
        <w:t xml:space="preserve">In terms of environmental factors, the government emphasized </w:t>
      </w:r>
      <w:r w:rsidR="0089569D">
        <w:rPr>
          <w:lang w:val="en-GB"/>
        </w:rPr>
        <w:t xml:space="preserve">the </w:t>
      </w:r>
      <w:r w:rsidRPr="002B43C8">
        <w:rPr>
          <w:lang w:val="en-GB"/>
        </w:rPr>
        <w:t>reduction of air</w:t>
      </w:r>
      <w:r w:rsidR="0089569D">
        <w:rPr>
          <w:lang w:val="en-GB"/>
        </w:rPr>
        <w:t>-</w:t>
      </w:r>
      <w:r w:rsidRPr="002B43C8">
        <w:rPr>
          <w:lang w:val="en-GB"/>
        </w:rPr>
        <w:t>pollut</w:t>
      </w:r>
      <w:r w:rsidR="0089569D">
        <w:rPr>
          <w:lang w:val="en-GB"/>
        </w:rPr>
        <w:t>ing</w:t>
      </w:r>
      <w:r w:rsidRPr="002B43C8">
        <w:rPr>
          <w:lang w:val="en-GB"/>
        </w:rPr>
        <w:t xml:space="preserve"> emission</w:t>
      </w:r>
      <w:r w:rsidR="0089569D">
        <w:rPr>
          <w:lang w:val="en-GB"/>
        </w:rPr>
        <w:t>s</w:t>
      </w:r>
      <w:r w:rsidRPr="002B43C8">
        <w:rPr>
          <w:lang w:val="en-GB"/>
        </w:rPr>
        <w:t xml:space="preserve"> from engines. </w:t>
      </w:r>
      <w:r w:rsidR="00584DA7">
        <w:rPr>
          <w:lang w:val="en-GB"/>
        </w:rPr>
        <w:t>In 2010, i</w:t>
      </w:r>
      <w:r w:rsidRPr="002B43C8">
        <w:rPr>
          <w:lang w:val="en-GB"/>
        </w:rPr>
        <w:t xml:space="preserve">t enforced the compliance of </w:t>
      </w:r>
      <w:r w:rsidR="00D243C8">
        <w:rPr>
          <w:lang w:val="en-GB"/>
        </w:rPr>
        <w:t>Euro</w:t>
      </w:r>
      <w:r w:rsidR="00897F2B">
        <w:rPr>
          <w:lang w:val="en-GB"/>
        </w:rPr>
        <w:t xml:space="preserve"> III</w:t>
      </w:r>
      <w:r w:rsidR="00C40A84">
        <w:rPr>
          <w:lang w:val="en-GB"/>
        </w:rPr>
        <w:t xml:space="preserve"> </w:t>
      </w:r>
      <w:r w:rsidRPr="002B43C8">
        <w:rPr>
          <w:lang w:val="en-GB"/>
        </w:rPr>
        <w:t>norms</w:t>
      </w:r>
      <w:r w:rsidR="00390EB7">
        <w:rPr>
          <w:rStyle w:val="FootnoteReference"/>
          <w:lang w:val="en-GB"/>
        </w:rPr>
        <w:footnoteReference w:id="5"/>
      </w:r>
      <w:r w:rsidR="00890750">
        <w:rPr>
          <w:lang w:val="en-GB"/>
        </w:rPr>
        <w:t xml:space="preserve"> </w:t>
      </w:r>
      <w:r w:rsidR="008A1D00">
        <w:rPr>
          <w:lang w:val="en-GB"/>
        </w:rPr>
        <w:t xml:space="preserve">(in India, </w:t>
      </w:r>
      <w:r w:rsidR="00890750">
        <w:rPr>
          <w:lang w:val="en-GB"/>
        </w:rPr>
        <w:t>Bharat Stage III norms</w:t>
      </w:r>
      <w:r w:rsidR="008A1D00">
        <w:rPr>
          <w:lang w:val="en-GB"/>
        </w:rPr>
        <w:t>)</w:t>
      </w:r>
      <w:r w:rsidRPr="002B43C8">
        <w:rPr>
          <w:lang w:val="en-GB"/>
        </w:rPr>
        <w:t xml:space="preserve"> </w:t>
      </w:r>
      <w:r w:rsidR="00972139">
        <w:rPr>
          <w:lang w:val="en-GB"/>
        </w:rPr>
        <w:lastRenderedPageBreak/>
        <w:t xml:space="preserve">for </w:t>
      </w:r>
      <w:r w:rsidR="0089569D">
        <w:rPr>
          <w:lang w:val="en-GB"/>
        </w:rPr>
        <w:t xml:space="preserve">all </w:t>
      </w:r>
      <w:r w:rsidRPr="002B43C8">
        <w:rPr>
          <w:lang w:val="en-GB"/>
        </w:rPr>
        <w:t>vehicles</w:t>
      </w:r>
      <w:r w:rsidR="004D1717">
        <w:rPr>
          <w:lang w:val="en-GB"/>
        </w:rPr>
        <w:t>, and</w:t>
      </w:r>
      <w:r w:rsidRPr="002B43C8">
        <w:rPr>
          <w:lang w:val="en-GB"/>
        </w:rPr>
        <w:t xml:space="preserve"> supported green technology </w:t>
      </w:r>
      <w:r w:rsidR="004D1717">
        <w:rPr>
          <w:lang w:val="en-GB"/>
        </w:rPr>
        <w:t>and products by</w:t>
      </w:r>
      <w:r w:rsidRPr="002B43C8">
        <w:rPr>
          <w:lang w:val="en-GB"/>
        </w:rPr>
        <w:t xml:space="preserve"> introduc</w:t>
      </w:r>
      <w:r w:rsidR="004D1717">
        <w:rPr>
          <w:lang w:val="en-GB"/>
        </w:rPr>
        <w:t>ing</w:t>
      </w:r>
      <w:r w:rsidRPr="002B43C8">
        <w:rPr>
          <w:lang w:val="en-GB"/>
        </w:rPr>
        <w:t xml:space="preserve"> policies </w:t>
      </w:r>
      <w:r w:rsidR="008A1D00">
        <w:rPr>
          <w:lang w:val="en-GB"/>
        </w:rPr>
        <w:t>such as</w:t>
      </w:r>
      <w:r w:rsidRPr="002B43C8">
        <w:rPr>
          <w:lang w:val="en-GB"/>
        </w:rPr>
        <w:t xml:space="preserve"> lower taxes for electric cars</w:t>
      </w:r>
      <w:r w:rsidR="004D1717">
        <w:rPr>
          <w:lang w:val="en-GB"/>
        </w:rPr>
        <w:t>.</w:t>
      </w:r>
      <w:r w:rsidRPr="002B43C8">
        <w:rPr>
          <w:lang w:val="en-GB"/>
        </w:rPr>
        <w:t xml:space="preserve"> The “Make in India” initiative by the Indian government was a step towards developing an automobile industry ecosystem in India. The Indian automobile sector was also hopeful that implementation of the Goods and Service</w:t>
      </w:r>
      <w:r w:rsidR="004D1717">
        <w:rPr>
          <w:lang w:val="en-GB"/>
        </w:rPr>
        <w:t>s</w:t>
      </w:r>
      <w:r w:rsidRPr="002B43C8">
        <w:rPr>
          <w:lang w:val="en-GB"/>
        </w:rPr>
        <w:t xml:space="preserve"> Tax would </w:t>
      </w:r>
      <w:r w:rsidR="004D1717">
        <w:rPr>
          <w:lang w:val="en-GB"/>
        </w:rPr>
        <w:t>increase</w:t>
      </w:r>
      <w:r w:rsidRPr="002B43C8">
        <w:rPr>
          <w:lang w:val="en-GB"/>
        </w:rPr>
        <w:t xml:space="preserve"> growth </w:t>
      </w:r>
      <w:r w:rsidR="004D1717">
        <w:rPr>
          <w:lang w:val="en-GB"/>
        </w:rPr>
        <w:t>in</w:t>
      </w:r>
      <w:r w:rsidRPr="002B43C8">
        <w:rPr>
          <w:lang w:val="en-GB"/>
        </w:rPr>
        <w:t xml:space="preserve"> the industry.</w:t>
      </w:r>
      <w:r w:rsidR="006E4291">
        <w:rPr>
          <w:lang w:val="en-GB"/>
        </w:rPr>
        <w:t xml:space="preserve"> Additionally, </w:t>
      </w:r>
      <w:r w:rsidR="00570550">
        <w:rPr>
          <w:lang w:val="en-GB"/>
        </w:rPr>
        <w:t>to promote eco-friendly vehicles</w:t>
      </w:r>
      <w:r w:rsidR="004D1717">
        <w:rPr>
          <w:lang w:val="en-GB"/>
        </w:rPr>
        <w:t>, the</w:t>
      </w:r>
      <w:r w:rsidR="00570550">
        <w:rPr>
          <w:lang w:val="en-GB"/>
        </w:rPr>
        <w:t xml:space="preserve"> Indian g</w:t>
      </w:r>
      <w:r w:rsidR="006E4291">
        <w:rPr>
          <w:lang w:val="en-GB"/>
        </w:rPr>
        <w:t xml:space="preserve">overnment launched </w:t>
      </w:r>
      <w:r w:rsidR="004D1717">
        <w:rPr>
          <w:lang w:val="en-GB"/>
        </w:rPr>
        <w:t xml:space="preserve">the </w:t>
      </w:r>
      <w:r w:rsidR="006E4291">
        <w:rPr>
          <w:lang w:val="en-GB"/>
        </w:rPr>
        <w:t>Fast</w:t>
      </w:r>
      <w:r w:rsidR="004D1717">
        <w:rPr>
          <w:lang w:val="en-GB"/>
        </w:rPr>
        <w:t>er</w:t>
      </w:r>
      <w:r w:rsidR="006E4291">
        <w:rPr>
          <w:lang w:val="en-GB"/>
        </w:rPr>
        <w:t xml:space="preserve"> Adoption</w:t>
      </w:r>
      <w:r w:rsidR="009726B0">
        <w:rPr>
          <w:lang w:val="en-GB"/>
        </w:rPr>
        <w:t xml:space="preserve"> and </w:t>
      </w:r>
      <w:r w:rsidR="00556122">
        <w:rPr>
          <w:lang w:val="en-GB"/>
        </w:rPr>
        <w:t>Manufacturing</w:t>
      </w:r>
      <w:r w:rsidR="006E4291">
        <w:rPr>
          <w:lang w:val="en-GB"/>
        </w:rPr>
        <w:t xml:space="preserve"> of Hybrid and </w:t>
      </w:r>
      <w:r w:rsidR="009726B0">
        <w:rPr>
          <w:lang w:val="en-GB"/>
        </w:rPr>
        <w:t>Electric</w:t>
      </w:r>
      <w:r w:rsidR="006E4291">
        <w:rPr>
          <w:lang w:val="en-GB"/>
        </w:rPr>
        <w:t xml:space="preserve"> </w:t>
      </w:r>
      <w:r w:rsidR="004D1717">
        <w:rPr>
          <w:lang w:val="en-GB"/>
        </w:rPr>
        <w:t>V</w:t>
      </w:r>
      <w:r w:rsidR="009726B0">
        <w:rPr>
          <w:lang w:val="en-GB"/>
        </w:rPr>
        <w:t>ehicles</w:t>
      </w:r>
      <w:r w:rsidR="006E4291">
        <w:rPr>
          <w:lang w:val="en-GB"/>
        </w:rPr>
        <w:t xml:space="preserve"> </w:t>
      </w:r>
      <w:r w:rsidR="004D1717">
        <w:rPr>
          <w:lang w:val="en-GB"/>
        </w:rPr>
        <w:t>scheme</w:t>
      </w:r>
      <w:r w:rsidR="0095728C">
        <w:rPr>
          <w:lang w:val="en-GB"/>
        </w:rPr>
        <w:t xml:space="preserve"> </w:t>
      </w:r>
      <w:r w:rsidR="006C1697">
        <w:rPr>
          <w:lang w:val="en-GB"/>
        </w:rPr>
        <w:t>under</w:t>
      </w:r>
      <w:r w:rsidR="0095728C">
        <w:rPr>
          <w:lang w:val="en-GB"/>
        </w:rPr>
        <w:t xml:space="preserve"> its National Electric Mobility Mission </w:t>
      </w:r>
      <w:r w:rsidR="004D1717">
        <w:rPr>
          <w:lang w:val="en-GB"/>
        </w:rPr>
        <w:t>P</w:t>
      </w:r>
      <w:r w:rsidR="0095728C">
        <w:rPr>
          <w:lang w:val="en-GB"/>
        </w:rPr>
        <w:t>lan</w:t>
      </w:r>
      <w:r w:rsidR="00DF23F0">
        <w:rPr>
          <w:lang w:val="en-GB"/>
        </w:rPr>
        <w:t>,</w:t>
      </w:r>
      <w:r w:rsidR="00570550">
        <w:rPr>
          <w:lang w:val="en-GB"/>
        </w:rPr>
        <w:t xml:space="preserve"> </w:t>
      </w:r>
      <w:r w:rsidR="004958E2">
        <w:rPr>
          <w:lang w:val="en-GB"/>
        </w:rPr>
        <w:t>and provided</w:t>
      </w:r>
      <w:r w:rsidR="00570550">
        <w:rPr>
          <w:lang w:val="en-GB"/>
        </w:rPr>
        <w:t xml:space="preserve"> </w:t>
      </w:r>
      <w:r w:rsidR="0024283B">
        <w:rPr>
          <w:lang w:val="en-GB"/>
        </w:rPr>
        <w:t>incentives</w:t>
      </w:r>
      <w:r w:rsidR="004D1717">
        <w:rPr>
          <w:lang w:val="en-GB"/>
        </w:rPr>
        <w:t xml:space="preserve"> that</w:t>
      </w:r>
      <w:r w:rsidR="0024283B">
        <w:rPr>
          <w:lang w:val="en-GB"/>
        </w:rPr>
        <w:t xml:space="preserve"> lowered the cost of electric</w:t>
      </w:r>
      <w:r w:rsidR="004958E2">
        <w:rPr>
          <w:lang w:val="en-GB"/>
        </w:rPr>
        <w:t xml:space="preserve"> and hybrid vehicles </w:t>
      </w:r>
      <w:r w:rsidR="00570550">
        <w:rPr>
          <w:lang w:val="en-GB"/>
        </w:rPr>
        <w:t>for customer</w:t>
      </w:r>
      <w:r w:rsidR="002E4BA9">
        <w:rPr>
          <w:lang w:val="en-GB"/>
        </w:rPr>
        <w:t>s.</w:t>
      </w:r>
    </w:p>
    <w:p w14:paraId="4D82EA5E" w14:textId="77777777" w:rsidR="000735FF" w:rsidRPr="00EA13C5" w:rsidRDefault="000735FF" w:rsidP="00C8508B">
      <w:pPr>
        <w:pStyle w:val="BodyTextMain"/>
        <w:rPr>
          <w:sz w:val="20"/>
          <w:szCs w:val="20"/>
          <w:lang w:val="en-GB"/>
        </w:rPr>
      </w:pPr>
    </w:p>
    <w:p w14:paraId="3265F523" w14:textId="77777777" w:rsidR="000735FF" w:rsidRPr="00EA13C5" w:rsidRDefault="000735FF" w:rsidP="00C8508B">
      <w:pPr>
        <w:pStyle w:val="BodyTextMain"/>
        <w:rPr>
          <w:sz w:val="20"/>
          <w:szCs w:val="20"/>
          <w:lang w:val="en-GB"/>
        </w:rPr>
      </w:pPr>
    </w:p>
    <w:p w14:paraId="0C7A0327" w14:textId="77777777" w:rsidR="000735FF" w:rsidRPr="002B43C8" w:rsidRDefault="000735FF" w:rsidP="007F36EF">
      <w:pPr>
        <w:pStyle w:val="Casehead2"/>
        <w:outlineLvl w:val="0"/>
        <w:rPr>
          <w:lang w:val="en-GB"/>
        </w:rPr>
      </w:pPr>
      <w:r w:rsidRPr="002B43C8">
        <w:rPr>
          <w:lang w:val="en-GB"/>
        </w:rPr>
        <w:t>Technological Innovation</w:t>
      </w:r>
    </w:p>
    <w:p w14:paraId="3FD7B4ED" w14:textId="77777777" w:rsidR="000735FF" w:rsidRPr="00EA13C5" w:rsidRDefault="000735FF" w:rsidP="00C8508B">
      <w:pPr>
        <w:pStyle w:val="BodyTextMain"/>
        <w:rPr>
          <w:sz w:val="20"/>
          <w:szCs w:val="20"/>
          <w:lang w:val="en-GB"/>
        </w:rPr>
      </w:pPr>
    </w:p>
    <w:p w14:paraId="735B816B" w14:textId="6BD8780B" w:rsidR="00D54D79" w:rsidRDefault="000735FF" w:rsidP="00C8508B">
      <w:pPr>
        <w:pStyle w:val="BodyTextMain"/>
        <w:rPr>
          <w:lang w:val="en-GB"/>
        </w:rPr>
      </w:pPr>
      <w:r w:rsidRPr="002B43C8">
        <w:rPr>
          <w:lang w:val="en-GB"/>
        </w:rPr>
        <w:t>Automobile companies invest</w:t>
      </w:r>
      <w:r w:rsidR="004D1717">
        <w:rPr>
          <w:lang w:val="en-GB"/>
        </w:rPr>
        <w:t>ed</w:t>
      </w:r>
      <w:r w:rsidRPr="002B43C8">
        <w:rPr>
          <w:lang w:val="en-GB"/>
        </w:rPr>
        <w:t xml:space="preserve"> immensely in </w:t>
      </w:r>
      <w:r w:rsidR="004D1717">
        <w:rPr>
          <w:lang w:val="en-GB"/>
        </w:rPr>
        <w:t>r</w:t>
      </w:r>
      <w:r w:rsidRPr="002B43C8">
        <w:rPr>
          <w:lang w:val="en-GB"/>
        </w:rPr>
        <w:t xml:space="preserve">esearch and </w:t>
      </w:r>
      <w:r w:rsidR="004D1717">
        <w:rPr>
          <w:lang w:val="en-GB"/>
        </w:rPr>
        <w:t>d</w:t>
      </w:r>
      <w:r w:rsidRPr="002B43C8">
        <w:rPr>
          <w:lang w:val="en-GB"/>
        </w:rPr>
        <w:t>evelopment to innovate technological products. The</w:t>
      </w:r>
      <w:r w:rsidR="004D1717">
        <w:rPr>
          <w:lang w:val="en-GB"/>
        </w:rPr>
        <w:t>se</w:t>
      </w:r>
      <w:r w:rsidRPr="002B43C8">
        <w:rPr>
          <w:lang w:val="en-GB"/>
        </w:rPr>
        <w:t xml:space="preserve"> efforts</w:t>
      </w:r>
      <w:r w:rsidR="004D1717">
        <w:rPr>
          <w:lang w:val="en-GB"/>
        </w:rPr>
        <w:t xml:space="preserve"> were largely intended to</w:t>
      </w:r>
      <w:r w:rsidRPr="002B43C8">
        <w:rPr>
          <w:lang w:val="en-GB"/>
        </w:rPr>
        <w:t xml:space="preserve"> reduce the </w:t>
      </w:r>
      <w:r w:rsidR="004D1717">
        <w:rPr>
          <w:lang w:val="en-GB"/>
        </w:rPr>
        <w:t xml:space="preserve">use of </w:t>
      </w:r>
      <w:r w:rsidRPr="002B43C8">
        <w:rPr>
          <w:lang w:val="en-GB"/>
        </w:rPr>
        <w:t>high-cost imported components</w:t>
      </w:r>
      <w:r w:rsidR="004D1717">
        <w:rPr>
          <w:lang w:val="en-GB"/>
        </w:rPr>
        <w:t>,</w:t>
      </w:r>
      <w:r w:rsidRPr="002B43C8">
        <w:rPr>
          <w:lang w:val="en-GB"/>
        </w:rPr>
        <w:t xml:space="preserve"> such as batter</w:t>
      </w:r>
      <w:r w:rsidR="004D1717">
        <w:rPr>
          <w:lang w:val="en-GB"/>
        </w:rPr>
        <w:t>ies</w:t>
      </w:r>
      <w:r w:rsidRPr="002B43C8">
        <w:rPr>
          <w:lang w:val="en-GB"/>
        </w:rPr>
        <w:t xml:space="preserve"> and engines</w:t>
      </w:r>
      <w:r w:rsidR="004D1717">
        <w:rPr>
          <w:lang w:val="en-GB"/>
        </w:rPr>
        <w:t>, by</w:t>
      </w:r>
      <w:r w:rsidR="00882D70">
        <w:rPr>
          <w:lang w:val="en-GB"/>
        </w:rPr>
        <w:t xml:space="preserve"> </w:t>
      </w:r>
      <w:r w:rsidRPr="002B43C8">
        <w:rPr>
          <w:lang w:val="en-GB"/>
        </w:rPr>
        <w:t>develop</w:t>
      </w:r>
      <w:r w:rsidR="004D1717">
        <w:rPr>
          <w:lang w:val="en-GB"/>
        </w:rPr>
        <w:t>ing</w:t>
      </w:r>
      <w:r w:rsidRPr="002B43C8">
        <w:rPr>
          <w:lang w:val="en-GB"/>
        </w:rPr>
        <w:t xml:space="preserve"> capabilities locally. Over time, </w:t>
      </w:r>
      <w:r w:rsidR="00723D73">
        <w:rPr>
          <w:lang w:val="en-GB"/>
        </w:rPr>
        <w:t>auto</w:t>
      </w:r>
      <w:r w:rsidR="007F36EF">
        <w:rPr>
          <w:lang w:val="en-GB"/>
        </w:rPr>
        <w:t>maker</w:t>
      </w:r>
      <w:r w:rsidRPr="002B43C8">
        <w:rPr>
          <w:lang w:val="en-GB"/>
        </w:rPr>
        <w:t>s also increased the capacity of their plants in order to reduce the fixed cost</w:t>
      </w:r>
      <w:r w:rsidR="00C80FD7">
        <w:rPr>
          <w:lang w:val="en-GB"/>
        </w:rPr>
        <w:t>s</w:t>
      </w:r>
      <w:r w:rsidRPr="002B43C8">
        <w:rPr>
          <w:lang w:val="en-GB"/>
        </w:rPr>
        <w:t xml:space="preserve"> of the plant</w:t>
      </w:r>
      <w:r w:rsidR="00C80FD7">
        <w:rPr>
          <w:lang w:val="en-GB"/>
        </w:rPr>
        <w:t>s</w:t>
      </w:r>
      <w:r w:rsidRPr="002B43C8">
        <w:rPr>
          <w:lang w:val="en-GB"/>
        </w:rPr>
        <w:t>, and they tried introducing low-cost cars</w:t>
      </w:r>
      <w:r w:rsidR="00C80FD7">
        <w:rPr>
          <w:lang w:val="en-GB"/>
        </w:rPr>
        <w:t xml:space="preserve"> (</w:t>
      </w:r>
      <w:r w:rsidRPr="002B43C8">
        <w:rPr>
          <w:lang w:val="en-GB"/>
        </w:rPr>
        <w:t>e.g.</w:t>
      </w:r>
      <w:r w:rsidR="00C80FD7">
        <w:rPr>
          <w:lang w:val="en-GB"/>
        </w:rPr>
        <w:t>,</w:t>
      </w:r>
      <w:r w:rsidRPr="002B43C8">
        <w:rPr>
          <w:lang w:val="en-GB"/>
        </w:rPr>
        <w:t xml:space="preserve"> </w:t>
      </w:r>
      <w:r w:rsidR="00C80FD7">
        <w:rPr>
          <w:lang w:val="en-GB"/>
        </w:rPr>
        <w:t>the</w:t>
      </w:r>
      <w:r w:rsidRPr="002B43C8">
        <w:rPr>
          <w:lang w:val="en-GB"/>
        </w:rPr>
        <w:t xml:space="preserve"> </w:t>
      </w:r>
      <w:r w:rsidR="00C80FD7">
        <w:rPr>
          <w:lang w:val="en-GB"/>
        </w:rPr>
        <w:t xml:space="preserve">Tata </w:t>
      </w:r>
      <w:r w:rsidRPr="002B43C8">
        <w:rPr>
          <w:lang w:val="en-GB"/>
        </w:rPr>
        <w:t>Nano</w:t>
      </w:r>
      <w:r w:rsidR="00C80FD7">
        <w:rPr>
          <w:lang w:val="en-GB"/>
        </w:rPr>
        <w:t xml:space="preserve"> was introduced</w:t>
      </w:r>
      <w:r w:rsidRPr="002B43C8">
        <w:rPr>
          <w:lang w:val="en-GB"/>
        </w:rPr>
        <w:t xml:space="preserve"> in the micro car</w:t>
      </w:r>
      <w:r w:rsidR="006D6D20">
        <w:rPr>
          <w:lang w:val="en-GB"/>
        </w:rPr>
        <w:t xml:space="preserve"> </w:t>
      </w:r>
      <w:r w:rsidRPr="002B43C8">
        <w:rPr>
          <w:lang w:val="en-GB"/>
        </w:rPr>
        <w:t>segment as the cheapest car in the world</w:t>
      </w:r>
      <w:r w:rsidR="00C80FD7">
        <w:rPr>
          <w:lang w:val="en-GB"/>
        </w:rPr>
        <w:t>)</w:t>
      </w:r>
      <w:r w:rsidRPr="002B43C8">
        <w:rPr>
          <w:lang w:val="en-GB"/>
        </w:rPr>
        <w:t xml:space="preserve">. Electric vehicles like </w:t>
      </w:r>
      <w:r w:rsidR="00C80FD7">
        <w:rPr>
          <w:lang w:val="en-GB"/>
        </w:rPr>
        <w:t xml:space="preserve">the </w:t>
      </w:r>
      <w:r w:rsidRPr="002B43C8">
        <w:rPr>
          <w:lang w:val="en-GB"/>
        </w:rPr>
        <w:t xml:space="preserve">Reva and e2o, both by Mahindra </w:t>
      </w:r>
      <w:r w:rsidR="004D1717">
        <w:rPr>
          <w:lang w:val="en-GB"/>
        </w:rPr>
        <w:t>and</w:t>
      </w:r>
      <w:r w:rsidRPr="002B43C8">
        <w:rPr>
          <w:lang w:val="en-GB"/>
        </w:rPr>
        <w:t xml:space="preserve"> Mahindra</w:t>
      </w:r>
      <w:r w:rsidR="004D1717">
        <w:rPr>
          <w:lang w:val="en-GB"/>
        </w:rPr>
        <w:t xml:space="preserve"> Limited</w:t>
      </w:r>
      <w:r w:rsidR="002004C5">
        <w:rPr>
          <w:lang w:val="en-GB"/>
        </w:rPr>
        <w:t xml:space="preserve"> (Mahindra)</w:t>
      </w:r>
      <w:r w:rsidRPr="002B43C8">
        <w:rPr>
          <w:lang w:val="en-GB"/>
        </w:rPr>
        <w:t>, showed that companies were trying to innovate in terms of green technology</w:t>
      </w:r>
      <w:r w:rsidR="00C80FD7">
        <w:rPr>
          <w:lang w:val="en-GB"/>
        </w:rPr>
        <w:t xml:space="preserve"> as well</w:t>
      </w:r>
      <w:r w:rsidRPr="002B43C8">
        <w:rPr>
          <w:lang w:val="en-GB"/>
        </w:rPr>
        <w:t>.</w:t>
      </w:r>
      <w:r w:rsidR="007E5CEF">
        <w:rPr>
          <w:lang w:val="en-GB"/>
        </w:rPr>
        <w:t xml:space="preserve"> </w:t>
      </w:r>
    </w:p>
    <w:p w14:paraId="22804A3D" w14:textId="77777777" w:rsidR="00D54D79" w:rsidRPr="00EA13C5" w:rsidRDefault="00D54D79" w:rsidP="00C8508B">
      <w:pPr>
        <w:pStyle w:val="BodyTextMain"/>
        <w:rPr>
          <w:sz w:val="20"/>
          <w:szCs w:val="20"/>
          <w:lang w:val="en-GB"/>
        </w:rPr>
      </w:pPr>
    </w:p>
    <w:p w14:paraId="1D2344A5" w14:textId="4F5218FD" w:rsidR="00222B8A" w:rsidRPr="00A42DB4" w:rsidRDefault="00D14DDA" w:rsidP="009E5D68">
      <w:pPr>
        <w:jc w:val="both"/>
        <w:rPr>
          <w:spacing w:val="-2"/>
          <w:kern w:val="22"/>
          <w:sz w:val="22"/>
          <w:szCs w:val="22"/>
          <w:lang w:val="en-GB"/>
        </w:rPr>
      </w:pPr>
      <w:r w:rsidRPr="00A42DB4">
        <w:rPr>
          <w:spacing w:val="-2"/>
          <w:kern w:val="22"/>
          <w:sz w:val="22"/>
          <w:szCs w:val="22"/>
          <w:lang w:val="en-GB"/>
        </w:rPr>
        <w:t xml:space="preserve">With respect to </w:t>
      </w:r>
      <w:r w:rsidR="00D54D79" w:rsidRPr="00A42DB4">
        <w:rPr>
          <w:spacing w:val="-2"/>
          <w:kern w:val="22"/>
          <w:sz w:val="22"/>
          <w:szCs w:val="22"/>
          <w:lang w:val="en-GB"/>
        </w:rPr>
        <w:t xml:space="preserve">technological innovation, </w:t>
      </w:r>
      <w:r w:rsidR="009A2644" w:rsidRPr="00A42DB4">
        <w:rPr>
          <w:spacing w:val="-2"/>
          <w:kern w:val="22"/>
          <w:sz w:val="22"/>
          <w:szCs w:val="22"/>
          <w:lang w:val="en-GB"/>
        </w:rPr>
        <w:t>MSIL introduced its K</w:t>
      </w:r>
      <w:r w:rsidR="00C80FD7" w:rsidRPr="00A42DB4">
        <w:rPr>
          <w:spacing w:val="-2"/>
          <w:kern w:val="22"/>
          <w:sz w:val="22"/>
          <w:szCs w:val="22"/>
          <w:lang w:val="en-GB"/>
        </w:rPr>
        <w:t>-</w:t>
      </w:r>
      <w:r w:rsidR="009A2644" w:rsidRPr="00A42DB4">
        <w:rPr>
          <w:spacing w:val="-2"/>
          <w:kern w:val="22"/>
          <w:sz w:val="22"/>
          <w:szCs w:val="22"/>
          <w:lang w:val="en-GB"/>
        </w:rPr>
        <w:t xml:space="preserve">series engine </w:t>
      </w:r>
      <w:r w:rsidR="00C80FD7" w:rsidRPr="00A42DB4">
        <w:rPr>
          <w:spacing w:val="-2"/>
          <w:kern w:val="22"/>
          <w:sz w:val="22"/>
          <w:szCs w:val="22"/>
          <w:lang w:val="en-GB"/>
        </w:rPr>
        <w:t>with</w:t>
      </w:r>
      <w:r w:rsidR="009A2644" w:rsidRPr="00A42DB4">
        <w:rPr>
          <w:spacing w:val="-2"/>
          <w:kern w:val="22"/>
          <w:sz w:val="22"/>
          <w:szCs w:val="22"/>
          <w:lang w:val="en-GB"/>
        </w:rPr>
        <w:t xml:space="preserve"> the Ritz car </w:t>
      </w:r>
      <w:r w:rsidR="009752C3" w:rsidRPr="00A42DB4">
        <w:rPr>
          <w:spacing w:val="-2"/>
          <w:kern w:val="22"/>
          <w:sz w:val="22"/>
          <w:szCs w:val="22"/>
          <w:lang w:val="en-GB"/>
        </w:rPr>
        <w:t>brand</w:t>
      </w:r>
      <w:r w:rsidR="00C80FD7" w:rsidRPr="00A42DB4">
        <w:rPr>
          <w:spacing w:val="-2"/>
          <w:kern w:val="22"/>
          <w:sz w:val="22"/>
          <w:szCs w:val="22"/>
          <w:lang w:val="en-GB"/>
        </w:rPr>
        <w:t xml:space="preserve"> in 2010</w:t>
      </w:r>
      <w:r w:rsidR="009752C3" w:rsidRPr="00A42DB4">
        <w:rPr>
          <w:spacing w:val="-2"/>
          <w:kern w:val="22"/>
          <w:sz w:val="22"/>
          <w:szCs w:val="22"/>
          <w:lang w:val="en-GB"/>
        </w:rPr>
        <w:t>;</w:t>
      </w:r>
      <w:r w:rsidR="009A2644" w:rsidRPr="00A42DB4">
        <w:rPr>
          <w:spacing w:val="-2"/>
          <w:kern w:val="22"/>
          <w:sz w:val="22"/>
          <w:szCs w:val="22"/>
          <w:lang w:val="en-GB"/>
        </w:rPr>
        <w:t xml:space="preserve"> th</w:t>
      </w:r>
      <w:r w:rsidR="00C80FD7" w:rsidRPr="00A42DB4">
        <w:rPr>
          <w:spacing w:val="-2"/>
          <w:kern w:val="22"/>
          <w:sz w:val="22"/>
          <w:szCs w:val="22"/>
          <w:lang w:val="en-GB"/>
        </w:rPr>
        <w:t>is</w:t>
      </w:r>
      <w:r w:rsidR="009A2644" w:rsidRPr="00A42DB4">
        <w:rPr>
          <w:spacing w:val="-2"/>
          <w:kern w:val="22"/>
          <w:sz w:val="22"/>
          <w:szCs w:val="22"/>
          <w:lang w:val="en-GB"/>
        </w:rPr>
        <w:t xml:space="preserve"> engine </w:t>
      </w:r>
      <w:r w:rsidR="00C80FD7" w:rsidRPr="00A42DB4">
        <w:rPr>
          <w:spacing w:val="-2"/>
          <w:kern w:val="22"/>
          <w:sz w:val="22"/>
          <w:szCs w:val="22"/>
          <w:lang w:val="en-GB"/>
        </w:rPr>
        <w:t xml:space="preserve">was </w:t>
      </w:r>
      <w:r w:rsidR="009A2644" w:rsidRPr="00A42DB4">
        <w:rPr>
          <w:spacing w:val="-2"/>
          <w:kern w:val="22"/>
          <w:sz w:val="22"/>
          <w:szCs w:val="22"/>
          <w:lang w:val="en-GB"/>
        </w:rPr>
        <w:t>known for</w:t>
      </w:r>
      <w:r w:rsidR="00C80FD7" w:rsidRPr="00A42DB4">
        <w:rPr>
          <w:spacing w:val="-2"/>
          <w:kern w:val="22"/>
          <w:sz w:val="22"/>
          <w:szCs w:val="22"/>
          <w:lang w:val="en-GB"/>
        </w:rPr>
        <w:t xml:space="preserve"> its</w:t>
      </w:r>
      <w:r w:rsidR="009A2644" w:rsidRPr="00A42DB4">
        <w:rPr>
          <w:spacing w:val="-2"/>
          <w:kern w:val="22"/>
          <w:sz w:val="22"/>
          <w:szCs w:val="22"/>
          <w:lang w:val="en-GB"/>
        </w:rPr>
        <w:t xml:space="preserve"> higher fuel efficiency, lightweight </w:t>
      </w:r>
      <w:r w:rsidR="00C80FD7" w:rsidRPr="00A42DB4">
        <w:rPr>
          <w:spacing w:val="-2"/>
          <w:kern w:val="22"/>
          <w:sz w:val="22"/>
          <w:szCs w:val="22"/>
          <w:lang w:val="en-GB"/>
        </w:rPr>
        <w:t xml:space="preserve">components, </w:t>
      </w:r>
      <w:r w:rsidR="009A2644" w:rsidRPr="00A42DB4">
        <w:rPr>
          <w:spacing w:val="-2"/>
          <w:kern w:val="22"/>
          <w:sz w:val="22"/>
          <w:szCs w:val="22"/>
          <w:lang w:val="en-GB"/>
        </w:rPr>
        <w:t xml:space="preserve">and lower </w:t>
      </w:r>
      <w:r w:rsidR="00C80FD7" w:rsidRPr="00A42DB4">
        <w:rPr>
          <w:spacing w:val="-2"/>
          <w:kern w:val="22"/>
          <w:sz w:val="22"/>
          <w:szCs w:val="22"/>
          <w:lang w:val="en-GB"/>
        </w:rPr>
        <w:t>carbon dioxide</w:t>
      </w:r>
      <w:r w:rsidR="009A2644" w:rsidRPr="00A42DB4">
        <w:rPr>
          <w:spacing w:val="-2"/>
          <w:kern w:val="22"/>
          <w:sz w:val="22"/>
          <w:szCs w:val="22"/>
          <w:lang w:val="en-GB"/>
        </w:rPr>
        <w:t xml:space="preserve"> emission</w:t>
      </w:r>
      <w:r w:rsidR="00C80FD7" w:rsidRPr="00A42DB4">
        <w:rPr>
          <w:spacing w:val="-2"/>
          <w:kern w:val="22"/>
          <w:sz w:val="22"/>
          <w:szCs w:val="22"/>
          <w:lang w:val="en-GB"/>
        </w:rPr>
        <w:t>s</w:t>
      </w:r>
      <w:r w:rsidR="009A2644" w:rsidRPr="00A42DB4">
        <w:rPr>
          <w:spacing w:val="-2"/>
          <w:kern w:val="22"/>
          <w:sz w:val="22"/>
          <w:szCs w:val="22"/>
          <w:lang w:val="en-GB"/>
        </w:rPr>
        <w:t>.</w:t>
      </w:r>
      <w:r w:rsidR="00D54D79" w:rsidRPr="00A42DB4">
        <w:rPr>
          <w:spacing w:val="-2"/>
          <w:kern w:val="22"/>
          <w:sz w:val="22"/>
          <w:szCs w:val="22"/>
          <w:lang w:val="en-GB"/>
        </w:rPr>
        <w:t xml:space="preserve"> </w:t>
      </w:r>
      <w:r w:rsidR="007E5CEF" w:rsidRPr="00A42DB4">
        <w:rPr>
          <w:spacing w:val="-2"/>
          <w:kern w:val="22"/>
          <w:sz w:val="22"/>
          <w:szCs w:val="22"/>
          <w:lang w:val="en-GB"/>
        </w:rPr>
        <w:t>In the same vein, MSIL pioneer</w:t>
      </w:r>
      <w:r w:rsidR="00107947" w:rsidRPr="00A42DB4">
        <w:rPr>
          <w:spacing w:val="-2"/>
          <w:kern w:val="22"/>
          <w:sz w:val="22"/>
          <w:szCs w:val="22"/>
          <w:lang w:val="en-GB"/>
        </w:rPr>
        <w:t>ed in</w:t>
      </w:r>
      <w:r w:rsidR="007E5CEF" w:rsidRPr="00A42DB4">
        <w:rPr>
          <w:spacing w:val="-2"/>
          <w:kern w:val="22"/>
          <w:sz w:val="22"/>
          <w:szCs w:val="22"/>
          <w:lang w:val="en-GB"/>
        </w:rPr>
        <w:t xml:space="preserve"> </w:t>
      </w:r>
      <w:r w:rsidR="003A55D3" w:rsidRPr="00A42DB4">
        <w:rPr>
          <w:spacing w:val="-2"/>
          <w:kern w:val="22"/>
          <w:sz w:val="22"/>
          <w:szCs w:val="22"/>
          <w:lang w:val="en-GB"/>
        </w:rPr>
        <w:t>a</w:t>
      </w:r>
      <w:r w:rsidR="007E5CEF" w:rsidRPr="00A42DB4">
        <w:rPr>
          <w:spacing w:val="-2"/>
          <w:kern w:val="22"/>
          <w:sz w:val="22"/>
          <w:szCs w:val="22"/>
          <w:lang w:val="en-GB"/>
        </w:rPr>
        <w:t>utomat</w:t>
      </w:r>
      <w:r w:rsidR="003A55D3" w:rsidRPr="00A42DB4">
        <w:rPr>
          <w:spacing w:val="-2"/>
          <w:kern w:val="22"/>
          <w:sz w:val="22"/>
          <w:szCs w:val="22"/>
          <w:lang w:val="en-GB"/>
        </w:rPr>
        <w:t>ed</w:t>
      </w:r>
      <w:r w:rsidR="007E5CEF" w:rsidRPr="00A42DB4">
        <w:rPr>
          <w:spacing w:val="-2"/>
          <w:kern w:val="22"/>
          <w:sz w:val="22"/>
          <w:szCs w:val="22"/>
          <w:lang w:val="en-GB"/>
        </w:rPr>
        <w:t xml:space="preserve"> manual transmission </w:t>
      </w:r>
      <w:r w:rsidR="007458C3" w:rsidRPr="00A42DB4">
        <w:rPr>
          <w:spacing w:val="-2"/>
          <w:kern w:val="22"/>
          <w:sz w:val="22"/>
          <w:szCs w:val="22"/>
          <w:lang w:val="en-GB"/>
        </w:rPr>
        <w:t>technology</w:t>
      </w:r>
      <w:r w:rsidR="007E5CEF" w:rsidRPr="00A42DB4">
        <w:rPr>
          <w:spacing w:val="-2"/>
          <w:kern w:val="22"/>
          <w:sz w:val="22"/>
          <w:szCs w:val="22"/>
          <w:lang w:val="en-GB"/>
        </w:rPr>
        <w:t>,</w:t>
      </w:r>
      <w:r w:rsidR="00935C30" w:rsidRPr="00A42DB4">
        <w:rPr>
          <w:spacing w:val="-2"/>
          <w:kern w:val="22"/>
          <w:sz w:val="22"/>
          <w:szCs w:val="22"/>
          <w:lang w:val="en-GB"/>
        </w:rPr>
        <w:t xml:space="preserve"> which</w:t>
      </w:r>
      <w:r w:rsidR="007E5CEF" w:rsidRPr="00A42DB4">
        <w:rPr>
          <w:spacing w:val="-2"/>
          <w:kern w:val="22"/>
          <w:sz w:val="22"/>
          <w:szCs w:val="22"/>
          <w:lang w:val="en-GB"/>
        </w:rPr>
        <w:t xml:space="preserve"> </w:t>
      </w:r>
      <w:r w:rsidR="00C80FD7" w:rsidRPr="00A42DB4">
        <w:rPr>
          <w:spacing w:val="-2"/>
          <w:kern w:val="22"/>
          <w:sz w:val="22"/>
          <w:szCs w:val="22"/>
          <w:lang w:val="en-GB"/>
        </w:rPr>
        <w:t>used</w:t>
      </w:r>
      <w:r w:rsidR="007E5CEF" w:rsidRPr="00A42DB4">
        <w:rPr>
          <w:spacing w:val="-2"/>
          <w:kern w:val="22"/>
          <w:sz w:val="22"/>
          <w:szCs w:val="22"/>
          <w:lang w:val="en-GB"/>
        </w:rPr>
        <w:t xml:space="preserve"> </w:t>
      </w:r>
      <w:r w:rsidR="00C80FD7" w:rsidRPr="00A42DB4">
        <w:rPr>
          <w:spacing w:val="-2"/>
          <w:kern w:val="22"/>
          <w:sz w:val="22"/>
          <w:szCs w:val="22"/>
          <w:lang w:val="en-GB"/>
        </w:rPr>
        <w:t>an electronic actuator</w:t>
      </w:r>
      <w:r w:rsidR="00C80FD7" w:rsidRPr="00A42DB4" w:rsidDel="00C80FD7">
        <w:rPr>
          <w:spacing w:val="-2"/>
          <w:kern w:val="22"/>
          <w:sz w:val="22"/>
          <w:szCs w:val="22"/>
          <w:lang w:val="en-GB"/>
        </w:rPr>
        <w:t xml:space="preserve"> </w:t>
      </w:r>
      <w:r w:rsidR="00C80FD7" w:rsidRPr="00A42DB4">
        <w:rPr>
          <w:spacing w:val="-2"/>
          <w:kern w:val="22"/>
          <w:sz w:val="22"/>
          <w:szCs w:val="22"/>
          <w:lang w:val="en-GB"/>
        </w:rPr>
        <w:t xml:space="preserve">to control the </w:t>
      </w:r>
      <w:r w:rsidR="007E5CEF" w:rsidRPr="00A42DB4">
        <w:rPr>
          <w:spacing w:val="-2"/>
          <w:kern w:val="22"/>
          <w:sz w:val="22"/>
          <w:szCs w:val="22"/>
          <w:lang w:val="en-GB"/>
        </w:rPr>
        <w:t>gear and clutch.</w:t>
      </w:r>
      <w:r w:rsidR="00F70A8C" w:rsidRPr="00A42DB4">
        <w:rPr>
          <w:spacing w:val="-2"/>
          <w:kern w:val="22"/>
          <w:sz w:val="22"/>
          <w:szCs w:val="22"/>
          <w:lang w:val="en-GB"/>
        </w:rPr>
        <w:t xml:space="preserve"> In addition</w:t>
      </w:r>
      <w:r w:rsidR="00C80FD7" w:rsidRPr="00A42DB4">
        <w:rPr>
          <w:spacing w:val="-2"/>
          <w:kern w:val="22"/>
          <w:sz w:val="22"/>
          <w:szCs w:val="22"/>
          <w:lang w:val="en-GB"/>
        </w:rPr>
        <w:t>,</w:t>
      </w:r>
      <w:r w:rsidR="00F70A8C" w:rsidRPr="00A42DB4">
        <w:rPr>
          <w:spacing w:val="-2"/>
          <w:kern w:val="22"/>
          <w:sz w:val="22"/>
          <w:szCs w:val="22"/>
          <w:lang w:val="en-GB"/>
        </w:rPr>
        <w:t xml:space="preserve"> most of MSIL’s car</w:t>
      </w:r>
      <w:r w:rsidR="00C80FD7" w:rsidRPr="00A42DB4">
        <w:rPr>
          <w:spacing w:val="-2"/>
          <w:kern w:val="22"/>
          <w:sz w:val="22"/>
          <w:szCs w:val="22"/>
          <w:lang w:val="en-GB"/>
        </w:rPr>
        <w:t>s</w:t>
      </w:r>
      <w:r w:rsidR="00F70A8C" w:rsidRPr="00A42DB4">
        <w:rPr>
          <w:spacing w:val="-2"/>
          <w:kern w:val="22"/>
          <w:sz w:val="22"/>
          <w:szCs w:val="22"/>
          <w:lang w:val="en-GB"/>
        </w:rPr>
        <w:t xml:space="preserve"> </w:t>
      </w:r>
      <w:r w:rsidR="00C80FD7" w:rsidRPr="00A42DB4">
        <w:rPr>
          <w:spacing w:val="-2"/>
          <w:kern w:val="22"/>
          <w:sz w:val="22"/>
          <w:szCs w:val="22"/>
          <w:lang w:val="en-GB"/>
        </w:rPr>
        <w:t>we</w:t>
      </w:r>
      <w:r w:rsidR="00F70A8C" w:rsidRPr="00A42DB4">
        <w:rPr>
          <w:spacing w:val="-2"/>
          <w:kern w:val="22"/>
          <w:sz w:val="22"/>
          <w:szCs w:val="22"/>
          <w:lang w:val="en-GB"/>
        </w:rPr>
        <w:t>re made from hazard</w:t>
      </w:r>
      <w:r w:rsidR="00C80FD7" w:rsidRPr="00A42DB4">
        <w:rPr>
          <w:spacing w:val="-2"/>
          <w:kern w:val="22"/>
          <w:sz w:val="22"/>
          <w:szCs w:val="22"/>
          <w:lang w:val="en-GB"/>
        </w:rPr>
        <w:t>-</w:t>
      </w:r>
      <w:r w:rsidR="00F70A8C" w:rsidRPr="00A42DB4">
        <w:rPr>
          <w:spacing w:val="-2"/>
          <w:kern w:val="22"/>
          <w:sz w:val="22"/>
          <w:szCs w:val="22"/>
          <w:lang w:val="en-GB"/>
        </w:rPr>
        <w:t>free material</w:t>
      </w:r>
      <w:r w:rsidR="00C80FD7" w:rsidRPr="00A42DB4">
        <w:rPr>
          <w:spacing w:val="-2"/>
          <w:kern w:val="22"/>
          <w:sz w:val="22"/>
          <w:szCs w:val="22"/>
          <w:lang w:val="en-GB"/>
        </w:rPr>
        <w:t>s</w:t>
      </w:r>
      <w:r w:rsidR="00F70A8C" w:rsidRPr="00A42DB4">
        <w:rPr>
          <w:spacing w:val="-2"/>
          <w:kern w:val="22"/>
          <w:sz w:val="22"/>
          <w:szCs w:val="22"/>
          <w:lang w:val="en-GB"/>
        </w:rPr>
        <w:t xml:space="preserve"> and were fully recyclable. </w:t>
      </w:r>
      <w:r w:rsidR="00C80FD7" w:rsidRPr="00A42DB4">
        <w:rPr>
          <w:spacing w:val="-2"/>
          <w:kern w:val="22"/>
          <w:sz w:val="22"/>
          <w:szCs w:val="22"/>
          <w:lang w:val="en-GB"/>
        </w:rPr>
        <w:t xml:space="preserve">The company </w:t>
      </w:r>
      <w:r w:rsidR="004105A4" w:rsidRPr="00A42DB4">
        <w:rPr>
          <w:spacing w:val="-2"/>
          <w:kern w:val="22"/>
          <w:sz w:val="22"/>
          <w:szCs w:val="22"/>
          <w:lang w:val="en-GB"/>
        </w:rPr>
        <w:t>also used</w:t>
      </w:r>
      <w:r w:rsidR="008813D6" w:rsidRPr="00A42DB4">
        <w:rPr>
          <w:spacing w:val="-2"/>
          <w:kern w:val="22"/>
          <w:sz w:val="22"/>
          <w:szCs w:val="22"/>
          <w:lang w:val="en-GB"/>
        </w:rPr>
        <w:t xml:space="preserve"> </w:t>
      </w:r>
      <w:r w:rsidR="00EB0273" w:rsidRPr="00A42DB4">
        <w:rPr>
          <w:spacing w:val="-2"/>
          <w:kern w:val="22"/>
          <w:sz w:val="22"/>
          <w:szCs w:val="22"/>
          <w:lang w:val="en-GB"/>
        </w:rPr>
        <w:t>the state</w:t>
      </w:r>
      <w:r w:rsidR="00C80FD7" w:rsidRPr="00A42DB4">
        <w:rPr>
          <w:spacing w:val="-2"/>
          <w:kern w:val="22"/>
          <w:sz w:val="22"/>
          <w:szCs w:val="22"/>
          <w:lang w:val="en-GB"/>
        </w:rPr>
        <w:t>-</w:t>
      </w:r>
      <w:r w:rsidR="00EB0273" w:rsidRPr="00A42DB4">
        <w:rPr>
          <w:spacing w:val="-2"/>
          <w:kern w:val="22"/>
          <w:sz w:val="22"/>
          <w:szCs w:val="22"/>
          <w:lang w:val="en-GB"/>
        </w:rPr>
        <w:t>of</w:t>
      </w:r>
      <w:r w:rsidR="00C80FD7" w:rsidRPr="00A42DB4">
        <w:rPr>
          <w:spacing w:val="-2"/>
          <w:kern w:val="22"/>
          <w:sz w:val="22"/>
          <w:szCs w:val="22"/>
          <w:lang w:val="en-GB"/>
        </w:rPr>
        <w:t>-</w:t>
      </w:r>
      <w:r w:rsidR="00EB0273" w:rsidRPr="00A42DB4">
        <w:rPr>
          <w:spacing w:val="-2"/>
          <w:kern w:val="22"/>
          <w:sz w:val="22"/>
          <w:szCs w:val="22"/>
          <w:lang w:val="en-GB"/>
        </w:rPr>
        <w:t>the</w:t>
      </w:r>
      <w:r w:rsidR="00C80FD7" w:rsidRPr="00A42DB4">
        <w:rPr>
          <w:spacing w:val="-2"/>
          <w:kern w:val="22"/>
          <w:sz w:val="22"/>
          <w:szCs w:val="22"/>
          <w:lang w:val="en-GB"/>
        </w:rPr>
        <w:t>-</w:t>
      </w:r>
      <w:r w:rsidR="00EB0273" w:rsidRPr="00A42DB4">
        <w:rPr>
          <w:spacing w:val="-2"/>
          <w:kern w:val="22"/>
          <w:sz w:val="22"/>
          <w:szCs w:val="22"/>
          <w:lang w:val="en-GB"/>
        </w:rPr>
        <w:t xml:space="preserve">art </w:t>
      </w:r>
      <w:r w:rsidR="008813D6" w:rsidRPr="00A42DB4">
        <w:rPr>
          <w:spacing w:val="-2"/>
          <w:kern w:val="22"/>
          <w:sz w:val="22"/>
          <w:szCs w:val="22"/>
          <w:lang w:val="en-GB"/>
        </w:rPr>
        <w:t>Intelligent Gas Po</w:t>
      </w:r>
      <w:r w:rsidR="00C80FD7" w:rsidRPr="00A42DB4">
        <w:rPr>
          <w:spacing w:val="-2"/>
          <w:kern w:val="22"/>
          <w:sz w:val="22"/>
          <w:szCs w:val="22"/>
          <w:lang w:val="en-GB"/>
        </w:rPr>
        <w:t>r</w:t>
      </w:r>
      <w:r w:rsidR="008813D6" w:rsidRPr="00A42DB4">
        <w:rPr>
          <w:spacing w:val="-2"/>
          <w:kern w:val="22"/>
          <w:sz w:val="22"/>
          <w:szCs w:val="22"/>
          <w:lang w:val="en-GB"/>
        </w:rPr>
        <w:t xml:space="preserve">t </w:t>
      </w:r>
      <w:r w:rsidR="00C80FD7" w:rsidRPr="00A42DB4">
        <w:rPr>
          <w:spacing w:val="-2"/>
          <w:kern w:val="22"/>
          <w:sz w:val="22"/>
          <w:szCs w:val="22"/>
          <w:lang w:val="en-GB"/>
        </w:rPr>
        <w:t>I</w:t>
      </w:r>
      <w:r w:rsidR="008813D6" w:rsidRPr="00A42DB4">
        <w:rPr>
          <w:spacing w:val="-2"/>
          <w:kern w:val="22"/>
          <w:sz w:val="22"/>
          <w:szCs w:val="22"/>
          <w:lang w:val="en-GB"/>
        </w:rPr>
        <w:t>njection (i-GPI) technology</w:t>
      </w:r>
      <w:r w:rsidR="00760517" w:rsidRPr="00A42DB4">
        <w:rPr>
          <w:spacing w:val="-2"/>
          <w:kern w:val="22"/>
          <w:sz w:val="22"/>
          <w:szCs w:val="22"/>
          <w:lang w:val="en-GB"/>
        </w:rPr>
        <w:t xml:space="preserve"> </w:t>
      </w:r>
      <w:r w:rsidR="00EB0273" w:rsidRPr="00A42DB4">
        <w:rPr>
          <w:spacing w:val="-2"/>
          <w:kern w:val="22"/>
          <w:sz w:val="22"/>
          <w:szCs w:val="22"/>
          <w:lang w:val="en-GB"/>
        </w:rPr>
        <w:t>for some of its car</w:t>
      </w:r>
      <w:r w:rsidR="00E50900" w:rsidRPr="00A42DB4">
        <w:rPr>
          <w:spacing w:val="-2"/>
          <w:kern w:val="22"/>
          <w:sz w:val="22"/>
          <w:szCs w:val="22"/>
          <w:lang w:val="en-GB"/>
        </w:rPr>
        <w:t>s that used CNG</w:t>
      </w:r>
      <w:r w:rsidR="00A05DEA" w:rsidRPr="00A42DB4">
        <w:rPr>
          <w:spacing w:val="-2"/>
          <w:kern w:val="22"/>
          <w:sz w:val="22"/>
          <w:szCs w:val="22"/>
          <w:lang w:val="en-GB"/>
        </w:rPr>
        <w:t>, and</w:t>
      </w:r>
      <w:r w:rsidR="004C7D72" w:rsidRPr="00A42DB4">
        <w:rPr>
          <w:spacing w:val="-2"/>
          <w:kern w:val="22"/>
          <w:sz w:val="22"/>
          <w:szCs w:val="22"/>
          <w:lang w:val="en-GB"/>
        </w:rPr>
        <w:t xml:space="preserve"> </w:t>
      </w:r>
      <w:r w:rsidR="007B5F26" w:rsidRPr="00A42DB4">
        <w:rPr>
          <w:spacing w:val="-2"/>
          <w:kern w:val="22"/>
          <w:sz w:val="22"/>
          <w:szCs w:val="22"/>
          <w:lang w:val="en-GB"/>
        </w:rPr>
        <w:t xml:space="preserve">launched </w:t>
      </w:r>
      <w:r w:rsidR="00487CCE" w:rsidRPr="00A42DB4">
        <w:rPr>
          <w:spacing w:val="-2"/>
          <w:kern w:val="22"/>
          <w:sz w:val="22"/>
          <w:szCs w:val="22"/>
          <w:lang w:val="en-GB"/>
        </w:rPr>
        <w:t>smart hybrid v</w:t>
      </w:r>
      <w:r w:rsidR="00222B8A" w:rsidRPr="00A42DB4">
        <w:rPr>
          <w:spacing w:val="-2"/>
          <w:kern w:val="22"/>
          <w:sz w:val="22"/>
          <w:szCs w:val="22"/>
          <w:lang w:val="en-GB"/>
        </w:rPr>
        <w:t>ehicle</w:t>
      </w:r>
      <w:r w:rsidR="00A05DEA" w:rsidRPr="00A42DB4">
        <w:rPr>
          <w:spacing w:val="-2"/>
          <w:kern w:val="22"/>
          <w:sz w:val="22"/>
          <w:szCs w:val="22"/>
          <w:lang w:val="en-GB"/>
        </w:rPr>
        <w:t xml:space="preserve"> system</w:t>
      </w:r>
      <w:r w:rsidR="00D04EA9" w:rsidRPr="00A42DB4">
        <w:rPr>
          <w:spacing w:val="-2"/>
          <w:kern w:val="22"/>
          <w:sz w:val="22"/>
          <w:szCs w:val="22"/>
          <w:lang w:val="en-GB"/>
        </w:rPr>
        <w:t xml:space="preserve"> </w:t>
      </w:r>
      <w:r w:rsidR="007B5F26" w:rsidRPr="00A42DB4">
        <w:rPr>
          <w:spacing w:val="-2"/>
          <w:kern w:val="22"/>
          <w:sz w:val="22"/>
          <w:szCs w:val="22"/>
          <w:lang w:val="en-GB"/>
        </w:rPr>
        <w:t>version</w:t>
      </w:r>
      <w:r w:rsidR="00A05DEA" w:rsidRPr="00A42DB4">
        <w:rPr>
          <w:spacing w:val="-2"/>
          <w:kern w:val="22"/>
          <w:sz w:val="22"/>
          <w:szCs w:val="22"/>
          <w:lang w:val="en-GB"/>
        </w:rPr>
        <w:t>s</w:t>
      </w:r>
      <w:r w:rsidR="007B5F26" w:rsidRPr="00A42DB4">
        <w:rPr>
          <w:spacing w:val="-2"/>
          <w:kern w:val="22"/>
          <w:sz w:val="22"/>
          <w:szCs w:val="22"/>
          <w:lang w:val="en-GB"/>
        </w:rPr>
        <w:t xml:space="preserve"> of</w:t>
      </w:r>
      <w:r w:rsidR="007F36EF" w:rsidRPr="00A42DB4">
        <w:rPr>
          <w:spacing w:val="-2"/>
          <w:kern w:val="22"/>
          <w:sz w:val="22"/>
          <w:szCs w:val="22"/>
          <w:lang w:val="en-GB"/>
        </w:rPr>
        <w:t xml:space="preserve"> the</w:t>
      </w:r>
      <w:r w:rsidR="006C7816" w:rsidRPr="00A42DB4">
        <w:rPr>
          <w:spacing w:val="-2"/>
          <w:kern w:val="22"/>
          <w:sz w:val="22"/>
          <w:szCs w:val="22"/>
          <w:lang w:val="en-GB"/>
        </w:rPr>
        <w:t xml:space="preserve"> C</w:t>
      </w:r>
      <w:r w:rsidR="007F36EF" w:rsidRPr="00A42DB4">
        <w:rPr>
          <w:spacing w:val="-2"/>
          <w:kern w:val="22"/>
          <w:sz w:val="22"/>
          <w:szCs w:val="22"/>
          <w:lang w:val="en-GB"/>
        </w:rPr>
        <w:t>iaz</w:t>
      </w:r>
      <w:r w:rsidR="006C7816" w:rsidRPr="00A42DB4">
        <w:rPr>
          <w:spacing w:val="-2"/>
          <w:kern w:val="22"/>
          <w:sz w:val="22"/>
          <w:szCs w:val="22"/>
          <w:lang w:val="en-GB"/>
        </w:rPr>
        <w:t xml:space="preserve"> and Ertiga</w:t>
      </w:r>
      <w:r w:rsidR="00A05DEA" w:rsidRPr="00A42DB4">
        <w:rPr>
          <w:spacing w:val="-2"/>
          <w:kern w:val="22"/>
          <w:sz w:val="22"/>
          <w:szCs w:val="22"/>
          <w:lang w:val="en-GB"/>
        </w:rPr>
        <w:t>, which were more efficient and had lower emissions.</w:t>
      </w:r>
      <w:r w:rsidR="00B1417D" w:rsidRPr="00A42DB4">
        <w:rPr>
          <w:spacing w:val="-2"/>
          <w:kern w:val="22"/>
          <w:sz w:val="22"/>
          <w:szCs w:val="22"/>
          <w:lang w:val="en-GB"/>
        </w:rPr>
        <w:t xml:space="preserve"> </w:t>
      </w:r>
    </w:p>
    <w:p w14:paraId="7B2FC24B" w14:textId="77777777" w:rsidR="000735FF" w:rsidRPr="00EA13C5" w:rsidRDefault="000735FF" w:rsidP="00C8508B">
      <w:pPr>
        <w:pStyle w:val="BodyTextMain"/>
        <w:rPr>
          <w:sz w:val="20"/>
          <w:szCs w:val="20"/>
          <w:lang w:val="en-GB"/>
        </w:rPr>
      </w:pPr>
    </w:p>
    <w:p w14:paraId="698C5E68" w14:textId="77777777" w:rsidR="00D916DA" w:rsidRPr="00EA13C5" w:rsidRDefault="00D916DA" w:rsidP="00C8508B">
      <w:pPr>
        <w:pStyle w:val="BodyTextMain"/>
        <w:rPr>
          <w:sz w:val="20"/>
          <w:szCs w:val="20"/>
          <w:lang w:val="en-GB"/>
        </w:rPr>
      </w:pPr>
    </w:p>
    <w:p w14:paraId="723DC070" w14:textId="77777777" w:rsidR="000735FF" w:rsidRPr="002B43C8" w:rsidRDefault="000735FF" w:rsidP="007F36EF">
      <w:pPr>
        <w:pStyle w:val="Casehead2"/>
        <w:outlineLvl w:val="0"/>
        <w:rPr>
          <w:lang w:val="en-GB"/>
        </w:rPr>
      </w:pPr>
      <w:r w:rsidRPr="002B43C8">
        <w:rPr>
          <w:lang w:val="en-GB"/>
        </w:rPr>
        <w:t xml:space="preserve">Consumers </w:t>
      </w:r>
    </w:p>
    <w:p w14:paraId="460C7901" w14:textId="77777777" w:rsidR="000735FF" w:rsidRPr="00EA13C5" w:rsidRDefault="000735FF" w:rsidP="00C8508B">
      <w:pPr>
        <w:pStyle w:val="BodyTextMain"/>
        <w:rPr>
          <w:sz w:val="20"/>
          <w:szCs w:val="20"/>
          <w:lang w:val="en-GB"/>
        </w:rPr>
      </w:pPr>
    </w:p>
    <w:p w14:paraId="678AFFFD" w14:textId="1AB96522" w:rsidR="000735FF" w:rsidRPr="002B43C8" w:rsidRDefault="000735FF" w:rsidP="00C8508B">
      <w:pPr>
        <w:pStyle w:val="BodyTextMain"/>
        <w:rPr>
          <w:lang w:val="en-GB"/>
        </w:rPr>
      </w:pPr>
      <w:r w:rsidRPr="002B43C8">
        <w:rPr>
          <w:lang w:val="en-GB"/>
        </w:rPr>
        <w:t>India’s favo</w:t>
      </w:r>
      <w:r w:rsidR="00A05DEA">
        <w:rPr>
          <w:lang w:val="en-GB"/>
        </w:rPr>
        <w:t>u</w:t>
      </w:r>
      <w:r w:rsidRPr="002B43C8">
        <w:rPr>
          <w:lang w:val="en-GB"/>
        </w:rPr>
        <w:t>rable demographic profile and increased income (see Exhibit 4) benefited the Indian passenger vehicle industry</w:t>
      </w:r>
      <w:r w:rsidR="00A05DEA">
        <w:rPr>
          <w:lang w:val="en-GB"/>
        </w:rPr>
        <w:t xml:space="preserve"> immensely</w:t>
      </w:r>
      <w:r w:rsidRPr="002B43C8">
        <w:rPr>
          <w:lang w:val="en-GB"/>
        </w:rPr>
        <w:t xml:space="preserve">. </w:t>
      </w:r>
      <w:r w:rsidR="00A05DEA">
        <w:rPr>
          <w:lang w:val="en-GB"/>
        </w:rPr>
        <w:t>M</w:t>
      </w:r>
      <w:r w:rsidRPr="002B43C8">
        <w:rPr>
          <w:lang w:val="en-GB"/>
        </w:rPr>
        <w:t>ore than 65</w:t>
      </w:r>
      <w:r w:rsidR="005E6166">
        <w:rPr>
          <w:lang w:val="en-GB"/>
        </w:rPr>
        <w:t xml:space="preserve"> per cent</w:t>
      </w:r>
      <w:r w:rsidRPr="002B43C8">
        <w:rPr>
          <w:lang w:val="en-GB"/>
        </w:rPr>
        <w:t xml:space="preserve"> of </w:t>
      </w:r>
      <w:r w:rsidR="00A05DEA">
        <w:rPr>
          <w:lang w:val="en-GB"/>
        </w:rPr>
        <w:t>India’s</w:t>
      </w:r>
      <w:r w:rsidRPr="002B43C8">
        <w:rPr>
          <w:lang w:val="en-GB"/>
        </w:rPr>
        <w:t xml:space="preserve"> population</w:t>
      </w:r>
      <w:r w:rsidR="00A05DEA">
        <w:rPr>
          <w:lang w:val="en-GB"/>
        </w:rPr>
        <w:t xml:space="preserve"> was</w:t>
      </w:r>
      <w:r w:rsidRPr="002B43C8">
        <w:rPr>
          <w:lang w:val="en-GB"/>
        </w:rPr>
        <w:t xml:space="preserve"> under the age of 35. This youth-dominated composition of the country was a contributing factor </w:t>
      </w:r>
      <w:r w:rsidR="00723D73">
        <w:rPr>
          <w:lang w:val="en-GB"/>
        </w:rPr>
        <w:t>to</w:t>
      </w:r>
      <w:r w:rsidRPr="002B43C8">
        <w:rPr>
          <w:lang w:val="en-GB"/>
        </w:rPr>
        <w:t xml:space="preserve"> the rise in new car buyers, leading to increased car sales. The low penetration of cars in India—only 18 vehicles per 1,000 people—meant </w:t>
      </w:r>
      <w:r w:rsidR="00A05DEA">
        <w:rPr>
          <w:lang w:val="en-GB"/>
        </w:rPr>
        <w:t>the nation</w:t>
      </w:r>
      <w:r w:rsidRPr="002B43C8">
        <w:rPr>
          <w:lang w:val="en-GB"/>
        </w:rPr>
        <w:t xml:space="preserve"> would continue to see strong demand for entry-level small cars in the future. At the same time, the growth of high</w:t>
      </w:r>
      <w:r w:rsidR="00A05DEA">
        <w:rPr>
          <w:lang w:val="en-GB"/>
        </w:rPr>
        <w:t>-</w:t>
      </w:r>
      <w:r w:rsidRPr="002B43C8">
        <w:rPr>
          <w:lang w:val="en-GB"/>
        </w:rPr>
        <w:t>net</w:t>
      </w:r>
      <w:r w:rsidR="00A05DEA">
        <w:rPr>
          <w:lang w:val="en-GB"/>
        </w:rPr>
        <w:t>-</w:t>
      </w:r>
      <w:r w:rsidRPr="002B43C8">
        <w:rPr>
          <w:lang w:val="en-GB"/>
        </w:rPr>
        <w:t>worth individuals and the cash-rich base contributed to high-end car sales (see Exhibit 4). In 2015</w:t>
      </w:r>
      <w:r w:rsidR="00D14DDA">
        <w:rPr>
          <w:lang w:val="en-GB"/>
        </w:rPr>
        <w:t>,</w:t>
      </w:r>
      <w:r w:rsidRPr="002B43C8">
        <w:rPr>
          <w:lang w:val="en-GB"/>
        </w:rPr>
        <w:t xml:space="preserve"> India </w:t>
      </w:r>
      <w:r w:rsidR="00D14DDA">
        <w:rPr>
          <w:lang w:val="en-GB"/>
        </w:rPr>
        <w:t>had</w:t>
      </w:r>
      <w:r w:rsidRPr="002B43C8">
        <w:rPr>
          <w:lang w:val="en-GB"/>
        </w:rPr>
        <w:t xml:space="preserve"> the world’s 1</w:t>
      </w:r>
      <w:r w:rsidR="00F61708">
        <w:rPr>
          <w:lang w:val="en-GB"/>
        </w:rPr>
        <w:t>1</w:t>
      </w:r>
      <w:r w:rsidRPr="002B43C8">
        <w:rPr>
          <w:lang w:val="en-GB"/>
        </w:rPr>
        <w:t>th</w:t>
      </w:r>
      <w:r w:rsidR="00D14DDA">
        <w:rPr>
          <w:lang w:val="en-GB"/>
        </w:rPr>
        <w:t>-</w:t>
      </w:r>
      <w:r w:rsidRPr="002B43C8">
        <w:rPr>
          <w:lang w:val="en-GB"/>
        </w:rPr>
        <w:t>largest population</w:t>
      </w:r>
      <w:r w:rsidR="00E40CF1" w:rsidRPr="00E40CF1">
        <w:rPr>
          <w:lang w:val="en-GB"/>
        </w:rPr>
        <w:t xml:space="preserve"> </w:t>
      </w:r>
      <w:r w:rsidR="00E40CF1">
        <w:rPr>
          <w:lang w:val="en-GB"/>
        </w:rPr>
        <w:t xml:space="preserve">of </w:t>
      </w:r>
      <w:r w:rsidR="00E40CF1" w:rsidRPr="002B43C8">
        <w:rPr>
          <w:lang w:val="en-GB"/>
        </w:rPr>
        <w:t>high</w:t>
      </w:r>
      <w:r w:rsidR="00E40CF1">
        <w:rPr>
          <w:lang w:val="en-GB"/>
        </w:rPr>
        <w:t>-</w:t>
      </w:r>
      <w:r w:rsidR="00E40CF1" w:rsidRPr="002B43C8">
        <w:rPr>
          <w:lang w:val="en-GB"/>
        </w:rPr>
        <w:t>net</w:t>
      </w:r>
      <w:r w:rsidR="00E40CF1">
        <w:rPr>
          <w:lang w:val="en-GB"/>
        </w:rPr>
        <w:t>-</w:t>
      </w:r>
      <w:r w:rsidR="00E40CF1" w:rsidRPr="002B43C8">
        <w:rPr>
          <w:lang w:val="en-GB"/>
        </w:rPr>
        <w:t>worth individuals</w:t>
      </w:r>
      <w:r w:rsidRPr="002B43C8">
        <w:rPr>
          <w:lang w:val="en-GB"/>
        </w:rPr>
        <w:t>,</w:t>
      </w:r>
      <w:r w:rsidRPr="002B43C8">
        <w:rPr>
          <w:rStyle w:val="FootnoteReference"/>
          <w:lang w:val="en-GB"/>
        </w:rPr>
        <w:footnoteReference w:id="6"/>
      </w:r>
      <w:r w:rsidRPr="002B43C8">
        <w:rPr>
          <w:lang w:val="en-GB"/>
        </w:rPr>
        <w:t xml:space="preserve"> </w:t>
      </w:r>
      <w:r w:rsidR="00CC53AB">
        <w:rPr>
          <w:lang w:val="en-GB"/>
        </w:rPr>
        <w:t>which</w:t>
      </w:r>
      <w:r w:rsidRPr="002B43C8">
        <w:rPr>
          <w:lang w:val="en-GB"/>
        </w:rPr>
        <w:t xml:space="preserve"> was attributable to the expansion </w:t>
      </w:r>
      <w:r w:rsidR="00840733">
        <w:rPr>
          <w:lang w:val="en-GB"/>
        </w:rPr>
        <w:t>of</w:t>
      </w:r>
      <w:r w:rsidR="00840733" w:rsidRPr="002B43C8">
        <w:rPr>
          <w:lang w:val="en-GB"/>
        </w:rPr>
        <w:t xml:space="preserve"> </w:t>
      </w:r>
      <w:r w:rsidR="00BA7596">
        <w:rPr>
          <w:lang w:val="en-GB"/>
        </w:rPr>
        <w:t>India’s</w:t>
      </w:r>
      <w:r w:rsidRPr="002B43C8">
        <w:rPr>
          <w:lang w:val="en-GB"/>
        </w:rPr>
        <w:t xml:space="preserve"> education and realty sectors, and </w:t>
      </w:r>
      <w:r w:rsidR="00723D73">
        <w:rPr>
          <w:lang w:val="en-GB"/>
        </w:rPr>
        <w:t xml:space="preserve">to </w:t>
      </w:r>
      <w:r w:rsidRPr="002B43C8">
        <w:rPr>
          <w:lang w:val="en-GB"/>
        </w:rPr>
        <w:t>the increasing wealth of</w:t>
      </w:r>
      <w:r w:rsidR="00BA7596">
        <w:rPr>
          <w:lang w:val="en-GB"/>
        </w:rPr>
        <w:t xml:space="preserve"> its</w:t>
      </w:r>
      <w:r w:rsidRPr="002B43C8">
        <w:rPr>
          <w:lang w:val="en-GB"/>
        </w:rPr>
        <w:t xml:space="preserve"> </w:t>
      </w:r>
      <w:r w:rsidR="00BA7596">
        <w:rPr>
          <w:lang w:val="en-GB"/>
        </w:rPr>
        <w:t>information technology</w:t>
      </w:r>
      <w:r w:rsidRPr="002B43C8">
        <w:rPr>
          <w:lang w:val="en-GB"/>
        </w:rPr>
        <w:t xml:space="preserve"> professionals</w:t>
      </w:r>
      <w:r w:rsidR="00BA7596">
        <w:rPr>
          <w:lang w:val="en-GB"/>
        </w:rPr>
        <w:t xml:space="preserve">. </w:t>
      </w:r>
      <w:r w:rsidRPr="002B43C8">
        <w:rPr>
          <w:lang w:val="en-GB"/>
        </w:rPr>
        <w:t xml:space="preserve">This affluent class was driving the demand </w:t>
      </w:r>
      <w:r w:rsidR="00BA7596">
        <w:rPr>
          <w:lang w:val="en-GB"/>
        </w:rPr>
        <w:t>for</w:t>
      </w:r>
      <w:r w:rsidRPr="002B43C8">
        <w:rPr>
          <w:lang w:val="en-GB"/>
        </w:rPr>
        <w:t xml:space="preserve"> luxury cars in the country. Moreover, the increased base of existing car customers who wanted to upgrade cars preferred to buy</w:t>
      </w:r>
      <w:r w:rsidR="003C4D9E">
        <w:rPr>
          <w:lang w:val="en-GB"/>
        </w:rPr>
        <w:t xml:space="preserve"> a</w:t>
      </w:r>
      <w:r w:rsidRPr="002B43C8">
        <w:rPr>
          <w:lang w:val="en-GB"/>
        </w:rPr>
        <w:t xml:space="preserve"> high-end car rather than a</w:t>
      </w:r>
      <w:r w:rsidR="003C4D9E">
        <w:rPr>
          <w:lang w:val="en-GB"/>
        </w:rPr>
        <w:t>nother</w:t>
      </w:r>
      <w:r w:rsidRPr="002B43C8">
        <w:rPr>
          <w:lang w:val="en-GB"/>
        </w:rPr>
        <w:t xml:space="preserve"> small car. Thus, improved economic conditions of customers and </w:t>
      </w:r>
      <w:r w:rsidR="003C4D9E">
        <w:rPr>
          <w:lang w:val="en-GB"/>
        </w:rPr>
        <w:t>shifting demographics</w:t>
      </w:r>
      <w:r w:rsidRPr="002B43C8">
        <w:rPr>
          <w:lang w:val="en-GB"/>
        </w:rPr>
        <w:t xml:space="preserve"> contributed not only to the growth of passenger vehicles</w:t>
      </w:r>
      <w:r w:rsidR="003C4D9E">
        <w:rPr>
          <w:lang w:val="en-GB"/>
        </w:rPr>
        <w:t>,</w:t>
      </w:r>
      <w:r w:rsidRPr="002B43C8">
        <w:rPr>
          <w:lang w:val="en-GB"/>
        </w:rPr>
        <w:t xml:space="preserve"> but also to a shift towards high-end cars. As summarized by </w:t>
      </w:r>
      <w:r w:rsidR="00935B76">
        <w:rPr>
          <w:lang w:val="en-GB"/>
        </w:rPr>
        <w:t>Shekhar</w:t>
      </w:r>
      <w:r w:rsidRPr="002B43C8">
        <w:rPr>
          <w:lang w:val="en-GB"/>
        </w:rPr>
        <w:t>,</w:t>
      </w:r>
    </w:p>
    <w:p w14:paraId="5A8B8AF0" w14:textId="77777777" w:rsidR="000735FF" w:rsidRPr="00EA13C5" w:rsidRDefault="000735FF" w:rsidP="00C8508B">
      <w:pPr>
        <w:pStyle w:val="BodyTextMain"/>
        <w:rPr>
          <w:sz w:val="20"/>
          <w:szCs w:val="20"/>
          <w:lang w:val="en-GB"/>
        </w:rPr>
      </w:pPr>
    </w:p>
    <w:p w14:paraId="365E06F5" w14:textId="475B0AD9" w:rsidR="000735FF" w:rsidRPr="00A42DB4" w:rsidRDefault="000735FF" w:rsidP="00A24615">
      <w:pPr>
        <w:pStyle w:val="BodyTextMain"/>
        <w:ind w:left="720"/>
        <w:rPr>
          <w:spacing w:val="-2"/>
          <w:kern w:val="22"/>
          <w:lang w:val="en-GB"/>
        </w:rPr>
      </w:pPr>
      <w:r w:rsidRPr="00A42DB4">
        <w:rPr>
          <w:spacing w:val="-2"/>
          <w:kern w:val="22"/>
          <w:lang w:val="en-GB"/>
        </w:rPr>
        <w:lastRenderedPageBreak/>
        <w:t xml:space="preserve">The sales of passenger vehicles are primarily driven by disposable income of customers. Previously, the price, performance, and resale of a car were the main factors that drove car sales, but now new categories of customers have emerged with a different set of preferences. New and existing customers with more money in their pockets and better financial options prefer to buy cars that have high quality, safety features, and prestige value attached. </w:t>
      </w:r>
      <w:r w:rsidR="003C4D9E" w:rsidRPr="00A42DB4">
        <w:rPr>
          <w:spacing w:val="-2"/>
          <w:kern w:val="22"/>
          <w:lang w:val="en-GB"/>
        </w:rPr>
        <w:t>[These factors]</w:t>
      </w:r>
      <w:r w:rsidRPr="00A42DB4">
        <w:rPr>
          <w:spacing w:val="-2"/>
          <w:kern w:val="22"/>
          <w:lang w:val="en-GB"/>
        </w:rPr>
        <w:t xml:space="preserve"> led to the buoyed sales of vehicles by new players</w:t>
      </w:r>
      <w:r w:rsidR="003C4D9E" w:rsidRPr="00A42DB4">
        <w:rPr>
          <w:spacing w:val="-2"/>
          <w:kern w:val="22"/>
          <w:lang w:val="en-GB"/>
        </w:rPr>
        <w:t xml:space="preserve">, such as </w:t>
      </w:r>
      <w:r w:rsidRPr="00A42DB4">
        <w:rPr>
          <w:spacing w:val="-2"/>
          <w:kern w:val="22"/>
          <w:lang w:val="en-GB"/>
        </w:rPr>
        <w:t>Ford’s Eco Sport, Mahindra’s XUV 500, and Renault’s Duster. The high-end car market in India has become too big at present, and we cannot ignore it.</w:t>
      </w:r>
    </w:p>
    <w:p w14:paraId="503DC2D0" w14:textId="77777777" w:rsidR="000735FF" w:rsidRPr="00EA13C5" w:rsidRDefault="000735FF" w:rsidP="00C8508B">
      <w:pPr>
        <w:pStyle w:val="BodyTextMain"/>
        <w:rPr>
          <w:spacing w:val="-2"/>
          <w:kern w:val="22"/>
          <w:sz w:val="20"/>
          <w:szCs w:val="20"/>
          <w:lang w:val="en-GB"/>
        </w:rPr>
      </w:pPr>
    </w:p>
    <w:p w14:paraId="6C678F49" w14:textId="104D6708" w:rsidR="000735FF" w:rsidRDefault="000229FF" w:rsidP="00C8508B">
      <w:pPr>
        <w:pStyle w:val="BodyTextMain"/>
        <w:rPr>
          <w:lang w:val="en-GB"/>
        </w:rPr>
      </w:pPr>
      <w:r>
        <w:rPr>
          <w:lang w:val="en-GB"/>
        </w:rPr>
        <w:t>Other demographic changes included m</w:t>
      </w:r>
      <w:r w:rsidR="000735FF" w:rsidRPr="002B43C8">
        <w:rPr>
          <w:lang w:val="en-GB"/>
        </w:rPr>
        <w:t>ore consumers own</w:t>
      </w:r>
      <w:r>
        <w:rPr>
          <w:lang w:val="en-GB"/>
        </w:rPr>
        <w:t>ing</w:t>
      </w:r>
      <w:r w:rsidR="000735FF" w:rsidRPr="002B43C8">
        <w:rPr>
          <w:lang w:val="en-GB"/>
        </w:rPr>
        <w:t xml:space="preserve"> multiple cars, </w:t>
      </w:r>
      <w:r>
        <w:rPr>
          <w:lang w:val="en-GB"/>
        </w:rPr>
        <w:t xml:space="preserve">whereas in the past, most families would have had </w:t>
      </w:r>
      <w:r w:rsidR="000735FF" w:rsidRPr="002B43C8">
        <w:rPr>
          <w:lang w:val="en-GB"/>
        </w:rPr>
        <w:t xml:space="preserve">one car </w:t>
      </w:r>
      <w:r>
        <w:rPr>
          <w:lang w:val="en-GB"/>
        </w:rPr>
        <w:t>at most</w:t>
      </w:r>
      <w:r w:rsidR="000735FF" w:rsidRPr="002B43C8">
        <w:rPr>
          <w:lang w:val="en-GB"/>
        </w:rPr>
        <w:t xml:space="preserve">. </w:t>
      </w:r>
      <w:r w:rsidR="00374D6C">
        <w:rPr>
          <w:lang w:val="en-GB"/>
        </w:rPr>
        <w:t>Further, t</w:t>
      </w:r>
      <w:r w:rsidR="000735FF" w:rsidRPr="002B43C8">
        <w:rPr>
          <w:lang w:val="en-GB"/>
        </w:rPr>
        <w:t>he pre-owned car, which was not acceptable earlier, became a big market for companies. On the technology front, consumers expected information availability and to book test drive</w:t>
      </w:r>
      <w:r>
        <w:rPr>
          <w:lang w:val="en-GB"/>
        </w:rPr>
        <w:t>s</w:t>
      </w:r>
      <w:r w:rsidR="000735FF" w:rsidRPr="002B43C8">
        <w:rPr>
          <w:lang w:val="en-GB"/>
        </w:rPr>
        <w:t xml:space="preserve"> on company websites. </w:t>
      </w:r>
      <w:r>
        <w:rPr>
          <w:lang w:val="en-GB"/>
        </w:rPr>
        <w:t>Because of these expectations,</w:t>
      </w:r>
      <w:r w:rsidR="000735FF" w:rsidRPr="002B43C8">
        <w:rPr>
          <w:lang w:val="en-GB"/>
        </w:rPr>
        <w:t xml:space="preserve"> almost every </w:t>
      </w:r>
      <w:r>
        <w:rPr>
          <w:lang w:val="en-GB"/>
        </w:rPr>
        <w:t xml:space="preserve">company </w:t>
      </w:r>
      <w:r w:rsidR="000735FF" w:rsidRPr="002B43C8">
        <w:rPr>
          <w:lang w:val="en-GB"/>
        </w:rPr>
        <w:t>in the passenger car segment provided information about the price</w:t>
      </w:r>
      <w:r>
        <w:rPr>
          <w:lang w:val="en-GB"/>
        </w:rPr>
        <w:t>s</w:t>
      </w:r>
      <w:r w:rsidR="000735FF" w:rsidRPr="002B43C8">
        <w:rPr>
          <w:lang w:val="en-GB"/>
        </w:rPr>
        <w:t>, features, and variants of</w:t>
      </w:r>
      <w:r>
        <w:rPr>
          <w:lang w:val="en-GB"/>
        </w:rPr>
        <w:t xml:space="preserve"> </w:t>
      </w:r>
      <w:r w:rsidR="000735FF" w:rsidRPr="002B43C8">
        <w:rPr>
          <w:lang w:val="en-GB"/>
        </w:rPr>
        <w:t>car</w:t>
      </w:r>
      <w:r>
        <w:rPr>
          <w:lang w:val="en-GB"/>
        </w:rPr>
        <w:t>s</w:t>
      </w:r>
      <w:r w:rsidR="000735FF" w:rsidRPr="002B43C8">
        <w:rPr>
          <w:lang w:val="en-GB"/>
        </w:rPr>
        <w:t xml:space="preserve"> on their websites, with brochures </w:t>
      </w:r>
      <w:r>
        <w:rPr>
          <w:lang w:val="en-GB"/>
        </w:rPr>
        <w:t>for each brand</w:t>
      </w:r>
      <w:r w:rsidR="000735FF" w:rsidRPr="002B43C8">
        <w:rPr>
          <w:lang w:val="en-GB"/>
        </w:rPr>
        <w:t xml:space="preserve">. Customers also became </w:t>
      </w:r>
      <w:r w:rsidR="00723D73">
        <w:rPr>
          <w:lang w:val="en-GB"/>
        </w:rPr>
        <w:t>increasingly</w:t>
      </w:r>
      <w:r w:rsidR="000735FF" w:rsidRPr="002B43C8">
        <w:rPr>
          <w:lang w:val="en-GB"/>
        </w:rPr>
        <w:t xml:space="preserve"> aware </w:t>
      </w:r>
      <w:r w:rsidR="00723D73">
        <w:rPr>
          <w:lang w:val="en-GB"/>
        </w:rPr>
        <w:t>of</w:t>
      </w:r>
      <w:r w:rsidR="000735FF" w:rsidRPr="002B43C8">
        <w:rPr>
          <w:lang w:val="en-GB"/>
        </w:rPr>
        <w:t xml:space="preserve"> the latest engine technology, safety features, and additional features of a car. The change in lifestyle of Indian customers, who now sought hedonic value from a car rather than only function</w:t>
      </w:r>
      <w:r w:rsidR="00374D6C">
        <w:rPr>
          <w:lang w:val="en-GB"/>
        </w:rPr>
        <w:t>al value</w:t>
      </w:r>
      <w:r w:rsidR="000735FF" w:rsidRPr="002B43C8">
        <w:rPr>
          <w:lang w:val="en-GB"/>
        </w:rPr>
        <w:t xml:space="preserve">, was reflected in the country’s increasing demand for </w:t>
      </w:r>
      <w:r w:rsidR="00374D6C">
        <w:rPr>
          <w:lang w:val="en-GB"/>
        </w:rPr>
        <w:t>vehicles in the</w:t>
      </w:r>
      <w:r w:rsidR="000735FF" w:rsidRPr="002B43C8">
        <w:rPr>
          <w:lang w:val="en-GB"/>
        </w:rPr>
        <w:t xml:space="preserve"> high-end category. As explained by </w:t>
      </w:r>
      <w:r w:rsidR="00935B76">
        <w:rPr>
          <w:lang w:val="en-GB"/>
        </w:rPr>
        <w:t>Shankar</w:t>
      </w:r>
      <w:r w:rsidR="000735FF" w:rsidRPr="002B43C8">
        <w:rPr>
          <w:lang w:val="en-GB"/>
        </w:rPr>
        <w:t>,</w:t>
      </w:r>
    </w:p>
    <w:p w14:paraId="1ABD63CB" w14:textId="77777777" w:rsidR="002F60CE" w:rsidRPr="00EA13C5" w:rsidRDefault="002F60CE" w:rsidP="00C8508B">
      <w:pPr>
        <w:pStyle w:val="BodyTextMain"/>
        <w:rPr>
          <w:sz w:val="20"/>
          <w:szCs w:val="20"/>
          <w:lang w:val="en-GB"/>
        </w:rPr>
      </w:pPr>
    </w:p>
    <w:p w14:paraId="5BF0C8AC" w14:textId="04764F10" w:rsidR="000735FF" w:rsidRPr="002B43C8" w:rsidRDefault="000735FF" w:rsidP="00BA7365">
      <w:pPr>
        <w:pStyle w:val="BodyTextMain"/>
        <w:ind w:left="720"/>
        <w:rPr>
          <w:lang w:val="en-GB"/>
        </w:rPr>
      </w:pPr>
      <w:r w:rsidRPr="002B43C8">
        <w:rPr>
          <w:lang w:val="en-GB"/>
        </w:rPr>
        <w:t>Over the years, for a sizeable section of customers, perception</w:t>
      </w:r>
      <w:r w:rsidR="00374D6C">
        <w:rPr>
          <w:lang w:val="en-GB"/>
        </w:rPr>
        <w:t>s</w:t>
      </w:r>
      <w:r w:rsidRPr="002B43C8">
        <w:rPr>
          <w:lang w:val="en-GB"/>
        </w:rPr>
        <w:t xml:space="preserve"> ha</w:t>
      </w:r>
      <w:r w:rsidR="00374D6C">
        <w:rPr>
          <w:lang w:val="en-GB"/>
        </w:rPr>
        <w:t>ve</w:t>
      </w:r>
      <w:r w:rsidRPr="002B43C8">
        <w:rPr>
          <w:lang w:val="en-GB"/>
        </w:rPr>
        <w:t xml:space="preserve"> changed from price-centric to value-centric. Customers today are well aware of car specifications and ratings given to a car manufacturer</w:t>
      </w:r>
      <w:r w:rsidR="00374D6C">
        <w:rPr>
          <w:lang w:val="en-GB"/>
        </w:rPr>
        <w:t>. . . .</w:t>
      </w:r>
      <w:r w:rsidRPr="002B43C8">
        <w:rPr>
          <w:lang w:val="en-GB"/>
        </w:rPr>
        <w:t xml:space="preserve"> This is an era of add-on features; people seek more value in a car. For instance, a car buyer takes the feedback of a car from the market and looks for different additional features and after-sales services of </w:t>
      </w:r>
      <w:r w:rsidR="00374D6C">
        <w:rPr>
          <w:lang w:val="en-GB"/>
        </w:rPr>
        <w:t xml:space="preserve">that </w:t>
      </w:r>
      <w:r w:rsidRPr="002B43C8">
        <w:rPr>
          <w:lang w:val="en-GB"/>
        </w:rPr>
        <w:t>car, rather than only mileage or price.</w:t>
      </w:r>
    </w:p>
    <w:p w14:paraId="3F4F50B7" w14:textId="77777777" w:rsidR="000735FF" w:rsidRPr="00EA13C5" w:rsidRDefault="000735FF" w:rsidP="00BA7365">
      <w:pPr>
        <w:pStyle w:val="BodyTextMain"/>
        <w:rPr>
          <w:sz w:val="20"/>
          <w:szCs w:val="20"/>
          <w:lang w:val="en-GB"/>
        </w:rPr>
      </w:pPr>
    </w:p>
    <w:p w14:paraId="60D85B57" w14:textId="77777777" w:rsidR="000735FF" w:rsidRPr="00EA13C5" w:rsidRDefault="000735FF" w:rsidP="00BA7365">
      <w:pPr>
        <w:pStyle w:val="BodyTextMain"/>
        <w:rPr>
          <w:sz w:val="20"/>
          <w:szCs w:val="20"/>
          <w:lang w:val="en-GB"/>
        </w:rPr>
      </w:pPr>
    </w:p>
    <w:p w14:paraId="6734F0CB" w14:textId="51658468" w:rsidR="000735FF" w:rsidRPr="002B43C8" w:rsidRDefault="00D916DA" w:rsidP="007F36EF">
      <w:pPr>
        <w:pStyle w:val="Casehead2"/>
        <w:outlineLvl w:val="0"/>
        <w:rPr>
          <w:lang w:val="en-GB"/>
        </w:rPr>
      </w:pPr>
      <w:r>
        <w:rPr>
          <w:lang w:val="en-GB"/>
        </w:rPr>
        <w:t xml:space="preserve">The </w:t>
      </w:r>
      <w:r w:rsidR="000735FF" w:rsidRPr="002B43C8">
        <w:rPr>
          <w:lang w:val="en-GB"/>
        </w:rPr>
        <w:t xml:space="preserve">Competitive </w:t>
      </w:r>
      <w:r>
        <w:rPr>
          <w:lang w:val="en-GB"/>
        </w:rPr>
        <w:t>L</w:t>
      </w:r>
      <w:r w:rsidR="000735FF" w:rsidRPr="002B43C8">
        <w:rPr>
          <w:lang w:val="en-GB"/>
        </w:rPr>
        <w:t>andscape</w:t>
      </w:r>
    </w:p>
    <w:p w14:paraId="750693EE" w14:textId="77777777" w:rsidR="000735FF" w:rsidRPr="00EA13C5" w:rsidRDefault="000735FF" w:rsidP="00C8508B">
      <w:pPr>
        <w:pStyle w:val="BodyTextMain"/>
        <w:rPr>
          <w:sz w:val="20"/>
          <w:szCs w:val="20"/>
          <w:lang w:val="en-GB"/>
        </w:rPr>
      </w:pPr>
    </w:p>
    <w:p w14:paraId="1865F8CA" w14:textId="50E60A80" w:rsidR="000735FF" w:rsidRDefault="000735FF" w:rsidP="00C8508B">
      <w:pPr>
        <w:pStyle w:val="BodyTextMain"/>
        <w:rPr>
          <w:lang w:val="en-GB"/>
        </w:rPr>
      </w:pPr>
      <w:r w:rsidRPr="002B43C8">
        <w:rPr>
          <w:lang w:val="en-GB"/>
        </w:rPr>
        <w:t xml:space="preserve">In 2015, </w:t>
      </w:r>
      <w:r w:rsidR="00374D6C">
        <w:rPr>
          <w:lang w:val="en-GB"/>
        </w:rPr>
        <w:t>MSIL’s biggest competitors for market share in India were</w:t>
      </w:r>
      <w:r w:rsidRPr="002B43C8">
        <w:rPr>
          <w:lang w:val="en-GB"/>
        </w:rPr>
        <w:t xml:space="preserve"> </w:t>
      </w:r>
      <w:r w:rsidR="00374D6C" w:rsidRPr="002B43C8">
        <w:rPr>
          <w:lang w:val="en-GB"/>
        </w:rPr>
        <w:t>Hyundai</w:t>
      </w:r>
      <w:r w:rsidR="00374D6C">
        <w:rPr>
          <w:lang w:val="en-GB"/>
        </w:rPr>
        <w:t>,</w:t>
      </w:r>
      <w:r w:rsidR="00374D6C" w:rsidRPr="002B43C8">
        <w:rPr>
          <w:lang w:val="en-GB"/>
        </w:rPr>
        <w:t xml:space="preserve"> </w:t>
      </w:r>
      <w:r w:rsidR="00252DAF" w:rsidRPr="002B43C8">
        <w:rPr>
          <w:lang w:val="en-GB"/>
        </w:rPr>
        <w:t>Honda</w:t>
      </w:r>
      <w:r w:rsidR="00252DAF">
        <w:rPr>
          <w:lang w:val="en-GB"/>
        </w:rPr>
        <w:t xml:space="preserve">, </w:t>
      </w:r>
      <w:r w:rsidRPr="002B43C8">
        <w:rPr>
          <w:lang w:val="en-GB"/>
        </w:rPr>
        <w:t>Tata</w:t>
      </w:r>
      <w:r w:rsidR="00374D6C">
        <w:rPr>
          <w:lang w:val="en-GB"/>
        </w:rPr>
        <w:t xml:space="preserve"> Motors Limited</w:t>
      </w:r>
      <w:r w:rsidR="00E323B0">
        <w:rPr>
          <w:lang w:val="en-GB"/>
        </w:rPr>
        <w:t xml:space="preserve"> (Tata)</w:t>
      </w:r>
      <w:r w:rsidR="00252DAF">
        <w:rPr>
          <w:lang w:val="en-GB"/>
        </w:rPr>
        <w:t>,</w:t>
      </w:r>
      <w:r w:rsidR="00252DAF" w:rsidRPr="00252DAF">
        <w:rPr>
          <w:lang w:val="en-GB"/>
        </w:rPr>
        <w:t xml:space="preserve"> </w:t>
      </w:r>
      <w:r w:rsidR="00252DAF">
        <w:rPr>
          <w:lang w:val="en-GB"/>
        </w:rPr>
        <w:t xml:space="preserve">and </w:t>
      </w:r>
      <w:r w:rsidR="00252DAF" w:rsidRPr="002B43C8">
        <w:rPr>
          <w:lang w:val="en-GB"/>
        </w:rPr>
        <w:t>Mahindra</w:t>
      </w:r>
      <w:r w:rsidR="00252DAF">
        <w:rPr>
          <w:lang w:val="en-GB"/>
        </w:rPr>
        <w:t xml:space="preserve"> </w:t>
      </w:r>
      <w:r w:rsidR="00374D6C">
        <w:rPr>
          <w:lang w:val="en-GB"/>
        </w:rPr>
        <w:t>(</w:t>
      </w:r>
      <w:r w:rsidRPr="002B43C8">
        <w:rPr>
          <w:lang w:val="en-GB"/>
        </w:rPr>
        <w:t>see Exhibit</w:t>
      </w:r>
      <w:r w:rsidR="00374D6C">
        <w:rPr>
          <w:lang w:val="en-GB"/>
        </w:rPr>
        <w:t>s</w:t>
      </w:r>
      <w:r w:rsidRPr="002B43C8">
        <w:rPr>
          <w:lang w:val="en-GB"/>
        </w:rPr>
        <w:t xml:space="preserve"> 7a and 7b). </w:t>
      </w:r>
    </w:p>
    <w:p w14:paraId="7CB74E58" w14:textId="77777777" w:rsidR="00D916DA" w:rsidRPr="00EA13C5" w:rsidRDefault="00D916DA" w:rsidP="00C8508B">
      <w:pPr>
        <w:pStyle w:val="BodyTextMain"/>
        <w:rPr>
          <w:sz w:val="20"/>
          <w:szCs w:val="20"/>
          <w:lang w:val="en-GB"/>
        </w:rPr>
      </w:pPr>
    </w:p>
    <w:p w14:paraId="1B062371" w14:textId="77777777" w:rsidR="000735FF" w:rsidRPr="00EA13C5" w:rsidRDefault="000735FF" w:rsidP="002141C0">
      <w:pPr>
        <w:pStyle w:val="Casehead3"/>
        <w:rPr>
          <w:sz w:val="20"/>
          <w:szCs w:val="20"/>
          <w:lang w:val="en-GB"/>
        </w:rPr>
      </w:pPr>
    </w:p>
    <w:p w14:paraId="0B44A99F" w14:textId="3EBD549C" w:rsidR="00D916DA" w:rsidRPr="00D916DA" w:rsidRDefault="000735FF" w:rsidP="002141C0">
      <w:pPr>
        <w:pStyle w:val="Casehead3"/>
        <w:rPr>
          <w:lang w:val="en-GB"/>
        </w:rPr>
      </w:pPr>
      <w:r w:rsidRPr="002141C0">
        <w:rPr>
          <w:lang w:val="en-GB"/>
        </w:rPr>
        <w:t>Hyundai Motor India Limited</w:t>
      </w:r>
      <w:r w:rsidRPr="00D916DA">
        <w:rPr>
          <w:lang w:val="en-GB"/>
        </w:rPr>
        <w:t xml:space="preserve"> </w:t>
      </w:r>
    </w:p>
    <w:p w14:paraId="06B35393" w14:textId="77777777" w:rsidR="00D916DA" w:rsidRPr="00EA13C5" w:rsidRDefault="00D916DA" w:rsidP="00C8508B">
      <w:pPr>
        <w:pStyle w:val="BodyTextMain"/>
        <w:rPr>
          <w:sz w:val="20"/>
          <w:szCs w:val="20"/>
          <w:lang w:val="en-GB"/>
        </w:rPr>
      </w:pPr>
    </w:p>
    <w:p w14:paraId="558A7985" w14:textId="4D91A6B1" w:rsidR="000735FF" w:rsidRDefault="000735FF" w:rsidP="00C8508B">
      <w:pPr>
        <w:pStyle w:val="BodyTextMain"/>
        <w:rPr>
          <w:lang w:val="en-GB"/>
        </w:rPr>
      </w:pPr>
      <w:r w:rsidRPr="002B43C8">
        <w:rPr>
          <w:lang w:val="en-GB"/>
        </w:rPr>
        <w:t>Hyundai</w:t>
      </w:r>
      <w:r w:rsidR="0048072C">
        <w:rPr>
          <w:lang w:val="en-GB"/>
        </w:rPr>
        <w:t>—</w:t>
      </w:r>
      <w:r w:rsidRPr="002B43C8">
        <w:rPr>
          <w:lang w:val="en-GB"/>
        </w:rPr>
        <w:t>a subsidiary of Hyundai Motor Company, a South Korean automobile company</w:t>
      </w:r>
      <w:r w:rsidR="0048072C">
        <w:rPr>
          <w:lang w:val="en-GB"/>
        </w:rPr>
        <w:t>—</w:t>
      </w:r>
      <w:r w:rsidRPr="002B43C8">
        <w:rPr>
          <w:lang w:val="en-GB"/>
        </w:rPr>
        <w:t>entered the Indian market in 1996. In 1998</w:t>
      </w:r>
      <w:r w:rsidR="0048072C">
        <w:rPr>
          <w:lang w:val="en-GB"/>
        </w:rPr>
        <w:t>,</w:t>
      </w:r>
      <w:r w:rsidRPr="002B43C8">
        <w:rPr>
          <w:lang w:val="en-GB"/>
        </w:rPr>
        <w:t xml:space="preserve"> </w:t>
      </w:r>
      <w:r w:rsidR="0048072C">
        <w:rPr>
          <w:lang w:val="en-GB"/>
        </w:rPr>
        <w:t>the firm</w:t>
      </w:r>
      <w:r w:rsidRPr="002B43C8">
        <w:rPr>
          <w:lang w:val="en-GB"/>
        </w:rPr>
        <w:t xml:space="preserve"> launched its first car, the Santro, which was positioned as a </w:t>
      </w:r>
      <w:r w:rsidR="00157E3E">
        <w:rPr>
          <w:lang w:val="en-GB"/>
        </w:rPr>
        <w:t>“</w:t>
      </w:r>
      <w:r w:rsidRPr="002B43C8">
        <w:rPr>
          <w:lang w:val="en-GB"/>
        </w:rPr>
        <w:t>tall car</w:t>
      </w:r>
      <w:r w:rsidR="001A3E09">
        <w:rPr>
          <w:lang w:val="en-GB"/>
        </w:rPr>
        <w:t>,</w:t>
      </w:r>
      <w:r w:rsidR="00157E3E">
        <w:rPr>
          <w:lang w:val="en-GB"/>
        </w:rPr>
        <w:t>”</w:t>
      </w:r>
      <w:r w:rsidR="00E323B0">
        <w:rPr>
          <w:lang w:val="en-GB"/>
        </w:rPr>
        <w:t xml:space="preserve"> </w:t>
      </w:r>
      <w:r w:rsidR="00D80B59">
        <w:rPr>
          <w:lang w:val="en-GB"/>
        </w:rPr>
        <w:t>mean</w:t>
      </w:r>
      <w:r w:rsidR="001A3E09">
        <w:rPr>
          <w:lang w:val="en-GB"/>
        </w:rPr>
        <w:t>ing</w:t>
      </w:r>
      <w:r w:rsidR="00D80B59">
        <w:rPr>
          <w:lang w:val="en-GB"/>
        </w:rPr>
        <w:t xml:space="preserve"> it had enough headroom</w:t>
      </w:r>
      <w:r w:rsidR="006B399E">
        <w:rPr>
          <w:lang w:val="en-GB"/>
        </w:rPr>
        <w:t xml:space="preserve"> </w:t>
      </w:r>
      <w:r w:rsidR="001A3E09">
        <w:rPr>
          <w:lang w:val="en-GB"/>
        </w:rPr>
        <w:t xml:space="preserve">for one </w:t>
      </w:r>
      <w:r w:rsidR="006B399E">
        <w:rPr>
          <w:lang w:val="en-GB"/>
        </w:rPr>
        <w:t xml:space="preserve">to enter </w:t>
      </w:r>
      <w:r w:rsidR="00FF193B">
        <w:rPr>
          <w:lang w:val="en-GB"/>
        </w:rPr>
        <w:t xml:space="preserve">or </w:t>
      </w:r>
      <w:r w:rsidR="001A3E09">
        <w:rPr>
          <w:lang w:val="en-GB"/>
        </w:rPr>
        <w:t xml:space="preserve">exit </w:t>
      </w:r>
      <w:r w:rsidR="006B399E">
        <w:rPr>
          <w:lang w:val="en-GB"/>
        </w:rPr>
        <w:t>the car</w:t>
      </w:r>
      <w:r w:rsidR="001A3E09">
        <w:rPr>
          <w:lang w:val="en-GB"/>
        </w:rPr>
        <w:t xml:space="preserve"> easily</w:t>
      </w:r>
      <w:r w:rsidR="00D80B59">
        <w:rPr>
          <w:lang w:val="en-GB"/>
        </w:rPr>
        <w:t>.</w:t>
      </w:r>
      <w:r w:rsidRPr="002B43C8">
        <w:rPr>
          <w:lang w:val="en-GB"/>
        </w:rPr>
        <w:t xml:space="preserve"> </w:t>
      </w:r>
      <w:r w:rsidR="00252DAF">
        <w:rPr>
          <w:lang w:val="en-GB"/>
        </w:rPr>
        <w:t>Hyundai</w:t>
      </w:r>
      <w:r w:rsidRPr="002B43C8">
        <w:rPr>
          <w:lang w:val="en-GB"/>
        </w:rPr>
        <w:t xml:space="preserve"> focus</w:t>
      </w:r>
      <w:r w:rsidR="0048072C">
        <w:rPr>
          <w:lang w:val="en-GB"/>
        </w:rPr>
        <w:t>ed</w:t>
      </w:r>
      <w:r w:rsidRPr="002B43C8">
        <w:rPr>
          <w:lang w:val="en-GB"/>
        </w:rPr>
        <w:t xml:space="preserve"> on comfort, features, and fuel economy. In 2015</w:t>
      </w:r>
      <w:r w:rsidR="0048072C">
        <w:rPr>
          <w:lang w:val="en-GB"/>
        </w:rPr>
        <w:t>,</w:t>
      </w:r>
      <w:r w:rsidRPr="002B43C8">
        <w:rPr>
          <w:lang w:val="en-GB"/>
        </w:rPr>
        <w:t xml:space="preserve"> it was the second-largest car manufacturer due to its presence in the small, sedan</w:t>
      </w:r>
      <w:r w:rsidR="0048072C">
        <w:rPr>
          <w:lang w:val="en-GB"/>
        </w:rPr>
        <w:t>,</w:t>
      </w:r>
      <w:r w:rsidRPr="002B43C8">
        <w:rPr>
          <w:lang w:val="en-GB"/>
        </w:rPr>
        <w:t xml:space="preserve"> and luxury car segments. In 2015</w:t>
      </w:r>
      <w:r w:rsidR="0048072C">
        <w:rPr>
          <w:lang w:val="en-GB"/>
        </w:rPr>
        <w:t>,</w:t>
      </w:r>
      <w:r w:rsidRPr="002B43C8">
        <w:rPr>
          <w:lang w:val="en-GB"/>
        </w:rPr>
        <w:t xml:space="preserve"> its main models were the Eon (</w:t>
      </w:r>
      <w:r w:rsidR="0048072C">
        <w:rPr>
          <w:lang w:val="en-GB"/>
        </w:rPr>
        <w:t xml:space="preserve">an </w:t>
      </w:r>
      <w:r w:rsidRPr="002B43C8">
        <w:rPr>
          <w:lang w:val="en-GB"/>
        </w:rPr>
        <w:t>entry-level car), i10</w:t>
      </w:r>
      <w:r w:rsidR="0048072C">
        <w:rPr>
          <w:lang w:val="en-GB"/>
        </w:rPr>
        <w:t>,</w:t>
      </w:r>
      <w:r w:rsidRPr="002B43C8">
        <w:rPr>
          <w:lang w:val="en-GB"/>
        </w:rPr>
        <w:t xml:space="preserve"> Grand i10, Elite i20</w:t>
      </w:r>
      <w:r w:rsidR="0048072C">
        <w:rPr>
          <w:lang w:val="en-GB"/>
        </w:rPr>
        <w:t>,</w:t>
      </w:r>
      <w:r w:rsidRPr="002B43C8">
        <w:rPr>
          <w:lang w:val="en-GB"/>
        </w:rPr>
        <w:t xml:space="preserve"> and i20 in the hatchback category; the Active, Xcent, Verna, and Elantra in the sedan category; and the Santa Fe and C</w:t>
      </w:r>
      <w:r w:rsidR="0048072C">
        <w:rPr>
          <w:lang w:val="en-GB"/>
        </w:rPr>
        <w:t>reta</w:t>
      </w:r>
      <w:r w:rsidRPr="002B43C8">
        <w:rPr>
          <w:lang w:val="en-GB"/>
        </w:rPr>
        <w:t xml:space="preserve"> </w:t>
      </w:r>
      <w:r w:rsidR="0048072C">
        <w:rPr>
          <w:lang w:val="en-GB"/>
        </w:rPr>
        <w:t xml:space="preserve">in the </w:t>
      </w:r>
      <w:r w:rsidR="003C0405">
        <w:rPr>
          <w:lang w:val="en-GB"/>
        </w:rPr>
        <w:t>utility vehicles</w:t>
      </w:r>
      <w:r w:rsidR="0048072C">
        <w:rPr>
          <w:lang w:val="en-GB"/>
        </w:rPr>
        <w:t xml:space="preserve"> category</w:t>
      </w:r>
      <w:r w:rsidRPr="002B43C8">
        <w:rPr>
          <w:lang w:val="en-GB"/>
        </w:rPr>
        <w:t>.</w:t>
      </w:r>
      <w:r w:rsidRPr="002B43C8">
        <w:rPr>
          <w:rStyle w:val="FootnoteReference"/>
          <w:lang w:val="en-GB"/>
        </w:rPr>
        <w:footnoteReference w:id="7"/>
      </w:r>
      <w:r w:rsidRPr="002B43C8">
        <w:rPr>
          <w:lang w:val="en-GB"/>
        </w:rPr>
        <w:t xml:space="preserve"> </w:t>
      </w:r>
      <w:r w:rsidR="00252DAF">
        <w:rPr>
          <w:lang w:val="en-GB"/>
        </w:rPr>
        <w:t>Hyundai</w:t>
      </w:r>
      <w:r w:rsidRPr="002B43C8">
        <w:rPr>
          <w:lang w:val="en-GB"/>
        </w:rPr>
        <w:t xml:space="preserve"> started to shift its focus from exports to the domestic market by launching new products, growing the number of </w:t>
      </w:r>
      <w:r w:rsidR="00274415">
        <w:rPr>
          <w:lang w:val="en-GB"/>
        </w:rPr>
        <w:t xml:space="preserve">its </w:t>
      </w:r>
      <w:r w:rsidRPr="002B43C8">
        <w:rPr>
          <w:lang w:val="en-GB"/>
        </w:rPr>
        <w:t>dealerships, and entering new markets.</w:t>
      </w:r>
    </w:p>
    <w:p w14:paraId="17719D96" w14:textId="77777777" w:rsidR="00D916DA" w:rsidRPr="00EA13C5" w:rsidRDefault="00D916DA" w:rsidP="00C8508B">
      <w:pPr>
        <w:pStyle w:val="BodyTextMain"/>
        <w:rPr>
          <w:sz w:val="20"/>
          <w:szCs w:val="20"/>
          <w:lang w:val="en-GB"/>
        </w:rPr>
      </w:pPr>
    </w:p>
    <w:p w14:paraId="2087D527" w14:textId="77777777" w:rsidR="00A91FBB" w:rsidRPr="00EA13C5" w:rsidRDefault="00A91FBB" w:rsidP="00C8508B">
      <w:pPr>
        <w:pStyle w:val="BodyTextMain"/>
        <w:rPr>
          <w:sz w:val="20"/>
          <w:szCs w:val="20"/>
          <w:lang w:val="en-GB"/>
        </w:rPr>
      </w:pPr>
    </w:p>
    <w:p w14:paraId="2899DC2F" w14:textId="4EC6BDBF" w:rsidR="00D916DA" w:rsidRPr="00D1669C" w:rsidRDefault="000735FF" w:rsidP="00A91FBB">
      <w:pPr>
        <w:pStyle w:val="Casehead3"/>
        <w:keepNext/>
        <w:rPr>
          <w:lang w:val="en-GB"/>
        </w:rPr>
      </w:pPr>
      <w:r w:rsidRPr="002141C0">
        <w:rPr>
          <w:lang w:val="en-GB"/>
        </w:rPr>
        <w:t>Honda Cars India Ltd</w:t>
      </w:r>
      <w:r w:rsidRPr="00D916DA">
        <w:rPr>
          <w:lang w:val="en-GB"/>
        </w:rPr>
        <w:t xml:space="preserve"> </w:t>
      </w:r>
    </w:p>
    <w:p w14:paraId="016193D9" w14:textId="77777777" w:rsidR="00D916DA" w:rsidRPr="00EA13C5" w:rsidRDefault="00D916DA" w:rsidP="00A91FBB">
      <w:pPr>
        <w:pStyle w:val="BodyTextMain"/>
        <w:keepNext/>
        <w:rPr>
          <w:sz w:val="20"/>
          <w:szCs w:val="20"/>
          <w:lang w:val="en-GB"/>
        </w:rPr>
      </w:pPr>
    </w:p>
    <w:p w14:paraId="01B92230" w14:textId="3ED13226" w:rsidR="000735FF" w:rsidRPr="002B43C8" w:rsidRDefault="000735FF" w:rsidP="00A91FBB">
      <w:pPr>
        <w:pStyle w:val="BodyTextMain"/>
        <w:keepNext/>
        <w:rPr>
          <w:lang w:val="en-GB"/>
        </w:rPr>
      </w:pPr>
      <w:r w:rsidRPr="002B43C8">
        <w:rPr>
          <w:lang w:val="en-GB"/>
        </w:rPr>
        <w:t>Honda</w:t>
      </w:r>
      <w:r w:rsidR="00B11B5F">
        <w:rPr>
          <w:lang w:val="en-GB"/>
        </w:rPr>
        <w:t xml:space="preserve"> </w:t>
      </w:r>
      <w:r w:rsidRPr="002B43C8">
        <w:rPr>
          <w:lang w:val="en-GB"/>
        </w:rPr>
        <w:t xml:space="preserve">entered the Indian market in 1995. It was a joint venture </w:t>
      </w:r>
      <w:r w:rsidR="0048072C">
        <w:rPr>
          <w:lang w:val="en-GB"/>
        </w:rPr>
        <w:t xml:space="preserve">between </w:t>
      </w:r>
      <w:r w:rsidRPr="002B43C8">
        <w:rPr>
          <w:lang w:val="en-GB"/>
        </w:rPr>
        <w:t>Honda Motor Company</w:t>
      </w:r>
      <w:r w:rsidR="00B11B5F">
        <w:rPr>
          <w:lang w:val="en-GB"/>
        </w:rPr>
        <w:t>,</w:t>
      </w:r>
      <w:r w:rsidR="00B11B5F" w:rsidRPr="00B11B5F">
        <w:rPr>
          <w:lang w:val="en-GB"/>
        </w:rPr>
        <w:t xml:space="preserve"> </w:t>
      </w:r>
      <w:r w:rsidR="00B11B5F" w:rsidRPr="002B43C8">
        <w:rPr>
          <w:lang w:val="en-GB"/>
        </w:rPr>
        <w:t xml:space="preserve">a Tokyo-based Japanese </w:t>
      </w:r>
      <w:r w:rsidR="00B11B5F">
        <w:rPr>
          <w:lang w:val="en-GB"/>
        </w:rPr>
        <w:t>car maker</w:t>
      </w:r>
      <w:r w:rsidR="00B11B5F" w:rsidRPr="002B43C8">
        <w:rPr>
          <w:lang w:val="en-GB"/>
        </w:rPr>
        <w:t xml:space="preserve">, </w:t>
      </w:r>
      <w:r w:rsidRPr="002B43C8">
        <w:rPr>
          <w:lang w:val="en-GB"/>
        </w:rPr>
        <w:t xml:space="preserve">and Usha International of Siddharth Shriram Group, which later </w:t>
      </w:r>
      <w:r w:rsidRPr="002B43C8">
        <w:rPr>
          <w:lang w:val="en-GB"/>
        </w:rPr>
        <w:lastRenderedPageBreak/>
        <w:t xml:space="preserve">became </w:t>
      </w:r>
      <w:r w:rsidR="00B11B5F">
        <w:rPr>
          <w:lang w:val="en-GB"/>
        </w:rPr>
        <w:t xml:space="preserve">a </w:t>
      </w:r>
      <w:r w:rsidRPr="002B43C8">
        <w:rPr>
          <w:lang w:val="en-GB"/>
        </w:rPr>
        <w:t>100</w:t>
      </w:r>
      <w:r w:rsidR="005E6166">
        <w:rPr>
          <w:lang w:val="en-GB"/>
        </w:rPr>
        <w:t xml:space="preserve"> per cent</w:t>
      </w:r>
      <w:r w:rsidRPr="002B43C8">
        <w:rPr>
          <w:lang w:val="en-GB"/>
        </w:rPr>
        <w:t xml:space="preserve"> subsidiary of </w:t>
      </w:r>
      <w:r w:rsidR="0048072C" w:rsidRPr="002B43C8">
        <w:rPr>
          <w:lang w:val="en-GB"/>
        </w:rPr>
        <w:t>Honda Motor Company</w:t>
      </w:r>
      <w:r w:rsidR="00517BEB">
        <w:rPr>
          <w:lang w:val="en-GB"/>
        </w:rPr>
        <w:t>,</w:t>
      </w:r>
      <w:r w:rsidRPr="002B43C8">
        <w:rPr>
          <w:lang w:val="en-GB"/>
        </w:rPr>
        <w:t xml:space="preserve"> and </w:t>
      </w:r>
      <w:r w:rsidR="00517BEB">
        <w:rPr>
          <w:lang w:val="en-GB"/>
        </w:rPr>
        <w:t xml:space="preserve">ultimately became </w:t>
      </w:r>
      <w:r w:rsidR="004F1CCD">
        <w:rPr>
          <w:lang w:val="en-GB"/>
        </w:rPr>
        <w:t>Honda</w:t>
      </w:r>
      <w:r w:rsidR="00517BEB">
        <w:rPr>
          <w:lang w:val="en-GB"/>
        </w:rPr>
        <w:t>.</w:t>
      </w:r>
      <w:r w:rsidRPr="002B43C8">
        <w:rPr>
          <w:lang w:val="en-GB"/>
        </w:rPr>
        <w:t xml:space="preserve"> </w:t>
      </w:r>
      <w:r w:rsidR="004F1CCD">
        <w:rPr>
          <w:lang w:val="en-GB"/>
        </w:rPr>
        <w:t>Honda</w:t>
      </w:r>
      <w:r w:rsidRPr="002B43C8">
        <w:rPr>
          <w:lang w:val="en-GB"/>
        </w:rPr>
        <w:t xml:space="preserve"> was the first company to enter India with a sedan, the Honda City, which was highly successful in the late 1990s. Later</w:t>
      </w:r>
      <w:r w:rsidR="00517BEB">
        <w:rPr>
          <w:lang w:val="en-GB"/>
        </w:rPr>
        <w:t>,</w:t>
      </w:r>
      <w:r w:rsidRPr="002B43C8">
        <w:rPr>
          <w:lang w:val="en-GB"/>
        </w:rPr>
        <w:t xml:space="preserve"> </w:t>
      </w:r>
      <w:r w:rsidR="00517BEB">
        <w:rPr>
          <w:lang w:val="en-GB"/>
        </w:rPr>
        <w:t>the firm</w:t>
      </w:r>
      <w:r w:rsidRPr="002B43C8">
        <w:rPr>
          <w:lang w:val="en-GB"/>
        </w:rPr>
        <w:t xml:space="preserve"> launched sedans like the Honda Accord and Honda Civic. </w:t>
      </w:r>
      <w:r w:rsidR="00517BEB">
        <w:rPr>
          <w:lang w:val="en-GB"/>
        </w:rPr>
        <w:t>In the late 2000s,</w:t>
      </w:r>
      <w:r w:rsidRPr="002B43C8">
        <w:rPr>
          <w:lang w:val="en-GB"/>
        </w:rPr>
        <w:t xml:space="preserve"> </w:t>
      </w:r>
      <w:r w:rsidR="00517BEB">
        <w:rPr>
          <w:lang w:val="en-GB"/>
        </w:rPr>
        <w:t xml:space="preserve">it </w:t>
      </w:r>
      <w:r w:rsidRPr="002B43C8">
        <w:rPr>
          <w:lang w:val="en-GB"/>
        </w:rPr>
        <w:t xml:space="preserve">entered the hatchback segment with the Honda Brio and Honda Jazz. </w:t>
      </w:r>
      <w:r w:rsidR="004F1CCD">
        <w:rPr>
          <w:lang w:val="en-GB"/>
        </w:rPr>
        <w:t>Honda</w:t>
      </w:r>
      <w:r w:rsidRPr="002B43C8">
        <w:rPr>
          <w:lang w:val="en-GB"/>
        </w:rPr>
        <w:t xml:space="preserve"> had a diversified portfolio</w:t>
      </w:r>
      <w:r w:rsidR="00274415">
        <w:rPr>
          <w:lang w:val="en-GB"/>
        </w:rPr>
        <w:t>,</w:t>
      </w:r>
      <w:r w:rsidRPr="002B43C8">
        <w:rPr>
          <w:lang w:val="en-GB"/>
        </w:rPr>
        <w:t xml:space="preserve"> with sedans (</w:t>
      </w:r>
      <w:r w:rsidR="00517BEB">
        <w:rPr>
          <w:lang w:val="en-GB"/>
        </w:rPr>
        <w:t xml:space="preserve">the </w:t>
      </w:r>
      <w:r w:rsidRPr="002B43C8">
        <w:rPr>
          <w:lang w:val="en-GB"/>
        </w:rPr>
        <w:t>City, Civic, Accord, and Amaze), hatchback</w:t>
      </w:r>
      <w:r w:rsidR="00517BEB">
        <w:rPr>
          <w:lang w:val="en-GB"/>
        </w:rPr>
        <w:t>s</w:t>
      </w:r>
      <w:r w:rsidRPr="002B43C8">
        <w:rPr>
          <w:lang w:val="en-GB"/>
        </w:rPr>
        <w:t xml:space="preserve"> (</w:t>
      </w:r>
      <w:r w:rsidR="00517BEB">
        <w:rPr>
          <w:lang w:val="en-GB"/>
        </w:rPr>
        <w:t xml:space="preserve">the </w:t>
      </w:r>
      <w:r w:rsidRPr="002B43C8">
        <w:rPr>
          <w:lang w:val="en-GB"/>
        </w:rPr>
        <w:t xml:space="preserve">Brio and Jazz), </w:t>
      </w:r>
      <w:r w:rsidR="007E1435">
        <w:rPr>
          <w:lang w:val="en-GB"/>
        </w:rPr>
        <w:t>utility vehicles</w:t>
      </w:r>
      <w:r w:rsidRPr="002B43C8">
        <w:rPr>
          <w:lang w:val="en-GB"/>
        </w:rPr>
        <w:t xml:space="preserve"> (</w:t>
      </w:r>
      <w:r w:rsidR="00517BEB">
        <w:rPr>
          <w:lang w:val="en-GB"/>
        </w:rPr>
        <w:t xml:space="preserve">the </w:t>
      </w:r>
      <w:r w:rsidRPr="002B43C8">
        <w:rPr>
          <w:lang w:val="en-GB"/>
        </w:rPr>
        <w:t>Mobilio) and compact crossover</w:t>
      </w:r>
      <w:r w:rsidR="007E1435">
        <w:rPr>
          <w:lang w:val="en-GB"/>
        </w:rPr>
        <w:t>s</w:t>
      </w:r>
      <w:r w:rsidRPr="002B43C8">
        <w:rPr>
          <w:lang w:val="en-GB"/>
        </w:rPr>
        <w:t xml:space="preserve"> (</w:t>
      </w:r>
      <w:r w:rsidR="007E1435">
        <w:rPr>
          <w:lang w:val="en-GB"/>
        </w:rPr>
        <w:t xml:space="preserve">the </w:t>
      </w:r>
      <w:r w:rsidRPr="002B43C8">
        <w:rPr>
          <w:lang w:val="en-GB"/>
        </w:rPr>
        <w:t>CR</w:t>
      </w:r>
      <w:r w:rsidR="00274415">
        <w:rPr>
          <w:lang w:val="en-GB"/>
        </w:rPr>
        <w:t>-</w:t>
      </w:r>
      <w:r w:rsidRPr="002B43C8">
        <w:rPr>
          <w:lang w:val="en-GB"/>
        </w:rPr>
        <w:t>V). The</w:t>
      </w:r>
      <w:r w:rsidR="007E1435">
        <w:rPr>
          <w:lang w:val="en-GB"/>
        </w:rPr>
        <w:t xml:space="preserve"> company’s</w:t>
      </w:r>
      <w:r w:rsidRPr="002B43C8">
        <w:rPr>
          <w:lang w:val="en-GB"/>
        </w:rPr>
        <w:t xml:space="preserve"> highest-selling models were the City, Accord, and Civic. </w:t>
      </w:r>
      <w:r w:rsidR="004F1CCD">
        <w:rPr>
          <w:lang w:val="en-GB"/>
        </w:rPr>
        <w:t>Honda</w:t>
      </w:r>
      <w:r w:rsidRPr="002B43C8">
        <w:rPr>
          <w:lang w:val="en-GB"/>
        </w:rPr>
        <w:t xml:space="preserve"> saw its highest annual domestic sales during FY2014–15, recording 41</w:t>
      </w:r>
      <w:r w:rsidR="005E6166">
        <w:rPr>
          <w:lang w:val="en-GB"/>
        </w:rPr>
        <w:t xml:space="preserve"> per cent</w:t>
      </w:r>
      <w:r w:rsidRPr="002B43C8">
        <w:rPr>
          <w:lang w:val="en-GB"/>
        </w:rPr>
        <w:t xml:space="preserve"> growth compared to </w:t>
      </w:r>
      <w:r w:rsidR="007E1435">
        <w:rPr>
          <w:lang w:val="en-GB"/>
        </w:rPr>
        <w:t>the preceding year</w:t>
      </w:r>
      <w:r w:rsidRPr="002B43C8">
        <w:rPr>
          <w:lang w:val="en-GB"/>
        </w:rPr>
        <w:t>.</w:t>
      </w:r>
      <w:r w:rsidRPr="002B43C8">
        <w:rPr>
          <w:rStyle w:val="FootnoteReference"/>
          <w:lang w:val="en-GB"/>
        </w:rPr>
        <w:footnoteReference w:id="8"/>
      </w:r>
      <w:r w:rsidRPr="002B43C8">
        <w:rPr>
          <w:vertAlign w:val="superscript"/>
          <w:lang w:val="en-GB"/>
        </w:rPr>
        <w:t xml:space="preserve"> </w:t>
      </w:r>
    </w:p>
    <w:p w14:paraId="366139D2" w14:textId="77777777" w:rsidR="000735FF" w:rsidRPr="00EA13C5" w:rsidRDefault="000735FF" w:rsidP="00C8508B">
      <w:pPr>
        <w:pStyle w:val="BodyTextMain"/>
        <w:rPr>
          <w:sz w:val="18"/>
          <w:szCs w:val="18"/>
          <w:lang w:val="en-GB"/>
        </w:rPr>
      </w:pPr>
    </w:p>
    <w:p w14:paraId="6399397C" w14:textId="77777777" w:rsidR="00B77DBC" w:rsidRPr="00EA13C5" w:rsidRDefault="00B77DBC" w:rsidP="00C8508B">
      <w:pPr>
        <w:pStyle w:val="BodyTextMain"/>
        <w:rPr>
          <w:sz w:val="18"/>
          <w:szCs w:val="18"/>
          <w:lang w:val="en-GB"/>
        </w:rPr>
      </w:pPr>
    </w:p>
    <w:p w14:paraId="140F819F" w14:textId="7EE22593" w:rsidR="00B77DBC" w:rsidRPr="002141C0" w:rsidRDefault="000735FF" w:rsidP="00C8508B">
      <w:pPr>
        <w:pStyle w:val="BodyTextMain"/>
        <w:rPr>
          <w:u w:val="single"/>
          <w:lang w:val="en-GB"/>
        </w:rPr>
      </w:pPr>
      <w:r w:rsidRPr="002141C0">
        <w:rPr>
          <w:u w:val="single"/>
          <w:lang w:val="en-GB"/>
        </w:rPr>
        <w:t>Tata</w:t>
      </w:r>
      <w:r w:rsidR="00C17F44">
        <w:rPr>
          <w:u w:val="single"/>
          <w:lang w:val="en-GB"/>
        </w:rPr>
        <w:t xml:space="preserve"> Motors Limited</w:t>
      </w:r>
      <w:r w:rsidRPr="002141C0">
        <w:rPr>
          <w:u w:val="single"/>
          <w:lang w:val="en-GB"/>
        </w:rPr>
        <w:t xml:space="preserve"> </w:t>
      </w:r>
    </w:p>
    <w:p w14:paraId="31EC61B1" w14:textId="77777777" w:rsidR="00B77DBC" w:rsidRPr="00EA13C5" w:rsidRDefault="00B77DBC" w:rsidP="00C8508B">
      <w:pPr>
        <w:pStyle w:val="BodyTextMain"/>
        <w:rPr>
          <w:sz w:val="18"/>
          <w:szCs w:val="18"/>
          <w:lang w:val="en-GB"/>
        </w:rPr>
      </w:pPr>
    </w:p>
    <w:p w14:paraId="4AF3F17A" w14:textId="7600CAD2" w:rsidR="000735FF" w:rsidRPr="002B43C8" w:rsidRDefault="000735FF" w:rsidP="00C8508B">
      <w:pPr>
        <w:pStyle w:val="BodyTextMain"/>
        <w:rPr>
          <w:lang w:val="en-GB"/>
        </w:rPr>
      </w:pPr>
      <w:r w:rsidRPr="002B43C8">
        <w:rPr>
          <w:lang w:val="en-GB"/>
        </w:rPr>
        <w:t xml:space="preserve">Tata </w:t>
      </w:r>
      <w:r w:rsidR="00252DAF" w:rsidRPr="002B43C8">
        <w:rPr>
          <w:lang w:val="en-GB"/>
        </w:rPr>
        <w:t>was the largest Indian automobile company in 2014</w:t>
      </w:r>
      <w:r w:rsidR="00252DAF">
        <w:rPr>
          <w:lang w:val="en-GB"/>
        </w:rPr>
        <w:t>.</w:t>
      </w:r>
      <w:r w:rsidRPr="002B43C8">
        <w:rPr>
          <w:lang w:val="en-GB"/>
        </w:rPr>
        <w:t xml:space="preserve"> </w:t>
      </w:r>
      <w:r w:rsidR="00252DAF">
        <w:rPr>
          <w:lang w:val="en-GB"/>
        </w:rPr>
        <w:t xml:space="preserve">It </w:t>
      </w:r>
      <w:r w:rsidRPr="002B43C8">
        <w:rPr>
          <w:lang w:val="en-GB"/>
        </w:rPr>
        <w:t>produce</w:t>
      </w:r>
      <w:r w:rsidR="002004C5">
        <w:rPr>
          <w:lang w:val="en-GB"/>
        </w:rPr>
        <w:t>d</w:t>
      </w:r>
      <w:r w:rsidRPr="002B43C8">
        <w:rPr>
          <w:lang w:val="en-GB"/>
        </w:rPr>
        <w:t xml:space="preserve"> passenger and commercial vehicles, but</w:t>
      </w:r>
      <w:r w:rsidR="00252DAF">
        <w:rPr>
          <w:lang w:val="en-GB"/>
        </w:rPr>
        <w:t xml:space="preserve"> was best</w:t>
      </w:r>
      <w:r w:rsidRPr="002B43C8">
        <w:rPr>
          <w:lang w:val="en-GB"/>
        </w:rPr>
        <w:t xml:space="preserve"> known for its commercial vehicles</w:t>
      </w:r>
      <w:r w:rsidR="00252DAF">
        <w:rPr>
          <w:lang w:val="en-GB"/>
        </w:rPr>
        <w:t>.</w:t>
      </w:r>
      <w:r w:rsidRPr="002B43C8">
        <w:rPr>
          <w:lang w:val="en-GB"/>
        </w:rPr>
        <w:t xml:space="preserve"> In 1998</w:t>
      </w:r>
      <w:r w:rsidR="006367B5">
        <w:rPr>
          <w:lang w:val="en-GB"/>
        </w:rPr>
        <w:t>,</w:t>
      </w:r>
      <w:r w:rsidRPr="002B43C8">
        <w:rPr>
          <w:lang w:val="en-GB"/>
        </w:rPr>
        <w:t xml:space="preserve"> </w:t>
      </w:r>
      <w:r w:rsidR="006367B5">
        <w:rPr>
          <w:lang w:val="en-GB"/>
        </w:rPr>
        <w:t>Tata</w:t>
      </w:r>
      <w:r w:rsidRPr="002B43C8">
        <w:rPr>
          <w:lang w:val="en-GB"/>
        </w:rPr>
        <w:t xml:space="preserve"> launched the Safari</w:t>
      </w:r>
      <w:r w:rsidR="006367B5">
        <w:rPr>
          <w:lang w:val="en-GB"/>
        </w:rPr>
        <w:t xml:space="preserve"> (</w:t>
      </w:r>
      <w:r w:rsidRPr="002B43C8">
        <w:rPr>
          <w:lang w:val="en-GB"/>
        </w:rPr>
        <w:t xml:space="preserve">the first SUV </w:t>
      </w:r>
      <w:r w:rsidR="006367B5">
        <w:rPr>
          <w:lang w:val="en-GB"/>
        </w:rPr>
        <w:t>in</w:t>
      </w:r>
      <w:r w:rsidRPr="002B43C8">
        <w:rPr>
          <w:lang w:val="en-GB"/>
        </w:rPr>
        <w:t xml:space="preserve"> India</w:t>
      </w:r>
      <w:r w:rsidR="006367B5">
        <w:rPr>
          <w:lang w:val="en-GB"/>
        </w:rPr>
        <w:t>)</w:t>
      </w:r>
      <w:r w:rsidRPr="002B43C8">
        <w:rPr>
          <w:lang w:val="en-GB"/>
        </w:rPr>
        <w:t xml:space="preserve"> and</w:t>
      </w:r>
      <w:r w:rsidR="006367B5">
        <w:rPr>
          <w:lang w:val="en-GB"/>
        </w:rPr>
        <w:t xml:space="preserve"> the</w:t>
      </w:r>
      <w:r w:rsidRPr="002B43C8">
        <w:rPr>
          <w:lang w:val="en-GB"/>
        </w:rPr>
        <w:t xml:space="preserve"> Indica</w:t>
      </w:r>
      <w:r w:rsidR="006367B5">
        <w:rPr>
          <w:lang w:val="en-GB"/>
        </w:rPr>
        <w:t xml:space="preserve"> (</w:t>
      </w:r>
      <w:r w:rsidRPr="002B43C8">
        <w:rPr>
          <w:lang w:val="en-GB"/>
        </w:rPr>
        <w:t>India’s first indigenous car</w:t>
      </w:r>
      <w:r w:rsidR="006367B5">
        <w:rPr>
          <w:lang w:val="en-GB"/>
        </w:rPr>
        <w:t>)</w:t>
      </w:r>
      <w:r w:rsidRPr="002B43C8">
        <w:rPr>
          <w:lang w:val="en-GB"/>
        </w:rPr>
        <w:t>, followed by</w:t>
      </w:r>
      <w:r w:rsidR="006367B5">
        <w:rPr>
          <w:lang w:val="en-GB"/>
        </w:rPr>
        <w:t xml:space="preserve"> the</w:t>
      </w:r>
      <w:r w:rsidRPr="002B43C8">
        <w:rPr>
          <w:lang w:val="en-GB"/>
        </w:rPr>
        <w:t xml:space="preserve"> indigenous sedan, the Indigo. In 2008</w:t>
      </w:r>
      <w:r w:rsidR="006367B5">
        <w:rPr>
          <w:lang w:val="en-GB"/>
        </w:rPr>
        <w:t>,</w:t>
      </w:r>
      <w:r w:rsidRPr="002B43C8">
        <w:rPr>
          <w:lang w:val="en-GB"/>
        </w:rPr>
        <w:t xml:space="preserve"> Tata’s acquisition of Jaguar Land Rover from Ford Motor Company marked its entry into the luxury segment. The launch of the Nano (hatchback) in 2009 offered something different to the Indian market, as it was the smallest and cheapest car available</w:t>
      </w:r>
      <w:r w:rsidR="004E3AF2">
        <w:rPr>
          <w:lang w:val="en-GB"/>
        </w:rPr>
        <w:t xml:space="preserve"> at the time.</w:t>
      </w:r>
      <w:r w:rsidRPr="002B43C8">
        <w:rPr>
          <w:lang w:val="en-GB"/>
        </w:rPr>
        <w:t xml:space="preserve"> </w:t>
      </w:r>
      <w:r w:rsidR="004E3AF2">
        <w:rPr>
          <w:lang w:val="en-GB"/>
        </w:rPr>
        <w:t>However,</w:t>
      </w:r>
      <w:r w:rsidRPr="002B43C8">
        <w:rPr>
          <w:lang w:val="en-GB"/>
        </w:rPr>
        <w:t xml:space="preserve"> the Nano did</w:t>
      </w:r>
      <w:r w:rsidR="004E3AF2">
        <w:rPr>
          <w:lang w:val="en-GB"/>
        </w:rPr>
        <w:t xml:space="preserve"> </w:t>
      </w:r>
      <w:r w:rsidRPr="002B43C8">
        <w:rPr>
          <w:lang w:val="en-GB"/>
        </w:rPr>
        <w:t>n</w:t>
      </w:r>
      <w:r w:rsidR="004E3AF2">
        <w:rPr>
          <w:lang w:val="en-GB"/>
        </w:rPr>
        <w:t>o</w:t>
      </w:r>
      <w:r w:rsidRPr="002B43C8">
        <w:rPr>
          <w:lang w:val="en-GB"/>
        </w:rPr>
        <w:t>t perform as</w:t>
      </w:r>
      <w:r w:rsidR="004E3AF2">
        <w:rPr>
          <w:lang w:val="en-GB"/>
        </w:rPr>
        <w:t xml:space="preserve"> well as</w:t>
      </w:r>
      <w:r w:rsidRPr="002B43C8">
        <w:rPr>
          <w:lang w:val="en-GB"/>
        </w:rPr>
        <w:t xml:space="preserve"> expected in the market. </w:t>
      </w:r>
      <w:r w:rsidR="004E3AF2">
        <w:rPr>
          <w:lang w:val="en-GB"/>
        </w:rPr>
        <w:t>Tata</w:t>
      </w:r>
      <w:r w:rsidRPr="002B43C8">
        <w:rPr>
          <w:lang w:val="en-GB"/>
        </w:rPr>
        <w:t xml:space="preserve"> also launched a crossover, the Aria, in 2010, and thus had at least one car in each segment by 2010. In 2015</w:t>
      </w:r>
      <w:r w:rsidR="004E3AF2">
        <w:rPr>
          <w:lang w:val="en-GB"/>
        </w:rPr>
        <w:t>,</w:t>
      </w:r>
      <w:r w:rsidRPr="002B43C8">
        <w:rPr>
          <w:lang w:val="en-GB"/>
        </w:rPr>
        <w:t xml:space="preserve"> Tata’s car portfolio included the hatchback-like Nano, Indica Vista, India eV2, and Bolt; sedans such as the Indigo, Zest, and Manza; SUVs like the Safari Storme, Sumo Gold, Sumo Grand, and Aria; and luxury cars from Jaguar and Land Rover.</w:t>
      </w:r>
      <w:r w:rsidRPr="002B43C8">
        <w:rPr>
          <w:rStyle w:val="FootnoteReference"/>
          <w:lang w:val="en-GB"/>
        </w:rPr>
        <w:footnoteReference w:id="9"/>
      </w:r>
    </w:p>
    <w:p w14:paraId="0B83AB0B" w14:textId="77777777" w:rsidR="000735FF" w:rsidRPr="00EA13C5" w:rsidRDefault="000735FF" w:rsidP="00C8508B">
      <w:pPr>
        <w:pStyle w:val="BodyTextMain"/>
        <w:rPr>
          <w:sz w:val="18"/>
          <w:szCs w:val="18"/>
          <w:lang w:val="en-GB"/>
        </w:rPr>
      </w:pPr>
    </w:p>
    <w:p w14:paraId="7449DCF3" w14:textId="77777777" w:rsidR="00B77DBC" w:rsidRPr="00EA13C5" w:rsidRDefault="00B77DBC" w:rsidP="00C8508B">
      <w:pPr>
        <w:pStyle w:val="BodyTextMain"/>
        <w:rPr>
          <w:sz w:val="18"/>
          <w:szCs w:val="18"/>
          <w:lang w:val="en-GB"/>
        </w:rPr>
      </w:pPr>
    </w:p>
    <w:p w14:paraId="083F31E7" w14:textId="7C6187F4" w:rsidR="00B77DBC" w:rsidRPr="002141C0" w:rsidRDefault="000735FF" w:rsidP="00C8508B">
      <w:pPr>
        <w:pStyle w:val="BodyTextMain"/>
        <w:rPr>
          <w:u w:val="single"/>
          <w:lang w:val="en-GB"/>
        </w:rPr>
      </w:pPr>
      <w:r w:rsidRPr="002141C0">
        <w:rPr>
          <w:u w:val="single"/>
          <w:lang w:val="en-GB"/>
        </w:rPr>
        <w:t>Mahindra and Mahindra</w:t>
      </w:r>
      <w:r w:rsidR="00B77DBC">
        <w:rPr>
          <w:u w:val="single"/>
          <w:lang w:val="en-GB"/>
        </w:rPr>
        <w:t xml:space="preserve"> Limited</w:t>
      </w:r>
    </w:p>
    <w:p w14:paraId="2FB2AAA9" w14:textId="77777777" w:rsidR="00B77DBC" w:rsidRPr="00EA13C5" w:rsidRDefault="00B77DBC" w:rsidP="00C8508B">
      <w:pPr>
        <w:pStyle w:val="BodyTextMain"/>
        <w:rPr>
          <w:sz w:val="18"/>
          <w:szCs w:val="18"/>
          <w:lang w:val="en-GB"/>
        </w:rPr>
      </w:pPr>
    </w:p>
    <w:p w14:paraId="554570AE" w14:textId="2C20C580" w:rsidR="000735FF" w:rsidRPr="002B43C8" w:rsidRDefault="000735FF" w:rsidP="00C8508B">
      <w:pPr>
        <w:pStyle w:val="BodyTextMain"/>
        <w:rPr>
          <w:lang w:val="en-GB"/>
        </w:rPr>
      </w:pPr>
      <w:r w:rsidRPr="002B43C8">
        <w:rPr>
          <w:lang w:val="en-GB"/>
        </w:rPr>
        <w:t>Mahindra</w:t>
      </w:r>
      <w:r w:rsidR="002004C5">
        <w:rPr>
          <w:lang w:val="en-GB"/>
        </w:rPr>
        <w:t>,</w:t>
      </w:r>
      <w:r w:rsidRPr="002B43C8">
        <w:rPr>
          <w:lang w:val="en-GB"/>
        </w:rPr>
        <w:t xml:space="preserve"> an Indian automobile maker, was India’s largest </w:t>
      </w:r>
      <w:r w:rsidR="00F03DF3">
        <w:rPr>
          <w:lang w:val="en-GB"/>
        </w:rPr>
        <w:t xml:space="preserve">utility </w:t>
      </w:r>
      <w:r w:rsidR="00442A30">
        <w:rPr>
          <w:lang w:val="en-GB"/>
        </w:rPr>
        <w:t>vehicles</w:t>
      </w:r>
      <w:r w:rsidRPr="002B43C8">
        <w:rPr>
          <w:lang w:val="en-GB"/>
        </w:rPr>
        <w:t xml:space="preserve"> maker and largest manufacturer of tractors. </w:t>
      </w:r>
      <w:r w:rsidR="00A66E82">
        <w:rPr>
          <w:lang w:val="en-GB"/>
        </w:rPr>
        <w:t>I</w:t>
      </w:r>
      <w:r w:rsidRPr="002B43C8">
        <w:rPr>
          <w:lang w:val="en-GB"/>
        </w:rPr>
        <w:t>n 2007</w:t>
      </w:r>
      <w:r w:rsidR="00A66E82">
        <w:rPr>
          <w:lang w:val="en-GB"/>
        </w:rPr>
        <w:t>, Mahindra used its joint venture with Renault</w:t>
      </w:r>
      <w:r w:rsidRPr="002B43C8">
        <w:rPr>
          <w:lang w:val="en-GB"/>
        </w:rPr>
        <w:t xml:space="preserve"> </w:t>
      </w:r>
      <w:r w:rsidR="00A66E82">
        <w:rPr>
          <w:lang w:val="en-GB"/>
        </w:rPr>
        <w:t xml:space="preserve">to </w:t>
      </w:r>
      <w:r w:rsidRPr="002B43C8">
        <w:rPr>
          <w:lang w:val="en-GB"/>
        </w:rPr>
        <w:t xml:space="preserve">launch its first sedan, the Logan, which was not successful. </w:t>
      </w:r>
      <w:r w:rsidR="00252DAF">
        <w:rPr>
          <w:lang w:val="en-GB"/>
        </w:rPr>
        <w:t>Mahindra</w:t>
      </w:r>
      <w:r w:rsidRPr="002B43C8">
        <w:rPr>
          <w:lang w:val="en-GB"/>
        </w:rPr>
        <w:t xml:space="preserve"> also bought Reva</w:t>
      </w:r>
      <w:r w:rsidR="000611A9">
        <w:rPr>
          <w:lang w:val="en-GB"/>
        </w:rPr>
        <w:t xml:space="preserve"> Electric Car Company</w:t>
      </w:r>
      <w:r w:rsidRPr="002B43C8">
        <w:rPr>
          <w:lang w:val="en-GB"/>
        </w:rPr>
        <w:t>, making it the only electric car manufacturer in India</w:t>
      </w:r>
      <w:r w:rsidR="000611A9">
        <w:rPr>
          <w:lang w:val="en-GB"/>
        </w:rPr>
        <w:t>.</w:t>
      </w:r>
      <w:r w:rsidRPr="004F5787">
        <w:rPr>
          <w:rStyle w:val="FootnoteReference"/>
          <w:lang w:val="en-GB"/>
        </w:rPr>
        <w:footnoteReference w:id="10"/>
      </w:r>
      <w:r w:rsidRPr="002B43C8">
        <w:rPr>
          <w:lang w:val="en-GB"/>
        </w:rPr>
        <w:t xml:space="preserve"> </w:t>
      </w:r>
      <w:r w:rsidR="006F4133">
        <w:rPr>
          <w:lang w:val="en-GB"/>
        </w:rPr>
        <w:t>The firm</w:t>
      </w:r>
      <w:r w:rsidRPr="002B43C8">
        <w:rPr>
          <w:lang w:val="en-GB"/>
        </w:rPr>
        <w:t xml:space="preserve"> launched its utility vehicles</w:t>
      </w:r>
      <w:r w:rsidR="000611A9">
        <w:rPr>
          <w:lang w:val="en-GB"/>
        </w:rPr>
        <w:t>, the</w:t>
      </w:r>
      <w:r w:rsidRPr="002B43C8">
        <w:rPr>
          <w:lang w:val="en-GB"/>
        </w:rPr>
        <w:t xml:space="preserve"> Bolero, Scorpio, </w:t>
      </w:r>
      <w:r w:rsidR="006F4133">
        <w:rPr>
          <w:lang w:val="en-GB"/>
        </w:rPr>
        <w:t xml:space="preserve">and </w:t>
      </w:r>
      <w:r w:rsidRPr="002B43C8">
        <w:rPr>
          <w:lang w:val="en-GB"/>
        </w:rPr>
        <w:t>Xylo</w:t>
      </w:r>
      <w:r w:rsidR="006F4133">
        <w:rPr>
          <w:lang w:val="en-GB"/>
        </w:rPr>
        <w:t>,</w:t>
      </w:r>
      <w:r w:rsidRPr="002B43C8">
        <w:rPr>
          <w:lang w:val="en-GB"/>
        </w:rPr>
        <w:t xml:space="preserve"> in </w:t>
      </w:r>
      <w:r w:rsidR="006F4133">
        <w:rPr>
          <w:lang w:val="en-GB"/>
        </w:rPr>
        <w:t xml:space="preserve">the </w:t>
      </w:r>
      <w:r w:rsidRPr="002B43C8">
        <w:rPr>
          <w:lang w:val="en-GB"/>
        </w:rPr>
        <w:t>2000s</w:t>
      </w:r>
      <w:r w:rsidR="006F4133">
        <w:rPr>
          <w:lang w:val="en-GB"/>
        </w:rPr>
        <w:t>,</w:t>
      </w:r>
      <w:r w:rsidRPr="002B43C8">
        <w:rPr>
          <w:lang w:val="en-GB"/>
        </w:rPr>
        <w:t xml:space="preserve"> capturing the highest share in the Indian utility vehicle</w:t>
      </w:r>
      <w:r w:rsidR="006F4133">
        <w:rPr>
          <w:lang w:val="en-GB"/>
        </w:rPr>
        <w:t xml:space="preserve"> market, and</w:t>
      </w:r>
      <w:r w:rsidRPr="002B43C8">
        <w:rPr>
          <w:lang w:val="en-GB"/>
        </w:rPr>
        <w:t xml:space="preserve"> </w:t>
      </w:r>
      <w:r w:rsidR="006F4133">
        <w:rPr>
          <w:lang w:val="en-GB"/>
        </w:rPr>
        <w:t>went on to</w:t>
      </w:r>
      <w:r w:rsidRPr="002B43C8">
        <w:rPr>
          <w:lang w:val="en-GB"/>
        </w:rPr>
        <w:t xml:space="preserve"> launch the XUV 500 in 2011, which reinforced </w:t>
      </w:r>
      <w:r w:rsidR="006F4133">
        <w:rPr>
          <w:lang w:val="en-GB"/>
        </w:rPr>
        <w:t>its</w:t>
      </w:r>
      <w:r w:rsidRPr="002B43C8">
        <w:rPr>
          <w:lang w:val="en-GB"/>
        </w:rPr>
        <w:t xml:space="preserve"> lead</w:t>
      </w:r>
      <w:r w:rsidR="006F4133">
        <w:rPr>
          <w:lang w:val="en-GB"/>
        </w:rPr>
        <w:t>ing position</w:t>
      </w:r>
      <w:r w:rsidRPr="002B43C8">
        <w:rPr>
          <w:lang w:val="en-GB"/>
        </w:rPr>
        <w:t xml:space="preserve"> in </w:t>
      </w:r>
      <w:r w:rsidR="006F4133">
        <w:rPr>
          <w:lang w:val="en-GB"/>
        </w:rPr>
        <w:t xml:space="preserve">this segment. </w:t>
      </w:r>
      <w:r w:rsidRPr="002B43C8">
        <w:rPr>
          <w:lang w:val="en-GB"/>
        </w:rPr>
        <w:t>By 2014</w:t>
      </w:r>
      <w:r w:rsidR="006F4133">
        <w:rPr>
          <w:lang w:val="en-GB"/>
        </w:rPr>
        <w:t>,</w:t>
      </w:r>
      <w:r w:rsidRPr="002B43C8">
        <w:rPr>
          <w:lang w:val="en-GB"/>
        </w:rPr>
        <w:t xml:space="preserve"> </w:t>
      </w:r>
      <w:r w:rsidR="00252DAF">
        <w:rPr>
          <w:lang w:val="en-GB"/>
        </w:rPr>
        <w:t>Mahindra</w:t>
      </w:r>
      <w:r w:rsidRPr="002B43C8">
        <w:rPr>
          <w:lang w:val="en-GB"/>
        </w:rPr>
        <w:t xml:space="preserve">’s Bolero was one of the </w:t>
      </w:r>
      <w:r w:rsidR="006F4133">
        <w:rPr>
          <w:lang w:val="en-GB"/>
        </w:rPr>
        <w:t>highest-selling</w:t>
      </w:r>
      <w:r w:rsidRPr="002B43C8">
        <w:rPr>
          <w:lang w:val="en-GB"/>
        </w:rPr>
        <w:t xml:space="preserve"> SUVs in the Indian market, selling around 8,900 units per month. </w:t>
      </w:r>
      <w:r w:rsidR="006F4133">
        <w:rPr>
          <w:lang w:val="en-GB"/>
        </w:rPr>
        <w:t xml:space="preserve">Because of these successes, </w:t>
      </w:r>
      <w:r w:rsidR="00252DAF">
        <w:rPr>
          <w:lang w:val="en-GB"/>
        </w:rPr>
        <w:t>Mahindra</w:t>
      </w:r>
      <w:r w:rsidRPr="002B43C8">
        <w:rPr>
          <w:lang w:val="en-GB"/>
        </w:rPr>
        <w:t xml:space="preserve"> was the leader in utility vehicles in </w:t>
      </w:r>
      <w:r w:rsidR="006F4133">
        <w:rPr>
          <w:lang w:val="en-GB"/>
        </w:rPr>
        <w:t>India from 2005 to 2015.</w:t>
      </w:r>
      <w:r w:rsidR="0053756A">
        <w:rPr>
          <w:rStyle w:val="FootnoteReference"/>
          <w:lang w:val="en-GB"/>
        </w:rPr>
        <w:footnoteReference w:id="11"/>
      </w:r>
    </w:p>
    <w:p w14:paraId="64009914" w14:textId="77777777" w:rsidR="000735FF" w:rsidRPr="00EA13C5" w:rsidRDefault="000735FF" w:rsidP="00C8508B">
      <w:pPr>
        <w:pStyle w:val="BodyTextMain"/>
        <w:rPr>
          <w:sz w:val="18"/>
          <w:szCs w:val="18"/>
          <w:lang w:val="en-GB"/>
        </w:rPr>
      </w:pPr>
    </w:p>
    <w:p w14:paraId="2567B150" w14:textId="77777777" w:rsidR="006F4133" w:rsidRPr="00EA13C5" w:rsidRDefault="006F4133" w:rsidP="00C8508B">
      <w:pPr>
        <w:pStyle w:val="BodyTextMain"/>
        <w:rPr>
          <w:sz w:val="18"/>
          <w:szCs w:val="18"/>
          <w:lang w:val="en-GB"/>
        </w:rPr>
      </w:pPr>
    </w:p>
    <w:p w14:paraId="16A46F30" w14:textId="5A06C6D1" w:rsidR="006F4133" w:rsidRDefault="006F4133" w:rsidP="00C8508B">
      <w:pPr>
        <w:pStyle w:val="BodyTextMain"/>
        <w:rPr>
          <w:lang w:val="en-GB"/>
        </w:rPr>
      </w:pPr>
      <w:r>
        <w:rPr>
          <w:u w:val="single"/>
          <w:lang w:val="en-GB"/>
        </w:rPr>
        <w:t xml:space="preserve">The </w:t>
      </w:r>
      <w:r w:rsidRPr="002141C0">
        <w:rPr>
          <w:u w:val="single"/>
          <w:lang w:val="en-GB"/>
        </w:rPr>
        <w:t>High-End/Luxury Segment</w:t>
      </w:r>
    </w:p>
    <w:p w14:paraId="3D4A49BF" w14:textId="77777777" w:rsidR="006F4133" w:rsidRPr="00EA13C5" w:rsidRDefault="006F4133" w:rsidP="00C8508B">
      <w:pPr>
        <w:pStyle w:val="BodyTextMain"/>
        <w:rPr>
          <w:sz w:val="18"/>
          <w:szCs w:val="18"/>
          <w:lang w:val="en-GB"/>
        </w:rPr>
      </w:pPr>
    </w:p>
    <w:p w14:paraId="05FD7441" w14:textId="1771CD75" w:rsidR="000735FF" w:rsidRPr="002B43C8" w:rsidRDefault="000735FF" w:rsidP="00C8508B">
      <w:pPr>
        <w:pStyle w:val="BodyTextMain"/>
        <w:rPr>
          <w:lang w:val="en-GB"/>
        </w:rPr>
      </w:pPr>
      <w:r w:rsidRPr="002B43C8">
        <w:rPr>
          <w:lang w:val="en-GB"/>
        </w:rPr>
        <w:t>The high-end</w:t>
      </w:r>
      <w:r w:rsidR="006F4133">
        <w:rPr>
          <w:lang w:val="en-GB"/>
        </w:rPr>
        <w:t>/</w:t>
      </w:r>
      <w:r w:rsidRPr="002B43C8">
        <w:rPr>
          <w:lang w:val="en-GB"/>
        </w:rPr>
        <w:t xml:space="preserve">luxury segment </w:t>
      </w:r>
      <w:r w:rsidR="009750A7">
        <w:rPr>
          <w:lang w:val="en-GB"/>
        </w:rPr>
        <w:t>auto</w:t>
      </w:r>
      <w:r w:rsidR="006F4133">
        <w:rPr>
          <w:lang w:val="en-GB"/>
        </w:rPr>
        <w:t>makers</w:t>
      </w:r>
      <w:r w:rsidRPr="002B43C8">
        <w:rPr>
          <w:lang w:val="en-GB"/>
        </w:rPr>
        <w:t xml:space="preserve"> in India</w:t>
      </w:r>
      <w:r w:rsidR="007B00AE">
        <w:rPr>
          <w:lang w:val="en-GB"/>
        </w:rPr>
        <w:t xml:space="preserve"> were</w:t>
      </w:r>
      <w:r w:rsidRPr="002B43C8">
        <w:rPr>
          <w:lang w:val="en-GB"/>
        </w:rPr>
        <w:t xml:space="preserve"> Audi Motors Pvt. Ltd., Mercedes-Benz India Pvt. Ltd., B</w:t>
      </w:r>
      <w:r w:rsidR="0033563F">
        <w:rPr>
          <w:lang w:val="en-GB"/>
        </w:rPr>
        <w:t>MW</w:t>
      </w:r>
      <w:r w:rsidRPr="002B43C8">
        <w:rPr>
          <w:lang w:val="en-GB"/>
        </w:rPr>
        <w:t xml:space="preserve"> India Pvt. Ltd., and</w:t>
      </w:r>
      <w:r w:rsidR="0033563F">
        <w:rPr>
          <w:lang w:val="en-GB"/>
        </w:rPr>
        <w:t xml:space="preserve"> (as noted)</w:t>
      </w:r>
      <w:r w:rsidRPr="002B43C8">
        <w:rPr>
          <w:lang w:val="en-GB"/>
        </w:rPr>
        <w:t xml:space="preserve"> Tata</w:t>
      </w:r>
      <w:r w:rsidR="0033563F">
        <w:rPr>
          <w:lang w:val="en-GB"/>
        </w:rPr>
        <w:t xml:space="preserve"> Jaguar Land Rover</w:t>
      </w:r>
      <w:r w:rsidRPr="002B43C8">
        <w:rPr>
          <w:lang w:val="en-GB"/>
        </w:rPr>
        <w:t xml:space="preserve">. The Indian luxury car market </w:t>
      </w:r>
      <w:r w:rsidR="0033563F">
        <w:rPr>
          <w:lang w:val="en-GB"/>
        </w:rPr>
        <w:t>wa</w:t>
      </w:r>
      <w:r w:rsidRPr="002B43C8">
        <w:rPr>
          <w:lang w:val="en-GB"/>
        </w:rPr>
        <w:t>s estimated to expand at a compound annual growth rate</w:t>
      </w:r>
      <w:r w:rsidR="0033563F">
        <w:rPr>
          <w:lang w:val="en-GB"/>
        </w:rPr>
        <w:t xml:space="preserve"> </w:t>
      </w:r>
      <w:r w:rsidRPr="002B43C8">
        <w:rPr>
          <w:lang w:val="en-GB"/>
        </w:rPr>
        <w:t>of 25 per cent during 2012–</w:t>
      </w:r>
      <w:r w:rsidR="0033563F">
        <w:rPr>
          <w:lang w:val="en-GB"/>
        </w:rPr>
        <w:t>20</w:t>
      </w:r>
      <w:r w:rsidRPr="002B43C8">
        <w:rPr>
          <w:lang w:val="en-GB"/>
        </w:rPr>
        <w:t>20</w:t>
      </w:r>
      <w:r w:rsidR="0033563F">
        <w:rPr>
          <w:lang w:val="en-GB"/>
        </w:rPr>
        <w:t>,</w:t>
      </w:r>
      <w:r w:rsidRPr="002B43C8">
        <w:rPr>
          <w:lang w:val="en-GB"/>
        </w:rPr>
        <w:t xml:space="preserve"> and reach 150,000 units </w:t>
      </w:r>
      <w:r w:rsidR="00E2325A">
        <w:rPr>
          <w:lang w:val="en-GB"/>
        </w:rPr>
        <w:t xml:space="preserve">per year </w:t>
      </w:r>
      <w:r w:rsidRPr="002B43C8">
        <w:rPr>
          <w:lang w:val="en-GB"/>
        </w:rPr>
        <w:t xml:space="preserve">by 2020. The luxury SUV segment </w:t>
      </w:r>
      <w:r w:rsidR="0033563F">
        <w:rPr>
          <w:lang w:val="en-GB"/>
        </w:rPr>
        <w:t>was</w:t>
      </w:r>
      <w:r w:rsidRPr="002B43C8">
        <w:rPr>
          <w:lang w:val="en-GB"/>
        </w:rPr>
        <w:t xml:space="preserve"> also growing at about 50 per cent</w:t>
      </w:r>
      <w:r w:rsidR="0033563F">
        <w:rPr>
          <w:lang w:val="en-GB"/>
        </w:rPr>
        <w:t xml:space="preserve"> each year</w:t>
      </w:r>
      <w:r w:rsidRPr="002B43C8">
        <w:rPr>
          <w:lang w:val="en-GB"/>
        </w:rPr>
        <w:t>, while luxury sedan</w:t>
      </w:r>
      <w:r w:rsidR="0033563F">
        <w:rPr>
          <w:lang w:val="en-GB"/>
        </w:rPr>
        <w:t xml:space="preserve"> sale</w:t>
      </w:r>
      <w:r w:rsidRPr="002B43C8">
        <w:rPr>
          <w:lang w:val="en-GB"/>
        </w:rPr>
        <w:t xml:space="preserve">s </w:t>
      </w:r>
      <w:r w:rsidR="0033563F">
        <w:rPr>
          <w:lang w:val="en-GB"/>
        </w:rPr>
        <w:t>were</w:t>
      </w:r>
      <w:r w:rsidR="0033563F" w:rsidRPr="002B43C8">
        <w:rPr>
          <w:lang w:val="en-GB"/>
        </w:rPr>
        <w:t xml:space="preserve"> </w:t>
      </w:r>
      <w:r w:rsidRPr="002B43C8">
        <w:rPr>
          <w:lang w:val="en-GB"/>
        </w:rPr>
        <w:t>increasing 25–30 per cent</w:t>
      </w:r>
      <w:r w:rsidR="00B77DBC">
        <w:rPr>
          <w:lang w:val="en-GB"/>
        </w:rPr>
        <w:t>.</w:t>
      </w:r>
      <w:r w:rsidRPr="002B43C8">
        <w:rPr>
          <w:rStyle w:val="FootnoteReference"/>
          <w:lang w:val="en-GB"/>
        </w:rPr>
        <w:footnoteReference w:id="12"/>
      </w:r>
    </w:p>
    <w:p w14:paraId="676188E0" w14:textId="77777777" w:rsidR="000735FF" w:rsidRPr="00EA13C5" w:rsidRDefault="000735FF" w:rsidP="00C8508B">
      <w:pPr>
        <w:pStyle w:val="BodyTextMain"/>
        <w:rPr>
          <w:sz w:val="18"/>
          <w:szCs w:val="18"/>
          <w:lang w:val="en-GB"/>
        </w:rPr>
      </w:pPr>
    </w:p>
    <w:p w14:paraId="04D82AC2" w14:textId="77777777" w:rsidR="000735FF" w:rsidRPr="002B43C8" w:rsidRDefault="000735FF" w:rsidP="007F36EF">
      <w:pPr>
        <w:pStyle w:val="Casehead1"/>
        <w:outlineLvl w:val="0"/>
        <w:rPr>
          <w:rFonts w:eastAsiaTheme="majorEastAsia"/>
          <w:lang w:val="en-GB"/>
        </w:rPr>
      </w:pPr>
      <w:r w:rsidRPr="002B43C8">
        <w:rPr>
          <w:rFonts w:eastAsiaTheme="majorEastAsia"/>
          <w:lang w:val="en-GB"/>
        </w:rPr>
        <w:lastRenderedPageBreak/>
        <w:t xml:space="preserve">MSIL’S MARKETING STRATEGIES </w:t>
      </w:r>
    </w:p>
    <w:p w14:paraId="73ED0BFF" w14:textId="77777777" w:rsidR="000735FF" w:rsidRPr="00EA13C5" w:rsidRDefault="000735FF" w:rsidP="00C8508B">
      <w:pPr>
        <w:pStyle w:val="BodyTextMain"/>
        <w:rPr>
          <w:rFonts w:eastAsiaTheme="majorEastAsia"/>
          <w:sz w:val="18"/>
          <w:szCs w:val="18"/>
          <w:lang w:val="en-GB"/>
        </w:rPr>
      </w:pPr>
    </w:p>
    <w:p w14:paraId="7839EE50" w14:textId="01F96DD3" w:rsidR="000735FF" w:rsidRPr="002B43C8" w:rsidRDefault="000735FF" w:rsidP="002141C0">
      <w:pPr>
        <w:pStyle w:val="BodyTextMain"/>
        <w:rPr>
          <w:lang w:val="en-GB"/>
        </w:rPr>
      </w:pPr>
      <w:r w:rsidRPr="002B43C8">
        <w:rPr>
          <w:lang w:val="en-GB"/>
        </w:rPr>
        <w:t xml:space="preserve">MSIL </w:t>
      </w:r>
      <w:r w:rsidR="00966887">
        <w:rPr>
          <w:lang w:val="en-GB"/>
        </w:rPr>
        <w:t xml:space="preserve">had always </w:t>
      </w:r>
      <w:r w:rsidRPr="002B43C8">
        <w:rPr>
          <w:lang w:val="en-GB"/>
        </w:rPr>
        <w:t>carried the image of a “value for money” brand. The company was known for manufacturing the most fuel-efficient petrol cars in India</w:t>
      </w:r>
      <w:r w:rsidR="00966887">
        <w:rPr>
          <w:lang w:val="en-GB"/>
        </w:rPr>
        <w:t>,</w:t>
      </w:r>
      <w:r w:rsidRPr="002B43C8">
        <w:rPr>
          <w:lang w:val="en-GB"/>
        </w:rPr>
        <w:t xml:space="preserve"> and </w:t>
      </w:r>
      <w:r w:rsidR="009750A7">
        <w:rPr>
          <w:lang w:val="en-GB"/>
        </w:rPr>
        <w:t xml:space="preserve">it </w:t>
      </w:r>
      <w:r w:rsidRPr="002B43C8">
        <w:rPr>
          <w:lang w:val="en-GB"/>
        </w:rPr>
        <w:t xml:space="preserve">catered to the needs of a </w:t>
      </w:r>
      <w:r w:rsidR="00966887">
        <w:rPr>
          <w:lang w:val="en-GB"/>
        </w:rPr>
        <w:t>population that was notoriously price-conscious and concerned about mileage.</w:t>
      </w:r>
      <w:r w:rsidRPr="002B43C8">
        <w:rPr>
          <w:lang w:val="en-GB"/>
        </w:rPr>
        <w:t xml:space="preserve"> The other factor </w:t>
      </w:r>
      <w:r w:rsidR="00966887">
        <w:rPr>
          <w:lang w:val="en-GB"/>
        </w:rPr>
        <w:t>that made</w:t>
      </w:r>
      <w:r w:rsidRPr="002B43C8">
        <w:rPr>
          <w:lang w:val="en-GB"/>
        </w:rPr>
        <w:t xml:space="preserve"> MSIL popular was its after-sales services, driven by </w:t>
      </w:r>
      <w:r w:rsidR="00966887">
        <w:rPr>
          <w:lang w:val="en-GB"/>
        </w:rPr>
        <w:t>its</w:t>
      </w:r>
      <w:r w:rsidRPr="002B43C8">
        <w:rPr>
          <w:lang w:val="en-GB"/>
        </w:rPr>
        <w:t xml:space="preserve"> vast network of 3,086 service cent</w:t>
      </w:r>
      <w:r w:rsidR="00181230">
        <w:rPr>
          <w:lang w:val="en-GB"/>
        </w:rPr>
        <w:t>re</w:t>
      </w:r>
      <w:r w:rsidRPr="002B43C8">
        <w:rPr>
          <w:lang w:val="en-GB"/>
        </w:rPr>
        <w:t>s in 1,471</w:t>
      </w:r>
      <w:r w:rsidR="00966887">
        <w:rPr>
          <w:lang w:val="en-GB"/>
        </w:rPr>
        <w:t xml:space="preserve"> </w:t>
      </w:r>
      <w:r w:rsidRPr="002B43C8">
        <w:rPr>
          <w:lang w:val="en-GB"/>
        </w:rPr>
        <w:t xml:space="preserve">cities </w:t>
      </w:r>
      <w:r w:rsidR="00966887">
        <w:rPr>
          <w:lang w:val="en-GB"/>
        </w:rPr>
        <w:t>across India</w:t>
      </w:r>
      <w:r w:rsidRPr="002B43C8">
        <w:rPr>
          <w:lang w:val="en-GB"/>
        </w:rPr>
        <w:t>.</w:t>
      </w:r>
      <w:r w:rsidRPr="002B43C8">
        <w:rPr>
          <w:vertAlign w:val="superscript"/>
          <w:lang w:val="en-GB"/>
        </w:rPr>
        <w:t xml:space="preserve"> </w:t>
      </w:r>
      <w:r w:rsidR="00935B76">
        <w:rPr>
          <w:lang w:val="en-GB"/>
        </w:rPr>
        <w:t xml:space="preserve">Shankar </w:t>
      </w:r>
      <w:r w:rsidR="002E6A4E">
        <w:rPr>
          <w:lang w:val="en-GB"/>
        </w:rPr>
        <w:t>summarized these competitive advantages</w:t>
      </w:r>
      <w:r w:rsidR="00935B76">
        <w:rPr>
          <w:lang w:val="en-GB"/>
        </w:rPr>
        <w:t>,</w:t>
      </w:r>
      <w:r w:rsidR="009750A7">
        <w:rPr>
          <w:lang w:val="en-GB"/>
        </w:rPr>
        <w:t xml:space="preserve"> saying,</w:t>
      </w:r>
      <w:r w:rsidR="00966887">
        <w:rPr>
          <w:lang w:val="en-GB"/>
        </w:rPr>
        <w:t xml:space="preserve"> “</w:t>
      </w:r>
      <w:r w:rsidRPr="002B43C8">
        <w:rPr>
          <w:lang w:val="en-GB"/>
        </w:rPr>
        <w:t xml:space="preserve">We sell good-mileage cars; we sell competent cars </w:t>
      </w:r>
      <w:r w:rsidR="002E6A4E">
        <w:rPr>
          <w:lang w:val="en-GB"/>
        </w:rPr>
        <w:t xml:space="preserve">at </w:t>
      </w:r>
      <w:r w:rsidRPr="002B43C8">
        <w:rPr>
          <w:lang w:val="en-GB"/>
        </w:rPr>
        <w:t>the lowest price; we offer a wide variety of low-maintenance cars; we have the best network of dealers, providing 24/7 car service; and most importantly, we are a trusted brand.”</w:t>
      </w:r>
    </w:p>
    <w:p w14:paraId="617866D3" w14:textId="77777777" w:rsidR="000735FF" w:rsidRPr="00EA13C5" w:rsidRDefault="000735FF" w:rsidP="00C8508B">
      <w:pPr>
        <w:pStyle w:val="BodyTextMain"/>
        <w:rPr>
          <w:sz w:val="20"/>
          <w:szCs w:val="20"/>
          <w:lang w:val="en-GB"/>
        </w:rPr>
      </w:pPr>
    </w:p>
    <w:p w14:paraId="630D9EEB" w14:textId="056DD1D8" w:rsidR="000735FF" w:rsidRPr="00530B65" w:rsidRDefault="00E50900" w:rsidP="00C8508B">
      <w:pPr>
        <w:pStyle w:val="BodyTextMain"/>
        <w:rPr>
          <w:lang w:val="en-GB"/>
        </w:rPr>
      </w:pPr>
      <w:r>
        <w:rPr>
          <w:lang w:val="en-GB"/>
        </w:rPr>
        <w:t>One of</w:t>
      </w:r>
      <w:r w:rsidR="000735FF" w:rsidRPr="002B43C8">
        <w:rPr>
          <w:lang w:val="en-GB"/>
        </w:rPr>
        <w:t xml:space="preserve"> MSIL</w:t>
      </w:r>
      <w:r>
        <w:rPr>
          <w:lang w:val="en-GB"/>
        </w:rPr>
        <w:t>’s strategies</w:t>
      </w:r>
      <w:r w:rsidR="000735FF" w:rsidRPr="002B43C8">
        <w:rPr>
          <w:lang w:val="en-GB"/>
        </w:rPr>
        <w:t xml:space="preserve"> was the introduction of new variants in existing models. It expanded its product line with </w:t>
      </w:r>
      <w:r>
        <w:rPr>
          <w:lang w:val="en-GB"/>
        </w:rPr>
        <w:t xml:space="preserve">variants that used different </w:t>
      </w:r>
      <w:r w:rsidR="000735FF" w:rsidRPr="002B43C8">
        <w:rPr>
          <w:lang w:val="en-GB"/>
        </w:rPr>
        <w:t>fuel optio</w:t>
      </w:r>
      <w:r w:rsidR="000735FF" w:rsidRPr="00530B65">
        <w:rPr>
          <w:lang w:val="en-GB"/>
        </w:rPr>
        <w:t xml:space="preserve">ns </w:t>
      </w:r>
      <w:r>
        <w:rPr>
          <w:lang w:val="en-GB"/>
        </w:rPr>
        <w:t xml:space="preserve">(i.e., </w:t>
      </w:r>
      <w:r w:rsidR="000735FF" w:rsidRPr="00530B65">
        <w:rPr>
          <w:lang w:val="en-GB"/>
        </w:rPr>
        <w:t>petrol, diesel,</w:t>
      </w:r>
      <w:r>
        <w:rPr>
          <w:lang w:val="en-GB"/>
        </w:rPr>
        <w:t xml:space="preserve"> or CNG)</w:t>
      </w:r>
      <w:r w:rsidR="000735FF" w:rsidRPr="00530B65">
        <w:rPr>
          <w:lang w:val="en-GB"/>
        </w:rPr>
        <w:t xml:space="preserve">, face-lifted variants, and advanced-technology variants of its existing </w:t>
      </w:r>
      <w:r>
        <w:rPr>
          <w:lang w:val="en-GB"/>
        </w:rPr>
        <w:t>vehicles</w:t>
      </w:r>
      <w:r w:rsidR="000735FF" w:rsidRPr="00530B65">
        <w:rPr>
          <w:lang w:val="en-GB"/>
        </w:rPr>
        <w:t xml:space="preserve"> (see Exhibit 9). </w:t>
      </w:r>
    </w:p>
    <w:p w14:paraId="1C96774A" w14:textId="77777777" w:rsidR="000735FF" w:rsidRPr="00EA13C5" w:rsidRDefault="000735FF" w:rsidP="00C8508B">
      <w:pPr>
        <w:pStyle w:val="BodyTextMain"/>
        <w:rPr>
          <w:sz w:val="20"/>
          <w:szCs w:val="20"/>
          <w:lang w:val="en-GB"/>
        </w:rPr>
      </w:pPr>
    </w:p>
    <w:p w14:paraId="4B8B6E2A" w14:textId="03E3BC07" w:rsidR="000735FF" w:rsidRDefault="00E50900" w:rsidP="00EA13C5">
      <w:pPr>
        <w:pStyle w:val="BodyTextMain"/>
        <w:rPr>
          <w:lang w:val="en-GB"/>
        </w:rPr>
      </w:pPr>
      <w:r>
        <w:rPr>
          <w:lang w:val="en-GB"/>
        </w:rPr>
        <w:t xml:space="preserve">Another strategy involved </w:t>
      </w:r>
      <w:r w:rsidR="000735FF" w:rsidRPr="002141C0">
        <w:rPr>
          <w:lang w:val="en-GB"/>
        </w:rPr>
        <w:t>penetrat</w:t>
      </w:r>
      <w:r>
        <w:rPr>
          <w:lang w:val="en-GB"/>
        </w:rPr>
        <w:t>ing</w:t>
      </w:r>
      <w:r w:rsidR="000735FF" w:rsidRPr="002141C0">
        <w:rPr>
          <w:lang w:val="en-GB"/>
        </w:rPr>
        <w:t xml:space="preserve"> the </w:t>
      </w:r>
      <w:r>
        <w:rPr>
          <w:lang w:val="en-GB"/>
        </w:rPr>
        <w:t xml:space="preserve">rural </w:t>
      </w:r>
      <w:r w:rsidR="000735FF" w:rsidRPr="002141C0">
        <w:rPr>
          <w:lang w:val="en-GB"/>
        </w:rPr>
        <w:t>market</w:t>
      </w:r>
      <w:r>
        <w:rPr>
          <w:lang w:val="en-GB"/>
        </w:rPr>
        <w:t xml:space="preserve"> by </w:t>
      </w:r>
      <w:r w:rsidR="000735FF" w:rsidRPr="002141C0">
        <w:rPr>
          <w:lang w:val="en-GB"/>
        </w:rPr>
        <w:t>target</w:t>
      </w:r>
      <w:r>
        <w:rPr>
          <w:lang w:val="en-GB"/>
        </w:rPr>
        <w:t>ing</w:t>
      </w:r>
      <w:r w:rsidR="000735FF" w:rsidRPr="002141C0">
        <w:rPr>
          <w:lang w:val="en-GB"/>
        </w:rPr>
        <w:t xml:space="preserve"> rural buyers who were cash</w:t>
      </w:r>
      <w:r>
        <w:rPr>
          <w:lang w:val="en-GB"/>
        </w:rPr>
        <w:t xml:space="preserve"> </w:t>
      </w:r>
      <w:r w:rsidR="000735FF" w:rsidRPr="002141C0">
        <w:rPr>
          <w:lang w:val="en-GB"/>
        </w:rPr>
        <w:t>rich and not dependent on financing solutions. MSIL’s sales in rural areas in 2013–2014 represented 32</w:t>
      </w:r>
      <w:r w:rsidR="005E6166" w:rsidRPr="002141C0">
        <w:rPr>
          <w:lang w:val="en-GB"/>
        </w:rPr>
        <w:t xml:space="preserve"> per cent</w:t>
      </w:r>
      <w:r w:rsidR="000735FF" w:rsidRPr="002141C0">
        <w:rPr>
          <w:lang w:val="en-GB"/>
        </w:rPr>
        <w:t xml:space="preserve"> of </w:t>
      </w:r>
      <w:r>
        <w:rPr>
          <w:lang w:val="en-GB"/>
        </w:rPr>
        <w:t>its</w:t>
      </w:r>
      <w:r w:rsidR="000735FF" w:rsidRPr="002141C0">
        <w:rPr>
          <w:lang w:val="en-GB"/>
        </w:rPr>
        <w:t xml:space="preserve"> total sales.</w:t>
      </w:r>
      <w:r w:rsidR="0030779A" w:rsidRPr="002141C0">
        <w:rPr>
          <w:lang w:val="en-GB"/>
        </w:rPr>
        <w:t xml:space="preserve"> </w:t>
      </w:r>
      <w:r>
        <w:rPr>
          <w:lang w:val="en-GB"/>
        </w:rPr>
        <w:t>By 2015, the company</w:t>
      </w:r>
      <w:r w:rsidR="0006404A" w:rsidRPr="002141C0">
        <w:rPr>
          <w:lang w:val="en-GB"/>
        </w:rPr>
        <w:t xml:space="preserve"> </w:t>
      </w:r>
      <w:r w:rsidR="003E4F93">
        <w:rPr>
          <w:lang w:val="en-GB"/>
        </w:rPr>
        <w:t xml:space="preserve">had </w:t>
      </w:r>
      <w:r w:rsidR="0006404A" w:rsidRPr="002141C0">
        <w:rPr>
          <w:lang w:val="en-GB"/>
        </w:rPr>
        <w:t xml:space="preserve">commissioned 289 </w:t>
      </w:r>
      <w:r w:rsidR="007B395D" w:rsidRPr="002141C0">
        <w:rPr>
          <w:lang w:val="en-GB"/>
        </w:rPr>
        <w:t xml:space="preserve">rural outlets </w:t>
      </w:r>
      <w:r w:rsidR="0006404A" w:rsidRPr="002141C0">
        <w:rPr>
          <w:lang w:val="en-GB"/>
        </w:rPr>
        <w:t>to display vehicles and</w:t>
      </w:r>
      <w:r>
        <w:rPr>
          <w:lang w:val="en-GB"/>
        </w:rPr>
        <w:t xml:space="preserve"> conduct</w:t>
      </w:r>
      <w:r w:rsidR="0006404A" w:rsidRPr="002141C0">
        <w:rPr>
          <w:lang w:val="en-GB"/>
        </w:rPr>
        <w:t xml:space="preserve"> sales in the</w:t>
      </w:r>
      <w:r>
        <w:rPr>
          <w:lang w:val="en-GB"/>
        </w:rPr>
        <w:t>se</w:t>
      </w:r>
      <w:r w:rsidR="0006404A" w:rsidRPr="002141C0">
        <w:rPr>
          <w:lang w:val="en-GB"/>
        </w:rPr>
        <w:t xml:space="preserve"> smaller markets. </w:t>
      </w:r>
      <w:r w:rsidR="009750A7">
        <w:rPr>
          <w:lang w:val="en-GB"/>
        </w:rPr>
        <w:t>T</w:t>
      </w:r>
      <w:r w:rsidR="00D42F6A" w:rsidRPr="002141C0">
        <w:rPr>
          <w:lang w:val="en-GB"/>
        </w:rPr>
        <w:t xml:space="preserve">o </w:t>
      </w:r>
      <w:r w:rsidR="00477BBC">
        <w:rPr>
          <w:lang w:val="en-GB"/>
        </w:rPr>
        <w:t>increase</w:t>
      </w:r>
      <w:r w:rsidR="00477BBC" w:rsidRPr="002141C0">
        <w:rPr>
          <w:lang w:val="en-GB"/>
        </w:rPr>
        <w:t xml:space="preserve"> </w:t>
      </w:r>
      <w:r w:rsidR="00D42F6A" w:rsidRPr="002141C0">
        <w:rPr>
          <w:lang w:val="en-GB"/>
        </w:rPr>
        <w:t xml:space="preserve">incremental </w:t>
      </w:r>
      <w:r w:rsidR="001B6A11" w:rsidRPr="002141C0">
        <w:rPr>
          <w:lang w:val="en-GB"/>
        </w:rPr>
        <w:t xml:space="preserve">sales </w:t>
      </w:r>
      <w:r w:rsidR="00D42F6A" w:rsidRPr="002141C0">
        <w:rPr>
          <w:lang w:val="en-GB"/>
        </w:rPr>
        <w:t xml:space="preserve">volumes, </w:t>
      </w:r>
      <w:r w:rsidR="007418AE" w:rsidRPr="002141C0">
        <w:rPr>
          <w:lang w:val="en-GB"/>
        </w:rPr>
        <w:t>MSIL</w:t>
      </w:r>
      <w:r w:rsidR="006B2ED0" w:rsidRPr="002141C0">
        <w:rPr>
          <w:lang w:val="en-GB"/>
        </w:rPr>
        <w:t xml:space="preserve"> </w:t>
      </w:r>
      <w:r w:rsidR="00477BBC">
        <w:rPr>
          <w:lang w:val="en-GB"/>
        </w:rPr>
        <w:t>undertook a</w:t>
      </w:r>
      <w:r w:rsidR="006B2ED0" w:rsidRPr="002141C0">
        <w:rPr>
          <w:lang w:val="en-GB"/>
        </w:rPr>
        <w:t xml:space="preserve"> micro-marketing</w:t>
      </w:r>
      <w:r w:rsidR="004C59DB" w:rsidRPr="002141C0">
        <w:rPr>
          <w:lang w:val="en-GB"/>
        </w:rPr>
        <w:t xml:space="preserve"> strategy</w:t>
      </w:r>
      <w:r w:rsidR="006B2ED0" w:rsidRPr="002141C0">
        <w:rPr>
          <w:lang w:val="en-GB"/>
        </w:rPr>
        <w:t xml:space="preserve"> in 2014</w:t>
      </w:r>
      <w:r>
        <w:rPr>
          <w:lang w:val="en-GB"/>
        </w:rPr>
        <w:t>,</w:t>
      </w:r>
      <w:r w:rsidR="00423136" w:rsidRPr="002141C0">
        <w:rPr>
          <w:lang w:val="en-GB"/>
        </w:rPr>
        <w:t xml:space="preserve"> and</w:t>
      </w:r>
      <w:r w:rsidR="00D01172" w:rsidRPr="002141C0">
        <w:rPr>
          <w:lang w:val="en-GB"/>
        </w:rPr>
        <w:t xml:space="preserve"> </w:t>
      </w:r>
      <w:r w:rsidR="0030779A" w:rsidRPr="002141C0">
        <w:rPr>
          <w:lang w:val="en-GB"/>
        </w:rPr>
        <w:t>identified</w:t>
      </w:r>
      <w:r w:rsidR="000735FF" w:rsidRPr="002141C0">
        <w:rPr>
          <w:lang w:val="en-GB"/>
        </w:rPr>
        <w:t xml:space="preserve"> 372 dedicated </w:t>
      </w:r>
      <w:r w:rsidR="000244A1" w:rsidRPr="002141C0">
        <w:rPr>
          <w:lang w:val="en-GB"/>
        </w:rPr>
        <w:t>groups</w:t>
      </w:r>
      <w:r w:rsidR="0037071C" w:rsidRPr="002141C0">
        <w:rPr>
          <w:lang w:val="en-GB"/>
        </w:rPr>
        <w:t xml:space="preserve"> affiliated </w:t>
      </w:r>
      <w:r w:rsidR="00477BBC">
        <w:rPr>
          <w:lang w:val="en-GB"/>
        </w:rPr>
        <w:t>with</w:t>
      </w:r>
      <w:r w:rsidR="0037071C" w:rsidRPr="002141C0">
        <w:rPr>
          <w:lang w:val="en-GB"/>
        </w:rPr>
        <w:t xml:space="preserve"> associations</w:t>
      </w:r>
      <w:r w:rsidR="006C27CB" w:rsidRPr="002141C0">
        <w:rPr>
          <w:lang w:val="en-GB"/>
        </w:rPr>
        <w:t xml:space="preserve"> </w:t>
      </w:r>
      <w:r w:rsidR="00320E64" w:rsidRPr="002141C0">
        <w:rPr>
          <w:lang w:val="en-GB"/>
        </w:rPr>
        <w:t>or industr</w:t>
      </w:r>
      <w:r w:rsidR="00477BBC">
        <w:rPr>
          <w:lang w:val="en-GB"/>
        </w:rPr>
        <w:t>ies (e.g.,</w:t>
      </w:r>
      <w:r w:rsidR="002766B7" w:rsidRPr="002141C0">
        <w:rPr>
          <w:lang w:val="en-GB"/>
        </w:rPr>
        <w:t xml:space="preserve"> </w:t>
      </w:r>
      <w:r w:rsidR="000735FF" w:rsidRPr="002141C0">
        <w:rPr>
          <w:lang w:val="en-GB"/>
        </w:rPr>
        <w:t>Ratnag</w:t>
      </w:r>
      <w:r w:rsidR="00450DC4" w:rsidRPr="002141C0">
        <w:rPr>
          <w:lang w:val="en-GB"/>
        </w:rPr>
        <w:t>i</w:t>
      </w:r>
      <w:r w:rsidR="000735FF" w:rsidRPr="002141C0">
        <w:rPr>
          <w:lang w:val="en-GB"/>
        </w:rPr>
        <w:t>ri Mango Association, temple associations</w:t>
      </w:r>
      <w:r w:rsidR="006E43D9" w:rsidRPr="002141C0">
        <w:rPr>
          <w:lang w:val="en-GB"/>
        </w:rPr>
        <w:t>,</w:t>
      </w:r>
      <w:r w:rsidR="000735FF" w:rsidRPr="002141C0">
        <w:rPr>
          <w:lang w:val="en-GB"/>
        </w:rPr>
        <w:t xml:space="preserve"> </w:t>
      </w:r>
      <w:r w:rsidR="00E429B7">
        <w:rPr>
          <w:lang w:val="en-GB"/>
        </w:rPr>
        <w:t xml:space="preserve">the </w:t>
      </w:r>
      <w:r w:rsidR="000735FF" w:rsidRPr="002141C0">
        <w:rPr>
          <w:lang w:val="en-GB"/>
        </w:rPr>
        <w:t>blue pottery industry in Jaipur, turmeric growers</w:t>
      </w:r>
      <w:r w:rsidR="00E429B7">
        <w:rPr>
          <w:lang w:val="en-GB"/>
        </w:rPr>
        <w:t>,</w:t>
      </w:r>
      <w:r w:rsidR="000735FF" w:rsidRPr="002141C0">
        <w:rPr>
          <w:lang w:val="en-GB"/>
        </w:rPr>
        <w:t xml:space="preserve"> pharmaceutical retailers</w:t>
      </w:r>
      <w:r w:rsidR="00E429B7">
        <w:rPr>
          <w:lang w:val="en-GB"/>
        </w:rPr>
        <w:t>,</w:t>
      </w:r>
      <w:r w:rsidR="0044240E" w:rsidRPr="002141C0">
        <w:rPr>
          <w:lang w:val="en-GB"/>
        </w:rPr>
        <w:t xml:space="preserve"> etc</w:t>
      </w:r>
      <w:r w:rsidR="000735FF" w:rsidRPr="002141C0">
        <w:rPr>
          <w:lang w:val="en-GB"/>
        </w:rPr>
        <w:t>.</w:t>
      </w:r>
      <w:r w:rsidR="00E429B7">
        <w:rPr>
          <w:lang w:val="en-GB"/>
        </w:rPr>
        <w:t>).</w:t>
      </w:r>
      <w:r w:rsidR="000735FF" w:rsidRPr="002141C0">
        <w:rPr>
          <w:rStyle w:val="FootnoteReference"/>
          <w:lang w:val="en-GB"/>
        </w:rPr>
        <w:footnoteReference w:id="13"/>
      </w:r>
      <w:r w:rsidR="00CF0AEC" w:rsidRPr="002141C0">
        <w:rPr>
          <w:lang w:val="en-GB"/>
        </w:rPr>
        <w:t xml:space="preserve"> </w:t>
      </w:r>
      <w:r w:rsidR="00E429B7">
        <w:rPr>
          <w:lang w:val="en-GB"/>
        </w:rPr>
        <w:t>Members of t</w:t>
      </w:r>
      <w:r w:rsidR="00812BCF" w:rsidRPr="002141C0">
        <w:rPr>
          <w:lang w:val="en-GB"/>
        </w:rPr>
        <w:t xml:space="preserve">hese groups </w:t>
      </w:r>
      <w:r w:rsidR="00E429B7">
        <w:rPr>
          <w:lang w:val="en-GB"/>
        </w:rPr>
        <w:t>were</w:t>
      </w:r>
      <w:r w:rsidR="00E429B7" w:rsidRPr="002141C0">
        <w:rPr>
          <w:lang w:val="en-GB"/>
        </w:rPr>
        <w:t xml:space="preserve"> </w:t>
      </w:r>
      <w:r w:rsidR="00812BCF" w:rsidRPr="002141C0">
        <w:rPr>
          <w:lang w:val="en-GB"/>
        </w:rPr>
        <w:t xml:space="preserve">profitable even in </w:t>
      </w:r>
      <w:r w:rsidR="00E429B7">
        <w:rPr>
          <w:lang w:val="en-GB"/>
        </w:rPr>
        <w:t>difficult</w:t>
      </w:r>
      <w:r w:rsidR="00E429B7" w:rsidRPr="002141C0">
        <w:rPr>
          <w:lang w:val="en-GB"/>
        </w:rPr>
        <w:t xml:space="preserve"> </w:t>
      </w:r>
      <w:r w:rsidR="00812BCF" w:rsidRPr="002141C0">
        <w:rPr>
          <w:lang w:val="en-GB"/>
        </w:rPr>
        <w:t>economic times</w:t>
      </w:r>
      <w:r w:rsidR="007B403D" w:rsidRPr="002141C0">
        <w:rPr>
          <w:lang w:val="en-GB"/>
        </w:rPr>
        <w:t>, ha</w:t>
      </w:r>
      <w:r w:rsidR="00E429B7">
        <w:rPr>
          <w:lang w:val="en-GB"/>
        </w:rPr>
        <w:t>d</w:t>
      </w:r>
      <w:r w:rsidR="007B403D" w:rsidRPr="002141C0">
        <w:rPr>
          <w:lang w:val="en-GB"/>
        </w:rPr>
        <w:t xml:space="preserve"> a higher per</w:t>
      </w:r>
      <w:r w:rsidR="00E429B7">
        <w:rPr>
          <w:lang w:val="en-GB"/>
        </w:rPr>
        <w:t>-</w:t>
      </w:r>
      <w:r w:rsidR="007B403D" w:rsidRPr="002141C0">
        <w:rPr>
          <w:lang w:val="en-GB"/>
        </w:rPr>
        <w:t>capita income than farmers</w:t>
      </w:r>
      <w:r w:rsidR="00655224" w:rsidRPr="002141C0">
        <w:rPr>
          <w:lang w:val="en-GB"/>
        </w:rPr>
        <w:t>, and</w:t>
      </w:r>
      <w:r w:rsidR="00812BCF" w:rsidRPr="002141C0">
        <w:rPr>
          <w:lang w:val="en-GB"/>
        </w:rPr>
        <w:t xml:space="preserve"> </w:t>
      </w:r>
      <w:r w:rsidR="006C5157" w:rsidRPr="002141C0">
        <w:rPr>
          <w:lang w:val="en-GB"/>
        </w:rPr>
        <w:t xml:space="preserve">mostly </w:t>
      </w:r>
      <w:r w:rsidR="004E665B" w:rsidRPr="002141C0">
        <w:rPr>
          <w:lang w:val="en-GB"/>
        </w:rPr>
        <w:t>reside</w:t>
      </w:r>
      <w:r w:rsidR="00E429B7">
        <w:rPr>
          <w:lang w:val="en-GB"/>
        </w:rPr>
        <w:t>d</w:t>
      </w:r>
      <w:r w:rsidR="004E665B" w:rsidRPr="002141C0">
        <w:rPr>
          <w:lang w:val="en-GB"/>
        </w:rPr>
        <w:t xml:space="preserve"> in</w:t>
      </w:r>
      <w:r w:rsidR="00F4336C" w:rsidRPr="002141C0">
        <w:rPr>
          <w:lang w:val="en-GB"/>
        </w:rPr>
        <w:t xml:space="preserve"> </w:t>
      </w:r>
      <w:r w:rsidR="00812BCF" w:rsidRPr="002141C0">
        <w:rPr>
          <w:lang w:val="en-GB"/>
        </w:rPr>
        <w:t>semi-urban and rural area</w:t>
      </w:r>
      <w:r w:rsidR="00BD73C9" w:rsidRPr="002141C0">
        <w:rPr>
          <w:lang w:val="en-GB"/>
        </w:rPr>
        <w:t>s</w:t>
      </w:r>
      <w:r w:rsidR="004E665B" w:rsidRPr="002141C0">
        <w:rPr>
          <w:lang w:val="en-GB"/>
        </w:rPr>
        <w:t xml:space="preserve"> of the country</w:t>
      </w:r>
      <w:r w:rsidR="00AD2FC0" w:rsidRPr="002141C0">
        <w:rPr>
          <w:lang w:val="en-GB"/>
        </w:rPr>
        <w:t xml:space="preserve">. </w:t>
      </w:r>
      <w:r w:rsidR="00E429B7">
        <w:rPr>
          <w:lang w:val="en-GB"/>
        </w:rPr>
        <w:t>Identifying such group members</w:t>
      </w:r>
      <w:r w:rsidR="00316FD8" w:rsidRPr="002141C0">
        <w:rPr>
          <w:lang w:val="en-GB"/>
        </w:rPr>
        <w:t xml:space="preserve"> </w:t>
      </w:r>
      <w:r w:rsidR="005913A1" w:rsidRPr="002141C0">
        <w:rPr>
          <w:lang w:val="en-GB"/>
        </w:rPr>
        <w:t xml:space="preserve">helped </w:t>
      </w:r>
      <w:r w:rsidR="00E429B7">
        <w:rPr>
          <w:lang w:val="en-GB"/>
        </w:rPr>
        <w:t xml:space="preserve">MSIL reach customers (instead of customers reaching the company) and satisfy latent demand across a </w:t>
      </w:r>
      <w:r w:rsidR="00006B53" w:rsidRPr="002141C0">
        <w:rPr>
          <w:lang w:val="en-GB"/>
        </w:rPr>
        <w:t>huge network</w:t>
      </w:r>
      <w:r w:rsidR="00E429B7">
        <w:rPr>
          <w:lang w:val="en-GB"/>
        </w:rPr>
        <w:t>.</w:t>
      </w:r>
      <w:r w:rsidR="00006B53" w:rsidRPr="002141C0">
        <w:rPr>
          <w:lang w:val="en-GB"/>
        </w:rPr>
        <w:t xml:space="preserve"> </w:t>
      </w:r>
      <w:r w:rsidR="00B50EF8" w:rsidRPr="002141C0">
        <w:rPr>
          <w:lang w:val="en-GB"/>
        </w:rPr>
        <w:t xml:space="preserve">This strategy </w:t>
      </w:r>
      <w:r w:rsidR="00E429B7">
        <w:rPr>
          <w:lang w:val="en-GB"/>
        </w:rPr>
        <w:t>represented a significant</w:t>
      </w:r>
      <w:r w:rsidR="00A90F99" w:rsidRPr="002141C0">
        <w:rPr>
          <w:lang w:val="en-GB"/>
        </w:rPr>
        <w:t xml:space="preserve"> step towards</w:t>
      </w:r>
      <w:r w:rsidR="00F82BC9" w:rsidRPr="002141C0">
        <w:rPr>
          <w:lang w:val="en-GB"/>
        </w:rPr>
        <w:t xml:space="preserve"> </w:t>
      </w:r>
      <w:r w:rsidR="00E429B7">
        <w:rPr>
          <w:lang w:val="en-GB"/>
        </w:rPr>
        <w:t xml:space="preserve">MSIL’s </w:t>
      </w:r>
      <w:r w:rsidR="00F82BC9" w:rsidRPr="002141C0">
        <w:rPr>
          <w:lang w:val="en-GB"/>
        </w:rPr>
        <w:t xml:space="preserve">goal of </w:t>
      </w:r>
      <w:r w:rsidR="00A90F99" w:rsidRPr="002141C0">
        <w:rPr>
          <w:lang w:val="en-GB"/>
        </w:rPr>
        <w:t>achieving</w:t>
      </w:r>
      <w:r w:rsidR="00F82BC9" w:rsidRPr="002141C0">
        <w:rPr>
          <w:lang w:val="en-GB"/>
        </w:rPr>
        <w:t xml:space="preserve"> 2 million</w:t>
      </w:r>
      <w:r w:rsidR="00E429B7">
        <w:rPr>
          <w:lang w:val="en-GB"/>
        </w:rPr>
        <w:t xml:space="preserve"> vehicle sales</w:t>
      </w:r>
      <w:r w:rsidR="00F82BC9" w:rsidRPr="002141C0">
        <w:rPr>
          <w:lang w:val="en-GB"/>
        </w:rPr>
        <w:t xml:space="preserve"> per year by 2020.</w:t>
      </w:r>
    </w:p>
    <w:p w14:paraId="6F39C1E1" w14:textId="77777777" w:rsidR="00EA13C5" w:rsidRPr="00EA13C5" w:rsidRDefault="00EA13C5" w:rsidP="00EA13C5">
      <w:pPr>
        <w:pStyle w:val="BodyTextMain"/>
        <w:rPr>
          <w:rFonts w:ascii="Times" w:eastAsiaTheme="minorHAnsi" w:hAnsi="Times" w:cs="Times"/>
          <w:sz w:val="20"/>
          <w:szCs w:val="20"/>
        </w:rPr>
      </w:pPr>
    </w:p>
    <w:p w14:paraId="3F0E0FDC" w14:textId="28B0E701" w:rsidR="000735FF" w:rsidRPr="00A42DB4" w:rsidRDefault="000735FF" w:rsidP="00EA13C5">
      <w:pPr>
        <w:pStyle w:val="BodyTextMain"/>
        <w:rPr>
          <w:spacing w:val="-2"/>
          <w:kern w:val="22"/>
          <w:lang w:val="en-GB"/>
        </w:rPr>
      </w:pPr>
      <w:r w:rsidRPr="00A42DB4">
        <w:rPr>
          <w:spacing w:val="-2"/>
          <w:kern w:val="22"/>
          <w:lang w:val="en-GB"/>
        </w:rPr>
        <w:t xml:space="preserve">A further step taken by MSIL was the addition of the subsidiary “Maruti </w:t>
      </w:r>
      <w:r w:rsidR="005E790A" w:rsidRPr="00A42DB4">
        <w:rPr>
          <w:spacing w:val="-2"/>
          <w:kern w:val="22"/>
          <w:lang w:val="en-GB"/>
        </w:rPr>
        <w:t xml:space="preserve">Suzuki </w:t>
      </w:r>
      <w:r w:rsidRPr="00A42DB4">
        <w:rPr>
          <w:spacing w:val="-2"/>
          <w:kern w:val="22"/>
          <w:lang w:val="en-GB"/>
        </w:rPr>
        <w:t xml:space="preserve">True Value,” </w:t>
      </w:r>
      <w:r w:rsidR="009750A7">
        <w:rPr>
          <w:spacing w:val="-2"/>
          <w:kern w:val="22"/>
          <w:lang w:val="en-GB"/>
        </w:rPr>
        <w:t>a</w:t>
      </w:r>
      <w:r w:rsidRPr="00A42DB4">
        <w:rPr>
          <w:spacing w:val="-2"/>
          <w:kern w:val="22"/>
          <w:lang w:val="en-GB"/>
        </w:rPr>
        <w:t xml:space="preserve"> platform for selling pre-owned </w:t>
      </w:r>
      <w:r w:rsidR="00E11EA0" w:rsidRPr="00A42DB4">
        <w:rPr>
          <w:spacing w:val="-2"/>
          <w:kern w:val="22"/>
          <w:lang w:val="en-GB"/>
        </w:rPr>
        <w:t xml:space="preserve">Maruti </w:t>
      </w:r>
      <w:r w:rsidRPr="00A42DB4">
        <w:rPr>
          <w:spacing w:val="-2"/>
          <w:kern w:val="22"/>
          <w:lang w:val="en-GB"/>
        </w:rPr>
        <w:t>cars. In 2014–2015</w:t>
      </w:r>
      <w:r w:rsidR="00C97363" w:rsidRPr="00A42DB4">
        <w:rPr>
          <w:spacing w:val="-2"/>
          <w:kern w:val="22"/>
          <w:lang w:val="en-GB"/>
        </w:rPr>
        <w:t>,</w:t>
      </w:r>
      <w:r w:rsidRPr="00A42DB4">
        <w:rPr>
          <w:spacing w:val="-2"/>
          <w:kern w:val="22"/>
          <w:lang w:val="en-GB"/>
        </w:rPr>
        <w:t xml:space="preserve"> </w:t>
      </w:r>
      <w:r w:rsidR="005E790A" w:rsidRPr="00A42DB4">
        <w:rPr>
          <w:spacing w:val="-2"/>
          <w:kern w:val="22"/>
          <w:lang w:val="en-GB"/>
        </w:rPr>
        <w:t>this</w:t>
      </w:r>
      <w:r w:rsidRPr="00A42DB4">
        <w:rPr>
          <w:spacing w:val="-2"/>
          <w:kern w:val="22"/>
          <w:lang w:val="en-GB"/>
        </w:rPr>
        <w:t xml:space="preserve"> subsidiary contributed to 30</w:t>
      </w:r>
      <w:r w:rsidR="005E6166" w:rsidRPr="00A42DB4">
        <w:rPr>
          <w:spacing w:val="-2"/>
          <w:kern w:val="22"/>
          <w:lang w:val="en-GB"/>
        </w:rPr>
        <w:t xml:space="preserve"> per cent</w:t>
      </w:r>
      <w:r w:rsidRPr="00A42DB4">
        <w:rPr>
          <w:spacing w:val="-2"/>
          <w:kern w:val="22"/>
          <w:lang w:val="en-GB"/>
        </w:rPr>
        <w:t xml:space="preserve"> of new vehicle sales through trade-ins. It gave attractive repayment options and discounts </w:t>
      </w:r>
      <w:r w:rsidR="009750A7">
        <w:rPr>
          <w:spacing w:val="-2"/>
          <w:kern w:val="22"/>
          <w:lang w:val="en-GB"/>
        </w:rPr>
        <w:t>in</w:t>
      </w:r>
      <w:r w:rsidRPr="00A42DB4">
        <w:rPr>
          <w:spacing w:val="-2"/>
          <w:kern w:val="22"/>
          <w:lang w:val="en-GB"/>
        </w:rPr>
        <w:t xml:space="preserve"> festive seasons, which helped it to boost sales of its offerings in the car market.</w:t>
      </w:r>
      <w:r w:rsidR="005E790A" w:rsidRPr="00A42DB4">
        <w:rPr>
          <w:spacing w:val="-2"/>
          <w:kern w:val="22"/>
          <w:lang w:val="en-GB"/>
        </w:rPr>
        <w:t xml:space="preserve"> Maruti Suzuki True Value</w:t>
      </w:r>
      <w:r w:rsidR="005E790A" w:rsidRPr="00A42DB4" w:rsidDel="005E790A">
        <w:rPr>
          <w:spacing w:val="-2"/>
          <w:kern w:val="22"/>
          <w:lang w:val="en-GB"/>
        </w:rPr>
        <w:t xml:space="preserve"> </w:t>
      </w:r>
      <w:r w:rsidRPr="00A42DB4">
        <w:rPr>
          <w:spacing w:val="-2"/>
          <w:kern w:val="22"/>
          <w:lang w:val="en-GB"/>
        </w:rPr>
        <w:t xml:space="preserve">also provided other services </w:t>
      </w:r>
      <w:r w:rsidR="009750A7">
        <w:rPr>
          <w:spacing w:val="-2"/>
          <w:kern w:val="22"/>
          <w:lang w:val="en-GB"/>
        </w:rPr>
        <w:t>such as</w:t>
      </w:r>
      <w:r w:rsidRPr="00A42DB4">
        <w:rPr>
          <w:spacing w:val="-2"/>
          <w:kern w:val="22"/>
          <w:lang w:val="en-GB"/>
        </w:rPr>
        <w:t xml:space="preserve"> 24-hour road service</w:t>
      </w:r>
      <w:r w:rsidR="002336CF">
        <w:rPr>
          <w:spacing w:val="-2"/>
          <w:kern w:val="22"/>
          <w:lang w:val="en-GB"/>
        </w:rPr>
        <w:t>;</w:t>
      </w:r>
      <w:r w:rsidRPr="00A42DB4">
        <w:rPr>
          <w:spacing w:val="-2"/>
          <w:kern w:val="22"/>
          <w:lang w:val="en-GB"/>
        </w:rPr>
        <w:t xml:space="preserve"> Maruti Driving School</w:t>
      </w:r>
      <w:r w:rsidR="002336CF">
        <w:rPr>
          <w:spacing w:val="-2"/>
          <w:kern w:val="22"/>
          <w:lang w:val="en-GB"/>
        </w:rPr>
        <w:t>;</w:t>
      </w:r>
      <w:r w:rsidRPr="00A42DB4">
        <w:rPr>
          <w:spacing w:val="-2"/>
          <w:kern w:val="22"/>
          <w:lang w:val="en-GB"/>
        </w:rPr>
        <w:t xml:space="preserve"> and Maruti Insurance, Customer Care, and Finance options to customers, making its dealership a one-stop shop. As reported by </w:t>
      </w:r>
      <w:r w:rsidR="00935B76" w:rsidRPr="00A42DB4">
        <w:rPr>
          <w:spacing w:val="-2"/>
          <w:kern w:val="22"/>
          <w:lang w:val="en-GB"/>
        </w:rPr>
        <w:t>Shankar</w:t>
      </w:r>
      <w:r w:rsidRPr="00A42DB4">
        <w:rPr>
          <w:spacing w:val="-2"/>
          <w:kern w:val="22"/>
          <w:lang w:val="en-GB"/>
        </w:rPr>
        <w:t>,</w:t>
      </w:r>
    </w:p>
    <w:p w14:paraId="19833328" w14:textId="77777777" w:rsidR="006C278C" w:rsidRPr="00EA13C5" w:rsidRDefault="006C278C" w:rsidP="00C8508B">
      <w:pPr>
        <w:pStyle w:val="BodyTextMain"/>
        <w:rPr>
          <w:sz w:val="20"/>
          <w:szCs w:val="20"/>
          <w:lang w:val="en-GB"/>
        </w:rPr>
      </w:pPr>
    </w:p>
    <w:p w14:paraId="594E3CE7" w14:textId="340A1989" w:rsidR="000735FF" w:rsidRPr="002B43C8" w:rsidRDefault="000735FF" w:rsidP="009D0A75">
      <w:pPr>
        <w:pStyle w:val="BodyTextMain"/>
        <w:ind w:left="720"/>
        <w:rPr>
          <w:lang w:val="en-GB"/>
        </w:rPr>
      </w:pPr>
      <w:r w:rsidRPr="002B43C8">
        <w:rPr>
          <w:lang w:val="en-GB"/>
        </w:rPr>
        <w:t>Consumers in India look for discounts and attractive schemes before buying a car. Giving a good exchange rate to a customer for a pre-owned car also drives sales. Above all, buying a car is a big decision in an Indian household, done on an auspicious day</w:t>
      </w:r>
      <w:r w:rsidR="005E790A">
        <w:rPr>
          <w:lang w:val="en-GB"/>
        </w:rPr>
        <w:t>,</w:t>
      </w:r>
      <w:r w:rsidRPr="002B43C8">
        <w:rPr>
          <w:lang w:val="en-GB"/>
        </w:rPr>
        <w:t xml:space="preserve"> so to drive sales, discounts are given during festivals.</w:t>
      </w:r>
    </w:p>
    <w:p w14:paraId="29834CAD" w14:textId="77777777" w:rsidR="000735FF" w:rsidRPr="00EA13C5" w:rsidRDefault="000735FF" w:rsidP="00C8508B">
      <w:pPr>
        <w:pStyle w:val="BodyTextMain"/>
        <w:rPr>
          <w:sz w:val="20"/>
          <w:szCs w:val="20"/>
          <w:lang w:val="en-GB"/>
        </w:rPr>
      </w:pPr>
    </w:p>
    <w:p w14:paraId="2C0C6685" w14:textId="259AE3F0" w:rsidR="000735FF" w:rsidRDefault="000735FF" w:rsidP="002141C0">
      <w:pPr>
        <w:pStyle w:val="BodyTextMain"/>
        <w:rPr>
          <w:lang w:val="en-GB"/>
        </w:rPr>
      </w:pPr>
      <w:r w:rsidRPr="002B43C8">
        <w:rPr>
          <w:lang w:val="en-GB"/>
        </w:rPr>
        <w:t xml:space="preserve">The increased sales of </w:t>
      </w:r>
      <w:r w:rsidR="005E790A">
        <w:rPr>
          <w:lang w:val="en-GB"/>
        </w:rPr>
        <w:t>MSIL’s</w:t>
      </w:r>
      <w:r w:rsidR="005E790A" w:rsidRPr="002B43C8">
        <w:rPr>
          <w:lang w:val="en-GB"/>
        </w:rPr>
        <w:t xml:space="preserve"> </w:t>
      </w:r>
      <w:r w:rsidRPr="002B43C8">
        <w:rPr>
          <w:lang w:val="en-GB"/>
        </w:rPr>
        <w:t>new models could be attributed to the</w:t>
      </w:r>
      <w:r w:rsidR="005E790A">
        <w:rPr>
          <w:lang w:val="en-GB"/>
        </w:rPr>
        <w:t>se</w:t>
      </w:r>
      <w:r w:rsidRPr="002B43C8">
        <w:rPr>
          <w:lang w:val="en-GB"/>
        </w:rPr>
        <w:t xml:space="preserve"> sales incentives, </w:t>
      </w:r>
      <w:r w:rsidR="005E790A">
        <w:rPr>
          <w:lang w:val="en-GB"/>
        </w:rPr>
        <w:t xml:space="preserve">and to the </w:t>
      </w:r>
      <w:r w:rsidRPr="002B43C8">
        <w:rPr>
          <w:lang w:val="en-GB"/>
        </w:rPr>
        <w:t>easy availability of low-cost financ</w:t>
      </w:r>
      <w:r w:rsidR="005E790A">
        <w:rPr>
          <w:lang w:val="en-GB"/>
        </w:rPr>
        <w:t>ing</w:t>
      </w:r>
      <w:r w:rsidRPr="002B43C8">
        <w:rPr>
          <w:lang w:val="en-GB"/>
        </w:rPr>
        <w:t xml:space="preserve"> provided by Maruti Finance and third parties with comfortable repayment options. As </w:t>
      </w:r>
      <w:r w:rsidR="00935B76">
        <w:rPr>
          <w:lang w:val="en-GB"/>
        </w:rPr>
        <w:t>Shankar</w:t>
      </w:r>
      <w:r w:rsidRPr="002B43C8">
        <w:rPr>
          <w:lang w:val="en-GB"/>
        </w:rPr>
        <w:t xml:space="preserve"> said,</w:t>
      </w:r>
      <w:r w:rsidR="00C170DA">
        <w:rPr>
          <w:lang w:val="en-GB"/>
        </w:rPr>
        <w:t xml:space="preserve"> </w:t>
      </w:r>
      <w:r w:rsidRPr="002B43C8">
        <w:rPr>
          <w:lang w:val="en-GB"/>
        </w:rPr>
        <w:t xml:space="preserve">“MSIL fulfils the dream of many Indians who have a two-wheeler and want to buy a four-wheeler. With a down payment of only </w:t>
      </w:r>
      <w:r w:rsidR="00C170DA" w:rsidRPr="002141C0">
        <w:rPr>
          <w:rFonts w:ascii="Calibri" w:eastAsia="Calibri" w:hAnsi="Calibri" w:cs="Calibri"/>
          <w:spacing w:val="-2"/>
          <w:kern w:val="15"/>
          <w:lang w:val="en-GB"/>
        </w:rPr>
        <w:t>₹</w:t>
      </w:r>
      <w:r w:rsidRPr="002B43C8">
        <w:rPr>
          <w:lang w:val="en-GB"/>
        </w:rPr>
        <w:t>40,000–50,000 and easy financ</w:t>
      </w:r>
      <w:r w:rsidR="005E790A">
        <w:rPr>
          <w:lang w:val="en-GB"/>
        </w:rPr>
        <w:t>ing</w:t>
      </w:r>
      <w:r w:rsidRPr="002B43C8">
        <w:rPr>
          <w:lang w:val="en-GB"/>
        </w:rPr>
        <w:t xml:space="preserve"> with low </w:t>
      </w:r>
      <w:r w:rsidR="005E790A">
        <w:rPr>
          <w:lang w:val="en-GB"/>
        </w:rPr>
        <w:t>monthly payments,</w:t>
      </w:r>
      <w:r w:rsidRPr="002B43C8">
        <w:rPr>
          <w:lang w:val="en-GB"/>
        </w:rPr>
        <w:t xml:space="preserve"> customers can own an MSIL car.”</w:t>
      </w:r>
    </w:p>
    <w:p w14:paraId="738DC090" w14:textId="77777777" w:rsidR="000D272C" w:rsidRPr="00EA13C5" w:rsidRDefault="000D272C" w:rsidP="002141C0">
      <w:pPr>
        <w:pStyle w:val="BodyTextMain"/>
        <w:rPr>
          <w:sz w:val="20"/>
          <w:szCs w:val="20"/>
          <w:lang w:val="en-GB"/>
        </w:rPr>
      </w:pPr>
    </w:p>
    <w:p w14:paraId="72C5CB10" w14:textId="77777777" w:rsidR="000735FF" w:rsidRPr="00EA13C5" w:rsidRDefault="000735FF" w:rsidP="00C8508B">
      <w:pPr>
        <w:pStyle w:val="BodyTextMain"/>
        <w:rPr>
          <w:sz w:val="20"/>
          <w:szCs w:val="20"/>
          <w:lang w:val="en-GB"/>
        </w:rPr>
      </w:pPr>
    </w:p>
    <w:p w14:paraId="6340CFA0" w14:textId="77777777" w:rsidR="00076CB3" w:rsidRPr="00B479EB" w:rsidRDefault="00076CB3" w:rsidP="00E66B42">
      <w:pPr>
        <w:pStyle w:val="BodyTextMain"/>
        <w:keepNext/>
        <w:outlineLvl w:val="0"/>
        <w:rPr>
          <w:rFonts w:ascii="Arial" w:eastAsiaTheme="majorEastAsia" w:hAnsi="Arial" w:cs="Arial"/>
          <w:b/>
          <w:caps/>
          <w:sz w:val="20"/>
          <w:szCs w:val="20"/>
          <w:lang w:val="en-GB"/>
        </w:rPr>
      </w:pPr>
      <w:r w:rsidRPr="00B479EB">
        <w:rPr>
          <w:rFonts w:ascii="Arial" w:eastAsiaTheme="majorEastAsia" w:hAnsi="Arial" w:cs="Arial"/>
          <w:b/>
          <w:caps/>
          <w:sz w:val="20"/>
          <w:szCs w:val="20"/>
          <w:lang w:val="en-GB"/>
        </w:rPr>
        <w:lastRenderedPageBreak/>
        <w:t>Lessons from the past</w:t>
      </w:r>
    </w:p>
    <w:p w14:paraId="2C2043C7" w14:textId="77777777" w:rsidR="00076CB3" w:rsidRPr="00EA13C5" w:rsidRDefault="00076CB3" w:rsidP="00E66B42">
      <w:pPr>
        <w:pStyle w:val="BodyTextMain"/>
        <w:keepNext/>
        <w:rPr>
          <w:rFonts w:eastAsiaTheme="majorEastAsia"/>
          <w:sz w:val="20"/>
          <w:szCs w:val="20"/>
        </w:rPr>
      </w:pPr>
    </w:p>
    <w:p w14:paraId="290C2158" w14:textId="76ACF59A" w:rsidR="000735FF" w:rsidRPr="00A91FBB" w:rsidRDefault="005E790A" w:rsidP="00E66B42">
      <w:pPr>
        <w:pStyle w:val="BodyTextMain"/>
        <w:keepNext/>
        <w:rPr>
          <w:spacing w:val="-2"/>
          <w:kern w:val="22"/>
          <w:lang w:val="en-GB"/>
        </w:rPr>
      </w:pPr>
      <w:r w:rsidRPr="00A91FBB">
        <w:rPr>
          <w:spacing w:val="-2"/>
          <w:kern w:val="22"/>
          <w:lang w:val="en-GB"/>
        </w:rPr>
        <w:t xml:space="preserve">Over 30 years, MSIL’s advertising and offerings had changed in </w:t>
      </w:r>
      <w:r w:rsidR="00481A5A" w:rsidRPr="00A91FBB">
        <w:rPr>
          <w:spacing w:val="-2"/>
          <w:kern w:val="22"/>
          <w:lang w:val="en-GB"/>
        </w:rPr>
        <w:t>accordance</w:t>
      </w:r>
      <w:r w:rsidRPr="00A91FBB">
        <w:rPr>
          <w:spacing w:val="-2"/>
          <w:kern w:val="22"/>
          <w:lang w:val="en-GB"/>
        </w:rPr>
        <w:t xml:space="preserve"> with customers’ shifting preferences for different kinds of value from their vehicles.</w:t>
      </w:r>
      <w:r w:rsidR="000735FF" w:rsidRPr="00A91FBB">
        <w:rPr>
          <w:spacing w:val="-2"/>
          <w:kern w:val="22"/>
          <w:lang w:val="en-GB"/>
        </w:rPr>
        <w:t xml:space="preserve"> However, the decision to branch into segments </w:t>
      </w:r>
      <w:r w:rsidR="00481A5A" w:rsidRPr="00A91FBB">
        <w:rPr>
          <w:spacing w:val="-2"/>
          <w:kern w:val="22"/>
          <w:lang w:val="en-GB"/>
        </w:rPr>
        <w:t>such as</w:t>
      </w:r>
      <w:r w:rsidR="000735FF" w:rsidRPr="00A91FBB">
        <w:rPr>
          <w:spacing w:val="-2"/>
          <w:kern w:val="22"/>
          <w:lang w:val="en-GB"/>
        </w:rPr>
        <w:t xml:space="preserve"> SUVs and premium sedans</w:t>
      </w:r>
      <w:r w:rsidRPr="00A91FBB">
        <w:rPr>
          <w:spacing w:val="-2"/>
          <w:kern w:val="22"/>
          <w:lang w:val="en-GB"/>
        </w:rPr>
        <w:t xml:space="preserve"> had</w:t>
      </w:r>
      <w:r w:rsidR="000735FF" w:rsidRPr="00A91FBB">
        <w:rPr>
          <w:spacing w:val="-2"/>
          <w:kern w:val="22"/>
          <w:lang w:val="en-GB"/>
        </w:rPr>
        <w:t xml:space="preserve"> proved</w:t>
      </w:r>
      <w:r w:rsidRPr="00A91FBB">
        <w:rPr>
          <w:spacing w:val="-2"/>
          <w:kern w:val="22"/>
          <w:lang w:val="en-GB"/>
        </w:rPr>
        <w:t xml:space="preserve"> unsuccessful </w:t>
      </w:r>
      <w:r w:rsidR="000735FF" w:rsidRPr="00A91FBB">
        <w:rPr>
          <w:spacing w:val="-2"/>
          <w:kern w:val="22"/>
          <w:lang w:val="en-GB"/>
        </w:rPr>
        <w:t>for the company. MSIL tried to enter the high-end market with mid-size sedans like the Baleno in 1999</w:t>
      </w:r>
      <w:r w:rsidRPr="00A91FBB">
        <w:rPr>
          <w:spacing w:val="-2"/>
          <w:kern w:val="22"/>
          <w:lang w:val="en-GB"/>
        </w:rPr>
        <w:t xml:space="preserve"> (</w:t>
      </w:r>
      <w:r w:rsidR="000735FF" w:rsidRPr="00A91FBB">
        <w:rPr>
          <w:spacing w:val="-2"/>
          <w:kern w:val="22"/>
          <w:lang w:val="en-GB"/>
        </w:rPr>
        <w:t xml:space="preserve">priced around </w:t>
      </w:r>
      <w:r w:rsidR="00C170DA" w:rsidRPr="00A91FBB">
        <w:rPr>
          <w:rFonts w:ascii="Calibri" w:eastAsia="Calibri" w:hAnsi="Calibri" w:cs="Calibri"/>
          <w:spacing w:val="-2"/>
          <w:kern w:val="22"/>
          <w:lang w:val="en-GB"/>
        </w:rPr>
        <w:t>₹</w:t>
      </w:r>
      <w:r w:rsidR="000735FF" w:rsidRPr="00A91FBB">
        <w:rPr>
          <w:spacing w:val="-2"/>
          <w:kern w:val="22"/>
          <w:lang w:val="en-GB"/>
        </w:rPr>
        <w:t>0.7–0.8 million</w:t>
      </w:r>
      <w:r w:rsidRPr="00A91FBB">
        <w:rPr>
          <w:spacing w:val="-2"/>
          <w:kern w:val="22"/>
          <w:lang w:val="en-GB"/>
        </w:rPr>
        <w:t>),</w:t>
      </w:r>
      <w:r w:rsidR="000735FF" w:rsidRPr="00A91FBB">
        <w:rPr>
          <w:spacing w:val="-2"/>
          <w:kern w:val="22"/>
          <w:lang w:val="en-GB"/>
        </w:rPr>
        <w:t xml:space="preserve"> </w:t>
      </w:r>
      <w:r w:rsidRPr="00A91FBB">
        <w:rPr>
          <w:spacing w:val="-2"/>
          <w:kern w:val="22"/>
          <w:lang w:val="en-GB"/>
        </w:rPr>
        <w:t>b</w:t>
      </w:r>
      <w:r w:rsidR="000735FF" w:rsidRPr="00A91FBB">
        <w:rPr>
          <w:spacing w:val="-2"/>
          <w:kern w:val="22"/>
          <w:lang w:val="en-GB"/>
        </w:rPr>
        <w:t xml:space="preserve">ut due to existing players in </w:t>
      </w:r>
      <w:r w:rsidRPr="00A91FBB">
        <w:rPr>
          <w:spacing w:val="-2"/>
          <w:kern w:val="22"/>
          <w:lang w:val="en-GB"/>
        </w:rPr>
        <w:t xml:space="preserve">these </w:t>
      </w:r>
      <w:r w:rsidR="000735FF" w:rsidRPr="00A91FBB">
        <w:rPr>
          <w:spacing w:val="-2"/>
          <w:kern w:val="22"/>
          <w:lang w:val="en-GB"/>
        </w:rPr>
        <w:t xml:space="preserve">segments </w:t>
      </w:r>
      <w:r w:rsidRPr="00A91FBB">
        <w:rPr>
          <w:spacing w:val="-2"/>
          <w:kern w:val="22"/>
          <w:lang w:val="en-GB"/>
        </w:rPr>
        <w:t xml:space="preserve">(e.g., </w:t>
      </w:r>
      <w:r w:rsidR="000735FF" w:rsidRPr="00A91FBB">
        <w:rPr>
          <w:spacing w:val="-2"/>
          <w:kern w:val="22"/>
          <w:lang w:val="en-GB"/>
        </w:rPr>
        <w:t xml:space="preserve">Honda and </w:t>
      </w:r>
      <w:r w:rsidR="00252DAF" w:rsidRPr="00A91FBB">
        <w:rPr>
          <w:spacing w:val="-2"/>
          <w:kern w:val="22"/>
          <w:lang w:val="en-GB"/>
        </w:rPr>
        <w:t>Hyundai</w:t>
      </w:r>
      <w:r w:rsidRPr="00A91FBB">
        <w:rPr>
          <w:spacing w:val="-2"/>
          <w:kern w:val="22"/>
          <w:lang w:val="en-GB"/>
        </w:rPr>
        <w:t>)</w:t>
      </w:r>
      <w:r w:rsidR="0048072C" w:rsidRPr="00A91FBB">
        <w:rPr>
          <w:spacing w:val="-2"/>
          <w:kern w:val="22"/>
          <w:lang w:val="en-GB"/>
        </w:rPr>
        <w:t>,</w:t>
      </w:r>
      <w:r w:rsidR="000735FF" w:rsidRPr="00A91FBB">
        <w:rPr>
          <w:spacing w:val="-2"/>
          <w:kern w:val="22"/>
          <w:lang w:val="en-GB"/>
        </w:rPr>
        <w:t xml:space="preserve"> MSIL </w:t>
      </w:r>
      <w:r w:rsidRPr="00A91FBB">
        <w:rPr>
          <w:spacing w:val="-2"/>
          <w:kern w:val="22"/>
          <w:lang w:val="en-GB"/>
        </w:rPr>
        <w:t>had failed in this endeavour.</w:t>
      </w:r>
    </w:p>
    <w:p w14:paraId="1361F970" w14:textId="77777777" w:rsidR="00E66B42" w:rsidRDefault="00E66B42" w:rsidP="00C8508B">
      <w:pPr>
        <w:pStyle w:val="BodyTextMain"/>
        <w:rPr>
          <w:spacing w:val="-2"/>
          <w:kern w:val="22"/>
          <w:lang w:val="en-GB"/>
        </w:rPr>
      </w:pPr>
    </w:p>
    <w:p w14:paraId="1E390C1E" w14:textId="64570C61" w:rsidR="000735FF" w:rsidRPr="00A42DB4" w:rsidRDefault="005E790A" w:rsidP="00C8508B">
      <w:pPr>
        <w:pStyle w:val="BodyTextMain"/>
        <w:rPr>
          <w:spacing w:val="-2"/>
          <w:kern w:val="22"/>
          <w:lang w:val="en-GB"/>
        </w:rPr>
      </w:pPr>
      <w:r w:rsidRPr="00A42DB4">
        <w:rPr>
          <w:spacing w:val="-2"/>
          <w:kern w:val="22"/>
          <w:lang w:val="en-GB"/>
        </w:rPr>
        <w:t>In 2007, t</w:t>
      </w:r>
      <w:r w:rsidR="000735FF" w:rsidRPr="00A42DB4">
        <w:rPr>
          <w:spacing w:val="-2"/>
          <w:kern w:val="22"/>
          <w:lang w:val="en-GB"/>
        </w:rPr>
        <w:t xml:space="preserve">he </w:t>
      </w:r>
      <w:r w:rsidRPr="00A42DB4">
        <w:rPr>
          <w:spacing w:val="-2"/>
          <w:kern w:val="22"/>
          <w:lang w:val="en-GB"/>
        </w:rPr>
        <w:t xml:space="preserve">company had </w:t>
      </w:r>
      <w:r w:rsidR="000735FF" w:rsidRPr="00A42DB4">
        <w:rPr>
          <w:spacing w:val="-2"/>
          <w:kern w:val="22"/>
          <w:lang w:val="en-GB"/>
        </w:rPr>
        <w:t>launch</w:t>
      </w:r>
      <w:r w:rsidRPr="00A42DB4">
        <w:rPr>
          <w:spacing w:val="-2"/>
          <w:kern w:val="22"/>
          <w:lang w:val="en-GB"/>
        </w:rPr>
        <w:t>ed the</w:t>
      </w:r>
      <w:r w:rsidR="000735FF" w:rsidRPr="00A42DB4">
        <w:rPr>
          <w:spacing w:val="-2"/>
          <w:kern w:val="22"/>
          <w:lang w:val="en-GB"/>
        </w:rPr>
        <w:t xml:space="preserve"> Grand Vitara (SUV) in an attempt to enter the luxury car segment. </w:t>
      </w:r>
      <w:r w:rsidRPr="00A42DB4">
        <w:rPr>
          <w:spacing w:val="-2"/>
          <w:kern w:val="22"/>
          <w:lang w:val="en-GB"/>
        </w:rPr>
        <w:t xml:space="preserve">Unfortunately, the vehicle </w:t>
      </w:r>
      <w:r w:rsidR="000735FF" w:rsidRPr="00A42DB4">
        <w:rPr>
          <w:spacing w:val="-2"/>
          <w:kern w:val="22"/>
          <w:lang w:val="en-GB"/>
        </w:rPr>
        <w:t>attracted an import duty of 60</w:t>
      </w:r>
      <w:r w:rsidR="005E6166" w:rsidRPr="00A42DB4">
        <w:rPr>
          <w:spacing w:val="-2"/>
          <w:kern w:val="22"/>
          <w:lang w:val="en-GB"/>
        </w:rPr>
        <w:t xml:space="preserve"> per cent</w:t>
      </w:r>
      <w:r w:rsidR="000735FF" w:rsidRPr="00A42DB4">
        <w:rPr>
          <w:spacing w:val="-2"/>
          <w:kern w:val="22"/>
          <w:lang w:val="en-GB"/>
        </w:rPr>
        <w:t xml:space="preserve"> </w:t>
      </w:r>
      <w:r w:rsidRPr="00A42DB4">
        <w:rPr>
          <w:spacing w:val="-2"/>
          <w:kern w:val="22"/>
          <w:lang w:val="en-GB"/>
        </w:rPr>
        <w:t>because</w:t>
      </w:r>
      <w:r w:rsidR="000735FF" w:rsidRPr="00A42DB4">
        <w:rPr>
          <w:spacing w:val="-2"/>
          <w:kern w:val="22"/>
          <w:lang w:val="en-GB"/>
        </w:rPr>
        <w:t xml:space="preserve"> it was a completely imported car, which made it the highest-priced car in India. Another reason for its failure was the absence of a diesel engine, an important consideration in th</w:t>
      </w:r>
      <w:r w:rsidR="0076643A" w:rsidRPr="00A42DB4">
        <w:rPr>
          <w:spacing w:val="-2"/>
          <w:kern w:val="22"/>
          <w:lang w:val="en-GB"/>
        </w:rPr>
        <w:t>e luxury</w:t>
      </w:r>
      <w:r w:rsidR="000735FF" w:rsidRPr="00A42DB4">
        <w:rPr>
          <w:spacing w:val="-2"/>
          <w:kern w:val="22"/>
          <w:lang w:val="en-GB"/>
        </w:rPr>
        <w:t xml:space="preserve"> category. </w:t>
      </w:r>
      <w:r w:rsidR="0076643A" w:rsidRPr="00A42DB4">
        <w:rPr>
          <w:spacing w:val="-2"/>
          <w:kern w:val="22"/>
          <w:lang w:val="en-GB"/>
        </w:rPr>
        <w:t>In</w:t>
      </w:r>
      <w:r w:rsidR="000735FF" w:rsidRPr="00A42DB4">
        <w:rPr>
          <w:spacing w:val="-2"/>
          <w:kern w:val="22"/>
          <w:lang w:val="en-GB"/>
        </w:rPr>
        <w:t xml:space="preserve"> 2011</w:t>
      </w:r>
      <w:r w:rsidR="0076643A" w:rsidRPr="00A42DB4">
        <w:rPr>
          <w:spacing w:val="-2"/>
          <w:kern w:val="22"/>
          <w:lang w:val="en-GB"/>
        </w:rPr>
        <w:t>,</w:t>
      </w:r>
      <w:r w:rsidR="000735FF" w:rsidRPr="00A42DB4">
        <w:rPr>
          <w:spacing w:val="-2"/>
          <w:kern w:val="22"/>
          <w:lang w:val="en-GB"/>
        </w:rPr>
        <w:t xml:space="preserve"> MSIL</w:t>
      </w:r>
      <w:r w:rsidR="0076643A" w:rsidRPr="00A42DB4">
        <w:rPr>
          <w:spacing w:val="-2"/>
          <w:kern w:val="22"/>
          <w:lang w:val="en-GB"/>
        </w:rPr>
        <w:t xml:space="preserve"> again tried to</w:t>
      </w:r>
      <w:r w:rsidR="000735FF" w:rsidRPr="00A42DB4">
        <w:rPr>
          <w:spacing w:val="-2"/>
          <w:kern w:val="22"/>
          <w:lang w:val="en-GB"/>
        </w:rPr>
        <w:t xml:space="preserve"> enter the luxury segment with its internationally successful Kizashi model, which also attracted a 60</w:t>
      </w:r>
      <w:r w:rsidR="005E6166" w:rsidRPr="00A42DB4">
        <w:rPr>
          <w:spacing w:val="-2"/>
          <w:kern w:val="22"/>
          <w:lang w:val="en-GB"/>
        </w:rPr>
        <w:t xml:space="preserve"> per cent</w:t>
      </w:r>
      <w:r w:rsidR="000735FF" w:rsidRPr="00A42DB4">
        <w:rPr>
          <w:spacing w:val="-2"/>
          <w:kern w:val="22"/>
          <w:lang w:val="en-GB"/>
        </w:rPr>
        <w:t xml:space="preserve"> import duty and received a tepid response from customers. Though it was expected to be a toehold for MSIL to enter the luxury segment, the Kizashi was discontinued within three years of</w:t>
      </w:r>
      <w:r w:rsidR="00481A5A">
        <w:rPr>
          <w:spacing w:val="-2"/>
          <w:kern w:val="22"/>
          <w:lang w:val="en-GB"/>
        </w:rPr>
        <w:t xml:space="preserve"> its</w:t>
      </w:r>
      <w:r w:rsidR="000735FF" w:rsidRPr="00A42DB4">
        <w:rPr>
          <w:spacing w:val="-2"/>
          <w:kern w:val="22"/>
          <w:lang w:val="en-GB"/>
        </w:rPr>
        <w:t xml:space="preserve"> launch. As </w:t>
      </w:r>
      <w:r w:rsidR="00935B76" w:rsidRPr="00A42DB4">
        <w:rPr>
          <w:spacing w:val="-2"/>
          <w:kern w:val="22"/>
          <w:lang w:val="en-GB"/>
        </w:rPr>
        <w:t xml:space="preserve">Bhati </w:t>
      </w:r>
      <w:r w:rsidR="000735FF" w:rsidRPr="00A42DB4">
        <w:rPr>
          <w:spacing w:val="-2"/>
          <w:kern w:val="22"/>
          <w:lang w:val="en-GB"/>
        </w:rPr>
        <w:t>explained,</w:t>
      </w:r>
    </w:p>
    <w:p w14:paraId="0D928E87" w14:textId="77777777" w:rsidR="000735FF" w:rsidRPr="00EA13C5" w:rsidRDefault="000735FF" w:rsidP="00C8508B">
      <w:pPr>
        <w:pStyle w:val="BodyTextMain"/>
        <w:rPr>
          <w:sz w:val="20"/>
          <w:szCs w:val="20"/>
          <w:lang w:val="en-GB"/>
        </w:rPr>
      </w:pPr>
    </w:p>
    <w:p w14:paraId="4A728A4A" w14:textId="4DBCF8F0" w:rsidR="000735FF" w:rsidRPr="002B43C8" w:rsidRDefault="00DD614C" w:rsidP="000A3E14">
      <w:pPr>
        <w:pStyle w:val="BodyTextMain"/>
        <w:ind w:left="720"/>
        <w:rPr>
          <w:lang w:val="en-GB"/>
        </w:rPr>
      </w:pPr>
      <w:r>
        <w:rPr>
          <w:lang w:val="en-GB"/>
        </w:rPr>
        <w:t xml:space="preserve">[Although] </w:t>
      </w:r>
      <w:r w:rsidR="000735FF" w:rsidRPr="002B43C8">
        <w:rPr>
          <w:lang w:val="en-GB"/>
        </w:rPr>
        <w:t xml:space="preserve">luxury cars by BMW, Mercedes-Benz, and Audi were successfully selling in the country, we couldn’t sell luxury cars like Kizashi and Grand Vitara. Besides the high import duty, I believe we fell short in making the right product to fulfil </w:t>
      </w:r>
      <w:r>
        <w:rPr>
          <w:lang w:val="en-GB"/>
        </w:rPr>
        <w:t>[customers’]</w:t>
      </w:r>
      <w:r w:rsidR="000735FF" w:rsidRPr="002B43C8">
        <w:rPr>
          <w:lang w:val="en-GB"/>
        </w:rPr>
        <w:t xml:space="preserve"> expectations</w:t>
      </w:r>
      <w:r>
        <w:rPr>
          <w:lang w:val="en-GB"/>
        </w:rPr>
        <w:t>,</w:t>
      </w:r>
      <w:r w:rsidR="000735FF" w:rsidRPr="002B43C8">
        <w:rPr>
          <w:lang w:val="en-GB"/>
        </w:rPr>
        <w:t xml:space="preserve"> and we lacked the sales and marketing focus to sell the</w:t>
      </w:r>
      <w:r>
        <w:rPr>
          <w:lang w:val="en-GB"/>
        </w:rPr>
        <w:t>se</w:t>
      </w:r>
      <w:r w:rsidR="000735FF" w:rsidRPr="002B43C8">
        <w:rPr>
          <w:lang w:val="en-GB"/>
        </w:rPr>
        <w:t xml:space="preserve"> high-end-segment vehicles.</w:t>
      </w:r>
    </w:p>
    <w:p w14:paraId="27300A08" w14:textId="77777777" w:rsidR="000735FF" w:rsidRPr="00EA13C5" w:rsidRDefault="000735FF" w:rsidP="00C8508B">
      <w:pPr>
        <w:pStyle w:val="BodyTextMain"/>
        <w:rPr>
          <w:sz w:val="20"/>
          <w:szCs w:val="20"/>
          <w:lang w:val="en-GB"/>
        </w:rPr>
      </w:pPr>
    </w:p>
    <w:p w14:paraId="44A4C9C4" w14:textId="65CF4E58" w:rsidR="000735FF" w:rsidRPr="00A42DB4" w:rsidRDefault="000735FF" w:rsidP="002141C0">
      <w:pPr>
        <w:pStyle w:val="BodyTextMain"/>
        <w:rPr>
          <w:spacing w:val="-4"/>
          <w:kern w:val="22"/>
          <w:lang w:val="en-GB"/>
        </w:rPr>
      </w:pPr>
      <w:r w:rsidRPr="00A42DB4">
        <w:rPr>
          <w:spacing w:val="-4"/>
          <w:kern w:val="22"/>
          <w:lang w:val="en-GB"/>
        </w:rPr>
        <w:t>The high price-range models were not accepted by consumers</w:t>
      </w:r>
      <w:r w:rsidR="00DD614C" w:rsidRPr="00A42DB4">
        <w:rPr>
          <w:spacing w:val="-4"/>
          <w:kern w:val="22"/>
          <w:lang w:val="en-GB"/>
        </w:rPr>
        <w:t>,</w:t>
      </w:r>
      <w:r w:rsidRPr="00A42DB4">
        <w:rPr>
          <w:spacing w:val="-4"/>
          <w:kern w:val="22"/>
          <w:lang w:val="en-GB"/>
        </w:rPr>
        <w:t xml:space="preserve"> and </w:t>
      </w:r>
      <w:r w:rsidR="00DD614C" w:rsidRPr="00A42DB4">
        <w:rPr>
          <w:spacing w:val="-4"/>
          <w:kern w:val="22"/>
          <w:lang w:val="en-GB"/>
        </w:rPr>
        <w:t>served as</w:t>
      </w:r>
      <w:r w:rsidRPr="00A42DB4">
        <w:rPr>
          <w:spacing w:val="-4"/>
          <w:kern w:val="22"/>
          <w:lang w:val="en-GB"/>
        </w:rPr>
        <w:t xml:space="preserve"> eye</w:t>
      </w:r>
      <w:r w:rsidR="00DD614C" w:rsidRPr="00A42DB4">
        <w:rPr>
          <w:spacing w:val="-4"/>
          <w:kern w:val="22"/>
          <w:lang w:val="en-GB"/>
        </w:rPr>
        <w:t>-</w:t>
      </w:r>
      <w:r w:rsidRPr="00A42DB4">
        <w:rPr>
          <w:spacing w:val="-4"/>
          <w:kern w:val="22"/>
          <w:lang w:val="en-GB"/>
        </w:rPr>
        <w:t>open</w:t>
      </w:r>
      <w:r w:rsidR="00DD614C" w:rsidRPr="00A42DB4">
        <w:rPr>
          <w:spacing w:val="-4"/>
          <w:kern w:val="22"/>
          <w:lang w:val="en-GB"/>
        </w:rPr>
        <w:t>ing experiences</w:t>
      </w:r>
      <w:r w:rsidRPr="00A42DB4">
        <w:rPr>
          <w:spacing w:val="-4"/>
          <w:kern w:val="22"/>
          <w:lang w:val="en-GB"/>
        </w:rPr>
        <w:t xml:space="preserve"> for </w:t>
      </w:r>
      <w:r w:rsidR="00DD614C" w:rsidRPr="00A42DB4">
        <w:rPr>
          <w:spacing w:val="-4"/>
          <w:kern w:val="22"/>
          <w:lang w:val="en-GB"/>
        </w:rPr>
        <w:t>MSIL</w:t>
      </w:r>
      <w:r w:rsidRPr="00A42DB4">
        <w:rPr>
          <w:spacing w:val="-4"/>
          <w:kern w:val="22"/>
          <w:lang w:val="en-GB"/>
        </w:rPr>
        <w:t>.</w:t>
      </w:r>
      <w:r w:rsidR="00DD614C" w:rsidRPr="00A42DB4">
        <w:rPr>
          <w:spacing w:val="-4"/>
          <w:kern w:val="22"/>
          <w:lang w:val="en-GB"/>
        </w:rPr>
        <w:t xml:space="preserve"> Despite the company’s extensive efforts in this market, Hyundai and Honda retained the largest share of this high-margin segment.</w:t>
      </w:r>
      <w:r w:rsidRPr="00A42DB4">
        <w:rPr>
          <w:spacing w:val="-4"/>
          <w:kern w:val="22"/>
          <w:lang w:val="en-GB"/>
        </w:rPr>
        <w:t xml:space="preserve"> </w:t>
      </w:r>
      <w:r w:rsidR="00314E2D" w:rsidRPr="00A42DB4">
        <w:rPr>
          <w:spacing w:val="-4"/>
          <w:kern w:val="22"/>
          <w:lang w:val="en-GB"/>
        </w:rPr>
        <w:t>Kumar</w:t>
      </w:r>
      <w:r w:rsidRPr="00A42DB4">
        <w:rPr>
          <w:spacing w:val="-4"/>
          <w:kern w:val="22"/>
          <w:lang w:val="en-GB"/>
        </w:rPr>
        <w:t xml:space="preserve"> recounted,</w:t>
      </w:r>
      <w:r w:rsidR="00314E2D" w:rsidRPr="00A42DB4">
        <w:rPr>
          <w:spacing w:val="-4"/>
          <w:kern w:val="22"/>
          <w:lang w:val="en-GB"/>
        </w:rPr>
        <w:t xml:space="preserve"> </w:t>
      </w:r>
      <w:r w:rsidRPr="00A42DB4">
        <w:rPr>
          <w:spacing w:val="-4"/>
          <w:kern w:val="22"/>
          <w:lang w:val="en-GB"/>
        </w:rPr>
        <w:t>“We were making cars like</w:t>
      </w:r>
      <w:r w:rsidR="00DD614C" w:rsidRPr="00A42DB4">
        <w:rPr>
          <w:spacing w:val="-4"/>
          <w:kern w:val="22"/>
          <w:lang w:val="en-GB"/>
        </w:rPr>
        <w:t xml:space="preserve"> the</w:t>
      </w:r>
      <w:r w:rsidRPr="00A42DB4">
        <w:rPr>
          <w:spacing w:val="-4"/>
          <w:kern w:val="22"/>
          <w:lang w:val="en-GB"/>
        </w:rPr>
        <w:t xml:space="preserve"> Alto 800, Wagon R, and Swift, all priced below </w:t>
      </w:r>
      <w:r w:rsidR="00C170DA" w:rsidRPr="00A42DB4">
        <w:rPr>
          <w:rFonts w:ascii="Calibri" w:eastAsia="Calibri" w:hAnsi="Calibri" w:cs="Calibri"/>
          <w:spacing w:val="-4"/>
          <w:kern w:val="22"/>
          <w:lang w:val="en-GB"/>
        </w:rPr>
        <w:t>₹</w:t>
      </w:r>
      <w:r w:rsidRPr="00A42DB4">
        <w:rPr>
          <w:spacing w:val="-4"/>
          <w:kern w:val="22"/>
          <w:lang w:val="en-GB"/>
        </w:rPr>
        <w:t xml:space="preserve">0.7 million. A sudden entry into the high-end car market, which already had established competitors like Honda, was not accepted by the customers, who perceived us as a low-price </w:t>
      </w:r>
      <w:r w:rsidR="007F36EF" w:rsidRPr="00A42DB4">
        <w:rPr>
          <w:spacing w:val="-4"/>
          <w:kern w:val="22"/>
          <w:lang w:val="en-GB"/>
        </w:rPr>
        <w:t>car maker</w:t>
      </w:r>
      <w:r w:rsidRPr="00A42DB4">
        <w:rPr>
          <w:spacing w:val="-4"/>
          <w:kern w:val="22"/>
          <w:lang w:val="en-GB"/>
        </w:rPr>
        <w:t>.”</w:t>
      </w:r>
    </w:p>
    <w:p w14:paraId="00DD4FCE" w14:textId="77777777" w:rsidR="000735FF" w:rsidRPr="00EA13C5" w:rsidRDefault="000735FF" w:rsidP="00C8508B">
      <w:pPr>
        <w:pStyle w:val="BodyTextMain"/>
        <w:rPr>
          <w:sz w:val="20"/>
          <w:szCs w:val="20"/>
          <w:lang w:val="en-GB"/>
        </w:rPr>
      </w:pPr>
    </w:p>
    <w:p w14:paraId="454B3F05" w14:textId="0AB67996" w:rsidR="000735FF" w:rsidRPr="002B43C8" w:rsidRDefault="000735FF" w:rsidP="00C8508B">
      <w:pPr>
        <w:pStyle w:val="BodyTextMain"/>
        <w:rPr>
          <w:lang w:val="en-GB"/>
        </w:rPr>
      </w:pPr>
      <w:r w:rsidRPr="002B43C8">
        <w:rPr>
          <w:lang w:val="en-GB"/>
        </w:rPr>
        <w:t>Though it</w:t>
      </w:r>
      <w:r w:rsidR="00481A5A">
        <w:rPr>
          <w:lang w:val="en-GB"/>
        </w:rPr>
        <w:t xml:space="preserve"> had</w:t>
      </w:r>
      <w:r w:rsidRPr="002B43C8">
        <w:rPr>
          <w:lang w:val="en-GB"/>
        </w:rPr>
        <w:t xml:space="preserve"> </w:t>
      </w:r>
      <w:r w:rsidR="004012D4">
        <w:rPr>
          <w:lang w:val="en-GB"/>
        </w:rPr>
        <w:t xml:space="preserve">(unsuccessfully) </w:t>
      </w:r>
      <w:r w:rsidRPr="002B43C8">
        <w:rPr>
          <w:lang w:val="en-GB"/>
        </w:rPr>
        <w:t>diversified into new</w:t>
      </w:r>
      <w:r w:rsidR="004012D4">
        <w:rPr>
          <w:lang w:val="en-GB"/>
        </w:rPr>
        <w:t>, higher-priced</w:t>
      </w:r>
      <w:r w:rsidRPr="002B43C8">
        <w:rPr>
          <w:lang w:val="en-GB"/>
        </w:rPr>
        <w:t xml:space="preserve"> segments, </w:t>
      </w:r>
      <w:r w:rsidR="004012D4">
        <w:rPr>
          <w:lang w:val="en-GB"/>
        </w:rPr>
        <w:t>MSIL</w:t>
      </w:r>
      <w:r w:rsidRPr="002B43C8">
        <w:rPr>
          <w:lang w:val="en-GB"/>
        </w:rPr>
        <w:t xml:space="preserve"> stayed close to its core market of small cars (hatchbacks). </w:t>
      </w:r>
      <w:r w:rsidR="0029127B">
        <w:rPr>
          <w:lang w:val="en-GB"/>
        </w:rPr>
        <w:t>It seemed that</w:t>
      </w:r>
      <w:r w:rsidRPr="002B43C8">
        <w:rPr>
          <w:lang w:val="en-GB"/>
        </w:rPr>
        <w:t xml:space="preserve"> the </w:t>
      </w:r>
      <w:r w:rsidR="004012D4">
        <w:rPr>
          <w:lang w:val="en-GB"/>
        </w:rPr>
        <w:t>firm’s</w:t>
      </w:r>
      <w:r w:rsidRPr="002B43C8">
        <w:rPr>
          <w:lang w:val="en-GB"/>
        </w:rPr>
        <w:t xml:space="preserve"> image as </w:t>
      </w:r>
      <w:r w:rsidR="004012D4">
        <w:rPr>
          <w:lang w:val="en-GB"/>
        </w:rPr>
        <w:t>a “</w:t>
      </w:r>
      <w:r w:rsidRPr="002B43C8">
        <w:rPr>
          <w:lang w:val="en-GB"/>
        </w:rPr>
        <w:t>value-for-money</w:t>
      </w:r>
      <w:r w:rsidR="004012D4">
        <w:rPr>
          <w:lang w:val="en-GB"/>
        </w:rPr>
        <w:t>” brand</w:t>
      </w:r>
      <w:r w:rsidRPr="002B43C8">
        <w:rPr>
          <w:lang w:val="en-GB"/>
        </w:rPr>
        <w:t xml:space="preserve"> </w:t>
      </w:r>
      <w:r w:rsidR="0029127B">
        <w:rPr>
          <w:lang w:val="en-GB"/>
        </w:rPr>
        <w:t>was</w:t>
      </w:r>
      <w:r w:rsidRPr="002B43C8">
        <w:rPr>
          <w:lang w:val="en-GB"/>
        </w:rPr>
        <w:t xml:space="preserve"> </w:t>
      </w:r>
      <w:r w:rsidR="004012D4">
        <w:rPr>
          <w:lang w:val="en-GB"/>
        </w:rPr>
        <w:t>effective</w:t>
      </w:r>
      <w:r w:rsidR="004012D4" w:rsidRPr="002B43C8">
        <w:rPr>
          <w:lang w:val="en-GB"/>
        </w:rPr>
        <w:t xml:space="preserve"> </w:t>
      </w:r>
      <w:r w:rsidRPr="002B43C8">
        <w:rPr>
          <w:lang w:val="en-GB"/>
        </w:rPr>
        <w:t>for</w:t>
      </w:r>
      <w:r w:rsidR="004012D4">
        <w:rPr>
          <w:lang w:val="en-GB"/>
        </w:rPr>
        <w:t xml:space="preserve"> selling</w:t>
      </w:r>
      <w:r w:rsidRPr="002B43C8">
        <w:rPr>
          <w:lang w:val="en-GB"/>
        </w:rPr>
        <w:t xml:space="preserve"> the</w:t>
      </w:r>
      <w:r w:rsidR="004012D4">
        <w:rPr>
          <w:lang w:val="en-GB"/>
        </w:rPr>
        <w:t>se</w:t>
      </w:r>
      <w:r w:rsidRPr="002B43C8">
        <w:rPr>
          <w:lang w:val="en-GB"/>
        </w:rPr>
        <w:t xml:space="preserve"> small cars</w:t>
      </w:r>
      <w:r w:rsidR="004012D4">
        <w:rPr>
          <w:lang w:val="en-GB"/>
        </w:rPr>
        <w:t>,</w:t>
      </w:r>
      <w:r w:rsidRPr="002B43C8">
        <w:rPr>
          <w:lang w:val="en-GB"/>
        </w:rPr>
        <w:t xml:space="preserve"> but not for </w:t>
      </w:r>
      <w:r w:rsidR="004012D4">
        <w:rPr>
          <w:lang w:val="en-GB"/>
        </w:rPr>
        <w:t xml:space="preserve">selling </w:t>
      </w:r>
      <w:r w:rsidRPr="002B43C8">
        <w:rPr>
          <w:lang w:val="en-GB"/>
        </w:rPr>
        <w:t>high-end cars.</w:t>
      </w:r>
    </w:p>
    <w:p w14:paraId="72BD6A99" w14:textId="77777777" w:rsidR="000735FF" w:rsidRPr="00EA13C5" w:rsidRDefault="000735FF" w:rsidP="00C8508B">
      <w:pPr>
        <w:pStyle w:val="BodyTextMain"/>
        <w:rPr>
          <w:sz w:val="20"/>
          <w:szCs w:val="20"/>
          <w:lang w:val="en-GB"/>
        </w:rPr>
      </w:pPr>
    </w:p>
    <w:p w14:paraId="67AF5555" w14:textId="77777777" w:rsidR="000735FF" w:rsidRPr="00EA13C5" w:rsidRDefault="000735FF" w:rsidP="00C8508B">
      <w:pPr>
        <w:pStyle w:val="BodyTextMain"/>
        <w:rPr>
          <w:sz w:val="20"/>
          <w:szCs w:val="20"/>
          <w:lang w:val="en-GB"/>
        </w:rPr>
      </w:pPr>
    </w:p>
    <w:p w14:paraId="4C69917E" w14:textId="3507262A" w:rsidR="000735FF" w:rsidRPr="002B43C8" w:rsidRDefault="000D272C" w:rsidP="007F36EF">
      <w:pPr>
        <w:pStyle w:val="Casehead1"/>
        <w:outlineLvl w:val="0"/>
        <w:rPr>
          <w:rFonts w:eastAsiaTheme="majorEastAsia"/>
          <w:lang w:val="en-GB"/>
        </w:rPr>
      </w:pPr>
      <w:r>
        <w:rPr>
          <w:rFonts w:eastAsiaTheme="majorEastAsia"/>
          <w:lang w:val="en-GB"/>
        </w:rPr>
        <w:t xml:space="preserve">The road </w:t>
      </w:r>
      <w:r w:rsidR="000735FF" w:rsidRPr="002B43C8">
        <w:rPr>
          <w:rFonts w:eastAsiaTheme="majorEastAsia"/>
          <w:lang w:val="en-GB"/>
        </w:rPr>
        <w:t>AHEAD</w:t>
      </w:r>
    </w:p>
    <w:p w14:paraId="08FF7308" w14:textId="77777777" w:rsidR="000735FF" w:rsidRPr="00EA13C5" w:rsidRDefault="000735FF" w:rsidP="00C8508B">
      <w:pPr>
        <w:pStyle w:val="BodyTextMain"/>
        <w:rPr>
          <w:sz w:val="20"/>
          <w:szCs w:val="20"/>
          <w:lang w:val="en-GB"/>
        </w:rPr>
      </w:pPr>
    </w:p>
    <w:p w14:paraId="4AECAEBB" w14:textId="0802903F" w:rsidR="000735FF" w:rsidRPr="002B43C8" w:rsidRDefault="00935B76" w:rsidP="00C8508B">
      <w:pPr>
        <w:pStyle w:val="BodyTextMain"/>
        <w:rPr>
          <w:lang w:val="en-GB"/>
        </w:rPr>
      </w:pPr>
      <w:r>
        <w:rPr>
          <w:lang w:val="en-GB"/>
        </w:rPr>
        <w:t>Shankar</w:t>
      </w:r>
      <w:r w:rsidR="000735FF" w:rsidRPr="002B43C8">
        <w:rPr>
          <w:lang w:val="en-GB"/>
        </w:rPr>
        <w:t xml:space="preserve"> was alarmed by the fact that MSIL, </w:t>
      </w:r>
      <w:r w:rsidR="00C97363">
        <w:rPr>
          <w:lang w:val="en-GB"/>
        </w:rPr>
        <w:t xml:space="preserve">one of </w:t>
      </w:r>
      <w:r w:rsidR="00C65F31">
        <w:rPr>
          <w:lang w:val="en-GB"/>
        </w:rPr>
        <w:t xml:space="preserve">the </w:t>
      </w:r>
      <w:r w:rsidR="000735FF" w:rsidRPr="002B43C8">
        <w:rPr>
          <w:lang w:val="en-GB"/>
        </w:rPr>
        <w:t>lead</w:t>
      </w:r>
      <w:r w:rsidR="00C65F31">
        <w:rPr>
          <w:lang w:val="en-GB"/>
        </w:rPr>
        <w:t>ing</w:t>
      </w:r>
      <w:r w:rsidR="000735FF" w:rsidRPr="002B43C8">
        <w:rPr>
          <w:lang w:val="en-GB"/>
        </w:rPr>
        <w:t xml:space="preserve"> small </w:t>
      </w:r>
      <w:r w:rsidR="009750A7">
        <w:rPr>
          <w:lang w:val="en-GB"/>
        </w:rPr>
        <w:t>auto</w:t>
      </w:r>
      <w:r w:rsidR="00C97363">
        <w:rPr>
          <w:lang w:val="en-GB"/>
        </w:rPr>
        <w:t>makers</w:t>
      </w:r>
      <w:r w:rsidR="000735FF" w:rsidRPr="002B43C8">
        <w:rPr>
          <w:lang w:val="en-GB"/>
        </w:rPr>
        <w:t xml:space="preserve"> in India, had a share of only 1–3</w:t>
      </w:r>
      <w:r w:rsidR="005E6166">
        <w:rPr>
          <w:lang w:val="en-GB"/>
        </w:rPr>
        <w:t xml:space="preserve"> per cent</w:t>
      </w:r>
      <w:r w:rsidR="000735FF" w:rsidRPr="002B43C8">
        <w:rPr>
          <w:lang w:val="en-GB"/>
        </w:rPr>
        <w:t xml:space="preserve"> of the </w:t>
      </w:r>
      <w:r w:rsidR="00C97363">
        <w:rPr>
          <w:lang w:val="en-GB"/>
        </w:rPr>
        <w:t xml:space="preserve">market for </w:t>
      </w:r>
      <w:r w:rsidR="000735FF" w:rsidRPr="002B43C8">
        <w:rPr>
          <w:lang w:val="en-GB"/>
        </w:rPr>
        <w:t xml:space="preserve">cars above </w:t>
      </w:r>
      <w:r w:rsidR="00C170DA" w:rsidRPr="0042770A">
        <w:rPr>
          <w:rFonts w:ascii="Calibri" w:eastAsia="Calibri" w:hAnsi="Calibri" w:cs="Calibri"/>
          <w:spacing w:val="-2"/>
          <w:kern w:val="15"/>
          <w:lang w:val="en-GB"/>
        </w:rPr>
        <w:t>₹</w:t>
      </w:r>
      <w:r w:rsidR="000735FF" w:rsidRPr="002B43C8">
        <w:rPr>
          <w:lang w:val="en-GB"/>
        </w:rPr>
        <w:t>1 million in 2015. He said,</w:t>
      </w:r>
    </w:p>
    <w:p w14:paraId="74F817F1" w14:textId="77777777" w:rsidR="000735FF" w:rsidRPr="00EA13C5" w:rsidRDefault="000735FF" w:rsidP="00C8508B">
      <w:pPr>
        <w:pStyle w:val="BodyTextMain"/>
        <w:rPr>
          <w:sz w:val="20"/>
          <w:szCs w:val="20"/>
          <w:lang w:val="en-GB"/>
        </w:rPr>
      </w:pPr>
    </w:p>
    <w:p w14:paraId="6CBB7AD9" w14:textId="50747755" w:rsidR="000735FF" w:rsidRDefault="000735FF" w:rsidP="00022472">
      <w:pPr>
        <w:pStyle w:val="BodyTextMain"/>
        <w:ind w:left="720"/>
        <w:rPr>
          <w:lang w:val="en-GB"/>
        </w:rPr>
      </w:pPr>
      <w:r w:rsidRPr="002B43C8">
        <w:rPr>
          <w:lang w:val="en-GB"/>
        </w:rPr>
        <w:t>We know that the company is going ahead with marketing strategies like new product development</w:t>
      </w:r>
      <w:r w:rsidR="00C97363">
        <w:rPr>
          <w:lang w:val="en-GB"/>
        </w:rPr>
        <w:t>,</w:t>
      </w:r>
      <w:r w:rsidRPr="002B43C8">
        <w:rPr>
          <w:lang w:val="en-GB"/>
        </w:rPr>
        <w:t xml:space="preserve"> and making forays into new customer segments, but the dynamic automotive industry is full of opportunities as well as risks. Despite enormous efforts, it has proven hard for us to achieve a profitable growth in the high-end segment.</w:t>
      </w:r>
      <w:r w:rsidR="00C97363">
        <w:rPr>
          <w:lang w:val="en-GB"/>
        </w:rPr>
        <w:t xml:space="preserve"> W</w:t>
      </w:r>
      <w:r w:rsidRPr="002B43C8">
        <w:rPr>
          <w:lang w:val="en-GB"/>
        </w:rPr>
        <w:t xml:space="preserve">e need to decide whether to strengthen </w:t>
      </w:r>
      <w:r w:rsidR="00C97363">
        <w:rPr>
          <w:lang w:val="en-GB"/>
        </w:rPr>
        <w:t xml:space="preserve">[our position in] </w:t>
      </w:r>
      <w:r w:rsidRPr="002B43C8">
        <w:rPr>
          <w:lang w:val="en-GB"/>
        </w:rPr>
        <w:t xml:space="preserve">the small segment or to enter the high-growth-rate, high-end segment—or to find </w:t>
      </w:r>
      <w:r w:rsidR="00C97363">
        <w:rPr>
          <w:lang w:val="en-GB"/>
        </w:rPr>
        <w:t>[balance]</w:t>
      </w:r>
      <w:r w:rsidRPr="002B43C8">
        <w:rPr>
          <w:lang w:val="en-GB"/>
        </w:rPr>
        <w:t xml:space="preserve"> between the two.</w:t>
      </w:r>
    </w:p>
    <w:p w14:paraId="15CFC73B" w14:textId="77777777" w:rsidR="00EA13C5" w:rsidRPr="002B43C8" w:rsidRDefault="00EA13C5" w:rsidP="00022472">
      <w:pPr>
        <w:pStyle w:val="BodyTextMain"/>
        <w:ind w:left="720"/>
        <w:rPr>
          <w:lang w:val="en-GB"/>
        </w:rPr>
      </w:pPr>
    </w:p>
    <w:p w14:paraId="09E24E4C" w14:textId="5072997E" w:rsidR="000735FF" w:rsidRPr="002B43C8" w:rsidRDefault="00EF5E31" w:rsidP="00C8508B">
      <w:pPr>
        <w:pStyle w:val="BodyTextMain"/>
        <w:rPr>
          <w:lang w:val="en-GB"/>
        </w:rPr>
      </w:pPr>
      <w:r>
        <w:rPr>
          <w:lang w:val="en-GB"/>
        </w:rPr>
        <w:t>D</w:t>
      </w:r>
      <w:r w:rsidR="000735FF" w:rsidRPr="002B43C8">
        <w:rPr>
          <w:lang w:val="en-GB"/>
        </w:rPr>
        <w:t>espite its repeated ventures into the high-end car segment,</w:t>
      </w:r>
      <w:r>
        <w:rPr>
          <w:lang w:val="en-GB"/>
        </w:rPr>
        <w:t xml:space="preserve"> MSIL</w:t>
      </w:r>
      <w:r w:rsidR="000735FF" w:rsidRPr="002B43C8">
        <w:rPr>
          <w:lang w:val="en-GB"/>
        </w:rPr>
        <w:t xml:space="preserve"> could</w:t>
      </w:r>
      <w:r>
        <w:rPr>
          <w:lang w:val="en-GB"/>
        </w:rPr>
        <w:t xml:space="preserve"> </w:t>
      </w:r>
      <w:r w:rsidR="000735FF" w:rsidRPr="002B43C8">
        <w:rPr>
          <w:lang w:val="en-GB"/>
        </w:rPr>
        <w:t>n</w:t>
      </w:r>
      <w:r>
        <w:rPr>
          <w:lang w:val="en-GB"/>
        </w:rPr>
        <w:t>o</w:t>
      </w:r>
      <w:r w:rsidR="000735FF" w:rsidRPr="002B43C8">
        <w:rPr>
          <w:lang w:val="en-GB"/>
        </w:rPr>
        <w:t xml:space="preserve">t replicate its success story from the small car segment. </w:t>
      </w:r>
      <w:r w:rsidR="00C97363">
        <w:rPr>
          <w:lang w:val="en-GB"/>
        </w:rPr>
        <w:t xml:space="preserve">Against the backdrop of the dynamic </w:t>
      </w:r>
      <w:r w:rsidR="000735FF" w:rsidRPr="002B43C8">
        <w:rPr>
          <w:lang w:val="en-GB"/>
        </w:rPr>
        <w:t xml:space="preserve">automobile </w:t>
      </w:r>
      <w:r w:rsidR="00C97363">
        <w:rPr>
          <w:lang w:val="en-GB"/>
        </w:rPr>
        <w:t>industry, Shankar considered several questions: Could MSIL</w:t>
      </w:r>
      <w:r w:rsidR="000735FF" w:rsidRPr="002B43C8">
        <w:rPr>
          <w:lang w:val="en-GB"/>
        </w:rPr>
        <w:t xml:space="preserve"> </w:t>
      </w:r>
      <w:r w:rsidR="00C97363">
        <w:rPr>
          <w:lang w:val="en-GB"/>
        </w:rPr>
        <w:t xml:space="preserve">ever successfully enter </w:t>
      </w:r>
      <w:r w:rsidR="000735FF" w:rsidRPr="002B43C8">
        <w:rPr>
          <w:lang w:val="en-GB"/>
        </w:rPr>
        <w:t>the high-end car segment</w:t>
      </w:r>
      <w:r w:rsidR="00C97363">
        <w:rPr>
          <w:lang w:val="en-GB"/>
        </w:rPr>
        <w:t>? If so, how?</w:t>
      </w:r>
      <w:r w:rsidR="000735FF" w:rsidRPr="002B43C8">
        <w:rPr>
          <w:lang w:val="en-GB"/>
        </w:rPr>
        <w:t xml:space="preserve"> What strateg</w:t>
      </w:r>
      <w:r w:rsidR="00C97363">
        <w:rPr>
          <w:lang w:val="en-GB"/>
        </w:rPr>
        <w:t>ies</w:t>
      </w:r>
      <w:r w:rsidR="000735FF" w:rsidRPr="002B43C8">
        <w:rPr>
          <w:lang w:val="en-GB"/>
        </w:rPr>
        <w:t xml:space="preserve"> could be employed in the future</w:t>
      </w:r>
      <w:r w:rsidR="00C97363">
        <w:rPr>
          <w:lang w:val="en-GB"/>
        </w:rPr>
        <w:t xml:space="preserve"> to further MSIL’s position and grow its</w:t>
      </w:r>
      <w:r w:rsidR="000735FF" w:rsidRPr="002B43C8">
        <w:rPr>
          <w:lang w:val="en-GB"/>
        </w:rPr>
        <w:t xml:space="preserve"> market share in both </w:t>
      </w:r>
      <w:r w:rsidR="00C97363">
        <w:rPr>
          <w:lang w:val="en-GB"/>
        </w:rPr>
        <w:t xml:space="preserve">the </w:t>
      </w:r>
      <w:r w:rsidR="000735FF" w:rsidRPr="002B43C8">
        <w:rPr>
          <w:lang w:val="en-GB"/>
        </w:rPr>
        <w:t xml:space="preserve">small car and high-end car </w:t>
      </w:r>
      <w:r w:rsidR="00C97363">
        <w:rPr>
          <w:lang w:val="en-GB"/>
        </w:rPr>
        <w:t>segments</w:t>
      </w:r>
      <w:r w:rsidR="000735FF" w:rsidRPr="002B43C8">
        <w:rPr>
          <w:lang w:val="en-GB"/>
        </w:rPr>
        <w:t>?</w:t>
      </w:r>
    </w:p>
    <w:p w14:paraId="49E26EE2" w14:textId="77777777" w:rsidR="000735FF" w:rsidRPr="002B43C8" w:rsidRDefault="000735FF">
      <w:pPr>
        <w:spacing w:after="200" w:line="276" w:lineRule="auto"/>
        <w:rPr>
          <w:sz w:val="22"/>
          <w:szCs w:val="22"/>
          <w:lang w:val="en-GB"/>
        </w:rPr>
      </w:pPr>
      <w:r w:rsidRPr="002B43C8">
        <w:rPr>
          <w:lang w:val="en-GB"/>
        </w:rPr>
        <w:br w:type="page"/>
      </w:r>
    </w:p>
    <w:p w14:paraId="0EC4B390" w14:textId="623D477E" w:rsidR="000735FF" w:rsidRPr="002B43C8" w:rsidRDefault="000735FF" w:rsidP="00935D2F">
      <w:pPr>
        <w:pStyle w:val="ExhibitHeading"/>
        <w:rPr>
          <w:lang w:val="en-GB"/>
        </w:rPr>
      </w:pPr>
      <w:r w:rsidRPr="002B43C8">
        <w:rPr>
          <w:lang w:val="en-GB"/>
        </w:rPr>
        <w:lastRenderedPageBreak/>
        <w:t xml:space="preserve">EXHIBIT 1A: ANNUAL SALES OF PASSENGER VEHICLES </w:t>
      </w:r>
      <w:r w:rsidR="0008101C">
        <w:rPr>
          <w:lang w:val="en-GB"/>
        </w:rPr>
        <w:t xml:space="preserve">by </w:t>
      </w:r>
      <w:r w:rsidRPr="002B43C8">
        <w:rPr>
          <w:lang w:val="en-GB"/>
        </w:rPr>
        <w:t xml:space="preserve">MSIL </w:t>
      </w:r>
      <w:r w:rsidR="00246B2D">
        <w:rPr>
          <w:lang w:val="en-GB"/>
        </w:rPr>
        <w:t>VER</w:t>
      </w:r>
      <w:r w:rsidR="008D3F16">
        <w:rPr>
          <w:lang w:val="en-GB"/>
        </w:rPr>
        <w:t>s</w:t>
      </w:r>
      <w:r w:rsidR="00246B2D">
        <w:rPr>
          <w:lang w:val="en-GB"/>
        </w:rPr>
        <w:t xml:space="preserve">US </w:t>
      </w:r>
      <w:r w:rsidRPr="002B43C8">
        <w:rPr>
          <w:lang w:val="en-GB"/>
        </w:rPr>
        <w:t>PASSENGER VEHICLE</w:t>
      </w:r>
      <w:r w:rsidR="0008101C">
        <w:rPr>
          <w:lang w:val="en-GB"/>
        </w:rPr>
        <w:t xml:space="preserve">s sold in the </w:t>
      </w:r>
      <w:r w:rsidRPr="002B43C8">
        <w:rPr>
          <w:lang w:val="en-GB"/>
        </w:rPr>
        <w:t>INDUSTRY</w:t>
      </w:r>
      <w:r w:rsidR="00246B2D" w:rsidRPr="00246B2D">
        <w:rPr>
          <w:lang w:val="en-GB"/>
        </w:rPr>
        <w:t xml:space="preserve"> </w:t>
      </w:r>
      <w:r w:rsidR="00246B2D">
        <w:rPr>
          <w:lang w:val="en-GB"/>
        </w:rPr>
        <w:t>overall</w:t>
      </w:r>
      <w:r w:rsidRPr="002B43C8">
        <w:rPr>
          <w:lang w:val="en-GB"/>
        </w:rPr>
        <w:t xml:space="preserve"> </w:t>
      </w:r>
    </w:p>
    <w:p w14:paraId="2B295E86" w14:textId="77777777" w:rsidR="000735FF" w:rsidRPr="002B43C8" w:rsidRDefault="000735FF" w:rsidP="00935D2F">
      <w:pPr>
        <w:pStyle w:val="ExhibitHeading"/>
        <w:rPr>
          <w:lang w:val="en-GB"/>
        </w:rPr>
      </w:pPr>
    </w:p>
    <w:tbl>
      <w:tblPr>
        <w:tblW w:w="9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1017"/>
        <w:gridCol w:w="1017"/>
        <w:gridCol w:w="932"/>
        <w:gridCol w:w="1026"/>
        <w:gridCol w:w="932"/>
        <w:gridCol w:w="932"/>
        <w:gridCol w:w="1017"/>
        <w:gridCol w:w="1204"/>
      </w:tblGrid>
      <w:tr w:rsidR="00880091" w:rsidRPr="002B43C8" w14:paraId="5423CA9C" w14:textId="77777777" w:rsidTr="00880091">
        <w:trPr>
          <w:trHeight w:val="300"/>
          <w:jc w:val="center"/>
        </w:trPr>
        <w:tc>
          <w:tcPr>
            <w:tcW w:w="1224" w:type="dxa"/>
            <w:vMerge w:val="restart"/>
            <w:shd w:val="clear" w:color="auto" w:fill="auto"/>
            <w:noWrap/>
            <w:vAlign w:val="center"/>
            <w:hideMark/>
          </w:tcPr>
          <w:p w14:paraId="6D1C11E5" w14:textId="5BBC7B90" w:rsidR="00880091" w:rsidRPr="00A42DB4" w:rsidRDefault="00880091" w:rsidP="00A42DB4">
            <w:pPr>
              <w:pStyle w:val="ExhibitText"/>
              <w:jc w:val="center"/>
              <w:rPr>
                <w:b/>
                <w:sz w:val="18"/>
                <w:szCs w:val="18"/>
                <w:lang w:val="en-GB"/>
              </w:rPr>
            </w:pPr>
            <w:r w:rsidRPr="00A42DB4">
              <w:rPr>
                <w:b/>
                <w:sz w:val="18"/>
                <w:szCs w:val="18"/>
                <w:lang w:val="en-GB"/>
              </w:rPr>
              <w:t>Fiscal Year</w:t>
            </w:r>
          </w:p>
        </w:tc>
        <w:tc>
          <w:tcPr>
            <w:tcW w:w="2034" w:type="dxa"/>
            <w:gridSpan w:val="2"/>
            <w:shd w:val="clear" w:color="auto" w:fill="auto"/>
            <w:noWrap/>
            <w:vAlign w:val="center"/>
            <w:hideMark/>
          </w:tcPr>
          <w:p w14:paraId="68E76883" w14:textId="77777777" w:rsidR="00880091" w:rsidRPr="002B43C8" w:rsidRDefault="00880091" w:rsidP="00A42DB4">
            <w:pPr>
              <w:jc w:val="center"/>
              <w:rPr>
                <w:rFonts w:ascii="Arial" w:hAnsi="Arial" w:cs="Arial"/>
                <w:b/>
                <w:sz w:val="18"/>
                <w:szCs w:val="19"/>
                <w:lang w:val="en-GB"/>
              </w:rPr>
            </w:pPr>
            <w:r w:rsidRPr="002B43C8">
              <w:rPr>
                <w:rFonts w:ascii="Arial" w:hAnsi="Arial" w:cs="Arial"/>
                <w:b/>
                <w:sz w:val="18"/>
                <w:szCs w:val="19"/>
                <w:lang w:val="en-GB"/>
              </w:rPr>
              <w:t>Passenger Cars</w:t>
            </w:r>
          </w:p>
        </w:tc>
        <w:tc>
          <w:tcPr>
            <w:tcW w:w="1958" w:type="dxa"/>
            <w:gridSpan w:val="2"/>
            <w:shd w:val="clear" w:color="auto" w:fill="auto"/>
            <w:noWrap/>
            <w:vAlign w:val="center"/>
            <w:hideMark/>
          </w:tcPr>
          <w:p w14:paraId="10A16034" w14:textId="38D2091B" w:rsidR="00880091" w:rsidRPr="002B43C8" w:rsidRDefault="00880091" w:rsidP="00A42DB4">
            <w:pPr>
              <w:jc w:val="center"/>
              <w:rPr>
                <w:rFonts w:ascii="Arial" w:hAnsi="Arial" w:cs="Arial"/>
                <w:b/>
                <w:sz w:val="18"/>
                <w:szCs w:val="19"/>
                <w:lang w:val="en-GB"/>
              </w:rPr>
            </w:pPr>
            <w:r>
              <w:rPr>
                <w:rFonts w:ascii="Arial" w:hAnsi="Arial" w:cs="Arial"/>
                <w:b/>
                <w:sz w:val="18"/>
                <w:szCs w:val="19"/>
                <w:lang w:val="en-GB"/>
              </w:rPr>
              <w:t>Utility Vehicles</w:t>
            </w:r>
          </w:p>
        </w:tc>
        <w:tc>
          <w:tcPr>
            <w:tcW w:w="1864" w:type="dxa"/>
            <w:gridSpan w:val="2"/>
            <w:shd w:val="clear" w:color="auto" w:fill="auto"/>
            <w:noWrap/>
            <w:vAlign w:val="center"/>
            <w:hideMark/>
          </w:tcPr>
          <w:p w14:paraId="19F472F9" w14:textId="77777777" w:rsidR="00880091" w:rsidRPr="002B43C8" w:rsidRDefault="00880091" w:rsidP="00A42DB4">
            <w:pPr>
              <w:jc w:val="center"/>
              <w:rPr>
                <w:rFonts w:ascii="Arial" w:hAnsi="Arial" w:cs="Arial"/>
                <w:b/>
                <w:sz w:val="18"/>
                <w:szCs w:val="19"/>
                <w:lang w:val="en-GB"/>
              </w:rPr>
            </w:pPr>
            <w:r w:rsidRPr="002B43C8">
              <w:rPr>
                <w:rFonts w:ascii="Arial" w:hAnsi="Arial" w:cs="Arial"/>
                <w:b/>
                <w:sz w:val="18"/>
                <w:szCs w:val="19"/>
                <w:lang w:val="en-GB"/>
              </w:rPr>
              <w:t>Vans</w:t>
            </w:r>
          </w:p>
        </w:tc>
        <w:tc>
          <w:tcPr>
            <w:tcW w:w="2221" w:type="dxa"/>
            <w:gridSpan w:val="2"/>
            <w:vAlign w:val="center"/>
          </w:tcPr>
          <w:p w14:paraId="51EB8A41" w14:textId="29A5C062" w:rsidR="00880091" w:rsidRPr="002B43C8" w:rsidRDefault="00880091" w:rsidP="00A42DB4">
            <w:pPr>
              <w:jc w:val="center"/>
              <w:rPr>
                <w:rFonts w:ascii="Arial" w:hAnsi="Arial" w:cs="Arial"/>
                <w:b/>
                <w:sz w:val="18"/>
                <w:szCs w:val="19"/>
                <w:lang w:val="en-GB"/>
              </w:rPr>
            </w:pPr>
            <w:r w:rsidRPr="002B43C8">
              <w:rPr>
                <w:rFonts w:ascii="Arial" w:hAnsi="Arial" w:cs="Arial"/>
                <w:b/>
                <w:sz w:val="18"/>
                <w:szCs w:val="19"/>
                <w:lang w:val="en-GB"/>
              </w:rPr>
              <w:t xml:space="preserve">Total </w:t>
            </w:r>
            <w:r>
              <w:rPr>
                <w:rFonts w:ascii="Arial" w:hAnsi="Arial" w:cs="Arial"/>
                <w:b/>
                <w:sz w:val="18"/>
                <w:szCs w:val="19"/>
                <w:lang w:val="en-GB"/>
              </w:rPr>
              <w:t>C</w:t>
            </w:r>
            <w:r w:rsidRPr="002B43C8">
              <w:rPr>
                <w:rFonts w:ascii="Arial" w:hAnsi="Arial" w:cs="Arial"/>
                <w:b/>
                <w:sz w:val="18"/>
                <w:szCs w:val="19"/>
                <w:lang w:val="en-GB"/>
              </w:rPr>
              <w:t>ars</w:t>
            </w:r>
          </w:p>
        </w:tc>
      </w:tr>
      <w:tr w:rsidR="00880091" w:rsidRPr="002B43C8" w14:paraId="78416FAA" w14:textId="77777777" w:rsidTr="00880091">
        <w:trPr>
          <w:trHeight w:val="300"/>
          <w:jc w:val="center"/>
        </w:trPr>
        <w:tc>
          <w:tcPr>
            <w:tcW w:w="1224" w:type="dxa"/>
            <w:vMerge/>
            <w:shd w:val="clear" w:color="auto" w:fill="auto"/>
            <w:noWrap/>
          </w:tcPr>
          <w:p w14:paraId="7C20AB32" w14:textId="77777777" w:rsidR="00880091" w:rsidRPr="002B43C8" w:rsidRDefault="00880091" w:rsidP="005E6166">
            <w:pPr>
              <w:rPr>
                <w:rFonts w:ascii="Arial" w:hAnsi="Arial" w:cs="Arial"/>
                <w:sz w:val="18"/>
                <w:szCs w:val="19"/>
                <w:lang w:val="en-GB"/>
              </w:rPr>
            </w:pPr>
          </w:p>
        </w:tc>
        <w:tc>
          <w:tcPr>
            <w:tcW w:w="1017" w:type="dxa"/>
            <w:shd w:val="clear" w:color="auto" w:fill="auto"/>
            <w:noWrap/>
            <w:vAlign w:val="center"/>
          </w:tcPr>
          <w:p w14:paraId="0C5485EB" w14:textId="77777777" w:rsidR="00880091" w:rsidRPr="002B43C8" w:rsidRDefault="00880091" w:rsidP="00A42DB4">
            <w:pPr>
              <w:jc w:val="center"/>
              <w:rPr>
                <w:rFonts w:ascii="Arial" w:hAnsi="Arial" w:cs="Arial"/>
                <w:sz w:val="18"/>
                <w:szCs w:val="19"/>
                <w:lang w:val="en-GB"/>
              </w:rPr>
            </w:pPr>
            <w:r w:rsidRPr="002B43C8">
              <w:rPr>
                <w:rFonts w:ascii="Arial" w:hAnsi="Arial" w:cs="Arial"/>
                <w:sz w:val="18"/>
                <w:szCs w:val="19"/>
                <w:lang w:val="en-GB"/>
              </w:rPr>
              <w:t>MSIL</w:t>
            </w:r>
          </w:p>
        </w:tc>
        <w:tc>
          <w:tcPr>
            <w:tcW w:w="1017" w:type="dxa"/>
            <w:vAlign w:val="center"/>
          </w:tcPr>
          <w:p w14:paraId="21A23974" w14:textId="77777777" w:rsidR="00880091" w:rsidRPr="002B43C8" w:rsidRDefault="00880091" w:rsidP="00A42DB4">
            <w:pPr>
              <w:jc w:val="center"/>
              <w:rPr>
                <w:rFonts w:ascii="Arial" w:hAnsi="Arial" w:cs="Arial"/>
                <w:sz w:val="18"/>
                <w:szCs w:val="19"/>
                <w:lang w:val="en-GB"/>
              </w:rPr>
            </w:pPr>
            <w:r w:rsidRPr="002B43C8">
              <w:rPr>
                <w:rFonts w:ascii="Arial" w:hAnsi="Arial" w:cs="Arial"/>
                <w:sz w:val="18"/>
                <w:szCs w:val="19"/>
                <w:lang w:val="en-GB"/>
              </w:rPr>
              <w:t>Industry</w:t>
            </w:r>
          </w:p>
        </w:tc>
        <w:tc>
          <w:tcPr>
            <w:tcW w:w="932" w:type="dxa"/>
            <w:shd w:val="clear" w:color="auto" w:fill="auto"/>
            <w:noWrap/>
            <w:vAlign w:val="center"/>
          </w:tcPr>
          <w:p w14:paraId="6782C9A4" w14:textId="77777777" w:rsidR="00880091" w:rsidRPr="002B43C8" w:rsidRDefault="00880091" w:rsidP="00A42DB4">
            <w:pPr>
              <w:jc w:val="center"/>
              <w:rPr>
                <w:rFonts w:ascii="Arial" w:hAnsi="Arial" w:cs="Arial"/>
                <w:sz w:val="18"/>
                <w:szCs w:val="19"/>
                <w:lang w:val="en-GB"/>
              </w:rPr>
            </w:pPr>
            <w:r w:rsidRPr="002B43C8">
              <w:rPr>
                <w:rFonts w:ascii="Arial" w:hAnsi="Arial" w:cs="Arial"/>
                <w:sz w:val="18"/>
                <w:szCs w:val="19"/>
                <w:lang w:val="en-GB"/>
              </w:rPr>
              <w:t>MSIL</w:t>
            </w:r>
          </w:p>
        </w:tc>
        <w:tc>
          <w:tcPr>
            <w:tcW w:w="1026" w:type="dxa"/>
            <w:vAlign w:val="center"/>
          </w:tcPr>
          <w:p w14:paraId="1F7E82C1" w14:textId="77777777" w:rsidR="00880091" w:rsidRPr="002B43C8" w:rsidRDefault="00880091" w:rsidP="00A42DB4">
            <w:pPr>
              <w:jc w:val="center"/>
              <w:rPr>
                <w:rFonts w:ascii="Arial" w:hAnsi="Arial" w:cs="Arial"/>
                <w:sz w:val="18"/>
                <w:szCs w:val="19"/>
                <w:lang w:val="en-GB"/>
              </w:rPr>
            </w:pPr>
            <w:r w:rsidRPr="002B43C8">
              <w:rPr>
                <w:rFonts w:ascii="Arial" w:hAnsi="Arial" w:cs="Arial"/>
                <w:sz w:val="18"/>
                <w:szCs w:val="19"/>
                <w:lang w:val="en-GB"/>
              </w:rPr>
              <w:t>Industry</w:t>
            </w:r>
          </w:p>
        </w:tc>
        <w:tc>
          <w:tcPr>
            <w:tcW w:w="932" w:type="dxa"/>
            <w:shd w:val="clear" w:color="auto" w:fill="auto"/>
            <w:noWrap/>
            <w:vAlign w:val="center"/>
          </w:tcPr>
          <w:p w14:paraId="536AE859" w14:textId="77777777" w:rsidR="00880091" w:rsidRPr="002B43C8" w:rsidRDefault="00880091" w:rsidP="00A42DB4">
            <w:pPr>
              <w:jc w:val="center"/>
              <w:rPr>
                <w:rFonts w:ascii="Arial" w:hAnsi="Arial" w:cs="Arial"/>
                <w:sz w:val="18"/>
                <w:szCs w:val="19"/>
                <w:lang w:val="en-GB"/>
              </w:rPr>
            </w:pPr>
            <w:r w:rsidRPr="002B43C8">
              <w:rPr>
                <w:rFonts w:ascii="Arial" w:hAnsi="Arial" w:cs="Arial"/>
                <w:sz w:val="18"/>
                <w:szCs w:val="19"/>
                <w:lang w:val="en-GB"/>
              </w:rPr>
              <w:t>MSIL</w:t>
            </w:r>
          </w:p>
        </w:tc>
        <w:tc>
          <w:tcPr>
            <w:tcW w:w="932" w:type="dxa"/>
            <w:vAlign w:val="center"/>
          </w:tcPr>
          <w:p w14:paraId="47608E0D" w14:textId="77777777" w:rsidR="00880091" w:rsidRPr="002B43C8" w:rsidRDefault="00880091" w:rsidP="00A42DB4">
            <w:pPr>
              <w:jc w:val="center"/>
              <w:rPr>
                <w:rFonts w:ascii="Arial" w:hAnsi="Arial" w:cs="Arial"/>
                <w:sz w:val="18"/>
                <w:szCs w:val="19"/>
                <w:lang w:val="en-GB"/>
              </w:rPr>
            </w:pPr>
            <w:r w:rsidRPr="002B43C8">
              <w:rPr>
                <w:rFonts w:ascii="Arial" w:hAnsi="Arial" w:cs="Arial"/>
                <w:sz w:val="18"/>
                <w:szCs w:val="19"/>
                <w:lang w:val="en-GB"/>
              </w:rPr>
              <w:t>Industry</w:t>
            </w:r>
          </w:p>
        </w:tc>
        <w:tc>
          <w:tcPr>
            <w:tcW w:w="1017" w:type="dxa"/>
            <w:vAlign w:val="center"/>
          </w:tcPr>
          <w:p w14:paraId="5E365BE4" w14:textId="77777777" w:rsidR="00880091" w:rsidRPr="002B43C8" w:rsidRDefault="00880091" w:rsidP="00A42DB4">
            <w:pPr>
              <w:jc w:val="center"/>
              <w:rPr>
                <w:rFonts w:ascii="Arial" w:hAnsi="Arial" w:cs="Arial"/>
                <w:sz w:val="18"/>
                <w:szCs w:val="19"/>
                <w:lang w:val="en-GB"/>
              </w:rPr>
            </w:pPr>
            <w:r w:rsidRPr="002B43C8">
              <w:rPr>
                <w:rFonts w:ascii="Arial" w:hAnsi="Arial" w:cs="Arial"/>
                <w:sz w:val="18"/>
                <w:szCs w:val="19"/>
                <w:lang w:val="en-GB"/>
              </w:rPr>
              <w:t>MSIL</w:t>
            </w:r>
          </w:p>
        </w:tc>
        <w:tc>
          <w:tcPr>
            <w:tcW w:w="1204" w:type="dxa"/>
            <w:shd w:val="clear" w:color="auto" w:fill="auto"/>
            <w:noWrap/>
            <w:vAlign w:val="center"/>
          </w:tcPr>
          <w:p w14:paraId="66702B7E" w14:textId="77777777" w:rsidR="00880091" w:rsidRPr="002B43C8" w:rsidRDefault="00880091" w:rsidP="00A42DB4">
            <w:pPr>
              <w:jc w:val="center"/>
              <w:rPr>
                <w:rFonts w:ascii="Arial" w:hAnsi="Arial" w:cs="Arial"/>
                <w:sz w:val="18"/>
                <w:szCs w:val="19"/>
                <w:lang w:val="en-GB"/>
              </w:rPr>
            </w:pPr>
            <w:r w:rsidRPr="002B43C8">
              <w:rPr>
                <w:rFonts w:ascii="Arial" w:hAnsi="Arial" w:cs="Arial"/>
                <w:sz w:val="18"/>
                <w:szCs w:val="19"/>
                <w:lang w:val="en-GB"/>
              </w:rPr>
              <w:t>Industry</w:t>
            </w:r>
          </w:p>
        </w:tc>
      </w:tr>
      <w:tr w:rsidR="003C4EE5" w:rsidRPr="002B43C8" w14:paraId="6FD2AC20" w14:textId="77777777" w:rsidTr="00880091">
        <w:trPr>
          <w:trHeight w:val="300"/>
          <w:jc w:val="center"/>
        </w:trPr>
        <w:tc>
          <w:tcPr>
            <w:tcW w:w="1224" w:type="dxa"/>
            <w:shd w:val="clear" w:color="auto" w:fill="auto"/>
            <w:noWrap/>
            <w:vAlign w:val="center"/>
            <w:hideMark/>
          </w:tcPr>
          <w:p w14:paraId="0165C65F" w14:textId="23C58A91" w:rsidR="003C4EE5" w:rsidRPr="002B43C8" w:rsidRDefault="003C4EE5" w:rsidP="00A42DB4">
            <w:pPr>
              <w:rPr>
                <w:rFonts w:ascii="Arial" w:hAnsi="Arial" w:cs="Arial"/>
                <w:b/>
                <w:sz w:val="18"/>
                <w:szCs w:val="19"/>
                <w:lang w:val="en-GB"/>
              </w:rPr>
            </w:pPr>
            <w:r w:rsidRPr="002B43C8">
              <w:rPr>
                <w:rFonts w:ascii="Arial" w:hAnsi="Arial" w:cs="Arial"/>
                <w:b/>
                <w:sz w:val="18"/>
                <w:szCs w:val="19"/>
                <w:lang w:val="en-GB"/>
              </w:rPr>
              <w:t>2011</w:t>
            </w:r>
            <w:r w:rsidR="00165424">
              <w:rPr>
                <w:rFonts w:ascii="Arial" w:hAnsi="Arial" w:cs="Arial"/>
                <w:b/>
                <w:sz w:val="18"/>
                <w:szCs w:val="19"/>
                <w:lang w:val="en-GB"/>
              </w:rPr>
              <w:t>–</w:t>
            </w:r>
            <w:r w:rsidRPr="002B43C8">
              <w:rPr>
                <w:rFonts w:ascii="Arial" w:hAnsi="Arial" w:cs="Arial"/>
                <w:b/>
                <w:sz w:val="18"/>
                <w:szCs w:val="19"/>
                <w:lang w:val="en-GB"/>
              </w:rPr>
              <w:t>12</w:t>
            </w:r>
          </w:p>
        </w:tc>
        <w:tc>
          <w:tcPr>
            <w:tcW w:w="1017" w:type="dxa"/>
            <w:shd w:val="clear" w:color="auto" w:fill="auto"/>
            <w:noWrap/>
            <w:vAlign w:val="center"/>
            <w:hideMark/>
          </w:tcPr>
          <w:p w14:paraId="3877D67F" w14:textId="1881B026"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981</w:t>
            </w:r>
            <w:r w:rsidR="00054E12">
              <w:rPr>
                <w:rFonts w:ascii="Arial" w:hAnsi="Arial" w:cs="Arial"/>
                <w:sz w:val="18"/>
                <w:szCs w:val="19"/>
                <w:lang w:val="en-GB"/>
              </w:rPr>
              <w:t>,</w:t>
            </w:r>
            <w:r w:rsidRPr="002B43C8">
              <w:rPr>
                <w:rFonts w:ascii="Arial" w:hAnsi="Arial" w:cs="Arial"/>
                <w:sz w:val="18"/>
                <w:szCs w:val="19"/>
                <w:lang w:val="en-GB"/>
              </w:rPr>
              <w:t>424</w:t>
            </w:r>
          </w:p>
        </w:tc>
        <w:tc>
          <w:tcPr>
            <w:tcW w:w="1017" w:type="dxa"/>
            <w:vAlign w:val="center"/>
          </w:tcPr>
          <w:p w14:paraId="686C9183" w14:textId="06B82700"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2</w:t>
            </w:r>
            <w:r w:rsidR="00892FAA">
              <w:rPr>
                <w:rFonts w:ascii="Arial" w:hAnsi="Arial" w:cs="Arial"/>
                <w:sz w:val="18"/>
                <w:szCs w:val="19"/>
                <w:lang w:val="en-GB"/>
              </w:rPr>
              <w:t>,</w:t>
            </w:r>
            <w:r w:rsidRPr="002B43C8">
              <w:rPr>
                <w:rFonts w:ascii="Arial" w:hAnsi="Arial" w:cs="Arial"/>
                <w:sz w:val="18"/>
                <w:szCs w:val="19"/>
                <w:lang w:val="en-GB"/>
              </w:rPr>
              <w:t>532</w:t>
            </w:r>
            <w:r w:rsidR="00892FAA">
              <w:rPr>
                <w:rFonts w:ascii="Arial" w:hAnsi="Arial" w:cs="Arial"/>
                <w:sz w:val="18"/>
                <w:szCs w:val="19"/>
                <w:lang w:val="en-GB"/>
              </w:rPr>
              <w:t>,</w:t>
            </w:r>
            <w:r w:rsidRPr="002B43C8">
              <w:rPr>
                <w:rFonts w:ascii="Arial" w:hAnsi="Arial" w:cs="Arial"/>
                <w:sz w:val="18"/>
                <w:szCs w:val="19"/>
                <w:lang w:val="en-GB"/>
              </w:rPr>
              <w:t>852</w:t>
            </w:r>
          </w:p>
        </w:tc>
        <w:tc>
          <w:tcPr>
            <w:tcW w:w="932" w:type="dxa"/>
            <w:shd w:val="clear" w:color="auto" w:fill="auto"/>
            <w:noWrap/>
            <w:vAlign w:val="center"/>
            <w:hideMark/>
          </w:tcPr>
          <w:p w14:paraId="28174FEB" w14:textId="5C340BDF"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6</w:t>
            </w:r>
            <w:r w:rsidR="003F1E7A">
              <w:rPr>
                <w:rFonts w:ascii="Arial" w:hAnsi="Arial" w:cs="Arial"/>
                <w:sz w:val="18"/>
                <w:szCs w:val="19"/>
                <w:lang w:val="en-GB"/>
              </w:rPr>
              <w:t>,</w:t>
            </w:r>
            <w:r w:rsidRPr="002B43C8">
              <w:rPr>
                <w:rFonts w:ascii="Arial" w:hAnsi="Arial" w:cs="Arial"/>
                <w:sz w:val="18"/>
                <w:szCs w:val="19"/>
                <w:lang w:val="en-GB"/>
              </w:rPr>
              <w:t>694</w:t>
            </w:r>
          </w:p>
        </w:tc>
        <w:tc>
          <w:tcPr>
            <w:tcW w:w="1026" w:type="dxa"/>
            <w:vAlign w:val="center"/>
          </w:tcPr>
          <w:p w14:paraId="2161B17B" w14:textId="2A58BC42"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368</w:t>
            </w:r>
            <w:r w:rsidR="003F1E7A">
              <w:rPr>
                <w:rFonts w:ascii="Arial" w:hAnsi="Arial" w:cs="Arial"/>
                <w:sz w:val="18"/>
                <w:szCs w:val="19"/>
                <w:lang w:val="en-GB"/>
              </w:rPr>
              <w:t>,</w:t>
            </w:r>
            <w:r w:rsidRPr="002B43C8">
              <w:rPr>
                <w:rFonts w:ascii="Arial" w:hAnsi="Arial" w:cs="Arial"/>
                <w:sz w:val="18"/>
                <w:szCs w:val="19"/>
                <w:lang w:val="en-GB"/>
              </w:rPr>
              <w:t>993</w:t>
            </w:r>
          </w:p>
        </w:tc>
        <w:tc>
          <w:tcPr>
            <w:tcW w:w="932" w:type="dxa"/>
            <w:shd w:val="clear" w:color="auto" w:fill="auto"/>
            <w:noWrap/>
            <w:vAlign w:val="center"/>
            <w:hideMark/>
          </w:tcPr>
          <w:p w14:paraId="3BE27D9F" w14:textId="293B094B"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145</w:t>
            </w:r>
            <w:r w:rsidR="003F1E7A">
              <w:rPr>
                <w:rFonts w:ascii="Arial" w:hAnsi="Arial" w:cs="Arial"/>
                <w:sz w:val="18"/>
                <w:szCs w:val="19"/>
                <w:lang w:val="en-GB"/>
              </w:rPr>
              <w:t>,</w:t>
            </w:r>
            <w:r w:rsidRPr="002B43C8">
              <w:rPr>
                <w:rFonts w:ascii="Arial" w:hAnsi="Arial" w:cs="Arial"/>
                <w:sz w:val="18"/>
                <w:szCs w:val="19"/>
                <w:lang w:val="en-GB"/>
              </w:rPr>
              <w:t>577</w:t>
            </w:r>
          </w:p>
        </w:tc>
        <w:tc>
          <w:tcPr>
            <w:tcW w:w="932" w:type="dxa"/>
            <w:vAlign w:val="center"/>
          </w:tcPr>
          <w:p w14:paraId="7AFA109A" w14:textId="34818045"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236</w:t>
            </w:r>
            <w:r w:rsidR="00E13A92">
              <w:rPr>
                <w:rFonts w:ascii="Arial" w:hAnsi="Arial" w:cs="Arial"/>
                <w:sz w:val="18"/>
                <w:szCs w:val="19"/>
                <w:lang w:val="en-GB"/>
              </w:rPr>
              <w:t>,</w:t>
            </w:r>
            <w:r w:rsidRPr="002B43C8">
              <w:rPr>
                <w:rFonts w:ascii="Arial" w:hAnsi="Arial" w:cs="Arial"/>
                <w:sz w:val="18"/>
                <w:szCs w:val="19"/>
                <w:lang w:val="en-GB"/>
              </w:rPr>
              <w:t>777</w:t>
            </w:r>
          </w:p>
        </w:tc>
        <w:tc>
          <w:tcPr>
            <w:tcW w:w="1017" w:type="dxa"/>
            <w:vAlign w:val="center"/>
          </w:tcPr>
          <w:p w14:paraId="665BEDF6" w14:textId="5016E1A8"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1</w:t>
            </w:r>
            <w:r w:rsidR="00E13A92">
              <w:rPr>
                <w:rFonts w:ascii="Arial" w:hAnsi="Arial" w:cs="Arial"/>
                <w:sz w:val="18"/>
                <w:szCs w:val="19"/>
                <w:lang w:val="en-GB"/>
              </w:rPr>
              <w:t>,</w:t>
            </w:r>
            <w:r w:rsidRPr="002B43C8">
              <w:rPr>
                <w:rFonts w:ascii="Arial" w:hAnsi="Arial" w:cs="Arial"/>
                <w:sz w:val="18"/>
                <w:szCs w:val="19"/>
                <w:lang w:val="en-GB"/>
              </w:rPr>
              <w:t>133</w:t>
            </w:r>
            <w:r w:rsidR="00E13A92">
              <w:rPr>
                <w:rFonts w:ascii="Arial" w:hAnsi="Arial" w:cs="Arial"/>
                <w:sz w:val="18"/>
                <w:szCs w:val="19"/>
                <w:lang w:val="en-GB"/>
              </w:rPr>
              <w:t>,</w:t>
            </w:r>
            <w:r w:rsidRPr="002B43C8">
              <w:rPr>
                <w:rFonts w:ascii="Arial" w:hAnsi="Arial" w:cs="Arial"/>
                <w:sz w:val="18"/>
                <w:szCs w:val="19"/>
                <w:lang w:val="en-GB"/>
              </w:rPr>
              <w:t>695</w:t>
            </w:r>
          </w:p>
        </w:tc>
        <w:tc>
          <w:tcPr>
            <w:tcW w:w="1204" w:type="dxa"/>
            <w:shd w:val="clear" w:color="auto" w:fill="auto"/>
            <w:noWrap/>
            <w:vAlign w:val="center"/>
            <w:hideMark/>
          </w:tcPr>
          <w:p w14:paraId="6FC4E6AF" w14:textId="25132277"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3</w:t>
            </w:r>
            <w:r w:rsidR="00AF0C83">
              <w:rPr>
                <w:rFonts w:ascii="Arial" w:hAnsi="Arial" w:cs="Arial"/>
                <w:sz w:val="18"/>
                <w:szCs w:val="19"/>
                <w:lang w:val="en-GB"/>
              </w:rPr>
              <w:t>,</w:t>
            </w:r>
            <w:r w:rsidRPr="002B43C8">
              <w:rPr>
                <w:rFonts w:ascii="Arial" w:hAnsi="Arial" w:cs="Arial"/>
                <w:sz w:val="18"/>
                <w:szCs w:val="19"/>
                <w:lang w:val="en-GB"/>
              </w:rPr>
              <w:t>138</w:t>
            </w:r>
            <w:r w:rsidR="00AF0C83">
              <w:rPr>
                <w:rFonts w:ascii="Arial" w:hAnsi="Arial" w:cs="Arial"/>
                <w:sz w:val="18"/>
                <w:szCs w:val="19"/>
                <w:lang w:val="en-GB"/>
              </w:rPr>
              <w:t>,</w:t>
            </w:r>
            <w:r w:rsidRPr="002B43C8">
              <w:rPr>
                <w:rFonts w:ascii="Arial" w:hAnsi="Arial" w:cs="Arial"/>
                <w:sz w:val="18"/>
                <w:szCs w:val="19"/>
                <w:lang w:val="en-GB"/>
              </w:rPr>
              <w:t>622</w:t>
            </w:r>
          </w:p>
        </w:tc>
      </w:tr>
      <w:tr w:rsidR="003C4EE5" w:rsidRPr="002B43C8" w14:paraId="5B827198" w14:textId="77777777" w:rsidTr="00880091">
        <w:trPr>
          <w:trHeight w:val="300"/>
          <w:jc w:val="center"/>
        </w:trPr>
        <w:tc>
          <w:tcPr>
            <w:tcW w:w="1224" w:type="dxa"/>
            <w:shd w:val="clear" w:color="auto" w:fill="auto"/>
            <w:noWrap/>
            <w:vAlign w:val="center"/>
            <w:hideMark/>
          </w:tcPr>
          <w:p w14:paraId="00223ED7" w14:textId="13A1ED17" w:rsidR="003C4EE5" w:rsidRPr="002B43C8" w:rsidRDefault="003C4EE5" w:rsidP="00A42DB4">
            <w:pPr>
              <w:rPr>
                <w:rFonts w:ascii="Arial" w:hAnsi="Arial" w:cs="Arial"/>
                <w:b/>
                <w:sz w:val="18"/>
                <w:szCs w:val="19"/>
                <w:lang w:val="en-GB"/>
              </w:rPr>
            </w:pPr>
            <w:r w:rsidRPr="002B43C8">
              <w:rPr>
                <w:rFonts w:ascii="Arial" w:hAnsi="Arial" w:cs="Arial"/>
                <w:b/>
                <w:sz w:val="18"/>
                <w:szCs w:val="19"/>
                <w:lang w:val="en-GB"/>
              </w:rPr>
              <w:t>2012</w:t>
            </w:r>
            <w:r w:rsidR="00165424">
              <w:rPr>
                <w:rFonts w:ascii="Arial" w:hAnsi="Arial" w:cs="Arial"/>
                <w:b/>
                <w:sz w:val="18"/>
                <w:szCs w:val="19"/>
                <w:lang w:val="en-GB"/>
              </w:rPr>
              <w:t>–</w:t>
            </w:r>
            <w:r w:rsidRPr="002B43C8">
              <w:rPr>
                <w:rFonts w:ascii="Arial" w:hAnsi="Arial" w:cs="Arial"/>
                <w:b/>
                <w:sz w:val="18"/>
                <w:szCs w:val="19"/>
                <w:lang w:val="en-GB"/>
              </w:rPr>
              <w:t>13</w:t>
            </w:r>
          </w:p>
        </w:tc>
        <w:tc>
          <w:tcPr>
            <w:tcW w:w="1017" w:type="dxa"/>
            <w:shd w:val="clear" w:color="auto" w:fill="auto"/>
            <w:noWrap/>
            <w:vAlign w:val="center"/>
            <w:hideMark/>
          </w:tcPr>
          <w:p w14:paraId="3CD17148" w14:textId="424F5BB9"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980</w:t>
            </w:r>
            <w:r w:rsidR="00054E12">
              <w:rPr>
                <w:rFonts w:ascii="Arial" w:hAnsi="Arial" w:cs="Arial"/>
                <w:sz w:val="18"/>
                <w:szCs w:val="19"/>
                <w:lang w:val="en-GB"/>
              </w:rPr>
              <w:t>,</w:t>
            </w:r>
            <w:r w:rsidRPr="002B43C8">
              <w:rPr>
                <w:rFonts w:ascii="Arial" w:hAnsi="Arial" w:cs="Arial"/>
                <w:sz w:val="18"/>
                <w:szCs w:val="19"/>
                <w:lang w:val="en-GB"/>
              </w:rPr>
              <w:t>194</w:t>
            </w:r>
          </w:p>
        </w:tc>
        <w:tc>
          <w:tcPr>
            <w:tcW w:w="1017" w:type="dxa"/>
            <w:vAlign w:val="center"/>
          </w:tcPr>
          <w:p w14:paraId="49F3B352" w14:textId="24E968EB"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2</w:t>
            </w:r>
            <w:r w:rsidR="00892FAA">
              <w:rPr>
                <w:rFonts w:ascii="Arial" w:hAnsi="Arial" w:cs="Arial"/>
                <w:sz w:val="18"/>
                <w:szCs w:val="19"/>
                <w:lang w:val="en-GB"/>
              </w:rPr>
              <w:t>,</w:t>
            </w:r>
            <w:r w:rsidRPr="002B43C8">
              <w:rPr>
                <w:rFonts w:ascii="Arial" w:hAnsi="Arial" w:cs="Arial"/>
                <w:sz w:val="18"/>
                <w:szCs w:val="19"/>
                <w:lang w:val="en-GB"/>
              </w:rPr>
              <w:t>421</w:t>
            </w:r>
            <w:r w:rsidR="00892FAA">
              <w:rPr>
                <w:rFonts w:ascii="Arial" w:hAnsi="Arial" w:cs="Arial"/>
                <w:sz w:val="18"/>
                <w:szCs w:val="19"/>
                <w:lang w:val="en-GB"/>
              </w:rPr>
              <w:t>,</w:t>
            </w:r>
            <w:r w:rsidRPr="002B43C8">
              <w:rPr>
                <w:rFonts w:ascii="Arial" w:hAnsi="Arial" w:cs="Arial"/>
                <w:sz w:val="18"/>
                <w:szCs w:val="19"/>
                <w:lang w:val="en-GB"/>
              </w:rPr>
              <w:t>277</w:t>
            </w:r>
          </w:p>
        </w:tc>
        <w:tc>
          <w:tcPr>
            <w:tcW w:w="932" w:type="dxa"/>
            <w:shd w:val="clear" w:color="auto" w:fill="auto"/>
            <w:noWrap/>
            <w:vAlign w:val="center"/>
            <w:hideMark/>
          </w:tcPr>
          <w:p w14:paraId="253322B0" w14:textId="53B8426D"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79</w:t>
            </w:r>
            <w:r w:rsidR="003F1E7A">
              <w:rPr>
                <w:rFonts w:ascii="Arial" w:hAnsi="Arial" w:cs="Arial"/>
                <w:sz w:val="18"/>
                <w:szCs w:val="19"/>
                <w:lang w:val="en-GB"/>
              </w:rPr>
              <w:t>,</w:t>
            </w:r>
            <w:r w:rsidRPr="002B43C8">
              <w:rPr>
                <w:rFonts w:ascii="Arial" w:hAnsi="Arial" w:cs="Arial"/>
                <w:sz w:val="18"/>
                <w:szCs w:val="19"/>
                <w:lang w:val="en-GB"/>
              </w:rPr>
              <w:t>487</w:t>
            </w:r>
          </w:p>
        </w:tc>
        <w:tc>
          <w:tcPr>
            <w:tcW w:w="1026" w:type="dxa"/>
            <w:vAlign w:val="center"/>
          </w:tcPr>
          <w:p w14:paraId="35C681DF" w14:textId="59D70E9E"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564</w:t>
            </w:r>
            <w:r w:rsidR="003F1E7A">
              <w:rPr>
                <w:rFonts w:ascii="Arial" w:hAnsi="Arial" w:cs="Arial"/>
                <w:sz w:val="18"/>
                <w:szCs w:val="19"/>
                <w:lang w:val="en-GB"/>
              </w:rPr>
              <w:t>,</w:t>
            </w:r>
            <w:r w:rsidRPr="002B43C8">
              <w:rPr>
                <w:rFonts w:ascii="Arial" w:hAnsi="Arial" w:cs="Arial"/>
                <w:sz w:val="18"/>
                <w:szCs w:val="19"/>
                <w:lang w:val="en-GB"/>
              </w:rPr>
              <w:t>085</w:t>
            </w:r>
          </w:p>
        </w:tc>
        <w:tc>
          <w:tcPr>
            <w:tcW w:w="932" w:type="dxa"/>
            <w:shd w:val="clear" w:color="auto" w:fill="auto"/>
            <w:noWrap/>
            <w:vAlign w:val="center"/>
            <w:hideMark/>
          </w:tcPr>
          <w:p w14:paraId="1B7109E0" w14:textId="58E04980"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111</w:t>
            </w:r>
            <w:r w:rsidR="003F1E7A">
              <w:rPr>
                <w:rFonts w:ascii="Arial" w:hAnsi="Arial" w:cs="Arial"/>
                <w:sz w:val="18"/>
                <w:szCs w:val="19"/>
                <w:lang w:val="en-GB"/>
              </w:rPr>
              <w:t>,</w:t>
            </w:r>
            <w:r w:rsidRPr="002B43C8">
              <w:rPr>
                <w:rFonts w:ascii="Arial" w:hAnsi="Arial" w:cs="Arial"/>
                <w:sz w:val="18"/>
                <w:szCs w:val="19"/>
                <w:lang w:val="en-GB"/>
              </w:rPr>
              <w:t>753</w:t>
            </w:r>
          </w:p>
        </w:tc>
        <w:tc>
          <w:tcPr>
            <w:tcW w:w="932" w:type="dxa"/>
            <w:vAlign w:val="center"/>
          </w:tcPr>
          <w:p w14:paraId="5A94A340" w14:textId="6722AF68"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239</w:t>
            </w:r>
            <w:r w:rsidR="00E13A92">
              <w:rPr>
                <w:rFonts w:ascii="Arial" w:hAnsi="Arial" w:cs="Arial"/>
                <w:sz w:val="18"/>
                <w:szCs w:val="19"/>
                <w:lang w:val="en-GB"/>
              </w:rPr>
              <w:t>,</w:t>
            </w:r>
            <w:r w:rsidRPr="002B43C8">
              <w:rPr>
                <w:rFonts w:ascii="Arial" w:hAnsi="Arial" w:cs="Arial"/>
                <w:sz w:val="18"/>
                <w:szCs w:val="19"/>
                <w:lang w:val="en-GB"/>
              </w:rPr>
              <w:t>067</w:t>
            </w:r>
          </w:p>
        </w:tc>
        <w:tc>
          <w:tcPr>
            <w:tcW w:w="1017" w:type="dxa"/>
            <w:vAlign w:val="center"/>
          </w:tcPr>
          <w:p w14:paraId="1347B607" w14:textId="4326C5FA"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1</w:t>
            </w:r>
            <w:r w:rsidR="00E13A92">
              <w:rPr>
                <w:rFonts w:ascii="Arial" w:hAnsi="Arial" w:cs="Arial"/>
                <w:sz w:val="18"/>
                <w:szCs w:val="19"/>
                <w:lang w:val="en-GB"/>
              </w:rPr>
              <w:t>,</w:t>
            </w:r>
            <w:r w:rsidRPr="002B43C8">
              <w:rPr>
                <w:rFonts w:ascii="Arial" w:hAnsi="Arial" w:cs="Arial"/>
                <w:sz w:val="18"/>
                <w:szCs w:val="19"/>
                <w:lang w:val="en-GB"/>
              </w:rPr>
              <w:t>171</w:t>
            </w:r>
            <w:r w:rsidR="00E13A92">
              <w:rPr>
                <w:rFonts w:ascii="Arial" w:hAnsi="Arial" w:cs="Arial"/>
                <w:sz w:val="18"/>
                <w:szCs w:val="19"/>
                <w:lang w:val="en-GB"/>
              </w:rPr>
              <w:t>,</w:t>
            </w:r>
            <w:r w:rsidRPr="002B43C8">
              <w:rPr>
                <w:rFonts w:ascii="Arial" w:hAnsi="Arial" w:cs="Arial"/>
                <w:sz w:val="18"/>
                <w:szCs w:val="19"/>
                <w:lang w:val="en-GB"/>
              </w:rPr>
              <w:t>434</w:t>
            </w:r>
          </w:p>
        </w:tc>
        <w:tc>
          <w:tcPr>
            <w:tcW w:w="1204" w:type="dxa"/>
            <w:shd w:val="clear" w:color="auto" w:fill="auto"/>
            <w:noWrap/>
            <w:vAlign w:val="center"/>
            <w:hideMark/>
          </w:tcPr>
          <w:p w14:paraId="411EF3F9" w14:textId="740B71AF"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3</w:t>
            </w:r>
            <w:r w:rsidR="00AF0C83">
              <w:rPr>
                <w:rFonts w:ascii="Arial" w:hAnsi="Arial" w:cs="Arial"/>
                <w:sz w:val="18"/>
                <w:szCs w:val="19"/>
                <w:lang w:val="en-GB"/>
              </w:rPr>
              <w:t>,</w:t>
            </w:r>
            <w:r w:rsidRPr="002B43C8">
              <w:rPr>
                <w:rFonts w:ascii="Arial" w:hAnsi="Arial" w:cs="Arial"/>
                <w:sz w:val="18"/>
                <w:szCs w:val="19"/>
                <w:lang w:val="en-GB"/>
              </w:rPr>
              <w:t>224</w:t>
            </w:r>
            <w:r w:rsidR="00AF0C83">
              <w:rPr>
                <w:rFonts w:ascii="Arial" w:hAnsi="Arial" w:cs="Arial"/>
                <w:sz w:val="18"/>
                <w:szCs w:val="19"/>
                <w:lang w:val="en-GB"/>
              </w:rPr>
              <w:t>,</w:t>
            </w:r>
            <w:r w:rsidRPr="002B43C8">
              <w:rPr>
                <w:rFonts w:ascii="Arial" w:hAnsi="Arial" w:cs="Arial"/>
                <w:sz w:val="18"/>
                <w:szCs w:val="19"/>
                <w:lang w:val="en-GB"/>
              </w:rPr>
              <w:t>429</w:t>
            </w:r>
          </w:p>
        </w:tc>
      </w:tr>
      <w:tr w:rsidR="003C4EE5" w:rsidRPr="002B43C8" w14:paraId="6C9C4B08" w14:textId="77777777" w:rsidTr="00880091">
        <w:trPr>
          <w:trHeight w:val="300"/>
          <w:jc w:val="center"/>
        </w:trPr>
        <w:tc>
          <w:tcPr>
            <w:tcW w:w="1224" w:type="dxa"/>
            <w:shd w:val="clear" w:color="auto" w:fill="auto"/>
            <w:noWrap/>
            <w:vAlign w:val="center"/>
            <w:hideMark/>
          </w:tcPr>
          <w:p w14:paraId="364CC1C4" w14:textId="335C245B" w:rsidR="003C4EE5" w:rsidRPr="002B43C8" w:rsidRDefault="003C4EE5" w:rsidP="00A42DB4">
            <w:pPr>
              <w:rPr>
                <w:rFonts w:ascii="Arial" w:hAnsi="Arial" w:cs="Arial"/>
                <w:b/>
                <w:sz w:val="18"/>
                <w:szCs w:val="19"/>
                <w:lang w:val="en-GB"/>
              </w:rPr>
            </w:pPr>
            <w:r w:rsidRPr="002B43C8">
              <w:rPr>
                <w:rFonts w:ascii="Arial" w:hAnsi="Arial" w:cs="Arial"/>
                <w:b/>
                <w:sz w:val="18"/>
                <w:szCs w:val="19"/>
                <w:lang w:val="en-GB"/>
              </w:rPr>
              <w:t>2013</w:t>
            </w:r>
            <w:r w:rsidR="00165424">
              <w:rPr>
                <w:rFonts w:ascii="Arial" w:hAnsi="Arial" w:cs="Arial"/>
                <w:b/>
                <w:sz w:val="18"/>
                <w:szCs w:val="19"/>
                <w:lang w:val="en-GB"/>
              </w:rPr>
              <w:t>–</w:t>
            </w:r>
            <w:r w:rsidRPr="002B43C8">
              <w:rPr>
                <w:rFonts w:ascii="Arial" w:hAnsi="Arial" w:cs="Arial"/>
                <w:b/>
                <w:sz w:val="18"/>
                <w:szCs w:val="19"/>
                <w:lang w:val="en-GB"/>
              </w:rPr>
              <w:t>14</w:t>
            </w:r>
          </w:p>
        </w:tc>
        <w:tc>
          <w:tcPr>
            <w:tcW w:w="1017" w:type="dxa"/>
            <w:shd w:val="clear" w:color="auto" w:fill="auto"/>
            <w:noWrap/>
            <w:vAlign w:val="center"/>
            <w:hideMark/>
          </w:tcPr>
          <w:p w14:paraId="39B2451C" w14:textId="797EB1B4"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990</w:t>
            </w:r>
            <w:r w:rsidR="00054E12">
              <w:rPr>
                <w:rFonts w:ascii="Arial" w:hAnsi="Arial" w:cs="Arial"/>
                <w:sz w:val="18"/>
                <w:szCs w:val="19"/>
                <w:lang w:val="en-GB"/>
              </w:rPr>
              <w:t>,</w:t>
            </w:r>
            <w:r w:rsidRPr="002B43C8">
              <w:rPr>
                <w:rFonts w:ascii="Arial" w:hAnsi="Arial" w:cs="Arial"/>
                <w:sz w:val="18"/>
                <w:szCs w:val="19"/>
                <w:lang w:val="en-GB"/>
              </w:rPr>
              <w:t>287</w:t>
            </w:r>
          </w:p>
        </w:tc>
        <w:tc>
          <w:tcPr>
            <w:tcW w:w="1017" w:type="dxa"/>
            <w:vAlign w:val="center"/>
          </w:tcPr>
          <w:p w14:paraId="071212E6" w14:textId="7FA945FD"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2</w:t>
            </w:r>
            <w:r w:rsidR="00892FAA">
              <w:rPr>
                <w:rFonts w:ascii="Arial" w:hAnsi="Arial" w:cs="Arial"/>
                <w:sz w:val="18"/>
                <w:szCs w:val="19"/>
                <w:lang w:val="en-GB"/>
              </w:rPr>
              <w:t>,</w:t>
            </w:r>
            <w:r w:rsidRPr="002B43C8">
              <w:rPr>
                <w:rFonts w:ascii="Arial" w:hAnsi="Arial" w:cs="Arial"/>
                <w:sz w:val="18"/>
                <w:szCs w:val="19"/>
                <w:lang w:val="en-GB"/>
              </w:rPr>
              <w:t>338</w:t>
            </w:r>
            <w:r w:rsidR="00892FAA">
              <w:rPr>
                <w:rFonts w:ascii="Arial" w:hAnsi="Arial" w:cs="Arial"/>
                <w:sz w:val="18"/>
                <w:szCs w:val="19"/>
                <w:lang w:val="en-GB"/>
              </w:rPr>
              <w:t>,</w:t>
            </w:r>
            <w:r w:rsidRPr="002B43C8">
              <w:rPr>
                <w:rFonts w:ascii="Arial" w:hAnsi="Arial" w:cs="Arial"/>
                <w:sz w:val="18"/>
                <w:szCs w:val="19"/>
                <w:lang w:val="en-GB"/>
              </w:rPr>
              <w:t>043</w:t>
            </w:r>
          </w:p>
        </w:tc>
        <w:tc>
          <w:tcPr>
            <w:tcW w:w="932" w:type="dxa"/>
            <w:shd w:val="clear" w:color="auto" w:fill="auto"/>
            <w:noWrap/>
            <w:vAlign w:val="center"/>
            <w:hideMark/>
          </w:tcPr>
          <w:p w14:paraId="5B6BBF38" w14:textId="5ED93653"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61</w:t>
            </w:r>
            <w:r w:rsidR="003F1E7A">
              <w:rPr>
                <w:rFonts w:ascii="Arial" w:hAnsi="Arial" w:cs="Arial"/>
                <w:sz w:val="18"/>
                <w:szCs w:val="19"/>
                <w:lang w:val="en-GB"/>
              </w:rPr>
              <w:t>,</w:t>
            </w:r>
            <w:r w:rsidRPr="002B43C8">
              <w:rPr>
                <w:rFonts w:ascii="Arial" w:hAnsi="Arial" w:cs="Arial"/>
                <w:sz w:val="18"/>
                <w:szCs w:val="19"/>
                <w:lang w:val="en-GB"/>
              </w:rPr>
              <w:t>378</w:t>
            </w:r>
          </w:p>
        </w:tc>
        <w:tc>
          <w:tcPr>
            <w:tcW w:w="1026" w:type="dxa"/>
            <w:vAlign w:val="center"/>
          </w:tcPr>
          <w:p w14:paraId="4F93B3FD" w14:textId="65AA85AC"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569</w:t>
            </w:r>
            <w:r w:rsidR="003F1E7A">
              <w:rPr>
                <w:rFonts w:ascii="Arial" w:hAnsi="Arial" w:cs="Arial"/>
                <w:sz w:val="18"/>
                <w:szCs w:val="19"/>
                <w:lang w:val="en-GB"/>
              </w:rPr>
              <w:t>,</w:t>
            </w:r>
            <w:r w:rsidRPr="002B43C8">
              <w:rPr>
                <w:rFonts w:ascii="Arial" w:hAnsi="Arial" w:cs="Arial"/>
                <w:sz w:val="18"/>
                <w:szCs w:val="19"/>
                <w:lang w:val="en-GB"/>
              </w:rPr>
              <w:t>272</w:t>
            </w:r>
          </w:p>
        </w:tc>
        <w:tc>
          <w:tcPr>
            <w:tcW w:w="932" w:type="dxa"/>
            <w:shd w:val="clear" w:color="auto" w:fill="auto"/>
            <w:noWrap/>
            <w:vAlign w:val="center"/>
            <w:hideMark/>
          </w:tcPr>
          <w:p w14:paraId="706CD948" w14:textId="2F70A9BD"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103</w:t>
            </w:r>
            <w:r w:rsidR="003F1E7A">
              <w:rPr>
                <w:rFonts w:ascii="Arial" w:hAnsi="Arial" w:cs="Arial"/>
                <w:sz w:val="18"/>
                <w:szCs w:val="19"/>
                <w:lang w:val="en-GB"/>
              </w:rPr>
              <w:t>,</w:t>
            </w:r>
            <w:r w:rsidRPr="002B43C8">
              <w:rPr>
                <w:rFonts w:ascii="Arial" w:hAnsi="Arial" w:cs="Arial"/>
                <w:sz w:val="18"/>
                <w:szCs w:val="19"/>
                <w:lang w:val="en-GB"/>
              </w:rPr>
              <w:t>376</w:t>
            </w:r>
          </w:p>
        </w:tc>
        <w:tc>
          <w:tcPr>
            <w:tcW w:w="932" w:type="dxa"/>
            <w:vAlign w:val="center"/>
          </w:tcPr>
          <w:p w14:paraId="1AD8A056" w14:textId="38B0088A"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192</w:t>
            </w:r>
            <w:r w:rsidR="00E13A92">
              <w:rPr>
                <w:rFonts w:ascii="Arial" w:hAnsi="Arial" w:cs="Arial"/>
                <w:sz w:val="18"/>
                <w:szCs w:val="19"/>
                <w:lang w:val="en-GB"/>
              </w:rPr>
              <w:t>,</w:t>
            </w:r>
            <w:r w:rsidRPr="002B43C8">
              <w:rPr>
                <w:rFonts w:ascii="Arial" w:hAnsi="Arial" w:cs="Arial"/>
                <w:sz w:val="18"/>
                <w:szCs w:val="19"/>
                <w:lang w:val="en-GB"/>
              </w:rPr>
              <w:t>335</w:t>
            </w:r>
          </w:p>
        </w:tc>
        <w:tc>
          <w:tcPr>
            <w:tcW w:w="1017" w:type="dxa"/>
            <w:vAlign w:val="center"/>
          </w:tcPr>
          <w:p w14:paraId="038BBC6B" w14:textId="45E47C73"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1</w:t>
            </w:r>
            <w:r w:rsidR="00E13A92">
              <w:rPr>
                <w:rFonts w:ascii="Arial" w:hAnsi="Arial" w:cs="Arial"/>
                <w:sz w:val="18"/>
                <w:szCs w:val="19"/>
                <w:lang w:val="en-GB"/>
              </w:rPr>
              <w:t>,</w:t>
            </w:r>
            <w:r w:rsidRPr="002B43C8">
              <w:rPr>
                <w:rFonts w:ascii="Arial" w:hAnsi="Arial" w:cs="Arial"/>
                <w:sz w:val="18"/>
                <w:szCs w:val="19"/>
                <w:lang w:val="en-GB"/>
              </w:rPr>
              <w:t>155</w:t>
            </w:r>
            <w:r w:rsidR="00E13A92">
              <w:rPr>
                <w:rFonts w:ascii="Arial" w:hAnsi="Arial" w:cs="Arial"/>
                <w:sz w:val="18"/>
                <w:szCs w:val="19"/>
                <w:lang w:val="en-GB"/>
              </w:rPr>
              <w:t>,</w:t>
            </w:r>
            <w:r w:rsidRPr="002B43C8">
              <w:rPr>
                <w:rFonts w:ascii="Arial" w:hAnsi="Arial" w:cs="Arial"/>
                <w:sz w:val="18"/>
                <w:szCs w:val="19"/>
                <w:lang w:val="en-GB"/>
              </w:rPr>
              <w:t>041</w:t>
            </w:r>
          </w:p>
        </w:tc>
        <w:tc>
          <w:tcPr>
            <w:tcW w:w="1204" w:type="dxa"/>
            <w:shd w:val="clear" w:color="auto" w:fill="auto"/>
            <w:noWrap/>
            <w:vAlign w:val="center"/>
            <w:hideMark/>
          </w:tcPr>
          <w:p w14:paraId="22C7F8B0" w14:textId="5A7454B3"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3</w:t>
            </w:r>
            <w:r w:rsidR="00AF0C83">
              <w:rPr>
                <w:rFonts w:ascii="Arial" w:hAnsi="Arial" w:cs="Arial"/>
                <w:sz w:val="18"/>
                <w:szCs w:val="19"/>
                <w:lang w:val="en-GB"/>
              </w:rPr>
              <w:t>,</w:t>
            </w:r>
            <w:r w:rsidRPr="002B43C8">
              <w:rPr>
                <w:rFonts w:ascii="Arial" w:hAnsi="Arial" w:cs="Arial"/>
                <w:sz w:val="18"/>
                <w:szCs w:val="19"/>
                <w:lang w:val="en-GB"/>
              </w:rPr>
              <w:t>099</w:t>
            </w:r>
            <w:r w:rsidR="00AF0C83">
              <w:rPr>
                <w:rFonts w:ascii="Arial" w:hAnsi="Arial" w:cs="Arial"/>
                <w:sz w:val="18"/>
                <w:szCs w:val="19"/>
                <w:lang w:val="en-GB"/>
              </w:rPr>
              <w:t>,</w:t>
            </w:r>
            <w:r w:rsidRPr="002B43C8">
              <w:rPr>
                <w:rFonts w:ascii="Arial" w:hAnsi="Arial" w:cs="Arial"/>
                <w:sz w:val="18"/>
                <w:szCs w:val="19"/>
                <w:lang w:val="en-GB"/>
              </w:rPr>
              <w:t>650</w:t>
            </w:r>
          </w:p>
        </w:tc>
      </w:tr>
      <w:tr w:rsidR="003C4EE5" w:rsidRPr="002B43C8" w14:paraId="517B6FE7" w14:textId="77777777" w:rsidTr="00880091">
        <w:trPr>
          <w:trHeight w:val="300"/>
          <w:jc w:val="center"/>
        </w:trPr>
        <w:tc>
          <w:tcPr>
            <w:tcW w:w="1224" w:type="dxa"/>
            <w:shd w:val="clear" w:color="auto" w:fill="auto"/>
            <w:noWrap/>
            <w:vAlign w:val="center"/>
            <w:hideMark/>
          </w:tcPr>
          <w:p w14:paraId="42F75C9B" w14:textId="44900D85" w:rsidR="003C4EE5" w:rsidRPr="002B43C8" w:rsidRDefault="003C4EE5" w:rsidP="00A42DB4">
            <w:pPr>
              <w:rPr>
                <w:rFonts w:ascii="Arial" w:hAnsi="Arial" w:cs="Arial"/>
                <w:b/>
                <w:sz w:val="18"/>
                <w:szCs w:val="19"/>
                <w:lang w:val="en-GB"/>
              </w:rPr>
            </w:pPr>
            <w:r w:rsidRPr="002B43C8">
              <w:rPr>
                <w:rFonts w:ascii="Arial" w:hAnsi="Arial" w:cs="Arial"/>
                <w:b/>
                <w:sz w:val="18"/>
                <w:szCs w:val="19"/>
                <w:lang w:val="en-GB"/>
              </w:rPr>
              <w:t>2014</w:t>
            </w:r>
            <w:r w:rsidR="00165424">
              <w:rPr>
                <w:rFonts w:ascii="Arial" w:hAnsi="Arial" w:cs="Arial"/>
                <w:b/>
                <w:sz w:val="18"/>
                <w:szCs w:val="19"/>
                <w:lang w:val="en-GB"/>
              </w:rPr>
              <w:t>–</w:t>
            </w:r>
            <w:r w:rsidRPr="002B43C8">
              <w:rPr>
                <w:rFonts w:ascii="Arial" w:hAnsi="Arial" w:cs="Arial"/>
                <w:b/>
                <w:sz w:val="18"/>
                <w:szCs w:val="19"/>
                <w:lang w:val="en-GB"/>
              </w:rPr>
              <w:t>15</w:t>
            </w:r>
          </w:p>
        </w:tc>
        <w:tc>
          <w:tcPr>
            <w:tcW w:w="1017" w:type="dxa"/>
            <w:shd w:val="clear" w:color="auto" w:fill="auto"/>
            <w:noWrap/>
            <w:vAlign w:val="center"/>
            <w:hideMark/>
          </w:tcPr>
          <w:p w14:paraId="26A872F6" w14:textId="62551784"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1</w:t>
            </w:r>
            <w:r w:rsidR="00054E12">
              <w:rPr>
                <w:rFonts w:ascii="Arial" w:hAnsi="Arial" w:cs="Arial"/>
                <w:sz w:val="18"/>
                <w:szCs w:val="19"/>
                <w:lang w:val="en-GB"/>
              </w:rPr>
              <w:t>,</w:t>
            </w:r>
            <w:r w:rsidRPr="002B43C8">
              <w:rPr>
                <w:rFonts w:ascii="Arial" w:hAnsi="Arial" w:cs="Arial"/>
                <w:sz w:val="18"/>
                <w:szCs w:val="19"/>
                <w:lang w:val="en-GB"/>
              </w:rPr>
              <w:t>083</w:t>
            </w:r>
            <w:r w:rsidR="00054E12">
              <w:rPr>
                <w:rFonts w:ascii="Arial" w:hAnsi="Arial" w:cs="Arial"/>
                <w:sz w:val="18"/>
                <w:szCs w:val="19"/>
                <w:lang w:val="en-GB"/>
              </w:rPr>
              <w:t>,</w:t>
            </w:r>
            <w:r w:rsidRPr="002B43C8">
              <w:rPr>
                <w:rFonts w:ascii="Arial" w:hAnsi="Arial" w:cs="Arial"/>
                <w:sz w:val="18"/>
                <w:szCs w:val="19"/>
                <w:lang w:val="en-GB"/>
              </w:rPr>
              <w:t>127</w:t>
            </w:r>
          </w:p>
        </w:tc>
        <w:tc>
          <w:tcPr>
            <w:tcW w:w="1017" w:type="dxa"/>
            <w:vAlign w:val="center"/>
          </w:tcPr>
          <w:p w14:paraId="274F1A3D" w14:textId="39F37B8E"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2</w:t>
            </w:r>
            <w:r w:rsidR="00892FAA">
              <w:rPr>
                <w:rFonts w:ascii="Arial" w:hAnsi="Arial" w:cs="Arial"/>
                <w:sz w:val="18"/>
                <w:szCs w:val="19"/>
                <w:lang w:val="en-GB"/>
              </w:rPr>
              <w:t>,</w:t>
            </w:r>
            <w:r w:rsidRPr="002B43C8">
              <w:rPr>
                <w:rFonts w:ascii="Arial" w:hAnsi="Arial" w:cs="Arial"/>
                <w:sz w:val="18"/>
                <w:szCs w:val="19"/>
                <w:lang w:val="en-GB"/>
              </w:rPr>
              <w:t>419</w:t>
            </w:r>
            <w:r w:rsidR="00892FAA">
              <w:rPr>
                <w:rFonts w:ascii="Arial" w:hAnsi="Arial" w:cs="Arial"/>
                <w:sz w:val="18"/>
                <w:szCs w:val="19"/>
                <w:lang w:val="en-GB"/>
              </w:rPr>
              <w:t>,</w:t>
            </w:r>
            <w:r w:rsidRPr="002B43C8">
              <w:rPr>
                <w:rFonts w:ascii="Arial" w:hAnsi="Arial" w:cs="Arial"/>
                <w:sz w:val="18"/>
                <w:szCs w:val="19"/>
                <w:lang w:val="en-GB"/>
              </w:rPr>
              <w:t>818</w:t>
            </w:r>
          </w:p>
        </w:tc>
        <w:tc>
          <w:tcPr>
            <w:tcW w:w="932" w:type="dxa"/>
            <w:shd w:val="clear" w:color="auto" w:fill="auto"/>
            <w:noWrap/>
            <w:vAlign w:val="center"/>
            <w:hideMark/>
          </w:tcPr>
          <w:p w14:paraId="20AE6BF5" w14:textId="4E05E91D"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78</w:t>
            </w:r>
            <w:r w:rsidR="003F1E7A">
              <w:rPr>
                <w:rFonts w:ascii="Arial" w:hAnsi="Arial" w:cs="Arial"/>
                <w:sz w:val="18"/>
                <w:szCs w:val="19"/>
                <w:lang w:val="en-GB"/>
              </w:rPr>
              <w:t>,</w:t>
            </w:r>
            <w:r w:rsidRPr="002B43C8">
              <w:rPr>
                <w:rFonts w:ascii="Arial" w:hAnsi="Arial" w:cs="Arial"/>
                <w:sz w:val="18"/>
                <w:szCs w:val="19"/>
                <w:lang w:val="en-GB"/>
              </w:rPr>
              <w:t>692</w:t>
            </w:r>
          </w:p>
        </w:tc>
        <w:tc>
          <w:tcPr>
            <w:tcW w:w="1026" w:type="dxa"/>
            <w:vAlign w:val="center"/>
          </w:tcPr>
          <w:p w14:paraId="5E7048A7" w14:textId="495BE69A"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629</w:t>
            </w:r>
            <w:r w:rsidR="003F1E7A">
              <w:rPr>
                <w:rFonts w:ascii="Arial" w:hAnsi="Arial" w:cs="Arial"/>
                <w:sz w:val="18"/>
                <w:szCs w:val="19"/>
                <w:lang w:val="en-GB"/>
              </w:rPr>
              <w:t>,</w:t>
            </w:r>
            <w:r w:rsidRPr="002B43C8">
              <w:rPr>
                <w:rFonts w:ascii="Arial" w:hAnsi="Arial" w:cs="Arial"/>
                <w:sz w:val="18"/>
                <w:szCs w:val="19"/>
                <w:lang w:val="en-GB"/>
              </w:rPr>
              <w:t>160</w:t>
            </w:r>
          </w:p>
        </w:tc>
        <w:tc>
          <w:tcPr>
            <w:tcW w:w="932" w:type="dxa"/>
            <w:shd w:val="clear" w:color="auto" w:fill="auto"/>
            <w:noWrap/>
            <w:vAlign w:val="center"/>
            <w:hideMark/>
          </w:tcPr>
          <w:p w14:paraId="14A026C8" w14:textId="102C8344"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130</w:t>
            </w:r>
            <w:r w:rsidR="003F1E7A">
              <w:rPr>
                <w:rFonts w:ascii="Arial" w:hAnsi="Arial" w:cs="Arial"/>
                <w:sz w:val="18"/>
                <w:szCs w:val="19"/>
                <w:lang w:val="en-GB"/>
              </w:rPr>
              <w:t>,</w:t>
            </w:r>
            <w:r w:rsidRPr="002B43C8">
              <w:rPr>
                <w:rFonts w:ascii="Arial" w:hAnsi="Arial" w:cs="Arial"/>
                <w:sz w:val="18"/>
                <w:szCs w:val="19"/>
                <w:lang w:val="en-GB"/>
              </w:rPr>
              <w:t>587</w:t>
            </w:r>
          </w:p>
        </w:tc>
        <w:tc>
          <w:tcPr>
            <w:tcW w:w="932" w:type="dxa"/>
            <w:vAlign w:val="center"/>
          </w:tcPr>
          <w:p w14:paraId="5EFC80A6" w14:textId="54447537"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173</w:t>
            </w:r>
            <w:r w:rsidR="00E13A92">
              <w:rPr>
                <w:rFonts w:ascii="Arial" w:hAnsi="Arial" w:cs="Arial"/>
                <w:sz w:val="18"/>
                <w:szCs w:val="19"/>
                <w:lang w:val="en-GB"/>
              </w:rPr>
              <w:t>,</w:t>
            </w:r>
            <w:r w:rsidRPr="002B43C8">
              <w:rPr>
                <w:rFonts w:ascii="Arial" w:hAnsi="Arial" w:cs="Arial"/>
                <w:sz w:val="18"/>
                <w:szCs w:val="19"/>
                <w:lang w:val="en-GB"/>
              </w:rPr>
              <w:t>599</w:t>
            </w:r>
          </w:p>
        </w:tc>
        <w:tc>
          <w:tcPr>
            <w:tcW w:w="1017" w:type="dxa"/>
            <w:vAlign w:val="center"/>
          </w:tcPr>
          <w:p w14:paraId="17E050C6" w14:textId="7F91C288"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1</w:t>
            </w:r>
            <w:r w:rsidR="00E13A92">
              <w:rPr>
                <w:rFonts w:ascii="Arial" w:hAnsi="Arial" w:cs="Arial"/>
                <w:sz w:val="18"/>
                <w:szCs w:val="19"/>
                <w:lang w:val="en-GB"/>
              </w:rPr>
              <w:t>,</w:t>
            </w:r>
            <w:r w:rsidRPr="002B43C8">
              <w:rPr>
                <w:rFonts w:ascii="Arial" w:hAnsi="Arial" w:cs="Arial"/>
                <w:sz w:val="18"/>
                <w:szCs w:val="19"/>
                <w:lang w:val="en-GB"/>
              </w:rPr>
              <w:t>292</w:t>
            </w:r>
            <w:r w:rsidR="00E13A92">
              <w:rPr>
                <w:rFonts w:ascii="Arial" w:hAnsi="Arial" w:cs="Arial"/>
                <w:sz w:val="18"/>
                <w:szCs w:val="19"/>
                <w:lang w:val="en-GB"/>
              </w:rPr>
              <w:t>,</w:t>
            </w:r>
            <w:r w:rsidRPr="002B43C8">
              <w:rPr>
                <w:rFonts w:ascii="Arial" w:hAnsi="Arial" w:cs="Arial"/>
                <w:sz w:val="18"/>
                <w:szCs w:val="19"/>
                <w:lang w:val="en-GB"/>
              </w:rPr>
              <w:t>406</w:t>
            </w:r>
          </w:p>
        </w:tc>
        <w:tc>
          <w:tcPr>
            <w:tcW w:w="1204" w:type="dxa"/>
            <w:shd w:val="clear" w:color="auto" w:fill="auto"/>
            <w:noWrap/>
            <w:vAlign w:val="center"/>
            <w:hideMark/>
          </w:tcPr>
          <w:p w14:paraId="1387880F" w14:textId="56B6844B"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3</w:t>
            </w:r>
            <w:r w:rsidR="00AF0C83">
              <w:rPr>
                <w:rFonts w:ascii="Arial" w:hAnsi="Arial" w:cs="Arial"/>
                <w:sz w:val="18"/>
                <w:szCs w:val="19"/>
                <w:lang w:val="en-GB"/>
              </w:rPr>
              <w:t>,</w:t>
            </w:r>
            <w:r w:rsidRPr="002B43C8">
              <w:rPr>
                <w:rFonts w:ascii="Arial" w:hAnsi="Arial" w:cs="Arial"/>
                <w:sz w:val="18"/>
                <w:szCs w:val="19"/>
                <w:lang w:val="en-GB"/>
              </w:rPr>
              <w:t>222</w:t>
            </w:r>
            <w:r w:rsidR="00AF0C83">
              <w:rPr>
                <w:rFonts w:ascii="Arial" w:hAnsi="Arial" w:cs="Arial"/>
                <w:sz w:val="18"/>
                <w:szCs w:val="19"/>
                <w:lang w:val="en-GB"/>
              </w:rPr>
              <w:t>,</w:t>
            </w:r>
            <w:r w:rsidRPr="002B43C8">
              <w:rPr>
                <w:rFonts w:ascii="Arial" w:hAnsi="Arial" w:cs="Arial"/>
                <w:sz w:val="18"/>
                <w:szCs w:val="19"/>
                <w:lang w:val="en-GB"/>
              </w:rPr>
              <w:t>577</w:t>
            </w:r>
          </w:p>
        </w:tc>
      </w:tr>
      <w:tr w:rsidR="003C4EE5" w:rsidRPr="002B43C8" w14:paraId="6FD229AB" w14:textId="77777777" w:rsidTr="00880091">
        <w:trPr>
          <w:trHeight w:val="300"/>
          <w:jc w:val="center"/>
        </w:trPr>
        <w:tc>
          <w:tcPr>
            <w:tcW w:w="1224" w:type="dxa"/>
            <w:shd w:val="clear" w:color="auto" w:fill="auto"/>
            <w:noWrap/>
            <w:vAlign w:val="center"/>
            <w:hideMark/>
          </w:tcPr>
          <w:p w14:paraId="0780E390" w14:textId="3BA4A6E7" w:rsidR="003C4EE5" w:rsidRPr="002B43C8" w:rsidRDefault="003C4EE5" w:rsidP="00A42DB4">
            <w:pPr>
              <w:rPr>
                <w:rFonts w:ascii="Arial" w:hAnsi="Arial" w:cs="Arial"/>
                <w:b/>
                <w:sz w:val="18"/>
                <w:szCs w:val="19"/>
                <w:lang w:val="en-GB"/>
              </w:rPr>
            </w:pPr>
            <w:r w:rsidRPr="002B43C8">
              <w:rPr>
                <w:rFonts w:ascii="Arial" w:hAnsi="Arial" w:cs="Arial"/>
                <w:b/>
                <w:sz w:val="18"/>
                <w:szCs w:val="19"/>
                <w:lang w:val="en-GB"/>
              </w:rPr>
              <w:t>2015</w:t>
            </w:r>
            <w:r w:rsidR="00165424">
              <w:rPr>
                <w:rFonts w:ascii="Arial" w:hAnsi="Arial" w:cs="Arial"/>
                <w:b/>
                <w:sz w:val="18"/>
                <w:szCs w:val="19"/>
                <w:lang w:val="en-GB"/>
              </w:rPr>
              <w:t>–</w:t>
            </w:r>
            <w:r w:rsidRPr="002B43C8">
              <w:rPr>
                <w:rFonts w:ascii="Arial" w:hAnsi="Arial" w:cs="Arial"/>
                <w:b/>
                <w:sz w:val="18"/>
                <w:szCs w:val="19"/>
                <w:lang w:val="en-GB"/>
              </w:rPr>
              <w:t>16</w:t>
            </w:r>
          </w:p>
        </w:tc>
        <w:tc>
          <w:tcPr>
            <w:tcW w:w="1017" w:type="dxa"/>
            <w:shd w:val="clear" w:color="auto" w:fill="auto"/>
            <w:noWrap/>
            <w:vAlign w:val="center"/>
            <w:hideMark/>
          </w:tcPr>
          <w:p w14:paraId="76A6BB57" w14:textId="5F3FF25F"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1</w:t>
            </w:r>
            <w:r w:rsidR="00892FAA">
              <w:rPr>
                <w:rFonts w:ascii="Arial" w:hAnsi="Arial" w:cs="Arial"/>
                <w:sz w:val="18"/>
                <w:szCs w:val="19"/>
                <w:lang w:val="en-GB"/>
              </w:rPr>
              <w:t>,</w:t>
            </w:r>
            <w:r w:rsidRPr="002B43C8">
              <w:rPr>
                <w:rFonts w:ascii="Arial" w:hAnsi="Arial" w:cs="Arial"/>
                <w:sz w:val="18"/>
                <w:szCs w:val="19"/>
                <w:lang w:val="en-GB"/>
              </w:rPr>
              <w:t>181</w:t>
            </w:r>
            <w:r w:rsidR="00892FAA">
              <w:rPr>
                <w:rFonts w:ascii="Arial" w:hAnsi="Arial" w:cs="Arial"/>
                <w:sz w:val="18"/>
                <w:szCs w:val="19"/>
                <w:lang w:val="en-GB"/>
              </w:rPr>
              <w:t>,</w:t>
            </w:r>
            <w:r w:rsidRPr="002B43C8">
              <w:rPr>
                <w:rFonts w:ascii="Arial" w:hAnsi="Arial" w:cs="Arial"/>
                <w:sz w:val="18"/>
                <w:szCs w:val="19"/>
                <w:lang w:val="en-GB"/>
              </w:rPr>
              <w:t>597</w:t>
            </w:r>
          </w:p>
        </w:tc>
        <w:tc>
          <w:tcPr>
            <w:tcW w:w="1017" w:type="dxa"/>
            <w:vAlign w:val="center"/>
          </w:tcPr>
          <w:p w14:paraId="756DE300" w14:textId="0F694B81"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2</w:t>
            </w:r>
            <w:r w:rsidR="00892FAA">
              <w:rPr>
                <w:rFonts w:ascii="Arial" w:hAnsi="Arial" w:cs="Arial"/>
                <w:sz w:val="18"/>
                <w:szCs w:val="19"/>
                <w:lang w:val="en-GB"/>
              </w:rPr>
              <w:t>,</w:t>
            </w:r>
            <w:r w:rsidRPr="002B43C8">
              <w:rPr>
                <w:rFonts w:ascii="Arial" w:hAnsi="Arial" w:cs="Arial"/>
                <w:sz w:val="18"/>
                <w:szCs w:val="19"/>
                <w:lang w:val="en-GB"/>
              </w:rPr>
              <w:t>557</w:t>
            </w:r>
            <w:r w:rsidR="00892FAA">
              <w:rPr>
                <w:rFonts w:ascii="Arial" w:hAnsi="Arial" w:cs="Arial"/>
                <w:sz w:val="18"/>
                <w:szCs w:val="19"/>
                <w:lang w:val="en-GB"/>
              </w:rPr>
              <w:t>,</w:t>
            </w:r>
            <w:r w:rsidRPr="002B43C8">
              <w:rPr>
                <w:rFonts w:ascii="Arial" w:hAnsi="Arial" w:cs="Arial"/>
                <w:sz w:val="18"/>
                <w:szCs w:val="19"/>
                <w:lang w:val="en-GB"/>
              </w:rPr>
              <w:t>532</w:t>
            </w:r>
          </w:p>
        </w:tc>
        <w:tc>
          <w:tcPr>
            <w:tcW w:w="932" w:type="dxa"/>
            <w:shd w:val="clear" w:color="auto" w:fill="auto"/>
            <w:noWrap/>
            <w:vAlign w:val="center"/>
            <w:hideMark/>
          </w:tcPr>
          <w:p w14:paraId="13AA7482" w14:textId="53CCEB01"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102</w:t>
            </w:r>
            <w:r w:rsidR="003F1E7A">
              <w:rPr>
                <w:rFonts w:ascii="Arial" w:hAnsi="Arial" w:cs="Arial"/>
                <w:sz w:val="18"/>
                <w:szCs w:val="19"/>
                <w:lang w:val="en-GB"/>
              </w:rPr>
              <w:t>,</w:t>
            </w:r>
            <w:r w:rsidRPr="002B43C8">
              <w:rPr>
                <w:rFonts w:ascii="Arial" w:hAnsi="Arial" w:cs="Arial"/>
                <w:sz w:val="18"/>
                <w:szCs w:val="19"/>
                <w:lang w:val="en-GB"/>
              </w:rPr>
              <w:t>842</w:t>
            </w:r>
          </w:p>
        </w:tc>
        <w:tc>
          <w:tcPr>
            <w:tcW w:w="1026" w:type="dxa"/>
            <w:vAlign w:val="center"/>
          </w:tcPr>
          <w:p w14:paraId="0D445C4C" w14:textId="77606DA9"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705</w:t>
            </w:r>
            <w:r w:rsidR="003F1E7A">
              <w:rPr>
                <w:rFonts w:ascii="Arial" w:hAnsi="Arial" w:cs="Arial"/>
                <w:sz w:val="18"/>
                <w:szCs w:val="19"/>
                <w:lang w:val="en-GB"/>
              </w:rPr>
              <w:t>,</w:t>
            </w:r>
            <w:r w:rsidRPr="002B43C8">
              <w:rPr>
                <w:rFonts w:ascii="Arial" w:hAnsi="Arial" w:cs="Arial"/>
                <w:sz w:val="18"/>
                <w:szCs w:val="19"/>
                <w:lang w:val="en-GB"/>
              </w:rPr>
              <w:t>385</w:t>
            </w:r>
          </w:p>
        </w:tc>
        <w:tc>
          <w:tcPr>
            <w:tcW w:w="932" w:type="dxa"/>
            <w:shd w:val="clear" w:color="auto" w:fill="auto"/>
            <w:noWrap/>
            <w:vAlign w:val="center"/>
            <w:hideMark/>
          </w:tcPr>
          <w:p w14:paraId="12958483" w14:textId="16B485BF"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144</w:t>
            </w:r>
            <w:r w:rsidR="003F1E7A">
              <w:rPr>
                <w:rFonts w:ascii="Arial" w:hAnsi="Arial" w:cs="Arial"/>
                <w:sz w:val="18"/>
                <w:szCs w:val="19"/>
                <w:lang w:val="en-GB"/>
              </w:rPr>
              <w:t>,</w:t>
            </w:r>
            <w:r w:rsidRPr="002B43C8">
              <w:rPr>
                <w:rFonts w:ascii="Arial" w:hAnsi="Arial" w:cs="Arial"/>
                <w:sz w:val="18"/>
                <w:szCs w:val="19"/>
                <w:lang w:val="en-GB"/>
              </w:rPr>
              <w:t>762</w:t>
            </w:r>
          </w:p>
        </w:tc>
        <w:tc>
          <w:tcPr>
            <w:tcW w:w="932" w:type="dxa"/>
            <w:vAlign w:val="center"/>
          </w:tcPr>
          <w:p w14:paraId="0D095236" w14:textId="6151AC13"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180</w:t>
            </w:r>
            <w:r w:rsidR="00E13A92">
              <w:rPr>
                <w:rFonts w:ascii="Arial" w:hAnsi="Arial" w:cs="Arial"/>
                <w:sz w:val="18"/>
                <w:szCs w:val="19"/>
                <w:lang w:val="en-GB"/>
              </w:rPr>
              <w:t>,</w:t>
            </w:r>
            <w:r w:rsidRPr="002B43C8">
              <w:rPr>
                <w:rFonts w:ascii="Arial" w:hAnsi="Arial" w:cs="Arial"/>
                <w:sz w:val="18"/>
                <w:szCs w:val="19"/>
                <w:lang w:val="en-GB"/>
              </w:rPr>
              <w:t>650</w:t>
            </w:r>
          </w:p>
        </w:tc>
        <w:tc>
          <w:tcPr>
            <w:tcW w:w="1017" w:type="dxa"/>
            <w:vAlign w:val="center"/>
          </w:tcPr>
          <w:p w14:paraId="39A39312" w14:textId="7066A99F"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1</w:t>
            </w:r>
            <w:r w:rsidR="00E13A92">
              <w:rPr>
                <w:rFonts w:ascii="Arial" w:hAnsi="Arial" w:cs="Arial"/>
                <w:sz w:val="18"/>
                <w:szCs w:val="19"/>
                <w:lang w:val="en-GB"/>
              </w:rPr>
              <w:t>,</w:t>
            </w:r>
            <w:r w:rsidRPr="002B43C8">
              <w:rPr>
                <w:rFonts w:ascii="Arial" w:hAnsi="Arial" w:cs="Arial"/>
                <w:sz w:val="18"/>
                <w:szCs w:val="19"/>
                <w:lang w:val="en-GB"/>
              </w:rPr>
              <w:t>429</w:t>
            </w:r>
            <w:r w:rsidR="00E13A92">
              <w:rPr>
                <w:rFonts w:ascii="Arial" w:hAnsi="Arial" w:cs="Arial"/>
                <w:sz w:val="18"/>
                <w:szCs w:val="19"/>
                <w:lang w:val="en-GB"/>
              </w:rPr>
              <w:t>,</w:t>
            </w:r>
            <w:r w:rsidRPr="002B43C8">
              <w:rPr>
                <w:rFonts w:ascii="Arial" w:hAnsi="Arial" w:cs="Arial"/>
                <w:sz w:val="18"/>
                <w:szCs w:val="19"/>
                <w:lang w:val="en-GB"/>
              </w:rPr>
              <w:t>201</w:t>
            </w:r>
          </w:p>
        </w:tc>
        <w:tc>
          <w:tcPr>
            <w:tcW w:w="1204" w:type="dxa"/>
            <w:shd w:val="clear" w:color="auto" w:fill="auto"/>
            <w:noWrap/>
            <w:vAlign w:val="center"/>
            <w:hideMark/>
          </w:tcPr>
          <w:p w14:paraId="534DEEE2" w14:textId="3D32FBE1"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3</w:t>
            </w:r>
            <w:r w:rsidR="00AF0C83">
              <w:rPr>
                <w:rFonts w:ascii="Arial" w:hAnsi="Arial" w:cs="Arial"/>
                <w:sz w:val="18"/>
                <w:szCs w:val="19"/>
                <w:lang w:val="en-GB"/>
              </w:rPr>
              <w:t>,</w:t>
            </w:r>
            <w:r w:rsidRPr="002B43C8">
              <w:rPr>
                <w:rFonts w:ascii="Arial" w:hAnsi="Arial" w:cs="Arial"/>
                <w:sz w:val="18"/>
                <w:szCs w:val="19"/>
                <w:lang w:val="en-GB"/>
              </w:rPr>
              <w:t>443</w:t>
            </w:r>
            <w:r w:rsidR="00AF0C83">
              <w:rPr>
                <w:rFonts w:ascii="Arial" w:hAnsi="Arial" w:cs="Arial"/>
                <w:sz w:val="18"/>
                <w:szCs w:val="19"/>
                <w:lang w:val="en-GB"/>
              </w:rPr>
              <w:t>,</w:t>
            </w:r>
            <w:r w:rsidRPr="002B43C8">
              <w:rPr>
                <w:rFonts w:ascii="Arial" w:hAnsi="Arial" w:cs="Arial"/>
                <w:sz w:val="18"/>
                <w:szCs w:val="19"/>
                <w:lang w:val="en-GB"/>
              </w:rPr>
              <w:t>901</w:t>
            </w:r>
          </w:p>
        </w:tc>
      </w:tr>
      <w:tr w:rsidR="003C4EE5" w:rsidRPr="002B43C8" w14:paraId="79224775" w14:textId="77777777" w:rsidTr="00880091">
        <w:trPr>
          <w:trHeight w:val="326"/>
          <w:jc w:val="center"/>
        </w:trPr>
        <w:tc>
          <w:tcPr>
            <w:tcW w:w="12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56F98" w14:textId="563B5DE2" w:rsidR="003C4EE5" w:rsidRPr="002B43C8" w:rsidRDefault="003C4EE5" w:rsidP="00A42DB4">
            <w:pPr>
              <w:rPr>
                <w:rFonts w:ascii="Arial" w:hAnsi="Arial" w:cs="Arial"/>
                <w:b/>
                <w:sz w:val="18"/>
                <w:szCs w:val="19"/>
                <w:lang w:val="en-GB"/>
              </w:rPr>
            </w:pPr>
            <w:r w:rsidRPr="002B43C8">
              <w:rPr>
                <w:rFonts w:ascii="Arial" w:hAnsi="Arial" w:cs="Arial"/>
                <w:b/>
                <w:sz w:val="18"/>
                <w:szCs w:val="19"/>
                <w:lang w:val="en-GB"/>
              </w:rPr>
              <w:t>2019</w:t>
            </w:r>
            <w:r w:rsidR="00165424">
              <w:rPr>
                <w:rFonts w:ascii="Arial" w:hAnsi="Arial" w:cs="Arial"/>
                <w:b/>
                <w:sz w:val="18"/>
                <w:szCs w:val="19"/>
                <w:lang w:val="en-GB"/>
              </w:rPr>
              <w:t>–</w:t>
            </w:r>
            <w:r w:rsidRPr="002B43C8">
              <w:rPr>
                <w:rFonts w:ascii="Arial" w:hAnsi="Arial" w:cs="Arial"/>
                <w:b/>
                <w:sz w:val="18"/>
                <w:szCs w:val="19"/>
                <w:lang w:val="en-GB"/>
              </w:rPr>
              <w:t>20 (Expected)</w:t>
            </w:r>
          </w:p>
        </w:tc>
        <w:tc>
          <w:tcPr>
            <w:tcW w:w="10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E6F867" w14:textId="29E0ADA9"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w:t>
            </w:r>
          </w:p>
        </w:tc>
        <w:tc>
          <w:tcPr>
            <w:tcW w:w="1017" w:type="dxa"/>
            <w:tcBorders>
              <w:top w:val="single" w:sz="4" w:space="0" w:color="auto"/>
              <w:left w:val="single" w:sz="4" w:space="0" w:color="auto"/>
              <w:bottom w:val="single" w:sz="4" w:space="0" w:color="auto"/>
              <w:right w:val="single" w:sz="4" w:space="0" w:color="auto"/>
            </w:tcBorders>
            <w:vAlign w:val="center"/>
          </w:tcPr>
          <w:p w14:paraId="26D46DB2" w14:textId="4B166601"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w:t>
            </w:r>
          </w:p>
        </w:tc>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811D2E" w14:textId="355414DF"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w:t>
            </w:r>
          </w:p>
        </w:tc>
        <w:tc>
          <w:tcPr>
            <w:tcW w:w="1026" w:type="dxa"/>
            <w:tcBorders>
              <w:top w:val="single" w:sz="4" w:space="0" w:color="auto"/>
              <w:left w:val="single" w:sz="4" w:space="0" w:color="auto"/>
              <w:bottom w:val="single" w:sz="4" w:space="0" w:color="auto"/>
              <w:right w:val="single" w:sz="4" w:space="0" w:color="auto"/>
            </w:tcBorders>
            <w:vAlign w:val="center"/>
          </w:tcPr>
          <w:p w14:paraId="7A494D8A" w14:textId="75B1870D"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w:t>
            </w:r>
          </w:p>
        </w:tc>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0B38C" w14:textId="3696E7F9"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w:t>
            </w:r>
          </w:p>
        </w:tc>
        <w:tc>
          <w:tcPr>
            <w:tcW w:w="932" w:type="dxa"/>
            <w:tcBorders>
              <w:top w:val="single" w:sz="4" w:space="0" w:color="auto"/>
              <w:left w:val="single" w:sz="4" w:space="0" w:color="auto"/>
              <w:bottom w:val="single" w:sz="4" w:space="0" w:color="auto"/>
              <w:right w:val="single" w:sz="4" w:space="0" w:color="auto"/>
            </w:tcBorders>
            <w:vAlign w:val="center"/>
          </w:tcPr>
          <w:p w14:paraId="0C64EAFD" w14:textId="564E04D0"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w:t>
            </w:r>
          </w:p>
        </w:tc>
        <w:tc>
          <w:tcPr>
            <w:tcW w:w="1017" w:type="dxa"/>
            <w:tcBorders>
              <w:top w:val="single" w:sz="4" w:space="0" w:color="auto"/>
              <w:left w:val="single" w:sz="4" w:space="0" w:color="auto"/>
              <w:bottom w:val="single" w:sz="4" w:space="0" w:color="auto"/>
              <w:right w:val="single" w:sz="4" w:space="0" w:color="auto"/>
            </w:tcBorders>
            <w:vAlign w:val="center"/>
          </w:tcPr>
          <w:p w14:paraId="16979952" w14:textId="4EC20DF2"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2</w:t>
            </w:r>
            <w:r w:rsidR="00AF0C83">
              <w:rPr>
                <w:rFonts w:ascii="Arial" w:hAnsi="Arial" w:cs="Arial"/>
                <w:sz w:val="18"/>
                <w:szCs w:val="19"/>
                <w:lang w:val="en-GB"/>
              </w:rPr>
              <w:t>,</w:t>
            </w:r>
            <w:r w:rsidRPr="002B43C8">
              <w:rPr>
                <w:rFonts w:ascii="Arial" w:hAnsi="Arial" w:cs="Arial"/>
                <w:sz w:val="18"/>
                <w:szCs w:val="19"/>
                <w:lang w:val="en-GB"/>
              </w:rPr>
              <w:t>000</w:t>
            </w:r>
            <w:r w:rsidR="00AF0C83">
              <w:rPr>
                <w:rFonts w:ascii="Arial" w:hAnsi="Arial" w:cs="Arial"/>
                <w:sz w:val="18"/>
                <w:szCs w:val="19"/>
                <w:lang w:val="en-GB"/>
              </w:rPr>
              <w:t>,</w:t>
            </w:r>
            <w:r w:rsidRPr="002B43C8">
              <w:rPr>
                <w:rFonts w:ascii="Arial" w:hAnsi="Arial" w:cs="Arial"/>
                <w:sz w:val="18"/>
                <w:szCs w:val="19"/>
                <w:lang w:val="en-GB"/>
              </w:rPr>
              <w:t>000</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1951D" w14:textId="14838D6F" w:rsidR="003C4EE5" w:rsidRPr="002B43C8" w:rsidRDefault="003C4EE5" w:rsidP="00A42DB4">
            <w:pPr>
              <w:jc w:val="right"/>
              <w:rPr>
                <w:rFonts w:ascii="Arial" w:hAnsi="Arial" w:cs="Arial"/>
                <w:sz w:val="18"/>
                <w:szCs w:val="19"/>
                <w:lang w:val="en-GB"/>
              </w:rPr>
            </w:pPr>
            <w:r w:rsidRPr="002B43C8">
              <w:rPr>
                <w:rFonts w:ascii="Arial" w:hAnsi="Arial" w:cs="Arial"/>
                <w:sz w:val="18"/>
                <w:szCs w:val="19"/>
                <w:lang w:val="en-GB"/>
              </w:rPr>
              <w:t>10</w:t>
            </w:r>
            <w:r w:rsidR="00AF0C83">
              <w:rPr>
                <w:rFonts w:ascii="Arial" w:hAnsi="Arial" w:cs="Arial"/>
                <w:sz w:val="18"/>
                <w:szCs w:val="19"/>
                <w:lang w:val="en-GB"/>
              </w:rPr>
              <w:t>,</w:t>
            </w:r>
            <w:r w:rsidRPr="002B43C8">
              <w:rPr>
                <w:rFonts w:ascii="Arial" w:hAnsi="Arial" w:cs="Arial"/>
                <w:sz w:val="18"/>
                <w:szCs w:val="19"/>
                <w:lang w:val="en-GB"/>
              </w:rPr>
              <w:t>000</w:t>
            </w:r>
            <w:r w:rsidR="00AF0C83">
              <w:rPr>
                <w:rFonts w:ascii="Arial" w:hAnsi="Arial" w:cs="Arial"/>
                <w:sz w:val="18"/>
                <w:szCs w:val="19"/>
                <w:lang w:val="en-GB"/>
              </w:rPr>
              <w:t>,</w:t>
            </w:r>
            <w:r w:rsidRPr="002B43C8">
              <w:rPr>
                <w:rFonts w:ascii="Arial" w:hAnsi="Arial" w:cs="Arial"/>
                <w:sz w:val="18"/>
                <w:szCs w:val="19"/>
                <w:lang w:val="en-GB"/>
              </w:rPr>
              <w:t>000</w:t>
            </w:r>
          </w:p>
        </w:tc>
      </w:tr>
    </w:tbl>
    <w:p w14:paraId="331C501C" w14:textId="77777777" w:rsidR="000735FF" w:rsidRPr="002B43C8" w:rsidRDefault="000735FF" w:rsidP="003E2823">
      <w:pPr>
        <w:pStyle w:val="Footnote"/>
        <w:rPr>
          <w:lang w:val="en-GB"/>
        </w:rPr>
      </w:pPr>
    </w:p>
    <w:p w14:paraId="2FFEA3E5" w14:textId="2C3DFB05" w:rsidR="00A64E12" w:rsidRDefault="000735FF" w:rsidP="007F36EF">
      <w:pPr>
        <w:pStyle w:val="Footnote"/>
        <w:outlineLvl w:val="0"/>
        <w:rPr>
          <w:lang w:val="en-GB"/>
        </w:rPr>
      </w:pPr>
      <w:r w:rsidRPr="002B43C8">
        <w:rPr>
          <w:lang w:val="en-GB"/>
        </w:rPr>
        <w:t xml:space="preserve">Source: </w:t>
      </w:r>
      <w:r w:rsidR="00843874" w:rsidRPr="00A42DB4">
        <w:rPr>
          <w:lang w:val="en-GB"/>
        </w:rPr>
        <w:t>Compiled by the case authors based on company materials</w:t>
      </w:r>
      <w:r w:rsidR="0048454B" w:rsidRPr="00A42DB4">
        <w:rPr>
          <w:lang w:val="en-GB"/>
        </w:rPr>
        <w:t>;</w:t>
      </w:r>
      <w:r w:rsidR="00BF5A2A">
        <w:rPr>
          <w:lang w:val="en-GB"/>
        </w:rPr>
        <w:t xml:space="preserve"> c</w:t>
      </w:r>
      <w:r w:rsidR="00F96B52">
        <w:rPr>
          <w:lang w:val="en-GB"/>
        </w:rPr>
        <w:t xml:space="preserve">ompany </w:t>
      </w:r>
      <w:r w:rsidR="00BF5A2A">
        <w:rPr>
          <w:lang w:val="en-GB"/>
        </w:rPr>
        <w:t>s</w:t>
      </w:r>
      <w:r w:rsidR="00F96B52">
        <w:rPr>
          <w:lang w:val="en-GB"/>
        </w:rPr>
        <w:t xml:space="preserve">ales of </w:t>
      </w:r>
      <w:r w:rsidR="00BF5A2A">
        <w:rPr>
          <w:lang w:val="en-GB"/>
        </w:rPr>
        <w:t>p</w:t>
      </w:r>
      <w:r w:rsidR="00F96B52" w:rsidRPr="00F96B52">
        <w:rPr>
          <w:lang w:val="en-GB"/>
        </w:rPr>
        <w:t>asseng</w:t>
      </w:r>
      <w:r w:rsidR="00F96B52">
        <w:rPr>
          <w:lang w:val="en-GB"/>
        </w:rPr>
        <w:t>er cars 1997</w:t>
      </w:r>
      <w:r w:rsidR="00BF5A2A">
        <w:rPr>
          <w:lang w:val="en-GB"/>
        </w:rPr>
        <w:t>–</w:t>
      </w:r>
      <w:r w:rsidR="00F96B52">
        <w:rPr>
          <w:lang w:val="en-GB"/>
        </w:rPr>
        <w:t>98 to 2014</w:t>
      </w:r>
      <w:r w:rsidR="00BF5A2A">
        <w:rPr>
          <w:lang w:val="en-GB"/>
        </w:rPr>
        <w:t>–</w:t>
      </w:r>
      <w:r w:rsidR="00F96B52" w:rsidRPr="00F96B52">
        <w:rPr>
          <w:lang w:val="en-GB"/>
        </w:rPr>
        <w:t>15</w:t>
      </w:r>
      <w:r w:rsidR="00DA238D">
        <w:rPr>
          <w:lang w:val="en-GB"/>
        </w:rPr>
        <w:t>:</w:t>
      </w:r>
      <w:r w:rsidR="00F96B52" w:rsidRPr="00F96B52">
        <w:rPr>
          <w:lang w:val="en-GB"/>
        </w:rPr>
        <w:t xml:space="preserve"> </w:t>
      </w:r>
      <w:r w:rsidR="00BF5A2A">
        <w:rPr>
          <w:lang w:val="en-GB"/>
        </w:rPr>
        <w:t xml:space="preserve">“Industry Outlook,” </w:t>
      </w:r>
      <w:r w:rsidRPr="002B43C8">
        <w:rPr>
          <w:lang w:val="en-GB"/>
        </w:rPr>
        <w:t>C</w:t>
      </w:r>
      <w:r w:rsidR="00226902">
        <w:rPr>
          <w:lang w:val="en-GB"/>
        </w:rPr>
        <w:t xml:space="preserve">entre for </w:t>
      </w:r>
      <w:r w:rsidRPr="002B43C8">
        <w:rPr>
          <w:lang w:val="en-GB"/>
        </w:rPr>
        <w:t>M</w:t>
      </w:r>
      <w:r w:rsidR="00226902">
        <w:rPr>
          <w:lang w:val="en-GB"/>
        </w:rPr>
        <w:t xml:space="preserve">onitoring </w:t>
      </w:r>
      <w:r w:rsidRPr="002B43C8">
        <w:rPr>
          <w:lang w:val="en-GB"/>
        </w:rPr>
        <w:t>I</w:t>
      </w:r>
      <w:r w:rsidR="00226902">
        <w:rPr>
          <w:lang w:val="en-GB"/>
        </w:rPr>
        <w:t xml:space="preserve">ndian Economy, </w:t>
      </w:r>
      <w:r w:rsidR="00C414AD">
        <w:rPr>
          <w:lang w:val="en-GB"/>
        </w:rPr>
        <w:t>accessed October 25</w:t>
      </w:r>
      <w:r w:rsidR="00BF5A2A">
        <w:rPr>
          <w:lang w:val="en-GB"/>
        </w:rPr>
        <w:t>,</w:t>
      </w:r>
      <w:r w:rsidR="00C414AD">
        <w:rPr>
          <w:lang w:val="en-GB"/>
        </w:rPr>
        <w:t xml:space="preserve"> 2017, </w:t>
      </w:r>
      <w:r w:rsidR="00C414AD" w:rsidRPr="00C414AD">
        <w:rPr>
          <w:lang w:val="en-GB"/>
        </w:rPr>
        <w:t>https://industryoutlook.cmie.com/kommon/bin/sr.php?kall=wshowtab&amp;icode=0101014502011000&amp;tabno=0001</w:t>
      </w:r>
      <w:r w:rsidR="00BF5A2A">
        <w:rPr>
          <w:lang w:val="en-GB"/>
        </w:rPr>
        <w:t>.</w:t>
      </w:r>
    </w:p>
    <w:p w14:paraId="30B8EC1B" w14:textId="77777777" w:rsidR="000735FF" w:rsidRPr="002B43C8" w:rsidRDefault="000735FF" w:rsidP="008F5E58">
      <w:pPr>
        <w:pStyle w:val="ExhibitText"/>
        <w:rPr>
          <w:lang w:val="en-GB"/>
        </w:rPr>
      </w:pPr>
    </w:p>
    <w:p w14:paraId="4146A64B" w14:textId="77777777" w:rsidR="000735FF" w:rsidRPr="002B43C8" w:rsidRDefault="000735FF" w:rsidP="008F5E58">
      <w:pPr>
        <w:pStyle w:val="ExhibitText"/>
        <w:rPr>
          <w:color w:val="000000"/>
          <w:lang w:val="en-GB"/>
        </w:rPr>
      </w:pPr>
    </w:p>
    <w:p w14:paraId="4E6666F5" w14:textId="3B57318D" w:rsidR="000735FF" w:rsidRPr="002B43C8" w:rsidRDefault="000735FF" w:rsidP="003E2823">
      <w:pPr>
        <w:pStyle w:val="ExhibitHeading"/>
        <w:rPr>
          <w:lang w:val="en-GB"/>
        </w:rPr>
      </w:pPr>
      <w:r w:rsidRPr="002B43C8">
        <w:rPr>
          <w:lang w:val="en-GB"/>
        </w:rPr>
        <w:t xml:space="preserve">EXHIBIT 1B: ANNUAL GROWTH RATE OF PASSENGER VEHICLES </w:t>
      </w:r>
      <w:r w:rsidR="00246B2D">
        <w:rPr>
          <w:lang w:val="en-GB"/>
        </w:rPr>
        <w:t>SOLD BY</w:t>
      </w:r>
      <w:r w:rsidRPr="002B43C8">
        <w:rPr>
          <w:lang w:val="en-GB"/>
        </w:rPr>
        <w:t xml:space="preserve"> MSIL </w:t>
      </w:r>
      <w:r w:rsidR="00246B2D">
        <w:rPr>
          <w:lang w:val="en-GB"/>
        </w:rPr>
        <w:t>VERSUS ANNUAL GROWTH RATE OF</w:t>
      </w:r>
      <w:r w:rsidRPr="002B43C8">
        <w:rPr>
          <w:lang w:val="en-GB"/>
        </w:rPr>
        <w:t xml:space="preserve"> PASSENGER VEHICLE</w:t>
      </w:r>
      <w:r w:rsidR="00246B2D">
        <w:rPr>
          <w:lang w:val="en-GB"/>
        </w:rPr>
        <w:t>S SOLD IN THE</w:t>
      </w:r>
      <w:r w:rsidRPr="002B43C8">
        <w:rPr>
          <w:lang w:val="en-GB"/>
        </w:rPr>
        <w:t xml:space="preserve"> INDUSTRY </w:t>
      </w:r>
      <w:r w:rsidR="00246B2D">
        <w:rPr>
          <w:lang w:val="en-GB"/>
        </w:rPr>
        <w:t>OVERALL</w:t>
      </w:r>
    </w:p>
    <w:p w14:paraId="4988AB6E" w14:textId="77777777" w:rsidR="000735FF" w:rsidRPr="002B43C8" w:rsidRDefault="000735FF" w:rsidP="003E2823">
      <w:pPr>
        <w:pStyle w:val="ExhibitHeading"/>
        <w:rPr>
          <w:lang w:val="en-GB"/>
        </w:rPr>
      </w:pPr>
    </w:p>
    <w:tbl>
      <w:tblPr>
        <w:tblW w:w="9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731"/>
        <w:gridCol w:w="1143"/>
        <w:gridCol w:w="962"/>
        <w:gridCol w:w="1061"/>
        <w:gridCol w:w="962"/>
        <w:gridCol w:w="963"/>
        <w:gridCol w:w="1026"/>
        <w:gridCol w:w="1037"/>
      </w:tblGrid>
      <w:tr w:rsidR="00880091" w:rsidRPr="002B43C8" w14:paraId="4710254A" w14:textId="77777777" w:rsidTr="00EC5423">
        <w:trPr>
          <w:trHeight w:val="301"/>
          <w:jc w:val="center"/>
        </w:trPr>
        <w:tc>
          <w:tcPr>
            <w:tcW w:w="1278" w:type="dxa"/>
            <w:vMerge w:val="restart"/>
            <w:shd w:val="clear" w:color="auto" w:fill="auto"/>
            <w:noWrap/>
            <w:vAlign w:val="center"/>
            <w:hideMark/>
          </w:tcPr>
          <w:p w14:paraId="1B25806B" w14:textId="51C86EB5" w:rsidR="00880091" w:rsidRPr="00EC5423" w:rsidRDefault="00880091" w:rsidP="00A42DB4">
            <w:pPr>
              <w:pStyle w:val="ExhibitText"/>
              <w:jc w:val="center"/>
              <w:rPr>
                <w:b/>
                <w:lang w:val="en-GB"/>
              </w:rPr>
            </w:pPr>
            <w:r w:rsidRPr="00EC5423">
              <w:rPr>
                <w:b/>
                <w:lang w:val="en-GB"/>
              </w:rPr>
              <w:t>Fiscal Year</w:t>
            </w:r>
          </w:p>
        </w:tc>
        <w:tc>
          <w:tcPr>
            <w:tcW w:w="1874" w:type="dxa"/>
            <w:gridSpan w:val="2"/>
            <w:shd w:val="clear" w:color="auto" w:fill="auto"/>
            <w:noWrap/>
            <w:vAlign w:val="center"/>
            <w:hideMark/>
          </w:tcPr>
          <w:p w14:paraId="08BC3A1A" w14:textId="77777777" w:rsidR="00880091" w:rsidRPr="002B43C8" w:rsidRDefault="00880091" w:rsidP="00A42DB4">
            <w:pPr>
              <w:pStyle w:val="ExhibitText"/>
              <w:jc w:val="center"/>
              <w:rPr>
                <w:b/>
                <w:lang w:val="en-GB"/>
              </w:rPr>
            </w:pPr>
            <w:r w:rsidRPr="002B43C8">
              <w:rPr>
                <w:b/>
                <w:lang w:val="en-GB"/>
              </w:rPr>
              <w:t>Passenger Cars</w:t>
            </w:r>
          </w:p>
        </w:tc>
        <w:tc>
          <w:tcPr>
            <w:tcW w:w="2023" w:type="dxa"/>
            <w:gridSpan w:val="2"/>
            <w:shd w:val="clear" w:color="auto" w:fill="auto"/>
            <w:noWrap/>
            <w:vAlign w:val="center"/>
            <w:hideMark/>
          </w:tcPr>
          <w:p w14:paraId="380DB7E2" w14:textId="7B452C58" w:rsidR="00880091" w:rsidRPr="002B43C8" w:rsidRDefault="00880091" w:rsidP="00A42DB4">
            <w:pPr>
              <w:pStyle w:val="ExhibitText"/>
              <w:jc w:val="center"/>
              <w:rPr>
                <w:b/>
                <w:lang w:val="en-GB"/>
              </w:rPr>
            </w:pPr>
            <w:r>
              <w:rPr>
                <w:b/>
                <w:lang w:val="en-GB"/>
              </w:rPr>
              <w:t>Utility Vehicles</w:t>
            </w:r>
          </w:p>
        </w:tc>
        <w:tc>
          <w:tcPr>
            <w:tcW w:w="1925" w:type="dxa"/>
            <w:gridSpan w:val="2"/>
            <w:shd w:val="clear" w:color="auto" w:fill="auto"/>
            <w:noWrap/>
            <w:vAlign w:val="center"/>
            <w:hideMark/>
          </w:tcPr>
          <w:p w14:paraId="01543B09" w14:textId="77777777" w:rsidR="00880091" w:rsidRPr="002B43C8" w:rsidRDefault="00880091" w:rsidP="00A42DB4">
            <w:pPr>
              <w:pStyle w:val="ExhibitText"/>
              <w:jc w:val="center"/>
              <w:rPr>
                <w:b/>
                <w:lang w:val="en-GB"/>
              </w:rPr>
            </w:pPr>
            <w:r w:rsidRPr="002B43C8">
              <w:rPr>
                <w:b/>
                <w:lang w:val="en-GB"/>
              </w:rPr>
              <w:t>Vans</w:t>
            </w:r>
          </w:p>
        </w:tc>
        <w:tc>
          <w:tcPr>
            <w:tcW w:w="2063" w:type="dxa"/>
            <w:gridSpan w:val="2"/>
            <w:vAlign w:val="center"/>
          </w:tcPr>
          <w:p w14:paraId="17698B42" w14:textId="1B14C54B" w:rsidR="00880091" w:rsidRPr="002B43C8" w:rsidRDefault="00880091" w:rsidP="00A42DB4">
            <w:pPr>
              <w:pStyle w:val="ExhibitText"/>
              <w:jc w:val="center"/>
              <w:rPr>
                <w:b/>
                <w:lang w:val="en-GB"/>
              </w:rPr>
            </w:pPr>
            <w:r w:rsidRPr="002B43C8">
              <w:rPr>
                <w:b/>
                <w:lang w:val="en-GB"/>
              </w:rPr>
              <w:t xml:space="preserve">Total </w:t>
            </w:r>
            <w:r>
              <w:rPr>
                <w:b/>
                <w:lang w:val="en-GB"/>
              </w:rPr>
              <w:t>C</w:t>
            </w:r>
            <w:r w:rsidRPr="002B43C8">
              <w:rPr>
                <w:b/>
                <w:lang w:val="en-GB"/>
              </w:rPr>
              <w:t>ars</w:t>
            </w:r>
          </w:p>
        </w:tc>
      </w:tr>
      <w:tr w:rsidR="00880091" w:rsidRPr="002B43C8" w14:paraId="0E401BB6" w14:textId="77777777" w:rsidTr="00880091">
        <w:trPr>
          <w:trHeight w:val="301"/>
          <w:jc w:val="center"/>
        </w:trPr>
        <w:tc>
          <w:tcPr>
            <w:tcW w:w="1278" w:type="dxa"/>
            <w:vMerge/>
            <w:shd w:val="clear" w:color="auto" w:fill="auto"/>
            <w:noWrap/>
          </w:tcPr>
          <w:p w14:paraId="517363B5" w14:textId="77777777" w:rsidR="00880091" w:rsidRPr="002B43C8" w:rsidRDefault="00880091" w:rsidP="00275853">
            <w:pPr>
              <w:pStyle w:val="ExhibitText"/>
              <w:rPr>
                <w:lang w:val="en-GB"/>
              </w:rPr>
            </w:pPr>
          </w:p>
        </w:tc>
        <w:tc>
          <w:tcPr>
            <w:tcW w:w="731" w:type="dxa"/>
            <w:shd w:val="clear" w:color="auto" w:fill="auto"/>
            <w:noWrap/>
            <w:vAlign w:val="center"/>
          </w:tcPr>
          <w:p w14:paraId="52C4F46A" w14:textId="77777777" w:rsidR="00880091" w:rsidRPr="002B43C8" w:rsidRDefault="00880091" w:rsidP="00A42DB4">
            <w:pPr>
              <w:pStyle w:val="ExhibitText"/>
              <w:jc w:val="center"/>
              <w:rPr>
                <w:lang w:val="en-GB"/>
              </w:rPr>
            </w:pPr>
            <w:r w:rsidRPr="002B43C8">
              <w:rPr>
                <w:lang w:val="en-GB"/>
              </w:rPr>
              <w:t>MSIL</w:t>
            </w:r>
          </w:p>
        </w:tc>
        <w:tc>
          <w:tcPr>
            <w:tcW w:w="1143" w:type="dxa"/>
            <w:vAlign w:val="center"/>
          </w:tcPr>
          <w:p w14:paraId="68E1624B" w14:textId="77777777" w:rsidR="00880091" w:rsidRPr="002B43C8" w:rsidRDefault="00880091" w:rsidP="00A42DB4">
            <w:pPr>
              <w:pStyle w:val="ExhibitText"/>
              <w:jc w:val="center"/>
              <w:rPr>
                <w:lang w:val="en-GB"/>
              </w:rPr>
            </w:pPr>
            <w:r w:rsidRPr="002B43C8">
              <w:rPr>
                <w:lang w:val="en-GB"/>
              </w:rPr>
              <w:t>Industry</w:t>
            </w:r>
          </w:p>
        </w:tc>
        <w:tc>
          <w:tcPr>
            <w:tcW w:w="962" w:type="dxa"/>
            <w:shd w:val="clear" w:color="auto" w:fill="auto"/>
            <w:noWrap/>
            <w:vAlign w:val="center"/>
          </w:tcPr>
          <w:p w14:paraId="2984C4A5" w14:textId="77777777" w:rsidR="00880091" w:rsidRPr="002B43C8" w:rsidRDefault="00880091" w:rsidP="00A42DB4">
            <w:pPr>
              <w:pStyle w:val="ExhibitText"/>
              <w:jc w:val="center"/>
              <w:rPr>
                <w:lang w:val="en-GB"/>
              </w:rPr>
            </w:pPr>
            <w:r w:rsidRPr="002B43C8">
              <w:rPr>
                <w:lang w:val="en-GB"/>
              </w:rPr>
              <w:t>MSIL</w:t>
            </w:r>
          </w:p>
        </w:tc>
        <w:tc>
          <w:tcPr>
            <w:tcW w:w="1061" w:type="dxa"/>
            <w:vAlign w:val="center"/>
          </w:tcPr>
          <w:p w14:paraId="6578A8E8" w14:textId="77777777" w:rsidR="00880091" w:rsidRPr="002B43C8" w:rsidRDefault="00880091" w:rsidP="00A42DB4">
            <w:pPr>
              <w:pStyle w:val="ExhibitText"/>
              <w:jc w:val="center"/>
              <w:rPr>
                <w:lang w:val="en-GB"/>
              </w:rPr>
            </w:pPr>
            <w:r w:rsidRPr="002B43C8">
              <w:rPr>
                <w:lang w:val="en-GB"/>
              </w:rPr>
              <w:t>Industry</w:t>
            </w:r>
          </w:p>
        </w:tc>
        <w:tc>
          <w:tcPr>
            <w:tcW w:w="962" w:type="dxa"/>
            <w:shd w:val="clear" w:color="auto" w:fill="auto"/>
            <w:noWrap/>
            <w:vAlign w:val="center"/>
          </w:tcPr>
          <w:p w14:paraId="60F4CA9C" w14:textId="77777777" w:rsidR="00880091" w:rsidRPr="002B43C8" w:rsidRDefault="00880091" w:rsidP="00A42DB4">
            <w:pPr>
              <w:pStyle w:val="ExhibitText"/>
              <w:jc w:val="center"/>
              <w:rPr>
                <w:lang w:val="en-GB"/>
              </w:rPr>
            </w:pPr>
            <w:r w:rsidRPr="002B43C8">
              <w:rPr>
                <w:lang w:val="en-GB"/>
              </w:rPr>
              <w:t>MSIL</w:t>
            </w:r>
          </w:p>
        </w:tc>
        <w:tc>
          <w:tcPr>
            <w:tcW w:w="963" w:type="dxa"/>
            <w:vAlign w:val="center"/>
          </w:tcPr>
          <w:p w14:paraId="2A0DA5F4" w14:textId="77777777" w:rsidR="00880091" w:rsidRPr="002B43C8" w:rsidRDefault="00880091" w:rsidP="00A42DB4">
            <w:pPr>
              <w:pStyle w:val="ExhibitText"/>
              <w:jc w:val="center"/>
              <w:rPr>
                <w:lang w:val="en-GB"/>
              </w:rPr>
            </w:pPr>
            <w:r w:rsidRPr="002B43C8">
              <w:rPr>
                <w:lang w:val="en-GB"/>
              </w:rPr>
              <w:t>Industry</w:t>
            </w:r>
          </w:p>
        </w:tc>
        <w:tc>
          <w:tcPr>
            <w:tcW w:w="1026" w:type="dxa"/>
            <w:vAlign w:val="center"/>
          </w:tcPr>
          <w:p w14:paraId="68A44EF7" w14:textId="77777777" w:rsidR="00880091" w:rsidRPr="002B43C8" w:rsidRDefault="00880091" w:rsidP="00A42DB4">
            <w:pPr>
              <w:pStyle w:val="ExhibitText"/>
              <w:jc w:val="center"/>
              <w:rPr>
                <w:lang w:val="en-GB"/>
              </w:rPr>
            </w:pPr>
            <w:r w:rsidRPr="002B43C8">
              <w:rPr>
                <w:lang w:val="en-GB"/>
              </w:rPr>
              <w:t>MSIL</w:t>
            </w:r>
          </w:p>
        </w:tc>
        <w:tc>
          <w:tcPr>
            <w:tcW w:w="1037" w:type="dxa"/>
            <w:shd w:val="clear" w:color="auto" w:fill="auto"/>
            <w:noWrap/>
            <w:vAlign w:val="center"/>
          </w:tcPr>
          <w:p w14:paraId="027644F5" w14:textId="77777777" w:rsidR="00880091" w:rsidRPr="002B43C8" w:rsidRDefault="00880091" w:rsidP="00A42DB4">
            <w:pPr>
              <w:pStyle w:val="ExhibitText"/>
              <w:jc w:val="center"/>
              <w:rPr>
                <w:lang w:val="en-GB"/>
              </w:rPr>
            </w:pPr>
            <w:r w:rsidRPr="002B43C8">
              <w:rPr>
                <w:lang w:val="en-GB"/>
              </w:rPr>
              <w:t>Industry</w:t>
            </w:r>
          </w:p>
        </w:tc>
      </w:tr>
      <w:tr w:rsidR="000735FF" w:rsidRPr="002B43C8" w14:paraId="24E242FE" w14:textId="77777777" w:rsidTr="00880091">
        <w:trPr>
          <w:trHeight w:val="301"/>
          <w:jc w:val="center"/>
        </w:trPr>
        <w:tc>
          <w:tcPr>
            <w:tcW w:w="1278" w:type="dxa"/>
            <w:shd w:val="clear" w:color="auto" w:fill="auto"/>
            <w:noWrap/>
            <w:vAlign w:val="center"/>
            <w:hideMark/>
          </w:tcPr>
          <w:p w14:paraId="4C73CB24" w14:textId="2984AC6A" w:rsidR="000735FF" w:rsidRPr="002B43C8" w:rsidRDefault="000735FF" w:rsidP="00A42DB4">
            <w:pPr>
              <w:pStyle w:val="ExhibitText"/>
              <w:jc w:val="left"/>
              <w:rPr>
                <w:b/>
                <w:lang w:val="en-GB"/>
              </w:rPr>
            </w:pPr>
            <w:r w:rsidRPr="002B43C8">
              <w:rPr>
                <w:b/>
                <w:lang w:val="en-GB"/>
              </w:rPr>
              <w:t>2011</w:t>
            </w:r>
            <w:r w:rsidR="00165424">
              <w:rPr>
                <w:b/>
                <w:lang w:val="en-GB"/>
              </w:rPr>
              <w:t>–</w:t>
            </w:r>
            <w:r w:rsidRPr="002B43C8">
              <w:rPr>
                <w:b/>
                <w:lang w:val="en-GB"/>
              </w:rPr>
              <w:t>12</w:t>
            </w:r>
          </w:p>
        </w:tc>
        <w:tc>
          <w:tcPr>
            <w:tcW w:w="731" w:type="dxa"/>
            <w:shd w:val="clear" w:color="auto" w:fill="auto"/>
            <w:noWrap/>
            <w:vAlign w:val="center"/>
          </w:tcPr>
          <w:p w14:paraId="11451380" w14:textId="77777777" w:rsidR="000735FF" w:rsidRPr="002B43C8" w:rsidRDefault="000735FF" w:rsidP="00A42DB4">
            <w:pPr>
              <w:pStyle w:val="ExhibitText"/>
              <w:jc w:val="right"/>
              <w:rPr>
                <w:lang w:val="en-GB"/>
              </w:rPr>
            </w:pPr>
            <w:r w:rsidRPr="002B43C8">
              <w:rPr>
                <w:lang w:val="en-GB"/>
              </w:rPr>
              <w:t>-</w:t>
            </w:r>
          </w:p>
        </w:tc>
        <w:tc>
          <w:tcPr>
            <w:tcW w:w="1143" w:type="dxa"/>
            <w:vAlign w:val="center"/>
          </w:tcPr>
          <w:p w14:paraId="2209CCCD" w14:textId="77777777" w:rsidR="000735FF" w:rsidRPr="002B43C8" w:rsidRDefault="000735FF" w:rsidP="00A42DB4">
            <w:pPr>
              <w:pStyle w:val="ExhibitText"/>
              <w:jc w:val="right"/>
              <w:rPr>
                <w:lang w:val="en-GB"/>
              </w:rPr>
            </w:pPr>
            <w:r w:rsidRPr="002B43C8">
              <w:rPr>
                <w:lang w:val="en-GB"/>
              </w:rPr>
              <w:t>-</w:t>
            </w:r>
          </w:p>
        </w:tc>
        <w:tc>
          <w:tcPr>
            <w:tcW w:w="962" w:type="dxa"/>
            <w:shd w:val="clear" w:color="auto" w:fill="auto"/>
            <w:noWrap/>
            <w:vAlign w:val="center"/>
          </w:tcPr>
          <w:p w14:paraId="6D0289E5" w14:textId="77777777" w:rsidR="000735FF" w:rsidRPr="002B43C8" w:rsidRDefault="000735FF" w:rsidP="00A42DB4">
            <w:pPr>
              <w:pStyle w:val="ExhibitText"/>
              <w:jc w:val="right"/>
              <w:rPr>
                <w:lang w:val="en-GB"/>
              </w:rPr>
            </w:pPr>
            <w:r w:rsidRPr="002B43C8">
              <w:rPr>
                <w:lang w:val="en-GB"/>
              </w:rPr>
              <w:t>-</w:t>
            </w:r>
          </w:p>
        </w:tc>
        <w:tc>
          <w:tcPr>
            <w:tcW w:w="1061" w:type="dxa"/>
            <w:vAlign w:val="center"/>
          </w:tcPr>
          <w:p w14:paraId="15710397" w14:textId="77777777" w:rsidR="000735FF" w:rsidRPr="002B43C8" w:rsidRDefault="000735FF" w:rsidP="00A42DB4">
            <w:pPr>
              <w:pStyle w:val="ExhibitText"/>
              <w:jc w:val="right"/>
              <w:rPr>
                <w:lang w:val="en-GB"/>
              </w:rPr>
            </w:pPr>
            <w:r w:rsidRPr="002B43C8">
              <w:rPr>
                <w:lang w:val="en-GB"/>
              </w:rPr>
              <w:t>-</w:t>
            </w:r>
          </w:p>
        </w:tc>
        <w:tc>
          <w:tcPr>
            <w:tcW w:w="962" w:type="dxa"/>
            <w:shd w:val="clear" w:color="auto" w:fill="auto"/>
            <w:noWrap/>
            <w:vAlign w:val="center"/>
          </w:tcPr>
          <w:p w14:paraId="2BA372D3" w14:textId="77777777" w:rsidR="000735FF" w:rsidRPr="002B43C8" w:rsidRDefault="000735FF" w:rsidP="00A42DB4">
            <w:pPr>
              <w:pStyle w:val="ExhibitText"/>
              <w:jc w:val="right"/>
              <w:rPr>
                <w:lang w:val="en-GB"/>
              </w:rPr>
            </w:pPr>
            <w:r w:rsidRPr="002B43C8">
              <w:rPr>
                <w:lang w:val="en-GB"/>
              </w:rPr>
              <w:t>-</w:t>
            </w:r>
          </w:p>
        </w:tc>
        <w:tc>
          <w:tcPr>
            <w:tcW w:w="963" w:type="dxa"/>
            <w:vAlign w:val="center"/>
          </w:tcPr>
          <w:p w14:paraId="3878E09E" w14:textId="77777777" w:rsidR="000735FF" w:rsidRPr="002B43C8" w:rsidRDefault="000735FF" w:rsidP="00A42DB4">
            <w:pPr>
              <w:pStyle w:val="ExhibitText"/>
              <w:jc w:val="right"/>
              <w:rPr>
                <w:lang w:val="en-GB"/>
              </w:rPr>
            </w:pPr>
            <w:r w:rsidRPr="002B43C8">
              <w:rPr>
                <w:lang w:val="en-GB"/>
              </w:rPr>
              <w:t>-</w:t>
            </w:r>
          </w:p>
        </w:tc>
        <w:tc>
          <w:tcPr>
            <w:tcW w:w="1026" w:type="dxa"/>
            <w:vAlign w:val="center"/>
          </w:tcPr>
          <w:p w14:paraId="104DF0AF" w14:textId="77777777" w:rsidR="000735FF" w:rsidRPr="002B43C8" w:rsidRDefault="000735FF" w:rsidP="00A42DB4">
            <w:pPr>
              <w:pStyle w:val="ExhibitText"/>
              <w:jc w:val="right"/>
              <w:rPr>
                <w:lang w:val="en-GB"/>
              </w:rPr>
            </w:pPr>
            <w:r w:rsidRPr="002B43C8">
              <w:rPr>
                <w:lang w:val="en-GB"/>
              </w:rPr>
              <w:t>-</w:t>
            </w:r>
          </w:p>
        </w:tc>
        <w:tc>
          <w:tcPr>
            <w:tcW w:w="1037" w:type="dxa"/>
            <w:shd w:val="clear" w:color="auto" w:fill="auto"/>
            <w:noWrap/>
            <w:vAlign w:val="center"/>
          </w:tcPr>
          <w:p w14:paraId="1917108A" w14:textId="77777777" w:rsidR="000735FF" w:rsidRPr="002B43C8" w:rsidRDefault="000735FF" w:rsidP="00A42DB4">
            <w:pPr>
              <w:pStyle w:val="ExhibitText"/>
              <w:jc w:val="right"/>
              <w:rPr>
                <w:lang w:val="en-GB"/>
              </w:rPr>
            </w:pPr>
            <w:r w:rsidRPr="002B43C8">
              <w:rPr>
                <w:lang w:val="en-GB"/>
              </w:rPr>
              <w:t>-</w:t>
            </w:r>
          </w:p>
        </w:tc>
      </w:tr>
      <w:tr w:rsidR="000735FF" w:rsidRPr="002B43C8" w14:paraId="7A0FA426" w14:textId="77777777" w:rsidTr="00880091">
        <w:trPr>
          <w:trHeight w:val="301"/>
          <w:jc w:val="center"/>
        </w:trPr>
        <w:tc>
          <w:tcPr>
            <w:tcW w:w="1278" w:type="dxa"/>
            <w:shd w:val="clear" w:color="auto" w:fill="auto"/>
            <w:noWrap/>
            <w:vAlign w:val="center"/>
            <w:hideMark/>
          </w:tcPr>
          <w:p w14:paraId="1730E158" w14:textId="163DDB2A" w:rsidR="000735FF" w:rsidRPr="002B43C8" w:rsidRDefault="000735FF" w:rsidP="00A42DB4">
            <w:pPr>
              <w:pStyle w:val="ExhibitText"/>
              <w:jc w:val="left"/>
              <w:rPr>
                <w:b/>
                <w:lang w:val="en-GB"/>
              </w:rPr>
            </w:pPr>
            <w:r w:rsidRPr="002B43C8">
              <w:rPr>
                <w:b/>
                <w:lang w:val="en-GB"/>
              </w:rPr>
              <w:t>2012</w:t>
            </w:r>
            <w:r w:rsidR="00165424">
              <w:rPr>
                <w:b/>
                <w:lang w:val="en-GB"/>
              </w:rPr>
              <w:t>–</w:t>
            </w:r>
            <w:r w:rsidRPr="002B43C8">
              <w:rPr>
                <w:b/>
                <w:lang w:val="en-GB"/>
              </w:rPr>
              <w:t>13</w:t>
            </w:r>
          </w:p>
        </w:tc>
        <w:tc>
          <w:tcPr>
            <w:tcW w:w="731" w:type="dxa"/>
            <w:shd w:val="clear" w:color="auto" w:fill="auto"/>
            <w:noWrap/>
            <w:vAlign w:val="center"/>
            <w:hideMark/>
          </w:tcPr>
          <w:p w14:paraId="4941A2FE" w14:textId="450A0C69" w:rsidR="000735FF" w:rsidRPr="002B43C8" w:rsidRDefault="00246B2D" w:rsidP="00A42DB4">
            <w:pPr>
              <w:pStyle w:val="ExhibitText"/>
              <w:jc w:val="right"/>
              <w:rPr>
                <w:lang w:val="en-GB"/>
              </w:rPr>
            </w:pPr>
            <w:r w:rsidRPr="00732E0A">
              <w:rPr>
                <w:rStyle w:val="s1"/>
                <w:rFonts w:eastAsiaTheme="minorEastAsia"/>
                <w:sz w:val="19"/>
                <w:szCs w:val="19"/>
              </w:rPr>
              <w:t>−</w:t>
            </w:r>
            <w:r w:rsidR="000735FF" w:rsidRPr="002B43C8">
              <w:rPr>
                <w:lang w:val="en-GB"/>
              </w:rPr>
              <w:t>0.13</w:t>
            </w:r>
          </w:p>
        </w:tc>
        <w:tc>
          <w:tcPr>
            <w:tcW w:w="1143" w:type="dxa"/>
            <w:vAlign w:val="center"/>
          </w:tcPr>
          <w:p w14:paraId="7616C2B0" w14:textId="2D8AF31C" w:rsidR="000735FF" w:rsidRPr="002B43C8" w:rsidRDefault="00246B2D" w:rsidP="00A42DB4">
            <w:pPr>
              <w:pStyle w:val="ExhibitText"/>
              <w:jc w:val="right"/>
              <w:rPr>
                <w:lang w:val="en-GB"/>
              </w:rPr>
            </w:pPr>
            <w:r>
              <w:rPr>
                <w:lang w:val="en-GB"/>
              </w:rPr>
              <w:t>−</w:t>
            </w:r>
            <w:r w:rsidR="000735FF" w:rsidRPr="002B43C8">
              <w:rPr>
                <w:lang w:val="en-GB"/>
              </w:rPr>
              <w:t>4.41</w:t>
            </w:r>
          </w:p>
        </w:tc>
        <w:tc>
          <w:tcPr>
            <w:tcW w:w="962" w:type="dxa"/>
            <w:shd w:val="clear" w:color="auto" w:fill="auto"/>
            <w:noWrap/>
            <w:vAlign w:val="center"/>
            <w:hideMark/>
          </w:tcPr>
          <w:p w14:paraId="6237C0AA" w14:textId="77777777" w:rsidR="000735FF" w:rsidRPr="002B43C8" w:rsidRDefault="000735FF" w:rsidP="00A42DB4">
            <w:pPr>
              <w:pStyle w:val="ExhibitText"/>
              <w:jc w:val="right"/>
              <w:rPr>
                <w:lang w:val="en-GB"/>
              </w:rPr>
            </w:pPr>
            <w:r w:rsidRPr="002B43C8">
              <w:rPr>
                <w:lang w:val="en-GB"/>
              </w:rPr>
              <w:t>1087.44</w:t>
            </w:r>
          </w:p>
        </w:tc>
        <w:tc>
          <w:tcPr>
            <w:tcW w:w="1061" w:type="dxa"/>
            <w:vAlign w:val="center"/>
          </w:tcPr>
          <w:p w14:paraId="0FE714CD" w14:textId="77777777" w:rsidR="000735FF" w:rsidRPr="002B43C8" w:rsidRDefault="000735FF" w:rsidP="00A42DB4">
            <w:pPr>
              <w:pStyle w:val="ExhibitText"/>
              <w:jc w:val="right"/>
              <w:rPr>
                <w:lang w:val="en-GB"/>
              </w:rPr>
            </w:pPr>
            <w:r w:rsidRPr="002B43C8">
              <w:rPr>
                <w:lang w:val="en-GB"/>
              </w:rPr>
              <w:t>52.88</w:t>
            </w:r>
          </w:p>
        </w:tc>
        <w:tc>
          <w:tcPr>
            <w:tcW w:w="962" w:type="dxa"/>
            <w:shd w:val="clear" w:color="auto" w:fill="auto"/>
            <w:noWrap/>
            <w:vAlign w:val="center"/>
            <w:hideMark/>
          </w:tcPr>
          <w:p w14:paraId="2F15A430" w14:textId="469D4047" w:rsidR="000735FF" w:rsidRPr="002B43C8" w:rsidRDefault="00246B2D" w:rsidP="00A42DB4">
            <w:pPr>
              <w:pStyle w:val="ExhibitText"/>
              <w:jc w:val="right"/>
              <w:rPr>
                <w:lang w:val="en-GB"/>
              </w:rPr>
            </w:pPr>
            <w:r>
              <w:rPr>
                <w:lang w:val="en-GB"/>
              </w:rPr>
              <w:t>−</w:t>
            </w:r>
            <w:r w:rsidR="000735FF" w:rsidRPr="002B43C8">
              <w:rPr>
                <w:lang w:val="en-GB"/>
              </w:rPr>
              <w:t>23.24</w:t>
            </w:r>
          </w:p>
        </w:tc>
        <w:tc>
          <w:tcPr>
            <w:tcW w:w="963" w:type="dxa"/>
            <w:vAlign w:val="center"/>
          </w:tcPr>
          <w:p w14:paraId="6C488340" w14:textId="77777777" w:rsidR="000735FF" w:rsidRPr="002B43C8" w:rsidRDefault="000735FF" w:rsidP="00A42DB4">
            <w:pPr>
              <w:pStyle w:val="ExhibitText"/>
              <w:jc w:val="right"/>
              <w:rPr>
                <w:lang w:val="en-GB"/>
              </w:rPr>
            </w:pPr>
            <w:r w:rsidRPr="002B43C8">
              <w:rPr>
                <w:lang w:val="en-GB"/>
              </w:rPr>
              <w:t>0.97</w:t>
            </w:r>
          </w:p>
        </w:tc>
        <w:tc>
          <w:tcPr>
            <w:tcW w:w="1026" w:type="dxa"/>
            <w:vAlign w:val="center"/>
          </w:tcPr>
          <w:p w14:paraId="34E028D5" w14:textId="77777777" w:rsidR="000735FF" w:rsidRPr="002B43C8" w:rsidRDefault="000735FF" w:rsidP="00A42DB4">
            <w:pPr>
              <w:pStyle w:val="ExhibitText"/>
              <w:jc w:val="right"/>
              <w:rPr>
                <w:lang w:val="en-GB"/>
              </w:rPr>
            </w:pPr>
            <w:r w:rsidRPr="002B43C8">
              <w:rPr>
                <w:lang w:val="en-GB"/>
              </w:rPr>
              <w:t>3.33</w:t>
            </w:r>
          </w:p>
        </w:tc>
        <w:tc>
          <w:tcPr>
            <w:tcW w:w="1037" w:type="dxa"/>
            <w:shd w:val="clear" w:color="auto" w:fill="auto"/>
            <w:noWrap/>
            <w:vAlign w:val="center"/>
            <w:hideMark/>
          </w:tcPr>
          <w:p w14:paraId="168B5384" w14:textId="77777777" w:rsidR="000735FF" w:rsidRPr="002B43C8" w:rsidRDefault="000735FF" w:rsidP="00A42DB4">
            <w:pPr>
              <w:pStyle w:val="ExhibitText"/>
              <w:jc w:val="right"/>
              <w:rPr>
                <w:lang w:val="en-GB"/>
              </w:rPr>
            </w:pPr>
            <w:r w:rsidRPr="002B43C8">
              <w:rPr>
                <w:lang w:val="en-GB"/>
              </w:rPr>
              <w:t>2.74</w:t>
            </w:r>
          </w:p>
        </w:tc>
      </w:tr>
      <w:tr w:rsidR="000735FF" w:rsidRPr="002B43C8" w14:paraId="5F53BB69" w14:textId="77777777" w:rsidTr="00880091">
        <w:trPr>
          <w:trHeight w:val="301"/>
          <w:jc w:val="center"/>
        </w:trPr>
        <w:tc>
          <w:tcPr>
            <w:tcW w:w="1278" w:type="dxa"/>
            <w:shd w:val="clear" w:color="auto" w:fill="auto"/>
            <w:noWrap/>
            <w:vAlign w:val="center"/>
            <w:hideMark/>
          </w:tcPr>
          <w:p w14:paraId="451944A9" w14:textId="76F3E7E5" w:rsidR="000735FF" w:rsidRPr="002B43C8" w:rsidRDefault="000735FF" w:rsidP="00A42DB4">
            <w:pPr>
              <w:pStyle w:val="ExhibitText"/>
              <w:jc w:val="left"/>
              <w:rPr>
                <w:b/>
                <w:lang w:val="en-GB"/>
              </w:rPr>
            </w:pPr>
            <w:r w:rsidRPr="002B43C8">
              <w:rPr>
                <w:b/>
                <w:lang w:val="en-GB"/>
              </w:rPr>
              <w:t>2013</w:t>
            </w:r>
            <w:r w:rsidR="00165424">
              <w:rPr>
                <w:b/>
                <w:lang w:val="en-GB"/>
              </w:rPr>
              <w:t>–</w:t>
            </w:r>
            <w:r w:rsidRPr="002B43C8">
              <w:rPr>
                <w:b/>
                <w:lang w:val="en-GB"/>
              </w:rPr>
              <w:t>14</w:t>
            </w:r>
          </w:p>
        </w:tc>
        <w:tc>
          <w:tcPr>
            <w:tcW w:w="731" w:type="dxa"/>
            <w:shd w:val="clear" w:color="auto" w:fill="auto"/>
            <w:noWrap/>
            <w:vAlign w:val="center"/>
            <w:hideMark/>
          </w:tcPr>
          <w:p w14:paraId="756BCECC" w14:textId="77777777" w:rsidR="000735FF" w:rsidRPr="002B43C8" w:rsidRDefault="000735FF" w:rsidP="00A42DB4">
            <w:pPr>
              <w:pStyle w:val="ExhibitText"/>
              <w:jc w:val="right"/>
              <w:rPr>
                <w:lang w:val="en-GB"/>
              </w:rPr>
            </w:pPr>
            <w:r w:rsidRPr="002B43C8">
              <w:rPr>
                <w:lang w:val="en-GB"/>
              </w:rPr>
              <w:t>1.03</w:t>
            </w:r>
          </w:p>
        </w:tc>
        <w:tc>
          <w:tcPr>
            <w:tcW w:w="1143" w:type="dxa"/>
            <w:vAlign w:val="center"/>
          </w:tcPr>
          <w:p w14:paraId="43E96C48" w14:textId="3B1D8890" w:rsidR="000735FF" w:rsidRPr="002B43C8" w:rsidRDefault="00246B2D" w:rsidP="00A42DB4">
            <w:pPr>
              <w:pStyle w:val="ExhibitText"/>
              <w:jc w:val="right"/>
              <w:rPr>
                <w:lang w:val="en-GB"/>
              </w:rPr>
            </w:pPr>
            <w:r>
              <w:rPr>
                <w:lang w:val="en-GB"/>
              </w:rPr>
              <w:t>−</w:t>
            </w:r>
            <w:r w:rsidR="000735FF" w:rsidRPr="002B43C8">
              <w:rPr>
                <w:lang w:val="en-GB"/>
              </w:rPr>
              <w:t>3.44</w:t>
            </w:r>
          </w:p>
        </w:tc>
        <w:tc>
          <w:tcPr>
            <w:tcW w:w="962" w:type="dxa"/>
            <w:shd w:val="clear" w:color="auto" w:fill="auto"/>
            <w:noWrap/>
            <w:vAlign w:val="center"/>
            <w:hideMark/>
          </w:tcPr>
          <w:p w14:paraId="6CEBEFE1" w14:textId="770CDFF7" w:rsidR="000735FF" w:rsidRPr="002B43C8" w:rsidRDefault="00246B2D" w:rsidP="00A42DB4">
            <w:pPr>
              <w:pStyle w:val="ExhibitText"/>
              <w:jc w:val="right"/>
              <w:rPr>
                <w:lang w:val="en-GB"/>
              </w:rPr>
            </w:pPr>
            <w:r>
              <w:rPr>
                <w:lang w:val="en-GB"/>
              </w:rPr>
              <w:t>−</w:t>
            </w:r>
            <w:r w:rsidR="000735FF" w:rsidRPr="002B43C8">
              <w:rPr>
                <w:lang w:val="en-GB"/>
              </w:rPr>
              <w:t>22.79</w:t>
            </w:r>
          </w:p>
        </w:tc>
        <w:tc>
          <w:tcPr>
            <w:tcW w:w="1061" w:type="dxa"/>
            <w:vAlign w:val="center"/>
          </w:tcPr>
          <w:p w14:paraId="325E6FE5" w14:textId="77777777" w:rsidR="000735FF" w:rsidRPr="002B43C8" w:rsidRDefault="000735FF" w:rsidP="00A42DB4">
            <w:pPr>
              <w:pStyle w:val="ExhibitText"/>
              <w:jc w:val="right"/>
              <w:rPr>
                <w:lang w:val="en-GB"/>
              </w:rPr>
            </w:pPr>
            <w:r w:rsidRPr="002B43C8">
              <w:rPr>
                <w:lang w:val="en-GB"/>
              </w:rPr>
              <w:t>0.92</w:t>
            </w:r>
          </w:p>
        </w:tc>
        <w:tc>
          <w:tcPr>
            <w:tcW w:w="962" w:type="dxa"/>
            <w:shd w:val="clear" w:color="auto" w:fill="auto"/>
            <w:noWrap/>
            <w:vAlign w:val="center"/>
            <w:hideMark/>
          </w:tcPr>
          <w:p w14:paraId="6BF7600F" w14:textId="1AAFAA45" w:rsidR="000735FF" w:rsidRPr="002B43C8" w:rsidRDefault="00246B2D" w:rsidP="00A42DB4">
            <w:pPr>
              <w:pStyle w:val="ExhibitText"/>
              <w:jc w:val="right"/>
              <w:rPr>
                <w:lang w:val="en-GB"/>
              </w:rPr>
            </w:pPr>
            <w:r>
              <w:rPr>
                <w:lang w:val="en-GB"/>
              </w:rPr>
              <w:t>−</w:t>
            </w:r>
            <w:r w:rsidR="000735FF" w:rsidRPr="002B43C8">
              <w:rPr>
                <w:lang w:val="en-GB"/>
              </w:rPr>
              <w:t>7.5</w:t>
            </w:r>
            <w:r w:rsidR="00561043">
              <w:rPr>
                <w:lang w:val="en-GB"/>
              </w:rPr>
              <w:t>0</w:t>
            </w:r>
          </w:p>
        </w:tc>
        <w:tc>
          <w:tcPr>
            <w:tcW w:w="963" w:type="dxa"/>
            <w:vAlign w:val="center"/>
          </w:tcPr>
          <w:p w14:paraId="0C2CFE50" w14:textId="4124AC3F" w:rsidR="000735FF" w:rsidRPr="002B43C8" w:rsidRDefault="00246B2D" w:rsidP="00A42DB4">
            <w:pPr>
              <w:pStyle w:val="ExhibitText"/>
              <w:jc w:val="right"/>
              <w:rPr>
                <w:lang w:val="en-GB"/>
              </w:rPr>
            </w:pPr>
            <w:r>
              <w:rPr>
                <w:lang w:val="en-GB"/>
              </w:rPr>
              <w:t>−</w:t>
            </w:r>
            <w:r w:rsidR="000735FF" w:rsidRPr="002B43C8">
              <w:rPr>
                <w:lang w:val="en-GB"/>
              </w:rPr>
              <w:t>19.55</w:t>
            </w:r>
          </w:p>
        </w:tc>
        <w:tc>
          <w:tcPr>
            <w:tcW w:w="1026" w:type="dxa"/>
            <w:vAlign w:val="center"/>
          </w:tcPr>
          <w:p w14:paraId="3524F50A" w14:textId="6023E8A3" w:rsidR="000735FF" w:rsidRPr="002B43C8" w:rsidRDefault="00246B2D" w:rsidP="00A42DB4">
            <w:pPr>
              <w:pStyle w:val="ExhibitText"/>
              <w:jc w:val="right"/>
              <w:rPr>
                <w:lang w:val="en-GB"/>
              </w:rPr>
            </w:pPr>
            <w:r>
              <w:rPr>
                <w:lang w:val="en-GB"/>
              </w:rPr>
              <w:t>−</w:t>
            </w:r>
            <w:r w:rsidR="000735FF" w:rsidRPr="002B43C8">
              <w:rPr>
                <w:lang w:val="en-GB"/>
              </w:rPr>
              <w:t>1.4</w:t>
            </w:r>
            <w:r w:rsidR="00561043">
              <w:rPr>
                <w:lang w:val="en-GB"/>
              </w:rPr>
              <w:t>0</w:t>
            </w:r>
          </w:p>
        </w:tc>
        <w:tc>
          <w:tcPr>
            <w:tcW w:w="1037" w:type="dxa"/>
            <w:shd w:val="clear" w:color="auto" w:fill="auto"/>
            <w:noWrap/>
            <w:vAlign w:val="center"/>
            <w:hideMark/>
          </w:tcPr>
          <w:p w14:paraId="65D96064" w14:textId="4EED74C4" w:rsidR="000735FF" w:rsidRPr="002B43C8" w:rsidRDefault="00246B2D" w:rsidP="00A42DB4">
            <w:pPr>
              <w:pStyle w:val="ExhibitText"/>
              <w:jc w:val="right"/>
              <w:rPr>
                <w:lang w:val="en-GB"/>
              </w:rPr>
            </w:pPr>
            <w:r>
              <w:rPr>
                <w:lang w:val="en-GB"/>
              </w:rPr>
              <w:t>−</w:t>
            </w:r>
            <w:r w:rsidR="000735FF" w:rsidRPr="002B43C8">
              <w:rPr>
                <w:lang w:val="en-GB"/>
              </w:rPr>
              <w:t>3.87</w:t>
            </w:r>
          </w:p>
        </w:tc>
      </w:tr>
      <w:tr w:rsidR="000735FF" w:rsidRPr="002B43C8" w14:paraId="0A7909C7" w14:textId="77777777" w:rsidTr="00880091">
        <w:trPr>
          <w:trHeight w:val="301"/>
          <w:jc w:val="center"/>
        </w:trPr>
        <w:tc>
          <w:tcPr>
            <w:tcW w:w="1278" w:type="dxa"/>
            <w:shd w:val="clear" w:color="auto" w:fill="auto"/>
            <w:noWrap/>
            <w:vAlign w:val="center"/>
            <w:hideMark/>
          </w:tcPr>
          <w:p w14:paraId="2A49983E" w14:textId="4ED41DAA" w:rsidR="000735FF" w:rsidRPr="002B43C8" w:rsidRDefault="000735FF" w:rsidP="00A42DB4">
            <w:pPr>
              <w:pStyle w:val="ExhibitText"/>
              <w:jc w:val="left"/>
              <w:rPr>
                <w:b/>
                <w:lang w:val="en-GB"/>
              </w:rPr>
            </w:pPr>
            <w:r w:rsidRPr="002B43C8">
              <w:rPr>
                <w:b/>
                <w:lang w:val="en-GB"/>
              </w:rPr>
              <w:t>2014</w:t>
            </w:r>
            <w:r w:rsidR="00165424">
              <w:rPr>
                <w:b/>
                <w:lang w:val="en-GB"/>
              </w:rPr>
              <w:t>–</w:t>
            </w:r>
            <w:r w:rsidRPr="002B43C8">
              <w:rPr>
                <w:b/>
                <w:lang w:val="en-GB"/>
              </w:rPr>
              <w:t>15</w:t>
            </w:r>
          </w:p>
        </w:tc>
        <w:tc>
          <w:tcPr>
            <w:tcW w:w="731" w:type="dxa"/>
            <w:shd w:val="clear" w:color="auto" w:fill="auto"/>
            <w:noWrap/>
            <w:vAlign w:val="center"/>
            <w:hideMark/>
          </w:tcPr>
          <w:p w14:paraId="646247FB" w14:textId="77777777" w:rsidR="000735FF" w:rsidRPr="002B43C8" w:rsidRDefault="000735FF" w:rsidP="00A42DB4">
            <w:pPr>
              <w:pStyle w:val="ExhibitText"/>
              <w:jc w:val="right"/>
              <w:rPr>
                <w:lang w:val="en-GB"/>
              </w:rPr>
            </w:pPr>
            <w:r w:rsidRPr="002B43C8">
              <w:rPr>
                <w:lang w:val="en-GB"/>
              </w:rPr>
              <w:t>9.38</w:t>
            </w:r>
          </w:p>
        </w:tc>
        <w:tc>
          <w:tcPr>
            <w:tcW w:w="1143" w:type="dxa"/>
            <w:vAlign w:val="center"/>
          </w:tcPr>
          <w:p w14:paraId="297050A3" w14:textId="7A98112E" w:rsidR="000735FF" w:rsidRPr="002B43C8" w:rsidRDefault="000735FF" w:rsidP="00A42DB4">
            <w:pPr>
              <w:pStyle w:val="ExhibitText"/>
              <w:jc w:val="right"/>
              <w:rPr>
                <w:lang w:val="en-GB"/>
              </w:rPr>
            </w:pPr>
            <w:r w:rsidRPr="002B43C8">
              <w:rPr>
                <w:lang w:val="en-GB"/>
              </w:rPr>
              <w:t>3.5</w:t>
            </w:r>
            <w:r w:rsidR="00561043">
              <w:rPr>
                <w:lang w:val="en-GB"/>
              </w:rPr>
              <w:t>0</w:t>
            </w:r>
          </w:p>
        </w:tc>
        <w:tc>
          <w:tcPr>
            <w:tcW w:w="962" w:type="dxa"/>
            <w:shd w:val="clear" w:color="auto" w:fill="auto"/>
            <w:noWrap/>
            <w:vAlign w:val="center"/>
            <w:hideMark/>
          </w:tcPr>
          <w:p w14:paraId="54D238A2" w14:textId="77777777" w:rsidR="000735FF" w:rsidRPr="002B43C8" w:rsidRDefault="000735FF" w:rsidP="00A42DB4">
            <w:pPr>
              <w:pStyle w:val="ExhibitText"/>
              <w:jc w:val="right"/>
              <w:rPr>
                <w:lang w:val="en-GB"/>
              </w:rPr>
            </w:pPr>
            <w:r w:rsidRPr="002B43C8">
              <w:rPr>
                <w:lang w:val="en-GB"/>
              </w:rPr>
              <w:t>28.21</w:t>
            </w:r>
          </w:p>
        </w:tc>
        <w:tc>
          <w:tcPr>
            <w:tcW w:w="1061" w:type="dxa"/>
            <w:vAlign w:val="center"/>
          </w:tcPr>
          <w:p w14:paraId="1FD37A44" w14:textId="77777777" w:rsidR="000735FF" w:rsidRPr="002B43C8" w:rsidRDefault="000735FF" w:rsidP="00A42DB4">
            <w:pPr>
              <w:pStyle w:val="ExhibitText"/>
              <w:jc w:val="right"/>
              <w:rPr>
                <w:lang w:val="en-GB"/>
              </w:rPr>
            </w:pPr>
            <w:r w:rsidRPr="002B43C8">
              <w:rPr>
                <w:lang w:val="en-GB"/>
              </w:rPr>
              <w:t>10.53</w:t>
            </w:r>
          </w:p>
        </w:tc>
        <w:tc>
          <w:tcPr>
            <w:tcW w:w="962" w:type="dxa"/>
            <w:shd w:val="clear" w:color="auto" w:fill="auto"/>
            <w:noWrap/>
            <w:vAlign w:val="center"/>
            <w:hideMark/>
          </w:tcPr>
          <w:p w14:paraId="0F064D43" w14:textId="77777777" w:rsidR="000735FF" w:rsidRPr="002B43C8" w:rsidRDefault="000735FF" w:rsidP="00A42DB4">
            <w:pPr>
              <w:pStyle w:val="ExhibitText"/>
              <w:jc w:val="right"/>
              <w:rPr>
                <w:lang w:val="en-GB"/>
              </w:rPr>
            </w:pPr>
            <w:r w:rsidRPr="002B43C8">
              <w:rPr>
                <w:lang w:val="en-GB"/>
              </w:rPr>
              <w:t>26.33</w:t>
            </w:r>
          </w:p>
        </w:tc>
        <w:tc>
          <w:tcPr>
            <w:tcW w:w="963" w:type="dxa"/>
            <w:vAlign w:val="center"/>
          </w:tcPr>
          <w:p w14:paraId="7FCEAC8C" w14:textId="1295CDA9" w:rsidR="000735FF" w:rsidRPr="002B43C8" w:rsidRDefault="00246B2D" w:rsidP="00A42DB4">
            <w:pPr>
              <w:pStyle w:val="ExhibitText"/>
              <w:jc w:val="right"/>
              <w:rPr>
                <w:lang w:val="en-GB"/>
              </w:rPr>
            </w:pPr>
            <w:r>
              <w:rPr>
                <w:lang w:val="en-GB"/>
              </w:rPr>
              <w:t>−</w:t>
            </w:r>
            <w:r w:rsidR="000735FF" w:rsidRPr="002B43C8">
              <w:rPr>
                <w:lang w:val="en-GB"/>
              </w:rPr>
              <w:t>9.75</w:t>
            </w:r>
          </w:p>
        </w:tc>
        <w:tc>
          <w:tcPr>
            <w:tcW w:w="1026" w:type="dxa"/>
            <w:vAlign w:val="center"/>
          </w:tcPr>
          <w:p w14:paraId="36BE7351" w14:textId="5CA0B1AB" w:rsidR="000735FF" w:rsidRPr="002B43C8" w:rsidRDefault="000735FF" w:rsidP="00A42DB4">
            <w:pPr>
              <w:pStyle w:val="ExhibitText"/>
              <w:jc w:val="right"/>
              <w:rPr>
                <w:lang w:val="en-GB"/>
              </w:rPr>
            </w:pPr>
            <w:r w:rsidRPr="002B43C8">
              <w:rPr>
                <w:lang w:val="en-GB"/>
              </w:rPr>
              <w:t>11.9</w:t>
            </w:r>
            <w:r w:rsidR="00561043">
              <w:rPr>
                <w:lang w:val="en-GB"/>
              </w:rPr>
              <w:t>0</w:t>
            </w:r>
          </w:p>
        </w:tc>
        <w:tc>
          <w:tcPr>
            <w:tcW w:w="1037" w:type="dxa"/>
            <w:shd w:val="clear" w:color="auto" w:fill="auto"/>
            <w:noWrap/>
            <w:vAlign w:val="center"/>
            <w:hideMark/>
          </w:tcPr>
          <w:p w14:paraId="435AB907" w14:textId="77777777" w:rsidR="000735FF" w:rsidRPr="002B43C8" w:rsidRDefault="000735FF" w:rsidP="00A42DB4">
            <w:pPr>
              <w:pStyle w:val="ExhibitText"/>
              <w:jc w:val="right"/>
              <w:rPr>
                <w:lang w:val="en-GB"/>
              </w:rPr>
            </w:pPr>
            <w:r w:rsidRPr="002B43C8">
              <w:rPr>
                <w:lang w:val="en-GB"/>
              </w:rPr>
              <w:t>3.97</w:t>
            </w:r>
          </w:p>
        </w:tc>
      </w:tr>
      <w:tr w:rsidR="000735FF" w:rsidRPr="002B43C8" w14:paraId="5FA1417A" w14:textId="77777777" w:rsidTr="00880091">
        <w:trPr>
          <w:trHeight w:val="301"/>
          <w:jc w:val="center"/>
        </w:trPr>
        <w:tc>
          <w:tcPr>
            <w:tcW w:w="1278" w:type="dxa"/>
            <w:shd w:val="clear" w:color="auto" w:fill="auto"/>
            <w:noWrap/>
            <w:vAlign w:val="center"/>
            <w:hideMark/>
          </w:tcPr>
          <w:p w14:paraId="6078CEAA" w14:textId="1B946EF8" w:rsidR="000735FF" w:rsidRPr="002B43C8" w:rsidRDefault="000735FF" w:rsidP="00A42DB4">
            <w:pPr>
              <w:pStyle w:val="ExhibitText"/>
              <w:jc w:val="left"/>
              <w:rPr>
                <w:b/>
                <w:lang w:val="en-GB"/>
              </w:rPr>
            </w:pPr>
            <w:r w:rsidRPr="002B43C8">
              <w:rPr>
                <w:b/>
                <w:lang w:val="en-GB"/>
              </w:rPr>
              <w:t>2015</w:t>
            </w:r>
            <w:r w:rsidR="00165424">
              <w:rPr>
                <w:b/>
                <w:lang w:val="en-GB"/>
              </w:rPr>
              <w:t>–</w:t>
            </w:r>
            <w:r w:rsidRPr="002B43C8">
              <w:rPr>
                <w:b/>
                <w:lang w:val="en-GB"/>
              </w:rPr>
              <w:t>16</w:t>
            </w:r>
          </w:p>
        </w:tc>
        <w:tc>
          <w:tcPr>
            <w:tcW w:w="731" w:type="dxa"/>
            <w:shd w:val="clear" w:color="auto" w:fill="auto"/>
            <w:noWrap/>
            <w:vAlign w:val="center"/>
            <w:hideMark/>
          </w:tcPr>
          <w:p w14:paraId="159D3284" w14:textId="2C41FD1D" w:rsidR="000735FF" w:rsidRPr="002B43C8" w:rsidRDefault="000735FF" w:rsidP="00A42DB4">
            <w:pPr>
              <w:pStyle w:val="ExhibitText"/>
              <w:jc w:val="right"/>
              <w:rPr>
                <w:lang w:val="en-GB"/>
              </w:rPr>
            </w:pPr>
            <w:r w:rsidRPr="002B43C8">
              <w:rPr>
                <w:lang w:val="en-GB"/>
              </w:rPr>
              <w:t>9.1</w:t>
            </w:r>
            <w:r w:rsidR="00561043">
              <w:rPr>
                <w:lang w:val="en-GB"/>
              </w:rPr>
              <w:t>0</w:t>
            </w:r>
          </w:p>
        </w:tc>
        <w:tc>
          <w:tcPr>
            <w:tcW w:w="1143" w:type="dxa"/>
            <w:vAlign w:val="center"/>
          </w:tcPr>
          <w:p w14:paraId="4AA7B4DD" w14:textId="36D81523" w:rsidR="000735FF" w:rsidRPr="002B43C8" w:rsidRDefault="000735FF" w:rsidP="00A42DB4">
            <w:pPr>
              <w:pStyle w:val="ExhibitText"/>
              <w:jc w:val="right"/>
              <w:rPr>
                <w:lang w:val="en-GB"/>
              </w:rPr>
            </w:pPr>
            <w:r w:rsidRPr="002B43C8">
              <w:rPr>
                <w:lang w:val="en-GB"/>
              </w:rPr>
              <w:t>5.7</w:t>
            </w:r>
            <w:r w:rsidR="00561043">
              <w:rPr>
                <w:lang w:val="en-GB"/>
              </w:rPr>
              <w:t>0</w:t>
            </w:r>
          </w:p>
        </w:tc>
        <w:tc>
          <w:tcPr>
            <w:tcW w:w="962" w:type="dxa"/>
            <w:shd w:val="clear" w:color="auto" w:fill="auto"/>
            <w:noWrap/>
            <w:vAlign w:val="center"/>
            <w:hideMark/>
          </w:tcPr>
          <w:p w14:paraId="1ED263FE" w14:textId="77777777" w:rsidR="000735FF" w:rsidRPr="002B43C8" w:rsidRDefault="000735FF" w:rsidP="00A42DB4">
            <w:pPr>
              <w:pStyle w:val="ExhibitText"/>
              <w:jc w:val="right"/>
              <w:rPr>
                <w:lang w:val="en-GB"/>
              </w:rPr>
            </w:pPr>
            <w:r w:rsidRPr="002B43C8">
              <w:rPr>
                <w:lang w:val="en-GB"/>
              </w:rPr>
              <w:t>30.69</w:t>
            </w:r>
          </w:p>
        </w:tc>
        <w:tc>
          <w:tcPr>
            <w:tcW w:w="1061" w:type="dxa"/>
            <w:vAlign w:val="center"/>
          </w:tcPr>
          <w:p w14:paraId="0852DBB9" w14:textId="77777777" w:rsidR="000735FF" w:rsidRPr="002B43C8" w:rsidRDefault="000735FF" w:rsidP="00A42DB4">
            <w:pPr>
              <w:pStyle w:val="ExhibitText"/>
              <w:jc w:val="right"/>
              <w:rPr>
                <w:lang w:val="en-GB"/>
              </w:rPr>
            </w:pPr>
            <w:r w:rsidRPr="002B43C8">
              <w:rPr>
                <w:lang w:val="en-GB"/>
              </w:rPr>
              <w:t>12.12</w:t>
            </w:r>
          </w:p>
        </w:tc>
        <w:tc>
          <w:tcPr>
            <w:tcW w:w="962" w:type="dxa"/>
            <w:shd w:val="clear" w:color="auto" w:fill="auto"/>
            <w:noWrap/>
            <w:vAlign w:val="center"/>
            <w:hideMark/>
          </w:tcPr>
          <w:p w14:paraId="6DC3F084" w14:textId="77777777" w:rsidR="000735FF" w:rsidRPr="002B43C8" w:rsidRDefault="000735FF" w:rsidP="00A42DB4">
            <w:pPr>
              <w:pStyle w:val="ExhibitText"/>
              <w:jc w:val="right"/>
              <w:rPr>
                <w:lang w:val="en-GB"/>
              </w:rPr>
            </w:pPr>
            <w:r w:rsidRPr="002B43C8">
              <w:rPr>
                <w:lang w:val="en-GB"/>
              </w:rPr>
              <w:t>10.86</w:t>
            </w:r>
          </w:p>
        </w:tc>
        <w:tc>
          <w:tcPr>
            <w:tcW w:w="963" w:type="dxa"/>
            <w:vAlign w:val="center"/>
          </w:tcPr>
          <w:p w14:paraId="10EEED85" w14:textId="77777777" w:rsidR="000735FF" w:rsidRPr="002B43C8" w:rsidRDefault="000735FF" w:rsidP="00A42DB4">
            <w:pPr>
              <w:pStyle w:val="ExhibitText"/>
              <w:jc w:val="right"/>
              <w:rPr>
                <w:lang w:val="en-GB"/>
              </w:rPr>
            </w:pPr>
            <w:r w:rsidRPr="002B43C8">
              <w:rPr>
                <w:lang w:val="en-GB"/>
              </w:rPr>
              <w:t>4.07</w:t>
            </w:r>
          </w:p>
        </w:tc>
        <w:tc>
          <w:tcPr>
            <w:tcW w:w="1026" w:type="dxa"/>
            <w:vAlign w:val="center"/>
          </w:tcPr>
          <w:p w14:paraId="391ABAA5" w14:textId="77777777" w:rsidR="000735FF" w:rsidRPr="002B43C8" w:rsidRDefault="000735FF" w:rsidP="00A42DB4">
            <w:pPr>
              <w:pStyle w:val="ExhibitText"/>
              <w:jc w:val="right"/>
              <w:rPr>
                <w:lang w:val="en-GB"/>
              </w:rPr>
            </w:pPr>
            <w:r w:rsidRPr="002B43C8">
              <w:rPr>
                <w:lang w:val="en-GB"/>
              </w:rPr>
              <w:t>10.59</w:t>
            </w:r>
          </w:p>
        </w:tc>
        <w:tc>
          <w:tcPr>
            <w:tcW w:w="1037" w:type="dxa"/>
            <w:shd w:val="clear" w:color="auto" w:fill="auto"/>
            <w:noWrap/>
            <w:vAlign w:val="center"/>
            <w:hideMark/>
          </w:tcPr>
          <w:p w14:paraId="51770FAD" w14:textId="77777777" w:rsidR="000735FF" w:rsidRPr="002B43C8" w:rsidRDefault="000735FF" w:rsidP="00A42DB4">
            <w:pPr>
              <w:pStyle w:val="ExhibitText"/>
              <w:jc w:val="right"/>
              <w:rPr>
                <w:lang w:val="en-GB"/>
              </w:rPr>
            </w:pPr>
            <w:r w:rsidRPr="002B43C8">
              <w:rPr>
                <w:lang w:val="en-GB"/>
              </w:rPr>
              <w:t>6.87</w:t>
            </w:r>
          </w:p>
        </w:tc>
      </w:tr>
    </w:tbl>
    <w:p w14:paraId="4859D929" w14:textId="77777777" w:rsidR="000735FF" w:rsidRPr="002B43C8" w:rsidRDefault="000735FF" w:rsidP="003E2823">
      <w:pPr>
        <w:pStyle w:val="Footnote"/>
        <w:rPr>
          <w:lang w:val="en-GB"/>
        </w:rPr>
      </w:pPr>
    </w:p>
    <w:p w14:paraId="0C74A0C8" w14:textId="04374183" w:rsidR="0048454B" w:rsidRDefault="000735FF" w:rsidP="0048454B">
      <w:pPr>
        <w:pStyle w:val="Footnote"/>
        <w:outlineLvl w:val="0"/>
        <w:rPr>
          <w:lang w:val="en-GB"/>
        </w:rPr>
      </w:pPr>
      <w:r w:rsidRPr="002B43C8">
        <w:rPr>
          <w:lang w:val="en-GB"/>
        </w:rPr>
        <w:t xml:space="preserve">Source: </w:t>
      </w:r>
      <w:r w:rsidR="00A34351">
        <w:rPr>
          <w:lang w:val="en-GB"/>
        </w:rPr>
        <w:t>Compiled by the case authors from company materials</w:t>
      </w:r>
      <w:r w:rsidR="0048454B">
        <w:rPr>
          <w:lang w:val="en-GB"/>
        </w:rPr>
        <w:t>;</w:t>
      </w:r>
      <w:r w:rsidR="00BF5A2A">
        <w:rPr>
          <w:lang w:val="en-GB"/>
        </w:rPr>
        <w:t xml:space="preserve"> c</w:t>
      </w:r>
      <w:r w:rsidR="0048454B">
        <w:rPr>
          <w:lang w:val="en-GB"/>
        </w:rPr>
        <w:t xml:space="preserve">ompany </w:t>
      </w:r>
      <w:r w:rsidR="00BF5A2A">
        <w:rPr>
          <w:lang w:val="en-GB"/>
        </w:rPr>
        <w:t>s</w:t>
      </w:r>
      <w:r w:rsidR="0048454B">
        <w:rPr>
          <w:lang w:val="en-GB"/>
        </w:rPr>
        <w:t xml:space="preserve">ales of </w:t>
      </w:r>
      <w:r w:rsidR="00BF5A2A">
        <w:rPr>
          <w:lang w:val="en-GB"/>
        </w:rPr>
        <w:t>p</w:t>
      </w:r>
      <w:r w:rsidR="0048454B" w:rsidRPr="00F96B52">
        <w:rPr>
          <w:lang w:val="en-GB"/>
        </w:rPr>
        <w:t>asseng</w:t>
      </w:r>
      <w:r w:rsidR="0048454B">
        <w:rPr>
          <w:lang w:val="en-GB"/>
        </w:rPr>
        <w:t>er cars 1997</w:t>
      </w:r>
      <w:r w:rsidR="00BF5A2A">
        <w:rPr>
          <w:lang w:val="en-GB"/>
        </w:rPr>
        <w:t>–</w:t>
      </w:r>
      <w:r w:rsidR="0048454B">
        <w:rPr>
          <w:lang w:val="en-GB"/>
        </w:rPr>
        <w:t>98 to 2014</w:t>
      </w:r>
      <w:r w:rsidR="00BF5A2A">
        <w:rPr>
          <w:lang w:val="en-GB"/>
        </w:rPr>
        <w:t>–</w:t>
      </w:r>
      <w:r w:rsidR="0048454B" w:rsidRPr="00F96B52">
        <w:rPr>
          <w:lang w:val="en-GB"/>
        </w:rPr>
        <w:t>15</w:t>
      </w:r>
      <w:r w:rsidR="00DA238D">
        <w:rPr>
          <w:lang w:val="en-GB"/>
        </w:rPr>
        <w:t>:</w:t>
      </w:r>
      <w:r w:rsidR="0048454B" w:rsidRPr="00F96B52">
        <w:rPr>
          <w:lang w:val="en-GB"/>
        </w:rPr>
        <w:t xml:space="preserve"> </w:t>
      </w:r>
      <w:r w:rsidR="00BF5A2A">
        <w:rPr>
          <w:lang w:val="en-GB"/>
        </w:rPr>
        <w:t xml:space="preserve">“Industry Outlook,” </w:t>
      </w:r>
      <w:r w:rsidR="0048454B" w:rsidRPr="002B43C8">
        <w:rPr>
          <w:lang w:val="en-GB"/>
        </w:rPr>
        <w:t>C</w:t>
      </w:r>
      <w:r w:rsidR="0048454B">
        <w:rPr>
          <w:lang w:val="en-GB"/>
        </w:rPr>
        <w:t xml:space="preserve">entre for </w:t>
      </w:r>
      <w:r w:rsidR="0048454B" w:rsidRPr="002B43C8">
        <w:rPr>
          <w:lang w:val="en-GB"/>
        </w:rPr>
        <w:t>M</w:t>
      </w:r>
      <w:r w:rsidR="0048454B">
        <w:rPr>
          <w:lang w:val="en-GB"/>
        </w:rPr>
        <w:t xml:space="preserve">onitoring </w:t>
      </w:r>
      <w:r w:rsidR="0048454B" w:rsidRPr="002B43C8">
        <w:rPr>
          <w:lang w:val="en-GB"/>
        </w:rPr>
        <w:t>I</w:t>
      </w:r>
      <w:r w:rsidR="0048454B">
        <w:rPr>
          <w:lang w:val="en-GB"/>
        </w:rPr>
        <w:t>ndian Economy, accessed October 25</w:t>
      </w:r>
      <w:r w:rsidR="00BF5A2A">
        <w:rPr>
          <w:lang w:val="en-GB"/>
        </w:rPr>
        <w:t>,</w:t>
      </w:r>
      <w:r w:rsidR="0048454B">
        <w:rPr>
          <w:lang w:val="en-GB"/>
        </w:rPr>
        <w:t xml:space="preserve"> 2017,</w:t>
      </w:r>
      <w:r w:rsidR="00BF5A2A">
        <w:rPr>
          <w:lang w:val="en-GB"/>
        </w:rPr>
        <w:t xml:space="preserve"> </w:t>
      </w:r>
      <w:r w:rsidR="0048454B" w:rsidRPr="00C414AD">
        <w:rPr>
          <w:lang w:val="en-GB"/>
        </w:rPr>
        <w:t>https://industryoutlook.cmie.com/kommon/bin/sr.php?kall=wshowtab&amp;icode=0101014502011000&amp;tabno=0001</w:t>
      </w:r>
    </w:p>
    <w:p w14:paraId="2175F647" w14:textId="77777777" w:rsidR="0048454B" w:rsidRPr="002B43C8" w:rsidRDefault="0048454B" w:rsidP="007F36EF">
      <w:pPr>
        <w:pStyle w:val="Footnote"/>
        <w:outlineLvl w:val="0"/>
        <w:rPr>
          <w:lang w:val="en-GB"/>
        </w:rPr>
      </w:pPr>
    </w:p>
    <w:p w14:paraId="4C757120" w14:textId="77777777" w:rsidR="000735FF" w:rsidRPr="002B43C8" w:rsidRDefault="000735FF">
      <w:pPr>
        <w:spacing w:after="200" w:line="276" w:lineRule="auto"/>
        <w:rPr>
          <w:rFonts w:ascii="Arial" w:hAnsi="Arial" w:cs="Arial"/>
          <w:sz w:val="17"/>
          <w:szCs w:val="17"/>
          <w:lang w:val="en-GB"/>
        </w:rPr>
      </w:pPr>
      <w:r w:rsidRPr="002B43C8">
        <w:rPr>
          <w:lang w:val="en-GB"/>
        </w:rPr>
        <w:br w:type="page"/>
      </w:r>
    </w:p>
    <w:p w14:paraId="5081B5C3" w14:textId="77777777" w:rsidR="000735FF" w:rsidRPr="002B43C8" w:rsidRDefault="000735FF" w:rsidP="003E2823">
      <w:pPr>
        <w:pStyle w:val="Footnote"/>
        <w:rPr>
          <w:lang w:val="en-GB"/>
        </w:rPr>
        <w:sectPr w:rsidR="000735FF" w:rsidRPr="002B43C8" w:rsidSect="00EB5410">
          <w:headerReference w:type="default" r:id="rId10"/>
          <w:endnotePr>
            <w:numFmt w:val="decimal"/>
          </w:endnotePr>
          <w:pgSz w:w="12240" w:h="15840"/>
          <w:pgMar w:top="1080" w:right="1440" w:bottom="1440" w:left="1440" w:header="1080" w:footer="720" w:gutter="0"/>
          <w:cols w:space="720"/>
          <w:titlePg/>
          <w:docGrid w:linePitch="360"/>
        </w:sectPr>
      </w:pPr>
    </w:p>
    <w:p w14:paraId="1B26CB37" w14:textId="6E8580F8" w:rsidR="000735FF" w:rsidRPr="002B43C8" w:rsidRDefault="000735FF" w:rsidP="00935D2F">
      <w:pPr>
        <w:jc w:val="center"/>
        <w:outlineLvl w:val="0"/>
        <w:rPr>
          <w:rFonts w:ascii="Arial" w:hAnsi="Arial" w:cs="Arial"/>
          <w:b/>
          <w:lang w:val="en-GB"/>
        </w:rPr>
      </w:pPr>
      <w:r w:rsidRPr="002B43C8">
        <w:rPr>
          <w:rFonts w:ascii="Arial" w:hAnsi="Arial" w:cs="Arial"/>
          <w:b/>
          <w:lang w:val="en-GB"/>
        </w:rPr>
        <w:lastRenderedPageBreak/>
        <w:t>EXHIBIT 2A: COMPARISION OF ANNUAL SALES</w:t>
      </w:r>
      <w:r w:rsidR="00880091">
        <w:rPr>
          <w:rFonts w:ascii="Arial" w:hAnsi="Arial"/>
          <w:b/>
          <w:lang w:val="en-GB"/>
        </w:rPr>
        <w:t xml:space="preserve"> OF </w:t>
      </w:r>
      <w:r w:rsidRPr="002B43C8">
        <w:rPr>
          <w:rFonts w:ascii="Arial" w:hAnsi="Arial"/>
          <w:b/>
          <w:lang w:val="en-GB"/>
        </w:rPr>
        <w:t xml:space="preserve">PASSENGER CAR SEGMENTS OF </w:t>
      </w:r>
      <w:r w:rsidRPr="002B43C8">
        <w:rPr>
          <w:rFonts w:ascii="Arial" w:hAnsi="Arial" w:cs="Arial"/>
          <w:b/>
          <w:lang w:val="en-GB"/>
        </w:rPr>
        <w:t>MSIL AND PASSENGER VEHICLE INDUSTRY</w:t>
      </w:r>
    </w:p>
    <w:p w14:paraId="3A4EBA7F" w14:textId="77777777" w:rsidR="000735FF" w:rsidRPr="002B43C8" w:rsidRDefault="000735FF" w:rsidP="00935D2F">
      <w:pPr>
        <w:jc w:val="center"/>
        <w:outlineLvl w:val="0"/>
        <w:rPr>
          <w:rFonts w:ascii="Arial" w:hAnsi="Arial" w:cs="Arial"/>
          <w:b/>
          <w:lang w:val="en-GB"/>
        </w:rPr>
      </w:pPr>
    </w:p>
    <w:tbl>
      <w:tblPr>
        <w:tblW w:w="12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720"/>
        <w:gridCol w:w="990"/>
        <w:gridCol w:w="982"/>
        <w:gridCol w:w="990"/>
        <w:gridCol w:w="990"/>
        <w:gridCol w:w="1170"/>
        <w:gridCol w:w="990"/>
        <w:gridCol w:w="990"/>
        <w:gridCol w:w="900"/>
        <w:gridCol w:w="990"/>
        <w:gridCol w:w="720"/>
        <w:gridCol w:w="990"/>
      </w:tblGrid>
      <w:tr w:rsidR="00880091" w:rsidRPr="002B43C8" w14:paraId="0B1E01D3" w14:textId="77777777" w:rsidTr="00A42DB4">
        <w:trPr>
          <w:trHeight w:val="228"/>
          <w:jc w:val="center"/>
        </w:trPr>
        <w:tc>
          <w:tcPr>
            <w:tcW w:w="1187" w:type="dxa"/>
            <w:vMerge w:val="restart"/>
            <w:shd w:val="clear" w:color="auto" w:fill="auto"/>
            <w:noWrap/>
            <w:hideMark/>
          </w:tcPr>
          <w:p w14:paraId="795578D8" w14:textId="2BF3073A" w:rsidR="00880091" w:rsidRPr="002B43C8" w:rsidRDefault="00880091" w:rsidP="00A42DB4">
            <w:pPr>
              <w:pStyle w:val="ExhibitText"/>
              <w:jc w:val="center"/>
              <w:rPr>
                <w:lang w:val="en-GB"/>
              </w:rPr>
            </w:pPr>
            <w:r w:rsidRPr="00EC5423">
              <w:rPr>
                <w:b/>
                <w:lang w:val="en-GB"/>
              </w:rPr>
              <w:t>Fiscal Year</w:t>
            </w:r>
          </w:p>
        </w:tc>
        <w:tc>
          <w:tcPr>
            <w:tcW w:w="1710" w:type="dxa"/>
            <w:gridSpan w:val="2"/>
            <w:vAlign w:val="center"/>
          </w:tcPr>
          <w:p w14:paraId="5F09E716" w14:textId="77777777" w:rsidR="00880091" w:rsidRPr="002B43C8" w:rsidRDefault="00880091" w:rsidP="00A42DB4">
            <w:pPr>
              <w:pStyle w:val="ExhibitText"/>
              <w:jc w:val="center"/>
              <w:rPr>
                <w:b/>
                <w:lang w:val="en-GB"/>
              </w:rPr>
            </w:pPr>
            <w:r w:rsidRPr="002B43C8">
              <w:rPr>
                <w:b/>
                <w:lang w:val="en-GB"/>
              </w:rPr>
              <w:t>Micro</w:t>
            </w:r>
          </w:p>
        </w:tc>
        <w:tc>
          <w:tcPr>
            <w:tcW w:w="1972" w:type="dxa"/>
            <w:gridSpan w:val="2"/>
            <w:shd w:val="clear" w:color="auto" w:fill="auto"/>
            <w:noWrap/>
            <w:vAlign w:val="center"/>
            <w:hideMark/>
          </w:tcPr>
          <w:p w14:paraId="19F31122" w14:textId="77777777" w:rsidR="00880091" w:rsidRPr="002B43C8" w:rsidRDefault="00880091" w:rsidP="00A42DB4">
            <w:pPr>
              <w:pStyle w:val="ExhibitText"/>
              <w:jc w:val="center"/>
              <w:rPr>
                <w:b/>
                <w:lang w:val="en-GB"/>
              </w:rPr>
            </w:pPr>
            <w:r w:rsidRPr="002B43C8">
              <w:rPr>
                <w:b/>
                <w:lang w:val="en-GB"/>
              </w:rPr>
              <w:t>Mini</w:t>
            </w:r>
          </w:p>
        </w:tc>
        <w:tc>
          <w:tcPr>
            <w:tcW w:w="2160" w:type="dxa"/>
            <w:gridSpan w:val="2"/>
            <w:shd w:val="clear" w:color="auto" w:fill="auto"/>
            <w:noWrap/>
            <w:vAlign w:val="center"/>
            <w:hideMark/>
          </w:tcPr>
          <w:p w14:paraId="1CE50C89" w14:textId="77777777" w:rsidR="00880091" w:rsidRPr="002B43C8" w:rsidRDefault="00880091" w:rsidP="00A42DB4">
            <w:pPr>
              <w:pStyle w:val="ExhibitText"/>
              <w:jc w:val="center"/>
              <w:rPr>
                <w:b/>
                <w:lang w:val="en-GB"/>
              </w:rPr>
            </w:pPr>
            <w:r w:rsidRPr="002B43C8">
              <w:rPr>
                <w:b/>
                <w:lang w:val="en-GB"/>
              </w:rPr>
              <w:t>Compact</w:t>
            </w:r>
          </w:p>
        </w:tc>
        <w:tc>
          <w:tcPr>
            <w:tcW w:w="1980" w:type="dxa"/>
            <w:gridSpan w:val="2"/>
            <w:shd w:val="clear" w:color="auto" w:fill="auto"/>
            <w:noWrap/>
            <w:vAlign w:val="center"/>
            <w:hideMark/>
          </w:tcPr>
          <w:p w14:paraId="1A1EACAD" w14:textId="13005CEC" w:rsidR="00880091" w:rsidRPr="002B43C8" w:rsidRDefault="00880091" w:rsidP="00A42DB4">
            <w:pPr>
              <w:pStyle w:val="ExhibitText"/>
              <w:jc w:val="center"/>
              <w:rPr>
                <w:b/>
                <w:lang w:val="en-GB"/>
              </w:rPr>
            </w:pPr>
            <w:r w:rsidRPr="002B43C8">
              <w:rPr>
                <w:b/>
                <w:lang w:val="en-GB"/>
              </w:rPr>
              <w:t>Super</w:t>
            </w:r>
            <w:r>
              <w:rPr>
                <w:b/>
                <w:lang w:val="en-GB"/>
              </w:rPr>
              <w:t>-</w:t>
            </w:r>
            <w:r w:rsidRPr="002B43C8">
              <w:rPr>
                <w:b/>
                <w:lang w:val="en-GB"/>
              </w:rPr>
              <w:t>Compact</w:t>
            </w:r>
          </w:p>
        </w:tc>
        <w:tc>
          <w:tcPr>
            <w:tcW w:w="1890" w:type="dxa"/>
            <w:gridSpan w:val="2"/>
            <w:vAlign w:val="center"/>
          </w:tcPr>
          <w:p w14:paraId="25D33893" w14:textId="0FF99770" w:rsidR="00880091" w:rsidRPr="002B43C8" w:rsidRDefault="00880091" w:rsidP="00A42DB4">
            <w:pPr>
              <w:pStyle w:val="ExhibitText"/>
              <w:jc w:val="center"/>
              <w:rPr>
                <w:b/>
                <w:lang w:val="en-GB"/>
              </w:rPr>
            </w:pPr>
            <w:r w:rsidRPr="002B43C8">
              <w:rPr>
                <w:b/>
                <w:lang w:val="en-GB"/>
              </w:rPr>
              <w:t>Mid</w:t>
            </w:r>
            <w:r>
              <w:rPr>
                <w:b/>
                <w:lang w:val="en-GB"/>
              </w:rPr>
              <w:t>-</w:t>
            </w:r>
            <w:r w:rsidRPr="002B43C8">
              <w:rPr>
                <w:b/>
                <w:lang w:val="en-GB"/>
              </w:rPr>
              <w:t>Size</w:t>
            </w:r>
          </w:p>
        </w:tc>
        <w:tc>
          <w:tcPr>
            <w:tcW w:w="1710" w:type="dxa"/>
            <w:gridSpan w:val="2"/>
            <w:vAlign w:val="center"/>
          </w:tcPr>
          <w:p w14:paraId="332E1D12" w14:textId="77777777" w:rsidR="00880091" w:rsidRPr="002B43C8" w:rsidRDefault="00880091" w:rsidP="00A42DB4">
            <w:pPr>
              <w:pStyle w:val="ExhibitText"/>
              <w:jc w:val="center"/>
              <w:rPr>
                <w:b/>
                <w:lang w:val="en-GB"/>
              </w:rPr>
            </w:pPr>
            <w:r w:rsidRPr="002B43C8">
              <w:rPr>
                <w:b/>
                <w:lang w:val="en-GB"/>
              </w:rPr>
              <w:t>Executive</w:t>
            </w:r>
          </w:p>
        </w:tc>
      </w:tr>
      <w:tr w:rsidR="00880091" w:rsidRPr="002B43C8" w14:paraId="7FF65839" w14:textId="77777777" w:rsidTr="00A42DB4">
        <w:trPr>
          <w:trHeight w:val="228"/>
          <w:jc w:val="center"/>
        </w:trPr>
        <w:tc>
          <w:tcPr>
            <w:tcW w:w="1187" w:type="dxa"/>
            <w:vMerge/>
            <w:shd w:val="clear" w:color="auto" w:fill="auto"/>
            <w:noWrap/>
            <w:vAlign w:val="center"/>
          </w:tcPr>
          <w:p w14:paraId="1938BDAB" w14:textId="1F7A253B" w:rsidR="00880091" w:rsidRPr="00EC5423" w:rsidRDefault="00880091" w:rsidP="00A42DB4">
            <w:pPr>
              <w:pStyle w:val="ExhibitText"/>
              <w:jc w:val="center"/>
              <w:rPr>
                <w:b/>
                <w:lang w:val="en-GB"/>
              </w:rPr>
            </w:pPr>
          </w:p>
        </w:tc>
        <w:tc>
          <w:tcPr>
            <w:tcW w:w="720" w:type="dxa"/>
            <w:vAlign w:val="center"/>
          </w:tcPr>
          <w:p w14:paraId="30D0FD92" w14:textId="77777777" w:rsidR="00880091" w:rsidRPr="002B43C8" w:rsidRDefault="00880091" w:rsidP="00A42DB4">
            <w:pPr>
              <w:pStyle w:val="ExhibitText"/>
              <w:jc w:val="center"/>
              <w:rPr>
                <w:lang w:val="en-GB"/>
              </w:rPr>
            </w:pPr>
            <w:r w:rsidRPr="002B43C8">
              <w:rPr>
                <w:lang w:val="en-GB"/>
              </w:rPr>
              <w:t>MSIL</w:t>
            </w:r>
          </w:p>
        </w:tc>
        <w:tc>
          <w:tcPr>
            <w:tcW w:w="990" w:type="dxa"/>
            <w:vAlign w:val="center"/>
          </w:tcPr>
          <w:p w14:paraId="5C9CA992" w14:textId="77777777" w:rsidR="00880091" w:rsidRPr="002B43C8" w:rsidRDefault="00880091" w:rsidP="00A42DB4">
            <w:pPr>
              <w:pStyle w:val="ExhibitText"/>
              <w:jc w:val="center"/>
              <w:rPr>
                <w:lang w:val="en-GB"/>
              </w:rPr>
            </w:pPr>
            <w:r w:rsidRPr="002B43C8">
              <w:rPr>
                <w:lang w:val="en-GB"/>
              </w:rPr>
              <w:t>Industry</w:t>
            </w:r>
          </w:p>
        </w:tc>
        <w:tc>
          <w:tcPr>
            <w:tcW w:w="982" w:type="dxa"/>
            <w:shd w:val="clear" w:color="auto" w:fill="auto"/>
            <w:noWrap/>
            <w:vAlign w:val="center"/>
          </w:tcPr>
          <w:p w14:paraId="01223696" w14:textId="77777777" w:rsidR="00880091" w:rsidRPr="002B43C8" w:rsidRDefault="00880091" w:rsidP="00A42DB4">
            <w:pPr>
              <w:pStyle w:val="ExhibitText"/>
              <w:jc w:val="center"/>
              <w:rPr>
                <w:lang w:val="en-GB"/>
              </w:rPr>
            </w:pPr>
            <w:r w:rsidRPr="002B43C8">
              <w:rPr>
                <w:lang w:val="en-GB"/>
              </w:rPr>
              <w:t>MSIL</w:t>
            </w:r>
          </w:p>
        </w:tc>
        <w:tc>
          <w:tcPr>
            <w:tcW w:w="990" w:type="dxa"/>
            <w:vAlign w:val="center"/>
          </w:tcPr>
          <w:p w14:paraId="1894C53A" w14:textId="77777777" w:rsidR="00880091" w:rsidRPr="002B43C8" w:rsidRDefault="00880091" w:rsidP="00A42DB4">
            <w:pPr>
              <w:pStyle w:val="ExhibitText"/>
              <w:jc w:val="center"/>
              <w:rPr>
                <w:lang w:val="en-GB"/>
              </w:rPr>
            </w:pPr>
            <w:r w:rsidRPr="002B43C8">
              <w:rPr>
                <w:lang w:val="en-GB"/>
              </w:rPr>
              <w:t>Industry</w:t>
            </w:r>
          </w:p>
        </w:tc>
        <w:tc>
          <w:tcPr>
            <w:tcW w:w="990" w:type="dxa"/>
            <w:shd w:val="clear" w:color="auto" w:fill="auto"/>
            <w:noWrap/>
            <w:vAlign w:val="center"/>
          </w:tcPr>
          <w:p w14:paraId="1E5F0669" w14:textId="77777777" w:rsidR="00880091" w:rsidRPr="002B43C8" w:rsidRDefault="00880091" w:rsidP="00A42DB4">
            <w:pPr>
              <w:pStyle w:val="ExhibitText"/>
              <w:jc w:val="center"/>
              <w:rPr>
                <w:lang w:val="en-GB"/>
              </w:rPr>
            </w:pPr>
            <w:r w:rsidRPr="002B43C8">
              <w:rPr>
                <w:lang w:val="en-GB"/>
              </w:rPr>
              <w:t>MSIL</w:t>
            </w:r>
          </w:p>
        </w:tc>
        <w:tc>
          <w:tcPr>
            <w:tcW w:w="1170" w:type="dxa"/>
            <w:vAlign w:val="center"/>
          </w:tcPr>
          <w:p w14:paraId="3E859BEF" w14:textId="77777777" w:rsidR="00880091" w:rsidRPr="002B43C8" w:rsidRDefault="00880091" w:rsidP="00A42DB4">
            <w:pPr>
              <w:pStyle w:val="ExhibitText"/>
              <w:jc w:val="center"/>
              <w:rPr>
                <w:lang w:val="en-GB"/>
              </w:rPr>
            </w:pPr>
            <w:r w:rsidRPr="002B43C8">
              <w:rPr>
                <w:lang w:val="en-GB"/>
              </w:rPr>
              <w:t>Industry</w:t>
            </w:r>
          </w:p>
        </w:tc>
        <w:tc>
          <w:tcPr>
            <w:tcW w:w="990" w:type="dxa"/>
            <w:shd w:val="clear" w:color="auto" w:fill="auto"/>
            <w:noWrap/>
            <w:vAlign w:val="center"/>
          </w:tcPr>
          <w:p w14:paraId="26BC0158" w14:textId="77777777" w:rsidR="00880091" w:rsidRPr="002B43C8" w:rsidRDefault="00880091" w:rsidP="00A42DB4">
            <w:pPr>
              <w:pStyle w:val="ExhibitText"/>
              <w:jc w:val="center"/>
              <w:rPr>
                <w:lang w:val="en-GB"/>
              </w:rPr>
            </w:pPr>
            <w:r w:rsidRPr="002B43C8">
              <w:rPr>
                <w:lang w:val="en-GB"/>
              </w:rPr>
              <w:t>MSIL</w:t>
            </w:r>
          </w:p>
        </w:tc>
        <w:tc>
          <w:tcPr>
            <w:tcW w:w="990" w:type="dxa"/>
            <w:vAlign w:val="center"/>
          </w:tcPr>
          <w:p w14:paraId="158C6324" w14:textId="77777777" w:rsidR="00880091" w:rsidRPr="002B43C8" w:rsidRDefault="00880091" w:rsidP="00A42DB4">
            <w:pPr>
              <w:pStyle w:val="ExhibitText"/>
              <w:jc w:val="center"/>
              <w:rPr>
                <w:lang w:val="en-GB"/>
              </w:rPr>
            </w:pPr>
            <w:r w:rsidRPr="002B43C8">
              <w:rPr>
                <w:lang w:val="en-GB"/>
              </w:rPr>
              <w:t>Industry</w:t>
            </w:r>
          </w:p>
        </w:tc>
        <w:tc>
          <w:tcPr>
            <w:tcW w:w="900" w:type="dxa"/>
            <w:vAlign w:val="center"/>
          </w:tcPr>
          <w:p w14:paraId="45C40B35" w14:textId="77777777" w:rsidR="00880091" w:rsidRPr="002B43C8" w:rsidRDefault="00880091" w:rsidP="00A42DB4">
            <w:pPr>
              <w:pStyle w:val="ExhibitText"/>
              <w:jc w:val="center"/>
              <w:rPr>
                <w:lang w:val="en-GB"/>
              </w:rPr>
            </w:pPr>
            <w:r w:rsidRPr="002B43C8">
              <w:rPr>
                <w:lang w:val="en-GB"/>
              </w:rPr>
              <w:t>MSIL</w:t>
            </w:r>
          </w:p>
        </w:tc>
        <w:tc>
          <w:tcPr>
            <w:tcW w:w="990" w:type="dxa"/>
            <w:vAlign w:val="center"/>
          </w:tcPr>
          <w:p w14:paraId="0CEED3C3" w14:textId="77777777" w:rsidR="00880091" w:rsidRPr="002B43C8" w:rsidRDefault="00880091" w:rsidP="00A42DB4">
            <w:pPr>
              <w:pStyle w:val="ExhibitText"/>
              <w:jc w:val="center"/>
              <w:rPr>
                <w:lang w:val="en-GB"/>
              </w:rPr>
            </w:pPr>
            <w:r w:rsidRPr="002B43C8">
              <w:rPr>
                <w:lang w:val="en-GB"/>
              </w:rPr>
              <w:t>Industry</w:t>
            </w:r>
          </w:p>
        </w:tc>
        <w:tc>
          <w:tcPr>
            <w:tcW w:w="720" w:type="dxa"/>
            <w:vAlign w:val="center"/>
          </w:tcPr>
          <w:p w14:paraId="413E9BB5" w14:textId="77777777" w:rsidR="00880091" w:rsidRPr="002B43C8" w:rsidRDefault="00880091" w:rsidP="00A42DB4">
            <w:pPr>
              <w:pStyle w:val="ExhibitText"/>
              <w:jc w:val="center"/>
              <w:rPr>
                <w:lang w:val="en-GB"/>
              </w:rPr>
            </w:pPr>
            <w:r w:rsidRPr="002B43C8">
              <w:rPr>
                <w:lang w:val="en-GB"/>
              </w:rPr>
              <w:t>MSIL</w:t>
            </w:r>
          </w:p>
        </w:tc>
        <w:tc>
          <w:tcPr>
            <w:tcW w:w="990" w:type="dxa"/>
            <w:shd w:val="clear" w:color="auto" w:fill="auto"/>
            <w:noWrap/>
            <w:vAlign w:val="center"/>
          </w:tcPr>
          <w:p w14:paraId="19E84D9E" w14:textId="77777777" w:rsidR="00880091" w:rsidRPr="002B43C8" w:rsidRDefault="00880091" w:rsidP="00A42DB4">
            <w:pPr>
              <w:pStyle w:val="ExhibitText"/>
              <w:jc w:val="center"/>
              <w:rPr>
                <w:lang w:val="en-GB"/>
              </w:rPr>
            </w:pPr>
            <w:r w:rsidRPr="002B43C8">
              <w:rPr>
                <w:lang w:val="en-GB"/>
              </w:rPr>
              <w:t>Industry</w:t>
            </w:r>
          </w:p>
        </w:tc>
      </w:tr>
      <w:tr w:rsidR="000735FF" w:rsidRPr="002B43C8" w14:paraId="0822AA4A" w14:textId="77777777" w:rsidTr="008F5E58">
        <w:trPr>
          <w:trHeight w:val="228"/>
          <w:jc w:val="center"/>
        </w:trPr>
        <w:tc>
          <w:tcPr>
            <w:tcW w:w="1187" w:type="dxa"/>
            <w:shd w:val="clear" w:color="auto" w:fill="auto"/>
            <w:noWrap/>
            <w:vAlign w:val="center"/>
            <w:hideMark/>
          </w:tcPr>
          <w:p w14:paraId="28A37AE5" w14:textId="75336506" w:rsidR="000735FF" w:rsidRPr="002B43C8" w:rsidRDefault="000735FF" w:rsidP="00A42DB4">
            <w:pPr>
              <w:pStyle w:val="ExhibitText"/>
              <w:jc w:val="left"/>
              <w:rPr>
                <w:b/>
                <w:lang w:val="en-GB"/>
              </w:rPr>
            </w:pPr>
            <w:r w:rsidRPr="002B43C8">
              <w:rPr>
                <w:b/>
                <w:lang w:val="en-GB"/>
              </w:rPr>
              <w:t>2011</w:t>
            </w:r>
            <w:r w:rsidR="00165424">
              <w:rPr>
                <w:b/>
                <w:lang w:val="en-GB"/>
              </w:rPr>
              <w:t>–</w:t>
            </w:r>
            <w:r w:rsidRPr="002B43C8">
              <w:rPr>
                <w:b/>
                <w:lang w:val="en-GB"/>
              </w:rPr>
              <w:t>12</w:t>
            </w:r>
          </w:p>
        </w:tc>
        <w:tc>
          <w:tcPr>
            <w:tcW w:w="720" w:type="dxa"/>
            <w:vAlign w:val="center"/>
          </w:tcPr>
          <w:p w14:paraId="22AE6428" w14:textId="77777777" w:rsidR="000735FF" w:rsidRPr="002B43C8" w:rsidRDefault="000735FF" w:rsidP="008F5E58">
            <w:pPr>
              <w:pStyle w:val="ExhibitText"/>
              <w:jc w:val="right"/>
              <w:rPr>
                <w:lang w:val="en-GB"/>
              </w:rPr>
            </w:pPr>
            <w:r w:rsidRPr="002B43C8">
              <w:rPr>
                <w:lang w:val="en-GB"/>
              </w:rPr>
              <w:t>0</w:t>
            </w:r>
          </w:p>
        </w:tc>
        <w:tc>
          <w:tcPr>
            <w:tcW w:w="990" w:type="dxa"/>
            <w:vAlign w:val="center"/>
          </w:tcPr>
          <w:p w14:paraId="17451884" w14:textId="77777777" w:rsidR="000735FF" w:rsidRPr="002B43C8" w:rsidRDefault="000735FF" w:rsidP="008F5E58">
            <w:pPr>
              <w:pStyle w:val="ExhibitText"/>
              <w:jc w:val="right"/>
              <w:rPr>
                <w:lang w:val="en-GB"/>
              </w:rPr>
            </w:pPr>
            <w:r w:rsidRPr="002B43C8">
              <w:rPr>
                <w:lang w:val="en-GB"/>
              </w:rPr>
              <w:t>77,989</w:t>
            </w:r>
          </w:p>
        </w:tc>
        <w:tc>
          <w:tcPr>
            <w:tcW w:w="982" w:type="dxa"/>
            <w:shd w:val="clear" w:color="auto" w:fill="auto"/>
            <w:noWrap/>
            <w:vAlign w:val="center"/>
          </w:tcPr>
          <w:p w14:paraId="50CA4C74" w14:textId="77777777" w:rsidR="000735FF" w:rsidRPr="002B43C8" w:rsidRDefault="000735FF" w:rsidP="008F5E58">
            <w:pPr>
              <w:pStyle w:val="ExhibitText"/>
              <w:jc w:val="right"/>
              <w:rPr>
                <w:lang w:val="en-GB"/>
              </w:rPr>
            </w:pPr>
            <w:r w:rsidRPr="002B43C8">
              <w:rPr>
                <w:lang w:val="en-GB"/>
              </w:rPr>
              <w:t>491,389</w:t>
            </w:r>
          </w:p>
        </w:tc>
        <w:tc>
          <w:tcPr>
            <w:tcW w:w="990" w:type="dxa"/>
            <w:vAlign w:val="center"/>
          </w:tcPr>
          <w:p w14:paraId="7BE3E96F" w14:textId="77777777" w:rsidR="000735FF" w:rsidRPr="002B43C8" w:rsidRDefault="000735FF" w:rsidP="008F5E58">
            <w:pPr>
              <w:pStyle w:val="ExhibitText"/>
              <w:jc w:val="right"/>
              <w:rPr>
                <w:lang w:val="en-GB"/>
              </w:rPr>
            </w:pPr>
            <w:r w:rsidRPr="002B43C8">
              <w:rPr>
                <w:lang w:val="en-GB"/>
              </w:rPr>
              <w:t>785,496</w:t>
            </w:r>
          </w:p>
        </w:tc>
        <w:tc>
          <w:tcPr>
            <w:tcW w:w="990" w:type="dxa"/>
            <w:shd w:val="clear" w:color="auto" w:fill="auto"/>
            <w:noWrap/>
            <w:vAlign w:val="center"/>
          </w:tcPr>
          <w:p w14:paraId="717F4BB8" w14:textId="7FCABA03" w:rsidR="000735FF" w:rsidRPr="002B43C8" w:rsidRDefault="000735FF" w:rsidP="008F5E58">
            <w:pPr>
              <w:pStyle w:val="ExhibitText"/>
              <w:jc w:val="right"/>
              <w:rPr>
                <w:lang w:val="en-GB"/>
              </w:rPr>
            </w:pPr>
            <w:r w:rsidRPr="002B43C8">
              <w:rPr>
                <w:lang w:val="en-GB"/>
              </w:rPr>
              <w:t>235,754</w:t>
            </w:r>
          </w:p>
        </w:tc>
        <w:tc>
          <w:tcPr>
            <w:tcW w:w="1170" w:type="dxa"/>
            <w:vAlign w:val="center"/>
          </w:tcPr>
          <w:p w14:paraId="3B88D08C" w14:textId="180E413B" w:rsidR="000735FF" w:rsidRPr="002B43C8" w:rsidRDefault="000735FF" w:rsidP="008F5E58">
            <w:pPr>
              <w:pStyle w:val="ExhibitText"/>
              <w:jc w:val="right"/>
              <w:rPr>
                <w:lang w:val="en-GB"/>
              </w:rPr>
            </w:pPr>
            <w:r w:rsidRPr="002B43C8">
              <w:rPr>
                <w:lang w:val="en-GB"/>
              </w:rPr>
              <w:t>1</w:t>
            </w:r>
            <w:r w:rsidR="007015EB">
              <w:rPr>
                <w:lang w:val="en-GB"/>
              </w:rPr>
              <w:t>,</w:t>
            </w:r>
            <w:r w:rsidRPr="002B43C8">
              <w:rPr>
                <w:lang w:val="en-GB"/>
              </w:rPr>
              <w:t>165,565</w:t>
            </w:r>
          </w:p>
        </w:tc>
        <w:tc>
          <w:tcPr>
            <w:tcW w:w="990" w:type="dxa"/>
            <w:shd w:val="clear" w:color="auto" w:fill="auto"/>
            <w:noWrap/>
            <w:vAlign w:val="center"/>
          </w:tcPr>
          <w:p w14:paraId="0AB56AB2" w14:textId="66FEB978" w:rsidR="000735FF" w:rsidRPr="002B43C8" w:rsidRDefault="000735FF" w:rsidP="008F5E58">
            <w:pPr>
              <w:pStyle w:val="ExhibitText"/>
              <w:jc w:val="right"/>
              <w:rPr>
                <w:lang w:val="en-GB"/>
              </w:rPr>
            </w:pPr>
            <w:r w:rsidRPr="002B43C8">
              <w:rPr>
                <w:lang w:val="en-GB"/>
              </w:rPr>
              <w:t>110,132</w:t>
            </w:r>
          </w:p>
        </w:tc>
        <w:tc>
          <w:tcPr>
            <w:tcW w:w="990" w:type="dxa"/>
            <w:vAlign w:val="center"/>
          </w:tcPr>
          <w:p w14:paraId="6CCAEE5A" w14:textId="551E25B5" w:rsidR="000735FF" w:rsidRPr="002B43C8" w:rsidRDefault="000735FF" w:rsidP="008F5E58">
            <w:pPr>
              <w:pStyle w:val="ExhibitText"/>
              <w:jc w:val="right"/>
              <w:rPr>
                <w:lang w:val="en-GB"/>
              </w:rPr>
            </w:pPr>
            <w:r w:rsidRPr="002B43C8">
              <w:rPr>
                <w:lang w:val="en-GB"/>
              </w:rPr>
              <w:t>212,302</w:t>
            </w:r>
          </w:p>
        </w:tc>
        <w:tc>
          <w:tcPr>
            <w:tcW w:w="900" w:type="dxa"/>
            <w:vAlign w:val="center"/>
          </w:tcPr>
          <w:p w14:paraId="4026DBAC" w14:textId="07F507B3" w:rsidR="000735FF" w:rsidRPr="002B43C8" w:rsidRDefault="000735FF" w:rsidP="008F5E58">
            <w:pPr>
              <w:pStyle w:val="ExhibitText"/>
              <w:jc w:val="right"/>
              <w:rPr>
                <w:lang w:val="en-GB"/>
              </w:rPr>
            </w:pPr>
            <w:r w:rsidRPr="002B43C8">
              <w:rPr>
                <w:lang w:val="en-GB"/>
              </w:rPr>
              <w:t>17</w:t>
            </w:r>
            <w:r w:rsidR="00246B2D">
              <w:rPr>
                <w:lang w:val="en-GB"/>
              </w:rPr>
              <w:t>,</w:t>
            </w:r>
            <w:r w:rsidRPr="002B43C8">
              <w:rPr>
                <w:lang w:val="en-GB"/>
              </w:rPr>
              <w:t>997</w:t>
            </w:r>
          </w:p>
        </w:tc>
        <w:tc>
          <w:tcPr>
            <w:tcW w:w="990" w:type="dxa"/>
            <w:vAlign w:val="center"/>
          </w:tcPr>
          <w:p w14:paraId="2DC61B65" w14:textId="009966ED" w:rsidR="000735FF" w:rsidRPr="002B43C8" w:rsidRDefault="000735FF" w:rsidP="008F5E58">
            <w:pPr>
              <w:pStyle w:val="ExhibitText"/>
              <w:jc w:val="right"/>
              <w:rPr>
                <w:lang w:val="en-GB"/>
              </w:rPr>
            </w:pPr>
            <w:r w:rsidRPr="002B43C8">
              <w:rPr>
                <w:lang w:val="en-GB"/>
              </w:rPr>
              <w:t>223,651</w:t>
            </w:r>
          </w:p>
        </w:tc>
        <w:tc>
          <w:tcPr>
            <w:tcW w:w="720" w:type="dxa"/>
            <w:vAlign w:val="center"/>
          </w:tcPr>
          <w:p w14:paraId="2415B73A" w14:textId="77777777" w:rsidR="000735FF" w:rsidRPr="002B43C8" w:rsidRDefault="000735FF" w:rsidP="008F5E58">
            <w:pPr>
              <w:pStyle w:val="ExhibitText"/>
              <w:jc w:val="right"/>
              <w:rPr>
                <w:lang w:val="en-GB"/>
              </w:rPr>
            </w:pPr>
            <w:r w:rsidRPr="002B43C8">
              <w:rPr>
                <w:lang w:val="en-GB"/>
              </w:rPr>
              <w:t>458</w:t>
            </w:r>
          </w:p>
        </w:tc>
        <w:tc>
          <w:tcPr>
            <w:tcW w:w="990" w:type="dxa"/>
            <w:shd w:val="clear" w:color="auto" w:fill="auto"/>
            <w:noWrap/>
            <w:vAlign w:val="center"/>
          </w:tcPr>
          <w:p w14:paraId="7022F51F" w14:textId="77777777" w:rsidR="000735FF" w:rsidRPr="002B43C8" w:rsidRDefault="000735FF" w:rsidP="008F5E58">
            <w:pPr>
              <w:pStyle w:val="ExhibitText"/>
              <w:jc w:val="right"/>
              <w:rPr>
                <w:lang w:val="en-GB"/>
              </w:rPr>
            </w:pPr>
            <w:r w:rsidRPr="002B43C8">
              <w:rPr>
                <w:lang w:val="en-GB"/>
              </w:rPr>
              <w:t>37,049</w:t>
            </w:r>
          </w:p>
        </w:tc>
      </w:tr>
      <w:tr w:rsidR="000735FF" w:rsidRPr="002B43C8" w14:paraId="171048D4" w14:textId="77777777" w:rsidTr="008F5E58">
        <w:trPr>
          <w:trHeight w:val="228"/>
          <w:jc w:val="center"/>
        </w:trPr>
        <w:tc>
          <w:tcPr>
            <w:tcW w:w="1187" w:type="dxa"/>
            <w:shd w:val="clear" w:color="auto" w:fill="auto"/>
            <w:noWrap/>
            <w:vAlign w:val="center"/>
            <w:hideMark/>
          </w:tcPr>
          <w:p w14:paraId="34EB8E75" w14:textId="4FB78001" w:rsidR="000735FF" w:rsidRPr="002B43C8" w:rsidRDefault="000735FF" w:rsidP="00A42DB4">
            <w:pPr>
              <w:pStyle w:val="ExhibitText"/>
              <w:jc w:val="left"/>
              <w:rPr>
                <w:b/>
                <w:lang w:val="en-GB"/>
              </w:rPr>
            </w:pPr>
            <w:r w:rsidRPr="002B43C8">
              <w:rPr>
                <w:b/>
                <w:lang w:val="en-GB"/>
              </w:rPr>
              <w:t>2012</w:t>
            </w:r>
            <w:r w:rsidR="00165424">
              <w:rPr>
                <w:b/>
                <w:lang w:val="en-GB"/>
              </w:rPr>
              <w:t>–</w:t>
            </w:r>
            <w:r w:rsidRPr="002B43C8">
              <w:rPr>
                <w:b/>
                <w:lang w:val="en-GB"/>
              </w:rPr>
              <w:t>13</w:t>
            </w:r>
          </w:p>
        </w:tc>
        <w:tc>
          <w:tcPr>
            <w:tcW w:w="720" w:type="dxa"/>
            <w:vAlign w:val="center"/>
          </w:tcPr>
          <w:p w14:paraId="4BC4F379" w14:textId="77777777" w:rsidR="000735FF" w:rsidRPr="002B43C8" w:rsidRDefault="000735FF" w:rsidP="008F5E58">
            <w:pPr>
              <w:pStyle w:val="ExhibitText"/>
              <w:jc w:val="right"/>
              <w:rPr>
                <w:lang w:val="en-GB"/>
              </w:rPr>
            </w:pPr>
            <w:r w:rsidRPr="002B43C8">
              <w:rPr>
                <w:lang w:val="en-GB"/>
              </w:rPr>
              <w:t>0</w:t>
            </w:r>
          </w:p>
        </w:tc>
        <w:tc>
          <w:tcPr>
            <w:tcW w:w="990" w:type="dxa"/>
            <w:vAlign w:val="center"/>
          </w:tcPr>
          <w:p w14:paraId="5DBD420C" w14:textId="77777777" w:rsidR="000735FF" w:rsidRPr="002B43C8" w:rsidRDefault="000735FF" w:rsidP="008F5E58">
            <w:pPr>
              <w:pStyle w:val="ExhibitText"/>
              <w:jc w:val="right"/>
              <w:rPr>
                <w:lang w:val="en-GB"/>
              </w:rPr>
            </w:pPr>
            <w:r w:rsidRPr="002B43C8">
              <w:rPr>
                <w:lang w:val="en-GB"/>
              </w:rPr>
              <w:t>54,014</w:t>
            </w:r>
          </w:p>
        </w:tc>
        <w:tc>
          <w:tcPr>
            <w:tcW w:w="982" w:type="dxa"/>
            <w:shd w:val="clear" w:color="auto" w:fill="auto"/>
            <w:noWrap/>
            <w:vAlign w:val="center"/>
          </w:tcPr>
          <w:p w14:paraId="409B9F13" w14:textId="77777777" w:rsidR="000735FF" w:rsidRPr="002B43C8" w:rsidRDefault="000735FF" w:rsidP="008F5E58">
            <w:pPr>
              <w:pStyle w:val="ExhibitText"/>
              <w:jc w:val="right"/>
              <w:rPr>
                <w:lang w:val="en-GB"/>
              </w:rPr>
            </w:pPr>
            <w:r w:rsidRPr="002B43C8">
              <w:rPr>
                <w:lang w:val="en-GB"/>
              </w:rPr>
              <w:t>429,569</w:t>
            </w:r>
          </w:p>
        </w:tc>
        <w:tc>
          <w:tcPr>
            <w:tcW w:w="990" w:type="dxa"/>
            <w:vAlign w:val="center"/>
          </w:tcPr>
          <w:p w14:paraId="2D327824" w14:textId="77777777" w:rsidR="000735FF" w:rsidRPr="002B43C8" w:rsidRDefault="000735FF" w:rsidP="008F5E58">
            <w:pPr>
              <w:pStyle w:val="ExhibitText"/>
              <w:jc w:val="right"/>
              <w:rPr>
                <w:lang w:val="en-GB"/>
              </w:rPr>
            </w:pPr>
            <w:r w:rsidRPr="002B43C8">
              <w:rPr>
                <w:lang w:val="en-GB"/>
              </w:rPr>
              <w:t>685,131</w:t>
            </w:r>
          </w:p>
        </w:tc>
        <w:tc>
          <w:tcPr>
            <w:tcW w:w="990" w:type="dxa"/>
            <w:shd w:val="clear" w:color="auto" w:fill="auto"/>
            <w:noWrap/>
            <w:vAlign w:val="center"/>
          </w:tcPr>
          <w:p w14:paraId="0437C790" w14:textId="14CFCD3D" w:rsidR="000735FF" w:rsidRPr="002B43C8" w:rsidRDefault="000735FF" w:rsidP="008F5E58">
            <w:pPr>
              <w:pStyle w:val="ExhibitText"/>
              <w:jc w:val="right"/>
              <w:rPr>
                <w:lang w:val="en-GB"/>
              </w:rPr>
            </w:pPr>
            <w:r w:rsidRPr="002B43C8">
              <w:rPr>
                <w:lang w:val="en-GB"/>
              </w:rPr>
              <w:t>255,302</w:t>
            </w:r>
          </w:p>
        </w:tc>
        <w:tc>
          <w:tcPr>
            <w:tcW w:w="1170" w:type="dxa"/>
            <w:vAlign w:val="center"/>
          </w:tcPr>
          <w:p w14:paraId="6AEF818D" w14:textId="6403B472" w:rsidR="000735FF" w:rsidRPr="002B43C8" w:rsidRDefault="000735FF" w:rsidP="008F5E58">
            <w:pPr>
              <w:pStyle w:val="ExhibitText"/>
              <w:jc w:val="right"/>
              <w:rPr>
                <w:lang w:val="en-GB"/>
              </w:rPr>
            </w:pPr>
            <w:r w:rsidRPr="002B43C8">
              <w:rPr>
                <w:lang w:val="en-GB"/>
              </w:rPr>
              <w:t>1</w:t>
            </w:r>
            <w:r w:rsidR="007015EB">
              <w:rPr>
                <w:lang w:val="en-GB"/>
              </w:rPr>
              <w:t>,</w:t>
            </w:r>
            <w:r w:rsidRPr="002B43C8">
              <w:rPr>
                <w:lang w:val="en-GB"/>
              </w:rPr>
              <w:t>133,588</w:t>
            </w:r>
          </w:p>
        </w:tc>
        <w:tc>
          <w:tcPr>
            <w:tcW w:w="990" w:type="dxa"/>
            <w:shd w:val="clear" w:color="auto" w:fill="auto"/>
            <w:noWrap/>
            <w:vAlign w:val="center"/>
          </w:tcPr>
          <w:p w14:paraId="0149FECE" w14:textId="03014D6B" w:rsidR="000735FF" w:rsidRPr="002B43C8" w:rsidRDefault="000735FF" w:rsidP="008F5E58">
            <w:pPr>
              <w:pStyle w:val="ExhibitText"/>
              <w:jc w:val="right"/>
              <w:rPr>
                <w:lang w:val="en-GB"/>
              </w:rPr>
            </w:pPr>
            <w:r w:rsidRPr="002B43C8">
              <w:rPr>
                <w:lang w:val="en-GB"/>
              </w:rPr>
              <w:t>169,571</w:t>
            </w:r>
          </w:p>
        </w:tc>
        <w:tc>
          <w:tcPr>
            <w:tcW w:w="990" w:type="dxa"/>
            <w:vAlign w:val="center"/>
          </w:tcPr>
          <w:p w14:paraId="0EC0CCA0" w14:textId="7D2E6A8E" w:rsidR="000735FF" w:rsidRPr="002B43C8" w:rsidRDefault="000735FF" w:rsidP="008F5E58">
            <w:pPr>
              <w:pStyle w:val="ExhibitText"/>
              <w:jc w:val="right"/>
              <w:rPr>
                <w:lang w:val="en-GB"/>
              </w:rPr>
            </w:pPr>
            <w:r w:rsidRPr="002B43C8">
              <w:rPr>
                <w:lang w:val="en-GB"/>
              </w:rPr>
              <w:t>281,022</w:t>
            </w:r>
          </w:p>
        </w:tc>
        <w:tc>
          <w:tcPr>
            <w:tcW w:w="900" w:type="dxa"/>
            <w:vAlign w:val="center"/>
          </w:tcPr>
          <w:p w14:paraId="1576DAEA" w14:textId="0E9868B1" w:rsidR="000735FF" w:rsidRPr="002B43C8" w:rsidRDefault="000735FF" w:rsidP="008F5E58">
            <w:pPr>
              <w:pStyle w:val="ExhibitText"/>
              <w:jc w:val="right"/>
              <w:rPr>
                <w:lang w:val="en-GB"/>
              </w:rPr>
            </w:pPr>
            <w:r w:rsidRPr="002B43C8">
              <w:rPr>
                <w:lang w:val="en-GB"/>
              </w:rPr>
              <w:t>6</w:t>
            </w:r>
            <w:r w:rsidR="00246B2D">
              <w:rPr>
                <w:lang w:val="en-GB"/>
              </w:rPr>
              <w:t>,</w:t>
            </w:r>
            <w:r w:rsidRPr="002B43C8">
              <w:rPr>
                <w:lang w:val="en-GB"/>
              </w:rPr>
              <w:t>707</w:t>
            </w:r>
          </w:p>
        </w:tc>
        <w:tc>
          <w:tcPr>
            <w:tcW w:w="990" w:type="dxa"/>
            <w:vAlign w:val="center"/>
          </w:tcPr>
          <w:p w14:paraId="0BB8F83F" w14:textId="6C8F9152" w:rsidR="000735FF" w:rsidRPr="002B43C8" w:rsidRDefault="000735FF" w:rsidP="008F5E58">
            <w:pPr>
              <w:pStyle w:val="ExhibitText"/>
              <w:jc w:val="right"/>
              <w:rPr>
                <w:lang w:val="en-GB"/>
              </w:rPr>
            </w:pPr>
            <w:r w:rsidRPr="002B43C8">
              <w:rPr>
                <w:lang w:val="en-GB"/>
              </w:rPr>
              <w:t>239,512</w:t>
            </w:r>
          </w:p>
        </w:tc>
        <w:tc>
          <w:tcPr>
            <w:tcW w:w="720" w:type="dxa"/>
            <w:vAlign w:val="center"/>
          </w:tcPr>
          <w:p w14:paraId="521851AE" w14:textId="77777777" w:rsidR="000735FF" w:rsidRPr="002B43C8" w:rsidRDefault="000735FF" w:rsidP="008F5E58">
            <w:pPr>
              <w:pStyle w:val="ExhibitText"/>
              <w:jc w:val="right"/>
              <w:rPr>
                <w:lang w:val="en-GB"/>
              </w:rPr>
            </w:pPr>
            <w:r w:rsidRPr="002B43C8">
              <w:rPr>
                <w:lang w:val="en-GB"/>
              </w:rPr>
              <w:t>188</w:t>
            </w:r>
          </w:p>
        </w:tc>
        <w:tc>
          <w:tcPr>
            <w:tcW w:w="990" w:type="dxa"/>
            <w:shd w:val="clear" w:color="auto" w:fill="auto"/>
            <w:noWrap/>
            <w:vAlign w:val="center"/>
          </w:tcPr>
          <w:p w14:paraId="0A0258AB" w14:textId="77777777" w:rsidR="000735FF" w:rsidRPr="002B43C8" w:rsidRDefault="000735FF" w:rsidP="008F5E58">
            <w:pPr>
              <w:pStyle w:val="ExhibitText"/>
              <w:jc w:val="right"/>
              <w:rPr>
                <w:lang w:val="en-GB"/>
              </w:rPr>
            </w:pPr>
            <w:r w:rsidRPr="002B43C8">
              <w:rPr>
                <w:lang w:val="en-GB"/>
              </w:rPr>
              <w:t>23,620</w:t>
            </w:r>
          </w:p>
        </w:tc>
      </w:tr>
      <w:tr w:rsidR="000735FF" w:rsidRPr="002B43C8" w14:paraId="285635E9" w14:textId="77777777" w:rsidTr="008F5E58">
        <w:trPr>
          <w:trHeight w:val="228"/>
          <w:jc w:val="center"/>
        </w:trPr>
        <w:tc>
          <w:tcPr>
            <w:tcW w:w="1187" w:type="dxa"/>
            <w:shd w:val="clear" w:color="auto" w:fill="auto"/>
            <w:noWrap/>
            <w:vAlign w:val="center"/>
            <w:hideMark/>
          </w:tcPr>
          <w:p w14:paraId="66C6A309" w14:textId="4DB684B3" w:rsidR="000735FF" w:rsidRPr="002B43C8" w:rsidRDefault="000735FF" w:rsidP="00A42DB4">
            <w:pPr>
              <w:pStyle w:val="ExhibitText"/>
              <w:jc w:val="left"/>
              <w:rPr>
                <w:b/>
                <w:lang w:val="en-GB"/>
              </w:rPr>
            </w:pPr>
            <w:r w:rsidRPr="002B43C8">
              <w:rPr>
                <w:b/>
                <w:lang w:val="en-GB"/>
              </w:rPr>
              <w:t>2013</w:t>
            </w:r>
            <w:r w:rsidR="00165424">
              <w:rPr>
                <w:b/>
                <w:lang w:val="en-GB"/>
              </w:rPr>
              <w:t>–</w:t>
            </w:r>
            <w:r w:rsidRPr="002B43C8">
              <w:rPr>
                <w:b/>
                <w:lang w:val="en-GB"/>
              </w:rPr>
              <w:t>14</w:t>
            </w:r>
          </w:p>
        </w:tc>
        <w:tc>
          <w:tcPr>
            <w:tcW w:w="720" w:type="dxa"/>
            <w:vAlign w:val="center"/>
          </w:tcPr>
          <w:p w14:paraId="6D698F0C" w14:textId="77777777" w:rsidR="000735FF" w:rsidRPr="002B43C8" w:rsidRDefault="000735FF" w:rsidP="008F5E58">
            <w:pPr>
              <w:pStyle w:val="ExhibitText"/>
              <w:jc w:val="right"/>
              <w:rPr>
                <w:lang w:val="en-GB"/>
              </w:rPr>
            </w:pPr>
            <w:r w:rsidRPr="002B43C8">
              <w:rPr>
                <w:lang w:val="en-GB"/>
              </w:rPr>
              <w:t>0</w:t>
            </w:r>
          </w:p>
        </w:tc>
        <w:tc>
          <w:tcPr>
            <w:tcW w:w="990" w:type="dxa"/>
            <w:vAlign w:val="center"/>
          </w:tcPr>
          <w:p w14:paraId="05A1A617" w14:textId="77777777" w:rsidR="000735FF" w:rsidRPr="002B43C8" w:rsidRDefault="000735FF" w:rsidP="008F5E58">
            <w:pPr>
              <w:pStyle w:val="ExhibitText"/>
              <w:jc w:val="right"/>
              <w:rPr>
                <w:lang w:val="en-GB"/>
              </w:rPr>
            </w:pPr>
            <w:r w:rsidRPr="002B43C8">
              <w:rPr>
                <w:lang w:val="en-GB"/>
              </w:rPr>
              <w:t>21,226</w:t>
            </w:r>
          </w:p>
        </w:tc>
        <w:tc>
          <w:tcPr>
            <w:tcW w:w="982" w:type="dxa"/>
            <w:shd w:val="clear" w:color="auto" w:fill="auto"/>
            <w:noWrap/>
            <w:vAlign w:val="center"/>
          </w:tcPr>
          <w:p w14:paraId="256D7508" w14:textId="77777777" w:rsidR="000735FF" w:rsidRPr="002B43C8" w:rsidRDefault="000735FF" w:rsidP="008F5E58">
            <w:pPr>
              <w:pStyle w:val="ExhibitText"/>
              <w:jc w:val="right"/>
              <w:rPr>
                <w:lang w:val="en-GB"/>
              </w:rPr>
            </w:pPr>
            <w:r w:rsidRPr="002B43C8">
              <w:rPr>
                <w:lang w:val="en-GB"/>
              </w:rPr>
              <w:t>436,032</w:t>
            </w:r>
          </w:p>
        </w:tc>
        <w:tc>
          <w:tcPr>
            <w:tcW w:w="990" w:type="dxa"/>
            <w:vAlign w:val="center"/>
          </w:tcPr>
          <w:p w14:paraId="732F81FB" w14:textId="77777777" w:rsidR="000735FF" w:rsidRPr="002B43C8" w:rsidRDefault="000735FF" w:rsidP="008F5E58">
            <w:pPr>
              <w:pStyle w:val="ExhibitText"/>
              <w:jc w:val="right"/>
              <w:rPr>
                <w:lang w:val="en-GB"/>
              </w:rPr>
            </w:pPr>
            <w:r w:rsidRPr="002B43C8">
              <w:rPr>
                <w:lang w:val="en-GB"/>
              </w:rPr>
              <w:t>657,660</w:t>
            </w:r>
          </w:p>
        </w:tc>
        <w:tc>
          <w:tcPr>
            <w:tcW w:w="990" w:type="dxa"/>
            <w:shd w:val="clear" w:color="auto" w:fill="auto"/>
            <w:noWrap/>
            <w:vAlign w:val="center"/>
          </w:tcPr>
          <w:p w14:paraId="009A5E5E" w14:textId="78BAC511" w:rsidR="000735FF" w:rsidRPr="002B43C8" w:rsidRDefault="000735FF" w:rsidP="008F5E58">
            <w:pPr>
              <w:pStyle w:val="ExhibitText"/>
              <w:jc w:val="right"/>
              <w:rPr>
                <w:lang w:val="en-GB"/>
              </w:rPr>
            </w:pPr>
            <w:r w:rsidRPr="002B43C8">
              <w:rPr>
                <w:lang w:val="en-GB"/>
              </w:rPr>
              <w:t>440,381</w:t>
            </w:r>
          </w:p>
        </w:tc>
        <w:tc>
          <w:tcPr>
            <w:tcW w:w="1170" w:type="dxa"/>
            <w:vAlign w:val="center"/>
          </w:tcPr>
          <w:p w14:paraId="3D22EA14" w14:textId="30270434" w:rsidR="000735FF" w:rsidRPr="002B43C8" w:rsidRDefault="000735FF" w:rsidP="008F5E58">
            <w:pPr>
              <w:pStyle w:val="ExhibitText"/>
              <w:jc w:val="right"/>
              <w:rPr>
                <w:lang w:val="en-GB"/>
              </w:rPr>
            </w:pPr>
            <w:r w:rsidRPr="002B43C8">
              <w:rPr>
                <w:lang w:val="en-GB"/>
              </w:rPr>
              <w:t>1</w:t>
            </w:r>
            <w:r w:rsidR="007015EB">
              <w:rPr>
                <w:lang w:val="en-GB"/>
              </w:rPr>
              <w:t>,</w:t>
            </w:r>
            <w:r w:rsidRPr="002B43C8">
              <w:rPr>
                <w:lang w:val="en-GB"/>
              </w:rPr>
              <w:t>322,448</w:t>
            </w:r>
          </w:p>
        </w:tc>
        <w:tc>
          <w:tcPr>
            <w:tcW w:w="990" w:type="dxa"/>
            <w:shd w:val="clear" w:color="auto" w:fill="auto"/>
            <w:noWrap/>
            <w:vAlign w:val="center"/>
          </w:tcPr>
          <w:p w14:paraId="7F7AE85D" w14:textId="77777777" w:rsidR="000735FF" w:rsidRPr="002B43C8" w:rsidRDefault="000735FF" w:rsidP="008F5E58">
            <w:pPr>
              <w:pStyle w:val="ExhibitText"/>
              <w:jc w:val="right"/>
              <w:rPr>
                <w:lang w:val="en-GB"/>
              </w:rPr>
            </w:pPr>
            <w:r w:rsidRPr="002B43C8">
              <w:rPr>
                <w:lang w:val="en-GB"/>
              </w:rPr>
              <w:t>10,012</w:t>
            </w:r>
          </w:p>
        </w:tc>
        <w:tc>
          <w:tcPr>
            <w:tcW w:w="990" w:type="dxa"/>
            <w:vAlign w:val="center"/>
          </w:tcPr>
          <w:p w14:paraId="2931410E" w14:textId="77777777" w:rsidR="000735FF" w:rsidRPr="002B43C8" w:rsidRDefault="000735FF" w:rsidP="008F5E58">
            <w:pPr>
              <w:pStyle w:val="ExhibitText"/>
              <w:jc w:val="right"/>
              <w:rPr>
                <w:lang w:val="en-GB"/>
              </w:rPr>
            </w:pPr>
            <w:r w:rsidRPr="002B43C8">
              <w:rPr>
                <w:lang w:val="en-GB"/>
              </w:rPr>
              <w:t>87,697</w:t>
            </w:r>
          </w:p>
        </w:tc>
        <w:tc>
          <w:tcPr>
            <w:tcW w:w="900" w:type="dxa"/>
            <w:vAlign w:val="center"/>
          </w:tcPr>
          <w:p w14:paraId="619986EF" w14:textId="5E3516BF" w:rsidR="000735FF" w:rsidRPr="002B43C8" w:rsidRDefault="000735FF" w:rsidP="008F5E58">
            <w:pPr>
              <w:pStyle w:val="ExhibitText"/>
              <w:jc w:val="right"/>
              <w:rPr>
                <w:lang w:val="en-GB"/>
              </w:rPr>
            </w:pPr>
            <w:r w:rsidRPr="002B43C8">
              <w:rPr>
                <w:lang w:val="en-GB"/>
              </w:rPr>
              <w:t>4</w:t>
            </w:r>
            <w:r w:rsidR="00246B2D">
              <w:rPr>
                <w:lang w:val="en-GB"/>
              </w:rPr>
              <w:t>,</w:t>
            </w:r>
            <w:r w:rsidRPr="002B43C8">
              <w:rPr>
                <w:lang w:val="en-GB"/>
              </w:rPr>
              <w:t>029</w:t>
            </w:r>
          </w:p>
        </w:tc>
        <w:tc>
          <w:tcPr>
            <w:tcW w:w="990" w:type="dxa"/>
            <w:vAlign w:val="center"/>
          </w:tcPr>
          <w:p w14:paraId="59DA584A" w14:textId="63D90F70" w:rsidR="000735FF" w:rsidRPr="002B43C8" w:rsidRDefault="000735FF" w:rsidP="008F5E58">
            <w:pPr>
              <w:pStyle w:val="ExhibitText"/>
              <w:jc w:val="right"/>
              <w:rPr>
                <w:lang w:val="en-GB"/>
              </w:rPr>
            </w:pPr>
            <w:r w:rsidRPr="002B43C8">
              <w:rPr>
                <w:lang w:val="en-GB"/>
              </w:rPr>
              <w:t>228,194</w:t>
            </w:r>
          </w:p>
        </w:tc>
        <w:tc>
          <w:tcPr>
            <w:tcW w:w="720" w:type="dxa"/>
            <w:vAlign w:val="center"/>
          </w:tcPr>
          <w:p w14:paraId="2879E414" w14:textId="77777777" w:rsidR="000735FF" w:rsidRPr="002B43C8" w:rsidRDefault="000735FF" w:rsidP="008F5E58">
            <w:pPr>
              <w:pStyle w:val="ExhibitText"/>
              <w:jc w:val="right"/>
              <w:rPr>
                <w:lang w:val="en-GB"/>
              </w:rPr>
            </w:pPr>
            <w:r w:rsidRPr="002B43C8">
              <w:rPr>
                <w:lang w:val="en-GB"/>
              </w:rPr>
              <w:t>0</w:t>
            </w:r>
          </w:p>
        </w:tc>
        <w:tc>
          <w:tcPr>
            <w:tcW w:w="990" w:type="dxa"/>
            <w:shd w:val="clear" w:color="auto" w:fill="auto"/>
            <w:noWrap/>
            <w:vAlign w:val="center"/>
          </w:tcPr>
          <w:p w14:paraId="672F9AE5" w14:textId="77777777" w:rsidR="000735FF" w:rsidRPr="002B43C8" w:rsidRDefault="000735FF" w:rsidP="008F5E58">
            <w:pPr>
              <w:pStyle w:val="ExhibitText"/>
              <w:jc w:val="right"/>
              <w:rPr>
                <w:lang w:val="en-GB"/>
              </w:rPr>
            </w:pPr>
            <w:r w:rsidRPr="002B43C8">
              <w:rPr>
                <w:lang w:val="en-GB"/>
              </w:rPr>
              <w:t>18,289</w:t>
            </w:r>
          </w:p>
        </w:tc>
      </w:tr>
      <w:tr w:rsidR="000735FF" w:rsidRPr="002B43C8" w14:paraId="6C69E1BB" w14:textId="77777777" w:rsidTr="008F5E58">
        <w:trPr>
          <w:trHeight w:val="228"/>
          <w:jc w:val="center"/>
        </w:trPr>
        <w:tc>
          <w:tcPr>
            <w:tcW w:w="1187" w:type="dxa"/>
            <w:shd w:val="clear" w:color="auto" w:fill="auto"/>
            <w:noWrap/>
            <w:vAlign w:val="center"/>
            <w:hideMark/>
          </w:tcPr>
          <w:p w14:paraId="0E5EE2A5" w14:textId="6E0D94CD" w:rsidR="000735FF" w:rsidRPr="002B43C8" w:rsidRDefault="000735FF" w:rsidP="00A42DB4">
            <w:pPr>
              <w:pStyle w:val="ExhibitText"/>
              <w:jc w:val="left"/>
              <w:rPr>
                <w:b/>
                <w:lang w:val="en-GB"/>
              </w:rPr>
            </w:pPr>
            <w:r w:rsidRPr="002B43C8">
              <w:rPr>
                <w:b/>
                <w:lang w:val="en-GB"/>
              </w:rPr>
              <w:t>2014</w:t>
            </w:r>
            <w:r w:rsidR="00165424">
              <w:rPr>
                <w:b/>
                <w:lang w:val="en-GB"/>
              </w:rPr>
              <w:t>–</w:t>
            </w:r>
            <w:r w:rsidRPr="002B43C8">
              <w:rPr>
                <w:b/>
                <w:lang w:val="en-GB"/>
              </w:rPr>
              <w:t>15</w:t>
            </w:r>
          </w:p>
        </w:tc>
        <w:tc>
          <w:tcPr>
            <w:tcW w:w="720" w:type="dxa"/>
            <w:vAlign w:val="center"/>
          </w:tcPr>
          <w:p w14:paraId="692993DA" w14:textId="77777777" w:rsidR="000735FF" w:rsidRPr="002B43C8" w:rsidRDefault="000735FF" w:rsidP="008F5E58">
            <w:pPr>
              <w:pStyle w:val="ExhibitText"/>
              <w:jc w:val="right"/>
              <w:rPr>
                <w:lang w:val="en-GB"/>
              </w:rPr>
            </w:pPr>
            <w:r w:rsidRPr="002B43C8">
              <w:rPr>
                <w:lang w:val="en-GB"/>
              </w:rPr>
              <w:t>0</w:t>
            </w:r>
          </w:p>
        </w:tc>
        <w:tc>
          <w:tcPr>
            <w:tcW w:w="990" w:type="dxa"/>
            <w:vAlign w:val="center"/>
          </w:tcPr>
          <w:p w14:paraId="7B1A1012" w14:textId="77777777" w:rsidR="000735FF" w:rsidRPr="002B43C8" w:rsidRDefault="000735FF" w:rsidP="008F5E58">
            <w:pPr>
              <w:pStyle w:val="ExhibitText"/>
              <w:jc w:val="right"/>
              <w:rPr>
                <w:lang w:val="en-GB"/>
              </w:rPr>
            </w:pPr>
            <w:r w:rsidRPr="002B43C8">
              <w:rPr>
                <w:lang w:val="en-GB"/>
              </w:rPr>
              <w:t>17,307</w:t>
            </w:r>
          </w:p>
        </w:tc>
        <w:tc>
          <w:tcPr>
            <w:tcW w:w="982" w:type="dxa"/>
            <w:shd w:val="clear" w:color="auto" w:fill="auto"/>
            <w:noWrap/>
            <w:vAlign w:val="center"/>
          </w:tcPr>
          <w:p w14:paraId="31E788BD" w14:textId="77777777" w:rsidR="000735FF" w:rsidRPr="002B43C8" w:rsidRDefault="000735FF" w:rsidP="008F5E58">
            <w:pPr>
              <w:pStyle w:val="ExhibitText"/>
              <w:jc w:val="right"/>
              <w:rPr>
                <w:lang w:val="en-GB"/>
              </w:rPr>
            </w:pPr>
            <w:r w:rsidRPr="002B43C8">
              <w:rPr>
                <w:lang w:val="en-GB"/>
              </w:rPr>
              <w:t>425,742</w:t>
            </w:r>
          </w:p>
        </w:tc>
        <w:tc>
          <w:tcPr>
            <w:tcW w:w="990" w:type="dxa"/>
            <w:vAlign w:val="center"/>
          </w:tcPr>
          <w:p w14:paraId="1A757A6D" w14:textId="77777777" w:rsidR="000735FF" w:rsidRPr="002B43C8" w:rsidRDefault="000735FF" w:rsidP="008F5E58">
            <w:pPr>
              <w:pStyle w:val="ExhibitText"/>
              <w:jc w:val="right"/>
              <w:rPr>
                <w:lang w:val="en-GB"/>
              </w:rPr>
            </w:pPr>
            <w:r w:rsidRPr="002B43C8">
              <w:rPr>
                <w:lang w:val="en-GB"/>
              </w:rPr>
              <w:t>603,392</w:t>
            </w:r>
          </w:p>
        </w:tc>
        <w:tc>
          <w:tcPr>
            <w:tcW w:w="990" w:type="dxa"/>
            <w:shd w:val="clear" w:color="auto" w:fill="auto"/>
            <w:noWrap/>
            <w:vAlign w:val="center"/>
          </w:tcPr>
          <w:p w14:paraId="27E6712E" w14:textId="32F4BC42" w:rsidR="000735FF" w:rsidRPr="002B43C8" w:rsidRDefault="000735FF" w:rsidP="008F5E58">
            <w:pPr>
              <w:pStyle w:val="ExhibitText"/>
              <w:jc w:val="right"/>
              <w:rPr>
                <w:lang w:val="en-GB"/>
              </w:rPr>
            </w:pPr>
            <w:r w:rsidRPr="002B43C8">
              <w:rPr>
                <w:lang w:val="en-GB"/>
              </w:rPr>
              <w:t>495,999</w:t>
            </w:r>
          </w:p>
        </w:tc>
        <w:tc>
          <w:tcPr>
            <w:tcW w:w="1170" w:type="dxa"/>
            <w:vAlign w:val="center"/>
          </w:tcPr>
          <w:p w14:paraId="4E90B36C" w14:textId="71E6F61B" w:rsidR="000735FF" w:rsidRPr="002B43C8" w:rsidRDefault="000735FF" w:rsidP="008F5E58">
            <w:pPr>
              <w:pStyle w:val="ExhibitText"/>
              <w:jc w:val="right"/>
              <w:rPr>
                <w:lang w:val="en-GB"/>
              </w:rPr>
            </w:pPr>
            <w:r w:rsidRPr="002B43C8">
              <w:rPr>
                <w:lang w:val="en-GB"/>
              </w:rPr>
              <w:t>1</w:t>
            </w:r>
            <w:r w:rsidR="007015EB">
              <w:rPr>
                <w:lang w:val="en-GB"/>
              </w:rPr>
              <w:t>,</w:t>
            </w:r>
            <w:r w:rsidRPr="002B43C8">
              <w:rPr>
                <w:lang w:val="en-GB"/>
              </w:rPr>
              <w:t>404,997</w:t>
            </w:r>
          </w:p>
        </w:tc>
        <w:tc>
          <w:tcPr>
            <w:tcW w:w="990" w:type="dxa"/>
            <w:shd w:val="clear" w:color="auto" w:fill="auto"/>
            <w:noWrap/>
            <w:vAlign w:val="center"/>
          </w:tcPr>
          <w:p w14:paraId="20401B8A" w14:textId="77777777" w:rsidR="000735FF" w:rsidRPr="002B43C8" w:rsidRDefault="000735FF" w:rsidP="008F5E58">
            <w:pPr>
              <w:pStyle w:val="ExhibitText"/>
              <w:jc w:val="right"/>
              <w:rPr>
                <w:lang w:val="en-GB"/>
              </w:rPr>
            </w:pPr>
            <w:r w:rsidRPr="002B43C8">
              <w:rPr>
                <w:lang w:val="en-GB"/>
              </w:rPr>
              <w:t>18,639</w:t>
            </w:r>
          </w:p>
        </w:tc>
        <w:tc>
          <w:tcPr>
            <w:tcW w:w="990" w:type="dxa"/>
            <w:vAlign w:val="center"/>
          </w:tcPr>
          <w:p w14:paraId="566D46C9" w14:textId="77777777" w:rsidR="000735FF" w:rsidRPr="002B43C8" w:rsidRDefault="000735FF" w:rsidP="008F5E58">
            <w:pPr>
              <w:pStyle w:val="ExhibitText"/>
              <w:jc w:val="right"/>
              <w:rPr>
                <w:lang w:val="en-GB"/>
              </w:rPr>
            </w:pPr>
            <w:r w:rsidRPr="002B43C8">
              <w:rPr>
                <w:lang w:val="en-GB"/>
              </w:rPr>
              <w:t>76,767</w:t>
            </w:r>
          </w:p>
        </w:tc>
        <w:tc>
          <w:tcPr>
            <w:tcW w:w="900" w:type="dxa"/>
            <w:vAlign w:val="center"/>
          </w:tcPr>
          <w:p w14:paraId="39417C10" w14:textId="35B68A7C" w:rsidR="000735FF" w:rsidRPr="002B43C8" w:rsidRDefault="000735FF" w:rsidP="008F5E58">
            <w:pPr>
              <w:pStyle w:val="ExhibitText"/>
              <w:jc w:val="right"/>
              <w:rPr>
                <w:lang w:val="en-GB"/>
              </w:rPr>
            </w:pPr>
            <w:r w:rsidRPr="002B43C8">
              <w:rPr>
                <w:lang w:val="en-GB"/>
              </w:rPr>
              <w:t>33</w:t>
            </w:r>
            <w:r w:rsidR="00246B2D">
              <w:rPr>
                <w:lang w:val="en-GB"/>
              </w:rPr>
              <w:t>,</w:t>
            </w:r>
            <w:r w:rsidRPr="002B43C8">
              <w:rPr>
                <w:lang w:val="en-GB"/>
              </w:rPr>
              <w:t>151</w:t>
            </w:r>
          </w:p>
        </w:tc>
        <w:tc>
          <w:tcPr>
            <w:tcW w:w="990" w:type="dxa"/>
            <w:vAlign w:val="center"/>
          </w:tcPr>
          <w:p w14:paraId="204152FF" w14:textId="19321FA5" w:rsidR="000735FF" w:rsidRPr="002B43C8" w:rsidRDefault="000735FF" w:rsidP="008F5E58">
            <w:pPr>
              <w:pStyle w:val="ExhibitText"/>
              <w:jc w:val="right"/>
              <w:rPr>
                <w:lang w:val="en-GB"/>
              </w:rPr>
            </w:pPr>
            <w:r w:rsidRPr="002B43C8">
              <w:rPr>
                <w:lang w:val="en-GB"/>
              </w:rPr>
              <w:t>294,897</w:t>
            </w:r>
          </w:p>
        </w:tc>
        <w:tc>
          <w:tcPr>
            <w:tcW w:w="720" w:type="dxa"/>
            <w:vAlign w:val="center"/>
          </w:tcPr>
          <w:p w14:paraId="0519CAAB" w14:textId="77777777" w:rsidR="000735FF" w:rsidRPr="002B43C8" w:rsidRDefault="000735FF" w:rsidP="008F5E58">
            <w:pPr>
              <w:pStyle w:val="ExhibitText"/>
              <w:jc w:val="right"/>
              <w:rPr>
                <w:lang w:val="en-GB"/>
              </w:rPr>
            </w:pPr>
            <w:r w:rsidRPr="002B43C8">
              <w:rPr>
                <w:lang w:val="en-GB"/>
              </w:rPr>
              <w:t>0</w:t>
            </w:r>
          </w:p>
        </w:tc>
        <w:tc>
          <w:tcPr>
            <w:tcW w:w="990" w:type="dxa"/>
            <w:shd w:val="clear" w:color="auto" w:fill="auto"/>
            <w:noWrap/>
            <w:vAlign w:val="center"/>
          </w:tcPr>
          <w:p w14:paraId="4980C748" w14:textId="77777777" w:rsidR="000735FF" w:rsidRPr="002B43C8" w:rsidRDefault="000735FF" w:rsidP="008F5E58">
            <w:pPr>
              <w:pStyle w:val="ExhibitText"/>
              <w:jc w:val="right"/>
              <w:rPr>
                <w:lang w:val="en-GB"/>
              </w:rPr>
            </w:pPr>
            <w:r w:rsidRPr="002B43C8">
              <w:rPr>
                <w:lang w:val="en-GB"/>
              </w:rPr>
              <w:t>20,207</w:t>
            </w:r>
          </w:p>
        </w:tc>
      </w:tr>
      <w:tr w:rsidR="000735FF" w:rsidRPr="002B43C8" w14:paraId="16111B20" w14:textId="77777777" w:rsidTr="008F5E58">
        <w:trPr>
          <w:trHeight w:val="200"/>
          <w:jc w:val="center"/>
        </w:trPr>
        <w:tc>
          <w:tcPr>
            <w:tcW w:w="1187" w:type="dxa"/>
            <w:shd w:val="clear" w:color="auto" w:fill="auto"/>
            <w:noWrap/>
            <w:vAlign w:val="center"/>
            <w:hideMark/>
          </w:tcPr>
          <w:p w14:paraId="3505B533" w14:textId="1A126B25" w:rsidR="000735FF" w:rsidRPr="002B43C8" w:rsidRDefault="000735FF" w:rsidP="00A42DB4">
            <w:pPr>
              <w:pStyle w:val="ExhibitText"/>
              <w:jc w:val="left"/>
              <w:rPr>
                <w:b/>
                <w:lang w:val="en-GB"/>
              </w:rPr>
            </w:pPr>
            <w:r w:rsidRPr="002B43C8">
              <w:rPr>
                <w:b/>
                <w:lang w:val="en-GB"/>
              </w:rPr>
              <w:t>2015</w:t>
            </w:r>
            <w:r w:rsidR="00165424">
              <w:rPr>
                <w:b/>
                <w:lang w:val="en-GB"/>
              </w:rPr>
              <w:t>–</w:t>
            </w:r>
            <w:r w:rsidRPr="002B43C8">
              <w:rPr>
                <w:b/>
                <w:lang w:val="en-GB"/>
              </w:rPr>
              <w:t>16</w:t>
            </w:r>
          </w:p>
        </w:tc>
        <w:tc>
          <w:tcPr>
            <w:tcW w:w="720" w:type="dxa"/>
            <w:vAlign w:val="center"/>
          </w:tcPr>
          <w:p w14:paraId="37053F84" w14:textId="77777777" w:rsidR="000735FF" w:rsidRPr="002B43C8" w:rsidRDefault="000735FF" w:rsidP="008F5E58">
            <w:pPr>
              <w:pStyle w:val="ExhibitText"/>
              <w:jc w:val="right"/>
              <w:rPr>
                <w:lang w:val="en-GB"/>
              </w:rPr>
            </w:pPr>
            <w:r w:rsidRPr="002B43C8">
              <w:rPr>
                <w:lang w:val="en-GB"/>
              </w:rPr>
              <w:t>0</w:t>
            </w:r>
          </w:p>
        </w:tc>
        <w:tc>
          <w:tcPr>
            <w:tcW w:w="990" w:type="dxa"/>
            <w:vAlign w:val="center"/>
          </w:tcPr>
          <w:p w14:paraId="5F628A8F" w14:textId="77777777" w:rsidR="000735FF" w:rsidRPr="002B43C8" w:rsidRDefault="000735FF" w:rsidP="008F5E58">
            <w:pPr>
              <w:pStyle w:val="ExhibitText"/>
              <w:jc w:val="right"/>
              <w:rPr>
                <w:lang w:val="en-GB"/>
              </w:rPr>
            </w:pPr>
            <w:r w:rsidRPr="002B43C8">
              <w:rPr>
                <w:lang w:val="en-GB"/>
              </w:rPr>
              <w:t>22,138</w:t>
            </w:r>
          </w:p>
        </w:tc>
        <w:tc>
          <w:tcPr>
            <w:tcW w:w="982" w:type="dxa"/>
            <w:shd w:val="clear" w:color="auto" w:fill="auto"/>
            <w:noWrap/>
            <w:vAlign w:val="center"/>
          </w:tcPr>
          <w:p w14:paraId="626A8775" w14:textId="77777777" w:rsidR="000735FF" w:rsidRPr="002B43C8" w:rsidRDefault="000735FF" w:rsidP="008F5E58">
            <w:pPr>
              <w:pStyle w:val="ExhibitText"/>
              <w:jc w:val="right"/>
              <w:rPr>
                <w:rFonts w:ascii="Times" w:hAnsi="Times"/>
                <w:lang w:val="en-GB"/>
              </w:rPr>
            </w:pPr>
            <w:r w:rsidRPr="002B43C8">
              <w:rPr>
                <w:lang w:val="en-GB"/>
              </w:rPr>
              <w:t>432,977</w:t>
            </w:r>
          </w:p>
        </w:tc>
        <w:tc>
          <w:tcPr>
            <w:tcW w:w="990" w:type="dxa"/>
            <w:vAlign w:val="center"/>
          </w:tcPr>
          <w:p w14:paraId="2BDB88D8" w14:textId="77777777" w:rsidR="000735FF" w:rsidRPr="002B43C8" w:rsidRDefault="000735FF" w:rsidP="008F5E58">
            <w:pPr>
              <w:pStyle w:val="ExhibitText"/>
              <w:jc w:val="right"/>
              <w:rPr>
                <w:lang w:val="en-GB"/>
              </w:rPr>
            </w:pPr>
            <w:r w:rsidRPr="002B43C8">
              <w:rPr>
                <w:lang w:val="en-GB"/>
              </w:rPr>
              <w:t>613,621</w:t>
            </w:r>
          </w:p>
        </w:tc>
        <w:tc>
          <w:tcPr>
            <w:tcW w:w="990" w:type="dxa"/>
            <w:shd w:val="clear" w:color="auto" w:fill="auto"/>
            <w:noWrap/>
            <w:vAlign w:val="center"/>
          </w:tcPr>
          <w:p w14:paraId="201D8B2E" w14:textId="7412C5CD" w:rsidR="000735FF" w:rsidRPr="002B43C8" w:rsidRDefault="000735FF" w:rsidP="008F5E58">
            <w:pPr>
              <w:pStyle w:val="ExhibitText"/>
              <w:jc w:val="right"/>
              <w:rPr>
                <w:lang w:val="en-GB"/>
              </w:rPr>
            </w:pPr>
            <w:r w:rsidRPr="002B43C8">
              <w:rPr>
                <w:lang w:val="en-GB"/>
              </w:rPr>
              <w:t>541,951</w:t>
            </w:r>
          </w:p>
        </w:tc>
        <w:tc>
          <w:tcPr>
            <w:tcW w:w="1170" w:type="dxa"/>
            <w:vAlign w:val="center"/>
          </w:tcPr>
          <w:p w14:paraId="28712CD8" w14:textId="0F3B2F3B" w:rsidR="000735FF" w:rsidRPr="002B43C8" w:rsidRDefault="000735FF" w:rsidP="008F5E58">
            <w:pPr>
              <w:pStyle w:val="ExhibitText"/>
              <w:jc w:val="right"/>
              <w:rPr>
                <w:lang w:val="en-GB"/>
              </w:rPr>
            </w:pPr>
            <w:r w:rsidRPr="002B43C8">
              <w:rPr>
                <w:lang w:val="en-GB"/>
              </w:rPr>
              <w:t>1</w:t>
            </w:r>
            <w:r w:rsidR="007015EB">
              <w:rPr>
                <w:lang w:val="en-GB"/>
              </w:rPr>
              <w:t>,</w:t>
            </w:r>
            <w:r w:rsidRPr="002B43C8">
              <w:rPr>
                <w:lang w:val="en-GB"/>
              </w:rPr>
              <w:t>527,913</w:t>
            </w:r>
          </w:p>
        </w:tc>
        <w:tc>
          <w:tcPr>
            <w:tcW w:w="990" w:type="dxa"/>
            <w:shd w:val="clear" w:color="auto" w:fill="auto"/>
            <w:noWrap/>
            <w:vAlign w:val="center"/>
          </w:tcPr>
          <w:p w14:paraId="18D218BD" w14:textId="77777777" w:rsidR="000735FF" w:rsidRPr="002B43C8" w:rsidRDefault="000735FF" w:rsidP="008F5E58">
            <w:pPr>
              <w:pStyle w:val="ExhibitText"/>
              <w:jc w:val="right"/>
              <w:rPr>
                <w:lang w:val="en-GB"/>
              </w:rPr>
            </w:pPr>
            <w:r w:rsidRPr="002B43C8">
              <w:rPr>
                <w:lang w:val="en-GB"/>
              </w:rPr>
              <w:t>38,303</w:t>
            </w:r>
          </w:p>
        </w:tc>
        <w:tc>
          <w:tcPr>
            <w:tcW w:w="990" w:type="dxa"/>
            <w:vAlign w:val="center"/>
          </w:tcPr>
          <w:p w14:paraId="4F0BBBF6" w14:textId="77777777" w:rsidR="000735FF" w:rsidRPr="002B43C8" w:rsidRDefault="000735FF" w:rsidP="008F5E58">
            <w:pPr>
              <w:pStyle w:val="ExhibitText"/>
              <w:jc w:val="right"/>
              <w:rPr>
                <w:lang w:val="en-GB"/>
              </w:rPr>
            </w:pPr>
            <w:r w:rsidRPr="002B43C8">
              <w:rPr>
                <w:lang w:val="en-GB"/>
              </w:rPr>
              <w:t>87,558</w:t>
            </w:r>
          </w:p>
        </w:tc>
        <w:tc>
          <w:tcPr>
            <w:tcW w:w="900" w:type="dxa"/>
            <w:vAlign w:val="center"/>
          </w:tcPr>
          <w:p w14:paraId="1036BA24" w14:textId="36EB7C82" w:rsidR="000735FF" w:rsidRPr="002B43C8" w:rsidRDefault="000735FF" w:rsidP="008F5E58">
            <w:pPr>
              <w:pStyle w:val="ExhibitText"/>
              <w:jc w:val="right"/>
              <w:rPr>
                <w:lang w:val="en-GB"/>
              </w:rPr>
            </w:pPr>
            <w:r w:rsidRPr="002B43C8">
              <w:rPr>
                <w:lang w:val="en-GB"/>
              </w:rPr>
              <w:t>54</w:t>
            </w:r>
            <w:r w:rsidR="00246B2D">
              <w:rPr>
                <w:lang w:val="en-GB"/>
              </w:rPr>
              <w:t>,</w:t>
            </w:r>
            <w:r w:rsidRPr="002B43C8">
              <w:rPr>
                <w:lang w:val="en-GB"/>
              </w:rPr>
              <w:t>233</w:t>
            </w:r>
          </w:p>
        </w:tc>
        <w:tc>
          <w:tcPr>
            <w:tcW w:w="990" w:type="dxa"/>
            <w:vAlign w:val="center"/>
          </w:tcPr>
          <w:p w14:paraId="1E8FAE87" w14:textId="447C6A9C" w:rsidR="000735FF" w:rsidRPr="002B43C8" w:rsidRDefault="000735FF" w:rsidP="008F5E58">
            <w:pPr>
              <w:pStyle w:val="ExhibitText"/>
              <w:jc w:val="right"/>
              <w:rPr>
                <w:lang w:val="en-GB"/>
              </w:rPr>
            </w:pPr>
            <w:r w:rsidRPr="002B43C8">
              <w:rPr>
                <w:lang w:val="en-GB"/>
              </w:rPr>
              <w:t>288,867</w:t>
            </w:r>
          </w:p>
        </w:tc>
        <w:tc>
          <w:tcPr>
            <w:tcW w:w="720" w:type="dxa"/>
            <w:vAlign w:val="center"/>
          </w:tcPr>
          <w:p w14:paraId="09273468" w14:textId="77777777" w:rsidR="000735FF" w:rsidRPr="002B43C8" w:rsidRDefault="000735FF" w:rsidP="008F5E58">
            <w:pPr>
              <w:pStyle w:val="ExhibitText"/>
              <w:jc w:val="right"/>
              <w:rPr>
                <w:lang w:val="en-GB"/>
              </w:rPr>
            </w:pPr>
            <w:r w:rsidRPr="002B43C8">
              <w:rPr>
                <w:lang w:val="en-GB"/>
              </w:rPr>
              <w:t>0</w:t>
            </w:r>
          </w:p>
        </w:tc>
        <w:tc>
          <w:tcPr>
            <w:tcW w:w="990" w:type="dxa"/>
            <w:shd w:val="clear" w:color="auto" w:fill="auto"/>
            <w:noWrap/>
            <w:vAlign w:val="center"/>
          </w:tcPr>
          <w:p w14:paraId="40123892" w14:textId="77777777" w:rsidR="000735FF" w:rsidRPr="002B43C8" w:rsidRDefault="000735FF" w:rsidP="008F5E58">
            <w:pPr>
              <w:pStyle w:val="ExhibitText"/>
              <w:jc w:val="right"/>
              <w:rPr>
                <w:lang w:val="en-GB"/>
              </w:rPr>
            </w:pPr>
            <w:r w:rsidRPr="002B43C8">
              <w:rPr>
                <w:lang w:val="en-GB"/>
              </w:rPr>
              <w:t>15,330</w:t>
            </w:r>
          </w:p>
        </w:tc>
      </w:tr>
    </w:tbl>
    <w:p w14:paraId="294A4530" w14:textId="77777777" w:rsidR="000735FF" w:rsidRPr="002B43C8" w:rsidRDefault="000735FF" w:rsidP="00935D2F">
      <w:pPr>
        <w:ind w:left="720" w:firstLine="720"/>
        <w:jc w:val="center"/>
        <w:rPr>
          <w:rFonts w:ascii="Arial" w:hAnsi="Arial"/>
          <w:color w:val="000000"/>
          <w:sz w:val="17"/>
          <w:szCs w:val="17"/>
          <w:lang w:val="en-GB"/>
        </w:rPr>
      </w:pPr>
    </w:p>
    <w:p w14:paraId="0F7058E9" w14:textId="6B29E88E" w:rsidR="0048454B" w:rsidRDefault="000735FF" w:rsidP="0048454B">
      <w:pPr>
        <w:pStyle w:val="Footnote"/>
        <w:outlineLvl w:val="0"/>
        <w:rPr>
          <w:lang w:val="en-GB"/>
        </w:rPr>
      </w:pPr>
      <w:r w:rsidRPr="002B43C8">
        <w:rPr>
          <w:lang w:val="en-GB"/>
        </w:rPr>
        <w:t xml:space="preserve">Source: </w:t>
      </w:r>
      <w:r w:rsidR="003E72FF">
        <w:rPr>
          <w:lang w:val="en-GB"/>
        </w:rPr>
        <w:t>Compiled by the case authors from company materials</w:t>
      </w:r>
      <w:r w:rsidR="0048454B">
        <w:rPr>
          <w:lang w:val="en-GB"/>
        </w:rPr>
        <w:t>;</w:t>
      </w:r>
      <w:r w:rsidR="0048454B" w:rsidRPr="0048454B">
        <w:rPr>
          <w:lang w:val="en-GB"/>
        </w:rPr>
        <w:t xml:space="preserve"> </w:t>
      </w:r>
      <w:r w:rsidR="00843678">
        <w:rPr>
          <w:lang w:val="en-GB"/>
        </w:rPr>
        <w:t>c</w:t>
      </w:r>
      <w:r w:rsidR="0048454B">
        <w:rPr>
          <w:lang w:val="en-GB"/>
        </w:rPr>
        <w:t xml:space="preserve">ompany </w:t>
      </w:r>
      <w:r w:rsidR="00843678">
        <w:rPr>
          <w:lang w:val="en-GB"/>
        </w:rPr>
        <w:t>s</w:t>
      </w:r>
      <w:r w:rsidR="0048454B">
        <w:rPr>
          <w:lang w:val="en-GB"/>
        </w:rPr>
        <w:t xml:space="preserve">ales of </w:t>
      </w:r>
      <w:r w:rsidR="00843678">
        <w:rPr>
          <w:lang w:val="en-GB"/>
        </w:rPr>
        <w:t>p</w:t>
      </w:r>
      <w:r w:rsidR="0048454B" w:rsidRPr="00F96B52">
        <w:rPr>
          <w:lang w:val="en-GB"/>
        </w:rPr>
        <w:t>asseng</w:t>
      </w:r>
      <w:r w:rsidR="0048454B">
        <w:rPr>
          <w:lang w:val="en-GB"/>
        </w:rPr>
        <w:t>er cars 1997</w:t>
      </w:r>
      <w:r w:rsidR="00843678">
        <w:rPr>
          <w:lang w:val="en-GB"/>
        </w:rPr>
        <w:t>–</w:t>
      </w:r>
      <w:r w:rsidR="0048454B">
        <w:rPr>
          <w:lang w:val="en-GB"/>
        </w:rPr>
        <w:t>98 to 2014</w:t>
      </w:r>
      <w:r w:rsidR="00843678">
        <w:rPr>
          <w:lang w:val="en-GB"/>
        </w:rPr>
        <w:t>–</w:t>
      </w:r>
      <w:r w:rsidR="0048454B" w:rsidRPr="00F96B52">
        <w:rPr>
          <w:lang w:val="en-GB"/>
        </w:rPr>
        <w:t>15</w:t>
      </w:r>
      <w:r w:rsidR="00DA238D">
        <w:rPr>
          <w:lang w:val="en-GB"/>
        </w:rPr>
        <w:t>:</w:t>
      </w:r>
      <w:r w:rsidR="0048454B" w:rsidRPr="00F96B52">
        <w:rPr>
          <w:lang w:val="en-GB"/>
        </w:rPr>
        <w:t xml:space="preserve"> </w:t>
      </w:r>
      <w:r w:rsidR="00843678">
        <w:rPr>
          <w:lang w:val="en-GB"/>
        </w:rPr>
        <w:t xml:space="preserve">“Industry Outlook,” </w:t>
      </w:r>
      <w:r w:rsidR="0048454B" w:rsidRPr="002B43C8">
        <w:rPr>
          <w:lang w:val="en-GB"/>
        </w:rPr>
        <w:t>C</w:t>
      </w:r>
      <w:r w:rsidR="0048454B">
        <w:rPr>
          <w:lang w:val="en-GB"/>
        </w:rPr>
        <w:t xml:space="preserve">entre for </w:t>
      </w:r>
      <w:r w:rsidR="0048454B" w:rsidRPr="002B43C8">
        <w:rPr>
          <w:lang w:val="en-GB"/>
        </w:rPr>
        <w:t>M</w:t>
      </w:r>
      <w:r w:rsidR="0048454B">
        <w:rPr>
          <w:lang w:val="en-GB"/>
        </w:rPr>
        <w:t xml:space="preserve">onitoring </w:t>
      </w:r>
      <w:r w:rsidR="0048454B" w:rsidRPr="002B43C8">
        <w:rPr>
          <w:lang w:val="en-GB"/>
        </w:rPr>
        <w:t>I</w:t>
      </w:r>
      <w:r w:rsidR="0048454B">
        <w:rPr>
          <w:lang w:val="en-GB"/>
        </w:rPr>
        <w:t>ndian Economy, accessed October 25</w:t>
      </w:r>
      <w:r w:rsidR="00843678">
        <w:rPr>
          <w:lang w:val="en-GB"/>
        </w:rPr>
        <w:t>,</w:t>
      </w:r>
      <w:r w:rsidR="0048454B">
        <w:rPr>
          <w:lang w:val="en-GB"/>
        </w:rPr>
        <w:t xml:space="preserve"> 2017,</w:t>
      </w:r>
      <w:r w:rsidR="00843678">
        <w:rPr>
          <w:lang w:val="en-GB"/>
        </w:rPr>
        <w:t xml:space="preserve"> </w:t>
      </w:r>
      <w:r w:rsidR="0048454B" w:rsidRPr="00C414AD">
        <w:rPr>
          <w:lang w:val="en-GB"/>
        </w:rPr>
        <w:t>https://industryoutlook.cmie.com/kommon/bin/sr.php?kall=wshowtab&amp;icode=0101014502011000&amp;tabno=0001</w:t>
      </w:r>
      <w:r w:rsidR="00843678">
        <w:rPr>
          <w:lang w:val="en-GB"/>
        </w:rPr>
        <w:t>.</w:t>
      </w:r>
    </w:p>
    <w:p w14:paraId="26FFC094" w14:textId="2A344439" w:rsidR="003E72FF" w:rsidRPr="002B43C8" w:rsidRDefault="003E72FF" w:rsidP="008F5E58">
      <w:pPr>
        <w:pStyle w:val="ExhibitText"/>
        <w:rPr>
          <w:lang w:val="en-GB"/>
        </w:rPr>
      </w:pPr>
    </w:p>
    <w:p w14:paraId="4099C9FB" w14:textId="77777777" w:rsidR="000735FF" w:rsidRPr="002B43C8" w:rsidRDefault="000735FF" w:rsidP="008F5E58">
      <w:pPr>
        <w:pStyle w:val="ExhibitText"/>
        <w:rPr>
          <w:lang w:val="en-GB"/>
        </w:rPr>
      </w:pPr>
    </w:p>
    <w:p w14:paraId="66E66B03" w14:textId="05C87DC6" w:rsidR="000735FF" w:rsidRPr="002B43C8" w:rsidRDefault="000735FF" w:rsidP="00E53A67">
      <w:pPr>
        <w:pStyle w:val="ExhibitNumber"/>
        <w:rPr>
          <w:lang w:val="en-GB"/>
        </w:rPr>
      </w:pPr>
      <w:r w:rsidRPr="002B43C8">
        <w:rPr>
          <w:lang w:val="en-GB"/>
        </w:rPr>
        <w:t xml:space="preserve">EXHIBIT 2B: </w:t>
      </w:r>
      <w:r w:rsidR="006234BD" w:rsidRPr="002B43C8">
        <w:rPr>
          <w:lang w:val="en-GB"/>
        </w:rPr>
        <w:t>COMPARISON</w:t>
      </w:r>
      <w:r w:rsidR="00880091">
        <w:rPr>
          <w:lang w:val="en-GB"/>
        </w:rPr>
        <w:t xml:space="preserve"> OF GROWTH RATE OF </w:t>
      </w:r>
      <w:r w:rsidRPr="002B43C8">
        <w:rPr>
          <w:lang w:val="en-GB"/>
        </w:rPr>
        <w:t>PASSENGER CAR SEGMENTS OF MSIL AND PASSENGER VEHICLE INDUSTRY</w:t>
      </w:r>
    </w:p>
    <w:p w14:paraId="30A44136" w14:textId="77777777" w:rsidR="000735FF" w:rsidRPr="002B43C8" w:rsidRDefault="000735FF" w:rsidP="00E53A67">
      <w:pPr>
        <w:pStyle w:val="ExhibitNumber"/>
        <w:rPr>
          <w:lang w:val="en-GB"/>
        </w:rPr>
      </w:pPr>
    </w:p>
    <w:tbl>
      <w:tblPr>
        <w:tblW w:w="12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683"/>
        <w:gridCol w:w="928"/>
        <w:gridCol w:w="918"/>
        <w:gridCol w:w="928"/>
        <w:gridCol w:w="827"/>
        <w:gridCol w:w="928"/>
        <w:gridCol w:w="975"/>
        <w:gridCol w:w="928"/>
        <w:gridCol w:w="834"/>
        <w:gridCol w:w="928"/>
        <w:gridCol w:w="945"/>
        <w:gridCol w:w="928"/>
      </w:tblGrid>
      <w:tr w:rsidR="00880091" w:rsidRPr="002B43C8" w14:paraId="2C9A9BFC" w14:textId="77777777" w:rsidTr="00880091">
        <w:trPr>
          <w:trHeight w:val="219"/>
          <w:jc w:val="center"/>
        </w:trPr>
        <w:tc>
          <w:tcPr>
            <w:tcW w:w="1308" w:type="dxa"/>
            <w:vMerge w:val="restart"/>
            <w:shd w:val="clear" w:color="auto" w:fill="auto"/>
            <w:noWrap/>
            <w:vAlign w:val="center"/>
            <w:hideMark/>
          </w:tcPr>
          <w:p w14:paraId="28667668" w14:textId="4FAFFF92" w:rsidR="00880091" w:rsidRPr="002B43C8" w:rsidRDefault="00880091" w:rsidP="00880091">
            <w:pPr>
              <w:contextualSpacing/>
              <w:rPr>
                <w:rFonts w:ascii="Arial" w:hAnsi="Arial" w:cs="Arial"/>
                <w:lang w:val="en-GB"/>
              </w:rPr>
            </w:pPr>
            <w:r>
              <w:rPr>
                <w:rFonts w:ascii="Arial" w:hAnsi="Arial" w:cs="Arial"/>
                <w:b/>
                <w:lang w:val="en-GB"/>
              </w:rPr>
              <w:t xml:space="preserve">Fiscal </w:t>
            </w:r>
            <w:r w:rsidRPr="002B43C8">
              <w:rPr>
                <w:rFonts w:ascii="Arial" w:hAnsi="Arial" w:cs="Arial"/>
                <w:b/>
                <w:lang w:val="en-GB"/>
              </w:rPr>
              <w:t>Year</w:t>
            </w:r>
          </w:p>
        </w:tc>
        <w:tc>
          <w:tcPr>
            <w:tcW w:w="1611" w:type="dxa"/>
            <w:gridSpan w:val="2"/>
          </w:tcPr>
          <w:p w14:paraId="7DD939B0" w14:textId="77777777" w:rsidR="00880091" w:rsidRPr="002B43C8" w:rsidRDefault="00880091" w:rsidP="005E6166">
            <w:pPr>
              <w:contextualSpacing/>
              <w:jc w:val="center"/>
              <w:rPr>
                <w:rFonts w:ascii="Arial" w:hAnsi="Arial" w:cs="Arial"/>
                <w:b/>
                <w:lang w:val="en-GB"/>
              </w:rPr>
            </w:pPr>
            <w:r w:rsidRPr="002B43C8">
              <w:rPr>
                <w:rFonts w:ascii="Arial" w:hAnsi="Arial" w:cs="Arial"/>
                <w:b/>
                <w:lang w:val="en-GB"/>
              </w:rPr>
              <w:t>Micro</w:t>
            </w:r>
          </w:p>
        </w:tc>
        <w:tc>
          <w:tcPr>
            <w:tcW w:w="1846" w:type="dxa"/>
            <w:gridSpan w:val="2"/>
            <w:shd w:val="clear" w:color="auto" w:fill="auto"/>
            <w:noWrap/>
            <w:hideMark/>
          </w:tcPr>
          <w:p w14:paraId="118700D6" w14:textId="77777777" w:rsidR="00880091" w:rsidRPr="002B43C8" w:rsidRDefault="00880091" w:rsidP="005E6166">
            <w:pPr>
              <w:contextualSpacing/>
              <w:jc w:val="center"/>
              <w:rPr>
                <w:rFonts w:ascii="Arial" w:hAnsi="Arial" w:cs="Arial"/>
                <w:b/>
                <w:lang w:val="en-GB"/>
              </w:rPr>
            </w:pPr>
            <w:r w:rsidRPr="002B43C8">
              <w:rPr>
                <w:rFonts w:ascii="Arial" w:hAnsi="Arial" w:cs="Arial"/>
                <w:b/>
                <w:lang w:val="en-GB"/>
              </w:rPr>
              <w:t>Mini</w:t>
            </w:r>
          </w:p>
        </w:tc>
        <w:tc>
          <w:tcPr>
            <w:tcW w:w="1755" w:type="dxa"/>
            <w:gridSpan w:val="2"/>
            <w:shd w:val="clear" w:color="auto" w:fill="auto"/>
            <w:noWrap/>
            <w:hideMark/>
          </w:tcPr>
          <w:p w14:paraId="0337DACD" w14:textId="77777777" w:rsidR="00880091" w:rsidRPr="002B43C8" w:rsidRDefault="00880091" w:rsidP="005E6166">
            <w:pPr>
              <w:contextualSpacing/>
              <w:jc w:val="center"/>
              <w:rPr>
                <w:rFonts w:ascii="Arial" w:hAnsi="Arial" w:cs="Arial"/>
                <w:b/>
                <w:lang w:val="en-GB"/>
              </w:rPr>
            </w:pPr>
            <w:r w:rsidRPr="002B43C8">
              <w:rPr>
                <w:rFonts w:ascii="Arial" w:hAnsi="Arial" w:cs="Arial"/>
                <w:b/>
                <w:lang w:val="en-GB"/>
              </w:rPr>
              <w:t>Compact</w:t>
            </w:r>
          </w:p>
        </w:tc>
        <w:tc>
          <w:tcPr>
            <w:tcW w:w="1903" w:type="dxa"/>
            <w:gridSpan w:val="2"/>
            <w:shd w:val="clear" w:color="auto" w:fill="auto"/>
            <w:noWrap/>
            <w:hideMark/>
          </w:tcPr>
          <w:p w14:paraId="10D1A1C6" w14:textId="4FA528DB" w:rsidR="00880091" w:rsidRPr="002B43C8" w:rsidRDefault="00880091" w:rsidP="005E6166">
            <w:pPr>
              <w:contextualSpacing/>
              <w:jc w:val="center"/>
              <w:rPr>
                <w:rFonts w:ascii="Arial" w:hAnsi="Arial" w:cs="Arial"/>
                <w:b/>
                <w:lang w:val="en-GB"/>
              </w:rPr>
            </w:pPr>
            <w:r w:rsidRPr="002B43C8">
              <w:rPr>
                <w:rFonts w:ascii="Arial" w:hAnsi="Arial" w:cs="Arial"/>
                <w:b/>
                <w:lang w:val="en-GB"/>
              </w:rPr>
              <w:t>Super</w:t>
            </w:r>
            <w:r>
              <w:rPr>
                <w:rFonts w:ascii="Arial" w:hAnsi="Arial" w:cs="Arial"/>
                <w:b/>
                <w:lang w:val="en-GB"/>
              </w:rPr>
              <w:t>-</w:t>
            </w:r>
            <w:r w:rsidRPr="002B43C8">
              <w:rPr>
                <w:rFonts w:ascii="Arial" w:hAnsi="Arial" w:cs="Arial"/>
                <w:b/>
                <w:lang w:val="en-GB"/>
              </w:rPr>
              <w:t>Compact</w:t>
            </w:r>
          </w:p>
        </w:tc>
        <w:tc>
          <w:tcPr>
            <w:tcW w:w="1762" w:type="dxa"/>
            <w:gridSpan w:val="2"/>
          </w:tcPr>
          <w:p w14:paraId="5537DE5B" w14:textId="0E1D3F2A" w:rsidR="00880091" w:rsidRPr="002B43C8" w:rsidRDefault="00880091" w:rsidP="005E6166">
            <w:pPr>
              <w:contextualSpacing/>
              <w:jc w:val="center"/>
              <w:rPr>
                <w:rFonts w:ascii="Arial" w:hAnsi="Arial" w:cs="Arial"/>
                <w:b/>
                <w:lang w:val="en-GB"/>
              </w:rPr>
            </w:pPr>
            <w:r w:rsidRPr="002B43C8">
              <w:rPr>
                <w:rFonts w:ascii="Arial" w:hAnsi="Arial" w:cs="Arial"/>
                <w:b/>
                <w:lang w:val="en-GB"/>
              </w:rPr>
              <w:t>Mid</w:t>
            </w:r>
            <w:r>
              <w:rPr>
                <w:rFonts w:ascii="Arial" w:hAnsi="Arial" w:cs="Arial"/>
                <w:b/>
                <w:lang w:val="en-GB"/>
              </w:rPr>
              <w:t>-</w:t>
            </w:r>
            <w:r w:rsidRPr="002B43C8">
              <w:rPr>
                <w:rFonts w:ascii="Arial" w:hAnsi="Arial" w:cs="Arial"/>
                <w:b/>
                <w:lang w:val="en-GB"/>
              </w:rPr>
              <w:t>Size</w:t>
            </w:r>
          </w:p>
        </w:tc>
        <w:tc>
          <w:tcPr>
            <w:tcW w:w="1873" w:type="dxa"/>
            <w:gridSpan w:val="2"/>
          </w:tcPr>
          <w:p w14:paraId="5B5A2718" w14:textId="77777777" w:rsidR="00880091" w:rsidRPr="002B43C8" w:rsidRDefault="00880091" w:rsidP="005E6166">
            <w:pPr>
              <w:contextualSpacing/>
              <w:jc w:val="center"/>
              <w:rPr>
                <w:rFonts w:ascii="Arial" w:hAnsi="Arial" w:cs="Arial"/>
                <w:b/>
                <w:lang w:val="en-GB"/>
              </w:rPr>
            </w:pPr>
            <w:r w:rsidRPr="002B43C8">
              <w:rPr>
                <w:rFonts w:ascii="Arial" w:hAnsi="Arial" w:cs="Arial"/>
                <w:b/>
                <w:lang w:val="en-GB"/>
              </w:rPr>
              <w:t>Executive</w:t>
            </w:r>
          </w:p>
        </w:tc>
      </w:tr>
      <w:tr w:rsidR="00880091" w:rsidRPr="002B43C8" w14:paraId="5030F5BD" w14:textId="77777777" w:rsidTr="00880091">
        <w:trPr>
          <w:trHeight w:val="219"/>
          <w:jc w:val="center"/>
        </w:trPr>
        <w:tc>
          <w:tcPr>
            <w:tcW w:w="1308" w:type="dxa"/>
            <w:vMerge/>
            <w:shd w:val="clear" w:color="auto" w:fill="auto"/>
            <w:noWrap/>
          </w:tcPr>
          <w:p w14:paraId="425EEB56" w14:textId="360A9983" w:rsidR="00880091" w:rsidRPr="002B43C8" w:rsidRDefault="00880091" w:rsidP="005E6166">
            <w:pPr>
              <w:contextualSpacing/>
              <w:jc w:val="center"/>
              <w:rPr>
                <w:rFonts w:ascii="Arial" w:hAnsi="Arial" w:cs="Arial"/>
                <w:b/>
                <w:lang w:val="en-GB"/>
              </w:rPr>
            </w:pPr>
          </w:p>
        </w:tc>
        <w:tc>
          <w:tcPr>
            <w:tcW w:w="683" w:type="dxa"/>
            <w:vAlign w:val="center"/>
          </w:tcPr>
          <w:p w14:paraId="4E772572" w14:textId="77777777" w:rsidR="00880091" w:rsidRPr="002B43C8" w:rsidRDefault="00880091" w:rsidP="008F5E58">
            <w:pPr>
              <w:contextualSpacing/>
              <w:jc w:val="center"/>
              <w:rPr>
                <w:rFonts w:ascii="Arial" w:hAnsi="Arial" w:cs="Arial"/>
                <w:lang w:val="en-GB"/>
              </w:rPr>
            </w:pPr>
            <w:r w:rsidRPr="002B43C8">
              <w:rPr>
                <w:rFonts w:ascii="Arial" w:hAnsi="Arial" w:cs="Arial"/>
                <w:lang w:val="en-GB"/>
              </w:rPr>
              <w:t>MSIL</w:t>
            </w:r>
          </w:p>
        </w:tc>
        <w:tc>
          <w:tcPr>
            <w:tcW w:w="928" w:type="dxa"/>
            <w:vAlign w:val="center"/>
          </w:tcPr>
          <w:p w14:paraId="4BE47322" w14:textId="77777777" w:rsidR="00880091" w:rsidRPr="002B43C8" w:rsidRDefault="00880091" w:rsidP="008F5E58">
            <w:pPr>
              <w:contextualSpacing/>
              <w:jc w:val="center"/>
              <w:rPr>
                <w:rFonts w:ascii="Arial" w:hAnsi="Arial" w:cs="Arial"/>
                <w:lang w:val="en-GB"/>
              </w:rPr>
            </w:pPr>
            <w:r w:rsidRPr="002B43C8">
              <w:rPr>
                <w:rFonts w:ascii="Arial" w:hAnsi="Arial" w:cs="Arial"/>
                <w:lang w:val="en-GB"/>
              </w:rPr>
              <w:t>Industry</w:t>
            </w:r>
          </w:p>
        </w:tc>
        <w:tc>
          <w:tcPr>
            <w:tcW w:w="918" w:type="dxa"/>
            <w:shd w:val="clear" w:color="auto" w:fill="auto"/>
            <w:noWrap/>
            <w:vAlign w:val="center"/>
          </w:tcPr>
          <w:p w14:paraId="1621CEB3" w14:textId="77777777" w:rsidR="00880091" w:rsidRPr="002B43C8" w:rsidRDefault="00880091" w:rsidP="008F5E58">
            <w:pPr>
              <w:contextualSpacing/>
              <w:jc w:val="center"/>
              <w:rPr>
                <w:rFonts w:ascii="Arial" w:hAnsi="Arial" w:cs="Arial"/>
                <w:lang w:val="en-GB"/>
              </w:rPr>
            </w:pPr>
            <w:r w:rsidRPr="002B43C8">
              <w:rPr>
                <w:rFonts w:ascii="Arial" w:hAnsi="Arial" w:cs="Arial"/>
                <w:lang w:val="en-GB"/>
              </w:rPr>
              <w:t>MSIL</w:t>
            </w:r>
          </w:p>
        </w:tc>
        <w:tc>
          <w:tcPr>
            <w:tcW w:w="928" w:type="dxa"/>
            <w:vAlign w:val="center"/>
          </w:tcPr>
          <w:p w14:paraId="2A03595C" w14:textId="77777777" w:rsidR="00880091" w:rsidRPr="002B43C8" w:rsidRDefault="00880091" w:rsidP="008F5E58">
            <w:pPr>
              <w:contextualSpacing/>
              <w:jc w:val="center"/>
              <w:rPr>
                <w:rFonts w:ascii="Arial" w:hAnsi="Arial" w:cs="Arial"/>
                <w:lang w:val="en-GB"/>
              </w:rPr>
            </w:pPr>
            <w:r w:rsidRPr="002B43C8">
              <w:rPr>
                <w:rFonts w:ascii="Arial" w:hAnsi="Arial" w:cs="Arial"/>
                <w:lang w:val="en-GB"/>
              </w:rPr>
              <w:t>Industry</w:t>
            </w:r>
          </w:p>
        </w:tc>
        <w:tc>
          <w:tcPr>
            <w:tcW w:w="827" w:type="dxa"/>
            <w:shd w:val="clear" w:color="auto" w:fill="auto"/>
            <w:noWrap/>
            <w:vAlign w:val="center"/>
          </w:tcPr>
          <w:p w14:paraId="5D87D7F7" w14:textId="77777777" w:rsidR="00880091" w:rsidRPr="002B43C8" w:rsidRDefault="00880091" w:rsidP="008F5E58">
            <w:pPr>
              <w:contextualSpacing/>
              <w:jc w:val="center"/>
              <w:rPr>
                <w:rFonts w:ascii="Arial" w:hAnsi="Arial" w:cs="Arial"/>
                <w:lang w:val="en-GB"/>
              </w:rPr>
            </w:pPr>
            <w:r w:rsidRPr="002B43C8">
              <w:rPr>
                <w:rFonts w:ascii="Arial" w:hAnsi="Arial" w:cs="Arial"/>
                <w:lang w:val="en-GB"/>
              </w:rPr>
              <w:t>MSIL</w:t>
            </w:r>
          </w:p>
        </w:tc>
        <w:tc>
          <w:tcPr>
            <w:tcW w:w="928" w:type="dxa"/>
            <w:vAlign w:val="center"/>
          </w:tcPr>
          <w:p w14:paraId="3F750BC0" w14:textId="77777777" w:rsidR="00880091" w:rsidRPr="002B43C8" w:rsidRDefault="00880091" w:rsidP="008F5E58">
            <w:pPr>
              <w:contextualSpacing/>
              <w:jc w:val="center"/>
              <w:rPr>
                <w:rFonts w:ascii="Arial" w:hAnsi="Arial" w:cs="Arial"/>
                <w:lang w:val="en-GB"/>
              </w:rPr>
            </w:pPr>
            <w:r w:rsidRPr="002B43C8">
              <w:rPr>
                <w:rFonts w:ascii="Arial" w:hAnsi="Arial" w:cs="Arial"/>
                <w:lang w:val="en-GB"/>
              </w:rPr>
              <w:t>Industry</w:t>
            </w:r>
          </w:p>
        </w:tc>
        <w:tc>
          <w:tcPr>
            <w:tcW w:w="975" w:type="dxa"/>
            <w:shd w:val="clear" w:color="auto" w:fill="auto"/>
            <w:noWrap/>
            <w:vAlign w:val="center"/>
          </w:tcPr>
          <w:p w14:paraId="0850A99B" w14:textId="77777777" w:rsidR="00880091" w:rsidRPr="002B43C8" w:rsidRDefault="00880091" w:rsidP="008F5E58">
            <w:pPr>
              <w:contextualSpacing/>
              <w:jc w:val="center"/>
              <w:rPr>
                <w:rFonts w:ascii="Arial" w:hAnsi="Arial" w:cs="Arial"/>
                <w:lang w:val="en-GB"/>
              </w:rPr>
            </w:pPr>
            <w:r w:rsidRPr="002B43C8">
              <w:rPr>
                <w:rFonts w:ascii="Arial" w:hAnsi="Arial" w:cs="Arial"/>
                <w:lang w:val="en-GB"/>
              </w:rPr>
              <w:t>MSIL</w:t>
            </w:r>
          </w:p>
        </w:tc>
        <w:tc>
          <w:tcPr>
            <w:tcW w:w="928" w:type="dxa"/>
            <w:vAlign w:val="center"/>
          </w:tcPr>
          <w:p w14:paraId="19876585" w14:textId="77777777" w:rsidR="00880091" w:rsidRPr="002B43C8" w:rsidRDefault="00880091" w:rsidP="008F5E58">
            <w:pPr>
              <w:contextualSpacing/>
              <w:jc w:val="center"/>
              <w:rPr>
                <w:rFonts w:ascii="Arial" w:hAnsi="Arial" w:cs="Arial"/>
                <w:lang w:val="en-GB"/>
              </w:rPr>
            </w:pPr>
            <w:r w:rsidRPr="002B43C8">
              <w:rPr>
                <w:rFonts w:ascii="Arial" w:hAnsi="Arial" w:cs="Arial"/>
                <w:lang w:val="en-GB"/>
              </w:rPr>
              <w:t>Industry</w:t>
            </w:r>
          </w:p>
        </w:tc>
        <w:tc>
          <w:tcPr>
            <w:tcW w:w="834" w:type="dxa"/>
            <w:vAlign w:val="center"/>
          </w:tcPr>
          <w:p w14:paraId="7A4E5A5B" w14:textId="77777777" w:rsidR="00880091" w:rsidRPr="002B43C8" w:rsidRDefault="00880091" w:rsidP="008F5E58">
            <w:pPr>
              <w:contextualSpacing/>
              <w:jc w:val="center"/>
              <w:rPr>
                <w:rFonts w:ascii="Arial" w:hAnsi="Arial" w:cs="Arial"/>
                <w:lang w:val="en-GB"/>
              </w:rPr>
            </w:pPr>
            <w:r w:rsidRPr="002B43C8">
              <w:rPr>
                <w:rFonts w:ascii="Arial" w:hAnsi="Arial" w:cs="Arial"/>
                <w:lang w:val="en-GB"/>
              </w:rPr>
              <w:t>MSIL</w:t>
            </w:r>
          </w:p>
        </w:tc>
        <w:tc>
          <w:tcPr>
            <w:tcW w:w="928" w:type="dxa"/>
            <w:vAlign w:val="center"/>
          </w:tcPr>
          <w:p w14:paraId="2AED5A5C" w14:textId="77777777" w:rsidR="00880091" w:rsidRPr="002B43C8" w:rsidRDefault="00880091" w:rsidP="008F5E58">
            <w:pPr>
              <w:contextualSpacing/>
              <w:jc w:val="center"/>
              <w:rPr>
                <w:rFonts w:ascii="Arial" w:hAnsi="Arial" w:cs="Arial"/>
                <w:lang w:val="en-GB"/>
              </w:rPr>
            </w:pPr>
            <w:r w:rsidRPr="002B43C8">
              <w:rPr>
                <w:rFonts w:ascii="Arial" w:hAnsi="Arial" w:cs="Arial"/>
                <w:lang w:val="en-GB"/>
              </w:rPr>
              <w:t>Industry</w:t>
            </w:r>
          </w:p>
        </w:tc>
        <w:tc>
          <w:tcPr>
            <w:tcW w:w="945" w:type="dxa"/>
            <w:vAlign w:val="center"/>
          </w:tcPr>
          <w:p w14:paraId="6EB0344A" w14:textId="77777777" w:rsidR="00880091" w:rsidRPr="002B43C8" w:rsidRDefault="00880091" w:rsidP="008F5E58">
            <w:pPr>
              <w:contextualSpacing/>
              <w:jc w:val="center"/>
              <w:rPr>
                <w:rFonts w:ascii="Arial" w:hAnsi="Arial" w:cs="Arial"/>
                <w:lang w:val="en-GB"/>
              </w:rPr>
            </w:pPr>
            <w:r w:rsidRPr="002B43C8">
              <w:rPr>
                <w:rFonts w:ascii="Arial" w:hAnsi="Arial" w:cs="Arial"/>
                <w:lang w:val="en-GB"/>
              </w:rPr>
              <w:t>MSIL</w:t>
            </w:r>
          </w:p>
        </w:tc>
        <w:tc>
          <w:tcPr>
            <w:tcW w:w="928" w:type="dxa"/>
            <w:shd w:val="clear" w:color="auto" w:fill="auto"/>
            <w:noWrap/>
            <w:vAlign w:val="center"/>
          </w:tcPr>
          <w:p w14:paraId="78D2F5E9" w14:textId="77777777" w:rsidR="00880091" w:rsidRPr="002B43C8" w:rsidRDefault="00880091" w:rsidP="008F5E58">
            <w:pPr>
              <w:contextualSpacing/>
              <w:jc w:val="center"/>
              <w:rPr>
                <w:rFonts w:ascii="Arial" w:hAnsi="Arial" w:cs="Arial"/>
                <w:lang w:val="en-GB"/>
              </w:rPr>
            </w:pPr>
            <w:r w:rsidRPr="002B43C8">
              <w:rPr>
                <w:rFonts w:ascii="Arial" w:hAnsi="Arial" w:cs="Arial"/>
                <w:lang w:val="en-GB"/>
              </w:rPr>
              <w:t>Industry</w:t>
            </w:r>
          </w:p>
        </w:tc>
      </w:tr>
      <w:tr w:rsidR="00802DB2" w:rsidRPr="002B43C8" w14:paraId="7A3E8A6D" w14:textId="77777777" w:rsidTr="00880091">
        <w:trPr>
          <w:trHeight w:val="219"/>
          <w:jc w:val="center"/>
        </w:trPr>
        <w:tc>
          <w:tcPr>
            <w:tcW w:w="1308" w:type="dxa"/>
            <w:shd w:val="clear" w:color="auto" w:fill="auto"/>
            <w:noWrap/>
            <w:vAlign w:val="center"/>
            <w:hideMark/>
          </w:tcPr>
          <w:p w14:paraId="01502483" w14:textId="1AEECB58" w:rsidR="000735FF" w:rsidRPr="00EC5423" w:rsidRDefault="000735FF" w:rsidP="008F5E58">
            <w:pPr>
              <w:contextualSpacing/>
              <w:rPr>
                <w:rFonts w:ascii="Arial" w:hAnsi="Arial" w:cs="Arial"/>
                <w:b/>
                <w:lang w:val="en-GB"/>
              </w:rPr>
            </w:pPr>
            <w:r w:rsidRPr="00EC5423">
              <w:rPr>
                <w:rFonts w:ascii="Arial" w:hAnsi="Arial" w:cs="Arial"/>
                <w:b/>
                <w:lang w:val="en-GB"/>
              </w:rPr>
              <w:t>2011</w:t>
            </w:r>
            <w:r w:rsidR="00165424" w:rsidRPr="00EC5423">
              <w:rPr>
                <w:rFonts w:ascii="Arial" w:hAnsi="Arial" w:cs="Arial"/>
                <w:b/>
                <w:lang w:val="en-GB"/>
              </w:rPr>
              <w:t>–</w:t>
            </w:r>
            <w:r w:rsidRPr="00EC5423">
              <w:rPr>
                <w:rFonts w:ascii="Arial" w:hAnsi="Arial" w:cs="Arial"/>
                <w:b/>
                <w:lang w:val="en-GB"/>
              </w:rPr>
              <w:t>12</w:t>
            </w:r>
          </w:p>
        </w:tc>
        <w:tc>
          <w:tcPr>
            <w:tcW w:w="683" w:type="dxa"/>
            <w:vAlign w:val="center"/>
          </w:tcPr>
          <w:p w14:paraId="7A9568B0"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w:t>
            </w:r>
          </w:p>
        </w:tc>
        <w:tc>
          <w:tcPr>
            <w:tcW w:w="928" w:type="dxa"/>
            <w:vAlign w:val="center"/>
          </w:tcPr>
          <w:p w14:paraId="50DE237F"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w:t>
            </w:r>
          </w:p>
        </w:tc>
        <w:tc>
          <w:tcPr>
            <w:tcW w:w="918" w:type="dxa"/>
            <w:shd w:val="clear" w:color="auto" w:fill="auto"/>
            <w:noWrap/>
            <w:vAlign w:val="center"/>
          </w:tcPr>
          <w:p w14:paraId="75049261"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w:t>
            </w:r>
          </w:p>
        </w:tc>
        <w:tc>
          <w:tcPr>
            <w:tcW w:w="928" w:type="dxa"/>
            <w:vAlign w:val="center"/>
          </w:tcPr>
          <w:p w14:paraId="4B708BDF"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w:t>
            </w:r>
          </w:p>
        </w:tc>
        <w:tc>
          <w:tcPr>
            <w:tcW w:w="827" w:type="dxa"/>
            <w:shd w:val="clear" w:color="auto" w:fill="auto"/>
            <w:noWrap/>
            <w:vAlign w:val="center"/>
          </w:tcPr>
          <w:p w14:paraId="37B2D4EF"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w:t>
            </w:r>
          </w:p>
        </w:tc>
        <w:tc>
          <w:tcPr>
            <w:tcW w:w="928" w:type="dxa"/>
            <w:vAlign w:val="center"/>
          </w:tcPr>
          <w:p w14:paraId="629FB661"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w:t>
            </w:r>
          </w:p>
        </w:tc>
        <w:tc>
          <w:tcPr>
            <w:tcW w:w="975" w:type="dxa"/>
            <w:shd w:val="clear" w:color="auto" w:fill="auto"/>
            <w:noWrap/>
            <w:vAlign w:val="center"/>
          </w:tcPr>
          <w:p w14:paraId="2424941C"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w:t>
            </w:r>
          </w:p>
        </w:tc>
        <w:tc>
          <w:tcPr>
            <w:tcW w:w="928" w:type="dxa"/>
            <w:vAlign w:val="center"/>
          </w:tcPr>
          <w:p w14:paraId="2A52CD17"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w:t>
            </w:r>
          </w:p>
        </w:tc>
        <w:tc>
          <w:tcPr>
            <w:tcW w:w="834" w:type="dxa"/>
            <w:vAlign w:val="center"/>
          </w:tcPr>
          <w:p w14:paraId="4592B9CE"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w:t>
            </w:r>
          </w:p>
        </w:tc>
        <w:tc>
          <w:tcPr>
            <w:tcW w:w="928" w:type="dxa"/>
            <w:vAlign w:val="center"/>
          </w:tcPr>
          <w:p w14:paraId="28EEF47F"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w:t>
            </w:r>
          </w:p>
        </w:tc>
        <w:tc>
          <w:tcPr>
            <w:tcW w:w="945" w:type="dxa"/>
            <w:vAlign w:val="center"/>
          </w:tcPr>
          <w:p w14:paraId="72266BC0"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w:t>
            </w:r>
          </w:p>
        </w:tc>
        <w:tc>
          <w:tcPr>
            <w:tcW w:w="928" w:type="dxa"/>
            <w:shd w:val="clear" w:color="auto" w:fill="auto"/>
            <w:noWrap/>
            <w:vAlign w:val="center"/>
          </w:tcPr>
          <w:p w14:paraId="470086C2"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w:t>
            </w:r>
          </w:p>
        </w:tc>
      </w:tr>
      <w:tr w:rsidR="00802DB2" w:rsidRPr="002B43C8" w14:paraId="213E04F3" w14:textId="77777777" w:rsidTr="00880091">
        <w:trPr>
          <w:trHeight w:val="219"/>
          <w:jc w:val="center"/>
        </w:trPr>
        <w:tc>
          <w:tcPr>
            <w:tcW w:w="1308" w:type="dxa"/>
            <w:shd w:val="clear" w:color="auto" w:fill="auto"/>
            <w:noWrap/>
            <w:vAlign w:val="center"/>
            <w:hideMark/>
          </w:tcPr>
          <w:p w14:paraId="4C518284" w14:textId="7E934C49" w:rsidR="000735FF" w:rsidRPr="00EC5423" w:rsidRDefault="000735FF" w:rsidP="008F5E58">
            <w:pPr>
              <w:contextualSpacing/>
              <w:rPr>
                <w:rFonts w:ascii="Arial" w:hAnsi="Arial" w:cs="Arial"/>
                <w:b/>
                <w:lang w:val="en-GB"/>
              </w:rPr>
            </w:pPr>
            <w:r w:rsidRPr="00EC5423">
              <w:rPr>
                <w:rFonts w:ascii="Arial" w:hAnsi="Arial" w:cs="Arial"/>
                <w:b/>
                <w:lang w:val="en-GB"/>
              </w:rPr>
              <w:t>2012</w:t>
            </w:r>
            <w:r w:rsidR="00AC7488" w:rsidRPr="00EC5423">
              <w:rPr>
                <w:rFonts w:ascii="Arial" w:hAnsi="Arial" w:cs="Arial"/>
                <w:b/>
                <w:lang w:val="en-GB"/>
              </w:rPr>
              <w:t>–</w:t>
            </w:r>
            <w:r w:rsidRPr="00EC5423">
              <w:rPr>
                <w:rFonts w:ascii="Arial" w:hAnsi="Arial" w:cs="Arial"/>
                <w:b/>
                <w:lang w:val="en-GB"/>
              </w:rPr>
              <w:t>13</w:t>
            </w:r>
          </w:p>
        </w:tc>
        <w:tc>
          <w:tcPr>
            <w:tcW w:w="683" w:type="dxa"/>
            <w:vAlign w:val="center"/>
          </w:tcPr>
          <w:p w14:paraId="6E08D2CC"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0</w:t>
            </w:r>
          </w:p>
        </w:tc>
        <w:tc>
          <w:tcPr>
            <w:tcW w:w="928" w:type="dxa"/>
            <w:vAlign w:val="center"/>
          </w:tcPr>
          <w:p w14:paraId="638BDBEF" w14:textId="17C61C6E" w:rsidR="000735FF" w:rsidRPr="002B43C8" w:rsidRDefault="00246B2D" w:rsidP="008F5E58">
            <w:pPr>
              <w:contextualSpacing/>
              <w:jc w:val="right"/>
              <w:rPr>
                <w:rFonts w:ascii="Arial" w:hAnsi="Arial" w:cs="Arial"/>
                <w:lang w:val="en-GB"/>
              </w:rPr>
            </w:pPr>
            <w:r w:rsidRPr="00732E0A">
              <w:rPr>
                <w:rStyle w:val="s1"/>
                <w:rFonts w:ascii="Arial" w:eastAsiaTheme="minorEastAsia" w:hAnsi="Arial" w:cs="Arial"/>
                <w:sz w:val="19"/>
                <w:szCs w:val="19"/>
              </w:rPr>
              <w:t>−</w:t>
            </w:r>
            <w:r w:rsidR="000735FF" w:rsidRPr="002B43C8">
              <w:rPr>
                <w:rFonts w:ascii="Arial" w:hAnsi="Arial" w:cs="Arial"/>
                <w:lang w:val="en-GB"/>
              </w:rPr>
              <w:t>30.75</w:t>
            </w:r>
          </w:p>
        </w:tc>
        <w:tc>
          <w:tcPr>
            <w:tcW w:w="918" w:type="dxa"/>
            <w:shd w:val="clear" w:color="auto" w:fill="auto"/>
            <w:noWrap/>
            <w:vAlign w:val="center"/>
          </w:tcPr>
          <w:p w14:paraId="07815B89" w14:textId="263D63FB"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12.59</w:t>
            </w:r>
          </w:p>
        </w:tc>
        <w:tc>
          <w:tcPr>
            <w:tcW w:w="928" w:type="dxa"/>
            <w:vAlign w:val="center"/>
          </w:tcPr>
          <w:p w14:paraId="08A145FA" w14:textId="1C315A9E"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12.78</w:t>
            </w:r>
          </w:p>
        </w:tc>
        <w:tc>
          <w:tcPr>
            <w:tcW w:w="827" w:type="dxa"/>
            <w:shd w:val="clear" w:color="auto" w:fill="auto"/>
            <w:noWrap/>
            <w:vAlign w:val="center"/>
          </w:tcPr>
          <w:p w14:paraId="2E064BEE" w14:textId="1955B48E" w:rsidR="000735FF" w:rsidRPr="002B43C8" w:rsidRDefault="000735FF" w:rsidP="008F5E58">
            <w:pPr>
              <w:contextualSpacing/>
              <w:jc w:val="right"/>
              <w:rPr>
                <w:rFonts w:ascii="Arial" w:hAnsi="Arial" w:cs="Arial"/>
                <w:lang w:val="en-GB"/>
              </w:rPr>
            </w:pPr>
            <w:r w:rsidRPr="002B43C8">
              <w:rPr>
                <w:rFonts w:ascii="Arial" w:hAnsi="Arial" w:cs="Arial"/>
                <w:lang w:val="en-GB"/>
              </w:rPr>
              <w:t>8.3</w:t>
            </w:r>
            <w:r w:rsidR="00561043">
              <w:rPr>
                <w:rFonts w:ascii="Arial" w:hAnsi="Arial" w:cs="Arial"/>
                <w:lang w:val="en-GB"/>
              </w:rPr>
              <w:t>0</w:t>
            </w:r>
          </w:p>
        </w:tc>
        <w:tc>
          <w:tcPr>
            <w:tcW w:w="928" w:type="dxa"/>
            <w:vAlign w:val="center"/>
          </w:tcPr>
          <w:p w14:paraId="429BC792" w14:textId="2C6E2F59"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2.75</w:t>
            </w:r>
          </w:p>
        </w:tc>
        <w:tc>
          <w:tcPr>
            <w:tcW w:w="975" w:type="dxa"/>
            <w:shd w:val="clear" w:color="auto" w:fill="auto"/>
            <w:noWrap/>
            <w:vAlign w:val="center"/>
          </w:tcPr>
          <w:p w14:paraId="6D440B45"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53.98</w:t>
            </w:r>
          </w:p>
        </w:tc>
        <w:tc>
          <w:tcPr>
            <w:tcW w:w="928" w:type="dxa"/>
            <w:vAlign w:val="center"/>
          </w:tcPr>
          <w:p w14:paraId="66715119"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32.37</w:t>
            </w:r>
          </w:p>
        </w:tc>
        <w:tc>
          <w:tcPr>
            <w:tcW w:w="834" w:type="dxa"/>
            <w:vAlign w:val="center"/>
          </w:tcPr>
          <w:p w14:paraId="24410FD0" w14:textId="1A1B3BE8"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62.74</w:t>
            </w:r>
          </w:p>
        </w:tc>
        <w:tc>
          <w:tcPr>
            <w:tcW w:w="928" w:type="dxa"/>
            <w:vAlign w:val="center"/>
          </w:tcPr>
          <w:p w14:paraId="6F086F55" w14:textId="707FEC0A" w:rsidR="000735FF" w:rsidRPr="002B43C8" w:rsidRDefault="000735FF" w:rsidP="008F5E58">
            <w:pPr>
              <w:contextualSpacing/>
              <w:jc w:val="right"/>
              <w:rPr>
                <w:rFonts w:ascii="Arial" w:hAnsi="Arial" w:cs="Arial"/>
                <w:lang w:val="en-GB"/>
              </w:rPr>
            </w:pPr>
            <w:r w:rsidRPr="002B43C8">
              <w:rPr>
                <w:rFonts w:ascii="Arial" w:hAnsi="Arial" w:cs="Arial"/>
                <w:lang w:val="en-GB"/>
              </w:rPr>
              <w:t>7.1</w:t>
            </w:r>
            <w:r w:rsidR="00561043">
              <w:rPr>
                <w:rFonts w:ascii="Arial" w:hAnsi="Arial" w:cs="Arial"/>
                <w:lang w:val="en-GB"/>
              </w:rPr>
              <w:t>0</w:t>
            </w:r>
          </w:p>
        </w:tc>
        <w:tc>
          <w:tcPr>
            <w:tcW w:w="945" w:type="dxa"/>
            <w:vAlign w:val="center"/>
          </w:tcPr>
          <w:p w14:paraId="31A408BD" w14:textId="21D5ED34"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58.96</w:t>
            </w:r>
          </w:p>
        </w:tc>
        <w:tc>
          <w:tcPr>
            <w:tcW w:w="928" w:type="dxa"/>
            <w:shd w:val="clear" w:color="auto" w:fill="auto"/>
            <w:noWrap/>
            <w:vAlign w:val="center"/>
          </w:tcPr>
          <w:p w14:paraId="7CF0140C" w14:textId="26F9A707"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36.25</w:t>
            </w:r>
          </w:p>
        </w:tc>
      </w:tr>
      <w:tr w:rsidR="00802DB2" w:rsidRPr="002B43C8" w14:paraId="5F12C1E5" w14:textId="77777777" w:rsidTr="00880091">
        <w:trPr>
          <w:trHeight w:val="219"/>
          <w:jc w:val="center"/>
        </w:trPr>
        <w:tc>
          <w:tcPr>
            <w:tcW w:w="1308" w:type="dxa"/>
            <w:shd w:val="clear" w:color="auto" w:fill="auto"/>
            <w:noWrap/>
            <w:vAlign w:val="center"/>
            <w:hideMark/>
          </w:tcPr>
          <w:p w14:paraId="6350AA07" w14:textId="76BC4AD9" w:rsidR="000735FF" w:rsidRPr="00EC5423" w:rsidRDefault="000735FF" w:rsidP="008F5E58">
            <w:pPr>
              <w:contextualSpacing/>
              <w:rPr>
                <w:rFonts w:ascii="Arial" w:hAnsi="Arial" w:cs="Arial"/>
                <w:b/>
                <w:lang w:val="en-GB"/>
              </w:rPr>
            </w:pPr>
            <w:r w:rsidRPr="00EC5423">
              <w:rPr>
                <w:rFonts w:ascii="Arial" w:hAnsi="Arial" w:cs="Arial"/>
                <w:b/>
                <w:lang w:val="en-GB"/>
              </w:rPr>
              <w:t>2013</w:t>
            </w:r>
            <w:r w:rsidR="00AC7488" w:rsidRPr="00EC5423">
              <w:rPr>
                <w:rFonts w:ascii="Arial" w:hAnsi="Arial" w:cs="Arial"/>
                <w:b/>
                <w:lang w:val="en-GB"/>
              </w:rPr>
              <w:t>–</w:t>
            </w:r>
            <w:r w:rsidRPr="00EC5423">
              <w:rPr>
                <w:rFonts w:ascii="Arial" w:hAnsi="Arial" w:cs="Arial"/>
                <w:b/>
                <w:lang w:val="en-GB"/>
              </w:rPr>
              <w:t>14</w:t>
            </w:r>
          </w:p>
        </w:tc>
        <w:tc>
          <w:tcPr>
            <w:tcW w:w="683" w:type="dxa"/>
            <w:vAlign w:val="center"/>
          </w:tcPr>
          <w:p w14:paraId="2897C0E3"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0</w:t>
            </w:r>
          </w:p>
        </w:tc>
        <w:tc>
          <w:tcPr>
            <w:tcW w:w="928" w:type="dxa"/>
            <w:vAlign w:val="center"/>
          </w:tcPr>
          <w:p w14:paraId="60CF7EFB" w14:textId="012B3ED5" w:rsidR="000735FF" w:rsidRPr="002B43C8" w:rsidRDefault="00246B2D" w:rsidP="008F5E58">
            <w:pPr>
              <w:contextualSpacing/>
              <w:jc w:val="right"/>
              <w:rPr>
                <w:rFonts w:ascii="Arial" w:hAnsi="Arial" w:cs="Arial"/>
                <w:lang w:val="en-GB"/>
              </w:rPr>
            </w:pPr>
            <w:r w:rsidRPr="00732E0A">
              <w:rPr>
                <w:rStyle w:val="s1"/>
                <w:rFonts w:ascii="Arial" w:eastAsiaTheme="minorEastAsia" w:hAnsi="Arial" w:cs="Arial"/>
                <w:sz w:val="19"/>
                <w:szCs w:val="19"/>
              </w:rPr>
              <w:t>−</w:t>
            </w:r>
            <w:r w:rsidR="000735FF" w:rsidRPr="002B43C8">
              <w:rPr>
                <w:rFonts w:ascii="Arial" w:hAnsi="Arial" w:cs="Arial"/>
                <w:lang w:val="en-GB"/>
              </w:rPr>
              <w:t>60.71</w:t>
            </w:r>
          </w:p>
        </w:tc>
        <w:tc>
          <w:tcPr>
            <w:tcW w:w="918" w:type="dxa"/>
            <w:shd w:val="clear" w:color="auto" w:fill="auto"/>
            <w:noWrap/>
            <w:vAlign w:val="center"/>
          </w:tcPr>
          <w:p w14:paraId="13475E12"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1.51</w:t>
            </w:r>
          </w:p>
        </w:tc>
        <w:tc>
          <w:tcPr>
            <w:tcW w:w="928" w:type="dxa"/>
            <w:vAlign w:val="center"/>
          </w:tcPr>
          <w:p w14:paraId="33F087D2" w14:textId="73161AD0"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4.01</w:t>
            </w:r>
          </w:p>
        </w:tc>
        <w:tc>
          <w:tcPr>
            <w:tcW w:w="827" w:type="dxa"/>
            <w:shd w:val="clear" w:color="auto" w:fill="auto"/>
            <w:noWrap/>
            <w:vAlign w:val="center"/>
          </w:tcPr>
          <w:p w14:paraId="2D974E5E" w14:textId="07FC679B" w:rsidR="000735FF" w:rsidRPr="002B43C8" w:rsidRDefault="000735FF" w:rsidP="008F5E58">
            <w:pPr>
              <w:contextualSpacing/>
              <w:jc w:val="right"/>
              <w:rPr>
                <w:rFonts w:ascii="Arial" w:hAnsi="Arial" w:cs="Arial"/>
                <w:lang w:val="en-GB"/>
              </w:rPr>
            </w:pPr>
            <w:r w:rsidRPr="002B43C8">
              <w:rPr>
                <w:rFonts w:ascii="Arial" w:hAnsi="Arial" w:cs="Arial"/>
                <w:lang w:val="en-GB"/>
              </w:rPr>
              <w:t>72.5</w:t>
            </w:r>
            <w:r w:rsidR="00561043">
              <w:rPr>
                <w:rFonts w:ascii="Arial" w:hAnsi="Arial" w:cs="Arial"/>
                <w:lang w:val="en-GB"/>
              </w:rPr>
              <w:t>0</w:t>
            </w:r>
          </w:p>
        </w:tc>
        <w:tc>
          <w:tcPr>
            <w:tcW w:w="928" w:type="dxa"/>
            <w:vAlign w:val="center"/>
          </w:tcPr>
          <w:p w14:paraId="20A64624"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16.67</w:t>
            </w:r>
          </w:p>
        </w:tc>
        <w:tc>
          <w:tcPr>
            <w:tcW w:w="975" w:type="dxa"/>
            <w:shd w:val="clear" w:color="auto" w:fill="auto"/>
            <w:noWrap/>
            <w:vAlign w:val="center"/>
          </w:tcPr>
          <w:p w14:paraId="25DD8C53" w14:textId="791F6BBD"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94.1</w:t>
            </w:r>
            <w:r w:rsidR="00561043">
              <w:rPr>
                <w:rFonts w:ascii="Arial" w:hAnsi="Arial" w:cs="Arial"/>
                <w:lang w:val="en-GB"/>
              </w:rPr>
              <w:t>0</w:t>
            </w:r>
          </w:p>
        </w:tc>
        <w:tc>
          <w:tcPr>
            <w:tcW w:w="928" w:type="dxa"/>
            <w:vAlign w:val="center"/>
          </w:tcPr>
          <w:p w14:paraId="3F5D1D4D" w14:textId="3A8B4E1B"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68.8</w:t>
            </w:r>
            <w:r w:rsidR="00561043">
              <w:rPr>
                <w:rFonts w:ascii="Arial" w:hAnsi="Arial" w:cs="Arial"/>
                <w:lang w:val="en-GB"/>
              </w:rPr>
              <w:t>0</w:t>
            </w:r>
          </w:p>
        </w:tc>
        <w:tc>
          <w:tcPr>
            <w:tcW w:w="834" w:type="dxa"/>
            <w:vAlign w:val="center"/>
          </w:tcPr>
          <w:p w14:paraId="7239E1F2" w14:textId="4EB0BCCA"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39.93</w:t>
            </w:r>
          </w:p>
        </w:tc>
        <w:tc>
          <w:tcPr>
            <w:tcW w:w="928" w:type="dxa"/>
            <w:vAlign w:val="center"/>
          </w:tcPr>
          <w:p w14:paraId="319DEBFD" w14:textId="6D477A34"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4.73</w:t>
            </w:r>
          </w:p>
        </w:tc>
        <w:tc>
          <w:tcPr>
            <w:tcW w:w="945" w:type="dxa"/>
            <w:vAlign w:val="center"/>
          </w:tcPr>
          <w:p w14:paraId="1273121E" w14:textId="768F329E"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100</w:t>
            </w:r>
            <w:r w:rsidR="00561043">
              <w:rPr>
                <w:rFonts w:ascii="Arial" w:hAnsi="Arial" w:cs="Arial"/>
                <w:lang w:val="en-GB"/>
              </w:rPr>
              <w:t>.00</w:t>
            </w:r>
          </w:p>
        </w:tc>
        <w:tc>
          <w:tcPr>
            <w:tcW w:w="928" w:type="dxa"/>
            <w:shd w:val="clear" w:color="auto" w:fill="auto"/>
            <w:noWrap/>
            <w:vAlign w:val="center"/>
          </w:tcPr>
          <w:p w14:paraId="638ACE21" w14:textId="209A8BEA"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22.57</w:t>
            </w:r>
          </w:p>
        </w:tc>
      </w:tr>
      <w:tr w:rsidR="00802DB2" w:rsidRPr="002B43C8" w14:paraId="7D773492" w14:textId="77777777" w:rsidTr="00880091">
        <w:trPr>
          <w:trHeight w:val="219"/>
          <w:jc w:val="center"/>
        </w:trPr>
        <w:tc>
          <w:tcPr>
            <w:tcW w:w="1308" w:type="dxa"/>
            <w:shd w:val="clear" w:color="auto" w:fill="auto"/>
            <w:noWrap/>
            <w:vAlign w:val="center"/>
            <w:hideMark/>
          </w:tcPr>
          <w:p w14:paraId="6DA55C55" w14:textId="6B97B8A1" w:rsidR="000735FF" w:rsidRPr="00EC5423" w:rsidRDefault="000735FF" w:rsidP="008F5E58">
            <w:pPr>
              <w:contextualSpacing/>
              <w:rPr>
                <w:rFonts w:ascii="Arial" w:hAnsi="Arial" w:cs="Arial"/>
                <w:b/>
                <w:lang w:val="en-GB"/>
              </w:rPr>
            </w:pPr>
            <w:r w:rsidRPr="00EC5423">
              <w:rPr>
                <w:rFonts w:ascii="Arial" w:hAnsi="Arial" w:cs="Arial"/>
                <w:b/>
                <w:lang w:val="en-GB"/>
              </w:rPr>
              <w:t>2014</w:t>
            </w:r>
            <w:r w:rsidR="00AC7488" w:rsidRPr="00EC5423">
              <w:rPr>
                <w:rFonts w:ascii="Arial" w:hAnsi="Arial" w:cs="Arial"/>
                <w:b/>
                <w:lang w:val="en-GB"/>
              </w:rPr>
              <w:t>–</w:t>
            </w:r>
            <w:r w:rsidRPr="00EC5423">
              <w:rPr>
                <w:rFonts w:ascii="Arial" w:hAnsi="Arial" w:cs="Arial"/>
                <w:b/>
                <w:lang w:val="en-GB"/>
              </w:rPr>
              <w:t>15</w:t>
            </w:r>
          </w:p>
        </w:tc>
        <w:tc>
          <w:tcPr>
            <w:tcW w:w="683" w:type="dxa"/>
            <w:vAlign w:val="center"/>
          </w:tcPr>
          <w:p w14:paraId="7BD42987"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0</w:t>
            </w:r>
          </w:p>
        </w:tc>
        <w:tc>
          <w:tcPr>
            <w:tcW w:w="928" w:type="dxa"/>
            <w:vAlign w:val="center"/>
          </w:tcPr>
          <w:p w14:paraId="154A1B9A" w14:textId="799BDCCF"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18.47</w:t>
            </w:r>
          </w:p>
        </w:tc>
        <w:tc>
          <w:tcPr>
            <w:tcW w:w="918" w:type="dxa"/>
            <w:shd w:val="clear" w:color="auto" w:fill="auto"/>
            <w:noWrap/>
            <w:vAlign w:val="center"/>
          </w:tcPr>
          <w:p w14:paraId="5711AAA7" w14:textId="6B72FA77"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2.36</w:t>
            </w:r>
          </w:p>
        </w:tc>
        <w:tc>
          <w:tcPr>
            <w:tcW w:w="928" w:type="dxa"/>
            <w:vAlign w:val="center"/>
          </w:tcPr>
          <w:p w14:paraId="5BCC9BFD" w14:textId="34FF9E71"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8.26</w:t>
            </w:r>
          </w:p>
        </w:tc>
        <w:tc>
          <w:tcPr>
            <w:tcW w:w="827" w:type="dxa"/>
            <w:shd w:val="clear" w:color="auto" w:fill="auto"/>
            <w:noWrap/>
            <w:vAlign w:val="center"/>
          </w:tcPr>
          <w:p w14:paraId="53891226"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12.63</w:t>
            </w:r>
          </w:p>
        </w:tc>
        <w:tc>
          <w:tcPr>
            <w:tcW w:w="928" w:type="dxa"/>
            <w:vAlign w:val="center"/>
          </w:tcPr>
          <w:p w14:paraId="4C8A2275"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6.25</w:t>
            </w:r>
          </w:p>
        </w:tc>
        <w:tc>
          <w:tcPr>
            <w:tcW w:w="975" w:type="dxa"/>
            <w:shd w:val="clear" w:color="auto" w:fill="auto"/>
            <w:noWrap/>
            <w:vAlign w:val="center"/>
          </w:tcPr>
          <w:p w14:paraId="6A58B67F"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86.17</w:t>
            </w:r>
          </w:p>
        </w:tc>
        <w:tc>
          <w:tcPr>
            <w:tcW w:w="928" w:type="dxa"/>
            <w:vAlign w:val="center"/>
          </w:tcPr>
          <w:p w14:paraId="685E17BA" w14:textId="4D6E2E97"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12.47</w:t>
            </w:r>
          </w:p>
        </w:tc>
        <w:tc>
          <w:tcPr>
            <w:tcW w:w="834" w:type="dxa"/>
            <w:vAlign w:val="center"/>
          </w:tcPr>
          <w:p w14:paraId="7CC1227E"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722.81</w:t>
            </w:r>
          </w:p>
        </w:tc>
        <w:tc>
          <w:tcPr>
            <w:tcW w:w="928" w:type="dxa"/>
            <w:vAlign w:val="center"/>
          </w:tcPr>
          <w:p w14:paraId="18553982"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29.24</w:t>
            </w:r>
          </w:p>
        </w:tc>
        <w:tc>
          <w:tcPr>
            <w:tcW w:w="945" w:type="dxa"/>
            <w:vAlign w:val="center"/>
          </w:tcPr>
          <w:p w14:paraId="188BDBEA" w14:textId="6E95C252" w:rsidR="000735FF" w:rsidRPr="002B43C8" w:rsidRDefault="000735FF" w:rsidP="008F5E58">
            <w:pPr>
              <w:contextualSpacing/>
              <w:jc w:val="right"/>
              <w:rPr>
                <w:rFonts w:ascii="Arial" w:hAnsi="Arial" w:cs="Arial"/>
                <w:lang w:val="en-GB"/>
              </w:rPr>
            </w:pPr>
            <w:r w:rsidRPr="002B43C8">
              <w:rPr>
                <w:rFonts w:ascii="Arial" w:hAnsi="Arial" w:cs="Arial"/>
                <w:lang w:val="en-GB"/>
              </w:rPr>
              <w:t>0</w:t>
            </w:r>
            <w:r w:rsidR="00561043">
              <w:rPr>
                <w:rFonts w:ascii="Arial" w:hAnsi="Arial" w:cs="Arial"/>
                <w:lang w:val="en-GB"/>
              </w:rPr>
              <w:t>.00</w:t>
            </w:r>
          </w:p>
        </w:tc>
        <w:tc>
          <w:tcPr>
            <w:tcW w:w="928" w:type="dxa"/>
            <w:shd w:val="clear" w:color="auto" w:fill="auto"/>
            <w:noWrap/>
            <w:vAlign w:val="center"/>
          </w:tcPr>
          <w:p w14:paraId="48804F83"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10.49</w:t>
            </w:r>
          </w:p>
        </w:tc>
      </w:tr>
      <w:tr w:rsidR="00802DB2" w:rsidRPr="002B43C8" w14:paraId="68207ED5" w14:textId="77777777" w:rsidTr="00880091">
        <w:trPr>
          <w:trHeight w:val="193"/>
          <w:jc w:val="center"/>
        </w:trPr>
        <w:tc>
          <w:tcPr>
            <w:tcW w:w="1308" w:type="dxa"/>
            <w:shd w:val="clear" w:color="auto" w:fill="auto"/>
            <w:noWrap/>
            <w:vAlign w:val="center"/>
            <w:hideMark/>
          </w:tcPr>
          <w:p w14:paraId="6128B907" w14:textId="004B7D8F" w:rsidR="000735FF" w:rsidRPr="00EC5423" w:rsidRDefault="000735FF" w:rsidP="008F5E58">
            <w:pPr>
              <w:contextualSpacing/>
              <w:rPr>
                <w:rFonts w:ascii="Arial" w:hAnsi="Arial" w:cs="Arial"/>
                <w:b/>
                <w:lang w:val="en-GB"/>
              </w:rPr>
            </w:pPr>
            <w:r w:rsidRPr="00EC5423">
              <w:rPr>
                <w:rFonts w:ascii="Arial" w:hAnsi="Arial" w:cs="Arial"/>
                <w:b/>
                <w:lang w:val="en-GB"/>
              </w:rPr>
              <w:t>2015</w:t>
            </w:r>
            <w:r w:rsidR="00AC7488" w:rsidRPr="00EC5423">
              <w:rPr>
                <w:rFonts w:ascii="Arial" w:hAnsi="Arial" w:cs="Arial"/>
                <w:b/>
                <w:lang w:val="en-GB"/>
              </w:rPr>
              <w:t>–</w:t>
            </w:r>
            <w:r w:rsidRPr="00EC5423">
              <w:rPr>
                <w:rFonts w:ascii="Arial" w:hAnsi="Arial" w:cs="Arial"/>
                <w:b/>
                <w:lang w:val="en-GB"/>
              </w:rPr>
              <w:t>16</w:t>
            </w:r>
          </w:p>
        </w:tc>
        <w:tc>
          <w:tcPr>
            <w:tcW w:w="683" w:type="dxa"/>
            <w:vAlign w:val="center"/>
          </w:tcPr>
          <w:p w14:paraId="724F2246"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0</w:t>
            </w:r>
          </w:p>
        </w:tc>
        <w:tc>
          <w:tcPr>
            <w:tcW w:w="928" w:type="dxa"/>
            <w:vAlign w:val="center"/>
          </w:tcPr>
          <w:p w14:paraId="60E2C460"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27.92</w:t>
            </w:r>
          </w:p>
        </w:tc>
        <w:tc>
          <w:tcPr>
            <w:tcW w:w="918" w:type="dxa"/>
            <w:shd w:val="clear" w:color="auto" w:fill="auto"/>
            <w:noWrap/>
            <w:vAlign w:val="center"/>
          </w:tcPr>
          <w:p w14:paraId="769474E8" w14:textId="1BCCE203" w:rsidR="000735FF" w:rsidRPr="002B43C8" w:rsidRDefault="000735FF" w:rsidP="008F5E58">
            <w:pPr>
              <w:contextualSpacing/>
              <w:jc w:val="right"/>
              <w:rPr>
                <w:rFonts w:ascii="Arial" w:hAnsi="Arial" w:cs="Arial"/>
                <w:lang w:val="en-GB"/>
              </w:rPr>
            </w:pPr>
            <w:r w:rsidRPr="002B43C8">
              <w:rPr>
                <w:rFonts w:ascii="Arial" w:hAnsi="Arial" w:cs="Arial"/>
                <w:lang w:val="en-GB"/>
              </w:rPr>
              <w:t>1.7</w:t>
            </w:r>
            <w:r w:rsidR="00561043">
              <w:rPr>
                <w:rFonts w:ascii="Arial" w:hAnsi="Arial" w:cs="Arial"/>
                <w:lang w:val="en-GB"/>
              </w:rPr>
              <w:t>0</w:t>
            </w:r>
          </w:p>
        </w:tc>
        <w:tc>
          <w:tcPr>
            <w:tcW w:w="928" w:type="dxa"/>
            <w:vAlign w:val="center"/>
          </w:tcPr>
          <w:p w14:paraId="3855E6E9" w14:textId="1E074E5B" w:rsidR="000735FF" w:rsidRPr="002B43C8" w:rsidRDefault="000735FF" w:rsidP="008F5E58">
            <w:pPr>
              <w:contextualSpacing/>
              <w:jc w:val="right"/>
              <w:rPr>
                <w:rFonts w:ascii="Arial" w:hAnsi="Arial" w:cs="Arial"/>
                <w:lang w:val="en-GB"/>
              </w:rPr>
            </w:pPr>
            <w:r w:rsidRPr="002B43C8">
              <w:rPr>
                <w:rFonts w:ascii="Arial" w:hAnsi="Arial" w:cs="Arial"/>
                <w:lang w:val="en-GB"/>
              </w:rPr>
              <w:t>1.7</w:t>
            </w:r>
            <w:r w:rsidR="00561043">
              <w:rPr>
                <w:rFonts w:ascii="Arial" w:hAnsi="Arial" w:cs="Arial"/>
                <w:lang w:val="en-GB"/>
              </w:rPr>
              <w:t>0</w:t>
            </w:r>
          </w:p>
        </w:tc>
        <w:tc>
          <w:tcPr>
            <w:tcW w:w="827" w:type="dxa"/>
            <w:shd w:val="clear" w:color="auto" w:fill="auto"/>
            <w:noWrap/>
            <w:vAlign w:val="center"/>
          </w:tcPr>
          <w:p w14:paraId="52885195"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9.27</w:t>
            </w:r>
          </w:p>
        </w:tc>
        <w:tc>
          <w:tcPr>
            <w:tcW w:w="928" w:type="dxa"/>
            <w:vAlign w:val="center"/>
          </w:tcPr>
          <w:p w14:paraId="52AEB245"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8.75</w:t>
            </w:r>
          </w:p>
        </w:tc>
        <w:tc>
          <w:tcPr>
            <w:tcW w:w="975" w:type="dxa"/>
            <w:shd w:val="clear" w:color="auto" w:fill="auto"/>
            <w:noWrap/>
            <w:vAlign w:val="center"/>
          </w:tcPr>
          <w:p w14:paraId="12F9E58C" w14:textId="457527F9" w:rsidR="000735FF" w:rsidRPr="002B43C8" w:rsidRDefault="000735FF" w:rsidP="008F5E58">
            <w:pPr>
              <w:contextualSpacing/>
              <w:jc w:val="right"/>
              <w:rPr>
                <w:rFonts w:ascii="Arial" w:hAnsi="Arial" w:cs="Arial"/>
                <w:lang w:val="en-GB"/>
              </w:rPr>
            </w:pPr>
            <w:r w:rsidRPr="002B43C8">
              <w:rPr>
                <w:rFonts w:ascii="Arial" w:hAnsi="Arial" w:cs="Arial"/>
                <w:lang w:val="en-GB"/>
              </w:rPr>
              <w:t>105.5</w:t>
            </w:r>
            <w:r w:rsidR="00561043">
              <w:rPr>
                <w:rFonts w:ascii="Arial" w:hAnsi="Arial" w:cs="Arial"/>
                <w:lang w:val="en-GB"/>
              </w:rPr>
              <w:t>0</w:t>
            </w:r>
          </w:p>
        </w:tc>
        <w:tc>
          <w:tcPr>
            <w:tcW w:w="928" w:type="dxa"/>
            <w:vAlign w:val="center"/>
          </w:tcPr>
          <w:p w14:paraId="17E7F597" w14:textId="77777777" w:rsidR="000735FF" w:rsidRPr="002B43C8" w:rsidRDefault="000735FF" w:rsidP="008F5E58">
            <w:pPr>
              <w:contextualSpacing/>
              <w:jc w:val="right"/>
              <w:rPr>
                <w:rFonts w:ascii="Arial" w:hAnsi="Arial" w:cs="Arial"/>
                <w:lang w:val="en-GB"/>
              </w:rPr>
            </w:pPr>
            <w:r w:rsidRPr="002B43C8">
              <w:rPr>
                <w:rFonts w:ascii="Arial" w:hAnsi="Arial" w:cs="Arial"/>
                <w:lang w:val="en-GB"/>
              </w:rPr>
              <w:t>14.06</w:t>
            </w:r>
          </w:p>
        </w:tc>
        <w:tc>
          <w:tcPr>
            <w:tcW w:w="834" w:type="dxa"/>
            <w:vAlign w:val="center"/>
          </w:tcPr>
          <w:p w14:paraId="38C57181" w14:textId="0D4022B3" w:rsidR="000735FF" w:rsidRPr="002B43C8" w:rsidRDefault="000735FF" w:rsidP="008F5E58">
            <w:pPr>
              <w:contextualSpacing/>
              <w:jc w:val="right"/>
              <w:rPr>
                <w:rFonts w:ascii="Arial" w:hAnsi="Arial" w:cs="Arial"/>
                <w:lang w:val="en-GB"/>
              </w:rPr>
            </w:pPr>
            <w:r w:rsidRPr="002B43C8">
              <w:rPr>
                <w:rFonts w:ascii="Arial" w:hAnsi="Arial" w:cs="Arial"/>
                <w:lang w:val="en-GB"/>
              </w:rPr>
              <w:t>63.6</w:t>
            </w:r>
            <w:r w:rsidR="00561043">
              <w:rPr>
                <w:rFonts w:ascii="Arial" w:hAnsi="Arial" w:cs="Arial"/>
                <w:lang w:val="en-GB"/>
              </w:rPr>
              <w:t>0</w:t>
            </w:r>
          </w:p>
        </w:tc>
        <w:tc>
          <w:tcPr>
            <w:tcW w:w="928" w:type="dxa"/>
            <w:vAlign w:val="center"/>
          </w:tcPr>
          <w:p w14:paraId="09A03EEE" w14:textId="30F80A54"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2.05</w:t>
            </w:r>
          </w:p>
        </w:tc>
        <w:tc>
          <w:tcPr>
            <w:tcW w:w="945" w:type="dxa"/>
            <w:vAlign w:val="center"/>
          </w:tcPr>
          <w:p w14:paraId="639AD480" w14:textId="024CA56D" w:rsidR="000735FF" w:rsidRPr="002B43C8" w:rsidRDefault="000735FF" w:rsidP="008F5E58">
            <w:pPr>
              <w:contextualSpacing/>
              <w:jc w:val="right"/>
              <w:rPr>
                <w:rFonts w:ascii="Arial" w:hAnsi="Arial" w:cs="Arial"/>
                <w:lang w:val="en-GB"/>
              </w:rPr>
            </w:pPr>
            <w:r w:rsidRPr="002B43C8">
              <w:rPr>
                <w:rFonts w:ascii="Arial" w:hAnsi="Arial" w:cs="Arial"/>
                <w:lang w:val="en-GB"/>
              </w:rPr>
              <w:t>0</w:t>
            </w:r>
            <w:r w:rsidR="00561043">
              <w:rPr>
                <w:rFonts w:ascii="Arial" w:hAnsi="Arial" w:cs="Arial"/>
                <w:lang w:val="en-GB"/>
              </w:rPr>
              <w:t>.00</w:t>
            </w:r>
          </w:p>
        </w:tc>
        <w:tc>
          <w:tcPr>
            <w:tcW w:w="928" w:type="dxa"/>
            <w:shd w:val="clear" w:color="auto" w:fill="auto"/>
            <w:noWrap/>
            <w:vAlign w:val="center"/>
          </w:tcPr>
          <w:p w14:paraId="45D71A80" w14:textId="36B1053E" w:rsidR="000735FF" w:rsidRPr="002B43C8" w:rsidRDefault="00AC7488" w:rsidP="008F5E58">
            <w:pPr>
              <w:contextualSpacing/>
              <w:jc w:val="right"/>
              <w:rPr>
                <w:rFonts w:ascii="Arial" w:hAnsi="Arial" w:cs="Arial"/>
                <w:lang w:val="en-GB"/>
              </w:rPr>
            </w:pPr>
            <w:r>
              <w:rPr>
                <w:rFonts w:ascii="Arial" w:hAnsi="Arial" w:cs="Arial"/>
                <w:lang w:val="en-GB"/>
              </w:rPr>
              <w:t>−</w:t>
            </w:r>
            <w:r w:rsidR="000735FF" w:rsidRPr="002B43C8">
              <w:rPr>
                <w:rFonts w:ascii="Arial" w:hAnsi="Arial" w:cs="Arial"/>
                <w:lang w:val="en-GB"/>
              </w:rPr>
              <w:t>24.14</w:t>
            </w:r>
          </w:p>
        </w:tc>
      </w:tr>
    </w:tbl>
    <w:p w14:paraId="41AEA585" w14:textId="77777777" w:rsidR="000735FF" w:rsidRPr="002B43C8" w:rsidRDefault="000735FF" w:rsidP="00E53A67">
      <w:pPr>
        <w:rPr>
          <w:rFonts w:ascii="Arial" w:hAnsi="Arial"/>
          <w:color w:val="000000"/>
          <w:sz w:val="17"/>
          <w:szCs w:val="17"/>
          <w:lang w:val="en-GB"/>
        </w:rPr>
      </w:pPr>
    </w:p>
    <w:p w14:paraId="36C30143" w14:textId="680639B2" w:rsidR="0048454B" w:rsidRDefault="000735FF" w:rsidP="0048454B">
      <w:pPr>
        <w:pStyle w:val="Footnote"/>
        <w:outlineLvl w:val="0"/>
        <w:rPr>
          <w:lang w:val="en-GB"/>
        </w:rPr>
      </w:pPr>
      <w:r w:rsidRPr="002B43C8">
        <w:rPr>
          <w:color w:val="000000"/>
          <w:lang w:val="en-GB"/>
        </w:rPr>
        <w:t xml:space="preserve">Source: </w:t>
      </w:r>
      <w:r w:rsidR="006234BD">
        <w:rPr>
          <w:color w:val="000000"/>
          <w:lang w:val="en-GB"/>
        </w:rPr>
        <w:t>C</w:t>
      </w:r>
      <w:r w:rsidR="006234BD">
        <w:rPr>
          <w:lang w:val="en-GB"/>
        </w:rPr>
        <w:t>ompiled by the case authors from company materials</w:t>
      </w:r>
      <w:r w:rsidR="0048454B">
        <w:rPr>
          <w:lang w:val="en-GB"/>
        </w:rPr>
        <w:t>;</w:t>
      </w:r>
      <w:r w:rsidR="0048454B" w:rsidRPr="0048454B">
        <w:rPr>
          <w:lang w:val="en-GB"/>
        </w:rPr>
        <w:t xml:space="preserve"> </w:t>
      </w:r>
      <w:r w:rsidR="00843678">
        <w:rPr>
          <w:lang w:val="en-GB"/>
        </w:rPr>
        <w:t>company sales of p</w:t>
      </w:r>
      <w:r w:rsidR="00843678" w:rsidRPr="00F96B52">
        <w:rPr>
          <w:lang w:val="en-GB"/>
        </w:rPr>
        <w:t>asseng</w:t>
      </w:r>
      <w:r w:rsidR="00843678">
        <w:rPr>
          <w:lang w:val="en-GB"/>
        </w:rPr>
        <w:t>er cars 1997–98 to 2014–</w:t>
      </w:r>
      <w:r w:rsidR="00843678" w:rsidRPr="00F96B52">
        <w:rPr>
          <w:lang w:val="en-GB"/>
        </w:rPr>
        <w:t>15</w:t>
      </w:r>
      <w:r w:rsidR="00DA238D">
        <w:rPr>
          <w:lang w:val="en-GB"/>
        </w:rPr>
        <w:t>:</w:t>
      </w:r>
      <w:r w:rsidR="00843678" w:rsidRPr="00F96B52">
        <w:rPr>
          <w:lang w:val="en-GB"/>
        </w:rPr>
        <w:t xml:space="preserve"> </w:t>
      </w:r>
      <w:r w:rsidR="00843678">
        <w:rPr>
          <w:lang w:val="en-GB"/>
        </w:rPr>
        <w:t xml:space="preserve">“Industry Outlook,” </w:t>
      </w:r>
      <w:r w:rsidR="00843678" w:rsidRPr="002B43C8">
        <w:rPr>
          <w:lang w:val="en-GB"/>
        </w:rPr>
        <w:t>C</w:t>
      </w:r>
      <w:r w:rsidR="00843678">
        <w:rPr>
          <w:lang w:val="en-GB"/>
        </w:rPr>
        <w:t xml:space="preserve">entre for </w:t>
      </w:r>
      <w:r w:rsidR="00843678" w:rsidRPr="002B43C8">
        <w:rPr>
          <w:lang w:val="en-GB"/>
        </w:rPr>
        <w:t>M</w:t>
      </w:r>
      <w:r w:rsidR="00843678">
        <w:rPr>
          <w:lang w:val="en-GB"/>
        </w:rPr>
        <w:t xml:space="preserve">onitoring </w:t>
      </w:r>
      <w:r w:rsidR="00843678" w:rsidRPr="002B43C8">
        <w:rPr>
          <w:lang w:val="en-GB"/>
        </w:rPr>
        <w:t>I</w:t>
      </w:r>
      <w:r w:rsidR="00843678">
        <w:rPr>
          <w:lang w:val="en-GB"/>
        </w:rPr>
        <w:t xml:space="preserve">ndian Economy, accessed October 25, 2017, </w:t>
      </w:r>
      <w:r w:rsidR="0048454B" w:rsidRPr="00C414AD">
        <w:rPr>
          <w:lang w:val="en-GB"/>
        </w:rPr>
        <w:t>https://industryoutlook.cmie.com/kommon/bin/sr.php?kall=wshowtab&amp;icode=0101014502011000&amp;tabno=0001</w:t>
      </w:r>
      <w:r w:rsidR="00843678">
        <w:rPr>
          <w:lang w:val="en-GB"/>
        </w:rPr>
        <w:t>.</w:t>
      </w:r>
    </w:p>
    <w:p w14:paraId="42EF0F5C" w14:textId="0EB94825" w:rsidR="006234BD" w:rsidRPr="002B43C8" w:rsidRDefault="006234BD" w:rsidP="006234BD">
      <w:pPr>
        <w:pStyle w:val="Footnote"/>
        <w:outlineLvl w:val="0"/>
        <w:rPr>
          <w:lang w:val="en-GB"/>
        </w:rPr>
      </w:pPr>
    </w:p>
    <w:p w14:paraId="6DFB6376" w14:textId="77777777" w:rsidR="000735FF" w:rsidRPr="002B43C8" w:rsidRDefault="000735FF" w:rsidP="006234BD">
      <w:pPr>
        <w:outlineLvl w:val="0"/>
        <w:rPr>
          <w:rFonts w:ascii="Arial" w:hAnsi="Arial"/>
          <w:color w:val="000000"/>
          <w:sz w:val="17"/>
          <w:szCs w:val="17"/>
          <w:lang w:val="en-GB"/>
        </w:rPr>
      </w:pPr>
    </w:p>
    <w:p w14:paraId="535ECA02" w14:textId="77777777" w:rsidR="000735FF" w:rsidRPr="002B43C8" w:rsidRDefault="000735FF" w:rsidP="00EE77A4">
      <w:pPr>
        <w:spacing w:after="200" w:line="276" w:lineRule="auto"/>
        <w:rPr>
          <w:rFonts w:ascii="Arial" w:hAnsi="Arial"/>
          <w:color w:val="000000"/>
          <w:sz w:val="17"/>
          <w:szCs w:val="17"/>
          <w:lang w:val="en-GB"/>
        </w:rPr>
        <w:sectPr w:rsidR="000735FF" w:rsidRPr="002B43C8" w:rsidSect="000008A5">
          <w:headerReference w:type="default" r:id="rId11"/>
          <w:endnotePr>
            <w:numFmt w:val="decimal"/>
          </w:endnotePr>
          <w:pgSz w:w="15840" w:h="12240" w:orient="landscape"/>
          <w:pgMar w:top="1440" w:right="1440" w:bottom="1440" w:left="1440" w:header="1080" w:footer="720" w:gutter="0"/>
          <w:cols w:space="720"/>
          <w:docGrid w:linePitch="360"/>
        </w:sectPr>
      </w:pPr>
    </w:p>
    <w:p w14:paraId="767893E0" w14:textId="61CFDBE4" w:rsidR="000735FF" w:rsidRPr="002B43C8" w:rsidRDefault="000735FF" w:rsidP="00935D2F">
      <w:pPr>
        <w:jc w:val="center"/>
        <w:outlineLvl w:val="0"/>
        <w:rPr>
          <w:rFonts w:ascii="Arial" w:hAnsi="Arial"/>
          <w:color w:val="000000"/>
          <w:sz w:val="17"/>
          <w:szCs w:val="17"/>
          <w:lang w:val="en-GB"/>
        </w:rPr>
      </w:pPr>
      <w:r w:rsidRPr="002B43C8">
        <w:rPr>
          <w:rFonts w:ascii="Arial" w:hAnsi="Arial"/>
          <w:b/>
          <w:lang w:val="en-GB"/>
        </w:rPr>
        <w:lastRenderedPageBreak/>
        <w:t>EXHIBIT 3: ANNUAL SALES OF MSIL</w:t>
      </w:r>
      <w:r w:rsidR="003D281E">
        <w:rPr>
          <w:rFonts w:ascii="Arial" w:hAnsi="Arial"/>
          <w:b/>
          <w:lang w:val="en-GB"/>
        </w:rPr>
        <w:t xml:space="preserve"> AND ITS COMPETITORS IN THE</w:t>
      </w:r>
      <w:r w:rsidRPr="002B43C8">
        <w:rPr>
          <w:rFonts w:ascii="Arial" w:hAnsi="Arial"/>
          <w:b/>
          <w:lang w:val="en-GB"/>
        </w:rPr>
        <w:t xml:space="preserve"> EXECUTIVE </w:t>
      </w:r>
      <w:r w:rsidR="003D281E">
        <w:rPr>
          <w:rFonts w:ascii="Arial" w:hAnsi="Arial"/>
          <w:b/>
          <w:lang w:val="en-GB"/>
        </w:rPr>
        <w:t xml:space="preserve">CAR </w:t>
      </w:r>
      <w:r w:rsidRPr="002B43C8">
        <w:rPr>
          <w:rFonts w:ascii="Arial" w:hAnsi="Arial"/>
          <w:b/>
          <w:lang w:val="en-GB"/>
        </w:rPr>
        <w:t>SEGMENT (</w:t>
      </w:r>
      <w:r w:rsidR="003D281E">
        <w:rPr>
          <w:rFonts w:ascii="Arial" w:hAnsi="Arial"/>
          <w:b/>
          <w:lang w:val="en-GB"/>
        </w:rPr>
        <w:t>IN DESCENDING ORDER</w:t>
      </w:r>
      <w:r w:rsidRPr="002B43C8">
        <w:rPr>
          <w:rFonts w:ascii="Arial" w:hAnsi="Arial"/>
          <w:b/>
          <w:lang w:val="en-GB"/>
        </w:rPr>
        <w:t>)</w:t>
      </w:r>
    </w:p>
    <w:p w14:paraId="0ACE00D3" w14:textId="77777777" w:rsidR="000735FF" w:rsidRPr="002B43C8" w:rsidRDefault="000735FF" w:rsidP="00935D2F">
      <w:pPr>
        <w:jc w:val="center"/>
        <w:outlineLvl w:val="0"/>
        <w:rPr>
          <w:rFonts w:ascii="Arial" w:hAnsi="Arial"/>
          <w:color w:val="000000"/>
          <w:sz w:val="17"/>
          <w:szCs w:val="17"/>
          <w:lang w:val="en-GB"/>
        </w:rPr>
      </w:pPr>
    </w:p>
    <w:tbl>
      <w:tblPr>
        <w:tblStyle w:val="TableGrid"/>
        <w:tblW w:w="0" w:type="auto"/>
        <w:jc w:val="center"/>
        <w:tblLook w:val="04A0" w:firstRow="1" w:lastRow="0" w:firstColumn="1" w:lastColumn="0" w:noHBand="0" w:noVBand="1"/>
      </w:tblPr>
      <w:tblGrid>
        <w:gridCol w:w="2478"/>
        <w:gridCol w:w="1113"/>
        <w:gridCol w:w="1115"/>
        <w:gridCol w:w="1104"/>
        <w:gridCol w:w="1134"/>
        <w:gridCol w:w="1134"/>
        <w:gridCol w:w="1134"/>
      </w:tblGrid>
      <w:tr w:rsidR="000735FF" w:rsidRPr="002B43C8" w14:paraId="1DBF6430" w14:textId="77777777" w:rsidTr="004A2DE2">
        <w:trPr>
          <w:jc w:val="center"/>
        </w:trPr>
        <w:tc>
          <w:tcPr>
            <w:tcW w:w="2478" w:type="dxa"/>
          </w:tcPr>
          <w:p w14:paraId="1C02494A" w14:textId="33271615" w:rsidR="000735FF" w:rsidRPr="008F5E58" w:rsidRDefault="000735FF" w:rsidP="00EC5423">
            <w:pPr>
              <w:jc w:val="center"/>
              <w:outlineLvl w:val="0"/>
              <w:rPr>
                <w:rFonts w:ascii="Arial" w:hAnsi="Arial" w:cs="Arial"/>
                <w:b/>
                <w:lang w:val="en-GB"/>
              </w:rPr>
            </w:pPr>
            <w:r w:rsidRPr="008F5E58">
              <w:rPr>
                <w:rFonts w:ascii="Arial" w:hAnsi="Arial" w:cs="Arial"/>
                <w:b/>
                <w:lang w:val="en-GB"/>
              </w:rPr>
              <w:t>Company/</w:t>
            </w:r>
            <w:r w:rsidR="004E75A2" w:rsidRPr="008F5E58">
              <w:rPr>
                <w:rFonts w:ascii="Arial" w:hAnsi="Arial" w:cs="Arial"/>
                <w:b/>
                <w:lang w:val="en-GB"/>
              </w:rPr>
              <w:t xml:space="preserve">Fiscal </w:t>
            </w:r>
            <w:r w:rsidRPr="008F5E58">
              <w:rPr>
                <w:rFonts w:ascii="Arial" w:hAnsi="Arial" w:cs="Arial"/>
                <w:b/>
                <w:lang w:val="en-GB"/>
              </w:rPr>
              <w:t>Year</w:t>
            </w:r>
          </w:p>
        </w:tc>
        <w:tc>
          <w:tcPr>
            <w:tcW w:w="1113" w:type="dxa"/>
          </w:tcPr>
          <w:p w14:paraId="1EC25CEC" w14:textId="01EDD814" w:rsidR="000735FF" w:rsidRPr="008F5E58" w:rsidRDefault="000735FF" w:rsidP="00EC5423">
            <w:pPr>
              <w:jc w:val="center"/>
              <w:outlineLvl w:val="0"/>
              <w:rPr>
                <w:rFonts w:ascii="Arial" w:hAnsi="Arial" w:cs="Arial"/>
                <w:b/>
                <w:lang w:val="es-US"/>
              </w:rPr>
            </w:pPr>
            <w:r w:rsidRPr="008F5E58">
              <w:rPr>
                <w:rFonts w:ascii="Arial" w:hAnsi="Arial" w:cs="Arial"/>
                <w:b/>
                <w:lang w:val="es-US"/>
              </w:rPr>
              <w:t>2010</w:t>
            </w:r>
            <w:r w:rsidR="00FE3D65" w:rsidRPr="008F5E58">
              <w:rPr>
                <w:rFonts w:ascii="Arial" w:hAnsi="Arial" w:cs="Arial"/>
                <w:b/>
                <w:lang w:val="es-US"/>
              </w:rPr>
              <w:t>–</w:t>
            </w:r>
            <w:r w:rsidRPr="008F5E58">
              <w:rPr>
                <w:rFonts w:ascii="Arial" w:hAnsi="Arial" w:cs="Arial"/>
                <w:b/>
                <w:lang w:val="es-US"/>
              </w:rPr>
              <w:t>11</w:t>
            </w:r>
          </w:p>
        </w:tc>
        <w:tc>
          <w:tcPr>
            <w:tcW w:w="1115" w:type="dxa"/>
          </w:tcPr>
          <w:p w14:paraId="217396B0" w14:textId="1C873948" w:rsidR="000735FF" w:rsidRPr="008F5E58" w:rsidRDefault="000735FF" w:rsidP="00EC5423">
            <w:pPr>
              <w:jc w:val="center"/>
              <w:outlineLvl w:val="0"/>
              <w:rPr>
                <w:rFonts w:ascii="Arial" w:hAnsi="Arial" w:cs="Arial"/>
                <w:b/>
                <w:lang w:val="es-US"/>
              </w:rPr>
            </w:pPr>
            <w:r w:rsidRPr="008F5E58">
              <w:rPr>
                <w:rFonts w:ascii="Arial" w:hAnsi="Arial" w:cs="Arial"/>
                <w:b/>
                <w:lang w:val="es-US"/>
              </w:rPr>
              <w:t>2011</w:t>
            </w:r>
            <w:r w:rsidR="00FE3D65" w:rsidRPr="008F5E58">
              <w:rPr>
                <w:rFonts w:ascii="Arial" w:hAnsi="Arial" w:cs="Arial"/>
                <w:b/>
                <w:lang w:val="es-US"/>
              </w:rPr>
              <w:t>–</w:t>
            </w:r>
            <w:r w:rsidRPr="008F5E58">
              <w:rPr>
                <w:rFonts w:ascii="Arial" w:hAnsi="Arial" w:cs="Arial"/>
                <w:b/>
                <w:lang w:val="es-US"/>
              </w:rPr>
              <w:t>12</w:t>
            </w:r>
          </w:p>
        </w:tc>
        <w:tc>
          <w:tcPr>
            <w:tcW w:w="1104" w:type="dxa"/>
          </w:tcPr>
          <w:p w14:paraId="6A68A651" w14:textId="0AAD339D" w:rsidR="000735FF" w:rsidRPr="008F5E58" w:rsidRDefault="000735FF" w:rsidP="00EC5423">
            <w:pPr>
              <w:jc w:val="center"/>
              <w:outlineLvl w:val="0"/>
              <w:rPr>
                <w:rFonts w:ascii="Arial" w:hAnsi="Arial" w:cs="Arial"/>
                <w:b/>
                <w:lang w:val="es-US"/>
              </w:rPr>
            </w:pPr>
            <w:r w:rsidRPr="008F5E58">
              <w:rPr>
                <w:rFonts w:ascii="Arial" w:hAnsi="Arial" w:cs="Arial"/>
                <w:b/>
                <w:lang w:val="es-US"/>
              </w:rPr>
              <w:t>2012</w:t>
            </w:r>
            <w:r w:rsidR="00FE3D65" w:rsidRPr="008F5E58">
              <w:rPr>
                <w:rFonts w:ascii="Arial" w:hAnsi="Arial" w:cs="Arial"/>
                <w:b/>
                <w:lang w:val="es-US"/>
              </w:rPr>
              <w:t>–</w:t>
            </w:r>
            <w:r w:rsidRPr="008F5E58">
              <w:rPr>
                <w:rFonts w:ascii="Arial" w:hAnsi="Arial" w:cs="Arial"/>
                <w:b/>
                <w:lang w:val="es-US"/>
              </w:rPr>
              <w:t>13</w:t>
            </w:r>
          </w:p>
        </w:tc>
        <w:tc>
          <w:tcPr>
            <w:tcW w:w="1134" w:type="dxa"/>
          </w:tcPr>
          <w:p w14:paraId="4BC15D19" w14:textId="31A1B7D9" w:rsidR="000735FF" w:rsidRPr="008F5E58" w:rsidRDefault="000735FF" w:rsidP="00EC5423">
            <w:pPr>
              <w:jc w:val="center"/>
              <w:outlineLvl w:val="0"/>
              <w:rPr>
                <w:rFonts w:ascii="Arial" w:hAnsi="Arial" w:cs="Arial"/>
                <w:b/>
                <w:lang w:val="es-US"/>
              </w:rPr>
            </w:pPr>
            <w:r w:rsidRPr="008F5E58">
              <w:rPr>
                <w:rFonts w:ascii="Arial" w:hAnsi="Arial" w:cs="Arial"/>
                <w:b/>
                <w:lang w:val="es-US"/>
              </w:rPr>
              <w:t>2013</w:t>
            </w:r>
            <w:r w:rsidR="00FE3D65" w:rsidRPr="008F5E58">
              <w:rPr>
                <w:rFonts w:ascii="Arial" w:hAnsi="Arial" w:cs="Arial"/>
                <w:b/>
                <w:lang w:val="es-US"/>
              </w:rPr>
              <w:t>–</w:t>
            </w:r>
            <w:r w:rsidRPr="008F5E58">
              <w:rPr>
                <w:rFonts w:ascii="Arial" w:hAnsi="Arial" w:cs="Arial"/>
                <w:b/>
                <w:lang w:val="es-US"/>
              </w:rPr>
              <w:t>14</w:t>
            </w:r>
          </w:p>
        </w:tc>
        <w:tc>
          <w:tcPr>
            <w:tcW w:w="1134" w:type="dxa"/>
          </w:tcPr>
          <w:p w14:paraId="541D6298" w14:textId="2416C0F2" w:rsidR="000735FF" w:rsidRPr="008F5E58" w:rsidRDefault="000735FF" w:rsidP="00EC5423">
            <w:pPr>
              <w:jc w:val="center"/>
              <w:outlineLvl w:val="0"/>
              <w:rPr>
                <w:rFonts w:ascii="Arial" w:hAnsi="Arial" w:cs="Arial"/>
                <w:b/>
                <w:lang w:val="es-US"/>
              </w:rPr>
            </w:pPr>
            <w:r w:rsidRPr="008F5E58">
              <w:rPr>
                <w:rFonts w:ascii="Arial" w:hAnsi="Arial" w:cs="Arial"/>
                <w:b/>
                <w:lang w:val="es-US"/>
              </w:rPr>
              <w:t>2014</w:t>
            </w:r>
            <w:r w:rsidR="00FE3D65" w:rsidRPr="008F5E58">
              <w:rPr>
                <w:rFonts w:ascii="Arial" w:hAnsi="Arial" w:cs="Arial"/>
                <w:b/>
                <w:lang w:val="es-US"/>
              </w:rPr>
              <w:t>–</w:t>
            </w:r>
            <w:r w:rsidRPr="008F5E58">
              <w:rPr>
                <w:rFonts w:ascii="Arial" w:hAnsi="Arial" w:cs="Arial"/>
                <w:b/>
                <w:lang w:val="es-US"/>
              </w:rPr>
              <w:t>15</w:t>
            </w:r>
          </w:p>
        </w:tc>
        <w:tc>
          <w:tcPr>
            <w:tcW w:w="1134" w:type="dxa"/>
          </w:tcPr>
          <w:p w14:paraId="065C4B3F" w14:textId="17F4D7D6" w:rsidR="000735FF" w:rsidRPr="008F5E58" w:rsidRDefault="000735FF" w:rsidP="00EC5423">
            <w:pPr>
              <w:jc w:val="center"/>
              <w:outlineLvl w:val="0"/>
              <w:rPr>
                <w:rFonts w:ascii="Arial" w:hAnsi="Arial" w:cs="Arial"/>
                <w:b/>
                <w:lang w:val="es-US"/>
              </w:rPr>
            </w:pPr>
            <w:r w:rsidRPr="008F5E58">
              <w:rPr>
                <w:rFonts w:ascii="Arial" w:hAnsi="Arial" w:cs="Arial"/>
                <w:b/>
                <w:lang w:val="es-US"/>
              </w:rPr>
              <w:t>2015</w:t>
            </w:r>
            <w:r w:rsidR="00FE3D65" w:rsidRPr="008F5E58">
              <w:rPr>
                <w:rFonts w:ascii="Arial" w:hAnsi="Arial" w:cs="Arial"/>
                <w:b/>
                <w:lang w:val="es-US"/>
              </w:rPr>
              <w:t>–</w:t>
            </w:r>
            <w:r w:rsidRPr="008F5E58">
              <w:rPr>
                <w:rFonts w:ascii="Arial" w:hAnsi="Arial" w:cs="Arial"/>
                <w:b/>
                <w:lang w:val="es-US"/>
              </w:rPr>
              <w:t>16</w:t>
            </w:r>
          </w:p>
        </w:tc>
      </w:tr>
      <w:tr w:rsidR="000735FF" w:rsidRPr="002B43C8" w14:paraId="799199AF" w14:textId="77777777" w:rsidTr="004A2DE2">
        <w:trPr>
          <w:jc w:val="center"/>
        </w:trPr>
        <w:tc>
          <w:tcPr>
            <w:tcW w:w="2478" w:type="dxa"/>
          </w:tcPr>
          <w:p w14:paraId="52735709" w14:textId="77777777" w:rsidR="000735FF" w:rsidRPr="00461423" w:rsidRDefault="000735FF" w:rsidP="005E6166">
            <w:pPr>
              <w:outlineLvl w:val="0"/>
              <w:rPr>
                <w:rFonts w:ascii="Arial" w:hAnsi="Arial" w:cs="Arial"/>
                <w:lang w:val="es-US"/>
              </w:rPr>
            </w:pPr>
            <w:r w:rsidRPr="00461423">
              <w:rPr>
                <w:rFonts w:ascii="Arial" w:hAnsi="Arial" w:cs="Arial"/>
                <w:lang w:val="es-US"/>
              </w:rPr>
              <w:t>Toyota Kirloskar Motor Pvt. Ltd.</w:t>
            </w:r>
          </w:p>
        </w:tc>
        <w:tc>
          <w:tcPr>
            <w:tcW w:w="1113" w:type="dxa"/>
          </w:tcPr>
          <w:p w14:paraId="2DDEC6B1"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10,707</w:t>
            </w:r>
          </w:p>
        </w:tc>
        <w:tc>
          <w:tcPr>
            <w:tcW w:w="1115" w:type="dxa"/>
          </w:tcPr>
          <w:p w14:paraId="567946A5"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8,904</w:t>
            </w:r>
          </w:p>
        </w:tc>
        <w:tc>
          <w:tcPr>
            <w:tcW w:w="1104" w:type="dxa"/>
          </w:tcPr>
          <w:p w14:paraId="059819B0"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5,348</w:t>
            </w:r>
          </w:p>
        </w:tc>
        <w:tc>
          <w:tcPr>
            <w:tcW w:w="1134" w:type="dxa"/>
          </w:tcPr>
          <w:p w14:paraId="371E1E13"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3,096</w:t>
            </w:r>
          </w:p>
        </w:tc>
        <w:tc>
          <w:tcPr>
            <w:tcW w:w="1134" w:type="dxa"/>
          </w:tcPr>
          <w:p w14:paraId="19748E08"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9,136</w:t>
            </w:r>
          </w:p>
        </w:tc>
        <w:tc>
          <w:tcPr>
            <w:tcW w:w="1134" w:type="dxa"/>
          </w:tcPr>
          <w:p w14:paraId="27797531"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6,506</w:t>
            </w:r>
          </w:p>
        </w:tc>
      </w:tr>
      <w:tr w:rsidR="000735FF" w:rsidRPr="002B43C8" w14:paraId="12A8530C" w14:textId="77777777" w:rsidTr="004A2DE2">
        <w:trPr>
          <w:jc w:val="center"/>
        </w:trPr>
        <w:tc>
          <w:tcPr>
            <w:tcW w:w="2478" w:type="dxa"/>
          </w:tcPr>
          <w:p w14:paraId="61C1DA50" w14:textId="77777777" w:rsidR="000735FF" w:rsidRPr="00461423" w:rsidRDefault="000735FF" w:rsidP="005E6166">
            <w:pPr>
              <w:outlineLvl w:val="0"/>
              <w:rPr>
                <w:rFonts w:ascii="Arial" w:hAnsi="Arial" w:cs="Arial"/>
                <w:lang w:val="es-US"/>
              </w:rPr>
            </w:pPr>
            <w:r w:rsidRPr="00461423">
              <w:rPr>
                <w:rFonts w:ascii="Arial" w:hAnsi="Arial" w:cs="Arial"/>
                <w:lang w:val="es-US"/>
              </w:rPr>
              <w:t>Skoda Auto India Pvt. Ltd.</w:t>
            </w:r>
          </w:p>
        </w:tc>
        <w:tc>
          <w:tcPr>
            <w:tcW w:w="1113" w:type="dxa"/>
          </w:tcPr>
          <w:p w14:paraId="64E1261F"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6,598</w:t>
            </w:r>
          </w:p>
        </w:tc>
        <w:tc>
          <w:tcPr>
            <w:tcW w:w="1115" w:type="dxa"/>
          </w:tcPr>
          <w:p w14:paraId="2C806527"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5,466</w:t>
            </w:r>
          </w:p>
        </w:tc>
        <w:tc>
          <w:tcPr>
            <w:tcW w:w="1104" w:type="dxa"/>
          </w:tcPr>
          <w:p w14:paraId="54B5669A"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2,709</w:t>
            </w:r>
          </w:p>
        </w:tc>
        <w:tc>
          <w:tcPr>
            <w:tcW w:w="1134" w:type="dxa"/>
          </w:tcPr>
          <w:p w14:paraId="4E2E0F31"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2,822</w:t>
            </w:r>
          </w:p>
        </w:tc>
        <w:tc>
          <w:tcPr>
            <w:tcW w:w="1134" w:type="dxa"/>
          </w:tcPr>
          <w:p w14:paraId="58099E32"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2,193</w:t>
            </w:r>
          </w:p>
        </w:tc>
        <w:tc>
          <w:tcPr>
            <w:tcW w:w="1134" w:type="dxa"/>
          </w:tcPr>
          <w:p w14:paraId="0406C460"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2,675</w:t>
            </w:r>
          </w:p>
        </w:tc>
      </w:tr>
      <w:tr w:rsidR="000735FF" w:rsidRPr="002B43C8" w14:paraId="4E8F4B3A" w14:textId="77777777" w:rsidTr="004A2DE2">
        <w:trPr>
          <w:jc w:val="center"/>
        </w:trPr>
        <w:tc>
          <w:tcPr>
            <w:tcW w:w="2478" w:type="dxa"/>
          </w:tcPr>
          <w:p w14:paraId="5E86A15D" w14:textId="77777777" w:rsidR="000735FF" w:rsidRPr="002B43C8" w:rsidRDefault="000735FF" w:rsidP="005E6166">
            <w:pPr>
              <w:outlineLvl w:val="0"/>
              <w:rPr>
                <w:rFonts w:ascii="Arial" w:hAnsi="Arial" w:cs="Arial"/>
                <w:lang w:val="en-GB"/>
              </w:rPr>
            </w:pPr>
            <w:r w:rsidRPr="002B43C8">
              <w:rPr>
                <w:rFonts w:ascii="Arial" w:hAnsi="Arial" w:cs="Arial"/>
                <w:lang w:val="en-GB"/>
              </w:rPr>
              <w:t>Volkswagen India Pvt. Ltd.</w:t>
            </w:r>
          </w:p>
        </w:tc>
        <w:tc>
          <w:tcPr>
            <w:tcW w:w="1113" w:type="dxa"/>
          </w:tcPr>
          <w:p w14:paraId="6DE95ADA"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3,221</w:t>
            </w:r>
          </w:p>
        </w:tc>
        <w:tc>
          <w:tcPr>
            <w:tcW w:w="1115" w:type="dxa"/>
          </w:tcPr>
          <w:p w14:paraId="2C4F56E1"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3,106</w:t>
            </w:r>
          </w:p>
        </w:tc>
        <w:tc>
          <w:tcPr>
            <w:tcW w:w="1104" w:type="dxa"/>
          </w:tcPr>
          <w:p w14:paraId="7AC4CEFA"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2,910</w:t>
            </w:r>
          </w:p>
        </w:tc>
        <w:tc>
          <w:tcPr>
            <w:tcW w:w="1134" w:type="dxa"/>
          </w:tcPr>
          <w:p w14:paraId="6B453378"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2,094</w:t>
            </w:r>
          </w:p>
        </w:tc>
        <w:tc>
          <w:tcPr>
            <w:tcW w:w="1134" w:type="dxa"/>
          </w:tcPr>
          <w:p w14:paraId="58D47D1A"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2,165</w:t>
            </w:r>
          </w:p>
        </w:tc>
        <w:tc>
          <w:tcPr>
            <w:tcW w:w="1134" w:type="dxa"/>
          </w:tcPr>
          <w:p w14:paraId="6AD027AF"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1,940</w:t>
            </w:r>
          </w:p>
        </w:tc>
      </w:tr>
      <w:tr w:rsidR="000735FF" w:rsidRPr="002B43C8" w14:paraId="17D14E5E" w14:textId="77777777" w:rsidTr="004A2DE2">
        <w:trPr>
          <w:jc w:val="center"/>
        </w:trPr>
        <w:tc>
          <w:tcPr>
            <w:tcW w:w="2478" w:type="dxa"/>
          </w:tcPr>
          <w:p w14:paraId="6A45C436" w14:textId="77777777" w:rsidR="000735FF" w:rsidRPr="002B43C8" w:rsidRDefault="000735FF" w:rsidP="005E6166">
            <w:pPr>
              <w:outlineLvl w:val="0"/>
              <w:rPr>
                <w:rFonts w:ascii="Arial" w:hAnsi="Arial" w:cs="Arial"/>
                <w:lang w:val="en-GB"/>
              </w:rPr>
            </w:pPr>
            <w:r w:rsidRPr="002B43C8">
              <w:rPr>
                <w:rFonts w:ascii="Arial" w:hAnsi="Arial" w:cs="Arial"/>
                <w:lang w:val="en-GB"/>
              </w:rPr>
              <w:t>Hyundai Motor India Ltd.</w:t>
            </w:r>
          </w:p>
        </w:tc>
        <w:tc>
          <w:tcPr>
            <w:tcW w:w="1113" w:type="dxa"/>
          </w:tcPr>
          <w:p w14:paraId="11854B26"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2</w:t>
            </w:r>
          </w:p>
        </w:tc>
        <w:tc>
          <w:tcPr>
            <w:tcW w:w="1115" w:type="dxa"/>
          </w:tcPr>
          <w:p w14:paraId="41A0AA20"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0</w:t>
            </w:r>
          </w:p>
        </w:tc>
        <w:tc>
          <w:tcPr>
            <w:tcW w:w="1104" w:type="dxa"/>
          </w:tcPr>
          <w:p w14:paraId="4BAB65BE"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4,556</w:t>
            </w:r>
          </w:p>
        </w:tc>
        <w:tc>
          <w:tcPr>
            <w:tcW w:w="1134" w:type="dxa"/>
          </w:tcPr>
          <w:p w14:paraId="096AF4E1"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4,347</w:t>
            </w:r>
          </w:p>
        </w:tc>
        <w:tc>
          <w:tcPr>
            <w:tcW w:w="1134" w:type="dxa"/>
          </w:tcPr>
          <w:p w14:paraId="674120D2"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2,938</w:t>
            </w:r>
          </w:p>
        </w:tc>
        <w:tc>
          <w:tcPr>
            <w:tcW w:w="1134" w:type="dxa"/>
          </w:tcPr>
          <w:p w14:paraId="48950443"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1,708</w:t>
            </w:r>
          </w:p>
        </w:tc>
      </w:tr>
      <w:tr w:rsidR="000735FF" w:rsidRPr="002B43C8" w14:paraId="7E70F79C" w14:textId="77777777" w:rsidTr="004A2DE2">
        <w:trPr>
          <w:jc w:val="center"/>
        </w:trPr>
        <w:tc>
          <w:tcPr>
            <w:tcW w:w="2478" w:type="dxa"/>
          </w:tcPr>
          <w:p w14:paraId="53B81F53" w14:textId="77777777" w:rsidR="000735FF" w:rsidRPr="005D682F" w:rsidRDefault="000735FF" w:rsidP="005E6166">
            <w:pPr>
              <w:outlineLvl w:val="0"/>
              <w:rPr>
                <w:rFonts w:ascii="Arial" w:hAnsi="Arial" w:cs="Arial"/>
                <w:lang w:val="it-IT"/>
              </w:rPr>
            </w:pPr>
            <w:r w:rsidRPr="005D682F">
              <w:rPr>
                <w:rFonts w:ascii="Arial" w:hAnsi="Arial" w:cs="Arial"/>
                <w:lang w:val="it-IT"/>
              </w:rPr>
              <w:t>Fiat India Automobiles Pvt. Ltd.</w:t>
            </w:r>
          </w:p>
        </w:tc>
        <w:tc>
          <w:tcPr>
            <w:tcW w:w="1113" w:type="dxa"/>
          </w:tcPr>
          <w:p w14:paraId="59968F50"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9,516</w:t>
            </w:r>
          </w:p>
        </w:tc>
        <w:tc>
          <w:tcPr>
            <w:tcW w:w="1115" w:type="dxa"/>
          </w:tcPr>
          <w:p w14:paraId="0004D9F1"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4,640</w:t>
            </w:r>
          </w:p>
        </w:tc>
        <w:tc>
          <w:tcPr>
            <w:tcW w:w="1104" w:type="dxa"/>
          </w:tcPr>
          <w:p w14:paraId="552998EA"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1,386</w:t>
            </w:r>
          </w:p>
        </w:tc>
        <w:tc>
          <w:tcPr>
            <w:tcW w:w="1134" w:type="dxa"/>
          </w:tcPr>
          <w:p w14:paraId="37DC22D9"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3,422</w:t>
            </w:r>
          </w:p>
        </w:tc>
        <w:tc>
          <w:tcPr>
            <w:tcW w:w="1134" w:type="dxa"/>
          </w:tcPr>
          <w:p w14:paraId="1331BE5E"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2,142</w:t>
            </w:r>
          </w:p>
        </w:tc>
        <w:tc>
          <w:tcPr>
            <w:tcW w:w="1134" w:type="dxa"/>
          </w:tcPr>
          <w:p w14:paraId="7660E653"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1,453</w:t>
            </w:r>
          </w:p>
        </w:tc>
      </w:tr>
      <w:tr w:rsidR="000735FF" w:rsidRPr="002B43C8" w14:paraId="4E65DA94" w14:textId="77777777" w:rsidTr="004A2DE2">
        <w:trPr>
          <w:jc w:val="center"/>
        </w:trPr>
        <w:tc>
          <w:tcPr>
            <w:tcW w:w="2478" w:type="dxa"/>
          </w:tcPr>
          <w:p w14:paraId="4ED80672" w14:textId="77777777" w:rsidR="000735FF" w:rsidRPr="002B43C8" w:rsidRDefault="000735FF" w:rsidP="005E6166">
            <w:pPr>
              <w:outlineLvl w:val="0"/>
              <w:rPr>
                <w:rFonts w:ascii="Arial" w:hAnsi="Arial" w:cs="Arial"/>
                <w:lang w:val="en-GB"/>
              </w:rPr>
            </w:pPr>
            <w:r w:rsidRPr="002B43C8">
              <w:rPr>
                <w:rFonts w:ascii="Arial" w:hAnsi="Arial" w:cs="Arial"/>
                <w:lang w:val="en-GB"/>
              </w:rPr>
              <w:t>General Motors India Pvt. Ltd.</w:t>
            </w:r>
          </w:p>
        </w:tc>
        <w:tc>
          <w:tcPr>
            <w:tcW w:w="1113" w:type="dxa"/>
          </w:tcPr>
          <w:p w14:paraId="507C171C"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11,517</w:t>
            </w:r>
          </w:p>
        </w:tc>
        <w:tc>
          <w:tcPr>
            <w:tcW w:w="1115" w:type="dxa"/>
          </w:tcPr>
          <w:p w14:paraId="438F62E4"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10,769</w:t>
            </w:r>
          </w:p>
        </w:tc>
        <w:tc>
          <w:tcPr>
            <w:tcW w:w="1104" w:type="dxa"/>
          </w:tcPr>
          <w:p w14:paraId="6ED196DF"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4,098</w:t>
            </w:r>
          </w:p>
        </w:tc>
        <w:tc>
          <w:tcPr>
            <w:tcW w:w="1134" w:type="dxa"/>
          </w:tcPr>
          <w:p w14:paraId="7995E53D"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1,812</w:t>
            </w:r>
          </w:p>
        </w:tc>
        <w:tc>
          <w:tcPr>
            <w:tcW w:w="1134" w:type="dxa"/>
          </w:tcPr>
          <w:p w14:paraId="06885BA9"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1,401</w:t>
            </w:r>
          </w:p>
        </w:tc>
        <w:tc>
          <w:tcPr>
            <w:tcW w:w="1134" w:type="dxa"/>
          </w:tcPr>
          <w:p w14:paraId="383117AB"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935</w:t>
            </w:r>
          </w:p>
        </w:tc>
      </w:tr>
      <w:tr w:rsidR="000735FF" w:rsidRPr="002B43C8" w14:paraId="251B3661" w14:textId="77777777" w:rsidTr="004A2DE2">
        <w:trPr>
          <w:jc w:val="center"/>
        </w:trPr>
        <w:tc>
          <w:tcPr>
            <w:tcW w:w="2478" w:type="dxa"/>
          </w:tcPr>
          <w:p w14:paraId="347F4957" w14:textId="77777777" w:rsidR="000735FF" w:rsidRPr="002B43C8" w:rsidRDefault="000735FF" w:rsidP="005E6166">
            <w:pPr>
              <w:outlineLvl w:val="0"/>
              <w:rPr>
                <w:rFonts w:ascii="Arial" w:hAnsi="Arial" w:cs="Arial"/>
                <w:lang w:val="en-GB"/>
              </w:rPr>
            </w:pPr>
            <w:r w:rsidRPr="002B43C8">
              <w:rPr>
                <w:rFonts w:ascii="Arial" w:hAnsi="Arial" w:cs="Arial"/>
                <w:lang w:val="en-GB"/>
              </w:rPr>
              <w:t>Renault India Pvt. Ltd.</w:t>
            </w:r>
          </w:p>
        </w:tc>
        <w:tc>
          <w:tcPr>
            <w:tcW w:w="1113" w:type="dxa"/>
          </w:tcPr>
          <w:p w14:paraId="122D65D3"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0</w:t>
            </w:r>
          </w:p>
        </w:tc>
        <w:tc>
          <w:tcPr>
            <w:tcW w:w="1115" w:type="dxa"/>
          </w:tcPr>
          <w:p w14:paraId="72A8139C"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1,308</w:t>
            </w:r>
          </w:p>
        </w:tc>
        <w:tc>
          <w:tcPr>
            <w:tcW w:w="1104" w:type="dxa"/>
          </w:tcPr>
          <w:p w14:paraId="35053E36"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1,669</w:t>
            </w:r>
          </w:p>
        </w:tc>
        <w:tc>
          <w:tcPr>
            <w:tcW w:w="1134" w:type="dxa"/>
          </w:tcPr>
          <w:p w14:paraId="25305EE2"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695</w:t>
            </w:r>
          </w:p>
        </w:tc>
        <w:tc>
          <w:tcPr>
            <w:tcW w:w="1134" w:type="dxa"/>
          </w:tcPr>
          <w:p w14:paraId="4BB4BF98"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232</w:t>
            </w:r>
          </w:p>
        </w:tc>
        <w:tc>
          <w:tcPr>
            <w:tcW w:w="1134" w:type="dxa"/>
          </w:tcPr>
          <w:p w14:paraId="70270C99"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113</w:t>
            </w:r>
          </w:p>
        </w:tc>
      </w:tr>
      <w:tr w:rsidR="000735FF" w:rsidRPr="002B43C8" w14:paraId="225A4646" w14:textId="77777777" w:rsidTr="004A2DE2">
        <w:trPr>
          <w:jc w:val="center"/>
        </w:trPr>
        <w:tc>
          <w:tcPr>
            <w:tcW w:w="2478" w:type="dxa"/>
          </w:tcPr>
          <w:p w14:paraId="2001F730" w14:textId="3AC5E1C7" w:rsidR="000735FF" w:rsidRPr="002B43C8" w:rsidRDefault="003D281E" w:rsidP="005E6166">
            <w:pPr>
              <w:outlineLvl w:val="0"/>
              <w:rPr>
                <w:rFonts w:ascii="Arial" w:hAnsi="Arial" w:cs="Arial"/>
                <w:lang w:val="en-GB"/>
              </w:rPr>
            </w:pPr>
            <w:r>
              <w:rPr>
                <w:rFonts w:ascii="Arial" w:hAnsi="Arial" w:cs="Arial"/>
                <w:lang w:val="en-GB"/>
              </w:rPr>
              <w:t>MSIL</w:t>
            </w:r>
          </w:p>
        </w:tc>
        <w:tc>
          <w:tcPr>
            <w:tcW w:w="1113" w:type="dxa"/>
          </w:tcPr>
          <w:p w14:paraId="0674BF03"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138</w:t>
            </w:r>
          </w:p>
        </w:tc>
        <w:tc>
          <w:tcPr>
            <w:tcW w:w="1115" w:type="dxa"/>
          </w:tcPr>
          <w:p w14:paraId="47D09002"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458</w:t>
            </w:r>
          </w:p>
        </w:tc>
        <w:tc>
          <w:tcPr>
            <w:tcW w:w="1104" w:type="dxa"/>
          </w:tcPr>
          <w:p w14:paraId="2731863A"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188</w:t>
            </w:r>
          </w:p>
        </w:tc>
        <w:tc>
          <w:tcPr>
            <w:tcW w:w="1134" w:type="dxa"/>
          </w:tcPr>
          <w:p w14:paraId="31F72F52"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1</w:t>
            </w:r>
          </w:p>
        </w:tc>
        <w:tc>
          <w:tcPr>
            <w:tcW w:w="1134" w:type="dxa"/>
          </w:tcPr>
          <w:p w14:paraId="72DF24DE"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0</w:t>
            </w:r>
          </w:p>
        </w:tc>
        <w:tc>
          <w:tcPr>
            <w:tcW w:w="1134" w:type="dxa"/>
          </w:tcPr>
          <w:p w14:paraId="75964ECF"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0</w:t>
            </w:r>
          </w:p>
        </w:tc>
      </w:tr>
      <w:tr w:rsidR="000735FF" w:rsidRPr="002B43C8" w14:paraId="7A86B222" w14:textId="77777777" w:rsidTr="004A2DE2">
        <w:trPr>
          <w:jc w:val="center"/>
        </w:trPr>
        <w:tc>
          <w:tcPr>
            <w:tcW w:w="2478" w:type="dxa"/>
          </w:tcPr>
          <w:p w14:paraId="7C46B4A2" w14:textId="77777777" w:rsidR="000735FF" w:rsidRPr="002B43C8" w:rsidRDefault="000735FF" w:rsidP="005E6166">
            <w:pPr>
              <w:outlineLvl w:val="0"/>
              <w:rPr>
                <w:rFonts w:ascii="Arial" w:hAnsi="Arial" w:cs="Arial"/>
                <w:lang w:val="en-GB"/>
              </w:rPr>
            </w:pPr>
            <w:r w:rsidRPr="002B43C8">
              <w:rPr>
                <w:rFonts w:ascii="Arial" w:hAnsi="Arial" w:cs="Arial"/>
                <w:lang w:val="en-GB"/>
              </w:rPr>
              <w:t>Others</w:t>
            </w:r>
          </w:p>
        </w:tc>
        <w:tc>
          <w:tcPr>
            <w:tcW w:w="1113" w:type="dxa"/>
          </w:tcPr>
          <w:p w14:paraId="3F8C9673" w14:textId="723094C9" w:rsidR="000735FF" w:rsidRPr="002B43C8" w:rsidRDefault="000735FF" w:rsidP="002141C0">
            <w:pPr>
              <w:jc w:val="right"/>
              <w:outlineLvl w:val="0"/>
              <w:rPr>
                <w:rFonts w:ascii="Arial" w:hAnsi="Arial" w:cs="Arial"/>
                <w:lang w:val="en-GB"/>
              </w:rPr>
            </w:pPr>
            <w:r w:rsidRPr="002B43C8">
              <w:rPr>
                <w:rFonts w:ascii="Arial" w:hAnsi="Arial" w:cs="Arial"/>
                <w:lang w:val="en-GB"/>
              </w:rPr>
              <w:t>8</w:t>
            </w:r>
            <w:r w:rsidR="005B048F">
              <w:rPr>
                <w:rFonts w:ascii="Arial" w:hAnsi="Arial" w:cs="Arial"/>
                <w:lang w:val="en-GB"/>
              </w:rPr>
              <w:t>,</w:t>
            </w:r>
            <w:r w:rsidRPr="002B43C8">
              <w:rPr>
                <w:rFonts w:ascii="Arial" w:hAnsi="Arial" w:cs="Arial"/>
                <w:lang w:val="en-GB"/>
              </w:rPr>
              <w:t>558</w:t>
            </w:r>
          </w:p>
        </w:tc>
        <w:tc>
          <w:tcPr>
            <w:tcW w:w="1115" w:type="dxa"/>
          </w:tcPr>
          <w:p w14:paraId="0F748D53" w14:textId="12B98504" w:rsidR="000735FF" w:rsidRPr="002B43C8" w:rsidRDefault="000735FF" w:rsidP="002141C0">
            <w:pPr>
              <w:jc w:val="right"/>
              <w:outlineLvl w:val="0"/>
              <w:rPr>
                <w:rFonts w:ascii="Arial" w:hAnsi="Arial" w:cs="Arial"/>
                <w:lang w:val="en-GB"/>
              </w:rPr>
            </w:pPr>
            <w:r w:rsidRPr="002B43C8">
              <w:rPr>
                <w:rFonts w:ascii="Arial" w:hAnsi="Arial" w:cs="Arial"/>
                <w:lang w:val="en-GB"/>
              </w:rPr>
              <w:t>2</w:t>
            </w:r>
            <w:r w:rsidR="005B048F">
              <w:rPr>
                <w:rFonts w:ascii="Arial" w:hAnsi="Arial" w:cs="Arial"/>
                <w:lang w:val="en-GB"/>
              </w:rPr>
              <w:t>,</w:t>
            </w:r>
            <w:r w:rsidRPr="002B43C8">
              <w:rPr>
                <w:rFonts w:ascii="Arial" w:hAnsi="Arial" w:cs="Arial"/>
                <w:lang w:val="en-GB"/>
              </w:rPr>
              <w:t>398</w:t>
            </w:r>
          </w:p>
        </w:tc>
        <w:tc>
          <w:tcPr>
            <w:tcW w:w="1104" w:type="dxa"/>
          </w:tcPr>
          <w:p w14:paraId="055E70F0"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756</w:t>
            </w:r>
          </w:p>
        </w:tc>
        <w:tc>
          <w:tcPr>
            <w:tcW w:w="1134" w:type="dxa"/>
          </w:tcPr>
          <w:p w14:paraId="131F5B1E"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0</w:t>
            </w:r>
          </w:p>
        </w:tc>
        <w:tc>
          <w:tcPr>
            <w:tcW w:w="1134" w:type="dxa"/>
          </w:tcPr>
          <w:p w14:paraId="34F73CA8"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0</w:t>
            </w:r>
          </w:p>
        </w:tc>
        <w:tc>
          <w:tcPr>
            <w:tcW w:w="1134" w:type="dxa"/>
          </w:tcPr>
          <w:p w14:paraId="0BDEB9B3"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0</w:t>
            </w:r>
          </w:p>
        </w:tc>
      </w:tr>
      <w:tr w:rsidR="000735FF" w:rsidRPr="002B43C8" w14:paraId="12D9642F" w14:textId="77777777" w:rsidTr="004A2DE2">
        <w:trPr>
          <w:jc w:val="center"/>
        </w:trPr>
        <w:tc>
          <w:tcPr>
            <w:tcW w:w="2478" w:type="dxa"/>
          </w:tcPr>
          <w:p w14:paraId="1C6CC5B4" w14:textId="77777777" w:rsidR="000735FF" w:rsidRPr="002B43C8" w:rsidRDefault="000735FF" w:rsidP="005E6166">
            <w:pPr>
              <w:outlineLvl w:val="0"/>
              <w:rPr>
                <w:rFonts w:ascii="Arial" w:hAnsi="Arial" w:cs="Arial"/>
                <w:lang w:val="en-GB"/>
              </w:rPr>
            </w:pPr>
            <w:r w:rsidRPr="002B43C8">
              <w:rPr>
                <w:rFonts w:ascii="Arial" w:hAnsi="Arial" w:cs="Arial"/>
                <w:lang w:val="en-GB"/>
              </w:rPr>
              <w:t>Total Sales</w:t>
            </w:r>
          </w:p>
        </w:tc>
        <w:tc>
          <w:tcPr>
            <w:tcW w:w="1113" w:type="dxa"/>
          </w:tcPr>
          <w:p w14:paraId="13E94DE7"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50,257</w:t>
            </w:r>
          </w:p>
        </w:tc>
        <w:tc>
          <w:tcPr>
            <w:tcW w:w="1115" w:type="dxa"/>
          </w:tcPr>
          <w:p w14:paraId="785E63A4"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37,049</w:t>
            </w:r>
          </w:p>
        </w:tc>
        <w:tc>
          <w:tcPr>
            <w:tcW w:w="1104" w:type="dxa"/>
          </w:tcPr>
          <w:p w14:paraId="58218AC7"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23,620</w:t>
            </w:r>
          </w:p>
        </w:tc>
        <w:tc>
          <w:tcPr>
            <w:tcW w:w="1134" w:type="dxa"/>
          </w:tcPr>
          <w:p w14:paraId="19D5EC68"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18,289</w:t>
            </w:r>
          </w:p>
        </w:tc>
        <w:tc>
          <w:tcPr>
            <w:tcW w:w="1134" w:type="dxa"/>
          </w:tcPr>
          <w:p w14:paraId="3EDB0BC7"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20,207</w:t>
            </w:r>
          </w:p>
        </w:tc>
        <w:tc>
          <w:tcPr>
            <w:tcW w:w="1134" w:type="dxa"/>
          </w:tcPr>
          <w:p w14:paraId="745F9B65" w14:textId="77777777" w:rsidR="000735FF" w:rsidRPr="002B43C8" w:rsidRDefault="000735FF" w:rsidP="002141C0">
            <w:pPr>
              <w:jc w:val="right"/>
              <w:outlineLvl w:val="0"/>
              <w:rPr>
                <w:rFonts w:ascii="Arial" w:hAnsi="Arial" w:cs="Arial"/>
                <w:lang w:val="en-GB"/>
              </w:rPr>
            </w:pPr>
            <w:r w:rsidRPr="002B43C8">
              <w:rPr>
                <w:rFonts w:ascii="Arial" w:hAnsi="Arial" w:cs="Arial"/>
                <w:lang w:val="en-GB"/>
              </w:rPr>
              <w:t>15,330</w:t>
            </w:r>
          </w:p>
        </w:tc>
      </w:tr>
    </w:tbl>
    <w:p w14:paraId="38E52788" w14:textId="77777777" w:rsidR="000735FF" w:rsidRPr="002B43C8" w:rsidRDefault="000735FF" w:rsidP="001D6FDE">
      <w:pPr>
        <w:pStyle w:val="Footnote"/>
        <w:rPr>
          <w:lang w:val="en-GB"/>
        </w:rPr>
      </w:pPr>
    </w:p>
    <w:p w14:paraId="3D121AA0" w14:textId="65FAF893" w:rsidR="00430799" w:rsidRDefault="000735FF" w:rsidP="00430799">
      <w:pPr>
        <w:pStyle w:val="Footnote"/>
        <w:outlineLvl w:val="0"/>
        <w:rPr>
          <w:lang w:val="en-GB"/>
        </w:rPr>
      </w:pPr>
      <w:r w:rsidRPr="002B43C8">
        <w:rPr>
          <w:lang w:val="en-GB"/>
        </w:rPr>
        <w:t xml:space="preserve">Source: </w:t>
      </w:r>
      <w:r w:rsidR="00960628">
        <w:rPr>
          <w:lang w:val="en-GB"/>
        </w:rPr>
        <w:t>Compiled by the case authors from company materials</w:t>
      </w:r>
      <w:r w:rsidR="00430799">
        <w:rPr>
          <w:lang w:val="en-GB"/>
        </w:rPr>
        <w:t xml:space="preserve">; </w:t>
      </w:r>
      <w:r w:rsidR="00843678">
        <w:rPr>
          <w:lang w:val="en-GB"/>
        </w:rPr>
        <w:t>company sales of p</w:t>
      </w:r>
      <w:r w:rsidR="00843678" w:rsidRPr="00F96B52">
        <w:rPr>
          <w:lang w:val="en-GB"/>
        </w:rPr>
        <w:t>asseng</w:t>
      </w:r>
      <w:r w:rsidR="00843678">
        <w:rPr>
          <w:lang w:val="en-GB"/>
        </w:rPr>
        <w:t>er cars 1997–98 to 2014–</w:t>
      </w:r>
      <w:r w:rsidR="00843678" w:rsidRPr="00F96B52">
        <w:rPr>
          <w:lang w:val="en-GB"/>
        </w:rPr>
        <w:t>15</w:t>
      </w:r>
      <w:r w:rsidR="00DA238D">
        <w:rPr>
          <w:lang w:val="en-GB"/>
        </w:rPr>
        <w:t>:</w:t>
      </w:r>
      <w:r w:rsidR="00843678" w:rsidRPr="00F96B52">
        <w:rPr>
          <w:lang w:val="en-GB"/>
        </w:rPr>
        <w:t xml:space="preserve"> </w:t>
      </w:r>
      <w:r w:rsidR="00843678">
        <w:rPr>
          <w:lang w:val="en-GB"/>
        </w:rPr>
        <w:t xml:space="preserve">“Industry Outlook,” </w:t>
      </w:r>
      <w:r w:rsidR="00843678" w:rsidRPr="002B43C8">
        <w:rPr>
          <w:lang w:val="en-GB"/>
        </w:rPr>
        <w:t>C</w:t>
      </w:r>
      <w:r w:rsidR="00843678">
        <w:rPr>
          <w:lang w:val="en-GB"/>
        </w:rPr>
        <w:t xml:space="preserve">entre for </w:t>
      </w:r>
      <w:r w:rsidR="00843678" w:rsidRPr="002B43C8">
        <w:rPr>
          <w:lang w:val="en-GB"/>
        </w:rPr>
        <w:t>M</w:t>
      </w:r>
      <w:r w:rsidR="00843678">
        <w:rPr>
          <w:lang w:val="en-GB"/>
        </w:rPr>
        <w:t xml:space="preserve">onitoring </w:t>
      </w:r>
      <w:r w:rsidR="00843678" w:rsidRPr="002B43C8">
        <w:rPr>
          <w:lang w:val="en-GB"/>
        </w:rPr>
        <w:t>I</w:t>
      </w:r>
      <w:r w:rsidR="00843678">
        <w:rPr>
          <w:lang w:val="en-GB"/>
        </w:rPr>
        <w:t xml:space="preserve">ndian Economy, accessed October 25, 2017, </w:t>
      </w:r>
      <w:r w:rsidR="00430799" w:rsidRPr="00C414AD">
        <w:rPr>
          <w:lang w:val="en-GB"/>
        </w:rPr>
        <w:t>https://industryoutlook.cmie.com/kommon/bin/sr.php?kall=wshowtab&amp;icode=0101014502011000&amp;tabno=0001</w:t>
      </w:r>
      <w:r w:rsidR="00843678">
        <w:rPr>
          <w:lang w:val="en-GB"/>
        </w:rPr>
        <w:t>.</w:t>
      </w:r>
    </w:p>
    <w:p w14:paraId="559907F7" w14:textId="77777777" w:rsidR="000735FF" w:rsidRPr="002B43C8" w:rsidRDefault="000735FF" w:rsidP="008F5E58">
      <w:pPr>
        <w:pStyle w:val="ExhibitText"/>
        <w:rPr>
          <w:lang w:val="en-GB"/>
        </w:rPr>
      </w:pPr>
    </w:p>
    <w:p w14:paraId="6AD37920" w14:textId="77777777" w:rsidR="000735FF" w:rsidRPr="002B43C8" w:rsidRDefault="000735FF" w:rsidP="008F5E58">
      <w:pPr>
        <w:pStyle w:val="ExhibitText"/>
        <w:rPr>
          <w:b/>
          <w:lang w:val="en-GB"/>
        </w:rPr>
      </w:pPr>
    </w:p>
    <w:p w14:paraId="4DDABE21" w14:textId="5EBECABC" w:rsidR="000735FF" w:rsidRPr="002B43C8" w:rsidRDefault="000735FF" w:rsidP="00935D2F">
      <w:pPr>
        <w:jc w:val="center"/>
        <w:outlineLvl w:val="0"/>
        <w:rPr>
          <w:rFonts w:ascii="Arial" w:hAnsi="Arial"/>
          <w:b/>
          <w:lang w:val="en-GB"/>
        </w:rPr>
      </w:pPr>
      <w:r w:rsidRPr="002B43C8">
        <w:rPr>
          <w:rFonts w:ascii="Arial" w:hAnsi="Arial"/>
          <w:b/>
          <w:lang w:val="en-GB"/>
        </w:rPr>
        <w:t>EXHIBIT 4:</w:t>
      </w:r>
      <w:r w:rsidRPr="002B43C8">
        <w:rPr>
          <w:b/>
          <w:lang w:val="en-GB"/>
        </w:rPr>
        <w:t xml:space="preserve"> </w:t>
      </w:r>
      <w:r w:rsidRPr="002B43C8">
        <w:rPr>
          <w:rFonts w:ascii="Arial" w:hAnsi="Arial"/>
          <w:b/>
          <w:lang w:val="en-GB"/>
        </w:rPr>
        <w:t>GROSS DOMESTIC PRODUCT</w:t>
      </w:r>
      <w:r w:rsidR="00FC7DFE">
        <w:rPr>
          <w:rFonts w:ascii="Arial" w:hAnsi="Arial"/>
          <w:b/>
          <w:lang w:val="en-GB"/>
        </w:rPr>
        <w:t xml:space="preserve"> (</w:t>
      </w:r>
      <w:r w:rsidR="00FC7DFE" w:rsidRPr="008F5E58">
        <w:rPr>
          <w:rStyle w:val="ExhibitHeadingChar"/>
        </w:rPr>
        <w:t>per Capita)</w:t>
      </w:r>
      <w:r w:rsidRPr="008F5E58">
        <w:rPr>
          <w:rStyle w:val="ExhibitHeadingChar"/>
        </w:rPr>
        <w:t>,</w:t>
      </w:r>
      <w:r w:rsidRPr="002B43C8">
        <w:rPr>
          <w:rFonts w:ascii="Arial" w:hAnsi="Arial"/>
          <w:b/>
          <w:lang w:val="en-GB"/>
        </w:rPr>
        <w:t xml:space="preserve"> </w:t>
      </w:r>
      <w:r w:rsidR="003F113A">
        <w:rPr>
          <w:rFonts w:ascii="Arial" w:hAnsi="Arial"/>
          <w:b/>
          <w:lang w:val="en-GB"/>
        </w:rPr>
        <w:t>GROSS NATIONAL</w:t>
      </w:r>
      <w:r w:rsidR="00FC7DFE">
        <w:rPr>
          <w:rFonts w:ascii="Arial" w:hAnsi="Arial"/>
          <w:b/>
          <w:lang w:val="en-GB"/>
        </w:rPr>
        <w:t xml:space="preserve"> </w:t>
      </w:r>
      <w:r w:rsidR="00B302D9" w:rsidRPr="008F5E58">
        <w:rPr>
          <w:rStyle w:val="ExhibitHeadingChar"/>
        </w:rPr>
        <w:t xml:space="preserve">INCOME </w:t>
      </w:r>
      <w:r w:rsidR="00FC7DFE" w:rsidRPr="008F5E58">
        <w:rPr>
          <w:rStyle w:val="ExhibitHeadingChar"/>
        </w:rPr>
        <w:t>(per Capita)</w:t>
      </w:r>
      <w:r w:rsidRPr="002B43C8">
        <w:rPr>
          <w:rFonts w:ascii="Arial" w:hAnsi="Arial"/>
          <w:b/>
          <w:lang w:val="en-GB"/>
        </w:rPr>
        <w:t xml:space="preserve">, </w:t>
      </w:r>
      <w:r w:rsidR="00A05DEA">
        <w:rPr>
          <w:rFonts w:ascii="Arial" w:hAnsi="Arial"/>
          <w:b/>
          <w:lang w:val="en-GB"/>
        </w:rPr>
        <w:t xml:space="preserve">AND </w:t>
      </w:r>
      <w:r w:rsidRPr="002B43C8">
        <w:rPr>
          <w:rFonts w:ascii="Arial" w:hAnsi="Arial"/>
          <w:b/>
          <w:lang w:val="en-GB"/>
        </w:rPr>
        <w:t>HIGH</w:t>
      </w:r>
      <w:r w:rsidR="00A05DEA">
        <w:rPr>
          <w:rFonts w:ascii="Arial" w:hAnsi="Arial"/>
          <w:b/>
          <w:lang w:val="en-GB"/>
        </w:rPr>
        <w:t>-</w:t>
      </w:r>
      <w:r w:rsidRPr="002B43C8">
        <w:rPr>
          <w:rFonts w:ascii="Arial" w:hAnsi="Arial"/>
          <w:b/>
          <w:lang w:val="en-GB"/>
        </w:rPr>
        <w:t>NET</w:t>
      </w:r>
      <w:r w:rsidR="00A05DEA">
        <w:rPr>
          <w:rFonts w:ascii="Arial" w:hAnsi="Arial"/>
          <w:b/>
          <w:lang w:val="en-GB"/>
        </w:rPr>
        <w:t>-</w:t>
      </w:r>
      <w:r w:rsidRPr="002B43C8">
        <w:rPr>
          <w:rFonts w:ascii="Arial" w:hAnsi="Arial"/>
          <w:b/>
          <w:lang w:val="en-GB"/>
        </w:rPr>
        <w:t>WORTH INDIVIDUAL</w:t>
      </w:r>
      <w:r w:rsidR="00A05DEA">
        <w:rPr>
          <w:rFonts w:ascii="Arial" w:hAnsi="Arial"/>
          <w:b/>
          <w:lang w:val="en-GB"/>
        </w:rPr>
        <w:t>S IN INDIA</w:t>
      </w:r>
    </w:p>
    <w:p w14:paraId="5BBCDB6B" w14:textId="77777777" w:rsidR="000735FF" w:rsidRPr="002B43C8" w:rsidRDefault="000735FF" w:rsidP="00935D2F">
      <w:pPr>
        <w:jc w:val="center"/>
        <w:outlineLvl w:val="0"/>
        <w:rPr>
          <w:rFonts w:ascii="Arial" w:hAnsi="Arial"/>
          <w:b/>
          <w:lang w:val="en-GB"/>
        </w:rPr>
      </w:pPr>
    </w:p>
    <w:tbl>
      <w:tblPr>
        <w:tblStyle w:val="TableGrid"/>
        <w:tblW w:w="0" w:type="auto"/>
        <w:jc w:val="center"/>
        <w:tblLook w:val="04A0" w:firstRow="1" w:lastRow="0" w:firstColumn="1" w:lastColumn="0" w:noHBand="0" w:noVBand="1"/>
      </w:tblPr>
      <w:tblGrid>
        <w:gridCol w:w="1863"/>
        <w:gridCol w:w="1970"/>
        <w:gridCol w:w="1899"/>
        <w:gridCol w:w="1512"/>
      </w:tblGrid>
      <w:tr w:rsidR="000735FF" w:rsidRPr="002B43C8" w14:paraId="08C1C430" w14:textId="77777777" w:rsidTr="008F5E58">
        <w:trPr>
          <w:trHeight w:val="908"/>
          <w:jc w:val="center"/>
        </w:trPr>
        <w:tc>
          <w:tcPr>
            <w:tcW w:w="1863" w:type="dxa"/>
            <w:vAlign w:val="center"/>
          </w:tcPr>
          <w:p w14:paraId="773A7321" w14:textId="10B0DD19" w:rsidR="000735FF" w:rsidRPr="008F5E58" w:rsidRDefault="00762FF4" w:rsidP="008F5E58">
            <w:pPr>
              <w:pStyle w:val="ExhibitText"/>
              <w:jc w:val="center"/>
              <w:rPr>
                <w:b/>
              </w:rPr>
            </w:pPr>
            <w:r w:rsidRPr="008F5E58">
              <w:rPr>
                <w:b/>
              </w:rPr>
              <w:t xml:space="preserve">Fiscal </w:t>
            </w:r>
            <w:r w:rsidR="000735FF" w:rsidRPr="008F5E58">
              <w:rPr>
                <w:b/>
              </w:rPr>
              <w:t>Year</w:t>
            </w:r>
          </w:p>
        </w:tc>
        <w:tc>
          <w:tcPr>
            <w:tcW w:w="1970" w:type="dxa"/>
            <w:vAlign w:val="center"/>
          </w:tcPr>
          <w:p w14:paraId="185FC256" w14:textId="289A24A2" w:rsidR="000735FF" w:rsidRPr="008F5E58" w:rsidRDefault="000735FF" w:rsidP="00DA238D">
            <w:pPr>
              <w:pStyle w:val="ExhibitText"/>
              <w:jc w:val="center"/>
              <w:rPr>
                <w:b/>
              </w:rPr>
            </w:pPr>
            <w:r w:rsidRPr="008F5E58">
              <w:rPr>
                <w:b/>
              </w:rPr>
              <w:t xml:space="preserve">Gross Domestic Product </w:t>
            </w:r>
            <w:r w:rsidR="008D51A1" w:rsidRPr="008F5E58">
              <w:rPr>
                <w:b/>
              </w:rPr>
              <w:t xml:space="preserve">at </w:t>
            </w:r>
            <w:r w:rsidR="00843678">
              <w:rPr>
                <w:b/>
              </w:rPr>
              <w:t>F</w:t>
            </w:r>
            <w:r w:rsidR="008D51A1" w:rsidRPr="008F5E58">
              <w:rPr>
                <w:b/>
              </w:rPr>
              <w:t xml:space="preserve">actor </w:t>
            </w:r>
            <w:r w:rsidR="00843678">
              <w:rPr>
                <w:b/>
              </w:rPr>
              <w:t>C</w:t>
            </w:r>
            <w:r w:rsidR="008D51A1" w:rsidRPr="008F5E58">
              <w:rPr>
                <w:b/>
              </w:rPr>
              <w:t xml:space="preserve">ost </w:t>
            </w:r>
            <w:r w:rsidRPr="008F5E58">
              <w:rPr>
                <w:b/>
              </w:rPr>
              <w:t xml:space="preserve">per </w:t>
            </w:r>
            <w:r w:rsidR="00843678">
              <w:rPr>
                <w:b/>
              </w:rPr>
              <w:t>C</w:t>
            </w:r>
            <w:r w:rsidRPr="008F5E58">
              <w:rPr>
                <w:b/>
              </w:rPr>
              <w:t xml:space="preserve">apita </w:t>
            </w:r>
            <w:r w:rsidR="00C379ED" w:rsidRPr="008F5E58">
              <w:rPr>
                <w:b/>
              </w:rPr>
              <w:t>(</w:t>
            </w:r>
            <w:r w:rsidR="00B9394C" w:rsidRPr="008F5E58">
              <w:rPr>
                <w:b/>
              </w:rPr>
              <w:t xml:space="preserve">in </w:t>
            </w:r>
            <w:r w:rsidR="00843678" w:rsidRPr="00EA6BC3">
              <w:rPr>
                <w:rFonts w:eastAsiaTheme="minorEastAsia"/>
              </w:rPr>
              <w:t>₹</w:t>
            </w:r>
            <w:r w:rsidR="007B655D" w:rsidRPr="008F5E58">
              <w:rPr>
                <w:b/>
              </w:rPr>
              <w:t xml:space="preserve"> </w:t>
            </w:r>
            <w:r w:rsidR="002A3B12" w:rsidRPr="008F5E58">
              <w:rPr>
                <w:b/>
              </w:rPr>
              <w:t>millions</w:t>
            </w:r>
            <w:r w:rsidRPr="008F5E58">
              <w:rPr>
                <w:b/>
              </w:rPr>
              <w:t>)</w:t>
            </w:r>
          </w:p>
        </w:tc>
        <w:tc>
          <w:tcPr>
            <w:tcW w:w="1899" w:type="dxa"/>
            <w:vAlign w:val="center"/>
          </w:tcPr>
          <w:p w14:paraId="2CAF0EC5" w14:textId="3C7C2B7A" w:rsidR="000735FF" w:rsidRPr="008F5E58" w:rsidRDefault="000735FF" w:rsidP="007F136F">
            <w:pPr>
              <w:pStyle w:val="ExhibitText"/>
              <w:jc w:val="center"/>
              <w:rPr>
                <w:b/>
              </w:rPr>
            </w:pPr>
            <w:r w:rsidRPr="008F5E58">
              <w:rPr>
                <w:b/>
              </w:rPr>
              <w:t>Income</w:t>
            </w:r>
            <w:r w:rsidR="00384017" w:rsidRPr="008F5E58">
              <w:rPr>
                <w:b/>
              </w:rPr>
              <w:t xml:space="preserve"> per Capita</w:t>
            </w:r>
            <w:r w:rsidRPr="008F5E58">
              <w:rPr>
                <w:b/>
              </w:rPr>
              <w:t xml:space="preserve"> (</w:t>
            </w:r>
            <w:r w:rsidR="00837E36" w:rsidRPr="008F5E58">
              <w:rPr>
                <w:b/>
              </w:rPr>
              <w:t xml:space="preserve">in </w:t>
            </w:r>
            <w:r w:rsidR="00843678" w:rsidRPr="00EA6BC3">
              <w:rPr>
                <w:rFonts w:eastAsiaTheme="minorEastAsia"/>
              </w:rPr>
              <w:t>₹</w:t>
            </w:r>
            <w:r w:rsidR="005C05E6" w:rsidRPr="008F5E58">
              <w:rPr>
                <w:rFonts w:eastAsia="Calibri"/>
                <w:b/>
              </w:rPr>
              <w:t xml:space="preserve"> </w:t>
            </w:r>
            <w:r w:rsidR="00837E36" w:rsidRPr="008F5E58">
              <w:rPr>
                <w:b/>
              </w:rPr>
              <w:t>million</w:t>
            </w:r>
            <w:r w:rsidR="004E7373" w:rsidRPr="008F5E58">
              <w:rPr>
                <w:b/>
              </w:rPr>
              <w:t>s</w:t>
            </w:r>
            <w:r w:rsidRPr="008F5E58">
              <w:rPr>
                <w:b/>
              </w:rPr>
              <w:t>)</w:t>
            </w:r>
          </w:p>
        </w:tc>
        <w:tc>
          <w:tcPr>
            <w:tcW w:w="1512" w:type="dxa"/>
            <w:vAlign w:val="center"/>
          </w:tcPr>
          <w:p w14:paraId="52D677E1" w14:textId="5D0C6019" w:rsidR="000735FF" w:rsidRPr="008F5E58" w:rsidRDefault="000735FF" w:rsidP="008F5E58">
            <w:pPr>
              <w:pStyle w:val="ExhibitText"/>
              <w:jc w:val="center"/>
              <w:rPr>
                <w:b/>
              </w:rPr>
            </w:pPr>
            <w:r w:rsidRPr="008F5E58">
              <w:rPr>
                <w:b/>
              </w:rPr>
              <w:t>H</w:t>
            </w:r>
            <w:r w:rsidR="00A05DEA" w:rsidRPr="008F5E58">
              <w:rPr>
                <w:b/>
              </w:rPr>
              <w:t>igh-Net-Worth Individuals</w:t>
            </w:r>
            <w:r w:rsidRPr="008F5E58">
              <w:rPr>
                <w:b/>
              </w:rPr>
              <w:t xml:space="preserve"> (in </w:t>
            </w:r>
            <w:r w:rsidR="00BA182B" w:rsidRPr="008F5E58">
              <w:rPr>
                <w:b/>
              </w:rPr>
              <w:t>millions</w:t>
            </w:r>
            <w:r w:rsidRPr="008F5E58">
              <w:rPr>
                <w:b/>
              </w:rPr>
              <w:t>)</w:t>
            </w:r>
          </w:p>
        </w:tc>
      </w:tr>
      <w:tr w:rsidR="005E2744" w:rsidRPr="002B43C8" w14:paraId="3EDDC480" w14:textId="77777777" w:rsidTr="008F5E58">
        <w:trPr>
          <w:trHeight w:val="252"/>
          <w:jc w:val="center"/>
        </w:trPr>
        <w:tc>
          <w:tcPr>
            <w:tcW w:w="1863" w:type="dxa"/>
            <w:vAlign w:val="center"/>
          </w:tcPr>
          <w:p w14:paraId="0C9029ED" w14:textId="7354077B" w:rsidR="005E2744" w:rsidRPr="008F5E58" w:rsidRDefault="005E2744" w:rsidP="008F5E58">
            <w:pPr>
              <w:pStyle w:val="ExhibitText"/>
              <w:jc w:val="left"/>
              <w:rPr>
                <w:b/>
              </w:rPr>
            </w:pPr>
            <w:r w:rsidRPr="008F5E58">
              <w:rPr>
                <w:b/>
              </w:rPr>
              <w:t>2006–07</w:t>
            </w:r>
          </w:p>
        </w:tc>
        <w:tc>
          <w:tcPr>
            <w:tcW w:w="1970" w:type="dxa"/>
            <w:vAlign w:val="center"/>
          </w:tcPr>
          <w:p w14:paraId="11A51D53" w14:textId="7218E64E" w:rsidR="005E2744" w:rsidRPr="008F5E58" w:rsidRDefault="005E2744" w:rsidP="008F5E58">
            <w:pPr>
              <w:pStyle w:val="ExhibitText"/>
              <w:jc w:val="right"/>
            </w:pPr>
            <w:r w:rsidRPr="008F5E58">
              <w:t>0.035</w:t>
            </w:r>
          </w:p>
        </w:tc>
        <w:tc>
          <w:tcPr>
            <w:tcW w:w="1899" w:type="dxa"/>
            <w:vAlign w:val="center"/>
          </w:tcPr>
          <w:p w14:paraId="0662C3C9" w14:textId="60926BFC" w:rsidR="005E2744" w:rsidRPr="008F5E58" w:rsidRDefault="005E2744" w:rsidP="008F5E58">
            <w:pPr>
              <w:pStyle w:val="ExhibitText"/>
              <w:jc w:val="right"/>
            </w:pPr>
            <w:r w:rsidRPr="008F5E58">
              <w:t>0.031</w:t>
            </w:r>
          </w:p>
        </w:tc>
        <w:tc>
          <w:tcPr>
            <w:tcW w:w="1512" w:type="dxa"/>
            <w:vAlign w:val="center"/>
          </w:tcPr>
          <w:p w14:paraId="15FDA634" w14:textId="79CC2DB9" w:rsidR="005E2744" w:rsidRPr="008F5E58" w:rsidRDefault="005E2744" w:rsidP="008F5E58">
            <w:pPr>
              <w:pStyle w:val="ExhibitText"/>
              <w:jc w:val="right"/>
            </w:pPr>
            <w:r w:rsidRPr="008F5E58">
              <w:t>0.084</w:t>
            </w:r>
            <w:r w:rsidR="00561043">
              <w:t>0</w:t>
            </w:r>
          </w:p>
        </w:tc>
      </w:tr>
      <w:tr w:rsidR="005E2744" w:rsidRPr="002B43C8" w14:paraId="06B9BEDB" w14:textId="77777777" w:rsidTr="008F5E58">
        <w:trPr>
          <w:trHeight w:val="265"/>
          <w:jc w:val="center"/>
        </w:trPr>
        <w:tc>
          <w:tcPr>
            <w:tcW w:w="1863" w:type="dxa"/>
            <w:vAlign w:val="center"/>
          </w:tcPr>
          <w:p w14:paraId="5CC83166" w14:textId="06EF9301" w:rsidR="005E2744" w:rsidRPr="008F5E58" w:rsidRDefault="005E2744" w:rsidP="008F5E58">
            <w:pPr>
              <w:pStyle w:val="ExhibitText"/>
              <w:jc w:val="left"/>
              <w:rPr>
                <w:b/>
              </w:rPr>
            </w:pPr>
            <w:r w:rsidRPr="008F5E58">
              <w:rPr>
                <w:b/>
              </w:rPr>
              <w:t>2007–08</w:t>
            </w:r>
          </w:p>
        </w:tc>
        <w:tc>
          <w:tcPr>
            <w:tcW w:w="1970" w:type="dxa"/>
            <w:vAlign w:val="center"/>
          </w:tcPr>
          <w:p w14:paraId="071BFA2A" w14:textId="5172EDC9" w:rsidR="005E2744" w:rsidRPr="008F5E58" w:rsidRDefault="005E2744" w:rsidP="008F5E58">
            <w:pPr>
              <w:pStyle w:val="ExhibitText"/>
              <w:jc w:val="right"/>
            </w:pPr>
            <w:r w:rsidRPr="008F5E58">
              <w:t>0.04</w:t>
            </w:r>
            <w:r w:rsidR="00561043">
              <w:t>0</w:t>
            </w:r>
          </w:p>
        </w:tc>
        <w:tc>
          <w:tcPr>
            <w:tcW w:w="1899" w:type="dxa"/>
            <w:vAlign w:val="center"/>
          </w:tcPr>
          <w:p w14:paraId="5758C425" w14:textId="6C459DA7" w:rsidR="005E2744" w:rsidRPr="008F5E58" w:rsidRDefault="005E2744" w:rsidP="008F5E58">
            <w:pPr>
              <w:pStyle w:val="ExhibitText"/>
              <w:jc w:val="right"/>
            </w:pPr>
            <w:r w:rsidRPr="008F5E58">
              <w:t>0.036</w:t>
            </w:r>
          </w:p>
        </w:tc>
        <w:tc>
          <w:tcPr>
            <w:tcW w:w="1512" w:type="dxa"/>
            <w:vAlign w:val="center"/>
          </w:tcPr>
          <w:p w14:paraId="0369A3B3" w14:textId="3DDA1DE3" w:rsidR="005E2744" w:rsidRPr="008F5E58" w:rsidRDefault="005E2744" w:rsidP="008F5E58">
            <w:pPr>
              <w:pStyle w:val="ExhibitText"/>
              <w:jc w:val="right"/>
            </w:pPr>
            <w:r w:rsidRPr="008F5E58">
              <w:t>0.1267</w:t>
            </w:r>
          </w:p>
        </w:tc>
      </w:tr>
      <w:tr w:rsidR="005E2744" w:rsidRPr="002B43C8" w14:paraId="2459D5C0" w14:textId="77777777" w:rsidTr="008F5E58">
        <w:trPr>
          <w:trHeight w:val="252"/>
          <w:jc w:val="center"/>
        </w:trPr>
        <w:tc>
          <w:tcPr>
            <w:tcW w:w="1863" w:type="dxa"/>
            <w:vAlign w:val="center"/>
          </w:tcPr>
          <w:p w14:paraId="1EDB8D36" w14:textId="33CDA121" w:rsidR="005E2744" w:rsidRPr="008F5E58" w:rsidRDefault="005E2744" w:rsidP="008F5E58">
            <w:pPr>
              <w:pStyle w:val="ExhibitText"/>
              <w:jc w:val="left"/>
              <w:rPr>
                <w:b/>
              </w:rPr>
            </w:pPr>
            <w:r w:rsidRPr="008F5E58">
              <w:rPr>
                <w:b/>
              </w:rPr>
              <w:t>2008–09</w:t>
            </w:r>
          </w:p>
        </w:tc>
        <w:tc>
          <w:tcPr>
            <w:tcW w:w="1970" w:type="dxa"/>
            <w:vAlign w:val="center"/>
          </w:tcPr>
          <w:p w14:paraId="67C50630" w14:textId="2FB378F3" w:rsidR="005E2744" w:rsidRPr="008F5E58" w:rsidRDefault="005E2744" w:rsidP="008F5E58">
            <w:pPr>
              <w:pStyle w:val="ExhibitText"/>
              <w:jc w:val="right"/>
            </w:pPr>
            <w:r w:rsidRPr="008F5E58">
              <w:t>0.046</w:t>
            </w:r>
          </w:p>
        </w:tc>
        <w:tc>
          <w:tcPr>
            <w:tcW w:w="1899" w:type="dxa"/>
            <w:vAlign w:val="center"/>
          </w:tcPr>
          <w:p w14:paraId="0C8B5AC6" w14:textId="45BDFA37" w:rsidR="005E2744" w:rsidRPr="008F5E58" w:rsidRDefault="005E2744" w:rsidP="008F5E58">
            <w:pPr>
              <w:pStyle w:val="ExhibitText"/>
              <w:jc w:val="right"/>
            </w:pPr>
            <w:r w:rsidRPr="008F5E58">
              <w:t>0.041</w:t>
            </w:r>
          </w:p>
        </w:tc>
        <w:tc>
          <w:tcPr>
            <w:tcW w:w="1512" w:type="dxa"/>
            <w:vAlign w:val="center"/>
          </w:tcPr>
          <w:p w14:paraId="592610A8" w14:textId="29030D04" w:rsidR="005E2744" w:rsidRPr="008F5E58" w:rsidRDefault="005E2744" w:rsidP="008F5E58">
            <w:pPr>
              <w:pStyle w:val="ExhibitText"/>
              <w:jc w:val="right"/>
            </w:pPr>
            <w:r w:rsidRPr="008F5E58">
              <w:t>0.153</w:t>
            </w:r>
            <w:r w:rsidR="00561043">
              <w:t>0</w:t>
            </w:r>
          </w:p>
        </w:tc>
      </w:tr>
      <w:tr w:rsidR="005E2744" w:rsidRPr="002B43C8" w14:paraId="6AE7B9DB" w14:textId="77777777" w:rsidTr="008F5E58">
        <w:trPr>
          <w:trHeight w:val="265"/>
          <w:jc w:val="center"/>
        </w:trPr>
        <w:tc>
          <w:tcPr>
            <w:tcW w:w="1863" w:type="dxa"/>
            <w:vAlign w:val="center"/>
          </w:tcPr>
          <w:p w14:paraId="2569DCA0" w14:textId="71E65345" w:rsidR="005E2744" w:rsidRPr="008F5E58" w:rsidRDefault="005E2744" w:rsidP="008F5E58">
            <w:pPr>
              <w:pStyle w:val="ExhibitText"/>
              <w:jc w:val="left"/>
              <w:rPr>
                <w:b/>
              </w:rPr>
            </w:pPr>
            <w:r w:rsidRPr="008F5E58">
              <w:rPr>
                <w:b/>
              </w:rPr>
              <w:t>2009–10</w:t>
            </w:r>
          </w:p>
        </w:tc>
        <w:tc>
          <w:tcPr>
            <w:tcW w:w="1970" w:type="dxa"/>
            <w:vAlign w:val="center"/>
          </w:tcPr>
          <w:p w14:paraId="6941B09A" w14:textId="1333C62A" w:rsidR="005E2744" w:rsidRPr="008F5E58" w:rsidRDefault="005E2744" w:rsidP="008F5E58">
            <w:pPr>
              <w:pStyle w:val="ExhibitText"/>
              <w:jc w:val="right"/>
            </w:pPr>
            <w:r w:rsidRPr="008F5E58">
              <w:t>0.052</w:t>
            </w:r>
          </w:p>
        </w:tc>
        <w:tc>
          <w:tcPr>
            <w:tcW w:w="1899" w:type="dxa"/>
            <w:vAlign w:val="center"/>
          </w:tcPr>
          <w:p w14:paraId="1820F2EB" w14:textId="2434F536" w:rsidR="005E2744" w:rsidRPr="008F5E58" w:rsidRDefault="005E2744" w:rsidP="008F5E58">
            <w:pPr>
              <w:pStyle w:val="ExhibitText"/>
              <w:jc w:val="right"/>
            </w:pPr>
            <w:r w:rsidRPr="008F5E58">
              <w:t>0.046</w:t>
            </w:r>
          </w:p>
        </w:tc>
        <w:tc>
          <w:tcPr>
            <w:tcW w:w="1512" w:type="dxa"/>
            <w:vAlign w:val="center"/>
          </w:tcPr>
          <w:p w14:paraId="4313D539" w14:textId="527A6DFB" w:rsidR="005E2744" w:rsidRPr="008F5E58" w:rsidRDefault="005E2744" w:rsidP="008F5E58">
            <w:pPr>
              <w:pStyle w:val="ExhibitText"/>
              <w:jc w:val="right"/>
            </w:pPr>
            <w:r w:rsidRPr="008F5E58">
              <w:t>0.1255</w:t>
            </w:r>
          </w:p>
        </w:tc>
      </w:tr>
      <w:tr w:rsidR="005E2744" w:rsidRPr="002B43C8" w14:paraId="4470829D" w14:textId="77777777" w:rsidTr="008F5E58">
        <w:trPr>
          <w:trHeight w:val="252"/>
          <w:jc w:val="center"/>
        </w:trPr>
        <w:tc>
          <w:tcPr>
            <w:tcW w:w="1863" w:type="dxa"/>
            <w:vAlign w:val="center"/>
          </w:tcPr>
          <w:p w14:paraId="56D1F1B4" w14:textId="2C157D4C" w:rsidR="005E2744" w:rsidRPr="008F5E58" w:rsidRDefault="005E2744" w:rsidP="008F5E58">
            <w:pPr>
              <w:pStyle w:val="ExhibitText"/>
              <w:jc w:val="left"/>
              <w:rPr>
                <w:b/>
              </w:rPr>
            </w:pPr>
            <w:r w:rsidRPr="008F5E58">
              <w:rPr>
                <w:b/>
              </w:rPr>
              <w:t>2010–11</w:t>
            </w:r>
          </w:p>
        </w:tc>
        <w:tc>
          <w:tcPr>
            <w:tcW w:w="1970" w:type="dxa"/>
            <w:vAlign w:val="center"/>
          </w:tcPr>
          <w:p w14:paraId="4F327D00" w14:textId="44460276" w:rsidR="005E2744" w:rsidRPr="008F5E58" w:rsidRDefault="005E2744" w:rsidP="008F5E58">
            <w:pPr>
              <w:pStyle w:val="ExhibitText"/>
              <w:jc w:val="right"/>
            </w:pPr>
            <w:r w:rsidRPr="008F5E58">
              <w:t>0.061</w:t>
            </w:r>
          </w:p>
        </w:tc>
        <w:tc>
          <w:tcPr>
            <w:tcW w:w="1899" w:type="dxa"/>
            <w:vAlign w:val="center"/>
          </w:tcPr>
          <w:p w14:paraId="5EF25771" w14:textId="1EAFDB4E" w:rsidR="005E2744" w:rsidRPr="008F5E58" w:rsidRDefault="005E2744" w:rsidP="008F5E58">
            <w:pPr>
              <w:pStyle w:val="ExhibitText"/>
              <w:jc w:val="right"/>
            </w:pPr>
            <w:r w:rsidRPr="008F5E58">
              <w:t>0.054</w:t>
            </w:r>
          </w:p>
        </w:tc>
        <w:tc>
          <w:tcPr>
            <w:tcW w:w="1512" w:type="dxa"/>
            <w:vAlign w:val="center"/>
          </w:tcPr>
          <w:p w14:paraId="12118037" w14:textId="75172133" w:rsidR="005E2744" w:rsidRPr="008F5E58" w:rsidRDefault="005E2744" w:rsidP="008F5E58">
            <w:pPr>
              <w:pStyle w:val="ExhibitText"/>
              <w:jc w:val="right"/>
            </w:pPr>
            <w:r w:rsidRPr="008F5E58">
              <w:t>0.153</w:t>
            </w:r>
            <w:r w:rsidR="00561043">
              <w:t>0</w:t>
            </w:r>
          </w:p>
        </w:tc>
      </w:tr>
      <w:tr w:rsidR="005E2744" w:rsidRPr="002B43C8" w14:paraId="62C6C3E5" w14:textId="77777777" w:rsidTr="008F5E58">
        <w:trPr>
          <w:trHeight w:val="265"/>
          <w:jc w:val="center"/>
        </w:trPr>
        <w:tc>
          <w:tcPr>
            <w:tcW w:w="1863" w:type="dxa"/>
            <w:vAlign w:val="center"/>
          </w:tcPr>
          <w:p w14:paraId="2B4FA990" w14:textId="4F749092" w:rsidR="005E2744" w:rsidRPr="008F5E58" w:rsidRDefault="005E2744" w:rsidP="008F5E58">
            <w:pPr>
              <w:pStyle w:val="ExhibitText"/>
              <w:jc w:val="left"/>
              <w:rPr>
                <w:b/>
              </w:rPr>
            </w:pPr>
            <w:r w:rsidRPr="008F5E58">
              <w:rPr>
                <w:b/>
              </w:rPr>
              <w:t xml:space="preserve"> 2011–12</w:t>
            </w:r>
          </w:p>
        </w:tc>
        <w:tc>
          <w:tcPr>
            <w:tcW w:w="1970" w:type="dxa"/>
            <w:vAlign w:val="center"/>
          </w:tcPr>
          <w:p w14:paraId="2A28BBB3" w14:textId="411911C9" w:rsidR="005E2744" w:rsidRPr="008F5E58" w:rsidRDefault="005E2744" w:rsidP="008F5E58">
            <w:pPr>
              <w:pStyle w:val="ExhibitText"/>
              <w:jc w:val="right"/>
            </w:pPr>
            <w:r w:rsidRPr="008F5E58">
              <w:t>0.07</w:t>
            </w:r>
            <w:r w:rsidR="00561043">
              <w:t>0</w:t>
            </w:r>
          </w:p>
        </w:tc>
        <w:tc>
          <w:tcPr>
            <w:tcW w:w="1899" w:type="dxa"/>
            <w:vAlign w:val="center"/>
          </w:tcPr>
          <w:p w14:paraId="77B59951" w14:textId="5B7D0C23" w:rsidR="005E2744" w:rsidRPr="008F5E58" w:rsidRDefault="005E2744" w:rsidP="008F5E58">
            <w:pPr>
              <w:pStyle w:val="ExhibitText"/>
              <w:jc w:val="right"/>
            </w:pPr>
            <w:r w:rsidRPr="008F5E58">
              <w:t>0.062</w:t>
            </w:r>
          </w:p>
        </w:tc>
        <w:tc>
          <w:tcPr>
            <w:tcW w:w="1512" w:type="dxa"/>
            <w:vAlign w:val="center"/>
          </w:tcPr>
          <w:p w14:paraId="0CC7A9B9" w14:textId="13619E10" w:rsidR="005E2744" w:rsidRPr="008F5E58" w:rsidRDefault="005E2744" w:rsidP="008F5E58">
            <w:pPr>
              <w:pStyle w:val="ExhibitText"/>
              <w:jc w:val="right"/>
            </w:pPr>
            <w:r w:rsidRPr="008F5E58">
              <w:t>0.156</w:t>
            </w:r>
            <w:r w:rsidR="00561043">
              <w:t>0</w:t>
            </w:r>
          </w:p>
        </w:tc>
      </w:tr>
      <w:tr w:rsidR="005E2744" w:rsidRPr="002B43C8" w14:paraId="2A20EB20" w14:textId="77777777" w:rsidTr="008F5E58">
        <w:trPr>
          <w:trHeight w:val="252"/>
          <w:jc w:val="center"/>
        </w:trPr>
        <w:tc>
          <w:tcPr>
            <w:tcW w:w="1863" w:type="dxa"/>
            <w:vAlign w:val="center"/>
          </w:tcPr>
          <w:p w14:paraId="7E56100A" w14:textId="2EC9755F" w:rsidR="005E2744" w:rsidRPr="008F5E58" w:rsidRDefault="005E2744" w:rsidP="008F5E58">
            <w:pPr>
              <w:pStyle w:val="ExhibitText"/>
              <w:jc w:val="left"/>
              <w:rPr>
                <w:b/>
              </w:rPr>
            </w:pPr>
            <w:r w:rsidRPr="008F5E58">
              <w:rPr>
                <w:b/>
              </w:rPr>
              <w:t>2012–13</w:t>
            </w:r>
          </w:p>
        </w:tc>
        <w:tc>
          <w:tcPr>
            <w:tcW w:w="1970" w:type="dxa"/>
            <w:vAlign w:val="center"/>
          </w:tcPr>
          <w:p w14:paraId="46B24665" w14:textId="488A2CC6" w:rsidR="005E2744" w:rsidRPr="008F5E58" w:rsidRDefault="005E2744" w:rsidP="008F5E58">
            <w:pPr>
              <w:pStyle w:val="ExhibitText"/>
              <w:jc w:val="right"/>
            </w:pPr>
            <w:r w:rsidRPr="008F5E58">
              <w:t>0.077</w:t>
            </w:r>
          </w:p>
        </w:tc>
        <w:tc>
          <w:tcPr>
            <w:tcW w:w="1899" w:type="dxa"/>
            <w:vAlign w:val="center"/>
          </w:tcPr>
          <w:p w14:paraId="404366C9" w14:textId="67477B85" w:rsidR="005E2744" w:rsidRPr="008F5E58" w:rsidRDefault="005E2744" w:rsidP="008F5E58">
            <w:pPr>
              <w:pStyle w:val="ExhibitText"/>
              <w:jc w:val="right"/>
            </w:pPr>
            <w:r w:rsidRPr="008F5E58">
              <w:t>0.068</w:t>
            </w:r>
          </w:p>
        </w:tc>
        <w:tc>
          <w:tcPr>
            <w:tcW w:w="1512" w:type="dxa"/>
            <w:vAlign w:val="center"/>
          </w:tcPr>
          <w:p w14:paraId="74CAFB8B" w14:textId="22F97B18" w:rsidR="005E2744" w:rsidRPr="008F5E58" w:rsidRDefault="005E2744" w:rsidP="008F5E58">
            <w:pPr>
              <w:pStyle w:val="ExhibitText"/>
              <w:jc w:val="right"/>
            </w:pPr>
            <w:r w:rsidRPr="008F5E58">
              <w:t>0.198</w:t>
            </w:r>
            <w:r w:rsidR="00561043">
              <w:t>0</w:t>
            </w:r>
          </w:p>
        </w:tc>
      </w:tr>
      <w:tr w:rsidR="005E2744" w:rsidRPr="002B43C8" w14:paraId="56E8F3C6" w14:textId="77777777" w:rsidTr="008F5E58">
        <w:trPr>
          <w:trHeight w:val="265"/>
          <w:jc w:val="center"/>
        </w:trPr>
        <w:tc>
          <w:tcPr>
            <w:tcW w:w="1863" w:type="dxa"/>
            <w:vAlign w:val="center"/>
          </w:tcPr>
          <w:p w14:paraId="4BE8E631" w14:textId="3D649374" w:rsidR="005E2744" w:rsidRPr="008F5E58" w:rsidRDefault="005E2744" w:rsidP="008F5E58">
            <w:pPr>
              <w:pStyle w:val="ExhibitText"/>
              <w:jc w:val="left"/>
              <w:rPr>
                <w:b/>
              </w:rPr>
            </w:pPr>
            <w:r w:rsidRPr="008F5E58">
              <w:rPr>
                <w:b/>
              </w:rPr>
              <w:t>2013–14</w:t>
            </w:r>
          </w:p>
        </w:tc>
        <w:tc>
          <w:tcPr>
            <w:tcW w:w="1970" w:type="dxa"/>
            <w:vAlign w:val="center"/>
          </w:tcPr>
          <w:p w14:paraId="40D3CF26" w14:textId="77E49612" w:rsidR="005E2744" w:rsidRPr="008F5E58" w:rsidRDefault="005E2744" w:rsidP="008F5E58">
            <w:pPr>
              <w:pStyle w:val="ExhibitText"/>
              <w:jc w:val="right"/>
            </w:pPr>
            <w:r w:rsidRPr="008F5E58">
              <w:t>0.085</w:t>
            </w:r>
          </w:p>
        </w:tc>
        <w:tc>
          <w:tcPr>
            <w:tcW w:w="1899" w:type="dxa"/>
            <w:vAlign w:val="center"/>
          </w:tcPr>
          <w:p w14:paraId="18BECD7B" w14:textId="3C5A913B" w:rsidR="005E2744" w:rsidRPr="008F5E58" w:rsidRDefault="005E2744" w:rsidP="008F5E58">
            <w:pPr>
              <w:pStyle w:val="ExhibitText"/>
              <w:jc w:val="right"/>
            </w:pPr>
            <w:r w:rsidRPr="008F5E58">
              <w:t>0.074</w:t>
            </w:r>
          </w:p>
        </w:tc>
        <w:tc>
          <w:tcPr>
            <w:tcW w:w="1512" w:type="dxa"/>
            <w:vAlign w:val="center"/>
          </w:tcPr>
          <w:p w14:paraId="6ADDB801" w14:textId="57F412CC" w:rsidR="005E2744" w:rsidRPr="008F5E58" w:rsidRDefault="005E2744" w:rsidP="008F5E58">
            <w:pPr>
              <w:pStyle w:val="ExhibitText"/>
              <w:jc w:val="right"/>
            </w:pPr>
            <w:r w:rsidRPr="008F5E58">
              <w:t>0.200</w:t>
            </w:r>
            <w:r w:rsidR="00561043">
              <w:t>0</w:t>
            </w:r>
          </w:p>
        </w:tc>
      </w:tr>
    </w:tbl>
    <w:p w14:paraId="5178E112" w14:textId="77777777" w:rsidR="000735FF" w:rsidRPr="002B43C8" w:rsidRDefault="000735FF" w:rsidP="00935D2F">
      <w:pPr>
        <w:outlineLvl w:val="0"/>
        <w:rPr>
          <w:rFonts w:ascii="Arial" w:hAnsi="Arial"/>
          <w:color w:val="000000"/>
          <w:sz w:val="17"/>
          <w:szCs w:val="17"/>
          <w:lang w:val="en-GB"/>
        </w:rPr>
      </w:pPr>
    </w:p>
    <w:p w14:paraId="1DF098FF" w14:textId="0631A6F8" w:rsidR="00EF5E31" w:rsidRDefault="00EF5E31" w:rsidP="002141C0">
      <w:pPr>
        <w:pStyle w:val="Footnote"/>
        <w:rPr>
          <w:color w:val="000000"/>
          <w:lang w:val="en-GB"/>
        </w:rPr>
      </w:pPr>
      <w:r>
        <w:rPr>
          <w:color w:val="000000"/>
          <w:lang w:val="en-GB"/>
        </w:rPr>
        <w:t xml:space="preserve">Note: </w:t>
      </w:r>
      <w:r w:rsidR="00843678" w:rsidRPr="00EA6BC3">
        <w:rPr>
          <w:rFonts w:eastAsiaTheme="minorEastAsia"/>
        </w:rPr>
        <w:t>₹</w:t>
      </w:r>
      <w:r w:rsidR="00843678">
        <w:rPr>
          <w:rFonts w:eastAsiaTheme="minorEastAsia"/>
        </w:rPr>
        <w:t xml:space="preserve"> = INR = Indian rupee; </w:t>
      </w:r>
      <w:r w:rsidRPr="00EA6BC3">
        <w:rPr>
          <w:rFonts w:eastAsiaTheme="minorEastAsia"/>
        </w:rPr>
        <w:t>US$1 = ₹67.44</w:t>
      </w:r>
      <w:r w:rsidR="002D56B4">
        <w:rPr>
          <w:rFonts w:eastAsiaTheme="minorEastAsia"/>
        </w:rPr>
        <w:t xml:space="preserve"> </w:t>
      </w:r>
      <w:r w:rsidRPr="00EA6BC3">
        <w:rPr>
          <w:rFonts w:eastAsiaTheme="minorEastAsia"/>
        </w:rPr>
        <w:t xml:space="preserve">on </w:t>
      </w:r>
      <w:r w:rsidRPr="00EF5E31">
        <w:t>May 25</w:t>
      </w:r>
      <w:r w:rsidR="005E074D">
        <w:t>,</w:t>
      </w:r>
      <w:r w:rsidRPr="00EF5E31">
        <w:t xml:space="preserve"> 2016</w:t>
      </w:r>
      <w:r>
        <w:t>.</w:t>
      </w:r>
    </w:p>
    <w:p w14:paraId="5C8C6619" w14:textId="591B3988" w:rsidR="0035308D" w:rsidRDefault="00843678" w:rsidP="002141C0">
      <w:pPr>
        <w:pStyle w:val="Footnote"/>
        <w:rPr>
          <w:color w:val="000000"/>
          <w:lang w:val="en-GB"/>
        </w:rPr>
      </w:pPr>
      <w:r>
        <w:rPr>
          <w:color w:val="000000"/>
          <w:lang w:val="en-GB"/>
        </w:rPr>
        <w:t xml:space="preserve">Source: Created by the case authors; </w:t>
      </w:r>
      <w:r w:rsidR="00F42331" w:rsidRPr="002B43C8">
        <w:rPr>
          <w:color w:val="000000"/>
          <w:lang w:val="en-GB"/>
        </w:rPr>
        <w:t xml:space="preserve">Gross Domestic Product </w:t>
      </w:r>
      <w:r w:rsidR="008E287B">
        <w:rPr>
          <w:color w:val="000000"/>
          <w:lang w:val="en-GB"/>
        </w:rPr>
        <w:t>at Factor C</w:t>
      </w:r>
      <w:r w:rsidR="00F0533A">
        <w:rPr>
          <w:color w:val="000000"/>
          <w:lang w:val="en-GB"/>
        </w:rPr>
        <w:t xml:space="preserve">ost </w:t>
      </w:r>
      <w:r>
        <w:rPr>
          <w:color w:val="000000"/>
          <w:lang w:val="en-GB"/>
        </w:rPr>
        <w:t>p</w:t>
      </w:r>
      <w:r w:rsidR="00F42331" w:rsidRPr="002B43C8">
        <w:rPr>
          <w:color w:val="000000"/>
          <w:lang w:val="en-GB"/>
        </w:rPr>
        <w:t xml:space="preserve">er </w:t>
      </w:r>
      <w:r w:rsidR="00F42331">
        <w:rPr>
          <w:color w:val="000000"/>
          <w:lang w:val="en-GB"/>
        </w:rPr>
        <w:t>C</w:t>
      </w:r>
      <w:r w:rsidR="00F42331" w:rsidRPr="002B43C8">
        <w:rPr>
          <w:color w:val="000000"/>
          <w:lang w:val="en-GB"/>
        </w:rPr>
        <w:t>apita</w:t>
      </w:r>
      <w:r w:rsidR="009644A6">
        <w:rPr>
          <w:color w:val="000000"/>
          <w:lang w:val="en-GB"/>
        </w:rPr>
        <w:t xml:space="preserve"> and Income </w:t>
      </w:r>
      <w:r>
        <w:rPr>
          <w:color w:val="000000"/>
          <w:lang w:val="en-GB"/>
        </w:rPr>
        <w:t>p</w:t>
      </w:r>
      <w:r w:rsidR="009644A6">
        <w:rPr>
          <w:color w:val="000000"/>
          <w:lang w:val="en-GB"/>
        </w:rPr>
        <w:t>er Capita</w:t>
      </w:r>
      <w:r w:rsidR="00DA238D">
        <w:rPr>
          <w:color w:val="000000"/>
          <w:lang w:val="en-GB"/>
        </w:rPr>
        <w:t>:</w:t>
      </w:r>
      <w:r>
        <w:rPr>
          <w:color w:val="000000"/>
          <w:lang w:val="it-IT"/>
        </w:rPr>
        <w:t xml:space="preserve"> “</w:t>
      </w:r>
      <w:r w:rsidR="00115278">
        <w:rPr>
          <w:color w:val="000000"/>
          <w:lang w:val="it-IT"/>
        </w:rPr>
        <w:t>Annual Estimates of GDP at Current Prices</w:t>
      </w:r>
      <w:r>
        <w:rPr>
          <w:color w:val="000000"/>
          <w:lang w:val="it-IT"/>
        </w:rPr>
        <w:t>,</w:t>
      </w:r>
      <w:r w:rsidR="00115278">
        <w:rPr>
          <w:color w:val="000000"/>
          <w:lang w:val="it-IT"/>
        </w:rPr>
        <w:t xml:space="preserve"> 2004-05 </w:t>
      </w:r>
      <w:r w:rsidR="00115278" w:rsidRPr="007175AE">
        <w:rPr>
          <w:color w:val="000000"/>
          <w:lang w:val="it-IT"/>
        </w:rPr>
        <w:t>Series</w:t>
      </w:r>
      <w:r w:rsidR="00115278">
        <w:rPr>
          <w:color w:val="000000"/>
          <w:lang w:val="it-IT"/>
        </w:rPr>
        <w:t>,</w:t>
      </w:r>
      <w:r>
        <w:rPr>
          <w:color w:val="000000"/>
          <w:lang w:val="it-IT"/>
        </w:rPr>
        <w:t>”</w:t>
      </w:r>
      <w:r w:rsidR="00115278">
        <w:rPr>
          <w:color w:val="000000"/>
          <w:lang w:val="it-IT"/>
        </w:rPr>
        <w:t xml:space="preserve"> Government of India</w:t>
      </w:r>
      <w:r w:rsidR="00CB13A6">
        <w:rPr>
          <w:color w:val="000000"/>
          <w:lang w:val="it-IT"/>
        </w:rPr>
        <w:t xml:space="preserve">, </w:t>
      </w:r>
      <w:r w:rsidR="004B5D83" w:rsidRPr="00EF5E31">
        <w:t xml:space="preserve">accessed </w:t>
      </w:r>
      <w:r w:rsidR="00546F47">
        <w:rPr>
          <w:color w:val="000000"/>
          <w:lang w:val="it-IT"/>
        </w:rPr>
        <w:t>October 25</w:t>
      </w:r>
      <w:r>
        <w:rPr>
          <w:color w:val="000000"/>
          <w:lang w:val="it-IT"/>
        </w:rPr>
        <w:t>,</w:t>
      </w:r>
      <w:r w:rsidR="00546F47">
        <w:rPr>
          <w:color w:val="000000"/>
          <w:lang w:val="it-IT"/>
        </w:rPr>
        <w:t xml:space="preserve"> 2017</w:t>
      </w:r>
      <w:r w:rsidR="00AF7043">
        <w:rPr>
          <w:color w:val="000000"/>
          <w:lang w:val="it-IT"/>
        </w:rPr>
        <w:t>,</w:t>
      </w:r>
      <w:r>
        <w:rPr>
          <w:color w:val="000000"/>
          <w:lang w:val="it-IT"/>
        </w:rPr>
        <w:t xml:space="preserve"> </w:t>
      </w:r>
      <w:hyperlink r:id="rId12" w:history="1">
        <w:r w:rsidRPr="00EC5423">
          <w:t>https://data.gov.in/catalog/annual-estimates-gdp-current-prices</w:t>
        </w:r>
      </w:hyperlink>
      <w:r w:rsidR="00AF7043">
        <w:rPr>
          <w:color w:val="000000"/>
          <w:lang w:val="it-IT"/>
        </w:rPr>
        <w:t>;</w:t>
      </w:r>
      <w:r>
        <w:rPr>
          <w:color w:val="000000"/>
          <w:lang w:val="it-IT"/>
        </w:rPr>
        <w:t xml:space="preserve"> </w:t>
      </w:r>
      <w:r w:rsidR="00CD2727" w:rsidRPr="002B43C8">
        <w:rPr>
          <w:color w:val="000000"/>
          <w:lang w:val="en-GB"/>
        </w:rPr>
        <w:t>H</w:t>
      </w:r>
      <w:r w:rsidR="00CD2727">
        <w:rPr>
          <w:color w:val="000000"/>
          <w:lang w:val="en-GB"/>
        </w:rPr>
        <w:t>igh-Net-Worth Individuals</w:t>
      </w:r>
      <w:r w:rsidR="00DA238D">
        <w:rPr>
          <w:color w:val="000000"/>
          <w:lang w:val="en-GB"/>
        </w:rPr>
        <w:t>:</w:t>
      </w:r>
      <w:r w:rsidR="00CD2727">
        <w:rPr>
          <w:color w:val="000000"/>
          <w:lang w:val="en-GB"/>
        </w:rPr>
        <w:t xml:space="preserve"> </w:t>
      </w:r>
      <w:r>
        <w:rPr>
          <w:color w:val="000000"/>
          <w:lang w:val="en-GB"/>
        </w:rPr>
        <w:t xml:space="preserve">“APWR Regional View,” </w:t>
      </w:r>
      <w:r w:rsidR="001D5AC9">
        <w:rPr>
          <w:color w:val="000000"/>
          <w:lang w:val="en-GB"/>
        </w:rPr>
        <w:t>Asia Pacific Wealth Report 2014,</w:t>
      </w:r>
      <w:r w:rsidR="004B5D83">
        <w:rPr>
          <w:color w:val="000000"/>
          <w:lang w:val="en-GB"/>
        </w:rPr>
        <w:t xml:space="preserve"> Capgemini, </w:t>
      </w:r>
      <w:r w:rsidR="004B5D83" w:rsidRPr="00EF5E31">
        <w:t xml:space="preserve">accessed </w:t>
      </w:r>
      <w:r w:rsidR="004B5D83">
        <w:rPr>
          <w:color w:val="000000"/>
          <w:lang w:val="it-IT"/>
        </w:rPr>
        <w:t>October 25</w:t>
      </w:r>
      <w:r>
        <w:rPr>
          <w:color w:val="000000"/>
          <w:lang w:val="it-IT"/>
        </w:rPr>
        <w:t>,</w:t>
      </w:r>
      <w:r w:rsidR="004B5D83">
        <w:rPr>
          <w:color w:val="000000"/>
          <w:lang w:val="it-IT"/>
        </w:rPr>
        <w:t xml:space="preserve"> 2017</w:t>
      </w:r>
      <w:r>
        <w:rPr>
          <w:color w:val="000000"/>
          <w:lang w:val="it-IT"/>
        </w:rPr>
        <w:t xml:space="preserve">, </w:t>
      </w:r>
      <w:r w:rsidR="00EA2C6B">
        <w:rPr>
          <w:color w:val="000000"/>
          <w:lang w:val="en-GB"/>
        </w:rPr>
        <w:t xml:space="preserve"> </w:t>
      </w:r>
      <w:r w:rsidR="00EA2C6B" w:rsidRPr="00EA2C6B">
        <w:rPr>
          <w:color w:val="000000"/>
          <w:lang w:val="en-GB"/>
        </w:rPr>
        <w:t>https://www.worldwealthreport.com/apwr/reports/population/asia_pacific/india</w:t>
      </w:r>
      <w:r>
        <w:rPr>
          <w:color w:val="000000"/>
          <w:lang w:val="en-GB"/>
        </w:rPr>
        <w:t>.</w:t>
      </w:r>
    </w:p>
    <w:p w14:paraId="54232874" w14:textId="77777777" w:rsidR="0035308D" w:rsidRDefault="0035308D" w:rsidP="008F5E58">
      <w:pPr>
        <w:pStyle w:val="ExhibitText"/>
        <w:rPr>
          <w:lang w:val="en-GB"/>
        </w:rPr>
      </w:pPr>
    </w:p>
    <w:p w14:paraId="579FE8BE" w14:textId="77777777" w:rsidR="00765C29" w:rsidRDefault="00765C29" w:rsidP="008F5E58">
      <w:pPr>
        <w:pStyle w:val="ExhibitText"/>
        <w:rPr>
          <w:b/>
          <w:lang w:val="en-GB"/>
        </w:rPr>
      </w:pPr>
    </w:p>
    <w:p w14:paraId="0FE912E7" w14:textId="5FFBF69D" w:rsidR="000735FF" w:rsidRPr="002B43C8" w:rsidRDefault="000735FF" w:rsidP="008F5E58">
      <w:pPr>
        <w:keepNext/>
        <w:jc w:val="center"/>
        <w:outlineLvl w:val="0"/>
        <w:rPr>
          <w:rFonts w:ascii="Arial" w:hAnsi="Arial"/>
          <w:b/>
          <w:lang w:val="en-GB"/>
        </w:rPr>
      </w:pPr>
      <w:r w:rsidRPr="002B43C8">
        <w:rPr>
          <w:rFonts w:ascii="Arial" w:hAnsi="Arial"/>
          <w:b/>
          <w:lang w:val="en-GB"/>
        </w:rPr>
        <w:lastRenderedPageBreak/>
        <w:t>EXHIBIT 5: PERCEPTUAL MAP OF MSIL AND ITS COMPETITOR</w:t>
      </w:r>
      <w:r w:rsidR="00BA7596">
        <w:rPr>
          <w:rFonts w:ascii="Arial" w:hAnsi="Arial"/>
          <w:b/>
          <w:lang w:val="en-GB"/>
        </w:rPr>
        <w:t>S</w:t>
      </w:r>
    </w:p>
    <w:p w14:paraId="7B86ECA0" w14:textId="5075B6E6" w:rsidR="000735FF" w:rsidRPr="008F5E58" w:rsidRDefault="000735FF" w:rsidP="008F5E58">
      <w:pPr>
        <w:keepNext/>
        <w:jc w:val="center"/>
        <w:outlineLvl w:val="0"/>
        <w:rPr>
          <w:rFonts w:ascii="Arial" w:hAnsi="Arial" w:cs="Arial"/>
          <w:b/>
          <w:color w:val="000000"/>
          <w:sz w:val="16"/>
          <w:szCs w:val="16"/>
          <w:lang w:val="en-GB"/>
        </w:rPr>
      </w:pPr>
    </w:p>
    <w:p w14:paraId="26B4A426" w14:textId="1C36DF3E" w:rsidR="005063FD" w:rsidRDefault="00184DB5" w:rsidP="008F5E58">
      <w:pPr>
        <w:keepNext/>
        <w:jc w:val="center"/>
        <w:outlineLvl w:val="0"/>
        <w:rPr>
          <w:rFonts w:ascii="Calibri" w:hAnsi="Calibri"/>
          <w:b/>
          <w:color w:val="000000"/>
          <w:lang w:val="en-GB"/>
        </w:rPr>
      </w:pPr>
      <w:r w:rsidRPr="00036070">
        <w:rPr>
          <w:rFonts w:ascii="Calibri" w:hAnsi="Calibri"/>
          <w:b/>
          <w:noProof/>
          <w:color w:val="000000"/>
        </w:rPr>
        <w:drawing>
          <wp:inline distT="0" distB="0" distL="0" distR="0" wp14:anchorId="2ED583A7" wp14:editId="5E00BBB4">
            <wp:extent cx="4474033" cy="3559144"/>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012" cy="3560718"/>
                    </a:xfrm>
                    <a:prstGeom prst="rect">
                      <a:avLst/>
                    </a:prstGeom>
                    <a:noFill/>
                    <a:ln>
                      <a:noFill/>
                    </a:ln>
                  </pic:spPr>
                </pic:pic>
              </a:graphicData>
            </a:graphic>
          </wp:inline>
        </w:drawing>
      </w:r>
    </w:p>
    <w:p w14:paraId="7B0A0A5C" w14:textId="77777777" w:rsidR="005063FD" w:rsidRPr="008F5E58" w:rsidRDefault="005063FD" w:rsidP="00935D2F">
      <w:pPr>
        <w:jc w:val="center"/>
        <w:outlineLvl w:val="0"/>
        <w:rPr>
          <w:rFonts w:ascii="Arial" w:hAnsi="Arial" w:cs="Arial"/>
          <w:b/>
          <w:color w:val="000000"/>
          <w:sz w:val="16"/>
          <w:szCs w:val="16"/>
          <w:lang w:val="en-GB"/>
        </w:rPr>
      </w:pPr>
    </w:p>
    <w:p w14:paraId="116085CC" w14:textId="079FCF57" w:rsidR="00DA238D" w:rsidRDefault="00DA238D" w:rsidP="008F5E58">
      <w:pPr>
        <w:pStyle w:val="Footnote"/>
        <w:rPr>
          <w:lang w:val="en-GB"/>
        </w:rPr>
      </w:pPr>
      <w:r>
        <w:rPr>
          <w:lang w:val="en-GB"/>
        </w:rPr>
        <w:t>Note: VFM = value for money</w:t>
      </w:r>
    </w:p>
    <w:p w14:paraId="0230A59F" w14:textId="6089E63C" w:rsidR="000735FF" w:rsidRPr="003D4ADB" w:rsidRDefault="000735FF" w:rsidP="008F5E58">
      <w:pPr>
        <w:pStyle w:val="Footnote"/>
      </w:pPr>
      <w:r w:rsidRPr="002B43C8">
        <w:rPr>
          <w:lang w:val="en-GB"/>
        </w:rPr>
        <w:t xml:space="preserve">Source: </w:t>
      </w:r>
      <w:r w:rsidR="00EF5E31">
        <w:rPr>
          <w:lang w:val="en-GB"/>
        </w:rPr>
        <w:t xml:space="preserve">Compiled by the case authors based on </w:t>
      </w:r>
      <w:r w:rsidR="005D0EB5">
        <w:rPr>
          <w:lang w:val="en-GB"/>
        </w:rPr>
        <w:t xml:space="preserve">a </w:t>
      </w:r>
      <w:r w:rsidR="008B4109">
        <w:rPr>
          <w:lang w:val="en-GB"/>
        </w:rPr>
        <w:t xml:space="preserve">questionnaire </w:t>
      </w:r>
      <w:r w:rsidR="00DA238D">
        <w:rPr>
          <w:lang w:val="en-GB"/>
        </w:rPr>
        <w:t>to collect</w:t>
      </w:r>
      <w:r w:rsidR="008B4109">
        <w:rPr>
          <w:lang w:val="en-GB"/>
        </w:rPr>
        <w:t xml:space="preserve"> data</w:t>
      </w:r>
      <w:r w:rsidR="00444510">
        <w:rPr>
          <w:lang w:val="en-GB"/>
        </w:rPr>
        <w:t>.</w:t>
      </w:r>
      <w:r w:rsidRPr="002B43C8">
        <w:rPr>
          <w:lang w:val="en-GB"/>
        </w:rPr>
        <w:t xml:space="preserve"> </w:t>
      </w:r>
      <w:r w:rsidR="00DA238D">
        <w:rPr>
          <w:lang w:val="en-GB"/>
        </w:rPr>
        <w:t>R</w:t>
      </w:r>
      <w:r w:rsidR="00605A06">
        <w:rPr>
          <w:lang w:val="en-GB"/>
        </w:rPr>
        <w:t xml:space="preserve">espondents were </w:t>
      </w:r>
      <w:r w:rsidR="00AE1631">
        <w:rPr>
          <w:lang w:val="en-GB"/>
        </w:rPr>
        <w:t>car owners</w:t>
      </w:r>
      <w:r w:rsidR="00DA238D">
        <w:rPr>
          <w:lang w:val="en-GB"/>
        </w:rPr>
        <w:t>;</w:t>
      </w:r>
      <w:r w:rsidR="00590AF8">
        <w:t xml:space="preserve"> </w:t>
      </w:r>
      <w:r w:rsidR="00DA238D">
        <w:t>t</w:t>
      </w:r>
      <w:r w:rsidR="00590AF8">
        <w:t xml:space="preserve">hey had to rate </w:t>
      </w:r>
      <w:r w:rsidR="00C8020B">
        <w:t>each</w:t>
      </w:r>
      <w:r w:rsidR="00590AF8">
        <w:t xml:space="preserve"> car </w:t>
      </w:r>
      <w:r w:rsidR="00C8020B">
        <w:t xml:space="preserve">brand </w:t>
      </w:r>
      <w:r w:rsidR="00590AF8">
        <w:t xml:space="preserve">based on </w:t>
      </w:r>
      <w:r w:rsidR="00250227">
        <w:t>the</w:t>
      </w:r>
      <w:r w:rsidR="00DA238D">
        <w:t>ir</w:t>
      </w:r>
      <w:r w:rsidR="00250227">
        <w:t xml:space="preserve"> perception of</w:t>
      </w:r>
      <w:r w:rsidR="00590AF8">
        <w:t xml:space="preserve"> </w:t>
      </w:r>
      <w:r w:rsidR="00DA238D">
        <w:t>the p</w:t>
      </w:r>
      <w:r w:rsidR="00590AF8">
        <w:t xml:space="preserve">erformance, VFM, </w:t>
      </w:r>
      <w:r w:rsidR="00DA238D">
        <w:t>s</w:t>
      </w:r>
      <w:r w:rsidR="00590AF8">
        <w:t xml:space="preserve">afety, </w:t>
      </w:r>
      <w:r w:rsidR="00DA238D">
        <w:t>q</w:t>
      </w:r>
      <w:r w:rsidR="00590AF8">
        <w:t>uality</w:t>
      </w:r>
      <w:r w:rsidR="00DA238D">
        <w:t>,</w:t>
      </w:r>
      <w:r w:rsidR="00590AF8">
        <w:t xml:space="preserve"> and prestige</w:t>
      </w:r>
      <w:r w:rsidR="0048211C">
        <w:t xml:space="preserve"> </w:t>
      </w:r>
      <w:r w:rsidR="00250227">
        <w:t xml:space="preserve">of that car brand. </w:t>
      </w:r>
      <w:r w:rsidR="0048211C">
        <w:rPr>
          <w:lang w:val="en-GB"/>
        </w:rPr>
        <w:t>M</w:t>
      </w:r>
      <w:r w:rsidRPr="002B43C8">
        <w:rPr>
          <w:lang w:val="en-GB"/>
        </w:rPr>
        <w:t>ultidimensional scaling technique</w:t>
      </w:r>
      <w:r w:rsidR="0048211C">
        <w:rPr>
          <w:lang w:val="en-GB"/>
        </w:rPr>
        <w:t xml:space="preserve"> was used </w:t>
      </w:r>
      <w:r w:rsidR="00CA6DC3">
        <w:rPr>
          <w:lang w:val="en-GB"/>
        </w:rPr>
        <w:t>to analy</w:t>
      </w:r>
      <w:r w:rsidR="00DA238D">
        <w:rPr>
          <w:lang w:val="en-GB"/>
        </w:rPr>
        <w:t>z</w:t>
      </w:r>
      <w:r w:rsidR="00CA6DC3">
        <w:rPr>
          <w:lang w:val="en-GB"/>
        </w:rPr>
        <w:t>e</w:t>
      </w:r>
      <w:r w:rsidR="0048211C">
        <w:rPr>
          <w:lang w:val="en-GB"/>
        </w:rPr>
        <w:t xml:space="preserve"> the </w:t>
      </w:r>
      <w:r w:rsidR="00DA238D">
        <w:rPr>
          <w:lang w:val="en-GB"/>
        </w:rPr>
        <w:t xml:space="preserve">survey </w:t>
      </w:r>
      <w:r w:rsidR="00CA6DC3">
        <w:rPr>
          <w:lang w:val="en-GB"/>
        </w:rPr>
        <w:t>data</w:t>
      </w:r>
      <w:r w:rsidR="0048211C">
        <w:rPr>
          <w:lang w:val="en-GB"/>
        </w:rPr>
        <w:t xml:space="preserve"> </w:t>
      </w:r>
      <w:r w:rsidR="00CA6DC3">
        <w:rPr>
          <w:lang w:val="en-GB"/>
        </w:rPr>
        <w:t>in order to present this perceptual map</w:t>
      </w:r>
      <w:r w:rsidR="008F5E58">
        <w:rPr>
          <w:lang w:val="en-GB"/>
        </w:rPr>
        <w:t>.</w:t>
      </w:r>
    </w:p>
    <w:p w14:paraId="6E18A696" w14:textId="181C1CE9" w:rsidR="003B75BD" w:rsidRPr="008F5E58" w:rsidRDefault="003B75BD" w:rsidP="008F5E58">
      <w:pPr>
        <w:pStyle w:val="ExhibitText"/>
        <w:rPr>
          <w:sz w:val="16"/>
          <w:szCs w:val="16"/>
          <w:lang w:val="en-GB"/>
        </w:rPr>
      </w:pPr>
    </w:p>
    <w:p w14:paraId="42BBC7CC" w14:textId="77777777" w:rsidR="003B75BD" w:rsidRPr="008F5E58" w:rsidRDefault="003B75BD" w:rsidP="008F5E58">
      <w:pPr>
        <w:pStyle w:val="ExhibitText"/>
        <w:rPr>
          <w:sz w:val="16"/>
          <w:szCs w:val="16"/>
          <w:lang w:val="en-GB"/>
        </w:rPr>
      </w:pPr>
    </w:p>
    <w:p w14:paraId="2BA1A650" w14:textId="7662592C" w:rsidR="000735FF" w:rsidRPr="002B43C8" w:rsidRDefault="000735FF" w:rsidP="007F36EF">
      <w:pPr>
        <w:jc w:val="center"/>
        <w:outlineLvl w:val="0"/>
        <w:rPr>
          <w:rFonts w:ascii="Arial" w:hAnsi="Arial"/>
          <w:b/>
          <w:lang w:val="en-GB"/>
        </w:rPr>
      </w:pPr>
      <w:r w:rsidRPr="002B43C8">
        <w:rPr>
          <w:rFonts w:ascii="Arial" w:hAnsi="Arial"/>
          <w:b/>
          <w:lang w:val="en-GB"/>
        </w:rPr>
        <w:t xml:space="preserve">EXHIBIT 6: IMPORTANT EVENTS IN </w:t>
      </w:r>
      <w:r w:rsidR="003D281E">
        <w:rPr>
          <w:rFonts w:ascii="Arial" w:hAnsi="Arial"/>
          <w:b/>
          <w:lang w:val="en-GB"/>
        </w:rPr>
        <w:t>MSIL’S COMPANY</w:t>
      </w:r>
      <w:r w:rsidRPr="002B43C8">
        <w:rPr>
          <w:rFonts w:ascii="Arial" w:hAnsi="Arial"/>
          <w:b/>
          <w:lang w:val="en-GB"/>
        </w:rPr>
        <w:t xml:space="preserve"> HISTORY </w:t>
      </w:r>
    </w:p>
    <w:p w14:paraId="737627AC" w14:textId="1DE9AFAF" w:rsidR="000735FF" w:rsidRPr="002B43C8" w:rsidRDefault="00880091" w:rsidP="00935D2F">
      <w:pPr>
        <w:rPr>
          <w:lang w:val="en-GB"/>
        </w:rPr>
      </w:pPr>
      <w:r w:rsidRPr="00B9194B">
        <w:rPr>
          <w:b/>
          <w:noProof/>
          <w:sz w:val="16"/>
          <w:szCs w:val="16"/>
        </w:rPr>
        <w:drawing>
          <wp:inline distT="0" distB="0" distL="0" distR="0" wp14:anchorId="29059FD2" wp14:editId="57D10D8F">
            <wp:extent cx="5715000" cy="3017520"/>
            <wp:effectExtent l="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3283E72" w14:textId="25526929" w:rsidR="008629F3" w:rsidRPr="002B43C8" w:rsidRDefault="000735FF" w:rsidP="008629F3">
      <w:pPr>
        <w:pStyle w:val="Footnote"/>
        <w:outlineLvl w:val="0"/>
        <w:rPr>
          <w:lang w:val="en-GB"/>
        </w:rPr>
      </w:pPr>
      <w:r w:rsidRPr="002B43C8">
        <w:rPr>
          <w:lang w:val="en-GB"/>
        </w:rPr>
        <w:t xml:space="preserve">Source: </w:t>
      </w:r>
      <w:r w:rsidR="008629F3">
        <w:rPr>
          <w:lang w:val="en-GB"/>
        </w:rPr>
        <w:t>Compiled by the case authors from company materials</w:t>
      </w:r>
      <w:r w:rsidR="00DA238D">
        <w:rPr>
          <w:lang w:val="en-GB"/>
        </w:rPr>
        <w:t>.</w:t>
      </w:r>
    </w:p>
    <w:p w14:paraId="0E894815" w14:textId="3B1A21B7" w:rsidR="009C338B" w:rsidRDefault="000735FF" w:rsidP="007F36EF">
      <w:pPr>
        <w:jc w:val="center"/>
        <w:outlineLvl w:val="0"/>
        <w:rPr>
          <w:rFonts w:ascii="Arial" w:hAnsi="Arial"/>
          <w:b/>
          <w:lang w:val="en-GB"/>
        </w:rPr>
      </w:pPr>
      <w:r w:rsidRPr="002B43C8">
        <w:rPr>
          <w:rFonts w:ascii="Arial" w:hAnsi="Arial"/>
          <w:b/>
          <w:lang w:val="en-GB"/>
        </w:rPr>
        <w:lastRenderedPageBreak/>
        <w:t>EXHIBIT 7A: GROWTH AND SHARE OF</w:t>
      </w:r>
      <w:r w:rsidR="004705BC">
        <w:rPr>
          <w:rFonts w:ascii="Arial" w:hAnsi="Arial"/>
          <w:b/>
          <w:lang w:val="en-GB"/>
        </w:rPr>
        <w:t xml:space="preserve"> THE</w:t>
      </w:r>
      <w:r w:rsidRPr="002B43C8">
        <w:rPr>
          <w:rFonts w:ascii="Arial" w:hAnsi="Arial"/>
          <w:b/>
          <w:lang w:val="en-GB"/>
        </w:rPr>
        <w:t xml:space="preserve"> PASSENGER CAR </w:t>
      </w:r>
      <w:r w:rsidR="004705BC">
        <w:rPr>
          <w:rFonts w:ascii="Arial" w:hAnsi="Arial"/>
          <w:b/>
          <w:lang w:val="en-GB"/>
        </w:rPr>
        <w:t xml:space="preserve">SEGMENT: </w:t>
      </w:r>
      <w:r w:rsidRPr="002B43C8">
        <w:rPr>
          <w:rFonts w:ascii="Arial" w:hAnsi="Arial"/>
          <w:b/>
          <w:lang w:val="en-GB"/>
        </w:rPr>
        <w:t xml:space="preserve">MSIL </w:t>
      </w:r>
      <w:r w:rsidR="004705BC">
        <w:rPr>
          <w:rFonts w:ascii="Arial" w:hAnsi="Arial"/>
          <w:b/>
          <w:lang w:val="en-GB"/>
        </w:rPr>
        <w:t xml:space="preserve">VERSUS </w:t>
      </w:r>
      <w:r w:rsidRPr="002B43C8">
        <w:rPr>
          <w:rFonts w:ascii="Arial" w:hAnsi="Arial"/>
          <w:b/>
          <w:lang w:val="en-GB"/>
        </w:rPr>
        <w:t>COMPETITORS</w:t>
      </w:r>
    </w:p>
    <w:p w14:paraId="47560AD5" w14:textId="77777777" w:rsidR="009C338B" w:rsidRDefault="009C338B" w:rsidP="007F36EF">
      <w:pPr>
        <w:jc w:val="center"/>
        <w:outlineLvl w:val="0"/>
        <w:rPr>
          <w:rFonts w:ascii="Arial" w:hAnsi="Arial"/>
          <w:b/>
          <w:lang w:val="en-GB"/>
        </w:rPr>
      </w:pPr>
    </w:p>
    <w:p w14:paraId="0886EAD6" w14:textId="7BA7DC26" w:rsidR="000735FF" w:rsidRPr="002B43C8" w:rsidRDefault="009C338B" w:rsidP="007F36EF">
      <w:pPr>
        <w:jc w:val="center"/>
        <w:outlineLvl w:val="0"/>
        <w:rPr>
          <w:rFonts w:ascii="Arial" w:hAnsi="Arial"/>
          <w:b/>
          <w:lang w:val="en-GB"/>
        </w:rPr>
      </w:pPr>
      <w:r>
        <w:rPr>
          <w:noProof/>
        </w:rPr>
        <w:drawing>
          <wp:inline distT="0" distB="0" distL="0" distR="0" wp14:anchorId="71B5953D" wp14:editId="7C7BE079">
            <wp:extent cx="5715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rStyle w:val="CommentReference"/>
        </w:rPr>
        <w:t xml:space="preserve"> </w:t>
      </w:r>
    </w:p>
    <w:p w14:paraId="20C75835" w14:textId="4F95A9B2" w:rsidR="00AE182A" w:rsidRPr="002B43C8" w:rsidDel="00AE182A" w:rsidRDefault="00AE182A" w:rsidP="008F5E58">
      <w:pPr>
        <w:pStyle w:val="ExhibitText"/>
        <w:rPr>
          <w:noProof/>
        </w:rPr>
      </w:pPr>
    </w:p>
    <w:tbl>
      <w:tblPr>
        <w:tblW w:w="5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862"/>
        <w:gridCol w:w="1417"/>
        <w:gridCol w:w="1276"/>
      </w:tblGrid>
      <w:tr w:rsidR="008F3337" w14:paraId="61BEAA07" w14:textId="77777777" w:rsidTr="008F5E58">
        <w:trPr>
          <w:trHeight w:val="840"/>
          <w:jc w:val="center"/>
        </w:trPr>
        <w:tc>
          <w:tcPr>
            <w:tcW w:w="2862" w:type="dxa"/>
            <w:shd w:val="clear" w:color="auto" w:fill="auto"/>
            <w:tcMar>
              <w:top w:w="15" w:type="dxa"/>
              <w:left w:w="15" w:type="dxa"/>
              <w:bottom w:w="0" w:type="dxa"/>
              <w:right w:w="15" w:type="dxa"/>
            </w:tcMar>
            <w:hideMark/>
          </w:tcPr>
          <w:p w14:paraId="1A8FB409" w14:textId="77777777" w:rsidR="008F3337" w:rsidRPr="00786A97" w:rsidRDefault="008F3337" w:rsidP="009A0912">
            <w:pPr>
              <w:rPr>
                <w:rFonts w:ascii="Arial" w:hAnsi="Arial" w:cs="Arial"/>
                <w:color w:val="000000"/>
                <w:lang w:val="en-GB" w:eastAsia="zh-CN"/>
              </w:rPr>
            </w:pPr>
          </w:p>
        </w:tc>
        <w:tc>
          <w:tcPr>
            <w:tcW w:w="1417" w:type="dxa"/>
            <w:shd w:val="clear" w:color="auto" w:fill="auto"/>
            <w:tcMar>
              <w:top w:w="15" w:type="dxa"/>
              <w:left w:w="15" w:type="dxa"/>
              <w:bottom w:w="0" w:type="dxa"/>
              <w:right w:w="15" w:type="dxa"/>
            </w:tcMar>
            <w:vAlign w:val="center"/>
            <w:hideMark/>
          </w:tcPr>
          <w:p w14:paraId="6BB3B551" w14:textId="77777777" w:rsidR="00880091" w:rsidRDefault="008F3337" w:rsidP="008F5E58">
            <w:pPr>
              <w:jc w:val="center"/>
              <w:rPr>
                <w:rFonts w:ascii="Arial" w:hAnsi="Arial" w:cs="Arial"/>
                <w:b/>
                <w:color w:val="000000"/>
                <w:lang w:val="en-GB" w:eastAsia="zh-CN"/>
              </w:rPr>
            </w:pPr>
            <w:r w:rsidRPr="008F5E58">
              <w:rPr>
                <w:rFonts w:ascii="Arial" w:hAnsi="Arial" w:cs="Arial"/>
                <w:b/>
                <w:color w:val="000000"/>
                <w:lang w:val="en-GB" w:eastAsia="zh-CN"/>
              </w:rPr>
              <w:t xml:space="preserve">Market </w:t>
            </w:r>
          </w:p>
          <w:p w14:paraId="5D81FD16" w14:textId="683FE2E7" w:rsidR="008F3337" w:rsidRPr="008F5E58" w:rsidRDefault="008F3337" w:rsidP="008F5E58">
            <w:pPr>
              <w:jc w:val="center"/>
              <w:rPr>
                <w:rFonts w:ascii="Arial" w:hAnsi="Arial" w:cs="Arial"/>
                <w:b/>
                <w:color w:val="000000"/>
                <w:lang w:val="en-GB" w:eastAsia="zh-CN"/>
              </w:rPr>
            </w:pPr>
            <w:r w:rsidRPr="008F5E58">
              <w:rPr>
                <w:rFonts w:ascii="Arial" w:hAnsi="Arial" w:cs="Arial"/>
                <w:b/>
                <w:color w:val="000000"/>
                <w:lang w:val="en-GB" w:eastAsia="zh-CN"/>
              </w:rPr>
              <w:t xml:space="preserve">Share </w:t>
            </w:r>
            <w:r w:rsidR="008B01C9" w:rsidRPr="008F5E58">
              <w:rPr>
                <w:rFonts w:ascii="Arial" w:hAnsi="Arial" w:cs="Arial"/>
                <w:b/>
                <w:color w:val="000000"/>
                <w:lang w:val="en-GB" w:eastAsia="zh-CN"/>
              </w:rPr>
              <w:t>in %</w:t>
            </w:r>
          </w:p>
          <w:p w14:paraId="455C4EB2" w14:textId="748C4950" w:rsidR="008F3337" w:rsidRPr="008F5E58" w:rsidRDefault="008F3337" w:rsidP="000E44FF">
            <w:pPr>
              <w:jc w:val="center"/>
              <w:rPr>
                <w:rFonts w:ascii="Arial" w:hAnsi="Arial" w:cs="Arial"/>
                <w:b/>
                <w:color w:val="000000"/>
                <w:lang w:val="en-GB" w:eastAsia="zh-CN"/>
              </w:rPr>
            </w:pPr>
            <w:r w:rsidRPr="008F5E58">
              <w:rPr>
                <w:rFonts w:ascii="Arial" w:hAnsi="Arial" w:cs="Arial"/>
                <w:b/>
                <w:color w:val="000000"/>
                <w:lang w:val="en-GB" w:eastAsia="zh-CN"/>
              </w:rPr>
              <w:t>(</w:t>
            </w:r>
            <w:r w:rsidR="008B01C9" w:rsidRPr="008F5E58">
              <w:rPr>
                <w:rFonts w:ascii="Arial" w:hAnsi="Arial" w:cs="Arial"/>
                <w:b/>
                <w:color w:val="000000"/>
                <w:lang w:val="en-GB" w:eastAsia="zh-CN"/>
              </w:rPr>
              <w:t>FY</w:t>
            </w:r>
            <w:r w:rsidRPr="008F5E58">
              <w:rPr>
                <w:rFonts w:ascii="Arial" w:hAnsi="Arial" w:cs="Arial"/>
                <w:b/>
                <w:color w:val="000000"/>
                <w:lang w:val="en-GB" w:eastAsia="zh-CN"/>
              </w:rPr>
              <w:t>2013</w:t>
            </w:r>
            <w:r w:rsidR="00C170DA" w:rsidRPr="008F5E58">
              <w:rPr>
                <w:rFonts w:ascii="Arial" w:hAnsi="Arial" w:cs="Arial"/>
                <w:b/>
                <w:color w:val="000000"/>
                <w:lang w:val="en-GB" w:eastAsia="zh-CN"/>
              </w:rPr>
              <w:t>–</w:t>
            </w:r>
            <w:r w:rsidRPr="008F5E58">
              <w:rPr>
                <w:rFonts w:ascii="Arial" w:hAnsi="Arial" w:cs="Arial"/>
                <w:b/>
                <w:color w:val="000000"/>
                <w:lang w:val="en-GB" w:eastAsia="zh-CN"/>
              </w:rPr>
              <w:t>14)</w:t>
            </w:r>
          </w:p>
        </w:tc>
        <w:tc>
          <w:tcPr>
            <w:tcW w:w="1276" w:type="dxa"/>
            <w:shd w:val="clear" w:color="auto" w:fill="auto"/>
            <w:tcMar>
              <w:top w:w="15" w:type="dxa"/>
              <w:left w:w="15" w:type="dxa"/>
              <w:bottom w:w="0" w:type="dxa"/>
              <w:right w:w="15" w:type="dxa"/>
            </w:tcMar>
            <w:vAlign w:val="center"/>
            <w:hideMark/>
          </w:tcPr>
          <w:p w14:paraId="21E82420" w14:textId="44E5681D" w:rsidR="008F3337" w:rsidRPr="008F5E58" w:rsidRDefault="008F3337" w:rsidP="007F136F">
            <w:pPr>
              <w:jc w:val="center"/>
              <w:rPr>
                <w:rFonts w:ascii="Arial" w:hAnsi="Arial" w:cs="Arial"/>
                <w:b/>
                <w:color w:val="000000"/>
                <w:lang w:val="en-GB" w:eastAsia="zh-CN"/>
              </w:rPr>
            </w:pPr>
            <w:r w:rsidRPr="008F5E58">
              <w:rPr>
                <w:rFonts w:ascii="Arial" w:hAnsi="Arial" w:cs="Arial"/>
                <w:b/>
                <w:color w:val="000000"/>
                <w:lang w:val="en-GB" w:eastAsia="zh-CN"/>
              </w:rPr>
              <w:t>Market Share</w:t>
            </w:r>
            <w:r w:rsidR="008B01C9" w:rsidRPr="008F5E58">
              <w:rPr>
                <w:rFonts w:ascii="Arial" w:hAnsi="Arial" w:cs="Arial"/>
                <w:b/>
                <w:color w:val="000000"/>
                <w:lang w:val="en-GB" w:eastAsia="zh-CN"/>
              </w:rPr>
              <w:t xml:space="preserve"> in %</w:t>
            </w:r>
            <w:r w:rsidRPr="008F5E58">
              <w:rPr>
                <w:rFonts w:ascii="Arial" w:hAnsi="Arial" w:cs="Arial"/>
                <w:b/>
                <w:color w:val="000000"/>
                <w:lang w:val="en-GB" w:eastAsia="zh-CN"/>
              </w:rPr>
              <w:t xml:space="preserve"> (</w:t>
            </w:r>
            <w:r w:rsidR="008B01C9" w:rsidRPr="008F5E58">
              <w:rPr>
                <w:rFonts w:ascii="Arial" w:hAnsi="Arial" w:cs="Arial"/>
                <w:b/>
                <w:color w:val="000000"/>
                <w:lang w:val="en-GB" w:eastAsia="zh-CN"/>
              </w:rPr>
              <w:t>FY</w:t>
            </w:r>
            <w:r w:rsidRPr="008F5E58">
              <w:rPr>
                <w:rFonts w:ascii="Arial" w:hAnsi="Arial" w:cs="Arial"/>
                <w:b/>
                <w:color w:val="000000"/>
                <w:lang w:val="en-GB" w:eastAsia="zh-CN"/>
              </w:rPr>
              <w:t>2014</w:t>
            </w:r>
            <w:r w:rsidR="00C170DA" w:rsidRPr="008F5E58">
              <w:rPr>
                <w:rFonts w:ascii="Arial" w:hAnsi="Arial" w:cs="Arial"/>
                <w:b/>
                <w:color w:val="000000"/>
                <w:lang w:val="en-GB" w:eastAsia="zh-CN"/>
              </w:rPr>
              <w:t>–</w:t>
            </w:r>
            <w:r w:rsidRPr="008F5E58">
              <w:rPr>
                <w:rFonts w:ascii="Arial" w:hAnsi="Arial" w:cs="Arial"/>
                <w:b/>
                <w:color w:val="000000"/>
                <w:lang w:val="en-GB" w:eastAsia="zh-CN"/>
              </w:rPr>
              <w:t>15)</w:t>
            </w:r>
          </w:p>
        </w:tc>
      </w:tr>
      <w:tr w:rsidR="008F3337" w14:paraId="3844E781" w14:textId="77777777" w:rsidTr="002141C0">
        <w:trPr>
          <w:trHeight w:val="280"/>
          <w:jc w:val="center"/>
        </w:trPr>
        <w:tc>
          <w:tcPr>
            <w:tcW w:w="2862" w:type="dxa"/>
            <w:shd w:val="clear" w:color="auto" w:fill="auto"/>
            <w:noWrap/>
            <w:tcMar>
              <w:top w:w="15" w:type="dxa"/>
              <w:left w:w="15" w:type="dxa"/>
              <w:bottom w:w="0" w:type="dxa"/>
              <w:right w:w="15" w:type="dxa"/>
            </w:tcMar>
            <w:hideMark/>
          </w:tcPr>
          <w:p w14:paraId="6A8DC20B" w14:textId="29D0FA06" w:rsidR="008F3337" w:rsidRPr="00786A97" w:rsidRDefault="008F3337" w:rsidP="009A0912">
            <w:pPr>
              <w:rPr>
                <w:rFonts w:ascii="Arial" w:hAnsi="Arial" w:cs="Arial"/>
                <w:color w:val="000000"/>
                <w:lang w:val="en-GB" w:eastAsia="zh-CN"/>
              </w:rPr>
            </w:pPr>
            <w:r w:rsidRPr="00786A97">
              <w:rPr>
                <w:rFonts w:ascii="Arial" w:hAnsi="Arial" w:cs="Arial"/>
                <w:color w:val="000000"/>
                <w:lang w:val="en-GB" w:eastAsia="zh-CN"/>
              </w:rPr>
              <w:t>Maruti Suzuki India Ltd.</w:t>
            </w:r>
          </w:p>
        </w:tc>
        <w:tc>
          <w:tcPr>
            <w:tcW w:w="1417" w:type="dxa"/>
            <w:shd w:val="clear" w:color="auto" w:fill="auto"/>
            <w:noWrap/>
            <w:tcMar>
              <w:top w:w="15" w:type="dxa"/>
              <w:left w:w="15" w:type="dxa"/>
              <w:bottom w:w="0" w:type="dxa"/>
              <w:right w:w="15" w:type="dxa"/>
            </w:tcMar>
            <w:hideMark/>
          </w:tcPr>
          <w:p w14:paraId="28AF5770" w14:textId="75F0A922"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42</w:t>
            </w:r>
            <w:r w:rsidR="00880091">
              <w:rPr>
                <w:rFonts w:ascii="Arial" w:hAnsi="Arial" w:cs="Arial"/>
                <w:color w:val="000000"/>
                <w:lang w:val="en-GB" w:eastAsia="zh-CN"/>
              </w:rPr>
              <w:t>.00</w:t>
            </w:r>
          </w:p>
        </w:tc>
        <w:tc>
          <w:tcPr>
            <w:tcW w:w="1276" w:type="dxa"/>
            <w:shd w:val="clear" w:color="auto" w:fill="auto"/>
            <w:noWrap/>
            <w:tcMar>
              <w:top w:w="15" w:type="dxa"/>
              <w:left w:w="15" w:type="dxa"/>
              <w:bottom w:w="0" w:type="dxa"/>
              <w:right w:w="15" w:type="dxa"/>
            </w:tcMar>
            <w:hideMark/>
          </w:tcPr>
          <w:p w14:paraId="2684307D" w14:textId="77777777"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44.79</w:t>
            </w:r>
          </w:p>
        </w:tc>
      </w:tr>
      <w:tr w:rsidR="008F3337" w14:paraId="19E68E2E" w14:textId="77777777" w:rsidTr="002141C0">
        <w:trPr>
          <w:trHeight w:val="280"/>
          <w:jc w:val="center"/>
        </w:trPr>
        <w:tc>
          <w:tcPr>
            <w:tcW w:w="2862" w:type="dxa"/>
            <w:shd w:val="clear" w:color="auto" w:fill="auto"/>
            <w:noWrap/>
            <w:tcMar>
              <w:top w:w="15" w:type="dxa"/>
              <w:left w:w="15" w:type="dxa"/>
              <w:bottom w:w="0" w:type="dxa"/>
              <w:right w:w="15" w:type="dxa"/>
            </w:tcMar>
            <w:hideMark/>
          </w:tcPr>
          <w:p w14:paraId="46720D44" w14:textId="5114861B" w:rsidR="008F3337" w:rsidRPr="00786A97" w:rsidRDefault="008F3337" w:rsidP="009A0912">
            <w:pPr>
              <w:rPr>
                <w:rFonts w:ascii="Arial" w:hAnsi="Arial" w:cs="Arial"/>
                <w:color w:val="000000"/>
                <w:lang w:val="en-GB" w:eastAsia="zh-CN"/>
              </w:rPr>
            </w:pPr>
            <w:r w:rsidRPr="00786A97">
              <w:rPr>
                <w:rFonts w:ascii="Arial" w:hAnsi="Arial" w:cs="Arial"/>
                <w:color w:val="000000"/>
                <w:lang w:val="en-GB" w:eastAsia="zh-CN"/>
              </w:rPr>
              <w:t>Hyundai Motor India Ltd.</w:t>
            </w:r>
          </w:p>
        </w:tc>
        <w:tc>
          <w:tcPr>
            <w:tcW w:w="1417" w:type="dxa"/>
            <w:shd w:val="clear" w:color="auto" w:fill="auto"/>
            <w:noWrap/>
            <w:tcMar>
              <w:top w:w="15" w:type="dxa"/>
              <w:left w:w="15" w:type="dxa"/>
              <w:bottom w:w="0" w:type="dxa"/>
              <w:right w:w="15" w:type="dxa"/>
            </w:tcMar>
            <w:hideMark/>
          </w:tcPr>
          <w:p w14:paraId="1207F55B" w14:textId="2C9568CD"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26</w:t>
            </w:r>
            <w:r w:rsidR="00880091">
              <w:rPr>
                <w:rFonts w:ascii="Arial" w:hAnsi="Arial" w:cs="Arial"/>
                <w:color w:val="000000"/>
                <w:lang w:val="en-GB" w:eastAsia="zh-CN"/>
              </w:rPr>
              <w:t>.00</w:t>
            </w:r>
          </w:p>
        </w:tc>
        <w:tc>
          <w:tcPr>
            <w:tcW w:w="1276" w:type="dxa"/>
            <w:shd w:val="clear" w:color="auto" w:fill="auto"/>
            <w:noWrap/>
            <w:tcMar>
              <w:top w:w="15" w:type="dxa"/>
              <w:left w:w="15" w:type="dxa"/>
              <w:bottom w:w="0" w:type="dxa"/>
              <w:right w:w="15" w:type="dxa"/>
            </w:tcMar>
            <w:hideMark/>
          </w:tcPr>
          <w:p w14:paraId="30070F66" w14:textId="77777777"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25.23</w:t>
            </w:r>
          </w:p>
        </w:tc>
      </w:tr>
      <w:tr w:rsidR="008F3337" w14:paraId="63C16BB3" w14:textId="77777777" w:rsidTr="002141C0">
        <w:trPr>
          <w:trHeight w:val="280"/>
          <w:jc w:val="center"/>
        </w:trPr>
        <w:tc>
          <w:tcPr>
            <w:tcW w:w="2862" w:type="dxa"/>
            <w:shd w:val="clear" w:color="auto" w:fill="auto"/>
            <w:noWrap/>
            <w:tcMar>
              <w:top w:w="15" w:type="dxa"/>
              <w:left w:w="15" w:type="dxa"/>
              <w:bottom w:w="0" w:type="dxa"/>
              <w:right w:w="15" w:type="dxa"/>
            </w:tcMar>
            <w:hideMark/>
          </w:tcPr>
          <w:p w14:paraId="3CE9312F" w14:textId="1B69900E" w:rsidR="008F3337" w:rsidRPr="00786A97" w:rsidRDefault="008F3337" w:rsidP="009A0912">
            <w:pPr>
              <w:rPr>
                <w:rFonts w:ascii="Arial" w:hAnsi="Arial" w:cs="Arial"/>
                <w:color w:val="000000"/>
                <w:lang w:val="en-GB" w:eastAsia="zh-CN"/>
              </w:rPr>
            </w:pPr>
            <w:r w:rsidRPr="00786A97">
              <w:rPr>
                <w:rFonts w:ascii="Arial" w:hAnsi="Arial" w:cs="Arial"/>
                <w:color w:val="000000"/>
                <w:lang w:val="en-GB" w:eastAsia="zh-CN"/>
              </w:rPr>
              <w:t>Honda Cars India Ltd.</w:t>
            </w:r>
          </w:p>
        </w:tc>
        <w:tc>
          <w:tcPr>
            <w:tcW w:w="1417" w:type="dxa"/>
            <w:shd w:val="clear" w:color="auto" w:fill="auto"/>
            <w:noWrap/>
            <w:tcMar>
              <w:top w:w="15" w:type="dxa"/>
              <w:left w:w="15" w:type="dxa"/>
              <w:bottom w:w="0" w:type="dxa"/>
              <w:right w:w="15" w:type="dxa"/>
            </w:tcMar>
            <w:hideMark/>
          </w:tcPr>
          <w:p w14:paraId="70D3CC2F" w14:textId="7AE2463A"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6</w:t>
            </w:r>
            <w:r w:rsidR="00880091">
              <w:rPr>
                <w:rFonts w:ascii="Arial" w:hAnsi="Arial" w:cs="Arial"/>
                <w:color w:val="000000"/>
                <w:lang w:val="en-GB" w:eastAsia="zh-CN"/>
              </w:rPr>
              <w:t>.00</w:t>
            </w:r>
          </w:p>
        </w:tc>
        <w:tc>
          <w:tcPr>
            <w:tcW w:w="1276" w:type="dxa"/>
            <w:shd w:val="clear" w:color="auto" w:fill="auto"/>
            <w:noWrap/>
            <w:tcMar>
              <w:top w:w="15" w:type="dxa"/>
              <w:left w:w="15" w:type="dxa"/>
              <w:bottom w:w="0" w:type="dxa"/>
              <w:right w:w="15" w:type="dxa"/>
            </w:tcMar>
            <w:hideMark/>
          </w:tcPr>
          <w:p w14:paraId="1369FAA6" w14:textId="77777777"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6.82</w:t>
            </w:r>
          </w:p>
        </w:tc>
      </w:tr>
      <w:tr w:rsidR="008F3337" w14:paraId="48B7C4FB" w14:textId="77777777" w:rsidTr="002141C0">
        <w:trPr>
          <w:trHeight w:val="280"/>
          <w:jc w:val="center"/>
        </w:trPr>
        <w:tc>
          <w:tcPr>
            <w:tcW w:w="2862" w:type="dxa"/>
            <w:shd w:val="clear" w:color="auto" w:fill="auto"/>
            <w:noWrap/>
            <w:tcMar>
              <w:top w:w="15" w:type="dxa"/>
              <w:left w:w="15" w:type="dxa"/>
              <w:bottom w:w="0" w:type="dxa"/>
              <w:right w:w="15" w:type="dxa"/>
            </w:tcMar>
            <w:hideMark/>
          </w:tcPr>
          <w:p w14:paraId="0E4D911D" w14:textId="3BC81F2F" w:rsidR="008F3337" w:rsidRPr="00786A97" w:rsidRDefault="008F3337" w:rsidP="009A0912">
            <w:pPr>
              <w:rPr>
                <w:rFonts w:ascii="Arial" w:hAnsi="Arial" w:cs="Arial"/>
                <w:color w:val="000000"/>
                <w:lang w:val="en-GB" w:eastAsia="zh-CN"/>
              </w:rPr>
            </w:pPr>
            <w:r w:rsidRPr="00786A97">
              <w:rPr>
                <w:rFonts w:ascii="Arial" w:hAnsi="Arial" w:cs="Arial"/>
                <w:color w:val="000000"/>
                <w:lang w:val="en-GB" w:eastAsia="zh-CN"/>
              </w:rPr>
              <w:t>Nissan Motor India Pvt. Ltd.</w:t>
            </w:r>
          </w:p>
        </w:tc>
        <w:tc>
          <w:tcPr>
            <w:tcW w:w="1417" w:type="dxa"/>
            <w:shd w:val="clear" w:color="auto" w:fill="auto"/>
            <w:noWrap/>
            <w:tcMar>
              <w:top w:w="15" w:type="dxa"/>
              <w:left w:w="15" w:type="dxa"/>
              <w:bottom w:w="0" w:type="dxa"/>
              <w:right w:w="15" w:type="dxa"/>
            </w:tcMar>
            <w:hideMark/>
          </w:tcPr>
          <w:p w14:paraId="28DD3887" w14:textId="55AD2365"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6</w:t>
            </w:r>
            <w:r w:rsidR="00880091">
              <w:rPr>
                <w:rFonts w:ascii="Arial" w:hAnsi="Arial" w:cs="Arial"/>
                <w:color w:val="000000"/>
                <w:lang w:val="en-GB" w:eastAsia="zh-CN"/>
              </w:rPr>
              <w:t>.00</w:t>
            </w:r>
          </w:p>
        </w:tc>
        <w:tc>
          <w:tcPr>
            <w:tcW w:w="1276" w:type="dxa"/>
            <w:shd w:val="clear" w:color="auto" w:fill="auto"/>
            <w:noWrap/>
            <w:tcMar>
              <w:top w:w="15" w:type="dxa"/>
              <w:left w:w="15" w:type="dxa"/>
              <w:bottom w:w="0" w:type="dxa"/>
              <w:right w:w="15" w:type="dxa"/>
            </w:tcMar>
            <w:hideMark/>
          </w:tcPr>
          <w:p w14:paraId="0BA4B4C6" w14:textId="77777777"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6.07</w:t>
            </w:r>
          </w:p>
        </w:tc>
      </w:tr>
      <w:tr w:rsidR="008F3337" w14:paraId="008BCA8A" w14:textId="77777777" w:rsidTr="002141C0">
        <w:trPr>
          <w:trHeight w:val="280"/>
          <w:jc w:val="center"/>
        </w:trPr>
        <w:tc>
          <w:tcPr>
            <w:tcW w:w="2862" w:type="dxa"/>
            <w:shd w:val="clear" w:color="auto" w:fill="auto"/>
            <w:noWrap/>
            <w:tcMar>
              <w:top w:w="15" w:type="dxa"/>
              <w:left w:w="15" w:type="dxa"/>
              <w:bottom w:w="0" w:type="dxa"/>
              <w:right w:w="15" w:type="dxa"/>
            </w:tcMar>
            <w:hideMark/>
          </w:tcPr>
          <w:p w14:paraId="4D0C9BBD" w14:textId="07612D76" w:rsidR="008F3337" w:rsidRPr="00786A97" w:rsidRDefault="008F3337" w:rsidP="009A0912">
            <w:pPr>
              <w:rPr>
                <w:rFonts w:ascii="Arial" w:hAnsi="Arial" w:cs="Arial"/>
                <w:color w:val="000000"/>
                <w:lang w:val="en-GB" w:eastAsia="zh-CN"/>
              </w:rPr>
            </w:pPr>
            <w:r w:rsidRPr="00786A97">
              <w:rPr>
                <w:rFonts w:ascii="Arial" w:hAnsi="Arial" w:cs="Arial"/>
                <w:color w:val="000000"/>
                <w:lang w:val="en-GB" w:eastAsia="zh-CN"/>
              </w:rPr>
              <w:t>Tata Motors Ltd.</w:t>
            </w:r>
          </w:p>
        </w:tc>
        <w:tc>
          <w:tcPr>
            <w:tcW w:w="1417" w:type="dxa"/>
            <w:shd w:val="clear" w:color="auto" w:fill="auto"/>
            <w:noWrap/>
            <w:tcMar>
              <w:top w:w="15" w:type="dxa"/>
              <w:left w:w="15" w:type="dxa"/>
              <w:bottom w:w="0" w:type="dxa"/>
              <w:right w:w="15" w:type="dxa"/>
            </w:tcMar>
            <w:hideMark/>
          </w:tcPr>
          <w:p w14:paraId="0667E0E5" w14:textId="6E33AB23"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5</w:t>
            </w:r>
            <w:r w:rsidR="00880091">
              <w:rPr>
                <w:rFonts w:ascii="Arial" w:hAnsi="Arial" w:cs="Arial"/>
                <w:color w:val="000000"/>
                <w:lang w:val="en-GB" w:eastAsia="zh-CN"/>
              </w:rPr>
              <w:t>.00</w:t>
            </w:r>
          </w:p>
        </w:tc>
        <w:tc>
          <w:tcPr>
            <w:tcW w:w="1276" w:type="dxa"/>
            <w:shd w:val="clear" w:color="auto" w:fill="auto"/>
            <w:noWrap/>
            <w:tcMar>
              <w:top w:w="15" w:type="dxa"/>
              <w:left w:w="15" w:type="dxa"/>
              <w:bottom w:w="0" w:type="dxa"/>
              <w:right w:w="15" w:type="dxa"/>
            </w:tcMar>
            <w:hideMark/>
          </w:tcPr>
          <w:p w14:paraId="4C129931" w14:textId="77777777"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4.63</w:t>
            </w:r>
          </w:p>
        </w:tc>
      </w:tr>
      <w:tr w:rsidR="008F3337" w14:paraId="31689879" w14:textId="77777777" w:rsidTr="002141C0">
        <w:trPr>
          <w:trHeight w:val="280"/>
          <w:jc w:val="center"/>
        </w:trPr>
        <w:tc>
          <w:tcPr>
            <w:tcW w:w="2862" w:type="dxa"/>
            <w:shd w:val="clear" w:color="auto" w:fill="auto"/>
            <w:noWrap/>
            <w:tcMar>
              <w:top w:w="15" w:type="dxa"/>
              <w:left w:w="15" w:type="dxa"/>
              <w:bottom w:w="0" w:type="dxa"/>
              <w:right w:w="15" w:type="dxa"/>
            </w:tcMar>
            <w:hideMark/>
          </w:tcPr>
          <w:p w14:paraId="0DE5CC87" w14:textId="3619C41C" w:rsidR="008F3337" w:rsidRPr="00786A97" w:rsidRDefault="008F3337" w:rsidP="009A0912">
            <w:pPr>
              <w:rPr>
                <w:rFonts w:ascii="Arial" w:hAnsi="Arial" w:cs="Arial"/>
                <w:color w:val="000000"/>
                <w:lang w:val="en-GB" w:eastAsia="zh-CN"/>
              </w:rPr>
            </w:pPr>
            <w:r w:rsidRPr="00786A97">
              <w:rPr>
                <w:rFonts w:ascii="Arial" w:hAnsi="Arial" w:cs="Arial"/>
                <w:color w:val="000000"/>
                <w:lang w:val="en-GB" w:eastAsia="zh-CN"/>
              </w:rPr>
              <w:t>Volkswagen India Pvt. Ltd.</w:t>
            </w:r>
          </w:p>
        </w:tc>
        <w:tc>
          <w:tcPr>
            <w:tcW w:w="1417" w:type="dxa"/>
            <w:shd w:val="clear" w:color="auto" w:fill="auto"/>
            <w:noWrap/>
            <w:tcMar>
              <w:top w:w="15" w:type="dxa"/>
              <w:left w:w="15" w:type="dxa"/>
              <w:bottom w:w="0" w:type="dxa"/>
              <w:right w:w="15" w:type="dxa"/>
            </w:tcMar>
            <w:hideMark/>
          </w:tcPr>
          <w:p w14:paraId="20C492DA" w14:textId="4F394890"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4</w:t>
            </w:r>
            <w:r w:rsidR="00880091">
              <w:rPr>
                <w:rFonts w:ascii="Arial" w:hAnsi="Arial" w:cs="Arial"/>
                <w:color w:val="000000"/>
                <w:lang w:val="en-GB" w:eastAsia="zh-CN"/>
              </w:rPr>
              <w:t>.00</w:t>
            </w:r>
          </w:p>
        </w:tc>
        <w:tc>
          <w:tcPr>
            <w:tcW w:w="1276" w:type="dxa"/>
            <w:shd w:val="clear" w:color="auto" w:fill="auto"/>
            <w:noWrap/>
            <w:tcMar>
              <w:top w:w="15" w:type="dxa"/>
              <w:left w:w="15" w:type="dxa"/>
              <w:bottom w:w="0" w:type="dxa"/>
              <w:right w:w="15" w:type="dxa"/>
            </w:tcMar>
            <w:hideMark/>
          </w:tcPr>
          <w:p w14:paraId="0017F041" w14:textId="77777777"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4.55</w:t>
            </w:r>
          </w:p>
        </w:tc>
      </w:tr>
      <w:tr w:rsidR="008F3337" w14:paraId="613088A5" w14:textId="77777777" w:rsidTr="002141C0">
        <w:trPr>
          <w:trHeight w:val="280"/>
          <w:jc w:val="center"/>
        </w:trPr>
        <w:tc>
          <w:tcPr>
            <w:tcW w:w="2862" w:type="dxa"/>
            <w:shd w:val="clear" w:color="auto" w:fill="auto"/>
            <w:noWrap/>
            <w:tcMar>
              <w:top w:w="15" w:type="dxa"/>
              <w:left w:w="15" w:type="dxa"/>
              <w:bottom w:w="0" w:type="dxa"/>
              <w:right w:w="15" w:type="dxa"/>
            </w:tcMar>
            <w:hideMark/>
          </w:tcPr>
          <w:p w14:paraId="14AE2FE7" w14:textId="15854183" w:rsidR="008F3337" w:rsidRPr="00786A97" w:rsidRDefault="008F3337" w:rsidP="009A0912">
            <w:pPr>
              <w:rPr>
                <w:rFonts w:ascii="Arial" w:hAnsi="Arial" w:cs="Arial"/>
                <w:color w:val="000000"/>
                <w:lang w:val="en-GB" w:eastAsia="zh-CN"/>
              </w:rPr>
            </w:pPr>
            <w:r w:rsidRPr="00786A97">
              <w:rPr>
                <w:rFonts w:ascii="Arial" w:hAnsi="Arial" w:cs="Arial"/>
                <w:color w:val="000000"/>
                <w:lang w:val="en-GB" w:eastAsia="zh-CN"/>
              </w:rPr>
              <w:t>Toyota Kirloskar Motor Pvt. Ltd.</w:t>
            </w:r>
          </w:p>
        </w:tc>
        <w:tc>
          <w:tcPr>
            <w:tcW w:w="1417" w:type="dxa"/>
            <w:shd w:val="clear" w:color="auto" w:fill="auto"/>
            <w:noWrap/>
            <w:tcMar>
              <w:top w:w="15" w:type="dxa"/>
              <w:left w:w="15" w:type="dxa"/>
              <w:bottom w:w="0" w:type="dxa"/>
              <w:right w:w="15" w:type="dxa"/>
            </w:tcMar>
            <w:hideMark/>
          </w:tcPr>
          <w:p w14:paraId="6BCA7A31" w14:textId="63A1970C"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4</w:t>
            </w:r>
            <w:r w:rsidR="00880091">
              <w:rPr>
                <w:rFonts w:ascii="Arial" w:hAnsi="Arial" w:cs="Arial"/>
                <w:color w:val="000000"/>
                <w:lang w:val="en-GB" w:eastAsia="zh-CN"/>
              </w:rPr>
              <w:t>.00</w:t>
            </w:r>
          </w:p>
        </w:tc>
        <w:tc>
          <w:tcPr>
            <w:tcW w:w="1276" w:type="dxa"/>
            <w:shd w:val="clear" w:color="auto" w:fill="auto"/>
            <w:noWrap/>
            <w:tcMar>
              <w:top w:w="15" w:type="dxa"/>
              <w:left w:w="15" w:type="dxa"/>
              <w:bottom w:w="0" w:type="dxa"/>
              <w:right w:w="15" w:type="dxa"/>
            </w:tcMar>
            <w:hideMark/>
          </w:tcPr>
          <w:p w14:paraId="187BD1E9" w14:textId="77777777"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3.24</w:t>
            </w:r>
          </w:p>
        </w:tc>
      </w:tr>
      <w:tr w:rsidR="008F3337" w14:paraId="3808092E" w14:textId="77777777" w:rsidTr="002141C0">
        <w:trPr>
          <w:trHeight w:val="280"/>
          <w:jc w:val="center"/>
        </w:trPr>
        <w:tc>
          <w:tcPr>
            <w:tcW w:w="2862" w:type="dxa"/>
            <w:shd w:val="clear" w:color="auto" w:fill="auto"/>
            <w:noWrap/>
            <w:tcMar>
              <w:top w:w="15" w:type="dxa"/>
              <w:left w:w="15" w:type="dxa"/>
              <w:bottom w:w="0" w:type="dxa"/>
              <w:right w:w="15" w:type="dxa"/>
            </w:tcMar>
            <w:hideMark/>
          </w:tcPr>
          <w:p w14:paraId="1DF71A34" w14:textId="342F022D" w:rsidR="008F3337" w:rsidRPr="00786A97" w:rsidRDefault="008F3337" w:rsidP="009A0912">
            <w:pPr>
              <w:rPr>
                <w:rFonts w:ascii="Arial" w:hAnsi="Arial" w:cs="Arial"/>
                <w:color w:val="000000"/>
                <w:lang w:val="en-GB" w:eastAsia="zh-CN"/>
              </w:rPr>
            </w:pPr>
            <w:r w:rsidRPr="00786A97">
              <w:rPr>
                <w:rFonts w:ascii="Arial" w:hAnsi="Arial" w:cs="Arial"/>
                <w:color w:val="000000"/>
                <w:lang w:val="en-GB" w:eastAsia="zh-CN"/>
              </w:rPr>
              <w:t>Ford India Pvt. Ltd.</w:t>
            </w:r>
          </w:p>
        </w:tc>
        <w:tc>
          <w:tcPr>
            <w:tcW w:w="1417" w:type="dxa"/>
            <w:shd w:val="clear" w:color="auto" w:fill="auto"/>
            <w:noWrap/>
            <w:tcMar>
              <w:top w:w="15" w:type="dxa"/>
              <w:left w:w="15" w:type="dxa"/>
              <w:bottom w:w="0" w:type="dxa"/>
              <w:right w:w="15" w:type="dxa"/>
            </w:tcMar>
            <w:hideMark/>
          </w:tcPr>
          <w:p w14:paraId="5A86D483" w14:textId="492CA64A"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3</w:t>
            </w:r>
            <w:r w:rsidR="00880091">
              <w:rPr>
                <w:rFonts w:ascii="Arial" w:hAnsi="Arial" w:cs="Arial"/>
                <w:color w:val="000000"/>
                <w:lang w:val="en-GB" w:eastAsia="zh-CN"/>
              </w:rPr>
              <w:t>.00</w:t>
            </w:r>
          </w:p>
        </w:tc>
        <w:tc>
          <w:tcPr>
            <w:tcW w:w="1276" w:type="dxa"/>
            <w:shd w:val="clear" w:color="auto" w:fill="auto"/>
            <w:noWrap/>
            <w:tcMar>
              <w:top w:w="15" w:type="dxa"/>
              <w:left w:w="15" w:type="dxa"/>
              <w:bottom w:w="0" w:type="dxa"/>
              <w:right w:w="15" w:type="dxa"/>
            </w:tcMar>
            <w:hideMark/>
          </w:tcPr>
          <w:p w14:paraId="165AE4CB" w14:textId="77777777"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2.04</w:t>
            </w:r>
          </w:p>
        </w:tc>
      </w:tr>
      <w:tr w:rsidR="008F3337" w14:paraId="1C7CF9C9" w14:textId="77777777" w:rsidTr="002141C0">
        <w:trPr>
          <w:trHeight w:val="280"/>
          <w:jc w:val="center"/>
        </w:trPr>
        <w:tc>
          <w:tcPr>
            <w:tcW w:w="2862" w:type="dxa"/>
            <w:shd w:val="clear" w:color="auto" w:fill="auto"/>
            <w:noWrap/>
            <w:tcMar>
              <w:top w:w="15" w:type="dxa"/>
              <w:left w:w="15" w:type="dxa"/>
              <w:bottom w:w="0" w:type="dxa"/>
              <w:right w:w="15" w:type="dxa"/>
            </w:tcMar>
            <w:hideMark/>
          </w:tcPr>
          <w:p w14:paraId="2754E8FD" w14:textId="0A734C0C" w:rsidR="008F3337" w:rsidRPr="00786A97" w:rsidRDefault="008F3337" w:rsidP="009A0912">
            <w:pPr>
              <w:rPr>
                <w:rFonts w:ascii="Arial" w:hAnsi="Arial" w:cs="Arial"/>
                <w:color w:val="000000"/>
                <w:lang w:val="en-GB" w:eastAsia="zh-CN"/>
              </w:rPr>
            </w:pPr>
            <w:r w:rsidRPr="00786A97">
              <w:rPr>
                <w:rFonts w:ascii="Arial" w:hAnsi="Arial" w:cs="Arial"/>
                <w:color w:val="000000"/>
                <w:lang w:val="en-GB" w:eastAsia="zh-CN"/>
              </w:rPr>
              <w:t>General Motors India Pvt. Ltd.</w:t>
            </w:r>
          </w:p>
        </w:tc>
        <w:tc>
          <w:tcPr>
            <w:tcW w:w="1417" w:type="dxa"/>
            <w:shd w:val="clear" w:color="auto" w:fill="auto"/>
            <w:noWrap/>
            <w:tcMar>
              <w:top w:w="15" w:type="dxa"/>
              <w:left w:w="15" w:type="dxa"/>
              <w:bottom w:w="0" w:type="dxa"/>
              <w:right w:w="15" w:type="dxa"/>
            </w:tcMar>
            <w:hideMark/>
          </w:tcPr>
          <w:p w14:paraId="2DE63D47" w14:textId="50F4332F"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2</w:t>
            </w:r>
            <w:r w:rsidR="00880091">
              <w:rPr>
                <w:rFonts w:ascii="Arial" w:hAnsi="Arial" w:cs="Arial"/>
                <w:color w:val="000000"/>
                <w:lang w:val="en-GB" w:eastAsia="zh-CN"/>
              </w:rPr>
              <w:t>.00</w:t>
            </w:r>
          </w:p>
        </w:tc>
        <w:tc>
          <w:tcPr>
            <w:tcW w:w="1276" w:type="dxa"/>
            <w:shd w:val="clear" w:color="auto" w:fill="auto"/>
            <w:noWrap/>
            <w:tcMar>
              <w:top w:w="15" w:type="dxa"/>
              <w:left w:w="15" w:type="dxa"/>
              <w:bottom w:w="0" w:type="dxa"/>
              <w:right w:w="15" w:type="dxa"/>
            </w:tcMar>
            <w:hideMark/>
          </w:tcPr>
          <w:p w14:paraId="7538BB79" w14:textId="77777777"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1.34</w:t>
            </w:r>
          </w:p>
        </w:tc>
      </w:tr>
      <w:tr w:rsidR="008F3337" w14:paraId="5779613C" w14:textId="77777777" w:rsidTr="002141C0">
        <w:trPr>
          <w:trHeight w:val="280"/>
          <w:jc w:val="center"/>
        </w:trPr>
        <w:tc>
          <w:tcPr>
            <w:tcW w:w="2862" w:type="dxa"/>
            <w:shd w:val="clear" w:color="auto" w:fill="auto"/>
            <w:noWrap/>
            <w:tcMar>
              <w:top w:w="15" w:type="dxa"/>
              <w:left w:w="15" w:type="dxa"/>
              <w:bottom w:w="0" w:type="dxa"/>
              <w:right w:w="15" w:type="dxa"/>
            </w:tcMar>
            <w:hideMark/>
          </w:tcPr>
          <w:p w14:paraId="01874BFF" w14:textId="043917B8" w:rsidR="008F3337" w:rsidRPr="002F60CE" w:rsidRDefault="008F3337" w:rsidP="009A0912">
            <w:pPr>
              <w:rPr>
                <w:rFonts w:ascii="Arial" w:hAnsi="Arial" w:cs="Arial"/>
                <w:color w:val="000000"/>
                <w:lang w:val="it-IT" w:eastAsia="zh-CN"/>
              </w:rPr>
            </w:pPr>
            <w:r w:rsidRPr="002F60CE">
              <w:rPr>
                <w:rFonts w:ascii="Arial" w:hAnsi="Arial" w:cs="Arial"/>
                <w:color w:val="000000"/>
                <w:lang w:val="it-IT" w:eastAsia="zh-CN"/>
              </w:rPr>
              <w:t>Skoda Auto India Pvt. Ltd.</w:t>
            </w:r>
          </w:p>
        </w:tc>
        <w:tc>
          <w:tcPr>
            <w:tcW w:w="1417" w:type="dxa"/>
            <w:shd w:val="clear" w:color="auto" w:fill="auto"/>
            <w:noWrap/>
            <w:tcMar>
              <w:top w:w="15" w:type="dxa"/>
              <w:left w:w="15" w:type="dxa"/>
              <w:bottom w:w="0" w:type="dxa"/>
              <w:right w:w="15" w:type="dxa"/>
            </w:tcMar>
            <w:hideMark/>
          </w:tcPr>
          <w:p w14:paraId="14164408" w14:textId="435C64CC"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1</w:t>
            </w:r>
            <w:r w:rsidR="00880091">
              <w:rPr>
                <w:rFonts w:ascii="Arial" w:hAnsi="Arial" w:cs="Arial"/>
                <w:color w:val="000000"/>
                <w:lang w:val="en-GB" w:eastAsia="zh-CN"/>
              </w:rPr>
              <w:t>.00</w:t>
            </w:r>
          </w:p>
        </w:tc>
        <w:tc>
          <w:tcPr>
            <w:tcW w:w="1276" w:type="dxa"/>
            <w:shd w:val="clear" w:color="auto" w:fill="auto"/>
            <w:noWrap/>
            <w:tcMar>
              <w:top w:w="15" w:type="dxa"/>
              <w:left w:w="15" w:type="dxa"/>
              <w:bottom w:w="0" w:type="dxa"/>
              <w:right w:w="15" w:type="dxa"/>
            </w:tcMar>
            <w:hideMark/>
          </w:tcPr>
          <w:p w14:paraId="74540CBB" w14:textId="77777777"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0.62</w:t>
            </w:r>
          </w:p>
        </w:tc>
      </w:tr>
      <w:tr w:rsidR="008F3337" w14:paraId="3A064EB8" w14:textId="77777777" w:rsidTr="002141C0">
        <w:trPr>
          <w:trHeight w:val="280"/>
          <w:jc w:val="center"/>
        </w:trPr>
        <w:tc>
          <w:tcPr>
            <w:tcW w:w="2862" w:type="dxa"/>
            <w:shd w:val="clear" w:color="auto" w:fill="auto"/>
            <w:noWrap/>
            <w:tcMar>
              <w:top w:w="15" w:type="dxa"/>
              <w:left w:w="15" w:type="dxa"/>
              <w:bottom w:w="0" w:type="dxa"/>
              <w:right w:w="15" w:type="dxa"/>
            </w:tcMar>
            <w:hideMark/>
          </w:tcPr>
          <w:p w14:paraId="66942C03" w14:textId="1D4F9988" w:rsidR="008F3337" w:rsidRPr="002F60CE" w:rsidRDefault="008F3337" w:rsidP="009A0912">
            <w:pPr>
              <w:rPr>
                <w:rFonts w:ascii="Arial" w:hAnsi="Arial" w:cs="Arial"/>
                <w:color w:val="000000"/>
                <w:lang w:val="it-IT" w:eastAsia="zh-CN"/>
              </w:rPr>
            </w:pPr>
            <w:r w:rsidRPr="002F60CE">
              <w:rPr>
                <w:rFonts w:ascii="Arial" w:hAnsi="Arial" w:cs="Arial"/>
                <w:color w:val="000000"/>
                <w:lang w:val="it-IT" w:eastAsia="zh-CN"/>
              </w:rPr>
              <w:t>Fiat India Automobiles Pvt. Ltd.</w:t>
            </w:r>
          </w:p>
        </w:tc>
        <w:tc>
          <w:tcPr>
            <w:tcW w:w="1417" w:type="dxa"/>
            <w:shd w:val="clear" w:color="auto" w:fill="auto"/>
            <w:noWrap/>
            <w:tcMar>
              <w:top w:w="15" w:type="dxa"/>
              <w:left w:w="15" w:type="dxa"/>
              <w:bottom w:w="0" w:type="dxa"/>
              <w:right w:w="15" w:type="dxa"/>
            </w:tcMar>
            <w:hideMark/>
          </w:tcPr>
          <w:p w14:paraId="2DC325BE" w14:textId="4A93ADF7"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1</w:t>
            </w:r>
            <w:r w:rsidR="00880091">
              <w:rPr>
                <w:rFonts w:ascii="Arial" w:hAnsi="Arial" w:cs="Arial"/>
                <w:color w:val="000000"/>
                <w:lang w:val="en-GB" w:eastAsia="zh-CN"/>
              </w:rPr>
              <w:t>.00</w:t>
            </w:r>
          </w:p>
        </w:tc>
        <w:tc>
          <w:tcPr>
            <w:tcW w:w="1276" w:type="dxa"/>
            <w:shd w:val="clear" w:color="auto" w:fill="auto"/>
            <w:noWrap/>
            <w:tcMar>
              <w:top w:w="15" w:type="dxa"/>
              <w:left w:w="15" w:type="dxa"/>
              <w:bottom w:w="0" w:type="dxa"/>
              <w:right w:w="15" w:type="dxa"/>
            </w:tcMar>
            <w:hideMark/>
          </w:tcPr>
          <w:p w14:paraId="356D37E6" w14:textId="77777777"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0.37</w:t>
            </w:r>
          </w:p>
        </w:tc>
      </w:tr>
      <w:tr w:rsidR="008F3337" w14:paraId="088492A4" w14:textId="77777777" w:rsidTr="002141C0">
        <w:trPr>
          <w:trHeight w:val="280"/>
          <w:jc w:val="center"/>
        </w:trPr>
        <w:tc>
          <w:tcPr>
            <w:tcW w:w="2862" w:type="dxa"/>
            <w:shd w:val="clear" w:color="auto" w:fill="auto"/>
            <w:noWrap/>
            <w:tcMar>
              <w:top w:w="15" w:type="dxa"/>
              <w:left w:w="15" w:type="dxa"/>
              <w:bottom w:w="0" w:type="dxa"/>
              <w:right w:w="15" w:type="dxa"/>
            </w:tcMar>
            <w:hideMark/>
          </w:tcPr>
          <w:p w14:paraId="1F06AC5B" w14:textId="11C1A5EA" w:rsidR="008F3337" w:rsidRPr="00786A97" w:rsidRDefault="008F3337" w:rsidP="009A0912">
            <w:pPr>
              <w:rPr>
                <w:rFonts w:ascii="Arial" w:hAnsi="Arial" w:cs="Arial"/>
                <w:color w:val="000000"/>
                <w:lang w:val="en-GB" w:eastAsia="zh-CN"/>
              </w:rPr>
            </w:pPr>
            <w:r w:rsidRPr="00786A97">
              <w:rPr>
                <w:rFonts w:ascii="Arial" w:hAnsi="Arial" w:cs="Arial"/>
                <w:color w:val="000000"/>
                <w:lang w:val="en-GB" w:eastAsia="zh-CN"/>
              </w:rPr>
              <w:t>Renault India Pvt. Ltd.</w:t>
            </w:r>
          </w:p>
        </w:tc>
        <w:tc>
          <w:tcPr>
            <w:tcW w:w="1417" w:type="dxa"/>
            <w:shd w:val="clear" w:color="auto" w:fill="auto"/>
            <w:noWrap/>
            <w:tcMar>
              <w:top w:w="15" w:type="dxa"/>
              <w:left w:w="15" w:type="dxa"/>
              <w:bottom w:w="0" w:type="dxa"/>
              <w:right w:w="15" w:type="dxa"/>
            </w:tcMar>
            <w:hideMark/>
          </w:tcPr>
          <w:p w14:paraId="7D7857DB" w14:textId="1E85BDFD"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0</w:t>
            </w:r>
            <w:r w:rsidR="00880091">
              <w:rPr>
                <w:rFonts w:ascii="Arial" w:hAnsi="Arial" w:cs="Arial"/>
                <w:color w:val="000000"/>
                <w:lang w:val="en-GB" w:eastAsia="zh-CN"/>
              </w:rPr>
              <w:t>.00</w:t>
            </w:r>
          </w:p>
        </w:tc>
        <w:tc>
          <w:tcPr>
            <w:tcW w:w="1276" w:type="dxa"/>
            <w:shd w:val="clear" w:color="auto" w:fill="auto"/>
            <w:noWrap/>
            <w:tcMar>
              <w:top w:w="15" w:type="dxa"/>
              <w:left w:w="15" w:type="dxa"/>
              <w:bottom w:w="0" w:type="dxa"/>
              <w:right w:w="15" w:type="dxa"/>
            </w:tcMar>
            <w:hideMark/>
          </w:tcPr>
          <w:p w14:paraId="0B52F4C3" w14:textId="77777777"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0.17</w:t>
            </w:r>
          </w:p>
        </w:tc>
      </w:tr>
      <w:tr w:rsidR="008F3337" w14:paraId="25570129" w14:textId="77777777" w:rsidTr="002141C0">
        <w:trPr>
          <w:trHeight w:val="280"/>
          <w:jc w:val="center"/>
        </w:trPr>
        <w:tc>
          <w:tcPr>
            <w:tcW w:w="2862" w:type="dxa"/>
            <w:shd w:val="clear" w:color="auto" w:fill="auto"/>
            <w:noWrap/>
            <w:tcMar>
              <w:top w:w="15" w:type="dxa"/>
              <w:left w:w="15" w:type="dxa"/>
              <w:bottom w:w="0" w:type="dxa"/>
              <w:right w:w="15" w:type="dxa"/>
            </w:tcMar>
            <w:hideMark/>
          </w:tcPr>
          <w:p w14:paraId="60FA6116" w14:textId="1658DD1E" w:rsidR="008F3337" w:rsidRPr="00786A97" w:rsidRDefault="008F3337" w:rsidP="009A0912">
            <w:pPr>
              <w:rPr>
                <w:rFonts w:ascii="Arial" w:hAnsi="Arial" w:cs="Arial"/>
                <w:color w:val="000000"/>
                <w:lang w:val="en-GB" w:eastAsia="zh-CN"/>
              </w:rPr>
            </w:pPr>
            <w:r w:rsidRPr="00786A97">
              <w:rPr>
                <w:rFonts w:ascii="Arial" w:hAnsi="Arial" w:cs="Arial"/>
                <w:color w:val="000000"/>
                <w:lang w:val="en-GB" w:eastAsia="zh-CN"/>
              </w:rPr>
              <w:t xml:space="preserve">Mahindra </w:t>
            </w:r>
            <w:r w:rsidR="00B43C07">
              <w:rPr>
                <w:rFonts w:ascii="Arial" w:hAnsi="Arial" w:cs="Arial"/>
                <w:color w:val="000000"/>
                <w:lang w:val="en-GB" w:eastAsia="zh-CN"/>
              </w:rPr>
              <w:t>and</w:t>
            </w:r>
            <w:r w:rsidRPr="00786A97">
              <w:rPr>
                <w:rFonts w:ascii="Arial" w:hAnsi="Arial" w:cs="Arial"/>
                <w:color w:val="000000"/>
                <w:lang w:val="en-GB" w:eastAsia="zh-CN"/>
              </w:rPr>
              <w:t xml:space="preserve"> Mahindra Ltd.</w:t>
            </w:r>
          </w:p>
        </w:tc>
        <w:tc>
          <w:tcPr>
            <w:tcW w:w="1417" w:type="dxa"/>
            <w:shd w:val="clear" w:color="auto" w:fill="auto"/>
            <w:noWrap/>
            <w:tcMar>
              <w:top w:w="15" w:type="dxa"/>
              <w:left w:w="15" w:type="dxa"/>
              <w:bottom w:w="0" w:type="dxa"/>
              <w:right w:w="15" w:type="dxa"/>
            </w:tcMar>
            <w:hideMark/>
          </w:tcPr>
          <w:p w14:paraId="36840B78" w14:textId="0BD663E9"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0</w:t>
            </w:r>
            <w:r w:rsidR="00880091">
              <w:rPr>
                <w:rFonts w:ascii="Arial" w:hAnsi="Arial" w:cs="Arial"/>
                <w:color w:val="000000"/>
                <w:lang w:val="en-GB" w:eastAsia="zh-CN"/>
              </w:rPr>
              <w:t>.00</w:t>
            </w:r>
          </w:p>
        </w:tc>
        <w:tc>
          <w:tcPr>
            <w:tcW w:w="1276" w:type="dxa"/>
            <w:shd w:val="clear" w:color="auto" w:fill="auto"/>
            <w:noWrap/>
            <w:tcMar>
              <w:top w:w="15" w:type="dxa"/>
              <w:left w:w="15" w:type="dxa"/>
              <w:bottom w:w="0" w:type="dxa"/>
              <w:right w:w="15" w:type="dxa"/>
            </w:tcMar>
            <w:hideMark/>
          </w:tcPr>
          <w:p w14:paraId="0681318F" w14:textId="77777777"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0.13</w:t>
            </w:r>
          </w:p>
        </w:tc>
      </w:tr>
      <w:tr w:rsidR="008F3337" w14:paraId="6A571660" w14:textId="77777777" w:rsidTr="002141C0">
        <w:trPr>
          <w:trHeight w:val="280"/>
          <w:jc w:val="center"/>
        </w:trPr>
        <w:tc>
          <w:tcPr>
            <w:tcW w:w="2862" w:type="dxa"/>
            <w:shd w:val="clear" w:color="auto" w:fill="auto"/>
            <w:noWrap/>
            <w:tcMar>
              <w:top w:w="15" w:type="dxa"/>
              <w:left w:w="15" w:type="dxa"/>
              <w:bottom w:w="0" w:type="dxa"/>
              <w:right w:w="15" w:type="dxa"/>
            </w:tcMar>
            <w:hideMark/>
          </w:tcPr>
          <w:p w14:paraId="15D453EF" w14:textId="6A278244" w:rsidR="008F3337" w:rsidRPr="00786A97" w:rsidRDefault="008F3337" w:rsidP="009A0912">
            <w:pPr>
              <w:rPr>
                <w:rFonts w:ascii="Arial" w:hAnsi="Arial" w:cs="Arial"/>
                <w:color w:val="000000"/>
                <w:lang w:val="en-GB" w:eastAsia="zh-CN"/>
              </w:rPr>
            </w:pPr>
            <w:r w:rsidRPr="00786A97">
              <w:rPr>
                <w:rFonts w:ascii="Arial" w:hAnsi="Arial" w:cs="Arial"/>
                <w:color w:val="000000"/>
                <w:lang w:val="en-GB" w:eastAsia="zh-CN"/>
              </w:rPr>
              <w:t>Hindustan Motors Ltd.</w:t>
            </w:r>
          </w:p>
        </w:tc>
        <w:tc>
          <w:tcPr>
            <w:tcW w:w="1417" w:type="dxa"/>
            <w:shd w:val="clear" w:color="auto" w:fill="auto"/>
            <w:noWrap/>
            <w:tcMar>
              <w:top w:w="15" w:type="dxa"/>
              <w:left w:w="15" w:type="dxa"/>
              <w:bottom w:w="0" w:type="dxa"/>
              <w:right w:w="15" w:type="dxa"/>
            </w:tcMar>
            <w:hideMark/>
          </w:tcPr>
          <w:p w14:paraId="042AE99B" w14:textId="3AC3A2AF"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0</w:t>
            </w:r>
            <w:r w:rsidR="00880091">
              <w:rPr>
                <w:rFonts w:ascii="Arial" w:hAnsi="Arial" w:cs="Arial"/>
                <w:color w:val="000000"/>
                <w:lang w:val="en-GB" w:eastAsia="zh-CN"/>
              </w:rPr>
              <w:t>.00</w:t>
            </w:r>
          </w:p>
        </w:tc>
        <w:tc>
          <w:tcPr>
            <w:tcW w:w="1276" w:type="dxa"/>
            <w:shd w:val="clear" w:color="auto" w:fill="auto"/>
            <w:noWrap/>
            <w:tcMar>
              <w:top w:w="15" w:type="dxa"/>
              <w:left w:w="15" w:type="dxa"/>
              <w:bottom w:w="0" w:type="dxa"/>
              <w:right w:w="15" w:type="dxa"/>
            </w:tcMar>
            <w:hideMark/>
          </w:tcPr>
          <w:p w14:paraId="1759C7EA" w14:textId="77777777" w:rsidR="008F3337" w:rsidRPr="00786A97" w:rsidRDefault="008F3337" w:rsidP="002141C0">
            <w:pPr>
              <w:jc w:val="right"/>
              <w:rPr>
                <w:rFonts w:ascii="Arial" w:hAnsi="Arial" w:cs="Arial"/>
                <w:color w:val="000000"/>
                <w:lang w:val="en-GB" w:eastAsia="zh-CN"/>
              </w:rPr>
            </w:pPr>
            <w:r w:rsidRPr="00786A97">
              <w:rPr>
                <w:rFonts w:ascii="Arial" w:hAnsi="Arial" w:cs="Arial"/>
                <w:color w:val="000000"/>
                <w:lang w:val="en-GB" w:eastAsia="zh-CN"/>
              </w:rPr>
              <w:t>0.00</w:t>
            </w:r>
          </w:p>
        </w:tc>
      </w:tr>
    </w:tbl>
    <w:p w14:paraId="084BD861" w14:textId="516ED53E" w:rsidR="000735FF" w:rsidRPr="002B43C8" w:rsidRDefault="000735FF" w:rsidP="00FB5C42">
      <w:pPr>
        <w:jc w:val="center"/>
        <w:rPr>
          <w:rFonts w:ascii="Calibri" w:hAnsi="Calibri"/>
          <w:b/>
          <w:color w:val="000000"/>
          <w:lang w:val="en-GB"/>
        </w:rPr>
      </w:pPr>
    </w:p>
    <w:p w14:paraId="17F0F745" w14:textId="124AC5EB" w:rsidR="00E132D9" w:rsidRDefault="00E132D9" w:rsidP="001A5003">
      <w:pPr>
        <w:pStyle w:val="Footnote"/>
      </w:pPr>
      <w:r>
        <w:t>Note: FY = fiscal year</w:t>
      </w:r>
    </w:p>
    <w:p w14:paraId="30643CE6" w14:textId="598FF659" w:rsidR="00CA2E28" w:rsidRPr="00EC5423" w:rsidRDefault="000735FF" w:rsidP="001A5003">
      <w:pPr>
        <w:pStyle w:val="Footnote"/>
        <w:rPr>
          <w:spacing w:val="-4"/>
        </w:rPr>
      </w:pPr>
      <w:r w:rsidRPr="001A5003">
        <w:t xml:space="preserve">Source: </w:t>
      </w:r>
      <w:r w:rsidR="00EF5E31" w:rsidRPr="001A5003">
        <w:t>Compiled by the case authors</w:t>
      </w:r>
      <w:r w:rsidR="00E132D9">
        <w:t xml:space="preserve"> based on</w:t>
      </w:r>
      <w:r w:rsidR="00E132D9" w:rsidRPr="00F96B52">
        <w:rPr>
          <w:lang w:val="en-GB"/>
        </w:rPr>
        <w:t xml:space="preserve"> </w:t>
      </w:r>
      <w:r w:rsidR="00E132D9">
        <w:rPr>
          <w:lang w:val="en-GB"/>
        </w:rPr>
        <w:t xml:space="preserve">“Industry Outlook,” </w:t>
      </w:r>
      <w:r w:rsidR="00E132D9" w:rsidRPr="002B43C8">
        <w:rPr>
          <w:lang w:val="en-GB"/>
        </w:rPr>
        <w:t>C</w:t>
      </w:r>
      <w:r w:rsidR="00E132D9">
        <w:rPr>
          <w:lang w:val="en-GB"/>
        </w:rPr>
        <w:t xml:space="preserve">entre for </w:t>
      </w:r>
      <w:r w:rsidR="00E132D9" w:rsidRPr="002B43C8">
        <w:rPr>
          <w:lang w:val="en-GB"/>
        </w:rPr>
        <w:t>M</w:t>
      </w:r>
      <w:r w:rsidR="00E132D9">
        <w:rPr>
          <w:lang w:val="en-GB"/>
        </w:rPr>
        <w:t xml:space="preserve">onitoring </w:t>
      </w:r>
      <w:r w:rsidR="00E132D9" w:rsidRPr="002B43C8">
        <w:rPr>
          <w:lang w:val="en-GB"/>
        </w:rPr>
        <w:t>I</w:t>
      </w:r>
      <w:r w:rsidR="00E132D9">
        <w:rPr>
          <w:lang w:val="en-GB"/>
        </w:rPr>
        <w:t xml:space="preserve">ndian Economy, accessed </w:t>
      </w:r>
      <w:r w:rsidR="00E132D9" w:rsidRPr="00EC5423">
        <w:rPr>
          <w:spacing w:val="-4"/>
          <w:lang w:val="en-GB"/>
        </w:rPr>
        <w:t xml:space="preserve">October 25, 2017, </w:t>
      </w:r>
      <w:r w:rsidR="00CA2E28" w:rsidRPr="00EC5423">
        <w:rPr>
          <w:spacing w:val="-4"/>
        </w:rPr>
        <w:t>https://industryoutlook.cmie.com/kommon/bin/sr.php?kall=wshowtab&amp;icode=0101014502011000&amp;tabno=0001</w:t>
      </w:r>
      <w:r w:rsidR="00E132D9" w:rsidRPr="00EC5423">
        <w:rPr>
          <w:spacing w:val="-4"/>
        </w:rPr>
        <w:t>.</w:t>
      </w:r>
    </w:p>
    <w:p w14:paraId="2BC841D3" w14:textId="61F6111A" w:rsidR="000735FF" w:rsidRPr="002B43C8" w:rsidRDefault="000735FF" w:rsidP="007F36EF">
      <w:pPr>
        <w:pStyle w:val="Footnote"/>
        <w:jc w:val="left"/>
        <w:outlineLvl w:val="0"/>
        <w:rPr>
          <w:lang w:val="en-GB"/>
        </w:rPr>
      </w:pPr>
      <w:r w:rsidRPr="002B43C8">
        <w:rPr>
          <w:lang w:val="en-GB"/>
        </w:rPr>
        <w:br w:type="page"/>
      </w:r>
    </w:p>
    <w:p w14:paraId="3C91F439" w14:textId="02EA90DF" w:rsidR="000735FF" w:rsidRDefault="000735FF" w:rsidP="007F36EF">
      <w:pPr>
        <w:jc w:val="center"/>
        <w:outlineLvl w:val="0"/>
        <w:rPr>
          <w:rFonts w:ascii="Arial" w:hAnsi="Arial"/>
          <w:b/>
          <w:lang w:val="en-GB"/>
        </w:rPr>
      </w:pPr>
      <w:r w:rsidRPr="002B43C8">
        <w:rPr>
          <w:rFonts w:ascii="Arial" w:hAnsi="Arial"/>
          <w:b/>
          <w:lang w:val="en-GB"/>
        </w:rPr>
        <w:lastRenderedPageBreak/>
        <w:t xml:space="preserve">EXHIBIT 7B: GROWTH AND SHARE OF </w:t>
      </w:r>
      <w:r w:rsidR="004705BC">
        <w:rPr>
          <w:rFonts w:ascii="Arial" w:hAnsi="Arial"/>
          <w:b/>
          <w:lang w:val="en-GB"/>
        </w:rPr>
        <w:t xml:space="preserve">THE </w:t>
      </w:r>
      <w:r w:rsidRPr="002B43C8">
        <w:rPr>
          <w:rFonts w:ascii="Arial" w:hAnsi="Arial"/>
          <w:b/>
          <w:lang w:val="en-GB"/>
        </w:rPr>
        <w:t>UTILITY VEHICLE</w:t>
      </w:r>
      <w:r w:rsidR="004705BC">
        <w:rPr>
          <w:rFonts w:ascii="Arial" w:hAnsi="Arial"/>
          <w:b/>
          <w:lang w:val="en-GB"/>
        </w:rPr>
        <w:t xml:space="preserve"> SEGMENT:</w:t>
      </w:r>
      <w:r w:rsidRPr="002B43C8">
        <w:rPr>
          <w:rFonts w:ascii="Arial" w:hAnsi="Arial"/>
          <w:b/>
          <w:lang w:val="en-GB"/>
        </w:rPr>
        <w:t xml:space="preserve"> MSIL </w:t>
      </w:r>
      <w:r w:rsidR="004705BC">
        <w:rPr>
          <w:rFonts w:ascii="Arial" w:hAnsi="Arial"/>
          <w:b/>
          <w:lang w:val="en-GB"/>
        </w:rPr>
        <w:t>VERSUS</w:t>
      </w:r>
      <w:r w:rsidR="00A531CA">
        <w:rPr>
          <w:rFonts w:ascii="Arial" w:hAnsi="Arial"/>
          <w:b/>
          <w:lang w:val="en-GB"/>
        </w:rPr>
        <w:t xml:space="preserve"> </w:t>
      </w:r>
      <w:r w:rsidRPr="002B43C8">
        <w:rPr>
          <w:rFonts w:ascii="Arial" w:hAnsi="Arial"/>
          <w:b/>
          <w:lang w:val="en-GB"/>
        </w:rPr>
        <w:t>COMPETITORS</w:t>
      </w:r>
    </w:p>
    <w:p w14:paraId="3B14F4A1" w14:textId="77777777" w:rsidR="00930D2A" w:rsidRDefault="00930D2A" w:rsidP="007F36EF">
      <w:pPr>
        <w:jc w:val="center"/>
        <w:outlineLvl w:val="0"/>
        <w:rPr>
          <w:rFonts w:ascii="Arial" w:hAnsi="Arial"/>
          <w:b/>
          <w:lang w:val="en-GB"/>
        </w:rPr>
      </w:pPr>
    </w:p>
    <w:p w14:paraId="2DF99CE8" w14:textId="331F20A1" w:rsidR="00930D2A" w:rsidRPr="002B43C8" w:rsidRDefault="00930D2A" w:rsidP="007F36EF">
      <w:pPr>
        <w:jc w:val="center"/>
        <w:outlineLvl w:val="0"/>
        <w:rPr>
          <w:rFonts w:ascii="Arial" w:hAnsi="Arial"/>
          <w:b/>
          <w:lang w:val="en-GB"/>
        </w:rPr>
      </w:pPr>
      <w:r>
        <w:rPr>
          <w:noProof/>
        </w:rPr>
        <w:drawing>
          <wp:inline distT="0" distB="0" distL="0" distR="0" wp14:anchorId="4C3392FC" wp14:editId="57AD5D48">
            <wp:extent cx="5715000" cy="2653393"/>
            <wp:effectExtent l="0" t="0" r="25400" b="139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C0E578A" w14:textId="1CFD534F" w:rsidR="00E435F6" w:rsidRPr="002B43C8" w:rsidDel="00E435F6" w:rsidRDefault="00E435F6" w:rsidP="001A5003">
      <w:pPr>
        <w:pStyle w:val="ExhibitText"/>
        <w:rPr>
          <w:noProof/>
        </w:rPr>
      </w:pPr>
    </w:p>
    <w:tbl>
      <w:tblPr>
        <w:tblW w:w="5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71"/>
        <w:gridCol w:w="1326"/>
        <w:gridCol w:w="1382"/>
      </w:tblGrid>
      <w:tr w:rsidR="003930C7" w14:paraId="40E33EA1" w14:textId="77777777" w:rsidTr="001A5003">
        <w:trPr>
          <w:trHeight w:val="900"/>
          <w:jc w:val="center"/>
        </w:trPr>
        <w:tc>
          <w:tcPr>
            <w:tcW w:w="2871" w:type="dxa"/>
            <w:shd w:val="clear" w:color="auto" w:fill="auto"/>
            <w:noWrap/>
            <w:tcMar>
              <w:top w:w="15" w:type="dxa"/>
              <w:left w:w="15" w:type="dxa"/>
              <w:bottom w:w="0" w:type="dxa"/>
              <w:right w:w="15" w:type="dxa"/>
            </w:tcMar>
            <w:hideMark/>
          </w:tcPr>
          <w:p w14:paraId="0D412779" w14:textId="77777777" w:rsidR="00E435F6" w:rsidRPr="003C0067" w:rsidRDefault="00E435F6" w:rsidP="00E435F6">
            <w:pPr>
              <w:rPr>
                <w:rFonts w:ascii="Arial" w:hAnsi="Arial" w:cs="Arial"/>
                <w:color w:val="000000"/>
                <w:lang w:val="en-GB" w:eastAsia="zh-CN"/>
              </w:rPr>
            </w:pPr>
          </w:p>
        </w:tc>
        <w:tc>
          <w:tcPr>
            <w:tcW w:w="1326" w:type="dxa"/>
            <w:shd w:val="clear" w:color="auto" w:fill="auto"/>
            <w:tcMar>
              <w:top w:w="15" w:type="dxa"/>
              <w:left w:w="15" w:type="dxa"/>
              <w:bottom w:w="0" w:type="dxa"/>
              <w:right w:w="15" w:type="dxa"/>
            </w:tcMar>
            <w:vAlign w:val="center"/>
            <w:hideMark/>
          </w:tcPr>
          <w:p w14:paraId="6BB414F6" w14:textId="3D71BDC3" w:rsidR="0026639C" w:rsidRPr="001A5003" w:rsidRDefault="00E435F6" w:rsidP="001A5003">
            <w:pPr>
              <w:jc w:val="center"/>
              <w:rPr>
                <w:rFonts w:ascii="Arial" w:hAnsi="Arial" w:cs="Arial"/>
                <w:b/>
                <w:color w:val="000000"/>
                <w:lang w:val="en-GB" w:eastAsia="zh-CN"/>
              </w:rPr>
            </w:pPr>
            <w:r w:rsidRPr="001A5003">
              <w:rPr>
                <w:rFonts w:ascii="Arial" w:hAnsi="Arial" w:cs="Arial"/>
                <w:b/>
                <w:color w:val="000000"/>
                <w:lang w:val="en-GB" w:eastAsia="zh-CN"/>
              </w:rPr>
              <w:t>Market Share</w:t>
            </w:r>
            <w:r w:rsidR="00A531CA" w:rsidRPr="001A5003">
              <w:rPr>
                <w:rFonts w:ascii="Arial" w:hAnsi="Arial" w:cs="Arial"/>
                <w:b/>
                <w:color w:val="000000"/>
                <w:lang w:val="en-GB" w:eastAsia="zh-CN"/>
              </w:rPr>
              <w:t xml:space="preserve"> </w:t>
            </w:r>
            <w:r w:rsidR="00A15111" w:rsidRPr="001A5003">
              <w:rPr>
                <w:rFonts w:ascii="Arial" w:hAnsi="Arial" w:cs="Arial"/>
                <w:b/>
                <w:color w:val="000000"/>
                <w:lang w:val="en-GB" w:eastAsia="zh-CN"/>
              </w:rPr>
              <w:t>in %</w:t>
            </w:r>
          </w:p>
          <w:p w14:paraId="1793F45F" w14:textId="7BC47AFF" w:rsidR="00E435F6" w:rsidRPr="001A5003" w:rsidRDefault="00E435F6" w:rsidP="000E44FF">
            <w:pPr>
              <w:jc w:val="center"/>
              <w:rPr>
                <w:rFonts w:ascii="Arial" w:hAnsi="Arial" w:cs="Arial"/>
                <w:b/>
                <w:color w:val="000000"/>
                <w:lang w:val="en-GB" w:eastAsia="zh-CN"/>
              </w:rPr>
            </w:pPr>
            <w:r w:rsidRPr="001A5003">
              <w:rPr>
                <w:rFonts w:ascii="Arial" w:hAnsi="Arial" w:cs="Arial"/>
                <w:b/>
                <w:color w:val="000000"/>
                <w:lang w:val="en-GB" w:eastAsia="zh-CN"/>
              </w:rPr>
              <w:t>(</w:t>
            </w:r>
            <w:r w:rsidR="00667049" w:rsidRPr="001A5003">
              <w:rPr>
                <w:rFonts w:ascii="Arial" w:hAnsi="Arial" w:cs="Arial"/>
                <w:b/>
                <w:color w:val="000000"/>
                <w:lang w:val="en-GB" w:eastAsia="zh-CN"/>
              </w:rPr>
              <w:t>FY</w:t>
            </w:r>
            <w:r w:rsidRPr="001A5003">
              <w:rPr>
                <w:rFonts w:ascii="Arial" w:hAnsi="Arial" w:cs="Arial"/>
                <w:b/>
                <w:color w:val="000000"/>
                <w:lang w:val="en-GB" w:eastAsia="zh-CN"/>
              </w:rPr>
              <w:t>2013</w:t>
            </w:r>
            <w:r w:rsidR="00A531CA" w:rsidRPr="001A5003">
              <w:rPr>
                <w:rFonts w:ascii="Arial" w:hAnsi="Arial" w:cs="Arial"/>
                <w:b/>
                <w:color w:val="000000"/>
                <w:lang w:val="en-GB" w:eastAsia="zh-CN"/>
              </w:rPr>
              <w:t>–</w:t>
            </w:r>
            <w:r w:rsidRPr="001A5003">
              <w:rPr>
                <w:rFonts w:ascii="Arial" w:hAnsi="Arial" w:cs="Arial"/>
                <w:b/>
                <w:color w:val="000000"/>
                <w:lang w:val="en-GB" w:eastAsia="zh-CN"/>
              </w:rPr>
              <w:t>14)</w:t>
            </w:r>
          </w:p>
        </w:tc>
        <w:tc>
          <w:tcPr>
            <w:tcW w:w="1382" w:type="dxa"/>
            <w:shd w:val="clear" w:color="auto" w:fill="auto"/>
            <w:tcMar>
              <w:top w:w="15" w:type="dxa"/>
              <w:left w:w="15" w:type="dxa"/>
              <w:bottom w:w="0" w:type="dxa"/>
              <w:right w:w="15" w:type="dxa"/>
            </w:tcMar>
            <w:vAlign w:val="center"/>
            <w:hideMark/>
          </w:tcPr>
          <w:p w14:paraId="288EA073" w14:textId="77777777" w:rsidR="0026639C" w:rsidRPr="001A5003" w:rsidRDefault="00E435F6" w:rsidP="001A5003">
            <w:pPr>
              <w:jc w:val="center"/>
              <w:rPr>
                <w:rFonts w:ascii="Arial" w:hAnsi="Arial" w:cs="Arial"/>
                <w:b/>
                <w:color w:val="000000"/>
                <w:lang w:val="en-GB" w:eastAsia="zh-CN"/>
              </w:rPr>
            </w:pPr>
            <w:r w:rsidRPr="001A5003">
              <w:rPr>
                <w:rFonts w:ascii="Arial" w:hAnsi="Arial" w:cs="Arial"/>
                <w:b/>
                <w:color w:val="000000"/>
                <w:lang w:val="en-GB" w:eastAsia="zh-CN"/>
              </w:rPr>
              <w:t>Market Share</w:t>
            </w:r>
            <w:r w:rsidR="00A15111" w:rsidRPr="001A5003">
              <w:rPr>
                <w:rFonts w:ascii="Arial" w:hAnsi="Arial" w:cs="Arial"/>
                <w:b/>
                <w:color w:val="000000"/>
                <w:lang w:val="en-GB" w:eastAsia="zh-CN"/>
              </w:rPr>
              <w:t xml:space="preserve"> in %</w:t>
            </w:r>
          </w:p>
          <w:p w14:paraId="2212A8D2" w14:textId="3BAF8D7D" w:rsidR="00E435F6" w:rsidRPr="001A5003" w:rsidRDefault="00E435F6" w:rsidP="000E44FF">
            <w:pPr>
              <w:jc w:val="center"/>
              <w:rPr>
                <w:rFonts w:ascii="Arial" w:hAnsi="Arial" w:cs="Arial"/>
                <w:b/>
                <w:color w:val="000000"/>
                <w:lang w:val="en-GB" w:eastAsia="zh-CN"/>
              </w:rPr>
            </w:pPr>
            <w:r w:rsidRPr="001A5003">
              <w:rPr>
                <w:rFonts w:ascii="Arial" w:hAnsi="Arial" w:cs="Arial"/>
                <w:b/>
                <w:color w:val="000000"/>
                <w:lang w:val="en-GB" w:eastAsia="zh-CN"/>
              </w:rPr>
              <w:t>(</w:t>
            </w:r>
            <w:r w:rsidR="00667049" w:rsidRPr="001A5003">
              <w:rPr>
                <w:rFonts w:ascii="Arial" w:hAnsi="Arial" w:cs="Arial"/>
                <w:b/>
                <w:color w:val="000000"/>
                <w:lang w:val="en-GB" w:eastAsia="zh-CN"/>
              </w:rPr>
              <w:t>FY</w:t>
            </w:r>
            <w:r w:rsidRPr="001A5003">
              <w:rPr>
                <w:rFonts w:ascii="Arial" w:hAnsi="Arial" w:cs="Arial"/>
                <w:b/>
                <w:color w:val="000000"/>
                <w:lang w:val="en-GB" w:eastAsia="zh-CN"/>
              </w:rPr>
              <w:t>2014</w:t>
            </w:r>
            <w:r w:rsidR="00A531CA" w:rsidRPr="001A5003">
              <w:rPr>
                <w:rFonts w:ascii="Arial" w:hAnsi="Arial" w:cs="Arial"/>
                <w:b/>
                <w:color w:val="000000"/>
                <w:lang w:val="en-GB" w:eastAsia="zh-CN"/>
              </w:rPr>
              <w:t>–</w:t>
            </w:r>
            <w:r w:rsidRPr="001A5003">
              <w:rPr>
                <w:rFonts w:ascii="Arial" w:hAnsi="Arial" w:cs="Arial"/>
                <w:b/>
                <w:color w:val="000000"/>
                <w:lang w:val="en-GB" w:eastAsia="zh-CN"/>
              </w:rPr>
              <w:t>15)</w:t>
            </w:r>
          </w:p>
        </w:tc>
      </w:tr>
      <w:tr w:rsidR="003930C7" w14:paraId="7F3F6A4A" w14:textId="77777777" w:rsidTr="00C07F6B">
        <w:trPr>
          <w:trHeight w:val="300"/>
          <w:jc w:val="center"/>
        </w:trPr>
        <w:tc>
          <w:tcPr>
            <w:tcW w:w="2871" w:type="dxa"/>
            <w:shd w:val="clear" w:color="auto" w:fill="auto"/>
            <w:noWrap/>
            <w:tcMar>
              <w:top w:w="15" w:type="dxa"/>
              <w:left w:w="15" w:type="dxa"/>
              <w:bottom w:w="0" w:type="dxa"/>
              <w:right w:w="15" w:type="dxa"/>
            </w:tcMar>
            <w:hideMark/>
          </w:tcPr>
          <w:p w14:paraId="68E6851F" w14:textId="05FD1C59" w:rsidR="00E435F6" w:rsidRPr="003C0067" w:rsidRDefault="00E435F6" w:rsidP="00E435F6">
            <w:pPr>
              <w:rPr>
                <w:rFonts w:ascii="Arial" w:hAnsi="Arial" w:cs="Arial"/>
                <w:color w:val="000000"/>
                <w:lang w:val="en-GB" w:eastAsia="zh-CN"/>
              </w:rPr>
            </w:pPr>
            <w:r w:rsidRPr="003C0067">
              <w:rPr>
                <w:rFonts w:ascii="Arial" w:hAnsi="Arial" w:cs="Arial"/>
                <w:color w:val="000000"/>
                <w:lang w:val="en-GB" w:eastAsia="zh-CN"/>
              </w:rPr>
              <w:t xml:space="preserve">Mahindra </w:t>
            </w:r>
            <w:r w:rsidR="00B43C07">
              <w:rPr>
                <w:rFonts w:ascii="Arial" w:hAnsi="Arial" w:cs="Arial"/>
                <w:color w:val="000000"/>
                <w:lang w:val="en-GB" w:eastAsia="zh-CN"/>
              </w:rPr>
              <w:t xml:space="preserve">and </w:t>
            </w:r>
            <w:r w:rsidRPr="003C0067">
              <w:rPr>
                <w:rFonts w:ascii="Arial" w:hAnsi="Arial" w:cs="Arial"/>
                <w:color w:val="000000"/>
                <w:lang w:val="en-GB" w:eastAsia="zh-CN"/>
              </w:rPr>
              <w:t>Mahindra Ltd.</w:t>
            </w:r>
          </w:p>
        </w:tc>
        <w:tc>
          <w:tcPr>
            <w:tcW w:w="1326" w:type="dxa"/>
            <w:shd w:val="clear" w:color="auto" w:fill="auto"/>
            <w:noWrap/>
            <w:tcMar>
              <w:top w:w="15" w:type="dxa"/>
              <w:left w:w="15" w:type="dxa"/>
              <w:bottom w:w="0" w:type="dxa"/>
              <w:right w:w="15" w:type="dxa"/>
            </w:tcMar>
            <w:hideMark/>
          </w:tcPr>
          <w:p w14:paraId="6E8DDFE8"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39.86</w:t>
            </w:r>
          </w:p>
        </w:tc>
        <w:tc>
          <w:tcPr>
            <w:tcW w:w="1382" w:type="dxa"/>
            <w:shd w:val="clear" w:color="auto" w:fill="auto"/>
            <w:noWrap/>
            <w:tcMar>
              <w:top w:w="15" w:type="dxa"/>
              <w:left w:w="15" w:type="dxa"/>
              <w:bottom w:w="0" w:type="dxa"/>
              <w:right w:w="15" w:type="dxa"/>
            </w:tcMar>
            <w:hideMark/>
          </w:tcPr>
          <w:p w14:paraId="53D3CBD4"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33.64</w:t>
            </w:r>
          </w:p>
        </w:tc>
      </w:tr>
      <w:tr w:rsidR="003930C7" w14:paraId="7EFEB2BE" w14:textId="77777777" w:rsidTr="00C07F6B">
        <w:trPr>
          <w:trHeight w:val="300"/>
          <w:jc w:val="center"/>
        </w:trPr>
        <w:tc>
          <w:tcPr>
            <w:tcW w:w="2871" w:type="dxa"/>
            <w:shd w:val="clear" w:color="auto" w:fill="auto"/>
            <w:noWrap/>
            <w:tcMar>
              <w:top w:w="15" w:type="dxa"/>
              <w:left w:w="15" w:type="dxa"/>
              <w:bottom w:w="0" w:type="dxa"/>
              <w:right w:w="15" w:type="dxa"/>
            </w:tcMar>
            <w:hideMark/>
          </w:tcPr>
          <w:p w14:paraId="3EDD96C3" w14:textId="5A3537D4" w:rsidR="00E435F6" w:rsidRPr="003C0067" w:rsidRDefault="00E435F6" w:rsidP="00E435F6">
            <w:pPr>
              <w:rPr>
                <w:rFonts w:ascii="Arial" w:hAnsi="Arial" w:cs="Arial"/>
                <w:color w:val="000000"/>
                <w:lang w:val="en-GB" w:eastAsia="zh-CN"/>
              </w:rPr>
            </w:pPr>
            <w:r w:rsidRPr="003C0067">
              <w:rPr>
                <w:rFonts w:ascii="Arial" w:hAnsi="Arial" w:cs="Arial"/>
                <w:color w:val="000000"/>
                <w:lang w:val="en-GB" w:eastAsia="zh-CN"/>
              </w:rPr>
              <w:t>Ford India Pvt. Ltd.</w:t>
            </w:r>
          </w:p>
        </w:tc>
        <w:tc>
          <w:tcPr>
            <w:tcW w:w="1326" w:type="dxa"/>
            <w:shd w:val="clear" w:color="auto" w:fill="auto"/>
            <w:noWrap/>
            <w:tcMar>
              <w:top w:w="15" w:type="dxa"/>
              <w:left w:w="15" w:type="dxa"/>
              <w:bottom w:w="0" w:type="dxa"/>
              <w:right w:w="15" w:type="dxa"/>
            </w:tcMar>
            <w:hideMark/>
          </w:tcPr>
          <w:p w14:paraId="55ED96AC"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11.09</w:t>
            </w:r>
          </w:p>
        </w:tc>
        <w:tc>
          <w:tcPr>
            <w:tcW w:w="1382" w:type="dxa"/>
            <w:shd w:val="clear" w:color="auto" w:fill="auto"/>
            <w:noWrap/>
            <w:tcMar>
              <w:top w:w="15" w:type="dxa"/>
              <w:left w:w="15" w:type="dxa"/>
              <w:bottom w:w="0" w:type="dxa"/>
              <w:right w:w="15" w:type="dxa"/>
            </w:tcMar>
            <w:hideMark/>
          </w:tcPr>
          <w:p w14:paraId="16BA2A8A"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17.04</w:t>
            </w:r>
          </w:p>
        </w:tc>
      </w:tr>
      <w:tr w:rsidR="003930C7" w14:paraId="5E759598" w14:textId="77777777" w:rsidTr="00C07F6B">
        <w:trPr>
          <w:trHeight w:val="300"/>
          <w:jc w:val="center"/>
        </w:trPr>
        <w:tc>
          <w:tcPr>
            <w:tcW w:w="2871" w:type="dxa"/>
            <w:shd w:val="clear" w:color="auto" w:fill="auto"/>
            <w:noWrap/>
            <w:tcMar>
              <w:top w:w="15" w:type="dxa"/>
              <w:left w:w="15" w:type="dxa"/>
              <w:bottom w:w="0" w:type="dxa"/>
              <w:right w:w="15" w:type="dxa"/>
            </w:tcMar>
            <w:hideMark/>
          </w:tcPr>
          <w:p w14:paraId="0C1C0F39" w14:textId="46ABB461" w:rsidR="00E435F6" w:rsidRPr="003C0067" w:rsidRDefault="00E435F6" w:rsidP="00E435F6">
            <w:pPr>
              <w:rPr>
                <w:rFonts w:ascii="Arial" w:hAnsi="Arial" w:cs="Arial"/>
                <w:color w:val="000000"/>
                <w:lang w:val="en-GB" w:eastAsia="zh-CN"/>
              </w:rPr>
            </w:pPr>
            <w:r w:rsidRPr="003C0067">
              <w:rPr>
                <w:rFonts w:ascii="Arial" w:hAnsi="Arial" w:cs="Arial"/>
                <w:color w:val="000000"/>
                <w:lang w:val="en-GB" w:eastAsia="zh-CN"/>
              </w:rPr>
              <w:t>Toyota Kirloskar Motor Pvt. Ltd.</w:t>
            </w:r>
          </w:p>
        </w:tc>
        <w:tc>
          <w:tcPr>
            <w:tcW w:w="1326" w:type="dxa"/>
            <w:shd w:val="clear" w:color="auto" w:fill="auto"/>
            <w:noWrap/>
            <w:tcMar>
              <w:top w:w="15" w:type="dxa"/>
              <w:left w:w="15" w:type="dxa"/>
              <w:bottom w:w="0" w:type="dxa"/>
              <w:right w:w="15" w:type="dxa"/>
            </w:tcMar>
            <w:hideMark/>
          </w:tcPr>
          <w:p w14:paraId="2B80BC46"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12.64</w:t>
            </w:r>
          </w:p>
        </w:tc>
        <w:tc>
          <w:tcPr>
            <w:tcW w:w="1382" w:type="dxa"/>
            <w:shd w:val="clear" w:color="auto" w:fill="auto"/>
            <w:noWrap/>
            <w:tcMar>
              <w:top w:w="15" w:type="dxa"/>
              <w:left w:w="15" w:type="dxa"/>
              <w:bottom w:w="0" w:type="dxa"/>
              <w:right w:w="15" w:type="dxa"/>
            </w:tcMar>
            <w:hideMark/>
          </w:tcPr>
          <w:p w14:paraId="04C3969C"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12.77</w:t>
            </w:r>
          </w:p>
        </w:tc>
      </w:tr>
      <w:tr w:rsidR="003930C7" w14:paraId="24C49CB2" w14:textId="77777777" w:rsidTr="00C07F6B">
        <w:trPr>
          <w:trHeight w:val="300"/>
          <w:jc w:val="center"/>
        </w:trPr>
        <w:tc>
          <w:tcPr>
            <w:tcW w:w="2871" w:type="dxa"/>
            <w:shd w:val="clear" w:color="auto" w:fill="auto"/>
            <w:noWrap/>
            <w:tcMar>
              <w:top w:w="15" w:type="dxa"/>
              <w:left w:w="15" w:type="dxa"/>
              <w:bottom w:w="0" w:type="dxa"/>
              <w:right w:w="15" w:type="dxa"/>
            </w:tcMar>
            <w:hideMark/>
          </w:tcPr>
          <w:p w14:paraId="5FF8C787" w14:textId="4433CA73" w:rsidR="00E435F6" w:rsidRPr="003C0067" w:rsidRDefault="00E435F6" w:rsidP="00E435F6">
            <w:pPr>
              <w:rPr>
                <w:rFonts w:ascii="Arial" w:hAnsi="Arial" w:cs="Arial"/>
                <w:color w:val="000000"/>
                <w:lang w:val="en-GB" w:eastAsia="zh-CN"/>
              </w:rPr>
            </w:pPr>
            <w:r w:rsidRPr="003C0067">
              <w:rPr>
                <w:rFonts w:ascii="Arial" w:hAnsi="Arial" w:cs="Arial"/>
                <w:color w:val="000000"/>
                <w:lang w:val="en-GB" w:eastAsia="zh-CN"/>
              </w:rPr>
              <w:t>Maruti Suzuki India Ltd.</w:t>
            </w:r>
          </w:p>
        </w:tc>
        <w:tc>
          <w:tcPr>
            <w:tcW w:w="1326" w:type="dxa"/>
            <w:shd w:val="clear" w:color="auto" w:fill="auto"/>
            <w:noWrap/>
            <w:tcMar>
              <w:top w:w="15" w:type="dxa"/>
              <w:left w:w="15" w:type="dxa"/>
              <w:bottom w:w="0" w:type="dxa"/>
              <w:right w:w="15" w:type="dxa"/>
            </w:tcMar>
            <w:hideMark/>
          </w:tcPr>
          <w:p w14:paraId="660B61AE"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10.78</w:t>
            </w:r>
          </w:p>
        </w:tc>
        <w:tc>
          <w:tcPr>
            <w:tcW w:w="1382" w:type="dxa"/>
            <w:shd w:val="clear" w:color="auto" w:fill="auto"/>
            <w:noWrap/>
            <w:tcMar>
              <w:top w:w="15" w:type="dxa"/>
              <w:left w:w="15" w:type="dxa"/>
              <w:bottom w:w="0" w:type="dxa"/>
              <w:right w:w="15" w:type="dxa"/>
            </w:tcMar>
            <w:hideMark/>
          </w:tcPr>
          <w:p w14:paraId="5DAF2FAB"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12.48</w:t>
            </w:r>
          </w:p>
        </w:tc>
      </w:tr>
      <w:tr w:rsidR="003930C7" w14:paraId="53330906" w14:textId="77777777" w:rsidTr="00C07F6B">
        <w:trPr>
          <w:trHeight w:val="300"/>
          <w:jc w:val="center"/>
        </w:trPr>
        <w:tc>
          <w:tcPr>
            <w:tcW w:w="2871" w:type="dxa"/>
            <w:shd w:val="clear" w:color="auto" w:fill="auto"/>
            <w:noWrap/>
            <w:tcMar>
              <w:top w:w="15" w:type="dxa"/>
              <w:left w:w="15" w:type="dxa"/>
              <w:bottom w:w="0" w:type="dxa"/>
              <w:right w:w="15" w:type="dxa"/>
            </w:tcMar>
            <w:hideMark/>
          </w:tcPr>
          <w:p w14:paraId="25BC2FE2" w14:textId="11EA761F" w:rsidR="00E435F6" w:rsidRPr="003C0067" w:rsidRDefault="00E435F6" w:rsidP="00E435F6">
            <w:pPr>
              <w:rPr>
                <w:rFonts w:ascii="Arial" w:hAnsi="Arial" w:cs="Arial"/>
                <w:color w:val="000000"/>
                <w:lang w:val="en-GB" w:eastAsia="zh-CN"/>
              </w:rPr>
            </w:pPr>
            <w:r w:rsidRPr="003C0067">
              <w:rPr>
                <w:rFonts w:ascii="Arial" w:hAnsi="Arial" w:cs="Arial"/>
                <w:color w:val="000000"/>
                <w:lang w:val="en-GB" w:eastAsia="zh-CN"/>
              </w:rPr>
              <w:t>Renault India Pvt. Ltd.</w:t>
            </w:r>
          </w:p>
        </w:tc>
        <w:tc>
          <w:tcPr>
            <w:tcW w:w="1326" w:type="dxa"/>
            <w:shd w:val="clear" w:color="auto" w:fill="auto"/>
            <w:noWrap/>
            <w:tcMar>
              <w:top w:w="15" w:type="dxa"/>
              <w:left w:w="15" w:type="dxa"/>
              <w:bottom w:w="0" w:type="dxa"/>
              <w:right w:w="15" w:type="dxa"/>
            </w:tcMar>
            <w:hideMark/>
          </w:tcPr>
          <w:p w14:paraId="3F85B510"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11.21</w:t>
            </w:r>
          </w:p>
        </w:tc>
        <w:tc>
          <w:tcPr>
            <w:tcW w:w="1382" w:type="dxa"/>
            <w:shd w:val="clear" w:color="auto" w:fill="auto"/>
            <w:noWrap/>
            <w:tcMar>
              <w:top w:w="15" w:type="dxa"/>
              <w:left w:w="15" w:type="dxa"/>
              <w:bottom w:w="0" w:type="dxa"/>
              <w:right w:w="15" w:type="dxa"/>
            </w:tcMar>
            <w:hideMark/>
          </w:tcPr>
          <w:p w14:paraId="077FF6FD"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6.83</w:t>
            </w:r>
          </w:p>
        </w:tc>
      </w:tr>
      <w:tr w:rsidR="003930C7" w14:paraId="2C517CAE" w14:textId="77777777" w:rsidTr="00C07F6B">
        <w:trPr>
          <w:trHeight w:val="300"/>
          <w:jc w:val="center"/>
        </w:trPr>
        <w:tc>
          <w:tcPr>
            <w:tcW w:w="2871" w:type="dxa"/>
            <w:shd w:val="clear" w:color="auto" w:fill="auto"/>
            <w:noWrap/>
            <w:tcMar>
              <w:top w:w="15" w:type="dxa"/>
              <w:left w:w="15" w:type="dxa"/>
              <w:bottom w:w="0" w:type="dxa"/>
              <w:right w:w="15" w:type="dxa"/>
            </w:tcMar>
            <w:hideMark/>
          </w:tcPr>
          <w:p w14:paraId="67EDFF19" w14:textId="6AC23CA8" w:rsidR="00E435F6" w:rsidRPr="003C0067" w:rsidRDefault="00E435F6" w:rsidP="00A531CA">
            <w:pPr>
              <w:rPr>
                <w:rFonts w:ascii="Arial" w:hAnsi="Arial" w:cs="Arial"/>
                <w:color w:val="000000"/>
                <w:lang w:val="en-GB" w:eastAsia="zh-CN"/>
              </w:rPr>
            </w:pPr>
            <w:r w:rsidRPr="003C0067">
              <w:rPr>
                <w:rFonts w:ascii="Arial" w:hAnsi="Arial" w:cs="Arial"/>
                <w:color w:val="000000"/>
                <w:lang w:val="en-GB" w:eastAsia="zh-CN"/>
              </w:rPr>
              <w:t>Honda Cars India Ltd.</w:t>
            </w:r>
          </w:p>
        </w:tc>
        <w:tc>
          <w:tcPr>
            <w:tcW w:w="1326" w:type="dxa"/>
            <w:shd w:val="clear" w:color="auto" w:fill="auto"/>
            <w:noWrap/>
            <w:tcMar>
              <w:top w:w="15" w:type="dxa"/>
              <w:left w:w="15" w:type="dxa"/>
              <w:bottom w:w="0" w:type="dxa"/>
              <w:right w:w="15" w:type="dxa"/>
            </w:tcMar>
            <w:hideMark/>
          </w:tcPr>
          <w:p w14:paraId="30604CB5"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0.18</w:t>
            </w:r>
          </w:p>
        </w:tc>
        <w:tc>
          <w:tcPr>
            <w:tcW w:w="1382" w:type="dxa"/>
            <w:shd w:val="clear" w:color="auto" w:fill="auto"/>
            <w:noWrap/>
            <w:tcMar>
              <w:top w:w="15" w:type="dxa"/>
              <w:left w:w="15" w:type="dxa"/>
              <w:bottom w:w="0" w:type="dxa"/>
              <w:right w:w="15" w:type="dxa"/>
            </w:tcMar>
            <w:hideMark/>
          </w:tcPr>
          <w:p w14:paraId="796B816F"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5.16</w:t>
            </w:r>
          </w:p>
        </w:tc>
      </w:tr>
      <w:tr w:rsidR="003930C7" w14:paraId="7CF91517" w14:textId="77777777" w:rsidTr="00C07F6B">
        <w:trPr>
          <w:trHeight w:val="300"/>
          <w:jc w:val="center"/>
        </w:trPr>
        <w:tc>
          <w:tcPr>
            <w:tcW w:w="2871" w:type="dxa"/>
            <w:shd w:val="clear" w:color="auto" w:fill="auto"/>
            <w:noWrap/>
            <w:tcMar>
              <w:top w:w="15" w:type="dxa"/>
              <w:left w:w="15" w:type="dxa"/>
              <w:bottom w:w="0" w:type="dxa"/>
              <w:right w:w="15" w:type="dxa"/>
            </w:tcMar>
            <w:hideMark/>
          </w:tcPr>
          <w:p w14:paraId="4D28F4B4" w14:textId="389DD81E" w:rsidR="00E435F6" w:rsidRPr="003C0067" w:rsidRDefault="00E435F6" w:rsidP="00E435F6">
            <w:pPr>
              <w:rPr>
                <w:rFonts w:ascii="Arial" w:hAnsi="Arial" w:cs="Arial"/>
                <w:color w:val="000000"/>
                <w:lang w:val="en-GB" w:eastAsia="zh-CN"/>
              </w:rPr>
            </w:pPr>
            <w:r w:rsidRPr="003C0067">
              <w:rPr>
                <w:rFonts w:ascii="Arial" w:hAnsi="Arial" w:cs="Arial"/>
                <w:color w:val="000000"/>
                <w:lang w:val="en-GB" w:eastAsia="zh-CN"/>
              </w:rPr>
              <w:t>Tata Motors Ltd.</w:t>
            </w:r>
          </w:p>
        </w:tc>
        <w:tc>
          <w:tcPr>
            <w:tcW w:w="1326" w:type="dxa"/>
            <w:shd w:val="clear" w:color="auto" w:fill="auto"/>
            <w:noWrap/>
            <w:tcMar>
              <w:top w:w="15" w:type="dxa"/>
              <w:left w:w="15" w:type="dxa"/>
              <w:bottom w:w="0" w:type="dxa"/>
              <w:right w:w="15" w:type="dxa"/>
            </w:tcMar>
            <w:hideMark/>
          </w:tcPr>
          <w:p w14:paraId="374080E5"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5.13</w:t>
            </w:r>
          </w:p>
        </w:tc>
        <w:tc>
          <w:tcPr>
            <w:tcW w:w="1382" w:type="dxa"/>
            <w:shd w:val="clear" w:color="auto" w:fill="auto"/>
            <w:noWrap/>
            <w:tcMar>
              <w:top w:w="15" w:type="dxa"/>
              <w:left w:w="15" w:type="dxa"/>
              <w:bottom w:w="0" w:type="dxa"/>
              <w:right w:w="15" w:type="dxa"/>
            </w:tcMar>
            <w:hideMark/>
          </w:tcPr>
          <w:p w14:paraId="409DB36C"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3.94</w:t>
            </w:r>
          </w:p>
        </w:tc>
      </w:tr>
      <w:tr w:rsidR="003930C7" w14:paraId="5B63BAB1" w14:textId="77777777" w:rsidTr="00C07F6B">
        <w:trPr>
          <w:trHeight w:val="300"/>
          <w:jc w:val="center"/>
        </w:trPr>
        <w:tc>
          <w:tcPr>
            <w:tcW w:w="2871" w:type="dxa"/>
            <w:shd w:val="clear" w:color="auto" w:fill="auto"/>
            <w:noWrap/>
            <w:tcMar>
              <w:top w:w="15" w:type="dxa"/>
              <w:left w:w="15" w:type="dxa"/>
              <w:bottom w:w="0" w:type="dxa"/>
              <w:right w:w="15" w:type="dxa"/>
            </w:tcMar>
            <w:hideMark/>
          </w:tcPr>
          <w:p w14:paraId="7AAB11E8" w14:textId="1A78BDA2" w:rsidR="00E435F6" w:rsidRPr="003C0067" w:rsidRDefault="00E435F6" w:rsidP="00E435F6">
            <w:pPr>
              <w:rPr>
                <w:rFonts w:ascii="Arial" w:hAnsi="Arial" w:cs="Arial"/>
                <w:color w:val="000000"/>
                <w:lang w:val="en-GB" w:eastAsia="zh-CN"/>
              </w:rPr>
            </w:pPr>
            <w:r w:rsidRPr="003C0067">
              <w:rPr>
                <w:rFonts w:ascii="Arial" w:hAnsi="Arial" w:cs="Arial"/>
                <w:color w:val="000000"/>
                <w:lang w:val="en-GB" w:eastAsia="zh-CN"/>
              </w:rPr>
              <w:t>General Motors India Pvt. Ltd.</w:t>
            </w:r>
          </w:p>
        </w:tc>
        <w:tc>
          <w:tcPr>
            <w:tcW w:w="1326" w:type="dxa"/>
            <w:shd w:val="clear" w:color="auto" w:fill="auto"/>
            <w:noWrap/>
            <w:tcMar>
              <w:top w:w="15" w:type="dxa"/>
              <w:left w:w="15" w:type="dxa"/>
              <w:bottom w:w="0" w:type="dxa"/>
              <w:right w:w="15" w:type="dxa"/>
            </w:tcMar>
            <w:hideMark/>
          </w:tcPr>
          <w:p w14:paraId="0FDAE98B"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5.12</w:t>
            </w:r>
          </w:p>
        </w:tc>
        <w:tc>
          <w:tcPr>
            <w:tcW w:w="1382" w:type="dxa"/>
            <w:shd w:val="clear" w:color="auto" w:fill="auto"/>
            <w:noWrap/>
            <w:tcMar>
              <w:top w:w="15" w:type="dxa"/>
              <w:left w:w="15" w:type="dxa"/>
              <w:bottom w:w="0" w:type="dxa"/>
              <w:right w:w="15" w:type="dxa"/>
            </w:tcMar>
            <w:hideMark/>
          </w:tcPr>
          <w:p w14:paraId="5C3E4180"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3.41</w:t>
            </w:r>
          </w:p>
        </w:tc>
      </w:tr>
      <w:tr w:rsidR="003930C7" w14:paraId="33A40FF7" w14:textId="77777777" w:rsidTr="00C07F6B">
        <w:trPr>
          <w:trHeight w:val="300"/>
          <w:jc w:val="center"/>
        </w:trPr>
        <w:tc>
          <w:tcPr>
            <w:tcW w:w="2871" w:type="dxa"/>
            <w:shd w:val="clear" w:color="auto" w:fill="auto"/>
            <w:noWrap/>
            <w:tcMar>
              <w:top w:w="15" w:type="dxa"/>
              <w:left w:w="15" w:type="dxa"/>
              <w:bottom w:w="0" w:type="dxa"/>
              <w:right w:w="15" w:type="dxa"/>
            </w:tcMar>
            <w:hideMark/>
          </w:tcPr>
          <w:p w14:paraId="1BFE076C" w14:textId="250FB550" w:rsidR="00E435F6" w:rsidRPr="003C0067" w:rsidRDefault="00E435F6" w:rsidP="00E435F6">
            <w:pPr>
              <w:rPr>
                <w:rFonts w:ascii="Arial" w:hAnsi="Arial" w:cs="Arial"/>
                <w:color w:val="000000"/>
                <w:lang w:val="en-GB" w:eastAsia="zh-CN"/>
              </w:rPr>
            </w:pPr>
            <w:r w:rsidRPr="003C0067">
              <w:rPr>
                <w:rFonts w:ascii="Arial" w:hAnsi="Arial" w:cs="Arial"/>
                <w:color w:val="000000"/>
                <w:lang w:val="en-GB" w:eastAsia="zh-CN"/>
              </w:rPr>
              <w:t>Nissan Motor India Pvt. Ltd.</w:t>
            </w:r>
          </w:p>
        </w:tc>
        <w:tc>
          <w:tcPr>
            <w:tcW w:w="1326" w:type="dxa"/>
            <w:shd w:val="clear" w:color="auto" w:fill="auto"/>
            <w:noWrap/>
            <w:tcMar>
              <w:top w:w="15" w:type="dxa"/>
              <w:left w:w="15" w:type="dxa"/>
              <w:bottom w:w="0" w:type="dxa"/>
              <w:right w:w="15" w:type="dxa"/>
            </w:tcMar>
            <w:hideMark/>
          </w:tcPr>
          <w:p w14:paraId="7B6F7C05"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2.74</w:t>
            </w:r>
          </w:p>
        </w:tc>
        <w:tc>
          <w:tcPr>
            <w:tcW w:w="1382" w:type="dxa"/>
            <w:shd w:val="clear" w:color="auto" w:fill="auto"/>
            <w:noWrap/>
            <w:tcMar>
              <w:top w:w="15" w:type="dxa"/>
              <w:left w:w="15" w:type="dxa"/>
              <w:bottom w:w="0" w:type="dxa"/>
              <w:right w:w="15" w:type="dxa"/>
            </w:tcMar>
            <w:hideMark/>
          </w:tcPr>
          <w:p w14:paraId="7EF5B816"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3.32</w:t>
            </w:r>
          </w:p>
        </w:tc>
      </w:tr>
      <w:tr w:rsidR="003930C7" w14:paraId="28CF2418" w14:textId="77777777" w:rsidTr="00C07F6B">
        <w:trPr>
          <w:trHeight w:val="300"/>
          <w:jc w:val="center"/>
        </w:trPr>
        <w:tc>
          <w:tcPr>
            <w:tcW w:w="2871" w:type="dxa"/>
            <w:shd w:val="clear" w:color="auto" w:fill="auto"/>
            <w:noWrap/>
            <w:tcMar>
              <w:top w:w="15" w:type="dxa"/>
              <w:left w:w="15" w:type="dxa"/>
              <w:bottom w:w="0" w:type="dxa"/>
              <w:right w:w="15" w:type="dxa"/>
            </w:tcMar>
            <w:hideMark/>
          </w:tcPr>
          <w:p w14:paraId="380546D4" w14:textId="66AB8026" w:rsidR="00E435F6" w:rsidRPr="003C0067" w:rsidRDefault="00E435F6" w:rsidP="00E435F6">
            <w:pPr>
              <w:rPr>
                <w:rFonts w:ascii="Arial" w:hAnsi="Arial" w:cs="Arial"/>
                <w:color w:val="000000"/>
                <w:lang w:val="en-GB" w:eastAsia="zh-CN"/>
              </w:rPr>
            </w:pPr>
            <w:r w:rsidRPr="003C0067">
              <w:rPr>
                <w:rFonts w:ascii="Arial" w:hAnsi="Arial" w:cs="Arial"/>
                <w:color w:val="000000"/>
                <w:lang w:val="en-GB" w:eastAsia="zh-CN"/>
              </w:rPr>
              <w:t>Force Motors Ltd.</w:t>
            </w:r>
          </w:p>
        </w:tc>
        <w:tc>
          <w:tcPr>
            <w:tcW w:w="1326" w:type="dxa"/>
            <w:shd w:val="clear" w:color="auto" w:fill="auto"/>
            <w:noWrap/>
            <w:tcMar>
              <w:top w:w="15" w:type="dxa"/>
              <w:left w:w="15" w:type="dxa"/>
              <w:bottom w:w="0" w:type="dxa"/>
              <w:right w:w="15" w:type="dxa"/>
            </w:tcMar>
            <w:hideMark/>
          </w:tcPr>
          <w:p w14:paraId="3D7B1386"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0.61</w:t>
            </w:r>
          </w:p>
        </w:tc>
        <w:tc>
          <w:tcPr>
            <w:tcW w:w="1382" w:type="dxa"/>
            <w:shd w:val="clear" w:color="auto" w:fill="auto"/>
            <w:noWrap/>
            <w:tcMar>
              <w:top w:w="15" w:type="dxa"/>
              <w:left w:w="15" w:type="dxa"/>
              <w:bottom w:w="0" w:type="dxa"/>
              <w:right w:w="15" w:type="dxa"/>
            </w:tcMar>
            <w:hideMark/>
          </w:tcPr>
          <w:p w14:paraId="35A8D3B9"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0.46</w:t>
            </w:r>
          </w:p>
        </w:tc>
      </w:tr>
      <w:tr w:rsidR="003930C7" w14:paraId="23470762" w14:textId="77777777" w:rsidTr="00C07F6B">
        <w:trPr>
          <w:trHeight w:val="300"/>
          <w:jc w:val="center"/>
        </w:trPr>
        <w:tc>
          <w:tcPr>
            <w:tcW w:w="2871" w:type="dxa"/>
            <w:shd w:val="clear" w:color="auto" w:fill="auto"/>
            <w:noWrap/>
            <w:tcMar>
              <w:top w:w="15" w:type="dxa"/>
              <w:left w:w="15" w:type="dxa"/>
              <w:bottom w:w="0" w:type="dxa"/>
              <w:right w:w="15" w:type="dxa"/>
            </w:tcMar>
            <w:hideMark/>
          </w:tcPr>
          <w:p w14:paraId="2DA875ED" w14:textId="5C601396" w:rsidR="00E435F6" w:rsidRPr="003C0067" w:rsidRDefault="00E435F6" w:rsidP="00E435F6">
            <w:pPr>
              <w:rPr>
                <w:rFonts w:ascii="Arial" w:hAnsi="Arial" w:cs="Arial"/>
                <w:color w:val="000000"/>
                <w:lang w:val="en-GB" w:eastAsia="zh-CN"/>
              </w:rPr>
            </w:pPr>
            <w:r w:rsidRPr="003C0067">
              <w:rPr>
                <w:rFonts w:ascii="Arial" w:hAnsi="Arial" w:cs="Arial"/>
                <w:color w:val="000000"/>
                <w:lang w:val="en-GB" w:eastAsia="zh-CN"/>
              </w:rPr>
              <w:t>Hyundai Motor India Ltd.</w:t>
            </w:r>
          </w:p>
        </w:tc>
        <w:tc>
          <w:tcPr>
            <w:tcW w:w="1326" w:type="dxa"/>
            <w:shd w:val="clear" w:color="auto" w:fill="auto"/>
            <w:noWrap/>
            <w:tcMar>
              <w:top w:w="15" w:type="dxa"/>
              <w:left w:w="15" w:type="dxa"/>
              <w:bottom w:w="0" w:type="dxa"/>
              <w:right w:w="15" w:type="dxa"/>
            </w:tcMar>
            <w:hideMark/>
          </w:tcPr>
          <w:p w14:paraId="32C0CA55"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0.12</w:t>
            </w:r>
          </w:p>
        </w:tc>
        <w:tc>
          <w:tcPr>
            <w:tcW w:w="1382" w:type="dxa"/>
            <w:shd w:val="clear" w:color="auto" w:fill="auto"/>
            <w:noWrap/>
            <w:tcMar>
              <w:top w:w="15" w:type="dxa"/>
              <w:left w:w="15" w:type="dxa"/>
              <w:bottom w:w="0" w:type="dxa"/>
              <w:right w:w="15" w:type="dxa"/>
            </w:tcMar>
            <w:hideMark/>
          </w:tcPr>
          <w:p w14:paraId="291EF26D" w14:textId="0F939D03"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0.3</w:t>
            </w:r>
            <w:r w:rsidR="00761A38">
              <w:rPr>
                <w:rFonts w:ascii="Arial" w:hAnsi="Arial" w:cs="Arial"/>
                <w:color w:val="000000"/>
                <w:lang w:val="en-GB" w:eastAsia="zh-CN"/>
              </w:rPr>
              <w:t>0</w:t>
            </w:r>
          </w:p>
        </w:tc>
      </w:tr>
      <w:tr w:rsidR="003930C7" w14:paraId="31316335" w14:textId="77777777" w:rsidTr="00C07F6B">
        <w:trPr>
          <w:trHeight w:val="300"/>
          <w:jc w:val="center"/>
        </w:trPr>
        <w:tc>
          <w:tcPr>
            <w:tcW w:w="2871" w:type="dxa"/>
            <w:shd w:val="clear" w:color="auto" w:fill="auto"/>
            <w:noWrap/>
            <w:tcMar>
              <w:top w:w="15" w:type="dxa"/>
              <w:left w:w="15" w:type="dxa"/>
              <w:bottom w:w="0" w:type="dxa"/>
              <w:right w:w="15" w:type="dxa"/>
            </w:tcMar>
            <w:hideMark/>
          </w:tcPr>
          <w:p w14:paraId="76F2EE86" w14:textId="6CDC3CE7" w:rsidR="00E435F6" w:rsidRPr="003C0067" w:rsidRDefault="00A531CA" w:rsidP="00E435F6">
            <w:pPr>
              <w:rPr>
                <w:rFonts w:ascii="Arial" w:hAnsi="Arial" w:cs="Arial"/>
                <w:color w:val="000000"/>
                <w:lang w:val="en-GB" w:eastAsia="zh-CN"/>
              </w:rPr>
            </w:pPr>
            <w:r>
              <w:rPr>
                <w:rFonts w:ascii="Arial" w:hAnsi="Arial" w:cs="Arial"/>
                <w:color w:val="000000"/>
                <w:lang w:val="en-GB" w:eastAsia="zh-CN"/>
              </w:rPr>
              <w:t>O</w:t>
            </w:r>
            <w:r w:rsidR="00E435F6" w:rsidRPr="003C0067">
              <w:rPr>
                <w:rFonts w:ascii="Arial" w:hAnsi="Arial" w:cs="Arial"/>
                <w:color w:val="000000"/>
                <w:lang w:val="en-GB" w:eastAsia="zh-CN"/>
              </w:rPr>
              <w:t>thers</w:t>
            </w:r>
          </w:p>
        </w:tc>
        <w:tc>
          <w:tcPr>
            <w:tcW w:w="1326" w:type="dxa"/>
            <w:shd w:val="clear" w:color="auto" w:fill="auto"/>
            <w:noWrap/>
            <w:tcMar>
              <w:top w:w="15" w:type="dxa"/>
              <w:left w:w="15" w:type="dxa"/>
              <w:bottom w:w="0" w:type="dxa"/>
              <w:right w:w="15" w:type="dxa"/>
            </w:tcMar>
            <w:hideMark/>
          </w:tcPr>
          <w:p w14:paraId="60B58629"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0.52</w:t>
            </w:r>
          </w:p>
        </w:tc>
        <w:tc>
          <w:tcPr>
            <w:tcW w:w="1382" w:type="dxa"/>
            <w:shd w:val="clear" w:color="auto" w:fill="auto"/>
            <w:noWrap/>
            <w:tcMar>
              <w:top w:w="15" w:type="dxa"/>
              <w:left w:w="15" w:type="dxa"/>
              <w:bottom w:w="0" w:type="dxa"/>
              <w:right w:w="15" w:type="dxa"/>
            </w:tcMar>
            <w:hideMark/>
          </w:tcPr>
          <w:p w14:paraId="2EE8B9EC" w14:textId="77777777" w:rsidR="00E435F6" w:rsidRPr="003C0067" w:rsidRDefault="00E435F6" w:rsidP="002141C0">
            <w:pPr>
              <w:jc w:val="right"/>
              <w:rPr>
                <w:rFonts w:ascii="Arial" w:hAnsi="Arial" w:cs="Arial"/>
                <w:color w:val="000000"/>
                <w:lang w:val="en-GB" w:eastAsia="zh-CN"/>
              </w:rPr>
            </w:pPr>
            <w:r w:rsidRPr="003C0067">
              <w:rPr>
                <w:rFonts w:ascii="Arial" w:hAnsi="Arial" w:cs="Arial"/>
                <w:color w:val="000000"/>
                <w:lang w:val="en-GB" w:eastAsia="zh-CN"/>
              </w:rPr>
              <w:t>0.65</w:t>
            </w:r>
          </w:p>
        </w:tc>
      </w:tr>
    </w:tbl>
    <w:p w14:paraId="62063CF8" w14:textId="39E0FF97" w:rsidR="000735FF" w:rsidRPr="001A5003" w:rsidRDefault="000735FF" w:rsidP="00935D2F">
      <w:pPr>
        <w:rPr>
          <w:rFonts w:ascii="Calibri" w:hAnsi="Calibri"/>
          <w:b/>
          <w:color w:val="000000"/>
          <w:lang w:val="en-GB"/>
        </w:rPr>
      </w:pPr>
    </w:p>
    <w:p w14:paraId="1F4B9901" w14:textId="32398ACA" w:rsidR="00E132D9" w:rsidRDefault="00E132D9" w:rsidP="000A0E73">
      <w:pPr>
        <w:pStyle w:val="Footnote"/>
        <w:outlineLvl w:val="0"/>
        <w:rPr>
          <w:lang w:val="en-GB"/>
        </w:rPr>
      </w:pPr>
      <w:r>
        <w:rPr>
          <w:lang w:val="en-GB"/>
        </w:rPr>
        <w:t>Note: FY = fiscal year</w:t>
      </w:r>
    </w:p>
    <w:p w14:paraId="41BC0A6E" w14:textId="3889DE5A" w:rsidR="000735FF" w:rsidRPr="00EC5423" w:rsidRDefault="000735FF" w:rsidP="001A5003">
      <w:pPr>
        <w:pStyle w:val="Footnote"/>
        <w:outlineLvl w:val="0"/>
        <w:rPr>
          <w:spacing w:val="-4"/>
          <w:lang w:val="en-GB"/>
        </w:rPr>
      </w:pPr>
      <w:r w:rsidRPr="002B43C8">
        <w:rPr>
          <w:lang w:val="en-GB"/>
        </w:rPr>
        <w:t xml:space="preserve">Source: </w:t>
      </w:r>
      <w:r w:rsidR="00EF5E31">
        <w:rPr>
          <w:lang w:val="en-GB"/>
        </w:rPr>
        <w:t xml:space="preserve">Compiled by the case authors </w:t>
      </w:r>
      <w:r w:rsidR="00EF5E31" w:rsidRPr="001A5003">
        <w:rPr>
          <w:lang w:val="en-GB"/>
        </w:rPr>
        <w:t xml:space="preserve">based on </w:t>
      </w:r>
      <w:r w:rsidR="00E132D9">
        <w:rPr>
          <w:lang w:val="en-GB"/>
        </w:rPr>
        <w:t xml:space="preserve">“Industry Outlook,” </w:t>
      </w:r>
      <w:r w:rsidR="00E132D9" w:rsidRPr="002B43C8">
        <w:rPr>
          <w:lang w:val="en-GB"/>
        </w:rPr>
        <w:t>C</w:t>
      </w:r>
      <w:r w:rsidR="00E132D9">
        <w:rPr>
          <w:lang w:val="en-GB"/>
        </w:rPr>
        <w:t xml:space="preserve">entre for </w:t>
      </w:r>
      <w:r w:rsidR="00E132D9" w:rsidRPr="002B43C8">
        <w:rPr>
          <w:lang w:val="en-GB"/>
        </w:rPr>
        <w:t>M</w:t>
      </w:r>
      <w:r w:rsidR="00E132D9">
        <w:rPr>
          <w:lang w:val="en-GB"/>
        </w:rPr>
        <w:t xml:space="preserve">onitoring </w:t>
      </w:r>
      <w:r w:rsidR="00E132D9" w:rsidRPr="002B43C8">
        <w:rPr>
          <w:lang w:val="en-GB"/>
        </w:rPr>
        <w:t>I</w:t>
      </w:r>
      <w:r w:rsidR="00E132D9">
        <w:rPr>
          <w:lang w:val="en-GB"/>
        </w:rPr>
        <w:t xml:space="preserve">ndian Economy, accessed </w:t>
      </w:r>
      <w:r w:rsidR="00E132D9" w:rsidRPr="000E44FF">
        <w:rPr>
          <w:spacing w:val="-4"/>
          <w:lang w:val="en-GB"/>
        </w:rPr>
        <w:t>October 25</w:t>
      </w:r>
      <w:r w:rsidR="00E132D9" w:rsidRPr="007F136F">
        <w:rPr>
          <w:spacing w:val="-4"/>
          <w:lang w:val="en-GB"/>
        </w:rPr>
        <w:t xml:space="preserve">, 2017, </w:t>
      </w:r>
      <w:r w:rsidR="000A0E73" w:rsidRPr="00EC5423">
        <w:rPr>
          <w:spacing w:val="-4"/>
          <w:lang w:val="en-GB"/>
        </w:rPr>
        <w:t>https://industryoutlook.cmie.com/kommon/bin/sr.php?kall=wshowtab&amp;icode=0101014502011000&amp;tabno=0001</w:t>
      </w:r>
      <w:r w:rsidR="00E132D9" w:rsidRPr="00EC5423">
        <w:rPr>
          <w:spacing w:val="-4"/>
          <w:lang w:val="en-GB"/>
        </w:rPr>
        <w:t>.</w:t>
      </w:r>
    </w:p>
    <w:p w14:paraId="65E9001D" w14:textId="77777777" w:rsidR="000735FF" w:rsidRPr="002B43C8" w:rsidRDefault="000735FF">
      <w:pPr>
        <w:spacing w:after="200" w:line="276" w:lineRule="auto"/>
        <w:rPr>
          <w:lang w:val="en-GB"/>
        </w:rPr>
      </w:pPr>
      <w:r w:rsidRPr="002B43C8">
        <w:rPr>
          <w:lang w:val="en-GB"/>
        </w:rPr>
        <w:br w:type="page"/>
      </w:r>
    </w:p>
    <w:p w14:paraId="36B656CA" w14:textId="2C81DB19" w:rsidR="000735FF" w:rsidRPr="002B43C8" w:rsidRDefault="000735FF" w:rsidP="007F36EF">
      <w:pPr>
        <w:jc w:val="center"/>
        <w:outlineLvl w:val="0"/>
        <w:rPr>
          <w:rFonts w:ascii="Arial" w:hAnsi="Arial"/>
          <w:b/>
          <w:lang w:val="en-GB"/>
        </w:rPr>
      </w:pPr>
      <w:r w:rsidRPr="002B43C8">
        <w:rPr>
          <w:rFonts w:ascii="Arial" w:hAnsi="Arial"/>
          <w:b/>
          <w:lang w:val="en-GB"/>
        </w:rPr>
        <w:lastRenderedPageBreak/>
        <w:t>EXHIBIT 8: MSIL SUB-BRANDS AND THEIR COMPETITOR</w:t>
      </w:r>
      <w:r w:rsidR="00D41C10">
        <w:rPr>
          <w:rFonts w:ascii="Arial" w:hAnsi="Arial"/>
          <w:b/>
          <w:lang w:val="en-GB"/>
        </w:rPr>
        <w:t>S</w:t>
      </w:r>
      <w:r w:rsidR="00A95714">
        <w:rPr>
          <w:rFonts w:ascii="Arial" w:hAnsi="Arial"/>
          <w:b/>
          <w:lang w:val="en-GB"/>
        </w:rPr>
        <w:t>,</w:t>
      </w:r>
      <w:r w:rsidRPr="002B43C8">
        <w:rPr>
          <w:rFonts w:ascii="Arial" w:hAnsi="Arial"/>
          <w:b/>
          <w:lang w:val="en-GB"/>
        </w:rPr>
        <w:t xml:space="preserve"> WITH PRICES (</w:t>
      </w:r>
      <w:r w:rsidR="00775F11">
        <w:rPr>
          <w:rFonts w:ascii="Arial" w:hAnsi="Arial"/>
          <w:b/>
          <w:lang w:val="en-GB"/>
        </w:rPr>
        <w:t xml:space="preserve">IN </w:t>
      </w:r>
      <w:r w:rsidRPr="002B43C8">
        <w:rPr>
          <w:rFonts w:ascii="Arial" w:hAnsi="Arial"/>
          <w:b/>
          <w:lang w:val="en-GB"/>
        </w:rPr>
        <w:t>DELHI</w:t>
      </w:r>
      <w:r w:rsidR="005312D1">
        <w:rPr>
          <w:rFonts w:ascii="Arial" w:hAnsi="Arial"/>
          <w:b/>
          <w:lang w:val="en-GB"/>
        </w:rPr>
        <w:t>, INDIA</w:t>
      </w:r>
      <w:r w:rsidR="00E132D9">
        <w:rPr>
          <w:rFonts w:ascii="Arial" w:hAnsi="Arial"/>
          <w:b/>
          <w:lang w:val="en-GB"/>
        </w:rPr>
        <w:t xml:space="preserve">, </w:t>
      </w:r>
      <w:r w:rsidR="00A14CC5">
        <w:rPr>
          <w:rFonts w:ascii="Arial" w:hAnsi="Arial"/>
          <w:b/>
          <w:lang w:val="en-GB"/>
        </w:rPr>
        <w:t>2015</w:t>
      </w:r>
      <w:r w:rsidRPr="002B43C8">
        <w:rPr>
          <w:rFonts w:ascii="Arial" w:hAnsi="Arial"/>
          <w:b/>
          <w:lang w:val="en-GB"/>
        </w:rPr>
        <w:t>)</w:t>
      </w:r>
    </w:p>
    <w:p w14:paraId="0C2C5FB3" w14:textId="77777777" w:rsidR="000735FF" w:rsidRPr="002B43C8" w:rsidRDefault="000735FF" w:rsidP="00935D2F">
      <w:pPr>
        <w:jc w:val="center"/>
        <w:rPr>
          <w:rFonts w:ascii="Arial" w:hAnsi="Arial"/>
          <w:color w:val="000000"/>
          <w:sz w:val="17"/>
          <w:szCs w:val="17"/>
          <w:lang w:val="en-GB"/>
        </w:rPr>
      </w:pPr>
    </w:p>
    <w:tbl>
      <w:tblPr>
        <w:tblW w:w="8728" w:type="dxa"/>
        <w:jc w:val="center"/>
        <w:tblLayout w:type="fixed"/>
        <w:tblLook w:val="04A0" w:firstRow="1" w:lastRow="0" w:firstColumn="1" w:lastColumn="0" w:noHBand="0" w:noVBand="1"/>
      </w:tblPr>
      <w:tblGrid>
        <w:gridCol w:w="1352"/>
        <w:gridCol w:w="1933"/>
        <w:gridCol w:w="1693"/>
        <w:gridCol w:w="1994"/>
        <w:gridCol w:w="1756"/>
      </w:tblGrid>
      <w:tr w:rsidR="00C46A13" w:rsidRPr="002B43C8" w14:paraId="203037E9" w14:textId="77777777" w:rsidTr="00C46A13">
        <w:trPr>
          <w:trHeight w:val="152"/>
          <w:jc w:val="center"/>
        </w:trPr>
        <w:tc>
          <w:tcPr>
            <w:tcW w:w="1352" w:type="dxa"/>
            <w:tcBorders>
              <w:top w:val="single" w:sz="4" w:space="0" w:color="auto"/>
              <w:left w:val="single" w:sz="4" w:space="0" w:color="auto"/>
              <w:bottom w:val="single" w:sz="4" w:space="0" w:color="auto"/>
              <w:right w:val="single" w:sz="4" w:space="0" w:color="auto"/>
            </w:tcBorders>
            <w:shd w:val="clear" w:color="auto" w:fill="auto"/>
            <w:noWrap/>
          </w:tcPr>
          <w:p w14:paraId="1D60011D" w14:textId="77777777" w:rsidR="004328F4" w:rsidRPr="00461423" w:rsidRDefault="004328F4" w:rsidP="00461423">
            <w:pPr>
              <w:contextualSpacing/>
              <w:jc w:val="center"/>
              <w:rPr>
                <w:rFonts w:ascii="Arial" w:hAnsi="Arial" w:cs="Arial"/>
                <w:b/>
                <w:color w:val="000000"/>
                <w:sz w:val="18"/>
                <w:szCs w:val="18"/>
                <w:lang w:val="en-GB"/>
              </w:rPr>
            </w:pPr>
            <w:r w:rsidRPr="00461423">
              <w:rPr>
                <w:rFonts w:ascii="Arial" w:hAnsi="Arial" w:cs="Arial"/>
                <w:b/>
                <w:color w:val="000000"/>
                <w:sz w:val="18"/>
                <w:szCs w:val="18"/>
                <w:lang w:val="en-GB"/>
              </w:rPr>
              <w:t>Model</w:t>
            </w:r>
          </w:p>
        </w:tc>
        <w:tc>
          <w:tcPr>
            <w:tcW w:w="1933" w:type="dxa"/>
            <w:tcBorders>
              <w:top w:val="single" w:sz="4" w:space="0" w:color="auto"/>
              <w:left w:val="nil"/>
              <w:bottom w:val="single" w:sz="4" w:space="0" w:color="auto"/>
              <w:right w:val="single" w:sz="4" w:space="0" w:color="auto"/>
            </w:tcBorders>
            <w:shd w:val="clear" w:color="auto" w:fill="auto"/>
            <w:noWrap/>
          </w:tcPr>
          <w:p w14:paraId="07177A06" w14:textId="0CBF10B2" w:rsidR="004328F4" w:rsidRPr="00461423" w:rsidRDefault="004328F4" w:rsidP="00461423">
            <w:pPr>
              <w:contextualSpacing/>
              <w:jc w:val="center"/>
              <w:rPr>
                <w:rFonts w:ascii="Arial" w:hAnsi="Arial" w:cs="Arial"/>
                <w:b/>
                <w:color w:val="000000"/>
                <w:sz w:val="18"/>
                <w:szCs w:val="18"/>
                <w:lang w:val="en-GB"/>
              </w:rPr>
            </w:pPr>
            <w:r w:rsidRPr="00461423">
              <w:rPr>
                <w:rFonts w:ascii="Arial" w:hAnsi="Arial" w:cs="Arial"/>
                <w:b/>
                <w:color w:val="000000"/>
                <w:sz w:val="18"/>
                <w:szCs w:val="18"/>
                <w:lang w:val="en-GB"/>
              </w:rPr>
              <w:t>Type/SIAM</w:t>
            </w:r>
            <w:r w:rsidR="005668CD">
              <w:rPr>
                <w:rFonts w:ascii="Arial" w:hAnsi="Arial" w:cs="Arial"/>
                <w:b/>
                <w:color w:val="000000"/>
                <w:sz w:val="18"/>
                <w:szCs w:val="18"/>
                <w:lang w:val="en-GB"/>
              </w:rPr>
              <w:t xml:space="preserve"> </w:t>
            </w:r>
            <w:r w:rsidR="003D281E">
              <w:rPr>
                <w:rFonts w:ascii="Arial" w:hAnsi="Arial" w:cs="Arial"/>
                <w:b/>
                <w:color w:val="000000"/>
                <w:sz w:val="18"/>
                <w:szCs w:val="18"/>
                <w:lang w:val="en-GB"/>
              </w:rPr>
              <w:t>S</w:t>
            </w:r>
            <w:r w:rsidRPr="00461423">
              <w:rPr>
                <w:rFonts w:ascii="Arial" w:hAnsi="Arial" w:cs="Arial"/>
                <w:b/>
                <w:color w:val="000000"/>
                <w:sz w:val="18"/>
                <w:szCs w:val="18"/>
                <w:lang w:val="en-GB"/>
              </w:rPr>
              <w:t>egment</w:t>
            </w:r>
          </w:p>
        </w:tc>
        <w:tc>
          <w:tcPr>
            <w:tcW w:w="1693" w:type="dxa"/>
            <w:tcBorders>
              <w:top w:val="single" w:sz="4" w:space="0" w:color="auto"/>
              <w:left w:val="nil"/>
              <w:bottom w:val="single" w:sz="4" w:space="0" w:color="auto"/>
              <w:right w:val="single" w:sz="4" w:space="0" w:color="auto"/>
            </w:tcBorders>
            <w:shd w:val="clear" w:color="auto" w:fill="auto"/>
            <w:noWrap/>
          </w:tcPr>
          <w:p w14:paraId="2AB0EC68" w14:textId="6C077E28" w:rsidR="004328F4" w:rsidRPr="00461423" w:rsidRDefault="004328F4" w:rsidP="00EF5E31">
            <w:pPr>
              <w:contextualSpacing/>
              <w:jc w:val="center"/>
              <w:rPr>
                <w:rFonts w:ascii="Arial" w:hAnsi="Arial" w:cs="Arial"/>
                <w:b/>
                <w:color w:val="000000"/>
                <w:sz w:val="18"/>
                <w:szCs w:val="18"/>
                <w:lang w:val="en-GB"/>
              </w:rPr>
            </w:pPr>
            <w:r w:rsidRPr="00461423">
              <w:rPr>
                <w:rFonts w:ascii="Arial" w:hAnsi="Arial" w:cs="Arial"/>
                <w:b/>
                <w:color w:val="000000"/>
                <w:sz w:val="18"/>
                <w:szCs w:val="18"/>
                <w:lang w:val="en-GB"/>
              </w:rPr>
              <w:t xml:space="preserve">Prices </w:t>
            </w:r>
            <w:r w:rsidR="003D281E">
              <w:rPr>
                <w:rFonts w:ascii="Arial" w:hAnsi="Arial"/>
                <w:b/>
                <w:color w:val="000000"/>
                <w:sz w:val="18"/>
                <w:szCs w:val="18"/>
                <w:lang w:val="en-GB"/>
              </w:rPr>
              <w:t>R</w:t>
            </w:r>
            <w:r w:rsidRPr="00461423">
              <w:rPr>
                <w:rFonts w:ascii="Arial" w:hAnsi="Arial" w:cs="Arial"/>
                <w:b/>
                <w:color w:val="000000"/>
                <w:sz w:val="18"/>
                <w:szCs w:val="18"/>
                <w:lang w:val="en-GB"/>
              </w:rPr>
              <w:t xml:space="preserve">ange </w:t>
            </w:r>
            <w:r w:rsidR="003D281E">
              <w:rPr>
                <w:rFonts w:ascii="Arial" w:hAnsi="Arial" w:cs="Arial"/>
                <w:b/>
                <w:color w:val="000000"/>
                <w:sz w:val="18"/>
                <w:szCs w:val="18"/>
                <w:lang w:val="en-GB"/>
              </w:rPr>
              <w:t>(</w:t>
            </w:r>
            <w:r w:rsidRPr="00461423">
              <w:rPr>
                <w:rFonts w:ascii="Arial" w:hAnsi="Arial" w:cs="Arial"/>
                <w:b/>
                <w:color w:val="000000"/>
                <w:sz w:val="18"/>
                <w:szCs w:val="18"/>
                <w:lang w:val="en-GB"/>
              </w:rPr>
              <w:t>in</w:t>
            </w:r>
            <w:r w:rsidRPr="00C170DA">
              <w:rPr>
                <w:rFonts w:ascii="Arial" w:hAnsi="Arial" w:cs="Arial"/>
                <w:b/>
                <w:color w:val="000000"/>
                <w:sz w:val="18"/>
                <w:szCs w:val="18"/>
                <w:lang w:val="en-GB"/>
              </w:rPr>
              <w:t xml:space="preserve"> </w:t>
            </w:r>
            <w:r w:rsidR="00C170DA" w:rsidRPr="002141C0">
              <w:rPr>
                <w:rFonts w:ascii="Arial" w:eastAsia="Calibri" w:hAnsi="Arial" w:cs="Arial"/>
                <w:spacing w:val="-2"/>
                <w:kern w:val="15"/>
                <w:sz w:val="18"/>
                <w:szCs w:val="18"/>
                <w:lang w:val="en-GB"/>
              </w:rPr>
              <w:t>₹</w:t>
            </w:r>
            <w:r w:rsidR="00C170DA">
              <w:rPr>
                <w:rFonts w:ascii="Calibri" w:eastAsia="Calibri" w:hAnsi="Calibri" w:cs="Calibri"/>
                <w:spacing w:val="-2"/>
                <w:kern w:val="15"/>
                <w:sz w:val="22"/>
                <w:szCs w:val="22"/>
                <w:lang w:val="en-GB"/>
              </w:rPr>
              <w:t xml:space="preserve"> </w:t>
            </w:r>
            <w:r w:rsidRPr="00461423">
              <w:rPr>
                <w:rFonts w:ascii="Arial" w:hAnsi="Arial" w:cs="Arial"/>
                <w:b/>
                <w:color w:val="000000"/>
                <w:sz w:val="18"/>
                <w:szCs w:val="18"/>
                <w:lang w:val="en-GB"/>
              </w:rPr>
              <w:t>millions</w:t>
            </w:r>
            <w:r w:rsidR="003D281E">
              <w:rPr>
                <w:rFonts w:ascii="Arial" w:hAnsi="Arial" w:cs="Arial"/>
                <w:b/>
                <w:color w:val="000000"/>
                <w:sz w:val="18"/>
                <w:szCs w:val="18"/>
                <w:lang w:val="en-GB"/>
              </w:rPr>
              <w:t>)</w:t>
            </w:r>
          </w:p>
        </w:tc>
        <w:tc>
          <w:tcPr>
            <w:tcW w:w="1994" w:type="dxa"/>
            <w:tcBorders>
              <w:top w:val="single" w:sz="4" w:space="0" w:color="auto"/>
              <w:left w:val="single" w:sz="4" w:space="0" w:color="auto"/>
              <w:bottom w:val="single" w:sz="4" w:space="0" w:color="auto"/>
              <w:right w:val="single" w:sz="4" w:space="0" w:color="auto"/>
            </w:tcBorders>
          </w:tcPr>
          <w:p w14:paraId="606A1C68" w14:textId="446975C2" w:rsidR="004328F4" w:rsidRPr="00461423" w:rsidRDefault="004328F4" w:rsidP="00461423">
            <w:pPr>
              <w:contextualSpacing/>
              <w:jc w:val="center"/>
              <w:rPr>
                <w:rFonts w:ascii="Arial" w:hAnsi="Arial" w:cs="Arial"/>
                <w:b/>
                <w:color w:val="000000"/>
                <w:sz w:val="18"/>
                <w:szCs w:val="18"/>
                <w:lang w:val="en-GB"/>
              </w:rPr>
            </w:pPr>
            <w:r w:rsidRPr="00461423">
              <w:rPr>
                <w:rFonts w:ascii="Arial" w:hAnsi="Arial" w:cs="Arial"/>
                <w:b/>
                <w:color w:val="000000"/>
                <w:sz w:val="18"/>
                <w:szCs w:val="18"/>
                <w:lang w:val="en-GB"/>
              </w:rPr>
              <w:t>Competitors</w:t>
            </w:r>
          </w:p>
        </w:tc>
        <w:tc>
          <w:tcPr>
            <w:tcW w:w="1756" w:type="dxa"/>
            <w:tcBorders>
              <w:top w:val="single" w:sz="4" w:space="0" w:color="auto"/>
              <w:left w:val="single" w:sz="4" w:space="0" w:color="auto"/>
              <w:bottom w:val="single" w:sz="4" w:space="0" w:color="auto"/>
              <w:right w:val="single" w:sz="4" w:space="0" w:color="auto"/>
            </w:tcBorders>
          </w:tcPr>
          <w:p w14:paraId="61D0BEAF" w14:textId="1CDC66F1" w:rsidR="004328F4" w:rsidRPr="00461423" w:rsidRDefault="004328F4" w:rsidP="00461423">
            <w:pPr>
              <w:contextualSpacing/>
              <w:jc w:val="center"/>
              <w:rPr>
                <w:rFonts w:ascii="Arial" w:hAnsi="Arial" w:cs="Arial"/>
                <w:b/>
                <w:color w:val="000000"/>
                <w:sz w:val="18"/>
                <w:szCs w:val="18"/>
                <w:lang w:val="en-GB"/>
              </w:rPr>
            </w:pPr>
            <w:r w:rsidRPr="00461423">
              <w:rPr>
                <w:rFonts w:ascii="Arial" w:hAnsi="Arial" w:cs="Arial"/>
                <w:b/>
                <w:color w:val="000000"/>
                <w:sz w:val="18"/>
                <w:szCs w:val="18"/>
                <w:lang w:val="en-GB"/>
              </w:rPr>
              <w:t xml:space="preserve">Price </w:t>
            </w:r>
            <w:r w:rsidR="003D281E">
              <w:rPr>
                <w:rFonts w:ascii="Arial" w:hAnsi="Arial"/>
                <w:b/>
                <w:color w:val="000000"/>
                <w:sz w:val="18"/>
                <w:szCs w:val="18"/>
                <w:lang w:val="en-GB"/>
              </w:rPr>
              <w:t>R</w:t>
            </w:r>
            <w:r w:rsidRPr="00461423">
              <w:rPr>
                <w:rFonts w:ascii="Arial" w:hAnsi="Arial" w:cs="Arial"/>
                <w:b/>
                <w:color w:val="000000"/>
                <w:sz w:val="18"/>
                <w:szCs w:val="18"/>
                <w:lang w:val="en-GB"/>
              </w:rPr>
              <w:t xml:space="preserve">ange </w:t>
            </w:r>
            <w:r w:rsidR="003D281E">
              <w:rPr>
                <w:rFonts w:ascii="Arial" w:hAnsi="Arial" w:cs="Arial"/>
                <w:b/>
                <w:color w:val="000000"/>
                <w:sz w:val="18"/>
                <w:szCs w:val="18"/>
                <w:lang w:val="en-GB"/>
              </w:rPr>
              <w:t>(</w:t>
            </w:r>
            <w:r w:rsidRPr="00461423">
              <w:rPr>
                <w:rFonts w:ascii="Arial" w:hAnsi="Arial" w:cs="Arial"/>
                <w:b/>
                <w:color w:val="000000"/>
                <w:sz w:val="18"/>
                <w:szCs w:val="18"/>
                <w:lang w:val="en-GB"/>
              </w:rPr>
              <w:t>in</w:t>
            </w:r>
            <w:r w:rsidR="00C170DA" w:rsidRPr="00C170DA">
              <w:rPr>
                <w:rFonts w:ascii="Arial" w:hAnsi="Arial" w:cs="Arial"/>
                <w:b/>
                <w:color w:val="000000"/>
                <w:sz w:val="18"/>
                <w:szCs w:val="18"/>
                <w:lang w:val="en-GB"/>
              </w:rPr>
              <w:t xml:space="preserve"> </w:t>
            </w:r>
            <w:r w:rsidR="00C170DA" w:rsidRPr="0042770A">
              <w:rPr>
                <w:rFonts w:ascii="Arial" w:eastAsia="Calibri" w:hAnsi="Arial" w:cs="Arial"/>
                <w:spacing w:val="-2"/>
                <w:kern w:val="15"/>
                <w:sz w:val="18"/>
                <w:szCs w:val="18"/>
                <w:lang w:val="en-GB"/>
              </w:rPr>
              <w:t>₹</w:t>
            </w:r>
            <w:r w:rsidRPr="00461423">
              <w:rPr>
                <w:rFonts w:ascii="Arial" w:hAnsi="Arial" w:cs="Arial"/>
                <w:b/>
                <w:color w:val="000000"/>
                <w:sz w:val="18"/>
                <w:szCs w:val="18"/>
                <w:lang w:val="en-GB"/>
              </w:rPr>
              <w:t xml:space="preserve"> millions</w:t>
            </w:r>
            <w:r w:rsidR="003D281E">
              <w:rPr>
                <w:rFonts w:ascii="Arial" w:hAnsi="Arial" w:cs="Arial"/>
                <w:b/>
                <w:color w:val="000000"/>
                <w:sz w:val="18"/>
                <w:szCs w:val="18"/>
                <w:lang w:val="en-GB"/>
              </w:rPr>
              <w:t>)</w:t>
            </w:r>
          </w:p>
        </w:tc>
      </w:tr>
      <w:tr w:rsidR="00C46A13" w:rsidRPr="002B43C8" w14:paraId="2FE85F2D" w14:textId="77777777" w:rsidTr="00C46A13">
        <w:trPr>
          <w:trHeight w:val="45"/>
          <w:jc w:val="center"/>
        </w:trPr>
        <w:tc>
          <w:tcPr>
            <w:tcW w:w="1352" w:type="dxa"/>
            <w:tcBorders>
              <w:top w:val="nil"/>
              <w:left w:val="single" w:sz="4" w:space="0" w:color="auto"/>
              <w:bottom w:val="single" w:sz="4" w:space="0" w:color="auto"/>
              <w:right w:val="single" w:sz="4" w:space="0" w:color="auto"/>
            </w:tcBorders>
            <w:shd w:val="clear" w:color="auto" w:fill="auto"/>
            <w:noWrap/>
          </w:tcPr>
          <w:p w14:paraId="74DDB48B"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Alto 800</w:t>
            </w:r>
          </w:p>
        </w:tc>
        <w:tc>
          <w:tcPr>
            <w:tcW w:w="1933" w:type="dxa"/>
            <w:tcBorders>
              <w:top w:val="nil"/>
              <w:left w:val="nil"/>
              <w:bottom w:val="single" w:sz="4" w:space="0" w:color="auto"/>
              <w:right w:val="single" w:sz="4" w:space="0" w:color="auto"/>
            </w:tcBorders>
            <w:shd w:val="clear" w:color="auto" w:fill="auto"/>
            <w:noWrap/>
          </w:tcPr>
          <w:p w14:paraId="78641C99"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Hatchback/ A1</w:t>
            </w:r>
          </w:p>
        </w:tc>
        <w:tc>
          <w:tcPr>
            <w:tcW w:w="1693" w:type="dxa"/>
            <w:tcBorders>
              <w:top w:val="nil"/>
              <w:left w:val="nil"/>
              <w:bottom w:val="single" w:sz="4" w:space="0" w:color="auto"/>
              <w:right w:val="single" w:sz="4" w:space="0" w:color="auto"/>
            </w:tcBorders>
            <w:shd w:val="clear" w:color="auto" w:fill="auto"/>
            <w:noWrap/>
          </w:tcPr>
          <w:p w14:paraId="33AA0D33" w14:textId="2CFB23BA"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0.25</w:t>
            </w:r>
            <w:r w:rsidR="00761A38">
              <w:rPr>
                <w:rFonts w:ascii="Arial" w:hAnsi="Arial" w:cs="Arial"/>
                <w:color w:val="000000"/>
                <w:sz w:val="18"/>
                <w:szCs w:val="18"/>
                <w:lang w:val="en-GB"/>
              </w:rPr>
              <w:t>0</w:t>
            </w:r>
            <w:r w:rsidR="00FE3D65">
              <w:rPr>
                <w:rFonts w:ascii="Arial" w:hAnsi="Arial" w:cs="Arial"/>
                <w:color w:val="000000"/>
                <w:sz w:val="18"/>
                <w:szCs w:val="18"/>
                <w:lang w:val="en-GB"/>
              </w:rPr>
              <w:t>–</w:t>
            </w:r>
            <w:r w:rsidRPr="002B43C8">
              <w:rPr>
                <w:rFonts w:ascii="Arial" w:hAnsi="Arial" w:cs="Arial"/>
                <w:color w:val="000000"/>
                <w:sz w:val="18"/>
                <w:szCs w:val="18"/>
                <w:lang w:val="en-GB"/>
              </w:rPr>
              <w:t>0.341</w:t>
            </w:r>
          </w:p>
        </w:tc>
        <w:tc>
          <w:tcPr>
            <w:tcW w:w="1994" w:type="dxa"/>
            <w:tcBorders>
              <w:top w:val="nil"/>
              <w:left w:val="single" w:sz="4" w:space="0" w:color="auto"/>
              <w:bottom w:val="single" w:sz="4" w:space="0" w:color="auto"/>
              <w:right w:val="single" w:sz="4" w:space="0" w:color="auto"/>
            </w:tcBorders>
          </w:tcPr>
          <w:p w14:paraId="1DC91B7F" w14:textId="12440EAD"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Hyundai EON</w:t>
            </w:r>
          </w:p>
          <w:p w14:paraId="473092EE" w14:textId="77777777" w:rsidR="004328F4" w:rsidRPr="002B43C8" w:rsidRDefault="004328F4" w:rsidP="005E6166">
            <w:pPr>
              <w:numPr>
                <w:ilvl w:val="1"/>
                <w:numId w:val="0"/>
              </w:numPr>
              <w:contextualSpacing/>
              <w:rPr>
                <w:rFonts w:ascii="Arial" w:hAnsi="Arial" w:cs="Arial"/>
                <w:i/>
                <w:iCs/>
                <w:color w:val="000000"/>
                <w:spacing w:val="15"/>
                <w:sz w:val="18"/>
                <w:szCs w:val="18"/>
                <w:lang w:val="en-GB"/>
              </w:rPr>
            </w:pPr>
          </w:p>
        </w:tc>
        <w:tc>
          <w:tcPr>
            <w:tcW w:w="1756" w:type="dxa"/>
            <w:tcBorders>
              <w:top w:val="single" w:sz="4" w:space="0" w:color="auto"/>
              <w:left w:val="single" w:sz="4" w:space="0" w:color="auto"/>
              <w:bottom w:val="single" w:sz="4" w:space="0" w:color="auto"/>
              <w:right w:val="single" w:sz="4" w:space="0" w:color="auto"/>
            </w:tcBorders>
          </w:tcPr>
          <w:p w14:paraId="2D818C5A" w14:textId="6161CD38"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0.31</w:t>
            </w:r>
            <w:r w:rsidR="00A91FBB">
              <w:rPr>
                <w:rFonts w:ascii="Arial" w:hAnsi="Arial" w:cs="Arial"/>
                <w:color w:val="000000"/>
                <w:sz w:val="18"/>
                <w:szCs w:val="18"/>
                <w:lang w:val="en-GB"/>
              </w:rPr>
              <w:t>0</w:t>
            </w:r>
            <w:r w:rsidR="00FE3D65">
              <w:rPr>
                <w:rFonts w:ascii="Arial" w:hAnsi="Arial"/>
                <w:color w:val="000000"/>
                <w:sz w:val="18"/>
                <w:szCs w:val="18"/>
                <w:lang w:val="en-GB"/>
              </w:rPr>
              <w:t>–</w:t>
            </w:r>
            <w:r w:rsidRPr="002B43C8">
              <w:rPr>
                <w:rFonts w:ascii="Arial" w:hAnsi="Arial" w:cs="Arial"/>
                <w:color w:val="000000"/>
                <w:sz w:val="18"/>
                <w:szCs w:val="18"/>
                <w:lang w:val="en-GB"/>
              </w:rPr>
              <w:t>0.42</w:t>
            </w:r>
            <w:r w:rsidR="00A91FBB">
              <w:rPr>
                <w:rFonts w:ascii="Arial" w:hAnsi="Arial" w:cs="Arial"/>
                <w:color w:val="000000"/>
                <w:sz w:val="18"/>
                <w:szCs w:val="18"/>
                <w:lang w:val="en-GB"/>
              </w:rPr>
              <w:t>0</w:t>
            </w:r>
            <w:r w:rsidRPr="002B43C8">
              <w:rPr>
                <w:rFonts w:ascii="Arial" w:hAnsi="Arial" w:cs="Arial"/>
                <w:color w:val="000000"/>
                <w:sz w:val="18"/>
                <w:szCs w:val="18"/>
                <w:lang w:val="en-GB"/>
              </w:rPr>
              <w:t xml:space="preserve"> </w:t>
            </w:r>
          </w:p>
          <w:p w14:paraId="5DF23501" w14:textId="77777777" w:rsidR="004328F4" w:rsidRPr="002B43C8" w:rsidRDefault="004328F4" w:rsidP="002141C0">
            <w:pPr>
              <w:numPr>
                <w:ilvl w:val="1"/>
                <w:numId w:val="0"/>
              </w:numPr>
              <w:contextualSpacing/>
              <w:jc w:val="right"/>
              <w:rPr>
                <w:rFonts w:ascii="Arial" w:hAnsi="Arial" w:cs="Arial"/>
                <w:i/>
                <w:iCs/>
                <w:color w:val="000000"/>
                <w:spacing w:val="15"/>
                <w:sz w:val="18"/>
                <w:szCs w:val="18"/>
                <w:lang w:val="en-GB"/>
              </w:rPr>
            </w:pPr>
          </w:p>
        </w:tc>
      </w:tr>
      <w:tr w:rsidR="00A91FBB" w:rsidRPr="002B43C8" w14:paraId="17012D61" w14:textId="77777777" w:rsidTr="00880091">
        <w:trPr>
          <w:trHeight w:val="152"/>
          <w:jc w:val="center"/>
        </w:trPr>
        <w:tc>
          <w:tcPr>
            <w:tcW w:w="4978" w:type="dxa"/>
            <w:gridSpan w:val="3"/>
            <w:tcBorders>
              <w:top w:val="nil"/>
              <w:left w:val="single" w:sz="4" w:space="0" w:color="auto"/>
              <w:bottom w:val="single" w:sz="4" w:space="0" w:color="auto"/>
              <w:right w:val="single" w:sz="4" w:space="0" w:color="auto"/>
            </w:tcBorders>
            <w:shd w:val="clear" w:color="auto" w:fill="auto"/>
            <w:noWrap/>
          </w:tcPr>
          <w:p w14:paraId="0DC072BA" w14:textId="77777777" w:rsidR="00A91FBB" w:rsidRPr="002B43C8" w:rsidRDefault="00A91FBB" w:rsidP="002141C0">
            <w:pPr>
              <w:numPr>
                <w:ilvl w:val="1"/>
                <w:numId w:val="0"/>
              </w:numPr>
              <w:contextualSpacing/>
              <w:jc w:val="right"/>
              <w:rPr>
                <w:rFonts w:ascii="Arial" w:hAnsi="Arial" w:cs="Arial"/>
                <w:i/>
                <w:iCs/>
                <w:color w:val="000000"/>
                <w:spacing w:val="15"/>
                <w:sz w:val="18"/>
                <w:szCs w:val="18"/>
                <w:lang w:val="en-GB"/>
              </w:rPr>
            </w:pPr>
          </w:p>
        </w:tc>
        <w:tc>
          <w:tcPr>
            <w:tcW w:w="1994" w:type="dxa"/>
            <w:tcBorders>
              <w:top w:val="nil"/>
              <w:left w:val="single" w:sz="4" w:space="0" w:color="auto"/>
              <w:bottom w:val="single" w:sz="4" w:space="0" w:color="auto"/>
              <w:right w:val="single" w:sz="4" w:space="0" w:color="auto"/>
            </w:tcBorders>
          </w:tcPr>
          <w:p w14:paraId="2AFE0537" w14:textId="3AFCC774"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Tata Nano</w:t>
            </w:r>
          </w:p>
        </w:tc>
        <w:tc>
          <w:tcPr>
            <w:tcW w:w="1756" w:type="dxa"/>
            <w:tcBorders>
              <w:top w:val="single" w:sz="4" w:space="0" w:color="auto"/>
              <w:left w:val="single" w:sz="4" w:space="0" w:color="auto"/>
              <w:bottom w:val="single" w:sz="4" w:space="0" w:color="auto"/>
              <w:right w:val="single" w:sz="4" w:space="0" w:color="auto"/>
            </w:tcBorders>
          </w:tcPr>
          <w:p w14:paraId="6E1AD8EF" w14:textId="6BA7F165"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0.199</w:t>
            </w:r>
            <w:r>
              <w:rPr>
                <w:rFonts w:ascii="Arial" w:hAnsi="Arial"/>
                <w:color w:val="000000"/>
                <w:sz w:val="18"/>
                <w:szCs w:val="18"/>
                <w:lang w:val="en-GB"/>
              </w:rPr>
              <w:t>–</w:t>
            </w:r>
            <w:r w:rsidRPr="002B43C8">
              <w:rPr>
                <w:rFonts w:ascii="Arial" w:hAnsi="Arial" w:cs="Arial"/>
                <w:color w:val="000000"/>
                <w:sz w:val="18"/>
                <w:szCs w:val="18"/>
                <w:lang w:val="en-GB"/>
              </w:rPr>
              <w:t>0.27</w:t>
            </w:r>
            <w:r>
              <w:rPr>
                <w:rFonts w:ascii="Arial" w:hAnsi="Arial" w:cs="Arial"/>
                <w:color w:val="000000"/>
                <w:sz w:val="18"/>
                <w:szCs w:val="18"/>
                <w:lang w:val="en-GB"/>
              </w:rPr>
              <w:t>0</w:t>
            </w:r>
          </w:p>
        </w:tc>
      </w:tr>
      <w:tr w:rsidR="00C46A13" w:rsidRPr="002B43C8" w14:paraId="22CF66C0" w14:textId="77777777" w:rsidTr="00C46A13">
        <w:trPr>
          <w:trHeight w:val="152"/>
          <w:jc w:val="center"/>
        </w:trPr>
        <w:tc>
          <w:tcPr>
            <w:tcW w:w="1352" w:type="dxa"/>
            <w:tcBorders>
              <w:top w:val="nil"/>
              <w:left w:val="single" w:sz="4" w:space="0" w:color="auto"/>
              <w:bottom w:val="single" w:sz="4" w:space="0" w:color="auto"/>
              <w:right w:val="single" w:sz="4" w:space="0" w:color="auto"/>
            </w:tcBorders>
            <w:shd w:val="clear" w:color="auto" w:fill="auto"/>
            <w:noWrap/>
          </w:tcPr>
          <w:p w14:paraId="2336B317"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Alto K10</w:t>
            </w:r>
          </w:p>
        </w:tc>
        <w:tc>
          <w:tcPr>
            <w:tcW w:w="1933" w:type="dxa"/>
            <w:tcBorders>
              <w:top w:val="nil"/>
              <w:left w:val="nil"/>
              <w:bottom w:val="single" w:sz="4" w:space="0" w:color="auto"/>
              <w:right w:val="single" w:sz="4" w:space="0" w:color="auto"/>
            </w:tcBorders>
            <w:shd w:val="clear" w:color="auto" w:fill="auto"/>
            <w:noWrap/>
          </w:tcPr>
          <w:p w14:paraId="04812C76"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Hatchback/A1</w:t>
            </w:r>
          </w:p>
        </w:tc>
        <w:tc>
          <w:tcPr>
            <w:tcW w:w="1693" w:type="dxa"/>
            <w:tcBorders>
              <w:top w:val="nil"/>
              <w:left w:val="nil"/>
              <w:bottom w:val="single" w:sz="4" w:space="0" w:color="auto"/>
              <w:right w:val="single" w:sz="4" w:space="0" w:color="auto"/>
            </w:tcBorders>
            <w:shd w:val="clear" w:color="auto" w:fill="auto"/>
            <w:noWrap/>
          </w:tcPr>
          <w:p w14:paraId="6A9359B2" w14:textId="32F2E474"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0.317</w:t>
            </w:r>
            <w:r w:rsidR="00FE3D65">
              <w:rPr>
                <w:rFonts w:ascii="Arial" w:hAnsi="Arial" w:cs="Arial"/>
                <w:color w:val="000000"/>
                <w:sz w:val="18"/>
                <w:szCs w:val="18"/>
                <w:lang w:val="en-GB"/>
              </w:rPr>
              <w:t>–</w:t>
            </w:r>
            <w:r w:rsidRPr="002B43C8">
              <w:rPr>
                <w:rFonts w:ascii="Arial" w:hAnsi="Arial" w:cs="Arial"/>
                <w:color w:val="000000"/>
                <w:sz w:val="18"/>
                <w:szCs w:val="18"/>
                <w:lang w:val="en-GB"/>
              </w:rPr>
              <w:t>0.399</w:t>
            </w:r>
          </w:p>
        </w:tc>
        <w:tc>
          <w:tcPr>
            <w:tcW w:w="1994" w:type="dxa"/>
            <w:tcBorders>
              <w:top w:val="nil"/>
              <w:left w:val="single" w:sz="4" w:space="0" w:color="auto"/>
              <w:bottom w:val="single" w:sz="4" w:space="0" w:color="auto"/>
              <w:right w:val="single" w:sz="4" w:space="0" w:color="auto"/>
            </w:tcBorders>
          </w:tcPr>
          <w:p w14:paraId="31E4EFA9" w14:textId="5C332742"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Datsun GO</w:t>
            </w:r>
          </w:p>
        </w:tc>
        <w:tc>
          <w:tcPr>
            <w:tcW w:w="1756" w:type="dxa"/>
            <w:tcBorders>
              <w:top w:val="single" w:sz="4" w:space="0" w:color="auto"/>
              <w:left w:val="single" w:sz="4" w:space="0" w:color="auto"/>
              <w:bottom w:val="single" w:sz="4" w:space="0" w:color="auto"/>
              <w:right w:val="single" w:sz="4" w:space="0" w:color="auto"/>
            </w:tcBorders>
          </w:tcPr>
          <w:p w14:paraId="36CAF2BF" w14:textId="35F179F2"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0.32</w:t>
            </w:r>
            <w:r w:rsidR="00A91FBB">
              <w:rPr>
                <w:rFonts w:ascii="Arial" w:hAnsi="Arial" w:cs="Arial"/>
                <w:color w:val="000000"/>
                <w:sz w:val="18"/>
                <w:szCs w:val="18"/>
                <w:lang w:val="en-GB"/>
              </w:rPr>
              <w:t>0</w:t>
            </w:r>
            <w:r w:rsidR="00FE3D65">
              <w:rPr>
                <w:rFonts w:ascii="Arial" w:hAnsi="Arial" w:cs="Arial"/>
                <w:color w:val="000000"/>
                <w:sz w:val="18"/>
                <w:szCs w:val="18"/>
                <w:lang w:val="en-GB"/>
              </w:rPr>
              <w:t>–</w:t>
            </w:r>
            <w:r w:rsidRPr="002B43C8">
              <w:rPr>
                <w:rFonts w:ascii="Arial" w:hAnsi="Arial" w:cs="Arial"/>
                <w:color w:val="000000"/>
                <w:sz w:val="18"/>
                <w:szCs w:val="18"/>
                <w:lang w:val="en-GB"/>
              </w:rPr>
              <w:t>0.4</w:t>
            </w:r>
            <w:r w:rsidR="00761A38">
              <w:rPr>
                <w:rFonts w:ascii="Arial" w:hAnsi="Arial" w:cs="Arial"/>
                <w:color w:val="000000"/>
                <w:sz w:val="18"/>
                <w:szCs w:val="18"/>
                <w:lang w:val="en-GB"/>
              </w:rPr>
              <w:t>0</w:t>
            </w:r>
            <w:r w:rsidR="00A91FBB">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A91FBB" w:rsidRPr="002B43C8" w14:paraId="4C694C79" w14:textId="77777777" w:rsidTr="00880091">
        <w:trPr>
          <w:trHeight w:val="211"/>
          <w:jc w:val="center"/>
        </w:trPr>
        <w:tc>
          <w:tcPr>
            <w:tcW w:w="4978" w:type="dxa"/>
            <w:gridSpan w:val="3"/>
            <w:tcBorders>
              <w:top w:val="nil"/>
              <w:left w:val="single" w:sz="4" w:space="0" w:color="auto"/>
              <w:bottom w:val="single" w:sz="4" w:space="0" w:color="auto"/>
              <w:right w:val="single" w:sz="4" w:space="0" w:color="auto"/>
            </w:tcBorders>
            <w:shd w:val="clear" w:color="auto" w:fill="auto"/>
            <w:noWrap/>
          </w:tcPr>
          <w:p w14:paraId="25903544" w14:textId="77777777" w:rsidR="00A91FBB" w:rsidRPr="002B43C8" w:rsidRDefault="00A91FBB" w:rsidP="002141C0">
            <w:pPr>
              <w:numPr>
                <w:ilvl w:val="1"/>
                <w:numId w:val="0"/>
              </w:numPr>
              <w:contextualSpacing/>
              <w:jc w:val="right"/>
              <w:rPr>
                <w:rFonts w:ascii="Arial" w:hAnsi="Arial" w:cs="Arial"/>
                <w:i/>
                <w:iCs/>
                <w:color w:val="000000"/>
                <w:spacing w:val="15"/>
                <w:sz w:val="18"/>
                <w:szCs w:val="18"/>
                <w:lang w:val="en-GB"/>
              </w:rPr>
            </w:pPr>
          </w:p>
        </w:tc>
        <w:tc>
          <w:tcPr>
            <w:tcW w:w="1994" w:type="dxa"/>
            <w:tcBorders>
              <w:top w:val="nil"/>
              <w:left w:val="single" w:sz="4" w:space="0" w:color="auto"/>
              <w:bottom w:val="single" w:sz="4" w:space="0" w:color="auto"/>
              <w:right w:val="single" w:sz="4" w:space="0" w:color="auto"/>
            </w:tcBorders>
          </w:tcPr>
          <w:p w14:paraId="5A6BB24D" w14:textId="13B9485E" w:rsidR="00A91FBB" w:rsidRPr="002B43C8" w:rsidRDefault="00A91FBB" w:rsidP="00223C4F">
            <w:pPr>
              <w:contextualSpacing/>
              <w:rPr>
                <w:rFonts w:ascii="Arial" w:hAnsi="Arial" w:cs="Arial"/>
                <w:i/>
                <w:iCs/>
                <w:color w:val="000000"/>
                <w:spacing w:val="15"/>
                <w:sz w:val="18"/>
                <w:szCs w:val="18"/>
                <w:lang w:val="en-GB"/>
              </w:rPr>
            </w:pPr>
            <w:r w:rsidRPr="002B43C8">
              <w:rPr>
                <w:rFonts w:ascii="Arial" w:hAnsi="Arial" w:cs="Arial"/>
                <w:color w:val="000000"/>
                <w:sz w:val="18"/>
                <w:szCs w:val="18"/>
                <w:lang w:val="en-GB"/>
              </w:rPr>
              <w:t>Hyundai EON</w:t>
            </w:r>
          </w:p>
        </w:tc>
        <w:tc>
          <w:tcPr>
            <w:tcW w:w="1756" w:type="dxa"/>
            <w:tcBorders>
              <w:top w:val="single" w:sz="4" w:space="0" w:color="auto"/>
              <w:left w:val="single" w:sz="4" w:space="0" w:color="auto"/>
              <w:bottom w:val="single" w:sz="4" w:space="0" w:color="auto"/>
              <w:right w:val="single" w:sz="4" w:space="0" w:color="auto"/>
            </w:tcBorders>
          </w:tcPr>
          <w:p w14:paraId="6372F68C" w14:textId="2D2B41B6" w:rsidR="00A91FBB" w:rsidRPr="002B43C8" w:rsidRDefault="00A91FBB" w:rsidP="002141C0">
            <w:pPr>
              <w:contextualSpacing/>
              <w:jc w:val="right"/>
              <w:rPr>
                <w:rFonts w:ascii="Arial" w:hAnsi="Arial" w:cs="Arial"/>
                <w:i/>
                <w:iCs/>
                <w:color w:val="000000"/>
                <w:spacing w:val="15"/>
                <w:sz w:val="18"/>
                <w:szCs w:val="18"/>
                <w:lang w:val="en-GB"/>
              </w:rPr>
            </w:pPr>
            <w:r w:rsidRPr="002B43C8">
              <w:rPr>
                <w:rFonts w:ascii="Arial" w:hAnsi="Arial" w:cs="Arial"/>
                <w:color w:val="000000"/>
                <w:sz w:val="18"/>
                <w:szCs w:val="18"/>
                <w:lang w:val="en-GB"/>
              </w:rPr>
              <w:t>0.31</w:t>
            </w:r>
            <w:r>
              <w:rPr>
                <w:rFonts w:ascii="Arial" w:hAnsi="Arial" w:cs="Arial"/>
                <w:color w:val="000000"/>
                <w:sz w:val="18"/>
                <w:szCs w:val="18"/>
                <w:lang w:val="en-GB"/>
              </w:rPr>
              <w:t>0–</w:t>
            </w:r>
            <w:r w:rsidRPr="002B43C8">
              <w:rPr>
                <w:rFonts w:ascii="Arial" w:hAnsi="Arial" w:cs="Arial"/>
                <w:color w:val="000000"/>
                <w:sz w:val="18"/>
                <w:szCs w:val="18"/>
                <w:lang w:val="en-GB"/>
              </w:rPr>
              <w:t>0.42</w:t>
            </w:r>
            <w:r>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C46A13" w:rsidRPr="002B43C8" w14:paraId="7F831985" w14:textId="77777777" w:rsidTr="00C46A13">
        <w:trPr>
          <w:trHeight w:val="152"/>
          <w:jc w:val="center"/>
        </w:trPr>
        <w:tc>
          <w:tcPr>
            <w:tcW w:w="1352" w:type="dxa"/>
            <w:tcBorders>
              <w:top w:val="nil"/>
              <w:left w:val="single" w:sz="4" w:space="0" w:color="auto"/>
              <w:bottom w:val="single" w:sz="4" w:space="0" w:color="auto"/>
              <w:right w:val="single" w:sz="4" w:space="0" w:color="auto"/>
            </w:tcBorders>
            <w:shd w:val="clear" w:color="auto" w:fill="auto"/>
            <w:noWrap/>
            <w:hideMark/>
          </w:tcPr>
          <w:p w14:paraId="7EA7A235"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WagonR/ Stingray</w:t>
            </w:r>
          </w:p>
        </w:tc>
        <w:tc>
          <w:tcPr>
            <w:tcW w:w="1933" w:type="dxa"/>
            <w:tcBorders>
              <w:top w:val="nil"/>
              <w:left w:val="nil"/>
              <w:bottom w:val="single" w:sz="4" w:space="0" w:color="auto"/>
              <w:right w:val="single" w:sz="4" w:space="0" w:color="auto"/>
            </w:tcBorders>
            <w:shd w:val="clear" w:color="auto" w:fill="auto"/>
            <w:noWrap/>
            <w:hideMark/>
          </w:tcPr>
          <w:p w14:paraId="0006CCCF"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Hatchback/A1</w:t>
            </w:r>
          </w:p>
        </w:tc>
        <w:tc>
          <w:tcPr>
            <w:tcW w:w="1693" w:type="dxa"/>
            <w:tcBorders>
              <w:top w:val="nil"/>
              <w:left w:val="nil"/>
              <w:bottom w:val="single" w:sz="4" w:space="0" w:color="auto"/>
              <w:right w:val="single" w:sz="4" w:space="0" w:color="auto"/>
            </w:tcBorders>
            <w:shd w:val="clear" w:color="auto" w:fill="auto"/>
            <w:noWrap/>
          </w:tcPr>
          <w:p w14:paraId="1FEBD6ED" w14:textId="399673C8"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0.368</w:t>
            </w:r>
            <w:r w:rsidR="00FE3D65">
              <w:rPr>
                <w:rFonts w:ascii="Arial" w:hAnsi="Arial" w:cs="Arial"/>
                <w:color w:val="000000"/>
                <w:sz w:val="18"/>
                <w:szCs w:val="18"/>
                <w:lang w:val="en-GB"/>
              </w:rPr>
              <w:t>–</w:t>
            </w:r>
            <w:r w:rsidRPr="002B43C8">
              <w:rPr>
                <w:rFonts w:ascii="Arial" w:hAnsi="Arial" w:cs="Arial"/>
                <w:color w:val="000000"/>
                <w:sz w:val="18"/>
                <w:szCs w:val="18"/>
                <w:lang w:val="en-GB"/>
              </w:rPr>
              <w:t>4.57</w:t>
            </w:r>
            <w:r w:rsidR="00761A38">
              <w:rPr>
                <w:rFonts w:ascii="Arial" w:hAnsi="Arial" w:cs="Arial"/>
                <w:color w:val="000000"/>
                <w:sz w:val="18"/>
                <w:szCs w:val="18"/>
                <w:lang w:val="en-GB"/>
              </w:rPr>
              <w:t>0</w:t>
            </w:r>
          </w:p>
        </w:tc>
        <w:tc>
          <w:tcPr>
            <w:tcW w:w="1994" w:type="dxa"/>
            <w:tcBorders>
              <w:top w:val="nil"/>
              <w:left w:val="single" w:sz="4" w:space="0" w:color="auto"/>
              <w:bottom w:val="single" w:sz="4" w:space="0" w:color="auto"/>
              <w:right w:val="single" w:sz="4" w:space="0" w:color="auto"/>
            </w:tcBorders>
          </w:tcPr>
          <w:p w14:paraId="35A0FEA4" w14:textId="6E14E4C0"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Chevrolet Beat</w:t>
            </w:r>
          </w:p>
        </w:tc>
        <w:tc>
          <w:tcPr>
            <w:tcW w:w="1756" w:type="dxa"/>
            <w:tcBorders>
              <w:top w:val="single" w:sz="4" w:space="0" w:color="auto"/>
              <w:left w:val="single" w:sz="4" w:space="0" w:color="auto"/>
              <w:bottom w:val="single" w:sz="4" w:space="0" w:color="auto"/>
              <w:right w:val="single" w:sz="4" w:space="0" w:color="auto"/>
            </w:tcBorders>
          </w:tcPr>
          <w:p w14:paraId="7C55B80F" w14:textId="4E04E635"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0.42</w:t>
            </w:r>
            <w:r w:rsidR="00A91FBB">
              <w:rPr>
                <w:rFonts w:ascii="Arial" w:hAnsi="Arial" w:cs="Arial"/>
                <w:color w:val="000000"/>
                <w:sz w:val="18"/>
                <w:szCs w:val="18"/>
                <w:lang w:val="en-GB"/>
              </w:rPr>
              <w:t>0</w:t>
            </w:r>
            <w:r w:rsidR="00FE3D65">
              <w:rPr>
                <w:rFonts w:ascii="Arial" w:hAnsi="Arial" w:cs="Arial"/>
                <w:color w:val="000000"/>
                <w:sz w:val="18"/>
                <w:szCs w:val="18"/>
                <w:lang w:val="en-GB"/>
              </w:rPr>
              <w:t>–</w:t>
            </w:r>
            <w:r w:rsidRPr="002B43C8">
              <w:rPr>
                <w:rFonts w:ascii="Arial" w:hAnsi="Arial" w:cs="Arial"/>
                <w:color w:val="000000"/>
                <w:sz w:val="18"/>
                <w:szCs w:val="18"/>
                <w:lang w:val="en-GB"/>
              </w:rPr>
              <w:t>0.63</w:t>
            </w:r>
            <w:r w:rsidR="00A91FBB">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A91FBB" w:rsidRPr="002B43C8" w14:paraId="0C42A2CA" w14:textId="77777777" w:rsidTr="00880091">
        <w:trPr>
          <w:trHeight w:val="152"/>
          <w:jc w:val="center"/>
        </w:trPr>
        <w:tc>
          <w:tcPr>
            <w:tcW w:w="4978" w:type="dxa"/>
            <w:gridSpan w:val="3"/>
            <w:vMerge w:val="restart"/>
            <w:tcBorders>
              <w:top w:val="nil"/>
              <w:left w:val="single" w:sz="4" w:space="0" w:color="auto"/>
              <w:right w:val="single" w:sz="4" w:space="0" w:color="auto"/>
            </w:tcBorders>
            <w:shd w:val="clear" w:color="auto" w:fill="auto"/>
            <w:noWrap/>
            <w:hideMark/>
          </w:tcPr>
          <w:p w14:paraId="6352DECD" w14:textId="0D7A56A1" w:rsidR="00A91FBB" w:rsidRPr="00A91FBB" w:rsidRDefault="00A91FBB" w:rsidP="00A91FBB">
            <w:pPr>
              <w:contextualSpacing/>
              <w:rPr>
                <w:rFonts w:ascii="Arial" w:hAnsi="Arial" w:cs="Arial"/>
                <w:color w:val="000000"/>
                <w:sz w:val="18"/>
                <w:szCs w:val="18"/>
                <w:lang w:val="en-GB"/>
              </w:rPr>
            </w:pPr>
          </w:p>
        </w:tc>
        <w:tc>
          <w:tcPr>
            <w:tcW w:w="1994" w:type="dxa"/>
            <w:tcBorders>
              <w:top w:val="nil"/>
              <w:left w:val="single" w:sz="4" w:space="0" w:color="auto"/>
              <w:bottom w:val="single" w:sz="4" w:space="0" w:color="auto"/>
              <w:right w:val="single" w:sz="4" w:space="0" w:color="auto"/>
            </w:tcBorders>
          </w:tcPr>
          <w:p w14:paraId="7D3A4126" w14:textId="1F888328"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Hyundai i10</w:t>
            </w:r>
          </w:p>
        </w:tc>
        <w:tc>
          <w:tcPr>
            <w:tcW w:w="1756" w:type="dxa"/>
            <w:tcBorders>
              <w:top w:val="single" w:sz="4" w:space="0" w:color="auto"/>
              <w:left w:val="single" w:sz="4" w:space="0" w:color="auto"/>
              <w:bottom w:val="single" w:sz="4" w:space="0" w:color="auto"/>
              <w:right w:val="single" w:sz="4" w:space="0" w:color="auto"/>
            </w:tcBorders>
          </w:tcPr>
          <w:p w14:paraId="3EE25779" w14:textId="022A369A"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0.42</w:t>
            </w:r>
            <w:r>
              <w:rPr>
                <w:rFonts w:ascii="Arial" w:hAnsi="Arial" w:cs="Arial"/>
                <w:color w:val="000000"/>
                <w:sz w:val="18"/>
                <w:szCs w:val="18"/>
                <w:lang w:val="en-GB"/>
              </w:rPr>
              <w:t>0–</w:t>
            </w:r>
            <w:r w:rsidRPr="002B43C8">
              <w:rPr>
                <w:rFonts w:ascii="Arial" w:hAnsi="Arial" w:cs="Arial"/>
                <w:color w:val="000000"/>
                <w:sz w:val="18"/>
                <w:szCs w:val="18"/>
                <w:lang w:val="en-GB"/>
              </w:rPr>
              <w:t>0.5</w:t>
            </w:r>
            <w:r>
              <w:rPr>
                <w:rFonts w:ascii="Arial" w:hAnsi="Arial" w:cs="Arial"/>
                <w:color w:val="000000"/>
                <w:sz w:val="18"/>
                <w:szCs w:val="18"/>
                <w:lang w:val="en-GB"/>
              </w:rPr>
              <w:t>00</w:t>
            </w:r>
            <w:r w:rsidRPr="002B43C8">
              <w:rPr>
                <w:rFonts w:ascii="Arial" w:hAnsi="Arial" w:cs="Arial"/>
                <w:color w:val="000000"/>
                <w:sz w:val="18"/>
                <w:szCs w:val="18"/>
                <w:lang w:val="en-GB"/>
              </w:rPr>
              <w:t xml:space="preserve"> </w:t>
            </w:r>
          </w:p>
        </w:tc>
      </w:tr>
      <w:tr w:rsidR="00A91FBB" w:rsidRPr="002B43C8" w14:paraId="511A0216" w14:textId="77777777" w:rsidTr="00880091">
        <w:trPr>
          <w:trHeight w:val="152"/>
          <w:jc w:val="center"/>
        </w:trPr>
        <w:tc>
          <w:tcPr>
            <w:tcW w:w="4978" w:type="dxa"/>
            <w:gridSpan w:val="3"/>
            <w:vMerge/>
            <w:tcBorders>
              <w:left w:val="single" w:sz="4" w:space="0" w:color="auto"/>
              <w:bottom w:val="single" w:sz="4" w:space="0" w:color="auto"/>
              <w:right w:val="single" w:sz="4" w:space="0" w:color="auto"/>
            </w:tcBorders>
            <w:shd w:val="clear" w:color="auto" w:fill="auto"/>
            <w:noWrap/>
            <w:hideMark/>
          </w:tcPr>
          <w:p w14:paraId="031FAE1B" w14:textId="4FDB5264" w:rsidR="00A91FBB" w:rsidRPr="00A91FBB" w:rsidRDefault="00A91FBB" w:rsidP="00A91FBB">
            <w:pPr>
              <w:contextualSpacing/>
              <w:rPr>
                <w:rFonts w:ascii="Arial" w:hAnsi="Arial" w:cs="Arial"/>
                <w:color w:val="000000"/>
                <w:sz w:val="18"/>
                <w:szCs w:val="18"/>
                <w:lang w:val="en-GB"/>
              </w:rPr>
            </w:pPr>
          </w:p>
        </w:tc>
        <w:tc>
          <w:tcPr>
            <w:tcW w:w="1994" w:type="dxa"/>
            <w:tcBorders>
              <w:top w:val="nil"/>
              <w:left w:val="single" w:sz="4" w:space="0" w:color="auto"/>
              <w:bottom w:val="single" w:sz="4" w:space="0" w:color="auto"/>
              <w:right w:val="single" w:sz="4" w:space="0" w:color="auto"/>
            </w:tcBorders>
          </w:tcPr>
          <w:p w14:paraId="7166FA27" w14:textId="017CA8A2"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Tata Indica eV2</w:t>
            </w:r>
          </w:p>
        </w:tc>
        <w:tc>
          <w:tcPr>
            <w:tcW w:w="1756" w:type="dxa"/>
            <w:tcBorders>
              <w:top w:val="single" w:sz="4" w:space="0" w:color="auto"/>
              <w:left w:val="single" w:sz="4" w:space="0" w:color="auto"/>
              <w:bottom w:val="single" w:sz="4" w:space="0" w:color="auto"/>
              <w:right w:val="single" w:sz="4" w:space="0" w:color="auto"/>
            </w:tcBorders>
          </w:tcPr>
          <w:p w14:paraId="16979ACA" w14:textId="332EFF63"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0.4</w:t>
            </w:r>
            <w:r>
              <w:rPr>
                <w:rFonts w:ascii="Arial" w:hAnsi="Arial" w:cs="Arial"/>
                <w:color w:val="000000"/>
                <w:sz w:val="18"/>
                <w:szCs w:val="18"/>
                <w:lang w:val="en-GB"/>
              </w:rPr>
              <w:t>00–</w:t>
            </w:r>
            <w:r w:rsidRPr="002B43C8">
              <w:rPr>
                <w:rFonts w:ascii="Arial" w:hAnsi="Arial" w:cs="Arial"/>
                <w:color w:val="000000"/>
                <w:sz w:val="18"/>
                <w:szCs w:val="18"/>
                <w:lang w:val="en-GB"/>
              </w:rPr>
              <w:t>0.5</w:t>
            </w:r>
            <w:r>
              <w:rPr>
                <w:rFonts w:ascii="Arial" w:hAnsi="Arial" w:cs="Arial"/>
                <w:color w:val="000000"/>
                <w:sz w:val="18"/>
                <w:szCs w:val="18"/>
                <w:lang w:val="en-GB"/>
              </w:rPr>
              <w:t>00</w:t>
            </w:r>
            <w:r w:rsidRPr="002B43C8">
              <w:rPr>
                <w:rFonts w:ascii="Arial" w:hAnsi="Arial" w:cs="Arial"/>
                <w:color w:val="000000"/>
                <w:sz w:val="18"/>
                <w:szCs w:val="18"/>
                <w:lang w:val="en-GB"/>
              </w:rPr>
              <w:t xml:space="preserve"> </w:t>
            </w:r>
          </w:p>
        </w:tc>
      </w:tr>
      <w:tr w:rsidR="00C46A13" w:rsidRPr="002B43C8" w14:paraId="08E6B7D1" w14:textId="77777777" w:rsidTr="00C46A13">
        <w:trPr>
          <w:trHeight w:val="152"/>
          <w:jc w:val="center"/>
        </w:trPr>
        <w:tc>
          <w:tcPr>
            <w:tcW w:w="1352" w:type="dxa"/>
            <w:tcBorders>
              <w:top w:val="nil"/>
              <w:left w:val="single" w:sz="4" w:space="0" w:color="auto"/>
              <w:bottom w:val="single" w:sz="4" w:space="0" w:color="auto"/>
              <w:right w:val="single" w:sz="4" w:space="0" w:color="auto"/>
            </w:tcBorders>
            <w:shd w:val="clear" w:color="auto" w:fill="auto"/>
            <w:noWrap/>
            <w:hideMark/>
          </w:tcPr>
          <w:p w14:paraId="6DCEE380"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Celerio</w:t>
            </w:r>
          </w:p>
        </w:tc>
        <w:tc>
          <w:tcPr>
            <w:tcW w:w="1933" w:type="dxa"/>
            <w:tcBorders>
              <w:top w:val="nil"/>
              <w:left w:val="nil"/>
              <w:bottom w:val="single" w:sz="4" w:space="0" w:color="auto"/>
              <w:right w:val="single" w:sz="4" w:space="0" w:color="auto"/>
            </w:tcBorders>
            <w:shd w:val="clear" w:color="auto" w:fill="auto"/>
            <w:noWrap/>
            <w:hideMark/>
          </w:tcPr>
          <w:p w14:paraId="34FA99B7"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Hatchback/A2</w:t>
            </w:r>
          </w:p>
        </w:tc>
        <w:tc>
          <w:tcPr>
            <w:tcW w:w="1693" w:type="dxa"/>
            <w:tcBorders>
              <w:top w:val="nil"/>
              <w:left w:val="nil"/>
              <w:bottom w:val="single" w:sz="4" w:space="0" w:color="auto"/>
              <w:right w:val="single" w:sz="4" w:space="0" w:color="auto"/>
            </w:tcBorders>
            <w:shd w:val="clear" w:color="auto" w:fill="auto"/>
            <w:noWrap/>
            <w:hideMark/>
          </w:tcPr>
          <w:p w14:paraId="0CE7D0D5" w14:textId="02FB3A42"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0.440</w:t>
            </w:r>
            <w:r w:rsidR="00FE3D65">
              <w:rPr>
                <w:rFonts w:ascii="Arial" w:hAnsi="Arial" w:cs="Arial"/>
                <w:color w:val="000000"/>
                <w:sz w:val="18"/>
                <w:szCs w:val="18"/>
                <w:lang w:val="en-GB"/>
              </w:rPr>
              <w:t>–</w:t>
            </w:r>
            <w:r w:rsidRPr="002B43C8">
              <w:rPr>
                <w:rFonts w:ascii="Arial" w:hAnsi="Arial" w:cs="Arial"/>
                <w:color w:val="000000"/>
                <w:sz w:val="18"/>
                <w:szCs w:val="18"/>
                <w:lang w:val="en-GB"/>
              </w:rPr>
              <w:t>0.477</w:t>
            </w:r>
          </w:p>
        </w:tc>
        <w:tc>
          <w:tcPr>
            <w:tcW w:w="1994" w:type="dxa"/>
            <w:tcBorders>
              <w:top w:val="nil"/>
              <w:left w:val="single" w:sz="4" w:space="0" w:color="auto"/>
              <w:bottom w:val="single" w:sz="4" w:space="0" w:color="auto"/>
              <w:right w:val="single" w:sz="4" w:space="0" w:color="auto"/>
            </w:tcBorders>
          </w:tcPr>
          <w:p w14:paraId="34433C91" w14:textId="7E1F129C"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Hyundai i10</w:t>
            </w:r>
          </w:p>
        </w:tc>
        <w:tc>
          <w:tcPr>
            <w:tcW w:w="1756" w:type="dxa"/>
            <w:tcBorders>
              <w:top w:val="single" w:sz="4" w:space="0" w:color="auto"/>
              <w:left w:val="single" w:sz="4" w:space="0" w:color="auto"/>
              <w:bottom w:val="single" w:sz="4" w:space="0" w:color="auto"/>
              <w:right w:val="single" w:sz="4" w:space="0" w:color="auto"/>
            </w:tcBorders>
          </w:tcPr>
          <w:p w14:paraId="12776191" w14:textId="32B10245"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0.42</w:t>
            </w:r>
            <w:r w:rsidR="00A91FBB">
              <w:rPr>
                <w:rFonts w:ascii="Arial" w:hAnsi="Arial" w:cs="Arial"/>
                <w:color w:val="000000"/>
                <w:sz w:val="18"/>
                <w:szCs w:val="18"/>
                <w:lang w:val="en-GB"/>
              </w:rPr>
              <w:t>0</w:t>
            </w:r>
            <w:r w:rsidR="00FE3D65">
              <w:rPr>
                <w:rFonts w:ascii="Arial" w:hAnsi="Arial" w:cs="Arial"/>
                <w:color w:val="000000"/>
                <w:sz w:val="18"/>
                <w:szCs w:val="18"/>
                <w:lang w:val="en-GB"/>
              </w:rPr>
              <w:t>–</w:t>
            </w:r>
            <w:r w:rsidRPr="002B43C8">
              <w:rPr>
                <w:rFonts w:ascii="Arial" w:hAnsi="Arial" w:cs="Arial"/>
                <w:color w:val="000000"/>
                <w:sz w:val="18"/>
                <w:szCs w:val="18"/>
                <w:lang w:val="en-GB"/>
              </w:rPr>
              <w:t>0.5</w:t>
            </w:r>
            <w:r w:rsidR="00761A38">
              <w:rPr>
                <w:rFonts w:ascii="Arial" w:hAnsi="Arial" w:cs="Arial"/>
                <w:color w:val="000000"/>
                <w:sz w:val="18"/>
                <w:szCs w:val="18"/>
                <w:lang w:val="en-GB"/>
              </w:rPr>
              <w:t>0</w:t>
            </w:r>
            <w:r w:rsidR="00A91FBB">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C46A13" w:rsidRPr="002B43C8" w14:paraId="355F4929" w14:textId="77777777" w:rsidTr="00C46A13">
        <w:trPr>
          <w:trHeight w:val="152"/>
          <w:jc w:val="center"/>
        </w:trPr>
        <w:tc>
          <w:tcPr>
            <w:tcW w:w="1352" w:type="dxa"/>
            <w:tcBorders>
              <w:top w:val="nil"/>
              <w:left w:val="single" w:sz="4" w:space="0" w:color="auto"/>
              <w:bottom w:val="single" w:sz="4" w:space="0" w:color="auto"/>
              <w:right w:val="single" w:sz="4" w:space="0" w:color="auto"/>
            </w:tcBorders>
            <w:shd w:val="clear" w:color="auto" w:fill="auto"/>
            <w:noWrap/>
            <w:hideMark/>
          </w:tcPr>
          <w:p w14:paraId="162692FD" w14:textId="77777777" w:rsidR="004328F4" w:rsidRPr="002B43C8" w:rsidRDefault="004328F4" w:rsidP="005E6166">
            <w:pPr>
              <w:numPr>
                <w:ilvl w:val="1"/>
                <w:numId w:val="0"/>
              </w:numPr>
              <w:contextualSpacing/>
              <w:rPr>
                <w:rFonts w:ascii="Arial" w:hAnsi="Arial" w:cs="Arial"/>
                <w:i/>
                <w:iCs/>
                <w:color w:val="000000"/>
                <w:spacing w:val="15"/>
                <w:sz w:val="18"/>
                <w:szCs w:val="18"/>
                <w:lang w:val="en-GB"/>
              </w:rPr>
            </w:pPr>
          </w:p>
        </w:tc>
        <w:tc>
          <w:tcPr>
            <w:tcW w:w="1933" w:type="dxa"/>
            <w:tcBorders>
              <w:top w:val="nil"/>
              <w:left w:val="nil"/>
              <w:bottom w:val="single" w:sz="4" w:space="0" w:color="auto"/>
              <w:right w:val="single" w:sz="4" w:space="0" w:color="auto"/>
            </w:tcBorders>
            <w:shd w:val="clear" w:color="auto" w:fill="auto"/>
            <w:noWrap/>
            <w:hideMark/>
          </w:tcPr>
          <w:p w14:paraId="60E1A104"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Hatchback/A1</w:t>
            </w:r>
          </w:p>
        </w:tc>
        <w:tc>
          <w:tcPr>
            <w:tcW w:w="1693" w:type="dxa"/>
            <w:tcBorders>
              <w:top w:val="nil"/>
              <w:left w:val="nil"/>
              <w:bottom w:val="single" w:sz="4" w:space="0" w:color="auto"/>
              <w:right w:val="single" w:sz="4" w:space="0" w:color="auto"/>
            </w:tcBorders>
            <w:shd w:val="clear" w:color="auto" w:fill="auto"/>
            <w:noWrap/>
            <w:hideMark/>
          </w:tcPr>
          <w:p w14:paraId="4AEAFDA1" w14:textId="1D3B1107"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0.419</w:t>
            </w:r>
            <w:r w:rsidR="00FE3D65">
              <w:rPr>
                <w:rFonts w:ascii="Arial" w:hAnsi="Arial"/>
                <w:color w:val="000000"/>
                <w:sz w:val="18"/>
                <w:szCs w:val="18"/>
                <w:lang w:val="en-GB"/>
              </w:rPr>
              <w:t>–</w:t>
            </w:r>
            <w:r w:rsidRPr="002B43C8">
              <w:rPr>
                <w:rFonts w:ascii="Arial" w:hAnsi="Arial" w:cs="Arial"/>
                <w:color w:val="000000"/>
                <w:sz w:val="18"/>
                <w:szCs w:val="18"/>
                <w:lang w:val="en-GB"/>
              </w:rPr>
              <w:t>0.477</w:t>
            </w:r>
          </w:p>
        </w:tc>
        <w:tc>
          <w:tcPr>
            <w:tcW w:w="1994" w:type="dxa"/>
            <w:tcBorders>
              <w:top w:val="nil"/>
              <w:left w:val="single" w:sz="4" w:space="0" w:color="auto"/>
              <w:bottom w:val="single" w:sz="4" w:space="0" w:color="auto"/>
              <w:right w:val="single" w:sz="4" w:space="0" w:color="auto"/>
            </w:tcBorders>
          </w:tcPr>
          <w:p w14:paraId="3410E7E6" w14:textId="41EE59AD"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Chevrolet Beat</w:t>
            </w:r>
          </w:p>
        </w:tc>
        <w:tc>
          <w:tcPr>
            <w:tcW w:w="1756" w:type="dxa"/>
            <w:tcBorders>
              <w:top w:val="single" w:sz="4" w:space="0" w:color="auto"/>
              <w:left w:val="single" w:sz="4" w:space="0" w:color="auto"/>
              <w:bottom w:val="single" w:sz="4" w:space="0" w:color="auto"/>
              <w:right w:val="single" w:sz="4" w:space="0" w:color="auto"/>
            </w:tcBorders>
          </w:tcPr>
          <w:p w14:paraId="079D374D" w14:textId="59EEFD75"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0.42</w:t>
            </w:r>
            <w:r w:rsidR="00A91FBB">
              <w:rPr>
                <w:rFonts w:ascii="Arial" w:hAnsi="Arial" w:cs="Arial"/>
                <w:color w:val="000000"/>
                <w:sz w:val="18"/>
                <w:szCs w:val="18"/>
                <w:lang w:val="en-GB"/>
              </w:rPr>
              <w:t>0</w:t>
            </w:r>
            <w:r w:rsidR="00FE3D65">
              <w:rPr>
                <w:rFonts w:ascii="Arial" w:hAnsi="Arial" w:cs="Arial"/>
                <w:color w:val="000000"/>
                <w:sz w:val="18"/>
                <w:szCs w:val="18"/>
                <w:lang w:val="en-GB"/>
              </w:rPr>
              <w:t>–</w:t>
            </w:r>
            <w:r w:rsidRPr="002B43C8">
              <w:rPr>
                <w:rFonts w:ascii="Arial" w:hAnsi="Arial" w:cs="Arial"/>
                <w:color w:val="000000"/>
                <w:sz w:val="18"/>
                <w:szCs w:val="18"/>
                <w:lang w:val="en-GB"/>
              </w:rPr>
              <w:t>0.63</w:t>
            </w:r>
            <w:r w:rsidR="00A91FBB">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A91FBB" w:rsidRPr="002B43C8" w14:paraId="5D15C7CF" w14:textId="77777777" w:rsidTr="00880091">
        <w:trPr>
          <w:trHeight w:val="152"/>
          <w:jc w:val="center"/>
        </w:trPr>
        <w:tc>
          <w:tcPr>
            <w:tcW w:w="4978" w:type="dxa"/>
            <w:gridSpan w:val="3"/>
            <w:tcBorders>
              <w:top w:val="nil"/>
              <w:left w:val="single" w:sz="4" w:space="0" w:color="auto"/>
              <w:bottom w:val="single" w:sz="4" w:space="0" w:color="auto"/>
              <w:right w:val="single" w:sz="4" w:space="0" w:color="auto"/>
            </w:tcBorders>
            <w:shd w:val="clear" w:color="auto" w:fill="auto"/>
            <w:noWrap/>
          </w:tcPr>
          <w:p w14:paraId="0F660B11" w14:textId="77777777" w:rsidR="00A91FBB" w:rsidRPr="002B43C8" w:rsidRDefault="00A91FBB" w:rsidP="002141C0">
            <w:pPr>
              <w:numPr>
                <w:ilvl w:val="1"/>
                <w:numId w:val="0"/>
              </w:numPr>
              <w:contextualSpacing/>
              <w:jc w:val="right"/>
              <w:rPr>
                <w:rFonts w:ascii="Arial" w:hAnsi="Arial" w:cs="Arial"/>
                <w:i/>
                <w:iCs/>
                <w:color w:val="000000"/>
                <w:spacing w:val="15"/>
                <w:sz w:val="18"/>
                <w:szCs w:val="18"/>
                <w:lang w:val="en-GB"/>
              </w:rPr>
            </w:pPr>
          </w:p>
        </w:tc>
        <w:tc>
          <w:tcPr>
            <w:tcW w:w="1994" w:type="dxa"/>
            <w:tcBorders>
              <w:top w:val="nil"/>
              <w:left w:val="single" w:sz="4" w:space="0" w:color="auto"/>
              <w:bottom w:val="single" w:sz="4" w:space="0" w:color="auto"/>
              <w:right w:val="single" w:sz="4" w:space="0" w:color="auto"/>
            </w:tcBorders>
          </w:tcPr>
          <w:p w14:paraId="58C344F2" w14:textId="5BDBE7B9"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Tata Indica eV2</w:t>
            </w:r>
          </w:p>
        </w:tc>
        <w:tc>
          <w:tcPr>
            <w:tcW w:w="1756" w:type="dxa"/>
            <w:tcBorders>
              <w:top w:val="single" w:sz="4" w:space="0" w:color="auto"/>
              <w:left w:val="single" w:sz="4" w:space="0" w:color="auto"/>
              <w:bottom w:val="single" w:sz="4" w:space="0" w:color="auto"/>
              <w:right w:val="single" w:sz="4" w:space="0" w:color="auto"/>
            </w:tcBorders>
          </w:tcPr>
          <w:p w14:paraId="5638D37A" w14:textId="6A8002EA"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0.4</w:t>
            </w:r>
            <w:r>
              <w:rPr>
                <w:rFonts w:ascii="Arial" w:hAnsi="Arial" w:cs="Arial"/>
                <w:color w:val="000000"/>
                <w:sz w:val="18"/>
                <w:szCs w:val="18"/>
                <w:lang w:val="en-GB"/>
              </w:rPr>
              <w:t>00–</w:t>
            </w:r>
            <w:r w:rsidRPr="002B43C8">
              <w:rPr>
                <w:rFonts w:ascii="Arial" w:hAnsi="Arial" w:cs="Arial"/>
                <w:color w:val="000000"/>
                <w:sz w:val="18"/>
                <w:szCs w:val="18"/>
                <w:lang w:val="en-GB"/>
              </w:rPr>
              <w:t>0.5</w:t>
            </w:r>
            <w:r>
              <w:rPr>
                <w:rFonts w:ascii="Arial" w:hAnsi="Arial" w:cs="Arial"/>
                <w:color w:val="000000"/>
                <w:sz w:val="18"/>
                <w:szCs w:val="18"/>
                <w:lang w:val="en-GB"/>
              </w:rPr>
              <w:t>00</w:t>
            </w:r>
            <w:r w:rsidRPr="002B43C8">
              <w:rPr>
                <w:rFonts w:ascii="Arial" w:hAnsi="Arial" w:cs="Arial"/>
                <w:color w:val="000000"/>
                <w:sz w:val="18"/>
                <w:szCs w:val="18"/>
                <w:lang w:val="en-GB"/>
              </w:rPr>
              <w:t xml:space="preserve"> </w:t>
            </w:r>
          </w:p>
        </w:tc>
      </w:tr>
      <w:tr w:rsidR="00C46A13" w:rsidRPr="002B43C8" w14:paraId="7D3C7A77" w14:textId="77777777" w:rsidTr="00C46A13">
        <w:trPr>
          <w:trHeight w:val="152"/>
          <w:jc w:val="center"/>
        </w:trPr>
        <w:tc>
          <w:tcPr>
            <w:tcW w:w="1352" w:type="dxa"/>
            <w:tcBorders>
              <w:top w:val="nil"/>
              <w:left w:val="single" w:sz="4" w:space="0" w:color="auto"/>
              <w:bottom w:val="single" w:sz="4" w:space="0" w:color="auto"/>
              <w:right w:val="single" w:sz="4" w:space="0" w:color="auto"/>
            </w:tcBorders>
            <w:shd w:val="clear" w:color="auto" w:fill="auto"/>
            <w:noWrap/>
            <w:hideMark/>
          </w:tcPr>
          <w:p w14:paraId="279F3DE5"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Ritz</w:t>
            </w:r>
          </w:p>
        </w:tc>
        <w:tc>
          <w:tcPr>
            <w:tcW w:w="1933" w:type="dxa"/>
            <w:tcBorders>
              <w:top w:val="nil"/>
              <w:left w:val="nil"/>
              <w:bottom w:val="single" w:sz="4" w:space="0" w:color="auto"/>
              <w:right w:val="single" w:sz="4" w:space="0" w:color="auto"/>
            </w:tcBorders>
            <w:shd w:val="clear" w:color="auto" w:fill="auto"/>
            <w:noWrap/>
            <w:hideMark/>
          </w:tcPr>
          <w:p w14:paraId="23165109"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Hatchback/A2</w:t>
            </w:r>
          </w:p>
        </w:tc>
        <w:tc>
          <w:tcPr>
            <w:tcW w:w="1693" w:type="dxa"/>
            <w:tcBorders>
              <w:top w:val="nil"/>
              <w:left w:val="nil"/>
              <w:bottom w:val="single" w:sz="4" w:space="0" w:color="auto"/>
              <w:right w:val="single" w:sz="4" w:space="0" w:color="auto"/>
            </w:tcBorders>
            <w:shd w:val="clear" w:color="auto" w:fill="auto"/>
            <w:noWrap/>
            <w:hideMark/>
          </w:tcPr>
          <w:p w14:paraId="2A2F8DC1" w14:textId="5BE497FF"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0.44</w:t>
            </w:r>
            <w:r w:rsidR="00761A38">
              <w:rPr>
                <w:rFonts w:ascii="Arial" w:hAnsi="Arial" w:cs="Arial"/>
                <w:color w:val="000000"/>
                <w:sz w:val="18"/>
                <w:szCs w:val="18"/>
                <w:lang w:val="en-GB"/>
              </w:rPr>
              <w:t>0</w:t>
            </w:r>
            <w:r w:rsidR="00FE3D65">
              <w:rPr>
                <w:rFonts w:ascii="Arial" w:hAnsi="Arial"/>
                <w:color w:val="000000"/>
                <w:sz w:val="18"/>
                <w:szCs w:val="18"/>
                <w:lang w:val="en-GB"/>
              </w:rPr>
              <w:t>–</w:t>
            </w:r>
            <w:r w:rsidRPr="002B43C8">
              <w:rPr>
                <w:rFonts w:ascii="Arial" w:hAnsi="Arial" w:cs="Arial"/>
                <w:color w:val="000000"/>
                <w:sz w:val="18"/>
                <w:szCs w:val="18"/>
                <w:lang w:val="en-GB"/>
              </w:rPr>
              <w:t>0.639</w:t>
            </w:r>
          </w:p>
        </w:tc>
        <w:tc>
          <w:tcPr>
            <w:tcW w:w="1994" w:type="dxa"/>
            <w:tcBorders>
              <w:top w:val="nil"/>
              <w:left w:val="single" w:sz="4" w:space="0" w:color="auto"/>
              <w:bottom w:val="single" w:sz="4" w:space="0" w:color="auto"/>
              <w:right w:val="single" w:sz="4" w:space="0" w:color="auto"/>
            </w:tcBorders>
          </w:tcPr>
          <w:p w14:paraId="7D5DE386" w14:textId="503BEAC1"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Ford Figo</w:t>
            </w:r>
          </w:p>
        </w:tc>
        <w:tc>
          <w:tcPr>
            <w:tcW w:w="1756" w:type="dxa"/>
            <w:tcBorders>
              <w:top w:val="single" w:sz="4" w:space="0" w:color="auto"/>
              <w:left w:val="single" w:sz="4" w:space="0" w:color="auto"/>
              <w:bottom w:val="single" w:sz="4" w:space="0" w:color="auto"/>
              <w:right w:val="single" w:sz="4" w:space="0" w:color="auto"/>
            </w:tcBorders>
          </w:tcPr>
          <w:p w14:paraId="15EE97A6" w14:textId="3C2F26BD"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0.41</w:t>
            </w:r>
            <w:r w:rsidR="00A91FBB">
              <w:rPr>
                <w:rFonts w:ascii="Arial" w:hAnsi="Arial" w:cs="Arial"/>
                <w:color w:val="000000"/>
                <w:sz w:val="18"/>
                <w:szCs w:val="18"/>
                <w:lang w:val="en-GB"/>
              </w:rPr>
              <w:t>0</w:t>
            </w:r>
            <w:r w:rsidRPr="002B43C8">
              <w:rPr>
                <w:rFonts w:ascii="Arial" w:hAnsi="Arial"/>
                <w:color w:val="000000"/>
                <w:sz w:val="18"/>
                <w:szCs w:val="18"/>
                <w:lang w:val="en-GB"/>
              </w:rPr>
              <w:t>–</w:t>
            </w:r>
            <w:r w:rsidRPr="002B43C8">
              <w:rPr>
                <w:rFonts w:ascii="Arial" w:hAnsi="Arial" w:cs="Arial"/>
                <w:color w:val="000000"/>
                <w:sz w:val="18"/>
                <w:szCs w:val="18"/>
                <w:lang w:val="en-GB"/>
              </w:rPr>
              <w:t>0.64</w:t>
            </w:r>
            <w:r w:rsidR="00A91FBB">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A91FBB" w:rsidRPr="002B43C8" w14:paraId="7C8B209B" w14:textId="77777777" w:rsidTr="00880091">
        <w:trPr>
          <w:trHeight w:val="152"/>
          <w:jc w:val="center"/>
        </w:trPr>
        <w:tc>
          <w:tcPr>
            <w:tcW w:w="4978" w:type="dxa"/>
            <w:gridSpan w:val="3"/>
            <w:vMerge w:val="restart"/>
            <w:tcBorders>
              <w:top w:val="nil"/>
              <w:left w:val="single" w:sz="4" w:space="0" w:color="auto"/>
              <w:right w:val="single" w:sz="4" w:space="0" w:color="auto"/>
            </w:tcBorders>
            <w:shd w:val="clear" w:color="auto" w:fill="auto"/>
            <w:noWrap/>
            <w:hideMark/>
          </w:tcPr>
          <w:p w14:paraId="304644E1" w14:textId="5299B862" w:rsidR="00A91FBB" w:rsidRPr="00A91FBB" w:rsidRDefault="00A91FBB" w:rsidP="00A91FBB">
            <w:pPr>
              <w:contextualSpacing/>
              <w:rPr>
                <w:rFonts w:ascii="Arial" w:hAnsi="Arial" w:cs="Arial"/>
                <w:color w:val="000000"/>
                <w:sz w:val="18"/>
                <w:szCs w:val="18"/>
                <w:lang w:val="en-GB"/>
              </w:rPr>
            </w:pPr>
          </w:p>
        </w:tc>
        <w:tc>
          <w:tcPr>
            <w:tcW w:w="1994" w:type="dxa"/>
            <w:tcBorders>
              <w:top w:val="nil"/>
              <w:left w:val="single" w:sz="4" w:space="0" w:color="auto"/>
              <w:bottom w:val="single" w:sz="4" w:space="0" w:color="auto"/>
              <w:right w:val="single" w:sz="4" w:space="0" w:color="auto"/>
            </w:tcBorders>
          </w:tcPr>
          <w:p w14:paraId="12CD4954" w14:textId="00B5C74B"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Chevrolet Beat</w:t>
            </w:r>
          </w:p>
        </w:tc>
        <w:tc>
          <w:tcPr>
            <w:tcW w:w="1756" w:type="dxa"/>
            <w:tcBorders>
              <w:top w:val="single" w:sz="4" w:space="0" w:color="auto"/>
              <w:left w:val="single" w:sz="4" w:space="0" w:color="auto"/>
              <w:bottom w:val="single" w:sz="4" w:space="0" w:color="auto"/>
              <w:right w:val="single" w:sz="4" w:space="0" w:color="auto"/>
            </w:tcBorders>
          </w:tcPr>
          <w:p w14:paraId="6882C9F8" w14:textId="7DF52616"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0.42</w:t>
            </w:r>
            <w:r>
              <w:rPr>
                <w:rFonts w:ascii="Arial" w:hAnsi="Arial" w:cs="Arial"/>
                <w:color w:val="000000"/>
                <w:sz w:val="18"/>
                <w:szCs w:val="18"/>
                <w:lang w:val="en-GB"/>
              </w:rPr>
              <w:t>0–</w:t>
            </w:r>
            <w:r w:rsidRPr="002B43C8">
              <w:rPr>
                <w:rFonts w:ascii="Arial" w:hAnsi="Arial" w:cs="Arial"/>
                <w:color w:val="000000"/>
                <w:sz w:val="18"/>
                <w:szCs w:val="18"/>
                <w:lang w:val="en-GB"/>
              </w:rPr>
              <w:t>0.63</w:t>
            </w:r>
            <w:r>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A91FBB" w:rsidRPr="002B43C8" w14:paraId="47C84067" w14:textId="77777777" w:rsidTr="00880091">
        <w:trPr>
          <w:trHeight w:val="152"/>
          <w:jc w:val="center"/>
        </w:trPr>
        <w:tc>
          <w:tcPr>
            <w:tcW w:w="4978" w:type="dxa"/>
            <w:gridSpan w:val="3"/>
            <w:vMerge/>
            <w:tcBorders>
              <w:left w:val="single" w:sz="4" w:space="0" w:color="auto"/>
              <w:bottom w:val="single" w:sz="4" w:space="0" w:color="auto"/>
              <w:right w:val="single" w:sz="4" w:space="0" w:color="auto"/>
            </w:tcBorders>
            <w:shd w:val="clear" w:color="auto" w:fill="auto"/>
            <w:noWrap/>
            <w:hideMark/>
          </w:tcPr>
          <w:p w14:paraId="0714E017" w14:textId="7479E5AF" w:rsidR="00A91FBB" w:rsidRPr="002B43C8" w:rsidRDefault="00A91FBB" w:rsidP="002141C0">
            <w:pPr>
              <w:numPr>
                <w:ilvl w:val="1"/>
                <w:numId w:val="0"/>
              </w:numPr>
              <w:contextualSpacing/>
              <w:jc w:val="right"/>
              <w:rPr>
                <w:rFonts w:ascii="Arial" w:hAnsi="Arial" w:cs="Arial"/>
                <w:i/>
                <w:iCs/>
                <w:color w:val="000000"/>
                <w:spacing w:val="15"/>
                <w:sz w:val="18"/>
                <w:szCs w:val="18"/>
                <w:lang w:val="en-GB"/>
              </w:rPr>
            </w:pPr>
          </w:p>
        </w:tc>
        <w:tc>
          <w:tcPr>
            <w:tcW w:w="1994" w:type="dxa"/>
            <w:tcBorders>
              <w:top w:val="nil"/>
              <w:left w:val="single" w:sz="4" w:space="0" w:color="auto"/>
              <w:bottom w:val="single" w:sz="4" w:space="0" w:color="auto"/>
              <w:right w:val="single" w:sz="4" w:space="0" w:color="auto"/>
            </w:tcBorders>
          </w:tcPr>
          <w:p w14:paraId="46E57AAB" w14:textId="3E74DEFB"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Hyundai Grand i10</w:t>
            </w:r>
          </w:p>
        </w:tc>
        <w:tc>
          <w:tcPr>
            <w:tcW w:w="1756" w:type="dxa"/>
            <w:tcBorders>
              <w:top w:val="single" w:sz="4" w:space="0" w:color="auto"/>
              <w:left w:val="single" w:sz="4" w:space="0" w:color="auto"/>
              <w:bottom w:val="single" w:sz="4" w:space="0" w:color="auto"/>
              <w:right w:val="single" w:sz="4" w:space="0" w:color="auto"/>
            </w:tcBorders>
          </w:tcPr>
          <w:p w14:paraId="6C9FC151" w14:textId="2A528358"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0.519</w:t>
            </w:r>
            <w:r>
              <w:rPr>
                <w:rFonts w:ascii="Arial" w:hAnsi="Arial"/>
                <w:color w:val="000000"/>
                <w:sz w:val="18"/>
                <w:szCs w:val="18"/>
                <w:lang w:val="en-GB"/>
              </w:rPr>
              <w:t>–</w:t>
            </w:r>
            <w:r w:rsidRPr="002B43C8">
              <w:rPr>
                <w:rFonts w:ascii="Arial" w:hAnsi="Arial"/>
                <w:color w:val="000000"/>
                <w:sz w:val="18"/>
                <w:szCs w:val="18"/>
                <w:lang w:val="en-GB"/>
              </w:rPr>
              <w:t>0.</w:t>
            </w:r>
            <w:r w:rsidRPr="002B43C8">
              <w:rPr>
                <w:rFonts w:ascii="Arial" w:hAnsi="Arial" w:cs="Arial"/>
                <w:color w:val="000000"/>
                <w:sz w:val="18"/>
                <w:szCs w:val="18"/>
                <w:lang w:val="en-GB"/>
              </w:rPr>
              <w:t>61</w:t>
            </w:r>
            <w:r>
              <w:rPr>
                <w:rFonts w:ascii="Arial" w:hAnsi="Arial" w:cs="Arial"/>
                <w:color w:val="000000"/>
                <w:sz w:val="18"/>
                <w:szCs w:val="18"/>
                <w:lang w:val="en-GB"/>
              </w:rPr>
              <w:t>0</w:t>
            </w:r>
          </w:p>
        </w:tc>
      </w:tr>
      <w:tr w:rsidR="00C46A13" w:rsidRPr="002B43C8" w14:paraId="514AE781" w14:textId="77777777" w:rsidTr="00C46A13">
        <w:trPr>
          <w:trHeight w:val="152"/>
          <w:jc w:val="center"/>
        </w:trPr>
        <w:tc>
          <w:tcPr>
            <w:tcW w:w="1352" w:type="dxa"/>
            <w:tcBorders>
              <w:top w:val="nil"/>
              <w:left w:val="single" w:sz="4" w:space="0" w:color="auto"/>
              <w:bottom w:val="single" w:sz="4" w:space="0" w:color="auto"/>
              <w:right w:val="single" w:sz="4" w:space="0" w:color="auto"/>
            </w:tcBorders>
            <w:shd w:val="clear" w:color="auto" w:fill="auto"/>
            <w:noWrap/>
            <w:hideMark/>
          </w:tcPr>
          <w:p w14:paraId="685B928C"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Swift</w:t>
            </w:r>
          </w:p>
        </w:tc>
        <w:tc>
          <w:tcPr>
            <w:tcW w:w="1933" w:type="dxa"/>
            <w:tcBorders>
              <w:top w:val="nil"/>
              <w:left w:val="nil"/>
              <w:bottom w:val="single" w:sz="4" w:space="0" w:color="auto"/>
              <w:right w:val="single" w:sz="4" w:space="0" w:color="auto"/>
            </w:tcBorders>
            <w:shd w:val="clear" w:color="auto" w:fill="auto"/>
            <w:noWrap/>
            <w:hideMark/>
          </w:tcPr>
          <w:p w14:paraId="1C11EA9D"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Hatchback/A2</w:t>
            </w:r>
          </w:p>
        </w:tc>
        <w:tc>
          <w:tcPr>
            <w:tcW w:w="1693" w:type="dxa"/>
            <w:tcBorders>
              <w:top w:val="nil"/>
              <w:left w:val="nil"/>
              <w:bottom w:val="single" w:sz="4" w:space="0" w:color="auto"/>
              <w:right w:val="single" w:sz="4" w:space="0" w:color="auto"/>
            </w:tcBorders>
            <w:shd w:val="clear" w:color="auto" w:fill="auto"/>
            <w:noWrap/>
            <w:hideMark/>
          </w:tcPr>
          <w:p w14:paraId="76625622" w14:textId="47C4D7D5"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0.456</w:t>
            </w:r>
            <w:r w:rsidR="00FE3D65">
              <w:rPr>
                <w:rFonts w:ascii="Arial" w:hAnsi="Arial" w:cs="Arial"/>
                <w:color w:val="000000"/>
                <w:sz w:val="18"/>
                <w:szCs w:val="18"/>
                <w:lang w:val="en-GB"/>
              </w:rPr>
              <w:t>–</w:t>
            </w:r>
            <w:r w:rsidRPr="002B43C8">
              <w:rPr>
                <w:rFonts w:ascii="Arial" w:hAnsi="Arial" w:cs="Arial"/>
                <w:color w:val="000000"/>
                <w:sz w:val="18"/>
                <w:szCs w:val="18"/>
                <w:lang w:val="en-GB"/>
              </w:rPr>
              <w:t>0.720</w:t>
            </w:r>
          </w:p>
        </w:tc>
        <w:tc>
          <w:tcPr>
            <w:tcW w:w="1994" w:type="dxa"/>
            <w:tcBorders>
              <w:top w:val="nil"/>
              <w:left w:val="single" w:sz="4" w:space="0" w:color="auto"/>
              <w:bottom w:val="single" w:sz="4" w:space="0" w:color="auto"/>
              <w:right w:val="single" w:sz="4" w:space="0" w:color="auto"/>
            </w:tcBorders>
          </w:tcPr>
          <w:p w14:paraId="358F5308" w14:textId="6D61E499"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Ford Figo</w:t>
            </w:r>
          </w:p>
        </w:tc>
        <w:tc>
          <w:tcPr>
            <w:tcW w:w="1756" w:type="dxa"/>
            <w:tcBorders>
              <w:top w:val="single" w:sz="4" w:space="0" w:color="auto"/>
              <w:left w:val="single" w:sz="4" w:space="0" w:color="auto"/>
              <w:bottom w:val="single" w:sz="4" w:space="0" w:color="auto"/>
              <w:right w:val="single" w:sz="4" w:space="0" w:color="auto"/>
            </w:tcBorders>
          </w:tcPr>
          <w:p w14:paraId="56713D56" w14:textId="151EE0F4"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0.41</w:t>
            </w:r>
            <w:r w:rsidR="00A91FBB">
              <w:rPr>
                <w:rFonts w:ascii="Arial" w:hAnsi="Arial" w:cs="Arial"/>
                <w:color w:val="000000"/>
                <w:sz w:val="18"/>
                <w:szCs w:val="18"/>
                <w:lang w:val="en-GB"/>
              </w:rPr>
              <w:t>0</w:t>
            </w:r>
            <w:r w:rsidR="00FE3D65">
              <w:rPr>
                <w:rFonts w:ascii="Arial" w:hAnsi="Arial"/>
                <w:color w:val="000000"/>
                <w:sz w:val="18"/>
                <w:szCs w:val="18"/>
                <w:lang w:val="en-GB"/>
              </w:rPr>
              <w:t>–</w:t>
            </w:r>
            <w:r w:rsidRPr="002B43C8">
              <w:rPr>
                <w:rFonts w:ascii="Arial" w:hAnsi="Arial" w:cs="Arial"/>
                <w:color w:val="000000"/>
                <w:sz w:val="18"/>
                <w:szCs w:val="18"/>
                <w:lang w:val="en-GB"/>
              </w:rPr>
              <w:t>0.64</w:t>
            </w:r>
            <w:r w:rsidR="00A91FBB">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A91FBB" w:rsidRPr="002B43C8" w14:paraId="5E87D33B" w14:textId="77777777" w:rsidTr="00880091">
        <w:trPr>
          <w:trHeight w:val="152"/>
          <w:jc w:val="center"/>
        </w:trPr>
        <w:tc>
          <w:tcPr>
            <w:tcW w:w="4978" w:type="dxa"/>
            <w:gridSpan w:val="3"/>
            <w:vMerge w:val="restart"/>
            <w:tcBorders>
              <w:top w:val="nil"/>
              <w:left w:val="single" w:sz="4" w:space="0" w:color="auto"/>
              <w:right w:val="single" w:sz="4" w:space="0" w:color="auto"/>
            </w:tcBorders>
            <w:shd w:val="clear" w:color="auto" w:fill="auto"/>
            <w:noWrap/>
            <w:hideMark/>
          </w:tcPr>
          <w:p w14:paraId="4E5D15DD" w14:textId="3051C2C3" w:rsidR="00A91FBB" w:rsidRPr="00A91FBB" w:rsidRDefault="00A91FBB" w:rsidP="00A91FBB">
            <w:pPr>
              <w:contextualSpacing/>
              <w:rPr>
                <w:rFonts w:ascii="Arial" w:hAnsi="Arial" w:cs="Arial"/>
                <w:color w:val="000000"/>
                <w:sz w:val="18"/>
                <w:szCs w:val="18"/>
                <w:lang w:val="en-GB"/>
              </w:rPr>
            </w:pPr>
          </w:p>
        </w:tc>
        <w:tc>
          <w:tcPr>
            <w:tcW w:w="1994" w:type="dxa"/>
            <w:tcBorders>
              <w:top w:val="nil"/>
              <w:left w:val="single" w:sz="4" w:space="0" w:color="auto"/>
              <w:bottom w:val="single" w:sz="4" w:space="0" w:color="auto"/>
              <w:right w:val="single" w:sz="4" w:space="0" w:color="auto"/>
            </w:tcBorders>
          </w:tcPr>
          <w:p w14:paraId="641C94DA" w14:textId="102E66D7"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Volkswagen Polo</w:t>
            </w:r>
          </w:p>
        </w:tc>
        <w:tc>
          <w:tcPr>
            <w:tcW w:w="1756" w:type="dxa"/>
            <w:tcBorders>
              <w:top w:val="single" w:sz="4" w:space="0" w:color="auto"/>
              <w:left w:val="single" w:sz="4" w:space="0" w:color="auto"/>
              <w:bottom w:val="single" w:sz="4" w:space="0" w:color="auto"/>
              <w:right w:val="single" w:sz="4" w:space="0" w:color="auto"/>
            </w:tcBorders>
          </w:tcPr>
          <w:p w14:paraId="378759AB" w14:textId="4C6507CE"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0.5</w:t>
            </w:r>
            <w:r>
              <w:rPr>
                <w:rFonts w:ascii="Arial" w:hAnsi="Arial" w:cs="Arial"/>
                <w:color w:val="000000"/>
                <w:sz w:val="18"/>
                <w:szCs w:val="18"/>
                <w:lang w:val="en-GB"/>
              </w:rPr>
              <w:t>00–</w:t>
            </w:r>
            <w:r w:rsidRPr="002B43C8">
              <w:rPr>
                <w:rFonts w:ascii="Arial" w:hAnsi="Arial" w:cs="Arial"/>
                <w:color w:val="000000"/>
                <w:sz w:val="18"/>
                <w:szCs w:val="18"/>
                <w:lang w:val="en-GB"/>
              </w:rPr>
              <w:t>0.82</w:t>
            </w:r>
            <w:r>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A91FBB" w:rsidRPr="002B43C8" w14:paraId="34AAE713" w14:textId="77777777" w:rsidTr="00880091">
        <w:trPr>
          <w:trHeight w:val="152"/>
          <w:jc w:val="center"/>
        </w:trPr>
        <w:tc>
          <w:tcPr>
            <w:tcW w:w="4978" w:type="dxa"/>
            <w:gridSpan w:val="3"/>
            <w:vMerge/>
            <w:tcBorders>
              <w:left w:val="single" w:sz="4" w:space="0" w:color="auto"/>
              <w:right w:val="single" w:sz="4" w:space="0" w:color="auto"/>
            </w:tcBorders>
            <w:shd w:val="clear" w:color="auto" w:fill="auto"/>
            <w:noWrap/>
            <w:hideMark/>
          </w:tcPr>
          <w:p w14:paraId="214451F7" w14:textId="1384B570" w:rsidR="00A91FBB" w:rsidRPr="002B43C8" w:rsidRDefault="00A91FBB" w:rsidP="002141C0">
            <w:pPr>
              <w:numPr>
                <w:ilvl w:val="1"/>
                <w:numId w:val="0"/>
              </w:numPr>
              <w:contextualSpacing/>
              <w:jc w:val="right"/>
              <w:rPr>
                <w:rFonts w:ascii="Arial" w:hAnsi="Arial" w:cs="Arial"/>
                <w:i/>
                <w:iCs/>
                <w:color w:val="000000"/>
                <w:spacing w:val="15"/>
                <w:sz w:val="18"/>
                <w:szCs w:val="18"/>
                <w:lang w:val="en-GB"/>
              </w:rPr>
            </w:pPr>
          </w:p>
        </w:tc>
        <w:tc>
          <w:tcPr>
            <w:tcW w:w="1994" w:type="dxa"/>
            <w:tcBorders>
              <w:top w:val="nil"/>
              <w:left w:val="single" w:sz="4" w:space="0" w:color="auto"/>
              <w:bottom w:val="single" w:sz="4" w:space="0" w:color="auto"/>
              <w:right w:val="single" w:sz="4" w:space="0" w:color="auto"/>
            </w:tcBorders>
          </w:tcPr>
          <w:p w14:paraId="55093391" w14:textId="36C4A746"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Toyota Etios Liva</w:t>
            </w:r>
          </w:p>
        </w:tc>
        <w:tc>
          <w:tcPr>
            <w:tcW w:w="1756" w:type="dxa"/>
            <w:tcBorders>
              <w:top w:val="single" w:sz="4" w:space="0" w:color="auto"/>
              <w:left w:val="single" w:sz="4" w:space="0" w:color="auto"/>
              <w:bottom w:val="single" w:sz="4" w:space="0" w:color="auto"/>
              <w:right w:val="single" w:sz="4" w:space="0" w:color="auto"/>
            </w:tcBorders>
          </w:tcPr>
          <w:p w14:paraId="5D0C1C6A" w14:textId="3FF60B1E"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0.5</w:t>
            </w:r>
            <w:r>
              <w:rPr>
                <w:rFonts w:ascii="Arial" w:hAnsi="Arial" w:cs="Arial"/>
                <w:color w:val="000000"/>
                <w:sz w:val="18"/>
                <w:szCs w:val="18"/>
                <w:lang w:val="en-GB"/>
              </w:rPr>
              <w:t>00–</w:t>
            </w:r>
            <w:r w:rsidRPr="002B43C8">
              <w:rPr>
                <w:rFonts w:ascii="Arial" w:hAnsi="Arial" w:cs="Arial"/>
                <w:color w:val="000000"/>
                <w:sz w:val="18"/>
                <w:szCs w:val="18"/>
                <w:lang w:val="en-GB"/>
              </w:rPr>
              <w:t>0.72</w:t>
            </w:r>
            <w:r>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A91FBB" w:rsidRPr="002B43C8" w14:paraId="23284651" w14:textId="77777777" w:rsidTr="00880091">
        <w:trPr>
          <w:trHeight w:val="152"/>
          <w:jc w:val="center"/>
        </w:trPr>
        <w:tc>
          <w:tcPr>
            <w:tcW w:w="4978" w:type="dxa"/>
            <w:gridSpan w:val="3"/>
            <w:vMerge/>
            <w:tcBorders>
              <w:left w:val="single" w:sz="4" w:space="0" w:color="auto"/>
              <w:right w:val="single" w:sz="4" w:space="0" w:color="auto"/>
            </w:tcBorders>
            <w:shd w:val="clear" w:color="auto" w:fill="auto"/>
            <w:noWrap/>
            <w:hideMark/>
          </w:tcPr>
          <w:p w14:paraId="5852F9E4" w14:textId="768C4715" w:rsidR="00A91FBB" w:rsidRPr="002B43C8" w:rsidRDefault="00A91FBB" w:rsidP="002141C0">
            <w:pPr>
              <w:numPr>
                <w:ilvl w:val="1"/>
                <w:numId w:val="0"/>
              </w:numPr>
              <w:contextualSpacing/>
              <w:jc w:val="right"/>
              <w:rPr>
                <w:rFonts w:ascii="Arial" w:hAnsi="Arial" w:cs="Arial"/>
                <w:i/>
                <w:iCs/>
                <w:color w:val="000000"/>
                <w:spacing w:val="15"/>
                <w:sz w:val="18"/>
                <w:szCs w:val="18"/>
                <w:lang w:val="en-GB"/>
              </w:rPr>
            </w:pPr>
          </w:p>
        </w:tc>
        <w:tc>
          <w:tcPr>
            <w:tcW w:w="1994" w:type="dxa"/>
            <w:tcBorders>
              <w:top w:val="nil"/>
              <w:left w:val="single" w:sz="4" w:space="0" w:color="auto"/>
              <w:bottom w:val="single" w:sz="4" w:space="0" w:color="auto"/>
              <w:right w:val="single" w:sz="4" w:space="0" w:color="auto"/>
            </w:tcBorders>
          </w:tcPr>
          <w:p w14:paraId="02498117" w14:textId="30D7D221"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Hyundai Grand i10</w:t>
            </w:r>
          </w:p>
        </w:tc>
        <w:tc>
          <w:tcPr>
            <w:tcW w:w="1756" w:type="dxa"/>
            <w:tcBorders>
              <w:top w:val="single" w:sz="4" w:space="0" w:color="auto"/>
              <w:left w:val="single" w:sz="4" w:space="0" w:color="auto"/>
              <w:bottom w:val="single" w:sz="4" w:space="0" w:color="auto"/>
              <w:right w:val="single" w:sz="4" w:space="0" w:color="auto"/>
            </w:tcBorders>
          </w:tcPr>
          <w:p w14:paraId="58E9F9FD" w14:textId="27E42E23"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0.519</w:t>
            </w:r>
            <w:r>
              <w:rPr>
                <w:rFonts w:ascii="Arial" w:hAnsi="Arial"/>
                <w:color w:val="000000"/>
                <w:sz w:val="18"/>
                <w:szCs w:val="18"/>
                <w:lang w:val="en-GB"/>
              </w:rPr>
              <w:t>–</w:t>
            </w:r>
            <w:r w:rsidRPr="002B43C8">
              <w:rPr>
                <w:rFonts w:ascii="Arial" w:hAnsi="Arial"/>
                <w:color w:val="000000"/>
                <w:sz w:val="18"/>
                <w:szCs w:val="18"/>
                <w:lang w:val="en-GB"/>
              </w:rPr>
              <w:t>0.</w:t>
            </w:r>
            <w:r w:rsidRPr="002B43C8">
              <w:rPr>
                <w:rFonts w:ascii="Arial" w:hAnsi="Arial" w:cs="Arial"/>
                <w:color w:val="000000"/>
                <w:sz w:val="18"/>
                <w:szCs w:val="18"/>
                <w:lang w:val="en-GB"/>
              </w:rPr>
              <w:t>61</w:t>
            </w:r>
            <w:r>
              <w:rPr>
                <w:rFonts w:ascii="Arial" w:hAnsi="Arial" w:cs="Arial"/>
                <w:color w:val="000000"/>
                <w:sz w:val="18"/>
                <w:szCs w:val="18"/>
                <w:lang w:val="en-GB"/>
              </w:rPr>
              <w:t>0</w:t>
            </w:r>
          </w:p>
        </w:tc>
      </w:tr>
      <w:tr w:rsidR="00A91FBB" w:rsidRPr="002B43C8" w14:paraId="1CEAAB3B" w14:textId="77777777" w:rsidTr="00880091">
        <w:trPr>
          <w:trHeight w:val="152"/>
          <w:jc w:val="center"/>
        </w:trPr>
        <w:tc>
          <w:tcPr>
            <w:tcW w:w="4978" w:type="dxa"/>
            <w:gridSpan w:val="3"/>
            <w:vMerge/>
            <w:tcBorders>
              <w:left w:val="single" w:sz="4" w:space="0" w:color="auto"/>
              <w:bottom w:val="single" w:sz="4" w:space="0" w:color="auto"/>
              <w:right w:val="single" w:sz="4" w:space="0" w:color="auto"/>
            </w:tcBorders>
            <w:shd w:val="clear" w:color="auto" w:fill="auto"/>
            <w:noWrap/>
            <w:hideMark/>
          </w:tcPr>
          <w:p w14:paraId="4BF2087C" w14:textId="1CF25F37" w:rsidR="00A91FBB" w:rsidRPr="002B43C8" w:rsidRDefault="00A91FBB" w:rsidP="002141C0">
            <w:pPr>
              <w:numPr>
                <w:ilvl w:val="1"/>
                <w:numId w:val="0"/>
              </w:numPr>
              <w:contextualSpacing/>
              <w:jc w:val="right"/>
              <w:rPr>
                <w:rFonts w:ascii="Arial" w:hAnsi="Arial" w:cs="Arial"/>
                <w:i/>
                <w:iCs/>
                <w:color w:val="000000"/>
                <w:spacing w:val="15"/>
                <w:sz w:val="18"/>
                <w:szCs w:val="18"/>
                <w:lang w:val="en-GB"/>
              </w:rPr>
            </w:pPr>
          </w:p>
        </w:tc>
        <w:tc>
          <w:tcPr>
            <w:tcW w:w="1994" w:type="dxa"/>
            <w:tcBorders>
              <w:top w:val="nil"/>
              <w:left w:val="single" w:sz="4" w:space="0" w:color="auto"/>
              <w:bottom w:val="single" w:sz="4" w:space="0" w:color="auto"/>
              <w:right w:val="single" w:sz="4" w:space="0" w:color="auto"/>
            </w:tcBorders>
          </w:tcPr>
          <w:p w14:paraId="1F3C577D" w14:textId="70F2E6D1"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Hyundai i20 Elite</w:t>
            </w:r>
          </w:p>
        </w:tc>
        <w:tc>
          <w:tcPr>
            <w:tcW w:w="1756" w:type="dxa"/>
            <w:tcBorders>
              <w:top w:val="single" w:sz="4" w:space="0" w:color="auto"/>
              <w:left w:val="single" w:sz="4" w:space="0" w:color="auto"/>
              <w:bottom w:val="single" w:sz="4" w:space="0" w:color="auto"/>
              <w:right w:val="single" w:sz="4" w:space="0" w:color="auto"/>
            </w:tcBorders>
          </w:tcPr>
          <w:p w14:paraId="68F5131A" w14:textId="1669641F"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0.52</w:t>
            </w:r>
            <w:r>
              <w:rPr>
                <w:rFonts w:ascii="Arial" w:hAnsi="Arial" w:cs="Arial"/>
                <w:color w:val="000000"/>
                <w:sz w:val="18"/>
                <w:szCs w:val="18"/>
                <w:lang w:val="en-GB"/>
              </w:rPr>
              <w:t>0–</w:t>
            </w:r>
            <w:r w:rsidRPr="002B43C8">
              <w:rPr>
                <w:rFonts w:ascii="Arial" w:hAnsi="Arial" w:cs="Arial"/>
                <w:color w:val="000000"/>
                <w:sz w:val="18"/>
                <w:szCs w:val="18"/>
                <w:lang w:val="en-GB"/>
              </w:rPr>
              <w:t>0.8</w:t>
            </w:r>
            <w:r>
              <w:rPr>
                <w:rFonts w:ascii="Arial" w:hAnsi="Arial" w:cs="Arial"/>
                <w:color w:val="000000"/>
                <w:sz w:val="18"/>
                <w:szCs w:val="18"/>
                <w:lang w:val="en-GB"/>
              </w:rPr>
              <w:t>00</w:t>
            </w:r>
            <w:r w:rsidRPr="002B43C8">
              <w:rPr>
                <w:rFonts w:ascii="Arial" w:hAnsi="Arial" w:cs="Arial"/>
                <w:color w:val="000000"/>
                <w:sz w:val="18"/>
                <w:szCs w:val="18"/>
                <w:lang w:val="en-GB"/>
              </w:rPr>
              <w:t xml:space="preserve"> </w:t>
            </w:r>
          </w:p>
        </w:tc>
      </w:tr>
      <w:tr w:rsidR="00C46A13" w:rsidRPr="002B43C8" w14:paraId="746B6FC5" w14:textId="77777777" w:rsidTr="00C46A13">
        <w:trPr>
          <w:trHeight w:val="152"/>
          <w:jc w:val="center"/>
        </w:trPr>
        <w:tc>
          <w:tcPr>
            <w:tcW w:w="1352" w:type="dxa"/>
            <w:tcBorders>
              <w:top w:val="nil"/>
              <w:left w:val="single" w:sz="4" w:space="0" w:color="auto"/>
              <w:bottom w:val="single" w:sz="4" w:space="0" w:color="auto"/>
              <w:right w:val="single" w:sz="4" w:space="0" w:color="auto"/>
            </w:tcBorders>
            <w:shd w:val="clear" w:color="auto" w:fill="auto"/>
            <w:noWrap/>
          </w:tcPr>
          <w:p w14:paraId="71B7C7A7" w14:textId="77777777" w:rsidR="004328F4" w:rsidRPr="002B43C8" w:rsidRDefault="004328F4" w:rsidP="005E6166">
            <w:pPr>
              <w:contextualSpacing/>
              <w:rPr>
                <w:rFonts w:ascii="Arial" w:hAnsi="Arial"/>
                <w:color w:val="000000"/>
                <w:sz w:val="18"/>
                <w:szCs w:val="18"/>
                <w:lang w:val="en-GB"/>
              </w:rPr>
            </w:pPr>
            <w:r w:rsidRPr="002B43C8">
              <w:rPr>
                <w:rFonts w:ascii="Arial" w:hAnsi="Arial"/>
                <w:color w:val="000000"/>
                <w:sz w:val="18"/>
                <w:szCs w:val="18"/>
                <w:lang w:val="en-GB"/>
              </w:rPr>
              <w:t>Dzire</w:t>
            </w:r>
          </w:p>
        </w:tc>
        <w:tc>
          <w:tcPr>
            <w:tcW w:w="1933" w:type="dxa"/>
            <w:tcBorders>
              <w:top w:val="nil"/>
              <w:left w:val="nil"/>
              <w:bottom w:val="single" w:sz="4" w:space="0" w:color="auto"/>
              <w:right w:val="single" w:sz="4" w:space="0" w:color="auto"/>
            </w:tcBorders>
            <w:shd w:val="clear" w:color="auto" w:fill="auto"/>
            <w:noWrap/>
          </w:tcPr>
          <w:p w14:paraId="32734DFA" w14:textId="77777777" w:rsidR="004328F4" w:rsidRPr="002B43C8" w:rsidRDefault="004328F4" w:rsidP="005E6166">
            <w:pPr>
              <w:contextualSpacing/>
              <w:rPr>
                <w:rFonts w:ascii="Arial" w:hAnsi="Arial"/>
                <w:color w:val="000000"/>
                <w:sz w:val="18"/>
                <w:szCs w:val="18"/>
                <w:lang w:val="en-GB"/>
              </w:rPr>
            </w:pPr>
            <w:r w:rsidRPr="002B43C8">
              <w:rPr>
                <w:rFonts w:ascii="Arial" w:hAnsi="Arial"/>
                <w:color w:val="000000"/>
                <w:sz w:val="18"/>
                <w:szCs w:val="18"/>
                <w:lang w:val="en-GB"/>
              </w:rPr>
              <w:t>Sedan/A3</w:t>
            </w:r>
          </w:p>
        </w:tc>
        <w:tc>
          <w:tcPr>
            <w:tcW w:w="1693" w:type="dxa"/>
            <w:tcBorders>
              <w:top w:val="nil"/>
              <w:left w:val="nil"/>
              <w:bottom w:val="single" w:sz="4" w:space="0" w:color="auto"/>
              <w:right w:val="single" w:sz="4" w:space="0" w:color="auto"/>
            </w:tcBorders>
            <w:shd w:val="clear" w:color="auto" w:fill="auto"/>
            <w:noWrap/>
          </w:tcPr>
          <w:p w14:paraId="0C83307D" w14:textId="51A199C4"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olor w:val="000000"/>
                <w:sz w:val="18"/>
                <w:szCs w:val="18"/>
                <w:lang w:val="en-GB"/>
              </w:rPr>
              <w:t>0.508</w:t>
            </w:r>
            <w:r w:rsidR="00FE3D65">
              <w:rPr>
                <w:rFonts w:ascii="Arial" w:hAnsi="Arial"/>
                <w:color w:val="000000"/>
                <w:sz w:val="18"/>
                <w:szCs w:val="18"/>
                <w:lang w:val="en-GB"/>
              </w:rPr>
              <w:t>–</w:t>
            </w:r>
            <w:r w:rsidRPr="002B43C8">
              <w:rPr>
                <w:rFonts w:ascii="Arial" w:hAnsi="Arial" w:cs="Arial"/>
                <w:color w:val="000000"/>
                <w:sz w:val="18"/>
                <w:szCs w:val="18"/>
                <w:lang w:val="en-GB"/>
              </w:rPr>
              <w:t>0.782</w:t>
            </w:r>
          </w:p>
        </w:tc>
        <w:tc>
          <w:tcPr>
            <w:tcW w:w="1994" w:type="dxa"/>
            <w:tcBorders>
              <w:top w:val="nil"/>
              <w:left w:val="single" w:sz="4" w:space="0" w:color="auto"/>
              <w:bottom w:val="single" w:sz="4" w:space="0" w:color="auto"/>
              <w:right w:val="single" w:sz="4" w:space="0" w:color="auto"/>
            </w:tcBorders>
          </w:tcPr>
          <w:p w14:paraId="1FE7D586" w14:textId="284FA105"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Tata Indigo</w:t>
            </w:r>
          </w:p>
        </w:tc>
        <w:tc>
          <w:tcPr>
            <w:tcW w:w="1756" w:type="dxa"/>
            <w:tcBorders>
              <w:top w:val="single" w:sz="4" w:space="0" w:color="auto"/>
              <w:left w:val="single" w:sz="4" w:space="0" w:color="auto"/>
              <w:bottom w:val="single" w:sz="4" w:space="0" w:color="auto"/>
              <w:right w:val="single" w:sz="4" w:space="0" w:color="auto"/>
            </w:tcBorders>
          </w:tcPr>
          <w:p w14:paraId="1BF72C4E" w14:textId="06E302CB"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0.51</w:t>
            </w:r>
            <w:r w:rsidR="00A91FBB">
              <w:rPr>
                <w:rFonts w:ascii="Arial" w:hAnsi="Arial" w:cs="Arial"/>
                <w:color w:val="000000"/>
                <w:sz w:val="18"/>
                <w:szCs w:val="18"/>
                <w:lang w:val="en-GB"/>
              </w:rPr>
              <w:t>0</w:t>
            </w:r>
            <w:r w:rsidR="00FE3D65">
              <w:rPr>
                <w:rFonts w:ascii="Arial" w:hAnsi="Arial" w:cs="Arial"/>
                <w:color w:val="000000"/>
                <w:sz w:val="18"/>
                <w:szCs w:val="18"/>
                <w:lang w:val="en-GB"/>
              </w:rPr>
              <w:t>–</w:t>
            </w:r>
            <w:r w:rsidRPr="002B43C8">
              <w:rPr>
                <w:rFonts w:ascii="Arial" w:hAnsi="Arial" w:cs="Arial"/>
                <w:color w:val="000000"/>
                <w:sz w:val="18"/>
                <w:szCs w:val="18"/>
                <w:lang w:val="en-GB"/>
              </w:rPr>
              <w:t>0.62</w:t>
            </w:r>
            <w:r w:rsidR="00A91FBB">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A91FBB" w:rsidRPr="002B43C8" w14:paraId="3E1FFBB3" w14:textId="77777777" w:rsidTr="00880091">
        <w:trPr>
          <w:trHeight w:val="152"/>
          <w:jc w:val="center"/>
        </w:trPr>
        <w:tc>
          <w:tcPr>
            <w:tcW w:w="4978" w:type="dxa"/>
            <w:gridSpan w:val="3"/>
            <w:vMerge w:val="restart"/>
            <w:tcBorders>
              <w:top w:val="nil"/>
              <w:left w:val="single" w:sz="4" w:space="0" w:color="auto"/>
              <w:right w:val="single" w:sz="4" w:space="0" w:color="auto"/>
            </w:tcBorders>
            <w:shd w:val="clear" w:color="auto" w:fill="auto"/>
            <w:noWrap/>
          </w:tcPr>
          <w:p w14:paraId="761235B8" w14:textId="0C7EFF1B" w:rsidR="00A91FBB" w:rsidRPr="002B43C8" w:rsidRDefault="00A91FBB" w:rsidP="002141C0">
            <w:pPr>
              <w:numPr>
                <w:ilvl w:val="1"/>
                <w:numId w:val="0"/>
              </w:numPr>
              <w:contextualSpacing/>
              <w:jc w:val="right"/>
              <w:rPr>
                <w:rFonts w:ascii="Arial" w:hAnsi="Arial" w:cs="Arial"/>
                <w:i/>
                <w:iCs/>
                <w:color w:val="000000"/>
                <w:spacing w:val="15"/>
                <w:sz w:val="18"/>
                <w:szCs w:val="18"/>
                <w:lang w:val="en-GB"/>
              </w:rPr>
            </w:pPr>
          </w:p>
        </w:tc>
        <w:tc>
          <w:tcPr>
            <w:tcW w:w="1994" w:type="dxa"/>
            <w:tcBorders>
              <w:top w:val="nil"/>
              <w:left w:val="single" w:sz="4" w:space="0" w:color="auto"/>
              <w:bottom w:val="single" w:sz="4" w:space="0" w:color="auto"/>
              <w:right w:val="single" w:sz="4" w:space="0" w:color="auto"/>
            </w:tcBorders>
          </w:tcPr>
          <w:p w14:paraId="33A3D300" w14:textId="7F944637"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Honda Amaze</w:t>
            </w:r>
          </w:p>
        </w:tc>
        <w:tc>
          <w:tcPr>
            <w:tcW w:w="1756" w:type="dxa"/>
            <w:tcBorders>
              <w:top w:val="single" w:sz="4" w:space="0" w:color="auto"/>
              <w:left w:val="single" w:sz="4" w:space="0" w:color="auto"/>
              <w:bottom w:val="single" w:sz="4" w:space="0" w:color="auto"/>
              <w:right w:val="single" w:sz="4" w:space="0" w:color="auto"/>
            </w:tcBorders>
          </w:tcPr>
          <w:p w14:paraId="2EE263EB" w14:textId="5F3B4F70"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0.52</w:t>
            </w:r>
            <w:r>
              <w:rPr>
                <w:rFonts w:ascii="Arial" w:hAnsi="Arial" w:cs="Arial"/>
                <w:color w:val="000000"/>
                <w:sz w:val="18"/>
                <w:szCs w:val="18"/>
                <w:lang w:val="en-GB"/>
              </w:rPr>
              <w:t>0–</w:t>
            </w:r>
            <w:r w:rsidRPr="002B43C8">
              <w:rPr>
                <w:rFonts w:ascii="Arial" w:hAnsi="Arial" w:cs="Arial"/>
                <w:color w:val="000000"/>
                <w:sz w:val="18"/>
                <w:szCs w:val="18"/>
                <w:lang w:val="en-GB"/>
              </w:rPr>
              <w:t>0.82</w:t>
            </w:r>
            <w:r>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A91FBB" w:rsidRPr="002B43C8" w14:paraId="4D74C858" w14:textId="77777777" w:rsidTr="00880091">
        <w:trPr>
          <w:trHeight w:val="152"/>
          <w:jc w:val="center"/>
        </w:trPr>
        <w:tc>
          <w:tcPr>
            <w:tcW w:w="4978" w:type="dxa"/>
            <w:gridSpan w:val="3"/>
            <w:vMerge/>
            <w:tcBorders>
              <w:left w:val="single" w:sz="4" w:space="0" w:color="auto"/>
              <w:right w:val="single" w:sz="4" w:space="0" w:color="auto"/>
            </w:tcBorders>
            <w:shd w:val="clear" w:color="auto" w:fill="auto"/>
            <w:noWrap/>
          </w:tcPr>
          <w:p w14:paraId="38F142F2" w14:textId="22F0BBFA" w:rsidR="00A91FBB" w:rsidRPr="002B43C8" w:rsidRDefault="00A91FBB" w:rsidP="002141C0">
            <w:pPr>
              <w:numPr>
                <w:ilvl w:val="1"/>
                <w:numId w:val="0"/>
              </w:numPr>
              <w:contextualSpacing/>
              <w:jc w:val="right"/>
              <w:rPr>
                <w:rFonts w:ascii="Arial" w:hAnsi="Arial" w:cs="Arial"/>
                <w:i/>
                <w:iCs/>
                <w:color w:val="000000"/>
                <w:spacing w:val="15"/>
                <w:sz w:val="18"/>
                <w:szCs w:val="18"/>
                <w:lang w:val="en-GB"/>
              </w:rPr>
            </w:pPr>
          </w:p>
        </w:tc>
        <w:tc>
          <w:tcPr>
            <w:tcW w:w="1994" w:type="dxa"/>
            <w:tcBorders>
              <w:top w:val="nil"/>
              <w:left w:val="single" w:sz="4" w:space="0" w:color="auto"/>
              <w:bottom w:val="single" w:sz="4" w:space="0" w:color="auto"/>
              <w:right w:val="single" w:sz="4" w:space="0" w:color="auto"/>
            </w:tcBorders>
          </w:tcPr>
          <w:p w14:paraId="1AA1FDE8" w14:textId="730D5BCA"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Hyundai Xcent</w:t>
            </w:r>
          </w:p>
        </w:tc>
        <w:tc>
          <w:tcPr>
            <w:tcW w:w="1756" w:type="dxa"/>
            <w:tcBorders>
              <w:top w:val="single" w:sz="4" w:space="0" w:color="auto"/>
              <w:left w:val="single" w:sz="4" w:space="0" w:color="auto"/>
              <w:bottom w:val="single" w:sz="4" w:space="0" w:color="auto"/>
              <w:right w:val="single" w:sz="4" w:space="0" w:color="auto"/>
            </w:tcBorders>
          </w:tcPr>
          <w:p w14:paraId="539670DE" w14:textId="5CFFB4C1"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0.5</w:t>
            </w:r>
            <w:r>
              <w:rPr>
                <w:rFonts w:ascii="Arial" w:hAnsi="Arial" w:cs="Arial"/>
                <w:color w:val="000000"/>
                <w:sz w:val="18"/>
                <w:szCs w:val="18"/>
                <w:lang w:val="en-GB"/>
              </w:rPr>
              <w:t>00–</w:t>
            </w:r>
            <w:r w:rsidRPr="002B43C8">
              <w:rPr>
                <w:rFonts w:ascii="Arial" w:hAnsi="Arial" w:cs="Arial"/>
                <w:color w:val="000000"/>
                <w:sz w:val="18"/>
                <w:szCs w:val="18"/>
                <w:lang w:val="en-GB"/>
              </w:rPr>
              <w:t>0.78</w:t>
            </w:r>
            <w:r>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A91FBB" w:rsidRPr="002B43C8" w14:paraId="1A4C35CB" w14:textId="77777777" w:rsidTr="00880091">
        <w:trPr>
          <w:trHeight w:val="152"/>
          <w:jc w:val="center"/>
        </w:trPr>
        <w:tc>
          <w:tcPr>
            <w:tcW w:w="4978" w:type="dxa"/>
            <w:gridSpan w:val="3"/>
            <w:vMerge/>
            <w:tcBorders>
              <w:left w:val="single" w:sz="4" w:space="0" w:color="auto"/>
              <w:right w:val="single" w:sz="4" w:space="0" w:color="auto"/>
            </w:tcBorders>
            <w:shd w:val="clear" w:color="auto" w:fill="auto"/>
            <w:noWrap/>
          </w:tcPr>
          <w:p w14:paraId="195C3B6B" w14:textId="38D07ED0" w:rsidR="00A91FBB" w:rsidRPr="002B43C8" w:rsidRDefault="00A91FBB" w:rsidP="002141C0">
            <w:pPr>
              <w:numPr>
                <w:ilvl w:val="1"/>
                <w:numId w:val="0"/>
              </w:numPr>
              <w:contextualSpacing/>
              <w:jc w:val="right"/>
              <w:rPr>
                <w:rFonts w:ascii="Arial" w:hAnsi="Arial" w:cs="Arial"/>
                <w:i/>
                <w:iCs/>
                <w:color w:val="000000"/>
                <w:spacing w:val="15"/>
                <w:sz w:val="18"/>
                <w:szCs w:val="18"/>
                <w:lang w:val="en-GB"/>
              </w:rPr>
            </w:pPr>
          </w:p>
        </w:tc>
        <w:tc>
          <w:tcPr>
            <w:tcW w:w="1994" w:type="dxa"/>
            <w:tcBorders>
              <w:top w:val="nil"/>
              <w:left w:val="single" w:sz="4" w:space="0" w:color="auto"/>
              <w:bottom w:val="single" w:sz="4" w:space="0" w:color="auto"/>
              <w:right w:val="single" w:sz="4" w:space="0" w:color="auto"/>
            </w:tcBorders>
          </w:tcPr>
          <w:p w14:paraId="0260317F" w14:textId="7D5A4983"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Toyota Etios</w:t>
            </w:r>
          </w:p>
        </w:tc>
        <w:tc>
          <w:tcPr>
            <w:tcW w:w="1756" w:type="dxa"/>
            <w:tcBorders>
              <w:top w:val="single" w:sz="4" w:space="0" w:color="auto"/>
              <w:left w:val="single" w:sz="4" w:space="0" w:color="auto"/>
              <w:bottom w:val="single" w:sz="4" w:space="0" w:color="auto"/>
              <w:right w:val="single" w:sz="4" w:space="0" w:color="auto"/>
            </w:tcBorders>
          </w:tcPr>
          <w:p w14:paraId="3F577C66" w14:textId="46BCE1D6"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0.64</w:t>
            </w:r>
            <w:r>
              <w:rPr>
                <w:rFonts w:ascii="Arial" w:hAnsi="Arial" w:cs="Arial"/>
                <w:color w:val="000000"/>
                <w:sz w:val="18"/>
                <w:szCs w:val="18"/>
                <w:lang w:val="en-GB"/>
              </w:rPr>
              <w:t>0–</w:t>
            </w:r>
            <w:r w:rsidRPr="002B43C8">
              <w:rPr>
                <w:rFonts w:ascii="Arial" w:hAnsi="Arial" w:cs="Arial"/>
                <w:color w:val="000000"/>
                <w:sz w:val="18"/>
                <w:szCs w:val="18"/>
                <w:lang w:val="en-GB"/>
              </w:rPr>
              <w:t>0.92</w:t>
            </w:r>
            <w:r>
              <w:rPr>
                <w:rFonts w:ascii="Arial" w:hAnsi="Arial" w:cs="Arial"/>
                <w:color w:val="000000"/>
                <w:sz w:val="18"/>
                <w:szCs w:val="18"/>
                <w:lang w:val="en-GB"/>
              </w:rPr>
              <w:t>0</w:t>
            </w:r>
          </w:p>
        </w:tc>
      </w:tr>
      <w:tr w:rsidR="00A91FBB" w:rsidRPr="002B43C8" w14:paraId="0A6DF71A" w14:textId="77777777" w:rsidTr="00880091">
        <w:trPr>
          <w:trHeight w:val="152"/>
          <w:jc w:val="center"/>
        </w:trPr>
        <w:tc>
          <w:tcPr>
            <w:tcW w:w="4978" w:type="dxa"/>
            <w:gridSpan w:val="3"/>
            <w:vMerge/>
            <w:tcBorders>
              <w:left w:val="single" w:sz="4" w:space="0" w:color="auto"/>
              <w:bottom w:val="single" w:sz="4" w:space="0" w:color="auto"/>
              <w:right w:val="single" w:sz="4" w:space="0" w:color="auto"/>
            </w:tcBorders>
            <w:shd w:val="clear" w:color="auto" w:fill="auto"/>
            <w:noWrap/>
          </w:tcPr>
          <w:p w14:paraId="2EE9DD2A" w14:textId="77406F09" w:rsidR="00A91FBB" w:rsidRPr="002B43C8" w:rsidRDefault="00A91FBB" w:rsidP="002141C0">
            <w:pPr>
              <w:numPr>
                <w:ilvl w:val="1"/>
                <w:numId w:val="0"/>
              </w:numPr>
              <w:contextualSpacing/>
              <w:jc w:val="right"/>
              <w:rPr>
                <w:rFonts w:ascii="Arial" w:hAnsi="Arial" w:cs="Arial"/>
                <w:i/>
                <w:iCs/>
                <w:color w:val="000000"/>
                <w:spacing w:val="15"/>
                <w:sz w:val="18"/>
                <w:szCs w:val="18"/>
                <w:lang w:val="en-GB"/>
              </w:rPr>
            </w:pPr>
          </w:p>
        </w:tc>
        <w:tc>
          <w:tcPr>
            <w:tcW w:w="1994" w:type="dxa"/>
            <w:tcBorders>
              <w:top w:val="nil"/>
              <w:left w:val="single" w:sz="4" w:space="0" w:color="auto"/>
              <w:bottom w:val="single" w:sz="4" w:space="0" w:color="auto"/>
              <w:right w:val="single" w:sz="4" w:space="0" w:color="auto"/>
            </w:tcBorders>
          </w:tcPr>
          <w:p w14:paraId="5CD64EDA" w14:textId="564FC71D"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Tata Zest</w:t>
            </w:r>
          </w:p>
        </w:tc>
        <w:tc>
          <w:tcPr>
            <w:tcW w:w="1756" w:type="dxa"/>
            <w:tcBorders>
              <w:top w:val="single" w:sz="4" w:space="0" w:color="auto"/>
              <w:left w:val="single" w:sz="4" w:space="0" w:color="auto"/>
              <w:bottom w:val="single" w:sz="4" w:space="0" w:color="auto"/>
              <w:right w:val="single" w:sz="4" w:space="0" w:color="auto"/>
            </w:tcBorders>
          </w:tcPr>
          <w:p w14:paraId="249BDCAF" w14:textId="69134E23"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0.46</w:t>
            </w:r>
            <w:r>
              <w:rPr>
                <w:rFonts w:ascii="Arial" w:hAnsi="Arial" w:cs="Arial"/>
                <w:color w:val="000000"/>
                <w:sz w:val="18"/>
                <w:szCs w:val="18"/>
                <w:lang w:val="en-GB"/>
              </w:rPr>
              <w:t>0–</w:t>
            </w:r>
            <w:r w:rsidRPr="002B43C8">
              <w:rPr>
                <w:rFonts w:ascii="Arial" w:hAnsi="Arial" w:cs="Arial"/>
                <w:color w:val="000000"/>
                <w:sz w:val="18"/>
                <w:szCs w:val="18"/>
                <w:lang w:val="en-GB"/>
              </w:rPr>
              <w:t>0.699</w:t>
            </w:r>
          </w:p>
        </w:tc>
      </w:tr>
      <w:tr w:rsidR="00C46A13" w:rsidRPr="002B43C8" w14:paraId="5C29C873" w14:textId="77777777" w:rsidTr="00C46A13">
        <w:trPr>
          <w:trHeight w:val="152"/>
          <w:jc w:val="center"/>
        </w:trPr>
        <w:tc>
          <w:tcPr>
            <w:tcW w:w="1352" w:type="dxa"/>
            <w:tcBorders>
              <w:top w:val="nil"/>
              <w:left w:val="single" w:sz="4" w:space="0" w:color="auto"/>
              <w:bottom w:val="single" w:sz="4" w:space="0" w:color="auto"/>
              <w:right w:val="single" w:sz="4" w:space="0" w:color="auto"/>
            </w:tcBorders>
            <w:shd w:val="clear" w:color="auto" w:fill="auto"/>
            <w:noWrap/>
          </w:tcPr>
          <w:p w14:paraId="37AD4589"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Ciaz</w:t>
            </w:r>
          </w:p>
        </w:tc>
        <w:tc>
          <w:tcPr>
            <w:tcW w:w="1933" w:type="dxa"/>
            <w:tcBorders>
              <w:top w:val="nil"/>
              <w:left w:val="nil"/>
              <w:bottom w:val="single" w:sz="4" w:space="0" w:color="auto"/>
              <w:right w:val="single" w:sz="4" w:space="0" w:color="auto"/>
            </w:tcBorders>
            <w:shd w:val="clear" w:color="auto" w:fill="auto"/>
            <w:noWrap/>
          </w:tcPr>
          <w:p w14:paraId="0D516F3D"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Sedan/A4</w:t>
            </w:r>
          </w:p>
        </w:tc>
        <w:tc>
          <w:tcPr>
            <w:tcW w:w="1693" w:type="dxa"/>
            <w:tcBorders>
              <w:top w:val="nil"/>
              <w:left w:val="nil"/>
              <w:bottom w:val="single" w:sz="4" w:space="0" w:color="auto"/>
              <w:right w:val="single" w:sz="4" w:space="0" w:color="auto"/>
            </w:tcBorders>
            <w:shd w:val="clear" w:color="auto" w:fill="auto"/>
            <w:noWrap/>
          </w:tcPr>
          <w:p w14:paraId="0825422B" w14:textId="7E79F193"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0.718</w:t>
            </w:r>
            <w:r w:rsidR="00FE3D65">
              <w:rPr>
                <w:rFonts w:ascii="Arial" w:hAnsi="Arial" w:cs="Arial"/>
                <w:color w:val="000000"/>
                <w:sz w:val="18"/>
                <w:szCs w:val="18"/>
                <w:lang w:val="en-GB"/>
              </w:rPr>
              <w:t>–</w:t>
            </w:r>
            <w:r w:rsidRPr="002B43C8">
              <w:rPr>
                <w:rFonts w:ascii="Arial" w:hAnsi="Arial" w:cs="Arial"/>
                <w:color w:val="000000"/>
                <w:sz w:val="18"/>
                <w:szCs w:val="18"/>
                <w:lang w:val="en-GB"/>
              </w:rPr>
              <w:t>1.031</w:t>
            </w:r>
          </w:p>
        </w:tc>
        <w:tc>
          <w:tcPr>
            <w:tcW w:w="1994" w:type="dxa"/>
            <w:tcBorders>
              <w:top w:val="nil"/>
              <w:left w:val="single" w:sz="4" w:space="0" w:color="auto"/>
              <w:bottom w:val="single" w:sz="4" w:space="0" w:color="auto"/>
              <w:right w:val="single" w:sz="4" w:space="0" w:color="auto"/>
            </w:tcBorders>
          </w:tcPr>
          <w:p w14:paraId="18681848" w14:textId="22AAAE29"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Hyundai Fluidic Verna</w:t>
            </w:r>
          </w:p>
        </w:tc>
        <w:tc>
          <w:tcPr>
            <w:tcW w:w="1756" w:type="dxa"/>
            <w:tcBorders>
              <w:top w:val="single" w:sz="4" w:space="0" w:color="auto"/>
              <w:left w:val="single" w:sz="4" w:space="0" w:color="auto"/>
              <w:bottom w:val="single" w:sz="4" w:space="0" w:color="auto"/>
              <w:right w:val="single" w:sz="4" w:space="0" w:color="auto"/>
            </w:tcBorders>
          </w:tcPr>
          <w:p w14:paraId="6C783F85" w14:textId="7F110132"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0.77</w:t>
            </w:r>
            <w:r w:rsidR="00A91FBB">
              <w:rPr>
                <w:rFonts w:ascii="Arial" w:hAnsi="Arial" w:cs="Arial"/>
                <w:color w:val="000000"/>
                <w:sz w:val="18"/>
                <w:szCs w:val="18"/>
                <w:lang w:val="en-GB"/>
              </w:rPr>
              <w:t>0</w:t>
            </w:r>
            <w:r w:rsidR="00FE3D65">
              <w:rPr>
                <w:rFonts w:ascii="Arial" w:hAnsi="Arial" w:cs="Arial"/>
                <w:color w:val="000000"/>
                <w:sz w:val="18"/>
                <w:szCs w:val="18"/>
                <w:lang w:val="en-GB"/>
              </w:rPr>
              <w:t>–</w:t>
            </w:r>
            <w:r w:rsidRPr="002B43C8">
              <w:rPr>
                <w:rFonts w:ascii="Arial" w:hAnsi="Arial" w:cs="Arial"/>
                <w:color w:val="000000"/>
                <w:sz w:val="18"/>
                <w:szCs w:val="18"/>
                <w:lang w:val="en-GB"/>
              </w:rPr>
              <w:t>1.21</w:t>
            </w:r>
            <w:r w:rsidR="00A91FBB">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A91FBB" w:rsidRPr="002B43C8" w14:paraId="603B415B" w14:textId="77777777" w:rsidTr="00880091">
        <w:trPr>
          <w:trHeight w:val="152"/>
          <w:jc w:val="center"/>
        </w:trPr>
        <w:tc>
          <w:tcPr>
            <w:tcW w:w="4978" w:type="dxa"/>
            <w:gridSpan w:val="3"/>
            <w:vMerge w:val="restart"/>
            <w:tcBorders>
              <w:top w:val="nil"/>
              <w:left w:val="single" w:sz="4" w:space="0" w:color="auto"/>
              <w:right w:val="single" w:sz="4" w:space="0" w:color="auto"/>
            </w:tcBorders>
            <w:shd w:val="clear" w:color="auto" w:fill="auto"/>
            <w:noWrap/>
          </w:tcPr>
          <w:p w14:paraId="08C82673" w14:textId="239D4057" w:rsidR="00A91FBB" w:rsidRPr="002B43C8" w:rsidRDefault="00A91FBB" w:rsidP="002141C0">
            <w:pPr>
              <w:numPr>
                <w:ilvl w:val="1"/>
                <w:numId w:val="0"/>
              </w:numPr>
              <w:contextualSpacing/>
              <w:jc w:val="right"/>
              <w:rPr>
                <w:rFonts w:ascii="Arial" w:hAnsi="Arial" w:cs="Arial"/>
                <w:i/>
                <w:iCs/>
                <w:color w:val="000000"/>
                <w:spacing w:val="15"/>
                <w:sz w:val="18"/>
                <w:szCs w:val="18"/>
                <w:lang w:val="en-GB"/>
              </w:rPr>
            </w:pPr>
          </w:p>
        </w:tc>
        <w:tc>
          <w:tcPr>
            <w:tcW w:w="1994" w:type="dxa"/>
            <w:tcBorders>
              <w:top w:val="nil"/>
              <w:left w:val="single" w:sz="4" w:space="0" w:color="auto"/>
              <w:bottom w:val="single" w:sz="4" w:space="0" w:color="auto"/>
              <w:right w:val="single" w:sz="4" w:space="0" w:color="auto"/>
            </w:tcBorders>
          </w:tcPr>
          <w:p w14:paraId="0177B40B" w14:textId="4AA9F69B"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Honda City</w:t>
            </w:r>
          </w:p>
        </w:tc>
        <w:tc>
          <w:tcPr>
            <w:tcW w:w="1756" w:type="dxa"/>
            <w:tcBorders>
              <w:top w:val="single" w:sz="4" w:space="0" w:color="auto"/>
              <w:left w:val="single" w:sz="4" w:space="0" w:color="auto"/>
              <w:bottom w:val="single" w:sz="4" w:space="0" w:color="auto"/>
              <w:right w:val="single" w:sz="4" w:space="0" w:color="auto"/>
            </w:tcBorders>
          </w:tcPr>
          <w:p w14:paraId="6842A831" w14:textId="0DECF02C"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0.75</w:t>
            </w:r>
            <w:r>
              <w:rPr>
                <w:rFonts w:ascii="Arial" w:hAnsi="Arial" w:cs="Arial"/>
                <w:color w:val="000000"/>
                <w:sz w:val="18"/>
                <w:szCs w:val="18"/>
                <w:lang w:val="en-GB"/>
              </w:rPr>
              <w:t>0–</w:t>
            </w:r>
            <w:r w:rsidRPr="002B43C8">
              <w:rPr>
                <w:rFonts w:ascii="Arial" w:hAnsi="Arial" w:cs="Arial"/>
                <w:color w:val="000000"/>
                <w:sz w:val="18"/>
                <w:szCs w:val="18"/>
                <w:lang w:val="en-GB"/>
              </w:rPr>
              <w:t>1.18</w:t>
            </w:r>
            <w:r>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A91FBB" w:rsidRPr="002B43C8" w14:paraId="1D1C35DC" w14:textId="77777777" w:rsidTr="00880091">
        <w:trPr>
          <w:trHeight w:val="152"/>
          <w:jc w:val="center"/>
        </w:trPr>
        <w:tc>
          <w:tcPr>
            <w:tcW w:w="4978" w:type="dxa"/>
            <w:gridSpan w:val="3"/>
            <w:vMerge/>
            <w:tcBorders>
              <w:left w:val="single" w:sz="4" w:space="0" w:color="auto"/>
              <w:bottom w:val="single" w:sz="4" w:space="0" w:color="auto"/>
              <w:right w:val="single" w:sz="4" w:space="0" w:color="auto"/>
            </w:tcBorders>
            <w:shd w:val="clear" w:color="auto" w:fill="auto"/>
            <w:noWrap/>
          </w:tcPr>
          <w:p w14:paraId="6A5309F5" w14:textId="012B9B00" w:rsidR="00A91FBB" w:rsidRPr="002B43C8" w:rsidRDefault="00A91FBB" w:rsidP="002141C0">
            <w:pPr>
              <w:numPr>
                <w:ilvl w:val="1"/>
                <w:numId w:val="0"/>
              </w:numPr>
              <w:contextualSpacing/>
              <w:jc w:val="right"/>
              <w:rPr>
                <w:rFonts w:ascii="Arial" w:hAnsi="Arial" w:cs="Arial"/>
                <w:i/>
                <w:iCs/>
                <w:color w:val="000000"/>
                <w:spacing w:val="15"/>
                <w:sz w:val="18"/>
                <w:szCs w:val="18"/>
                <w:lang w:val="en-GB"/>
              </w:rPr>
            </w:pPr>
          </w:p>
        </w:tc>
        <w:tc>
          <w:tcPr>
            <w:tcW w:w="1994" w:type="dxa"/>
            <w:tcBorders>
              <w:top w:val="nil"/>
              <w:left w:val="single" w:sz="4" w:space="0" w:color="auto"/>
              <w:bottom w:val="single" w:sz="4" w:space="0" w:color="auto"/>
              <w:right w:val="single" w:sz="4" w:space="0" w:color="auto"/>
            </w:tcBorders>
          </w:tcPr>
          <w:p w14:paraId="0EB1EF9F" w14:textId="7489A0BE"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Volkswagen Vento</w:t>
            </w:r>
          </w:p>
        </w:tc>
        <w:tc>
          <w:tcPr>
            <w:tcW w:w="1756" w:type="dxa"/>
            <w:tcBorders>
              <w:top w:val="single" w:sz="4" w:space="0" w:color="auto"/>
              <w:left w:val="single" w:sz="4" w:space="0" w:color="auto"/>
              <w:bottom w:val="single" w:sz="4" w:space="0" w:color="auto"/>
              <w:right w:val="single" w:sz="4" w:space="0" w:color="auto"/>
            </w:tcBorders>
          </w:tcPr>
          <w:p w14:paraId="5B4264A7" w14:textId="3DD6A8DF"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0.76</w:t>
            </w:r>
            <w:r>
              <w:rPr>
                <w:rFonts w:ascii="Arial" w:hAnsi="Arial" w:cs="Arial"/>
                <w:color w:val="000000"/>
                <w:sz w:val="18"/>
                <w:szCs w:val="18"/>
                <w:lang w:val="en-GB"/>
              </w:rPr>
              <w:t>0–</w:t>
            </w:r>
            <w:r w:rsidRPr="002B43C8">
              <w:rPr>
                <w:rFonts w:ascii="Arial" w:hAnsi="Arial" w:cs="Arial"/>
                <w:color w:val="000000"/>
                <w:sz w:val="18"/>
                <w:szCs w:val="18"/>
                <w:lang w:val="en-GB"/>
              </w:rPr>
              <w:t>1.12</w:t>
            </w:r>
            <w:r>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C46A13" w:rsidRPr="002B43C8" w14:paraId="51CA1F80" w14:textId="77777777" w:rsidTr="00C46A13">
        <w:trPr>
          <w:trHeight w:val="152"/>
          <w:jc w:val="center"/>
        </w:trPr>
        <w:tc>
          <w:tcPr>
            <w:tcW w:w="1352" w:type="dxa"/>
            <w:tcBorders>
              <w:top w:val="nil"/>
              <w:left w:val="single" w:sz="4" w:space="0" w:color="auto"/>
              <w:bottom w:val="single" w:sz="4" w:space="0" w:color="auto"/>
              <w:right w:val="single" w:sz="4" w:space="0" w:color="auto"/>
            </w:tcBorders>
            <w:shd w:val="clear" w:color="auto" w:fill="auto"/>
            <w:noWrap/>
            <w:hideMark/>
          </w:tcPr>
          <w:p w14:paraId="5E4AEE92"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Ertiga</w:t>
            </w:r>
          </w:p>
        </w:tc>
        <w:tc>
          <w:tcPr>
            <w:tcW w:w="1933" w:type="dxa"/>
            <w:tcBorders>
              <w:top w:val="nil"/>
              <w:left w:val="nil"/>
              <w:bottom w:val="single" w:sz="4" w:space="0" w:color="auto"/>
              <w:right w:val="single" w:sz="4" w:space="0" w:color="auto"/>
            </w:tcBorders>
            <w:shd w:val="clear" w:color="auto" w:fill="auto"/>
            <w:noWrap/>
            <w:hideMark/>
          </w:tcPr>
          <w:p w14:paraId="7BAF32F9" w14:textId="32BF36AE"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UV/B</w:t>
            </w:r>
          </w:p>
        </w:tc>
        <w:tc>
          <w:tcPr>
            <w:tcW w:w="1693" w:type="dxa"/>
            <w:tcBorders>
              <w:top w:val="nil"/>
              <w:left w:val="nil"/>
              <w:bottom w:val="single" w:sz="4" w:space="0" w:color="auto"/>
              <w:right w:val="single" w:sz="4" w:space="0" w:color="auto"/>
            </w:tcBorders>
            <w:shd w:val="clear" w:color="auto" w:fill="auto"/>
            <w:noWrap/>
          </w:tcPr>
          <w:p w14:paraId="0B4375CB" w14:textId="2DC667ED"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0.599</w:t>
            </w:r>
            <w:r w:rsidR="00FE3D65">
              <w:rPr>
                <w:rFonts w:ascii="Arial" w:hAnsi="Arial"/>
                <w:color w:val="000000"/>
                <w:sz w:val="18"/>
                <w:szCs w:val="18"/>
                <w:lang w:val="en-GB"/>
              </w:rPr>
              <w:t>–</w:t>
            </w:r>
            <w:r w:rsidRPr="002B43C8">
              <w:rPr>
                <w:rFonts w:ascii="Arial" w:hAnsi="Arial" w:cs="Arial"/>
                <w:color w:val="000000"/>
                <w:sz w:val="18"/>
                <w:szCs w:val="18"/>
                <w:lang w:val="en-GB"/>
              </w:rPr>
              <w:t>0.872</w:t>
            </w:r>
          </w:p>
        </w:tc>
        <w:tc>
          <w:tcPr>
            <w:tcW w:w="1994" w:type="dxa"/>
            <w:tcBorders>
              <w:top w:val="nil"/>
              <w:left w:val="single" w:sz="4" w:space="0" w:color="auto"/>
              <w:bottom w:val="single" w:sz="4" w:space="0" w:color="auto"/>
              <w:right w:val="single" w:sz="4" w:space="0" w:color="auto"/>
            </w:tcBorders>
          </w:tcPr>
          <w:p w14:paraId="360A9FA0" w14:textId="1C455814"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Chevrolet Enjoy</w:t>
            </w:r>
          </w:p>
        </w:tc>
        <w:tc>
          <w:tcPr>
            <w:tcW w:w="1756" w:type="dxa"/>
            <w:tcBorders>
              <w:top w:val="single" w:sz="4" w:space="0" w:color="auto"/>
              <w:left w:val="single" w:sz="4" w:space="0" w:color="auto"/>
              <w:bottom w:val="single" w:sz="4" w:space="0" w:color="auto"/>
              <w:right w:val="single" w:sz="4" w:space="0" w:color="auto"/>
            </w:tcBorders>
          </w:tcPr>
          <w:p w14:paraId="509A7D6A" w14:textId="37E58188"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0.61</w:t>
            </w:r>
            <w:r w:rsidR="00A91FBB">
              <w:rPr>
                <w:rFonts w:ascii="Arial" w:hAnsi="Arial" w:cs="Arial"/>
                <w:color w:val="000000"/>
                <w:sz w:val="18"/>
                <w:szCs w:val="18"/>
                <w:lang w:val="en-GB"/>
              </w:rPr>
              <w:t>0</w:t>
            </w:r>
            <w:r w:rsidR="00FE3D65">
              <w:rPr>
                <w:rFonts w:ascii="Arial" w:hAnsi="Arial" w:cs="Arial"/>
                <w:color w:val="000000"/>
                <w:sz w:val="18"/>
                <w:szCs w:val="18"/>
                <w:lang w:val="en-GB"/>
              </w:rPr>
              <w:t>–</w:t>
            </w:r>
            <w:r w:rsidRPr="002B43C8">
              <w:rPr>
                <w:rFonts w:ascii="Arial" w:hAnsi="Arial" w:cs="Arial"/>
                <w:color w:val="000000"/>
                <w:sz w:val="18"/>
                <w:szCs w:val="18"/>
                <w:lang w:val="en-GB"/>
              </w:rPr>
              <w:t>0.86</w:t>
            </w:r>
            <w:r w:rsidR="00A91FBB">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A91FBB" w:rsidRPr="002B43C8" w14:paraId="39D371E4" w14:textId="77777777" w:rsidTr="00880091">
        <w:trPr>
          <w:trHeight w:val="152"/>
          <w:jc w:val="center"/>
        </w:trPr>
        <w:tc>
          <w:tcPr>
            <w:tcW w:w="4978" w:type="dxa"/>
            <w:gridSpan w:val="3"/>
            <w:vMerge w:val="restart"/>
            <w:tcBorders>
              <w:top w:val="nil"/>
              <w:left w:val="single" w:sz="4" w:space="0" w:color="auto"/>
              <w:right w:val="single" w:sz="4" w:space="0" w:color="auto"/>
            </w:tcBorders>
            <w:shd w:val="clear" w:color="auto" w:fill="auto"/>
            <w:noWrap/>
          </w:tcPr>
          <w:p w14:paraId="4F680E86" w14:textId="742B0CB9" w:rsidR="00A91FBB" w:rsidRPr="00A91FBB" w:rsidRDefault="00A91FBB" w:rsidP="00A91FBB">
            <w:pPr>
              <w:contextualSpacing/>
              <w:rPr>
                <w:rFonts w:ascii="Arial" w:hAnsi="Arial" w:cs="Arial"/>
                <w:color w:val="000000"/>
                <w:sz w:val="18"/>
                <w:szCs w:val="18"/>
                <w:lang w:val="en-GB"/>
              </w:rPr>
            </w:pPr>
          </w:p>
        </w:tc>
        <w:tc>
          <w:tcPr>
            <w:tcW w:w="1994" w:type="dxa"/>
            <w:tcBorders>
              <w:top w:val="nil"/>
              <w:left w:val="single" w:sz="4" w:space="0" w:color="auto"/>
              <w:bottom w:val="single" w:sz="4" w:space="0" w:color="auto"/>
              <w:right w:val="single" w:sz="4" w:space="0" w:color="auto"/>
            </w:tcBorders>
          </w:tcPr>
          <w:p w14:paraId="6601FC93" w14:textId="52E95338"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Honda Mobilio</w:t>
            </w:r>
          </w:p>
        </w:tc>
        <w:tc>
          <w:tcPr>
            <w:tcW w:w="1756" w:type="dxa"/>
            <w:tcBorders>
              <w:top w:val="single" w:sz="4" w:space="0" w:color="auto"/>
              <w:left w:val="single" w:sz="4" w:space="0" w:color="auto"/>
              <w:bottom w:val="single" w:sz="4" w:space="0" w:color="auto"/>
              <w:right w:val="single" w:sz="4" w:space="0" w:color="auto"/>
            </w:tcBorders>
          </w:tcPr>
          <w:p w14:paraId="754381B2" w14:textId="786DEE24"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0.67</w:t>
            </w:r>
            <w:r>
              <w:rPr>
                <w:rFonts w:ascii="Arial" w:hAnsi="Arial" w:cs="Arial"/>
                <w:color w:val="000000"/>
                <w:sz w:val="18"/>
                <w:szCs w:val="18"/>
                <w:lang w:val="en-GB"/>
              </w:rPr>
              <w:t>0–</w:t>
            </w:r>
            <w:r w:rsidRPr="002B43C8">
              <w:rPr>
                <w:rFonts w:ascii="Arial" w:hAnsi="Arial" w:cs="Arial"/>
                <w:color w:val="000000"/>
                <w:sz w:val="18"/>
                <w:szCs w:val="18"/>
                <w:lang w:val="en-GB"/>
              </w:rPr>
              <w:t>1.19</w:t>
            </w:r>
            <w:r>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A91FBB" w:rsidRPr="002B43C8" w14:paraId="2EE490D0" w14:textId="77777777" w:rsidTr="00880091">
        <w:trPr>
          <w:trHeight w:val="152"/>
          <w:jc w:val="center"/>
        </w:trPr>
        <w:tc>
          <w:tcPr>
            <w:tcW w:w="4978" w:type="dxa"/>
            <w:gridSpan w:val="3"/>
            <w:vMerge/>
            <w:tcBorders>
              <w:left w:val="single" w:sz="4" w:space="0" w:color="auto"/>
              <w:right w:val="single" w:sz="4" w:space="0" w:color="auto"/>
            </w:tcBorders>
            <w:shd w:val="clear" w:color="auto" w:fill="auto"/>
            <w:noWrap/>
          </w:tcPr>
          <w:p w14:paraId="13E08618" w14:textId="7949B809" w:rsidR="00A91FBB" w:rsidRPr="002B43C8" w:rsidRDefault="00A91FBB" w:rsidP="002141C0">
            <w:pPr>
              <w:contextualSpacing/>
              <w:jc w:val="right"/>
              <w:rPr>
                <w:rFonts w:ascii="Arial" w:hAnsi="Arial" w:cs="Arial"/>
                <w:color w:val="000000"/>
                <w:sz w:val="18"/>
                <w:szCs w:val="18"/>
                <w:lang w:val="en-GB"/>
              </w:rPr>
            </w:pPr>
          </w:p>
        </w:tc>
        <w:tc>
          <w:tcPr>
            <w:tcW w:w="1994" w:type="dxa"/>
            <w:tcBorders>
              <w:top w:val="nil"/>
              <w:left w:val="single" w:sz="4" w:space="0" w:color="auto"/>
              <w:bottom w:val="single" w:sz="4" w:space="0" w:color="auto"/>
              <w:right w:val="single" w:sz="4" w:space="0" w:color="auto"/>
            </w:tcBorders>
          </w:tcPr>
          <w:p w14:paraId="278508CF" w14:textId="6078B941"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Toyota Innova</w:t>
            </w:r>
          </w:p>
        </w:tc>
        <w:tc>
          <w:tcPr>
            <w:tcW w:w="1756" w:type="dxa"/>
            <w:tcBorders>
              <w:top w:val="single" w:sz="4" w:space="0" w:color="auto"/>
              <w:left w:val="single" w:sz="4" w:space="0" w:color="auto"/>
              <w:bottom w:val="single" w:sz="4" w:space="0" w:color="auto"/>
              <w:right w:val="single" w:sz="4" w:space="0" w:color="auto"/>
            </w:tcBorders>
          </w:tcPr>
          <w:p w14:paraId="35AFA89E" w14:textId="72F2C01C"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1.03</w:t>
            </w:r>
            <w:r>
              <w:rPr>
                <w:rFonts w:ascii="Arial" w:hAnsi="Arial" w:cs="Arial"/>
                <w:color w:val="000000"/>
                <w:sz w:val="18"/>
                <w:szCs w:val="18"/>
                <w:lang w:val="en-GB"/>
              </w:rPr>
              <w:t>0–</w:t>
            </w:r>
            <w:r w:rsidRPr="002B43C8">
              <w:rPr>
                <w:rFonts w:ascii="Arial" w:hAnsi="Arial" w:cs="Arial"/>
                <w:color w:val="000000"/>
                <w:sz w:val="18"/>
                <w:szCs w:val="18"/>
                <w:lang w:val="en-GB"/>
              </w:rPr>
              <w:t>1.58</w:t>
            </w:r>
            <w:r>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A91FBB" w:rsidRPr="002B43C8" w14:paraId="1612C124" w14:textId="77777777" w:rsidTr="00880091">
        <w:trPr>
          <w:trHeight w:val="152"/>
          <w:jc w:val="center"/>
        </w:trPr>
        <w:tc>
          <w:tcPr>
            <w:tcW w:w="4978" w:type="dxa"/>
            <w:gridSpan w:val="3"/>
            <w:vMerge/>
            <w:tcBorders>
              <w:left w:val="single" w:sz="4" w:space="0" w:color="auto"/>
              <w:right w:val="single" w:sz="4" w:space="0" w:color="auto"/>
            </w:tcBorders>
            <w:shd w:val="clear" w:color="auto" w:fill="auto"/>
            <w:noWrap/>
          </w:tcPr>
          <w:p w14:paraId="0115440E" w14:textId="77777777" w:rsidR="00A91FBB" w:rsidRPr="002B43C8" w:rsidRDefault="00A91FBB" w:rsidP="002141C0">
            <w:pPr>
              <w:numPr>
                <w:ilvl w:val="1"/>
                <w:numId w:val="0"/>
              </w:numPr>
              <w:contextualSpacing/>
              <w:jc w:val="right"/>
              <w:rPr>
                <w:rFonts w:ascii="Arial" w:hAnsi="Arial" w:cs="Arial"/>
                <w:i/>
                <w:iCs/>
                <w:color w:val="000000"/>
                <w:spacing w:val="15"/>
                <w:sz w:val="18"/>
                <w:szCs w:val="18"/>
                <w:lang w:val="en-GB"/>
              </w:rPr>
            </w:pPr>
          </w:p>
        </w:tc>
        <w:tc>
          <w:tcPr>
            <w:tcW w:w="1994" w:type="dxa"/>
            <w:tcBorders>
              <w:top w:val="nil"/>
              <w:left w:val="single" w:sz="4" w:space="0" w:color="auto"/>
              <w:bottom w:val="single" w:sz="4" w:space="0" w:color="auto"/>
              <w:right w:val="single" w:sz="4" w:space="0" w:color="auto"/>
            </w:tcBorders>
          </w:tcPr>
          <w:p w14:paraId="27E07540" w14:textId="36430B79"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Mahindra Scorpio</w:t>
            </w:r>
          </w:p>
        </w:tc>
        <w:tc>
          <w:tcPr>
            <w:tcW w:w="1756" w:type="dxa"/>
            <w:tcBorders>
              <w:top w:val="single" w:sz="4" w:space="0" w:color="auto"/>
              <w:left w:val="single" w:sz="4" w:space="0" w:color="auto"/>
              <w:bottom w:val="single" w:sz="4" w:space="0" w:color="auto"/>
              <w:right w:val="single" w:sz="4" w:space="0" w:color="auto"/>
            </w:tcBorders>
          </w:tcPr>
          <w:p w14:paraId="68FEE7E2" w14:textId="24A98E8D"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0.79</w:t>
            </w:r>
            <w:r>
              <w:rPr>
                <w:rFonts w:ascii="Arial" w:hAnsi="Arial" w:cs="Arial"/>
                <w:color w:val="000000"/>
                <w:sz w:val="18"/>
                <w:szCs w:val="18"/>
                <w:lang w:val="en-GB"/>
              </w:rPr>
              <w:t>0–</w:t>
            </w:r>
            <w:r w:rsidRPr="002B43C8">
              <w:rPr>
                <w:rFonts w:ascii="Arial" w:hAnsi="Arial"/>
                <w:color w:val="000000"/>
                <w:sz w:val="18"/>
                <w:szCs w:val="18"/>
                <w:lang w:val="en-GB"/>
              </w:rPr>
              <w:t>0.</w:t>
            </w:r>
            <w:r w:rsidRPr="002B43C8">
              <w:rPr>
                <w:rFonts w:ascii="Arial" w:hAnsi="Arial" w:cs="Arial"/>
                <w:color w:val="000000"/>
                <w:sz w:val="18"/>
                <w:szCs w:val="18"/>
                <w:lang w:val="en-GB"/>
              </w:rPr>
              <w:t>899</w:t>
            </w:r>
          </w:p>
        </w:tc>
      </w:tr>
      <w:tr w:rsidR="00A91FBB" w:rsidRPr="002B43C8" w14:paraId="6CE84007" w14:textId="77777777" w:rsidTr="00880091">
        <w:trPr>
          <w:trHeight w:val="152"/>
          <w:jc w:val="center"/>
        </w:trPr>
        <w:tc>
          <w:tcPr>
            <w:tcW w:w="4978" w:type="dxa"/>
            <w:gridSpan w:val="3"/>
            <w:vMerge/>
            <w:tcBorders>
              <w:left w:val="single" w:sz="4" w:space="0" w:color="auto"/>
              <w:right w:val="single" w:sz="4" w:space="0" w:color="auto"/>
            </w:tcBorders>
            <w:shd w:val="clear" w:color="auto" w:fill="auto"/>
            <w:noWrap/>
          </w:tcPr>
          <w:p w14:paraId="1D9BF406" w14:textId="77777777" w:rsidR="00A91FBB" w:rsidRPr="002B43C8" w:rsidRDefault="00A91FBB" w:rsidP="002141C0">
            <w:pPr>
              <w:numPr>
                <w:ilvl w:val="1"/>
                <w:numId w:val="0"/>
              </w:numPr>
              <w:contextualSpacing/>
              <w:jc w:val="right"/>
              <w:rPr>
                <w:rFonts w:ascii="Arial" w:hAnsi="Arial" w:cs="Arial"/>
                <w:i/>
                <w:iCs/>
                <w:color w:val="000000"/>
                <w:spacing w:val="15"/>
                <w:sz w:val="18"/>
                <w:szCs w:val="18"/>
                <w:lang w:val="en-GB"/>
              </w:rPr>
            </w:pPr>
          </w:p>
        </w:tc>
        <w:tc>
          <w:tcPr>
            <w:tcW w:w="1994" w:type="dxa"/>
            <w:tcBorders>
              <w:top w:val="nil"/>
              <w:left w:val="single" w:sz="4" w:space="0" w:color="auto"/>
              <w:bottom w:val="single" w:sz="4" w:space="0" w:color="auto"/>
              <w:right w:val="single" w:sz="4" w:space="0" w:color="auto"/>
            </w:tcBorders>
          </w:tcPr>
          <w:p w14:paraId="02ED5629" w14:textId="5C4EE2D7"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Mahindra Xylo</w:t>
            </w:r>
          </w:p>
        </w:tc>
        <w:tc>
          <w:tcPr>
            <w:tcW w:w="1756" w:type="dxa"/>
            <w:tcBorders>
              <w:top w:val="single" w:sz="4" w:space="0" w:color="auto"/>
              <w:left w:val="single" w:sz="4" w:space="0" w:color="auto"/>
              <w:bottom w:val="single" w:sz="4" w:space="0" w:color="auto"/>
              <w:right w:val="single" w:sz="4" w:space="0" w:color="auto"/>
            </w:tcBorders>
          </w:tcPr>
          <w:p w14:paraId="660F1D69" w14:textId="17CE780A"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0.854</w:t>
            </w:r>
            <w:r>
              <w:rPr>
                <w:rFonts w:ascii="Arial" w:hAnsi="Arial"/>
                <w:color w:val="000000"/>
                <w:sz w:val="18"/>
                <w:szCs w:val="18"/>
                <w:lang w:val="en-GB"/>
              </w:rPr>
              <w:t>–</w:t>
            </w:r>
            <w:r w:rsidRPr="002B43C8">
              <w:rPr>
                <w:rFonts w:ascii="Arial" w:hAnsi="Arial" w:cs="Arial"/>
                <w:color w:val="000000"/>
                <w:sz w:val="18"/>
                <w:szCs w:val="18"/>
                <w:lang w:val="en-GB"/>
              </w:rPr>
              <w:t>1.09</w:t>
            </w:r>
            <w:r>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A91FBB" w:rsidRPr="002B43C8" w14:paraId="3739BDFD" w14:textId="77777777" w:rsidTr="00880091">
        <w:trPr>
          <w:trHeight w:val="152"/>
          <w:jc w:val="center"/>
        </w:trPr>
        <w:tc>
          <w:tcPr>
            <w:tcW w:w="4978" w:type="dxa"/>
            <w:gridSpan w:val="3"/>
            <w:vMerge/>
            <w:tcBorders>
              <w:left w:val="single" w:sz="4" w:space="0" w:color="auto"/>
              <w:right w:val="single" w:sz="4" w:space="0" w:color="auto"/>
            </w:tcBorders>
            <w:shd w:val="clear" w:color="auto" w:fill="auto"/>
            <w:noWrap/>
          </w:tcPr>
          <w:p w14:paraId="158B9C1F" w14:textId="77777777" w:rsidR="00A91FBB" w:rsidRPr="002B43C8" w:rsidRDefault="00A91FBB" w:rsidP="002141C0">
            <w:pPr>
              <w:numPr>
                <w:ilvl w:val="1"/>
                <w:numId w:val="0"/>
              </w:numPr>
              <w:contextualSpacing/>
              <w:jc w:val="right"/>
              <w:rPr>
                <w:rFonts w:ascii="Arial" w:hAnsi="Arial" w:cs="Arial"/>
                <w:i/>
                <w:iCs/>
                <w:color w:val="000000"/>
                <w:spacing w:val="15"/>
                <w:sz w:val="18"/>
                <w:szCs w:val="18"/>
                <w:lang w:val="en-GB"/>
              </w:rPr>
            </w:pPr>
          </w:p>
        </w:tc>
        <w:tc>
          <w:tcPr>
            <w:tcW w:w="1994" w:type="dxa"/>
            <w:tcBorders>
              <w:top w:val="nil"/>
              <w:left w:val="single" w:sz="4" w:space="0" w:color="auto"/>
              <w:bottom w:val="single" w:sz="4" w:space="0" w:color="auto"/>
              <w:right w:val="single" w:sz="4" w:space="0" w:color="auto"/>
            </w:tcBorders>
          </w:tcPr>
          <w:p w14:paraId="27F10231" w14:textId="04B0DD1C"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Mahindra Bolero</w:t>
            </w:r>
          </w:p>
        </w:tc>
        <w:tc>
          <w:tcPr>
            <w:tcW w:w="1756" w:type="dxa"/>
            <w:tcBorders>
              <w:top w:val="single" w:sz="4" w:space="0" w:color="auto"/>
              <w:left w:val="single" w:sz="4" w:space="0" w:color="auto"/>
              <w:bottom w:val="single" w:sz="4" w:space="0" w:color="auto"/>
              <w:right w:val="single" w:sz="4" w:space="0" w:color="auto"/>
            </w:tcBorders>
          </w:tcPr>
          <w:p w14:paraId="63EDDCBA" w14:textId="34E5CCCB"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0.62</w:t>
            </w:r>
            <w:r>
              <w:rPr>
                <w:rFonts w:ascii="Arial" w:hAnsi="Arial" w:cs="Arial"/>
                <w:color w:val="000000"/>
                <w:sz w:val="18"/>
                <w:szCs w:val="18"/>
                <w:lang w:val="en-GB"/>
              </w:rPr>
              <w:t>0–</w:t>
            </w:r>
            <w:r w:rsidRPr="002B43C8">
              <w:rPr>
                <w:rFonts w:ascii="Arial" w:hAnsi="Arial" w:cs="Arial"/>
                <w:color w:val="000000"/>
                <w:sz w:val="18"/>
                <w:szCs w:val="18"/>
                <w:lang w:val="en-GB"/>
              </w:rPr>
              <w:t>0.81</w:t>
            </w:r>
            <w:r>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r w:rsidR="00A91FBB" w:rsidRPr="002B43C8" w14:paraId="386F2A76" w14:textId="77777777" w:rsidTr="00880091">
        <w:trPr>
          <w:trHeight w:val="152"/>
          <w:jc w:val="center"/>
        </w:trPr>
        <w:tc>
          <w:tcPr>
            <w:tcW w:w="4978" w:type="dxa"/>
            <w:gridSpan w:val="3"/>
            <w:vMerge/>
            <w:tcBorders>
              <w:left w:val="single" w:sz="4" w:space="0" w:color="auto"/>
              <w:bottom w:val="single" w:sz="4" w:space="0" w:color="auto"/>
              <w:right w:val="single" w:sz="4" w:space="0" w:color="auto"/>
            </w:tcBorders>
            <w:shd w:val="clear" w:color="auto" w:fill="auto"/>
            <w:noWrap/>
          </w:tcPr>
          <w:p w14:paraId="6ED94128" w14:textId="77777777" w:rsidR="00A91FBB" w:rsidRPr="002B43C8" w:rsidRDefault="00A91FBB" w:rsidP="002141C0">
            <w:pPr>
              <w:numPr>
                <w:ilvl w:val="1"/>
                <w:numId w:val="0"/>
              </w:numPr>
              <w:contextualSpacing/>
              <w:jc w:val="right"/>
              <w:rPr>
                <w:rFonts w:ascii="Arial" w:hAnsi="Arial" w:cs="Arial"/>
                <w:i/>
                <w:iCs/>
                <w:color w:val="000000"/>
                <w:spacing w:val="15"/>
                <w:sz w:val="18"/>
                <w:szCs w:val="18"/>
                <w:lang w:val="en-GB"/>
              </w:rPr>
            </w:pPr>
          </w:p>
        </w:tc>
        <w:tc>
          <w:tcPr>
            <w:tcW w:w="1994" w:type="dxa"/>
            <w:tcBorders>
              <w:top w:val="nil"/>
              <w:left w:val="single" w:sz="4" w:space="0" w:color="auto"/>
              <w:bottom w:val="single" w:sz="4" w:space="0" w:color="auto"/>
              <w:right w:val="single" w:sz="4" w:space="0" w:color="auto"/>
            </w:tcBorders>
          </w:tcPr>
          <w:p w14:paraId="1FA58975" w14:textId="16C08E51"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Renault Duster</w:t>
            </w:r>
          </w:p>
        </w:tc>
        <w:tc>
          <w:tcPr>
            <w:tcW w:w="1756" w:type="dxa"/>
            <w:tcBorders>
              <w:top w:val="single" w:sz="4" w:space="0" w:color="auto"/>
              <w:left w:val="single" w:sz="4" w:space="0" w:color="auto"/>
              <w:bottom w:val="single" w:sz="4" w:space="0" w:color="auto"/>
              <w:right w:val="single" w:sz="4" w:space="0" w:color="auto"/>
            </w:tcBorders>
          </w:tcPr>
          <w:p w14:paraId="2C970387" w14:textId="66DFCFAD"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0.969</w:t>
            </w:r>
            <w:r>
              <w:rPr>
                <w:rFonts w:ascii="Arial" w:hAnsi="Arial" w:cs="Arial"/>
                <w:color w:val="000000"/>
                <w:sz w:val="18"/>
                <w:szCs w:val="18"/>
                <w:lang w:val="en-GB"/>
              </w:rPr>
              <w:t>–</w:t>
            </w:r>
            <w:r w:rsidRPr="002B43C8">
              <w:rPr>
                <w:rFonts w:ascii="Arial" w:hAnsi="Arial" w:cs="Arial"/>
                <w:color w:val="000000"/>
                <w:sz w:val="18"/>
                <w:szCs w:val="18"/>
                <w:lang w:val="en-GB"/>
              </w:rPr>
              <w:t>1.11</w:t>
            </w:r>
            <w:r>
              <w:rPr>
                <w:rFonts w:ascii="Arial" w:hAnsi="Arial" w:cs="Arial"/>
                <w:color w:val="000000"/>
                <w:sz w:val="18"/>
                <w:szCs w:val="18"/>
                <w:lang w:val="en-GB"/>
              </w:rPr>
              <w:t>0</w:t>
            </w:r>
          </w:p>
        </w:tc>
      </w:tr>
      <w:tr w:rsidR="00C46A13" w:rsidRPr="002B43C8" w14:paraId="4435AE62" w14:textId="77777777" w:rsidTr="00C46A13">
        <w:trPr>
          <w:trHeight w:val="152"/>
          <w:jc w:val="center"/>
        </w:trPr>
        <w:tc>
          <w:tcPr>
            <w:tcW w:w="1352" w:type="dxa"/>
            <w:tcBorders>
              <w:top w:val="nil"/>
              <w:left w:val="single" w:sz="4" w:space="0" w:color="auto"/>
              <w:bottom w:val="single" w:sz="4" w:space="0" w:color="auto"/>
              <w:right w:val="single" w:sz="4" w:space="0" w:color="auto"/>
            </w:tcBorders>
            <w:shd w:val="clear" w:color="auto" w:fill="auto"/>
            <w:noWrap/>
          </w:tcPr>
          <w:p w14:paraId="1BBCB13C"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Gypsy</w:t>
            </w:r>
          </w:p>
        </w:tc>
        <w:tc>
          <w:tcPr>
            <w:tcW w:w="1933" w:type="dxa"/>
            <w:tcBorders>
              <w:top w:val="nil"/>
              <w:left w:val="nil"/>
              <w:bottom w:val="single" w:sz="4" w:space="0" w:color="auto"/>
              <w:right w:val="single" w:sz="4" w:space="0" w:color="auto"/>
            </w:tcBorders>
            <w:shd w:val="clear" w:color="auto" w:fill="auto"/>
            <w:noWrap/>
          </w:tcPr>
          <w:p w14:paraId="30E7FF66" w14:textId="6CA18D4C"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UV/B</w:t>
            </w:r>
          </w:p>
        </w:tc>
        <w:tc>
          <w:tcPr>
            <w:tcW w:w="1693" w:type="dxa"/>
            <w:tcBorders>
              <w:top w:val="nil"/>
              <w:left w:val="nil"/>
              <w:bottom w:val="single" w:sz="4" w:space="0" w:color="auto"/>
              <w:right w:val="single" w:sz="4" w:space="0" w:color="auto"/>
            </w:tcBorders>
            <w:shd w:val="clear" w:color="auto" w:fill="auto"/>
            <w:noWrap/>
          </w:tcPr>
          <w:p w14:paraId="4F3DB329" w14:textId="77777777"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0.613</w:t>
            </w:r>
          </w:p>
        </w:tc>
        <w:tc>
          <w:tcPr>
            <w:tcW w:w="1994" w:type="dxa"/>
            <w:tcBorders>
              <w:top w:val="nil"/>
              <w:left w:val="single" w:sz="4" w:space="0" w:color="auto"/>
              <w:bottom w:val="single" w:sz="4" w:space="0" w:color="auto"/>
              <w:right w:val="single" w:sz="4" w:space="0" w:color="auto"/>
            </w:tcBorders>
          </w:tcPr>
          <w:p w14:paraId="0D0F1433" w14:textId="2AF6CE2C" w:rsidR="004328F4" w:rsidRPr="002B43C8" w:rsidRDefault="005A5E3C" w:rsidP="005E6166">
            <w:pPr>
              <w:contextualSpacing/>
              <w:rPr>
                <w:rFonts w:ascii="Arial" w:hAnsi="Arial" w:cs="Arial"/>
                <w:color w:val="000000"/>
                <w:sz w:val="18"/>
                <w:szCs w:val="18"/>
                <w:lang w:val="en-GB"/>
              </w:rPr>
            </w:pPr>
            <w:r>
              <w:rPr>
                <w:rFonts w:ascii="Arial" w:hAnsi="Arial" w:cs="Arial"/>
                <w:color w:val="000000"/>
                <w:sz w:val="18"/>
                <w:szCs w:val="18"/>
                <w:lang w:val="en-GB"/>
              </w:rPr>
              <w:t>Mahindra Thar</w:t>
            </w:r>
          </w:p>
        </w:tc>
        <w:tc>
          <w:tcPr>
            <w:tcW w:w="1756" w:type="dxa"/>
            <w:tcBorders>
              <w:top w:val="single" w:sz="4" w:space="0" w:color="auto"/>
              <w:left w:val="single" w:sz="4" w:space="0" w:color="auto"/>
              <w:bottom w:val="single" w:sz="4" w:space="0" w:color="auto"/>
              <w:right w:val="single" w:sz="4" w:space="0" w:color="auto"/>
            </w:tcBorders>
          </w:tcPr>
          <w:p w14:paraId="16869603" w14:textId="77777777"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w:t>
            </w:r>
          </w:p>
        </w:tc>
      </w:tr>
      <w:tr w:rsidR="00C46A13" w:rsidRPr="002B43C8" w14:paraId="71B93EA3" w14:textId="77777777" w:rsidTr="00C46A13">
        <w:trPr>
          <w:trHeight w:val="152"/>
          <w:jc w:val="center"/>
        </w:trPr>
        <w:tc>
          <w:tcPr>
            <w:tcW w:w="1352" w:type="dxa"/>
            <w:tcBorders>
              <w:top w:val="nil"/>
              <w:left w:val="single" w:sz="4" w:space="0" w:color="auto"/>
              <w:bottom w:val="single" w:sz="4" w:space="0" w:color="auto"/>
              <w:right w:val="single" w:sz="4" w:space="0" w:color="auto"/>
            </w:tcBorders>
            <w:shd w:val="clear" w:color="auto" w:fill="auto"/>
            <w:noWrap/>
          </w:tcPr>
          <w:p w14:paraId="5A6FAF68"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Omni</w:t>
            </w:r>
          </w:p>
        </w:tc>
        <w:tc>
          <w:tcPr>
            <w:tcW w:w="1933" w:type="dxa"/>
            <w:tcBorders>
              <w:top w:val="nil"/>
              <w:left w:val="nil"/>
              <w:bottom w:val="single" w:sz="4" w:space="0" w:color="auto"/>
              <w:right w:val="single" w:sz="4" w:space="0" w:color="auto"/>
            </w:tcBorders>
            <w:shd w:val="clear" w:color="auto" w:fill="auto"/>
            <w:noWrap/>
          </w:tcPr>
          <w:p w14:paraId="09A8FF67"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Van/V1</w:t>
            </w:r>
          </w:p>
        </w:tc>
        <w:tc>
          <w:tcPr>
            <w:tcW w:w="1693" w:type="dxa"/>
            <w:tcBorders>
              <w:top w:val="nil"/>
              <w:left w:val="nil"/>
              <w:bottom w:val="single" w:sz="4" w:space="0" w:color="auto"/>
              <w:right w:val="single" w:sz="4" w:space="0" w:color="auto"/>
            </w:tcBorders>
            <w:shd w:val="clear" w:color="auto" w:fill="auto"/>
            <w:noWrap/>
          </w:tcPr>
          <w:p w14:paraId="335AC4FF" w14:textId="77777777"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0.254</w:t>
            </w:r>
          </w:p>
        </w:tc>
        <w:tc>
          <w:tcPr>
            <w:tcW w:w="1994" w:type="dxa"/>
            <w:tcBorders>
              <w:top w:val="nil"/>
              <w:left w:val="single" w:sz="4" w:space="0" w:color="auto"/>
              <w:bottom w:val="single" w:sz="4" w:space="0" w:color="auto"/>
              <w:right w:val="single" w:sz="4" w:space="0" w:color="auto"/>
            </w:tcBorders>
          </w:tcPr>
          <w:p w14:paraId="3C44356A" w14:textId="2FC01E24"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Mahindra Maximmo</w:t>
            </w:r>
          </w:p>
        </w:tc>
        <w:tc>
          <w:tcPr>
            <w:tcW w:w="1756" w:type="dxa"/>
            <w:tcBorders>
              <w:top w:val="single" w:sz="4" w:space="0" w:color="auto"/>
              <w:left w:val="single" w:sz="4" w:space="0" w:color="auto"/>
              <w:bottom w:val="single" w:sz="4" w:space="0" w:color="auto"/>
              <w:right w:val="single" w:sz="4" w:space="0" w:color="auto"/>
            </w:tcBorders>
          </w:tcPr>
          <w:p w14:paraId="1FC207FD" w14:textId="5C7A734C"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0.279</w:t>
            </w:r>
            <w:r w:rsidR="00FE3D65">
              <w:rPr>
                <w:rFonts w:ascii="Arial" w:hAnsi="Arial"/>
                <w:color w:val="000000"/>
                <w:sz w:val="18"/>
                <w:szCs w:val="18"/>
                <w:lang w:val="en-GB"/>
              </w:rPr>
              <w:t>–</w:t>
            </w:r>
            <w:r w:rsidRPr="002B43C8">
              <w:rPr>
                <w:rFonts w:ascii="Arial" w:hAnsi="Arial" w:cs="Arial"/>
                <w:color w:val="000000"/>
                <w:sz w:val="18"/>
                <w:szCs w:val="18"/>
                <w:lang w:val="en-GB"/>
              </w:rPr>
              <w:t>0.395</w:t>
            </w:r>
          </w:p>
        </w:tc>
      </w:tr>
      <w:tr w:rsidR="00A91FBB" w:rsidRPr="002B43C8" w14:paraId="68DE0F06" w14:textId="77777777" w:rsidTr="00880091">
        <w:trPr>
          <w:trHeight w:val="152"/>
          <w:jc w:val="center"/>
        </w:trPr>
        <w:tc>
          <w:tcPr>
            <w:tcW w:w="4978" w:type="dxa"/>
            <w:gridSpan w:val="3"/>
            <w:tcBorders>
              <w:top w:val="nil"/>
              <w:left w:val="single" w:sz="4" w:space="0" w:color="auto"/>
              <w:bottom w:val="single" w:sz="4" w:space="0" w:color="auto"/>
              <w:right w:val="single" w:sz="4" w:space="0" w:color="auto"/>
            </w:tcBorders>
            <w:shd w:val="clear" w:color="auto" w:fill="auto"/>
            <w:noWrap/>
          </w:tcPr>
          <w:p w14:paraId="777D499F" w14:textId="77777777" w:rsidR="00A91FBB" w:rsidRPr="002B43C8" w:rsidRDefault="00A91FBB" w:rsidP="002141C0">
            <w:pPr>
              <w:numPr>
                <w:ilvl w:val="1"/>
                <w:numId w:val="0"/>
              </w:numPr>
              <w:contextualSpacing/>
              <w:jc w:val="right"/>
              <w:rPr>
                <w:rFonts w:ascii="Arial" w:hAnsi="Arial" w:cs="Arial"/>
                <w:i/>
                <w:iCs/>
                <w:color w:val="000000"/>
                <w:spacing w:val="15"/>
                <w:sz w:val="18"/>
                <w:szCs w:val="18"/>
                <w:lang w:val="en-GB"/>
              </w:rPr>
            </w:pPr>
          </w:p>
        </w:tc>
        <w:tc>
          <w:tcPr>
            <w:tcW w:w="1994" w:type="dxa"/>
            <w:tcBorders>
              <w:top w:val="nil"/>
              <w:left w:val="single" w:sz="4" w:space="0" w:color="auto"/>
              <w:bottom w:val="single" w:sz="4" w:space="0" w:color="auto"/>
              <w:right w:val="single" w:sz="4" w:space="0" w:color="auto"/>
            </w:tcBorders>
          </w:tcPr>
          <w:p w14:paraId="1C7E6302" w14:textId="5A3071FE" w:rsidR="00A91FBB" w:rsidRPr="002B43C8" w:rsidRDefault="00A91FBB"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Tata Magic</w:t>
            </w:r>
          </w:p>
        </w:tc>
        <w:tc>
          <w:tcPr>
            <w:tcW w:w="1756" w:type="dxa"/>
            <w:tcBorders>
              <w:top w:val="single" w:sz="4" w:space="0" w:color="auto"/>
              <w:left w:val="single" w:sz="4" w:space="0" w:color="auto"/>
              <w:bottom w:val="single" w:sz="4" w:space="0" w:color="auto"/>
              <w:right w:val="single" w:sz="4" w:space="0" w:color="auto"/>
            </w:tcBorders>
          </w:tcPr>
          <w:p w14:paraId="37A8FC26" w14:textId="4A7BA528" w:rsidR="00A91FBB" w:rsidRPr="002B43C8" w:rsidRDefault="00A91FBB"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0.23</w:t>
            </w:r>
            <w:r>
              <w:rPr>
                <w:rFonts w:ascii="Arial" w:hAnsi="Arial" w:cs="Arial"/>
                <w:color w:val="000000"/>
                <w:sz w:val="18"/>
                <w:szCs w:val="18"/>
                <w:lang w:val="en-GB"/>
              </w:rPr>
              <w:t>0</w:t>
            </w:r>
            <w:r>
              <w:rPr>
                <w:rFonts w:ascii="Arial" w:hAnsi="Arial"/>
                <w:color w:val="000000"/>
                <w:sz w:val="18"/>
                <w:szCs w:val="18"/>
                <w:lang w:val="en-GB"/>
              </w:rPr>
              <w:t>–</w:t>
            </w:r>
            <w:r w:rsidRPr="002B43C8">
              <w:rPr>
                <w:rFonts w:ascii="Arial" w:hAnsi="Arial" w:cs="Arial"/>
                <w:color w:val="000000"/>
                <w:sz w:val="18"/>
                <w:szCs w:val="18"/>
                <w:lang w:val="en-GB"/>
              </w:rPr>
              <w:t>0.38</w:t>
            </w:r>
            <w:r>
              <w:rPr>
                <w:rFonts w:ascii="Arial" w:hAnsi="Arial" w:cs="Arial"/>
                <w:color w:val="000000"/>
                <w:sz w:val="18"/>
                <w:szCs w:val="18"/>
                <w:lang w:val="en-GB"/>
              </w:rPr>
              <w:t>0</w:t>
            </w:r>
          </w:p>
        </w:tc>
      </w:tr>
      <w:tr w:rsidR="00C46A13" w:rsidRPr="002B43C8" w14:paraId="45667F7D" w14:textId="77777777" w:rsidTr="00C46A13">
        <w:trPr>
          <w:trHeight w:val="152"/>
          <w:jc w:val="center"/>
        </w:trPr>
        <w:tc>
          <w:tcPr>
            <w:tcW w:w="1352" w:type="dxa"/>
            <w:tcBorders>
              <w:top w:val="nil"/>
              <w:left w:val="single" w:sz="4" w:space="0" w:color="auto"/>
              <w:bottom w:val="single" w:sz="4" w:space="0" w:color="auto"/>
              <w:right w:val="single" w:sz="4" w:space="0" w:color="auto"/>
            </w:tcBorders>
            <w:shd w:val="clear" w:color="auto" w:fill="auto"/>
            <w:noWrap/>
          </w:tcPr>
          <w:p w14:paraId="29F3557D"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Eeco</w:t>
            </w:r>
          </w:p>
        </w:tc>
        <w:tc>
          <w:tcPr>
            <w:tcW w:w="1933" w:type="dxa"/>
            <w:tcBorders>
              <w:top w:val="nil"/>
              <w:left w:val="nil"/>
              <w:bottom w:val="single" w:sz="4" w:space="0" w:color="auto"/>
              <w:right w:val="single" w:sz="4" w:space="0" w:color="auto"/>
            </w:tcBorders>
            <w:shd w:val="clear" w:color="auto" w:fill="auto"/>
            <w:noWrap/>
          </w:tcPr>
          <w:p w14:paraId="77235CFF" w14:textId="7777777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Van/V1</w:t>
            </w:r>
          </w:p>
        </w:tc>
        <w:tc>
          <w:tcPr>
            <w:tcW w:w="1693" w:type="dxa"/>
            <w:tcBorders>
              <w:top w:val="nil"/>
              <w:left w:val="nil"/>
              <w:bottom w:val="single" w:sz="4" w:space="0" w:color="auto"/>
              <w:right w:val="single" w:sz="4" w:space="0" w:color="auto"/>
            </w:tcBorders>
            <w:shd w:val="clear" w:color="auto" w:fill="auto"/>
            <w:noWrap/>
          </w:tcPr>
          <w:p w14:paraId="22B39282" w14:textId="53B57A3A"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0.313</w:t>
            </w:r>
            <w:r w:rsidR="00FE3D65">
              <w:rPr>
                <w:rFonts w:ascii="Arial" w:hAnsi="Arial" w:cs="Arial"/>
                <w:color w:val="000000"/>
                <w:sz w:val="18"/>
                <w:szCs w:val="18"/>
                <w:lang w:val="en-GB"/>
              </w:rPr>
              <w:t>–</w:t>
            </w:r>
            <w:r w:rsidRPr="002B43C8">
              <w:rPr>
                <w:rFonts w:ascii="Arial" w:hAnsi="Arial" w:cs="Arial"/>
                <w:color w:val="000000"/>
                <w:sz w:val="18"/>
                <w:szCs w:val="18"/>
                <w:lang w:val="en-GB"/>
              </w:rPr>
              <w:t>0.343</w:t>
            </w:r>
          </w:p>
        </w:tc>
        <w:tc>
          <w:tcPr>
            <w:tcW w:w="1994" w:type="dxa"/>
            <w:tcBorders>
              <w:top w:val="nil"/>
              <w:left w:val="single" w:sz="4" w:space="0" w:color="auto"/>
              <w:bottom w:val="single" w:sz="4" w:space="0" w:color="auto"/>
              <w:right w:val="single" w:sz="4" w:space="0" w:color="auto"/>
            </w:tcBorders>
          </w:tcPr>
          <w:p w14:paraId="5E08400B" w14:textId="7000CB57" w:rsidR="004328F4" w:rsidRPr="002B43C8" w:rsidRDefault="004328F4" w:rsidP="005E6166">
            <w:pPr>
              <w:contextualSpacing/>
              <w:rPr>
                <w:rFonts w:ascii="Arial" w:hAnsi="Arial" w:cs="Arial"/>
                <w:color w:val="000000"/>
                <w:sz w:val="18"/>
                <w:szCs w:val="18"/>
                <w:lang w:val="en-GB"/>
              </w:rPr>
            </w:pPr>
            <w:r w:rsidRPr="002B43C8">
              <w:rPr>
                <w:rFonts w:ascii="Arial" w:hAnsi="Arial" w:cs="Arial"/>
                <w:color w:val="000000"/>
                <w:sz w:val="18"/>
                <w:szCs w:val="18"/>
                <w:lang w:val="en-GB"/>
              </w:rPr>
              <w:t>Tata Venture</w:t>
            </w:r>
          </w:p>
        </w:tc>
        <w:tc>
          <w:tcPr>
            <w:tcW w:w="1756" w:type="dxa"/>
            <w:tcBorders>
              <w:top w:val="single" w:sz="4" w:space="0" w:color="auto"/>
              <w:left w:val="single" w:sz="4" w:space="0" w:color="auto"/>
              <w:bottom w:val="single" w:sz="4" w:space="0" w:color="auto"/>
              <w:right w:val="single" w:sz="4" w:space="0" w:color="auto"/>
            </w:tcBorders>
          </w:tcPr>
          <w:p w14:paraId="7D8DD663" w14:textId="19F4E9B0" w:rsidR="004328F4" w:rsidRPr="002B43C8" w:rsidRDefault="004328F4" w:rsidP="002141C0">
            <w:pPr>
              <w:contextualSpacing/>
              <w:jc w:val="right"/>
              <w:rPr>
                <w:rFonts w:ascii="Arial" w:hAnsi="Arial" w:cs="Arial"/>
                <w:color w:val="000000"/>
                <w:sz w:val="18"/>
                <w:szCs w:val="18"/>
                <w:lang w:val="en-GB"/>
              </w:rPr>
            </w:pPr>
            <w:r w:rsidRPr="002B43C8">
              <w:rPr>
                <w:rFonts w:ascii="Arial" w:hAnsi="Arial" w:cs="Arial"/>
                <w:color w:val="000000"/>
                <w:sz w:val="18"/>
                <w:szCs w:val="18"/>
                <w:lang w:val="en-GB"/>
              </w:rPr>
              <w:t>0.48</w:t>
            </w:r>
            <w:r w:rsidR="00A91FBB">
              <w:rPr>
                <w:rFonts w:ascii="Arial" w:hAnsi="Arial" w:cs="Arial"/>
                <w:color w:val="000000"/>
                <w:sz w:val="18"/>
                <w:szCs w:val="18"/>
                <w:lang w:val="en-GB"/>
              </w:rPr>
              <w:t>0</w:t>
            </w:r>
            <w:r w:rsidR="00FE3D65">
              <w:rPr>
                <w:rFonts w:ascii="Arial" w:hAnsi="Arial" w:cs="Arial"/>
                <w:color w:val="000000"/>
                <w:sz w:val="18"/>
                <w:szCs w:val="18"/>
                <w:lang w:val="en-GB"/>
              </w:rPr>
              <w:t>–</w:t>
            </w:r>
            <w:r w:rsidRPr="002B43C8">
              <w:rPr>
                <w:rFonts w:ascii="Arial" w:hAnsi="Arial" w:cs="Arial"/>
                <w:color w:val="000000"/>
                <w:sz w:val="18"/>
                <w:szCs w:val="18"/>
                <w:lang w:val="en-GB"/>
              </w:rPr>
              <w:t>0.6</w:t>
            </w:r>
            <w:r w:rsidR="00761A38">
              <w:rPr>
                <w:rFonts w:ascii="Arial" w:hAnsi="Arial" w:cs="Arial"/>
                <w:color w:val="000000"/>
                <w:sz w:val="18"/>
                <w:szCs w:val="18"/>
                <w:lang w:val="en-GB"/>
              </w:rPr>
              <w:t>0</w:t>
            </w:r>
            <w:r w:rsidR="00A91FBB">
              <w:rPr>
                <w:rFonts w:ascii="Arial" w:hAnsi="Arial" w:cs="Arial"/>
                <w:color w:val="000000"/>
                <w:sz w:val="18"/>
                <w:szCs w:val="18"/>
                <w:lang w:val="en-GB"/>
              </w:rPr>
              <w:t>0</w:t>
            </w:r>
            <w:r w:rsidRPr="002B43C8">
              <w:rPr>
                <w:rFonts w:ascii="Arial" w:hAnsi="Arial" w:cs="Arial"/>
                <w:color w:val="000000"/>
                <w:sz w:val="18"/>
                <w:szCs w:val="18"/>
                <w:lang w:val="en-GB"/>
              </w:rPr>
              <w:t xml:space="preserve"> </w:t>
            </w:r>
          </w:p>
        </w:tc>
      </w:tr>
    </w:tbl>
    <w:p w14:paraId="0835AB11" w14:textId="77777777" w:rsidR="00935D2F" w:rsidRPr="002B43C8" w:rsidRDefault="00935D2F" w:rsidP="00935D2F">
      <w:pPr>
        <w:rPr>
          <w:rFonts w:ascii="Arial" w:hAnsi="Arial"/>
          <w:i/>
          <w:color w:val="000000"/>
          <w:sz w:val="17"/>
          <w:szCs w:val="17"/>
          <w:lang w:val="en-GB"/>
        </w:rPr>
      </w:pPr>
    </w:p>
    <w:p w14:paraId="5715960A" w14:textId="1D6CA14C" w:rsidR="00A214B9" w:rsidRDefault="00A214B9" w:rsidP="002141C0">
      <w:pPr>
        <w:pStyle w:val="Footnote"/>
        <w:rPr>
          <w:lang w:val="en-GB"/>
        </w:rPr>
      </w:pPr>
      <w:r>
        <w:rPr>
          <w:color w:val="000000"/>
          <w:lang w:val="en-GB"/>
        </w:rPr>
        <w:t xml:space="preserve">Note: </w:t>
      </w:r>
      <w:r w:rsidR="00E132D9" w:rsidRPr="00EA6BC3">
        <w:rPr>
          <w:rFonts w:eastAsiaTheme="minorEastAsia"/>
        </w:rPr>
        <w:t>₹</w:t>
      </w:r>
      <w:r w:rsidR="00E132D9">
        <w:rPr>
          <w:rFonts w:eastAsiaTheme="minorEastAsia"/>
        </w:rPr>
        <w:t xml:space="preserve"> = INR = Indian rupee; </w:t>
      </w:r>
      <w:r w:rsidR="00EF5E31">
        <w:rPr>
          <w:rFonts w:eastAsiaTheme="minorEastAsia"/>
        </w:rPr>
        <w:t>US$1 = ₹6</w:t>
      </w:r>
      <w:r w:rsidR="00DC07D9">
        <w:rPr>
          <w:rFonts w:eastAsiaTheme="minorEastAsia"/>
        </w:rPr>
        <w:t>7.44</w:t>
      </w:r>
      <w:r w:rsidR="00EF5E31" w:rsidRPr="00EA6BC3">
        <w:rPr>
          <w:rFonts w:eastAsiaTheme="minorEastAsia"/>
        </w:rPr>
        <w:t xml:space="preserve"> on </w:t>
      </w:r>
      <w:r w:rsidR="00EF5E31">
        <w:t>Ma</w:t>
      </w:r>
      <w:r w:rsidR="00DC07D9">
        <w:t>y</w:t>
      </w:r>
      <w:r w:rsidR="00EF5E31">
        <w:t xml:space="preserve"> </w:t>
      </w:r>
      <w:r w:rsidR="009D7C48">
        <w:t>25</w:t>
      </w:r>
      <w:r w:rsidR="00EF5E31">
        <w:t>, 201</w:t>
      </w:r>
      <w:r w:rsidR="00743F79">
        <w:t>6</w:t>
      </w:r>
      <w:r w:rsidR="00EF5E31" w:rsidRPr="00EF5E31">
        <w:t xml:space="preserve">, </w:t>
      </w:r>
      <w:r>
        <w:rPr>
          <w:color w:val="000000"/>
          <w:lang w:val="en-GB"/>
        </w:rPr>
        <w:t xml:space="preserve">SIAM = </w:t>
      </w:r>
      <w:r w:rsidRPr="002B43C8">
        <w:rPr>
          <w:lang w:val="en-GB"/>
        </w:rPr>
        <w:t xml:space="preserve">Society of Indian Automobile Manufacturers </w:t>
      </w:r>
    </w:p>
    <w:p w14:paraId="5860AA5E" w14:textId="744A8BAD" w:rsidR="00913F2A" w:rsidRPr="002B43C8" w:rsidRDefault="00935D2F" w:rsidP="002141C0">
      <w:pPr>
        <w:pStyle w:val="Footnote"/>
        <w:rPr>
          <w:color w:val="000000"/>
          <w:lang w:val="en-GB"/>
        </w:rPr>
      </w:pPr>
      <w:r w:rsidRPr="002B43C8">
        <w:rPr>
          <w:color w:val="000000"/>
          <w:lang w:val="en-GB"/>
        </w:rPr>
        <w:t xml:space="preserve">Source: </w:t>
      </w:r>
      <w:r w:rsidR="00D41C10">
        <w:rPr>
          <w:color w:val="000000"/>
          <w:lang w:val="en-GB"/>
        </w:rPr>
        <w:t>C</w:t>
      </w:r>
      <w:r w:rsidR="004F1CCD">
        <w:rPr>
          <w:color w:val="000000"/>
          <w:lang w:val="en-GB"/>
        </w:rPr>
        <w:t>ompiled by the case authors based on company materials;</w:t>
      </w:r>
      <w:r w:rsidR="00D41C10">
        <w:rPr>
          <w:color w:val="000000"/>
          <w:lang w:val="en-GB"/>
        </w:rPr>
        <w:t xml:space="preserve"> </w:t>
      </w:r>
      <w:r w:rsidRPr="002B43C8">
        <w:rPr>
          <w:color w:val="000000"/>
          <w:lang w:val="en-GB"/>
        </w:rPr>
        <w:t xml:space="preserve">Hyundai Motor India </w:t>
      </w:r>
      <w:r w:rsidR="004F1CCD">
        <w:rPr>
          <w:color w:val="000000"/>
          <w:lang w:val="en-GB"/>
        </w:rPr>
        <w:t>L</w:t>
      </w:r>
      <w:r w:rsidRPr="002B43C8">
        <w:rPr>
          <w:color w:val="000000"/>
          <w:lang w:val="en-GB"/>
        </w:rPr>
        <w:t>imited official website,</w:t>
      </w:r>
      <w:r w:rsidR="003765C6">
        <w:rPr>
          <w:color w:val="000000"/>
          <w:lang w:val="en-GB"/>
        </w:rPr>
        <w:t xml:space="preserve"> </w:t>
      </w:r>
      <w:r w:rsidR="004E3AF2">
        <w:rPr>
          <w:color w:val="000000"/>
          <w:lang w:val="en-GB"/>
        </w:rPr>
        <w:t>accessed</w:t>
      </w:r>
      <w:r w:rsidR="003765C6">
        <w:rPr>
          <w:color w:val="000000"/>
          <w:lang w:val="en-GB"/>
        </w:rPr>
        <w:t xml:space="preserve"> February 15, 2017, </w:t>
      </w:r>
      <w:r w:rsidR="004E3AF2" w:rsidRPr="002141C0">
        <w:t>www</w:t>
      </w:r>
      <w:r w:rsidR="00BA3A59" w:rsidRPr="002141C0">
        <w:t>.hyundai.com/in/en/Main/index.html</w:t>
      </w:r>
      <w:r w:rsidR="004F1CCD">
        <w:rPr>
          <w:color w:val="000000"/>
          <w:lang w:val="en-GB"/>
        </w:rPr>
        <w:t>;</w:t>
      </w:r>
      <w:r w:rsidRPr="002B43C8">
        <w:rPr>
          <w:color w:val="000000"/>
          <w:lang w:val="en-GB"/>
        </w:rPr>
        <w:t xml:space="preserve"> Honda </w:t>
      </w:r>
      <w:r w:rsidR="00BA3A59">
        <w:rPr>
          <w:color w:val="000000"/>
          <w:lang w:val="en-GB"/>
        </w:rPr>
        <w:t>Cars</w:t>
      </w:r>
      <w:r w:rsidR="00BA3A59" w:rsidRPr="002B43C8">
        <w:rPr>
          <w:color w:val="000000"/>
          <w:lang w:val="en-GB"/>
        </w:rPr>
        <w:t xml:space="preserve"> </w:t>
      </w:r>
      <w:r w:rsidRPr="002B43C8">
        <w:rPr>
          <w:color w:val="000000"/>
          <w:lang w:val="en-GB"/>
        </w:rPr>
        <w:t>India L</w:t>
      </w:r>
      <w:r w:rsidR="004F1CCD">
        <w:rPr>
          <w:color w:val="000000"/>
          <w:lang w:val="en-GB"/>
        </w:rPr>
        <w:t>td</w:t>
      </w:r>
      <w:r w:rsidRPr="002B43C8">
        <w:rPr>
          <w:color w:val="000000"/>
          <w:lang w:val="en-GB"/>
        </w:rPr>
        <w:t xml:space="preserve"> official website,</w:t>
      </w:r>
      <w:r w:rsidR="00BA3A59">
        <w:rPr>
          <w:color w:val="000000"/>
          <w:lang w:val="en-GB"/>
        </w:rPr>
        <w:t xml:space="preserve"> </w:t>
      </w:r>
      <w:r w:rsidR="004E3AF2">
        <w:rPr>
          <w:color w:val="000000"/>
          <w:lang w:val="en-GB"/>
        </w:rPr>
        <w:t>accessed</w:t>
      </w:r>
      <w:r w:rsidR="00BA3A59">
        <w:rPr>
          <w:color w:val="000000"/>
          <w:lang w:val="en-GB"/>
        </w:rPr>
        <w:t xml:space="preserve"> February 15, 2017, </w:t>
      </w:r>
      <w:r w:rsidR="00BA3A59" w:rsidRPr="00BA3A59">
        <w:rPr>
          <w:color w:val="000000"/>
          <w:lang w:val="en-GB"/>
        </w:rPr>
        <w:t>http://yes.honda.co.in/honda-cars.aspx</w:t>
      </w:r>
      <w:r w:rsidR="004F1CCD">
        <w:rPr>
          <w:color w:val="000000"/>
          <w:lang w:val="en-GB"/>
        </w:rPr>
        <w:t>;</w:t>
      </w:r>
      <w:r w:rsidRPr="002B43C8">
        <w:rPr>
          <w:color w:val="000000"/>
          <w:lang w:val="en-GB"/>
        </w:rPr>
        <w:t xml:space="preserve"> Mahindra and Mahindra </w:t>
      </w:r>
      <w:r w:rsidR="00C96935">
        <w:rPr>
          <w:color w:val="000000"/>
          <w:lang w:val="en-GB"/>
        </w:rPr>
        <w:t xml:space="preserve">Ltd. </w:t>
      </w:r>
      <w:r w:rsidRPr="002B43C8">
        <w:rPr>
          <w:color w:val="000000"/>
          <w:lang w:val="en-GB"/>
        </w:rPr>
        <w:t>official website</w:t>
      </w:r>
      <w:r w:rsidR="009011D3">
        <w:rPr>
          <w:color w:val="000000"/>
          <w:lang w:val="en-GB"/>
        </w:rPr>
        <w:t xml:space="preserve">, </w:t>
      </w:r>
      <w:r w:rsidR="004E3AF2">
        <w:rPr>
          <w:color w:val="000000"/>
          <w:lang w:val="en-GB"/>
        </w:rPr>
        <w:t>accessed</w:t>
      </w:r>
      <w:r w:rsidR="00BE27FD">
        <w:rPr>
          <w:color w:val="000000"/>
          <w:lang w:val="en-GB"/>
        </w:rPr>
        <w:t xml:space="preserve"> February 15, 2017</w:t>
      </w:r>
      <w:r w:rsidR="00C96935">
        <w:rPr>
          <w:color w:val="000000"/>
          <w:lang w:val="en-GB"/>
        </w:rPr>
        <w:t xml:space="preserve">, </w:t>
      </w:r>
      <w:r w:rsidR="004E3AF2">
        <w:rPr>
          <w:color w:val="000000"/>
          <w:lang w:val="en-GB"/>
        </w:rPr>
        <w:t>www</w:t>
      </w:r>
      <w:r w:rsidR="00BE27FD" w:rsidRPr="00BE27FD">
        <w:rPr>
          <w:color w:val="000000"/>
          <w:lang w:val="en-GB"/>
        </w:rPr>
        <w:t>.mahindra.com/business/automotive</w:t>
      </w:r>
      <w:r w:rsidR="004F1CCD">
        <w:rPr>
          <w:color w:val="000000"/>
          <w:lang w:val="en-GB"/>
        </w:rPr>
        <w:t>;</w:t>
      </w:r>
      <w:r w:rsidRPr="002B43C8">
        <w:rPr>
          <w:color w:val="000000"/>
          <w:lang w:val="en-GB"/>
        </w:rPr>
        <w:t xml:space="preserve"> </w:t>
      </w:r>
      <w:r w:rsidR="00C96935">
        <w:rPr>
          <w:color w:val="000000"/>
          <w:lang w:val="en-GB"/>
        </w:rPr>
        <w:t xml:space="preserve">Renault India Pvt. Ltd official website, </w:t>
      </w:r>
      <w:r w:rsidR="004E3AF2">
        <w:rPr>
          <w:color w:val="000000"/>
          <w:lang w:val="en-GB"/>
        </w:rPr>
        <w:t>accessed</w:t>
      </w:r>
      <w:r w:rsidR="00C96935">
        <w:rPr>
          <w:color w:val="000000"/>
          <w:lang w:val="en-GB"/>
        </w:rPr>
        <w:t xml:space="preserve"> February 15, 2017, </w:t>
      </w:r>
      <w:r w:rsidR="00E13D48" w:rsidRPr="002141C0">
        <w:t>https://www.renault.co.in</w:t>
      </w:r>
      <w:r w:rsidR="004F1CCD">
        <w:rPr>
          <w:color w:val="000000"/>
          <w:lang w:val="en-GB"/>
        </w:rPr>
        <w:t>;</w:t>
      </w:r>
      <w:r w:rsidR="00E13D48">
        <w:rPr>
          <w:color w:val="000000"/>
          <w:lang w:val="en-GB"/>
        </w:rPr>
        <w:t xml:space="preserve"> Chevrole Sales India Pvt. Ltd. </w:t>
      </w:r>
      <w:r w:rsidR="004F1CCD">
        <w:rPr>
          <w:color w:val="000000"/>
          <w:lang w:val="en-GB"/>
        </w:rPr>
        <w:t xml:space="preserve">official website, </w:t>
      </w:r>
      <w:r w:rsidR="004E3AF2">
        <w:rPr>
          <w:color w:val="000000"/>
          <w:lang w:val="en-GB"/>
        </w:rPr>
        <w:t>accessed</w:t>
      </w:r>
      <w:r w:rsidR="00E13D48">
        <w:rPr>
          <w:color w:val="000000"/>
          <w:lang w:val="en-GB"/>
        </w:rPr>
        <w:t xml:space="preserve"> February 15, 2017, </w:t>
      </w:r>
      <w:r w:rsidR="004E3AF2" w:rsidRPr="002141C0">
        <w:t>www</w:t>
      </w:r>
      <w:r w:rsidR="00E13D48" w:rsidRPr="002141C0">
        <w:t>.chevrolet.co.in</w:t>
      </w:r>
      <w:r w:rsidR="004F1CCD">
        <w:rPr>
          <w:color w:val="000000"/>
          <w:lang w:val="en-GB"/>
        </w:rPr>
        <w:t>;</w:t>
      </w:r>
      <w:r w:rsidR="00E13D48">
        <w:rPr>
          <w:color w:val="000000"/>
          <w:lang w:val="en-GB"/>
        </w:rPr>
        <w:t xml:space="preserve"> </w:t>
      </w:r>
      <w:r w:rsidR="00142B18">
        <w:t>Tata official website</w:t>
      </w:r>
      <w:r w:rsidR="00F27923" w:rsidRPr="008953AF">
        <w:t xml:space="preserve">, accessed </w:t>
      </w:r>
      <w:r w:rsidR="006C1324">
        <w:t>February 2017</w:t>
      </w:r>
      <w:r w:rsidR="00F27923" w:rsidRPr="008953AF">
        <w:t xml:space="preserve">, </w:t>
      </w:r>
      <w:r w:rsidR="001A5003" w:rsidRPr="001A5003">
        <w:t>www.tata.com/brandshowcase.html</w:t>
      </w:r>
      <w:r w:rsidR="001A5003">
        <w:t xml:space="preserve">; </w:t>
      </w:r>
      <w:r w:rsidR="00952DC1">
        <w:rPr>
          <w:color w:val="000000"/>
          <w:lang w:val="en-GB"/>
        </w:rPr>
        <w:t>Volkswagen</w:t>
      </w:r>
      <w:r w:rsidR="00326D32">
        <w:rPr>
          <w:color w:val="000000"/>
          <w:lang w:val="en-GB"/>
        </w:rPr>
        <w:t xml:space="preserve"> Group Sales India Pvt. Ltd.</w:t>
      </w:r>
      <w:r w:rsidR="0095211A">
        <w:rPr>
          <w:color w:val="000000"/>
          <w:lang w:val="en-GB"/>
        </w:rPr>
        <w:t xml:space="preserve"> official website</w:t>
      </w:r>
      <w:r w:rsidR="00326D32">
        <w:rPr>
          <w:color w:val="000000"/>
          <w:lang w:val="en-GB"/>
        </w:rPr>
        <w:t>,</w:t>
      </w:r>
      <w:r w:rsidR="00952DC1">
        <w:rPr>
          <w:color w:val="000000"/>
          <w:lang w:val="en-GB"/>
        </w:rPr>
        <w:t xml:space="preserve"> </w:t>
      </w:r>
      <w:r w:rsidR="004E3AF2">
        <w:rPr>
          <w:color w:val="000000"/>
          <w:lang w:val="en-GB"/>
        </w:rPr>
        <w:t>accessed</w:t>
      </w:r>
      <w:r w:rsidR="00952DC1">
        <w:rPr>
          <w:color w:val="000000"/>
          <w:lang w:val="en-GB"/>
        </w:rPr>
        <w:t xml:space="preserve"> February 15, 2017</w:t>
      </w:r>
      <w:r w:rsidR="004F1CCD">
        <w:rPr>
          <w:color w:val="000000"/>
          <w:lang w:val="en-GB"/>
        </w:rPr>
        <w:t xml:space="preserve">, </w:t>
      </w:r>
      <w:r w:rsidR="004E3AF2">
        <w:rPr>
          <w:color w:val="000000"/>
          <w:lang w:val="en-GB"/>
        </w:rPr>
        <w:t>www</w:t>
      </w:r>
      <w:r w:rsidR="00952DC1" w:rsidRPr="00952DC1">
        <w:rPr>
          <w:color w:val="000000"/>
          <w:lang w:val="en-GB"/>
        </w:rPr>
        <w:t>.volkswagen.co.in/en.html</w:t>
      </w:r>
      <w:r w:rsidR="00FB74FD">
        <w:rPr>
          <w:color w:val="000000"/>
          <w:lang w:val="en-GB"/>
        </w:rPr>
        <w:t xml:space="preserve">, </w:t>
      </w:r>
      <w:r w:rsidR="009C0D52">
        <w:rPr>
          <w:color w:val="000000"/>
          <w:lang w:val="en-GB"/>
        </w:rPr>
        <w:t xml:space="preserve">Toyota Kirloskar Motor official website, </w:t>
      </w:r>
      <w:r w:rsidR="004E3AF2">
        <w:rPr>
          <w:color w:val="000000"/>
          <w:lang w:val="en-GB"/>
        </w:rPr>
        <w:t>accessed</w:t>
      </w:r>
      <w:r w:rsidR="009C0D52">
        <w:rPr>
          <w:color w:val="000000"/>
          <w:lang w:val="en-GB"/>
        </w:rPr>
        <w:t xml:space="preserve"> February 15, 2017, </w:t>
      </w:r>
      <w:r w:rsidR="004F1CCD" w:rsidRPr="002141C0">
        <w:rPr>
          <w:color w:val="000000"/>
        </w:rPr>
        <w:t>www.toyotabharat.com</w:t>
      </w:r>
      <w:r w:rsidR="004F1CCD">
        <w:rPr>
          <w:color w:val="000000"/>
          <w:lang w:val="en-GB"/>
        </w:rPr>
        <w:t xml:space="preserve">; </w:t>
      </w:r>
      <w:r w:rsidR="005E59CD">
        <w:rPr>
          <w:color w:val="000000"/>
          <w:lang w:val="en-GB"/>
        </w:rPr>
        <w:t>Nissan Motor India Pvt. Ltd.</w:t>
      </w:r>
      <w:r w:rsidR="004F1CCD">
        <w:rPr>
          <w:color w:val="000000"/>
          <w:lang w:val="en-GB"/>
        </w:rPr>
        <w:t>/Datsun official website</w:t>
      </w:r>
      <w:r w:rsidR="009C0D52">
        <w:rPr>
          <w:color w:val="000000"/>
          <w:lang w:val="en-GB"/>
        </w:rPr>
        <w:t xml:space="preserve">, </w:t>
      </w:r>
      <w:r w:rsidR="004E3AF2">
        <w:rPr>
          <w:color w:val="000000"/>
          <w:lang w:val="en-GB"/>
        </w:rPr>
        <w:t>accessed</w:t>
      </w:r>
      <w:r w:rsidR="009C0D52">
        <w:rPr>
          <w:color w:val="000000"/>
          <w:lang w:val="en-GB"/>
        </w:rPr>
        <w:t xml:space="preserve"> February 15, 2017, </w:t>
      </w:r>
      <w:r w:rsidR="009C0D52" w:rsidRPr="002141C0">
        <w:t>https://www.datsun.co.in</w:t>
      </w:r>
      <w:r w:rsidR="004F1CCD">
        <w:rPr>
          <w:color w:val="000000"/>
          <w:lang w:val="en-GB"/>
        </w:rPr>
        <w:t xml:space="preserve">; </w:t>
      </w:r>
      <w:r w:rsidR="009C04B0">
        <w:rPr>
          <w:color w:val="000000"/>
          <w:lang w:val="en-GB"/>
        </w:rPr>
        <w:t>Ford India Pvt. Ltd.</w:t>
      </w:r>
      <w:r w:rsidR="0095211A">
        <w:rPr>
          <w:color w:val="000000"/>
          <w:lang w:val="en-GB"/>
        </w:rPr>
        <w:t xml:space="preserve"> official website</w:t>
      </w:r>
      <w:r w:rsidR="009C04B0">
        <w:rPr>
          <w:color w:val="000000"/>
          <w:lang w:val="en-GB"/>
        </w:rPr>
        <w:t xml:space="preserve">, </w:t>
      </w:r>
      <w:r w:rsidR="004E3AF2">
        <w:rPr>
          <w:color w:val="000000"/>
          <w:lang w:val="en-GB"/>
        </w:rPr>
        <w:t>accessed</w:t>
      </w:r>
      <w:r w:rsidR="009C04B0">
        <w:rPr>
          <w:color w:val="000000"/>
          <w:lang w:val="en-GB"/>
        </w:rPr>
        <w:t xml:space="preserve"> February 15, 2017, </w:t>
      </w:r>
      <w:r w:rsidR="009C04B0" w:rsidRPr="009C04B0">
        <w:rPr>
          <w:color w:val="000000"/>
          <w:lang w:val="en-GB"/>
        </w:rPr>
        <w:t>https://www.india.ford.com</w:t>
      </w:r>
      <w:r w:rsidR="004F1CCD">
        <w:rPr>
          <w:color w:val="000000"/>
          <w:lang w:val="en-GB"/>
        </w:rPr>
        <w:t>.</w:t>
      </w:r>
      <w:r w:rsidR="00913F2A" w:rsidRPr="002B43C8">
        <w:rPr>
          <w:color w:val="000000"/>
          <w:lang w:val="en-GB"/>
        </w:rPr>
        <w:br w:type="page"/>
      </w:r>
    </w:p>
    <w:p w14:paraId="12CB0383" w14:textId="59502F52" w:rsidR="005D1115" w:rsidRPr="002B43C8" w:rsidRDefault="00935D2F" w:rsidP="007F36EF">
      <w:pPr>
        <w:jc w:val="center"/>
        <w:outlineLvl w:val="0"/>
        <w:rPr>
          <w:rFonts w:ascii="Arial" w:hAnsi="Arial"/>
          <w:b/>
          <w:lang w:val="en-GB"/>
        </w:rPr>
      </w:pPr>
      <w:r w:rsidRPr="002B43C8">
        <w:rPr>
          <w:rFonts w:ascii="Arial" w:hAnsi="Arial"/>
          <w:b/>
          <w:lang w:val="en-GB"/>
        </w:rPr>
        <w:lastRenderedPageBreak/>
        <w:t>EXHIBIT 9:</w:t>
      </w:r>
      <w:r w:rsidRPr="002B43C8">
        <w:rPr>
          <w:b/>
          <w:lang w:val="en-GB"/>
        </w:rPr>
        <w:t xml:space="preserve"> </w:t>
      </w:r>
      <w:r w:rsidRPr="002B43C8">
        <w:rPr>
          <w:rFonts w:ascii="Arial" w:hAnsi="Arial"/>
          <w:b/>
          <w:lang w:val="en-GB"/>
        </w:rPr>
        <w:t>FEATURES OF MSIL’S CARS</w:t>
      </w:r>
    </w:p>
    <w:p w14:paraId="0ABD6A02" w14:textId="77777777" w:rsidR="00935D2F" w:rsidRPr="002B43C8" w:rsidRDefault="00935D2F" w:rsidP="005D4697">
      <w:pPr>
        <w:jc w:val="center"/>
        <w:outlineLvl w:val="0"/>
        <w:rPr>
          <w:rFonts w:ascii="Arial" w:hAnsi="Arial"/>
          <w:b/>
          <w:lang w:val="en-GB"/>
        </w:rPr>
      </w:pPr>
    </w:p>
    <w:tbl>
      <w:tblPr>
        <w:tblW w:w="91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260"/>
        <w:gridCol w:w="1440"/>
        <w:gridCol w:w="810"/>
        <w:gridCol w:w="1080"/>
        <w:gridCol w:w="900"/>
        <w:gridCol w:w="1170"/>
        <w:gridCol w:w="1080"/>
        <w:gridCol w:w="1381"/>
      </w:tblGrid>
      <w:tr w:rsidR="00FC33E3" w:rsidRPr="002B43C8" w14:paraId="14990C81" w14:textId="710F82E4" w:rsidTr="00561043">
        <w:trPr>
          <w:trHeight w:val="513"/>
          <w:jc w:val="center"/>
        </w:trPr>
        <w:tc>
          <w:tcPr>
            <w:tcW w:w="1260" w:type="dxa"/>
            <w:noWrap/>
            <w:vAlign w:val="center"/>
            <w:hideMark/>
          </w:tcPr>
          <w:p w14:paraId="1F9888B9" w14:textId="77777777" w:rsidR="00047F42" w:rsidRPr="00275853" w:rsidRDefault="00047F42" w:rsidP="00561043">
            <w:pPr>
              <w:pStyle w:val="ExhibitText"/>
              <w:jc w:val="center"/>
              <w:rPr>
                <w:b/>
                <w:lang w:val="en-GB"/>
              </w:rPr>
            </w:pPr>
            <w:r w:rsidRPr="00275853">
              <w:rPr>
                <w:b/>
                <w:lang w:val="en-GB"/>
              </w:rPr>
              <w:t>Car</w:t>
            </w:r>
          </w:p>
        </w:tc>
        <w:tc>
          <w:tcPr>
            <w:tcW w:w="1440" w:type="dxa"/>
            <w:vAlign w:val="center"/>
            <w:hideMark/>
          </w:tcPr>
          <w:p w14:paraId="39C1EB50" w14:textId="77777777" w:rsidR="00047F42" w:rsidRPr="00275853" w:rsidRDefault="00047F42" w:rsidP="00561043">
            <w:pPr>
              <w:pStyle w:val="ExhibitText"/>
              <w:jc w:val="center"/>
              <w:rPr>
                <w:b/>
                <w:lang w:val="en-GB"/>
              </w:rPr>
            </w:pPr>
            <w:r w:rsidRPr="00275853">
              <w:rPr>
                <w:b/>
                <w:lang w:val="en-GB"/>
              </w:rPr>
              <w:t>Transmission</w:t>
            </w:r>
          </w:p>
        </w:tc>
        <w:tc>
          <w:tcPr>
            <w:tcW w:w="810" w:type="dxa"/>
            <w:noWrap/>
            <w:vAlign w:val="center"/>
            <w:hideMark/>
          </w:tcPr>
          <w:p w14:paraId="5F6D2830" w14:textId="77777777" w:rsidR="00047F42" w:rsidRPr="00275853" w:rsidRDefault="00047F42" w:rsidP="00561043">
            <w:pPr>
              <w:pStyle w:val="ExhibitText"/>
              <w:jc w:val="center"/>
              <w:rPr>
                <w:b/>
                <w:lang w:val="en-GB"/>
              </w:rPr>
            </w:pPr>
            <w:r w:rsidRPr="00275853">
              <w:rPr>
                <w:b/>
                <w:lang w:val="en-GB"/>
              </w:rPr>
              <w:t>Engine</w:t>
            </w:r>
          </w:p>
        </w:tc>
        <w:tc>
          <w:tcPr>
            <w:tcW w:w="1080" w:type="dxa"/>
            <w:noWrap/>
            <w:vAlign w:val="center"/>
            <w:hideMark/>
          </w:tcPr>
          <w:p w14:paraId="79ABA841" w14:textId="1347570A" w:rsidR="00047F42" w:rsidRPr="00275853" w:rsidRDefault="00047F42" w:rsidP="00561043">
            <w:pPr>
              <w:pStyle w:val="ExhibitText"/>
              <w:jc w:val="center"/>
              <w:rPr>
                <w:b/>
                <w:lang w:val="en-GB"/>
              </w:rPr>
            </w:pPr>
            <w:r w:rsidRPr="00275853">
              <w:rPr>
                <w:b/>
                <w:lang w:val="en-GB"/>
              </w:rPr>
              <w:t xml:space="preserve">Fuel </w:t>
            </w:r>
            <w:r w:rsidR="003D281E" w:rsidRPr="00275853">
              <w:rPr>
                <w:b/>
                <w:lang w:val="en-GB"/>
              </w:rPr>
              <w:t>E</w:t>
            </w:r>
            <w:r w:rsidRPr="00275853">
              <w:rPr>
                <w:b/>
                <w:lang w:val="en-GB"/>
              </w:rPr>
              <w:t>fficiency (kmpl)</w:t>
            </w:r>
          </w:p>
        </w:tc>
        <w:tc>
          <w:tcPr>
            <w:tcW w:w="900" w:type="dxa"/>
            <w:vAlign w:val="center"/>
          </w:tcPr>
          <w:p w14:paraId="4962B841" w14:textId="77777777" w:rsidR="00047F42" w:rsidRPr="00275853" w:rsidRDefault="00047F42" w:rsidP="00561043">
            <w:pPr>
              <w:pStyle w:val="ExhibitText"/>
              <w:jc w:val="center"/>
              <w:rPr>
                <w:b/>
                <w:lang w:val="en-GB"/>
              </w:rPr>
            </w:pPr>
            <w:r w:rsidRPr="00275853">
              <w:rPr>
                <w:b/>
                <w:lang w:val="en-GB"/>
              </w:rPr>
              <w:t>Variants</w:t>
            </w:r>
          </w:p>
        </w:tc>
        <w:tc>
          <w:tcPr>
            <w:tcW w:w="1170" w:type="dxa"/>
            <w:vAlign w:val="center"/>
          </w:tcPr>
          <w:p w14:paraId="6B436C27" w14:textId="6ADD618F" w:rsidR="00047F42" w:rsidRPr="00275853" w:rsidRDefault="00047F42" w:rsidP="00561043">
            <w:pPr>
              <w:pStyle w:val="ExhibitText"/>
              <w:jc w:val="center"/>
              <w:rPr>
                <w:b/>
                <w:lang w:val="en-GB"/>
              </w:rPr>
            </w:pPr>
            <w:r w:rsidRPr="00275853">
              <w:rPr>
                <w:b/>
                <w:lang w:val="en-GB"/>
              </w:rPr>
              <w:t>Price (in</w:t>
            </w:r>
            <w:r w:rsidR="00C170DA" w:rsidRPr="00275853">
              <w:rPr>
                <w:b/>
                <w:sz w:val="18"/>
                <w:szCs w:val="18"/>
                <w:lang w:val="en-GB"/>
              </w:rPr>
              <w:t xml:space="preserve"> </w:t>
            </w:r>
            <w:r w:rsidR="00C170DA" w:rsidRPr="00275853">
              <w:rPr>
                <w:rFonts w:eastAsia="Calibri"/>
                <w:b/>
                <w:spacing w:val="-2"/>
                <w:kern w:val="15"/>
                <w:sz w:val="18"/>
                <w:szCs w:val="18"/>
                <w:lang w:val="en-GB"/>
              </w:rPr>
              <w:t xml:space="preserve">₹ </w:t>
            </w:r>
            <w:r w:rsidRPr="00275853">
              <w:rPr>
                <w:b/>
                <w:lang w:val="en-GB"/>
              </w:rPr>
              <w:t>thousands)</w:t>
            </w:r>
          </w:p>
        </w:tc>
        <w:tc>
          <w:tcPr>
            <w:tcW w:w="1080" w:type="dxa"/>
            <w:vAlign w:val="center"/>
          </w:tcPr>
          <w:p w14:paraId="356F4EF0" w14:textId="49F49293" w:rsidR="00047F42" w:rsidRPr="00EC5423" w:rsidRDefault="006D37EE" w:rsidP="000E44FF">
            <w:pPr>
              <w:pStyle w:val="ExhibitText"/>
              <w:jc w:val="center"/>
              <w:rPr>
                <w:b/>
                <w:lang w:val="en-GB"/>
              </w:rPr>
            </w:pPr>
            <w:r w:rsidRPr="00EC5423">
              <w:rPr>
                <w:b/>
                <w:lang w:val="en-GB"/>
              </w:rPr>
              <w:t>Tag</w:t>
            </w:r>
            <w:r w:rsidR="000E44FF">
              <w:rPr>
                <w:b/>
                <w:lang w:val="en-GB"/>
              </w:rPr>
              <w:t xml:space="preserve"> L</w:t>
            </w:r>
            <w:r w:rsidRPr="00EC5423">
              <w:rPr>
                <w:b/>
                <w:lang w:val="en-GB"/>
              </w:rPr>
              <w:t>ines</w:t>
            </w:r>
          </w:p>
        </w:tc>
        <w:tc>
          <w:tcPr>
            <w:tcW w:w="1381" w:type="dxa"/>
            <w:vAlign w:val="center"/>
          </w:tcPr>
          <w:p w14:paraId="239F5947" w14:textId="795B0F85" w:rsidR="00047F42" w:rsidRPr="000E44FF" w:rsidRDefault="00047F42" w:rsidP="00561043">
            <w:pPr>
              <w:pStyle w:val="ExhibitText"/>
              <w:jc w:val="center"/>
              <w:rPr>
                <w:b/>
                <w:lang w:val="en-GB"/>
              </w:rPr>
            </w:pPr>
            <w:r w:rsidRPr="00EC5423">
              <w:rPr>
                <w:b/>
                <w:lang w:val="en-GB"/>
              </w:rPr>
              <w:t>Target Customer</w:t>
            </w:r>
          </w:p>
        </w:tc>
      </w:tr>
      <w:tr w:rsidR="00FC33E3" w:rsidRPr="002B43C8" w14:paraId="701FB260" w14:textId="2D83C614" w:rsidTr="00561043">
        <w:trPr>
          <w:trHeight w:val="247"/>
          <w:jc w:val="center"/>
        </w:trPr>
        <w:tc>
          <w:tcPr>
            <w:tcW w:w="1260" w:type="dxa"/>
            <w:vAlign w:val="center"/>
            <w:hideMark/>
          </w:tcPr>
          <w:p w14:paraId="4E817FE9" w14:textId="77777777" w:rsidR="00047F42" w:rsidRPr="00275853" w:rsidRDefault="00047F42" w:rsidP="001A5003">
            <w:pPr>
              <w:pStyle w:val="ExhibitText"/>
              <w:jc w:val="left"/>
            </w:pPr>
            <w:r w:rsidRPr="00275853">
              <w:t>Alto 800</w:t>
            </w:r>
          </w:p>
        </w:tc>
        <w:tc>
          <w:tcPr>
            <w:tcW w:w="1440" w:type="dxa"/>
            <w:vAlign w:val="center"/>
            <w:hideMark/>
          </w:tcPr>
          <w:p w14:paraId="210AEB34" w14:textId="77777777" w:rsidR="006B52F6" w:rsidRPr="00275853" w:rsidRDefault="00047F42" w:rsidP="001A5003">
            <w:pPr>
              <w:pStyle w:val="ExhibitText"/>
              <w:jc w:val="left"/>
            </w:pPr>
            <w:r w:rsidRPr="00275853">
              <w:t xml:space="preserve">5mt/cable </w:t>
            </w:r>
          </w:p>
          <w:p w14:paraId="5914FFAF" w14:textId="3AEDF0D9" w:rsidR="00047F42" w:rsidRPr="00275853" w:rsidRDefault="00047F42" w:rsidP="001A5003">
            <w:pPr>
              <w:pStyle w:val="ExhibitText"/>
              <w:jc w:val="left"/>
            </w:pPr>
            <w:r w:rsidRPr="00275853">
              <w:t>type gear shift</w:t>
            </w:r>
          </w:p>
        </w:tc>
        <w:tc>
          <w:tcPr>
            <w:tcW w:w="810" w:type="dxa"/>
            <w:noWrap/>
            <w:vAlign w:val="center"/>
            <w:hideMark/>
          </w:tcPr>
          <w:p w14:paraId="15A1C7F3" w14:textId="77777777" w:rsidR="00047F42" w:rsidRPr="00275853" w:rsidRDefault="00047F42" w:rsidP="001A5003">
            <w:pPr>
              <w:pStyle w:val="ExhibitText"/>
              <w:jc w:val="left"/>
            </w:pPr>
            <w:r w:rsidRPr="00275853">
              <w:t>F8D</w:t>
            </w:r>
          </w:p>
        </w:tc>
        <w:tc>
          <w:tcPr>
            <w:tcW w:w="1080" w:type="dxa"/>
            <w:noWrap/>
            <w:vAlign w:val="center"/>
            <w:hideMark/>
          </w:tcPr>
          <w:p w14:paraId="7A8073EA" w14:textId="7327FCF2" w:rsidR="00047F42" w:rsidRPr="00275853" w:rsidRDefault="00047F42" w:rsidP="001A5003">
            <w:pPr>
              <w:pStyle w:val="ExhibitText"/>
              <w:jc w:val="right"/>
            </w:pPr>
            <w:r w:rsidRPr="00275853">
              <w:t>23</w:t>
            </w:r>
            <w:r w:rsidR="00FE3D65" w:rsidRPr="00275853">
              <w:t>–</w:t>
            </w:r>
            <w:r w:rsidRPr="00275853">
              <w:t>30</w:t>
            </w:r>
          </w:p>
        </w:tc>
        <w:tc>
          <w:tcPr>
            <w:tcW w:w="900" w:type="dxa"/>
          </w:tcPr>
          <w:p w14:paraId="2CEBD284" w14:textId="77777777" w:rsidR="00047F42" w:rsidRPr="002B43C8" w:rsidRDefault="00047F42" w:rsidP="00275853">
            <w:pPr>
              <w:pStyle w:val="ExhibitText"/>
              <w:jc w:val="left"/>
              <w:rPr>
                <w:lang w:val="en-GB"/>
              </w:rPr>
            </w:pPr>
            <w:r w:rsidRPr="002B43C8">
              <w:rPr>
                <w:lang w:val="en-GB"/>
              </w:rPr>
              <w:t>Std</w:t>
            </w:r>
          </w:p>
          <w:p w14:paraId="6DF7EB31" w14:textId="77777777" w:rsidR="00047F42" w:rsidRPr="002B43C8" w:rsidRDefault="00047F42" w:rsidP="00275853">
            <w:pPr>
              <w:pStyle w:val="ExhibitText"/>
              <w:jc w:val="left"/>
              <w:rPr>
                <w:lang w:val="en-GB"/>
              </w:rPr>
            </w:pPr>
            <w:r w:rsidRPr="002B43C8">
              <w:rPr>
                <w:lang w:val="en-GB"/>
              </w:rPr>
              <w:t>LX</w:t>
            </w:r>
          </w:p>
          <w:p w14:paraId="5B069D74" w14:textId="77777777" w:rsidR="00047F42" w:rsidRPr="002B43C8" w:rsidRDefault="00047F42" w:rsidP="00275853">
            <w:pPr>
              <w:pStyle w:val="ExhibitText"/>
              <w:jc w:val="left"/>
              <w:rPr>
                <w:lang w:val="en-GB"/>
              </w:rPr>
            </w:pPr>
            <w:r w:rsidRPr="002B43C8">
              <w:rPr>
                <w:lang w:val="en-GB"/>
              </w:rPr>
              <w:t>LXi</w:t>
            </w:r>
          </w:p>
          <w:p w14:paraId="27D33F49" w14:textId="77777777" w:rsidR="00047F42" w:rsidRPr="002B43C8" w:rsidRDefault="00047F42" w:rsidP="00275853">
            <w:pPr>
              <w:pStyle w:val="ExhibitText"/>
              <w:jc w:val="left"/>
              <w:rPr>
                <w:lang w:val="en-GB"/>
              </w:rPr>
            </w:pPr>
            <w:r w:rsidRPr="002B43C8">
              <w:rPr>
                <w:lang w:val="en-GB"/>
              </w:rPr>
              <w:t>VXi</w:t>
            </w:r>
          </w:p>
        </w:tc>
        <w:tc>
          <w:tcPr>
            <w:tcW w:w="1170" w:type="dxa"/>
          </w:tcPr>
          <w:p w14:paraId="527834EE" w14:textId="1F48DB88" w:rsidR="00047F42" w:rsidRPr="002B43C8" w:rsidRDefault="00047F42" w:rsidP="00275853">
            <w:pPr>
              <w:pStyle w:val="ExhibitText"/>
              <w:jc w:val="right"/>
              <w:rPr>
                <w:caps/>
                <w:lang w:val="en-GB"/>
              </w:rPr>
            </w:pPr>
            <w:r w:rsidRPr="002B43C8">
              <w:rPr>
                <w:lang w:val="en-GB"/>
              </w:rPr>
              <w:t>249</w:t>
            </w:r>
            <w:r>
              <w:rPr>
                <w:lang w:val="en-GB"/>
              </w:rPr>
              <w:t>.89</w:t>
            </w:r>
          </w:p>
          <w:p w14:paraId="68936F91" w14:textId="3870DED8" w:rsidR="00047F42" w:rsidRPr="002B43C8" w:rsidRDefault="00047F42" w:rsidP="00275853">
            <w:pPr>
              <w:pStyle w:val="ExhibitText"/>
              <w:jc w:val="right"/>
              <w:rPr>
                <w:caps/>
                <w:lang w:val="en-GB"/>
              </w:rPr>
            </w:pPr>
            <w:r w:rsidRPr="002B43C8">
              <w:rPr>
                <w:lang w:val="en-GB"/>
              </w:rPr>
              <w:t>286</w:t>
            </w:r>
            <w:r>
              <w:rPr>
                <w:lang w:val="en-GB"/>
              </w:rPr>
              <w:t>.42</w:t>
            </w:r>
          </w:p>
          <w:p w14:paraId="7B2BF719" w14:textId="2137F265" w:rsidR="00047F42" w:rsidRPr="002B43C8" w:rsidRDefault="00047F42" w:rsidP="00275853">
            <w:pPr>
              <w:pStyle w:val="ExhibitText"/>
              <w:jc w:val="right"/>
              <w:rPr>
                <w:caps/>
                <w:lang w:val="en-GB"/>
              </w:rPr>
            </w:pPr>
            <w:r w:rsidRPr="002B43C8">
              <w:rPr>
                <w:lang w:val="en-GB"/>
              </w:rPr>
              <w:t>308</w:t>
            </w:r>
            <w:r>
              <w:rPr>
                <w:lang w:val="en-GB"/>
              </w:rPr>
              <w:t>.94</w:t>
            </w:r>
          </w:p>
          <w:p w14:paraId="51B38C71" w14:textId="51A0F486" w:rsidR="00047F42" w:rsidRPr="002B43C8" w:rsidRDefault="00047F42" w:rsidP="00275853">
            <w:pPr>
              <w:pStyle w:val="ExhibitText"/>
              <w:jc w:val="right"/>
              <w:rPr>
                <w:lang w:val="en-GB"/>
              </w:rPr>
            </w:pPr>
            <w:r w:rsidRPr="002B43C8">
              <w:rPr>
                <w:lang w:val="en-GB"/>
              </w:rPr>
              <w:t>340</w:t>
            </w:r>
            <w:r>
              <w:rPr>
                <w:lang w:val="en-GB"/>
              </w:rPr>
              <w:t>.87</w:t>
            </w:r>
          </w:p>
        </w:tc>
        <w:tc>
          <w:tcPr>
            <w:tcW w:w="1080" w:type="dxa"/>
            <w:vAlign w:val="center"/>
          </w:tcPr>
          <w:p w14:paraId="0C4E9A4A" w14:textId="72BB1023" w:rsidR="00047F42" w:rsidRDefault="006D37EE" w:rsidP="001A5003">
            <w:pPr>
              <w:pStyle w:val="ExhibitText"/>
              <w:jc w:val="left"/>
              <w:rPr>
                <w:lang w:val="en-GB"/>
              </w:rPr>
            </w:pPr>
            <w:r w:rsidRPr="00781819">
              <w:rPr>
                <w:lang w:val="en-GB"/>
              </w:rPr>
              <w:t xml:space="preserve">Let’s Go </w:t>
            </w:r>
          </w:p>
        </w:tc>
        <w:tc>
          <w:tcPr>
            <w:tcW w:w="1381" w:type="dxa"/>
            <w:vAlign w:val="center"/>
          </w:tcPr>
          <w:p w14:paraId="6F616CCF" w14:textId="3F96DF9C" w:rsidR="00047F42" w:rsidRPr="002B43C8" w:rsidRDefault="003A0C86" w:rsidP="001A5003">
            <w:pPr>
              <w:pStyle w:val="ExhibitText"/>
              <w:jc w:val="left"/>
              <w:rPr>
                <w:lang w:val="en-GB"/>
              </w:rPr>
            </w:pPr>
            <w:r>
              <w:rPr>
                <w:lang w:val="en-GB"/>
              </w:rPr>
              <w:t>Middle class</w:t>
            </w:r>
            <w:r w:rsidR="00D41C10">
              <w:rPr>
                <w:lang w:val="en-GB"/>
              </w:rPr>
              <w:t>,</w:t>
            </w:r>
            <w:r>
              <w:rPr>
                <w:lang w:val="en-GB"/>
              </w:rPr>
              <w:t xml:space="preserve"> f</w:t>
            </w:r>
            <w:r w:rsidR="00047F42">
              <w:rPr>
                <w:lang w:val="en-GB"/>
              </w:rPr>
              <w:t>irst</w:t>
            </w:r>
            <w:r w:rsidR="00D41C10">
              <w:rPr>
                <w:lang w:val="en-GB"/>
              </w:rPr>
              <w:t>-</w:t>
            </w:r>
            <w:r w:rsidR="00047F42">
              <w:rPr>
                <w:lang w:val="en-GB"/>
              </w:rPr>
              <w:t>time car</w:t>
            </w:r>
            <w:r w:rsidR="00D41C10">
              <w:rPr>
                <w:lang w:val="en-GB"/>
              </w:rPr>
              <w:t xml:space="preserve"> </w:t>
            </w:r>
            <w:r w:rsidR="00047F42">
              <w:rPr>
                <w:lang w:val="en-GB"/>
              </w:rPr>
              <w:t>buyers</w:t>
            </w:r>
          </w:p>
        </w:tc>
      </w:tr>
      <w:tr w:rsidR="00FC33E3" w:rsidRPr="002B43C8" w14:paraId="662E00BE" w14:textId="057FD898" w:rsidTr="00561043">
        <w:trPr>
          <w:trHeight w:val="714"/>
          <w:jc w:val="center"/>
        </w:trPr>
        <w:tc>
          <w:tcPr>
            <w:tcW w:w="1260" w:type="dxa"/>
            <w:vAlign w:val="center"/>
            <w:hideMark/>
          </w:tcPr>
          <w:p w14:paraId="0B0AF93A" w14:textId="77777777" w:rsidR="00047F42" w:rsidRPr="00275853" w:rsidRDefault="00047F42" w:rsidP="001A5003">
            <w:pPr>
              <w:pStyle w:val="ExhibitText"/>
              <w:jc w:val="left"/>
            </w:pPr>
            <w:r w:rsidRPr="00275853">
              <w:t>Alto K10</w:t>
            </w:r>
          </w:p>
        </w:tc>
        <w:tc>
          <w:tcPr>
            <w:tcW w:w="1440" w:type="dxa"/>
            <w:vAlign w:val="center"/>
            <w:hideMark/>
          </w:tcPr>
          <w:p w14:paraId="3F07CC5C" w14:textId="46A7F355" w:rsidR="00047F42" w:rsidRPr="00275853" w:rsidRDefault="00047F42" w:rsidP="007F136F">
            <w:pPr>
              <w:pStyle w:val="ExhibitText"/>
              <w:jc w:val="left"/>
            </w:pPr>
            <w:r w:rsidRPr="00275853">
              <w:t>5mt/auto gear shift</w:t>
            </w:r>
          </w:p>
        </w:tc>
        <w:tc>
          <w:tcPr>
            <w:tcW w:w="810" w:type="dxa"/>
            <w:noWrap/>
            <w:vAlign w:val="center"/>
            <w:hideMark/>
          </w:tcPr>
          <w:p w14:paraId="2937B84B" w14:textId="77777777" w:rsidR="00047F42" w:rsidRPr="00275853" w:rsidRDefault="00047F42" w:rsidP="001A5003">
            <w:pPr>
              <w:pStyle w:val="ExhibitText"/>
              <w:jc w:val="left"/>
            </w:pPr>
            <w:r w:rsidRPr="00275853">
              <w:t>K10B</w:t>
            </w:r>
          </w:p>
        </w:tc>
        <w:tc>
          <w:tcPr>
            <w:tcW w:w="1080" w:type="dxa"/>
            <w:noWrap/>
            <w:vAlign w:val="center"/>
            <w:hideMark/>
          </w:tcPr>
          <w:p w14:paraId="59A5EB0A" w14:textId="1A0D496D" w:rsidR="00047F42" w:rsidRPr="00275853" w:rsidRDefault="00047F42" w:rsidP="001A5003">
            <w:pPr>
              <w:pStyle w:val="ExhibitText"/>
              <w:jc w:val="right"/>
            </w:pPr>
            <w:r w:rsidRPr="00275853">
              <w:t>24</w:t>
            </w:r>
            <w:r w:rsidR="00FE3D65" w:rsidRPr="00275853">
              <w:t>–</w:t>
            </w:r>
            <w:r w:rsidRPr="00275853">
              <w:t>32</w:t>
            </w:r>
          </w:p>
        </w:tc>
        <w:tc>
          <w:tcPr>
            <w:tcW w:w="900" w:type="dxa"/>
          </w:tcPr>
          <w:p w14:paraId="4D36B7A6" w14:textId="4F2FAFD4" w:rsidR="00047F42" w:rsidRPr="00461423" w:rsidRDefault="00047F42" w:rsidP="00275853">
            <w:pPr>
              <w:pStyle w:val="ExhibitText"/>
              <w:jc w:val="left"/>
              <w:rPr>
                <w:lang w:val="es-US"/>
              </w:rPr>
            </w:pPr>
            <w:r w:rsidRPr="00461423">
              <w:rPr>
                <w:lang w:val="es-US"/>
              </w:rPr>
              <w:t>LX</w:t>
            </w:r>
            <w:r w:rsidR="00CC3EA4">
              <w:rPr>
                <w:lang w:val="es-US"/>
              </w:rPr>
              <w:t xml:space="preserve"> </w:t>
            </w:r>
            <w:r w:rsidRPr="00461423">
              <w:rPr>
                <w:lang w:val="es-US"/>
              </w:rPr>
              <w:t>(petrol)</w:t>
            </w:r>
          </w:p>
          <w:p w14:paraId="47302D0D" w14:textId="2E934162" w:rsidR="00047F42" w:rsidRPr="00461423" w:rsidRDefault="00047F42" w:rsidP="00275853">
            <w:pPr>
              <w:pStyle w:val="ExhibitText"/>
              <w:jc w:val="left"/>
              <w:rPr>
                <w:lang w:val="es-US"/>
              </w:rPr>
            </w:pPr>
            <w:r w:rsidRPr="00461423">
              <w:rPr>
                <w:lang w:val="es-US"/>
              </w:rPr>
              <w:t>L</w:t>
            </w:r>
            <w:r w:rsidR="00CC3EA4">
              <w:rPr>
                <w:lang w:val="es-US"/>
              </w:rPr>
              <w:t>Xi</w:t>
            </w:r>
            <w:r w:rsidR="00472C46">
              <w:rPr>
                <w:lang w:val="es-US"/>
              </w:rPr>
              <w:t xml:space="preserve"> </w:t>
            </w:r>
            <w:r w:rsidRPr="00461423">
              <w:rPr>
                <w:lang w:val="es-US"/>
              </w:rPr>
              <w:t>(petrol + CNG)</w:t>
            </w:r>
          </w:p>
          <w:p w14:paraId="1E3D2C15" w14:textId="77777777" w:rsidR="00047F42" w:rsidRPr="002B43C8" w:rsidRDefault="00047F42" w:rsidP="00275853">
            <w:pPr>
              <w:pStyle w:val="ExhibitText"/>
              <w:jc w:val="left"/>
              <w:rPr>
                <w:lang w:val="en-GB"/>
              </w:rPr>
            </w:pPr>
            <w:r w:rsidRPr="002B43C8">
              <w:rPr>
                <w:lang w:val="en-GB"/>
              </w:rPr>
              <w:t>VXi</w:t>
            </w:r>
          </w:p>
          <w:p w14:paraId="2BD0EBBC" w14:textId="77777777" w:rsidR="00047F42" w:rsidRPr="002B43C8" w:rsidRDefault="00047F42" w:rsidP="00275853">
            <w:pPr>
              <w:pStyle w:val="ExhibitText"/>
              <w:jc w:val="left"/>
              <w:rPr>
                <w:lang w:val="en-GB"/>
              </w:rPr>
            </w:pPr>
            <w:r w:rsidRPr="002B43C8">
              <w:rPr>
                <w:lang w:val="en-GB"/>
              </w:rPr>
              <w:t>VXi AGS</w:t>
            </w:r>
          </w:p>
        </w:tc>
        <w:tc>
          <w:tcPr>
            <w:tcW w:w="1170" w:type="dxa"/>
          </w:tcPr>
          <w:p w14:paraId="7A3BD439" w14:textId="7AC6B834" w:rsidR="00047F42" w:rsidRPr="002B43C8" w:rsidRDefault="00047F42" w:rsidP="00275853">
            <w:pPr>
              <w:pStyle w:val="ExhibitText"/>
              <w:jc w:val="right"/>
              <w:rPr>
                <w:lang w:val="en-GB"/>
              </w:rPr>
            </w:pPr>
            <w:r w:rsidRPr="002B43C8">
              <w:rPr>
                <w:lang w:val="en-GB"/>
              </w:rPr>
              <w:t>317</w:t>
            </w:r>
            <w:r>
              <w:rPr>
                <w:lang w:val="en-GB"/>
              </w:rPr>
              <w:t>.</w:t>
            </w:r>
            <w:r w:rsidRPr="002B43C8">
              <w:rPr>
                <w:lang w:val="en-GB"/>
              </w:rPr>
              <w:t>2</w:t>
            </w:r>
            <w:r>
              <w:rPr>
                <w:lang w:val="en-GB"/>
              </w:rPr>
              <w:t>4</w:t>
            </w:r>
          </w:p>
          <w:p w14:paraId="069665E4" w14:textId="77777777" w:rsidR="00561043" w:rsidRDefault="00561043" w:rsidP="00275853">
            <w:pPr>
              <w:pStyle w:val="ExhibitText"/>
              <w:jc w:val="right"/>
              <w:rPr>
                <w:lang w:val="en-GB"/>
              </w:rPr>
            </w:pPr>
          </w:p>
          <w:p w14:paraId="64498A30" w14:textId="2FBF82B6" w:rsidR="00047F42" w:rsidRPr="002B43C8" w:rsidRDefault="00047F42" w:rsidP="00275853">
            <w:pPr>
              <w:pStyle w:val="ExhibitText"/>
              <w:jc w:val="right"/>
              <w:rPr>
                <w:caps/>
                <w:lang w:val="en-GB"/>
              </w:rPr>
            </w:pPr>
            <w:r w:rsidRPr="002B43C8">
              <w:rPr>
                <w:lang w:val="en-GB"/>
              </w:rPr>
              <w:t>395</w:t>
            </w:r>
            <w:r>
              <w:rPr>
                <w:lang w:val="en-GB"/>
              </w:rPr>
              <w:t>.74</w:t>
            </w:r>
          </w:p>
          <w:p w14:paraId="24288D5E" w14:textId="77777777" w:rsidR="00FC33E3" w:rsidRDefault="00FC33E3" w:rsidP="00275853">
            <w:pPr>
              <w:pStyle w:val="ExhibitText"/>
              <w:jc w:val="right"/>
              <w:rPr>
                <w:lang w:val="en-GB"/>
              </w:rPr>
            </w:pPr>
          </w:p>
          <w:p w14:paraId="52CFA09D" w14:textId="77777777" w:rsidR="00561043" w:rsidRDefault="00561043" w:rsidP="00275853">
            <w:pPr>
              <w:pStyle w:val="ExhibitText"/>
              <w:jc w:val="right"/>
              <w:rPr>
                <w:lang w:val="en-GB"/>
              </w:rPr>
            </w:pPr>
          </w:p>
          <w:p w14:paraId="74473A76" w14:textId="3DDF2A9E" w:rsidR="00047F42" w:rsidRPr="002B43C8" w:rsidRDefault="00047F42" w:rsidP="00275853">
            <w:pPr>
              <w:pStyle w:val="ExhibitText"/>
              <w:jc w:val="right"/>
              <w:rPr>
                <w:caps/>
                <w:lang w:val="en-GB"/>
              </w:rPr>
            </w:pPr>
            <w:r w:rsidRPr="002B43C8">
              <w:rPr>
                <w:lang w:val="en-GB"/>
              </w:rPr>
              <w:t>369</w:t>
            </w:r>
            <w:r>
              <w:rPr>
                <w:lang w:val="en-GB"/>
              </w:rPr>
              <w:t>.77</w:t>
            </w:r>
          </w:p>
          <w:p w14:paraId="762E382D" w14:textId="287DBEAC" w:rsidR="00047F42" w:rsidRPr="002B43C8" w:rsidRDefault="00047F42" w:rsidP="00275853">
            <w:pPr>
              <w:pStyle w:val="ExhibitText"/>
              <w:jc w:val="right"/>
              <w:rPr>
                <w:lang w:val="en-GB"/>
              </w:rPr>
            </w:pPr>
            <w:r w:rsidRPr="002B43C8">
              <w:rPr>
                <w:lang w:val="en-GB"/>
              </w:rPr>
              <w:t>399</w:t>
            </w:r>
            <w:r>
              <w:rPr>
                <w:lang w:val="en-GB"/>
              </w:rPr>
              <w:t>.</w:t>
            </w:r>
            <w:r w:rsidRPr="002B43C8">
              <w:rPr>
                <w:lang w:val="en-GB"/>
              </w:rPr>
              <w:t>1</w:t>
            </w:r>
            <w:r>
              <w:rPr>
                <w:lang w:val="en-GB"/>
              </w:rPr>
              <w:t>9</w:t>
            </w:r>
          </w:p>
        </w:tc>
        <w:tc>
          <w:tcPr>
            <w:tcW w:w="1080" w:type="dxa"/>
            <w:vAlign w:val="center"/>
          </w:tcPr>
          <w:p w14:paraId="131B1BFA" w14:textId="0D6711B1" w:rsidR="00047F42" w:rsidRDefault="006D37EE" w:rsidP="001A5003">
            <w:pPr>
              <w:pStyle w:val="ExhibitText"/>
              <w:jc w:val="left"/>
              <w:rPr>
                <w:lang w:val="en-GB"/>
              </w:rPr>
            </w:pPr>
            <w:r w:rsidRPr="00781819">
              <w:rPr>
                <w:lang w:val="en-GB"/>
              </w:rPr>
              <w:t>Chase Life</w:t>
            </w:r>
          </w:p>
        </w:tc>
        <w:tc>
          <w:tcPr>
            <w:tcW w:w="1381" w:type="dxa"/>
            <w:vAlign w:val="center"/>
          </w:tcPr>
          <w:p w14:paraId="77BB769B" w14:textId="021C5459" w:rsidR="00047F42" w:rsidRPr="002B43C8" w:rsidRDefault="00E80088" w:rsidP="001A5003">
            <w:pPr>
              <w:pStyle w:val="ExhibitText"/>
              <w:jc w:val="left"/>
              <w:rPr>
                <w:lang w:val="en-GB"/>
              </w:rPr>
            </w:pPr>
            <w:r>
              <w:rPr>
                <w:lang w:val="en-GB"/>
              </w:rPr>
              <w:t>Middle class</w:t>
            </w:r>
            <w:r w:rsidR="00D41C10">
              <w:rPr>
                <w:lang w:val="en-GB"/>
              </w:rPr>
              <w:t>,</w:t>
            </w:r>
            <w:r>
              <w:rPr>
                <w:lang w:val="en-GB"/>
              </w:rPr>
              <w:t xml:space="preserve"> f</w:t>
            </w:r>
            <w:r w:rsidR="00047F42">
              <w:rPr>
                <w:lang w:val="en-GB"/>
              </w:rPr>
              <w:t>irst</w:t>
            </w:r>
            <w:r w:rsidR="00D41C10">
              <w:rPr>
                <w:lang w:val="en-GB"/>
              </w:rPr>
              <w:t>-</w:t>
            </w:r>
            <w:r w:rsidR="00047F42">
              <w:rPr>
                <w:lang w:val="en-GB"/>
              </w:rPr>
              <w:t>time car</w:t>
            </w:r>
            <w:r w:rsidR="00D41C10">
              <w:rPr>
                <w:lang w:val="en-GB"/>
              </w:rPr>
              <w:t xml:space="preserve"> </w:t>
            </w:r>
            <w:r w:rsidR="00047F42">
              <w:rPr>
                <w:lang w:val="en-GB"/>
              </w:rPr>
              <w:t xml:space="preserve">buyers </w:t>
            </w:r>
          </w:p>
        </w:tc>
      </w:tr>
      <w:tr w:rsidR="00FC33E3" w:rsidRPr="002B43C8" w14:paraId="1A958D8F" w14:textId="16B4ABB4" w:rsidTr="00561043">
        <w:trPr>
          <w:trHeight w:val="247"/>
          <w:jc w:val="center"/>
        </w:trPr>
        <w:tc>
          <w:tcPr>
            <w:tcW w:w="1260" w:type="dxa"/>
            <w:vAlign w:val="center"/>
            <w:hideMark/>
          </w:tcPr>
          <w:p w14:paraId="0DDF7688" w14:textId="13DC9767" w:rsidR="00047F42" w:rsidRPr="00275853" w:rsidRDefault="00047F42" w:rsidP="001A5003">
            <w:pPr>
              <w:pStyle w:val="ExhibitText"/>
              <w:jc w:val="left"/>
            </w:pPr>
            <w:r w:rsidRPr="00275853">
              <w:t>Wago</w:t>
            </w:r>
            <w:r w:rsidR="00D41C10" w:rsidRPr="00275853">
              <w:t>n</w:t>
            </w:r>
            <w:r w:rsidRPr="00275853">
              <w:t xml:space="preserve"> R</w:t>
            </w:r>
          </w:p>
        </w:tc>
        <w:tc>
          <w:tcPr>
            <w:tcW w:w="1440" w:type="dxa"/>
            <w:vAlign w:val="center"/>
            <w:hideMark/>
          </w:tcPr>
          <w:p w14:paraId="42F6491B" w14:textId="77777777" w:rsidR="006B52F6" w:rsidRPr="00275853" w:rsidRDefault="00047F42" w:rsidP="001A5003">
            <w:pPr>
              <w:pStyle w:val="ExhibitText"/>
              <w:jc w:val="left"/>
            </w:pPr>
            <w:r w:rsidRPr="00275853">
              <w:t>5mt/cable</w:t>
            </w:r>
          </w:p>
          <w:p w14:paraId="50D2FC66" w14:textId="62401342" w:rsidR="00047F42" w:rsidRPr="00275853" w:rsidRDefault="00047F42" w:rsidP="001A5003">
            <w:pPr>
              <w:pStyle w:val="ExhibitText"/>
              <w:jc w:val="left"/>
            </w:pPr>
            <w:r w:rsidRPr="00275853">
              <w:t>type gear shift</w:t>
            </w:r>
          </w:p>
        </w:tc>
        <w:tc>
          <w:tcPr>
            <w:tcW w:w="810" w:type="dxa"/>
            <w:noWrap/>
            <w:vAlign w:val="center"/>
            <w:hideMark/>
          </w:tcPr>
          <w:p w14:paraId="4929A959" w14:textId="77777777" w:rsidR="00047F42" w:rsidRPr="00275853" w:rsidRDefault="00047F42" w:rsidP="001A5003">
            <w:pPr>
              <w:pStyle w:val="ExhibitText"/>
              <w:jc w:val="left"/>
            </w:pPr>
            <w:r w:rsidRPr="00275853">
              <w:t>K10B</w:t>
            </w:r>
          </w:p>
        </w:tc>
        <w:tc>
          <w:tcPr>
            <w:tcW w:w="1080" w:type="dxa"/>
            <w:noWrap/>
            <w:vAlign w:val="center"/>
            <w:hideMark/>
          </w:tcPr>
          <w:p w14:paraId="5E52A26F" w14:textId="77777777" w:rsidR="00047F42" w:rsidRPr="00275853" w:rsidRDefault="00047F42" w:rsidP="001A5003">
            <w:pPr>
              <w:pStyle w:val="ExhibitText"/>
              <w:jc w:val="right"/>
            </w:pPr>
            <w:r w:rsidRPr="00275853">
              <w:t>21</w:t>
            </w:r>
          </w:p>
        </w:tc>
        <w:tc>
          <w:tcPr>
            <w:tcW w:w="900" w:type="dxa"/>
          </w:tcPr>
          <w:p w14:paraId="232E53C5" w14:textId="77777777" w:rsidR="00047F42" w:rsidRPr="002B43C8" w:rsidRDefault="00047F42" w:rsidP="00275853">
            <w:pPr>
              <w:pStyle w:val="ExhibitText"/>
              <w:jc w:val="left"/>
              <w:rPr>
                <w:lang w:val="en-GB"/>
              </w:rPr>
            </w:pPr>
            <w:r w:rsidRPr="002B43C8">
              <w:rPr>
                <w:lang w:val="en-GB"/>
              </w:rPr>
              <w:t>LX</w:t>
            </w:r>
          </w:p>
          <w:p w14:paraId="43505F11" w14:textId="77777777" w:rsidR="00047F42" w:rsidRPr="002B43C8" w:rsidRDefault="00047F42" w:rsidP="00275853">
            <w:pPr>
              <w:pStyle w:val="ExhibitText"/>
              <w:jc w:val="left"/>
              <w:rPr>
                <w:lang w:val="en-GB"/>
              </w:rPr>
            </w:pPr>
            <w:r w:rsidRPr="002B43C8">
              <w:rPr>
                <w:lang w:val="en-GB"/>
              </w:rPr>
              <w:t>LXi</w:t>
            </w:r>
          </w:p>
          <w:p w14:paraId="7D5BF959" w14:textId="77777777" w:rsidR="00047F42" w:rsidRPr="002B43C8" w:rsidRDefault="00047F42" w:rsidP="00275853">
            <w:pPr>
              <w:pStyle w:val="ExhibitText"/>
              <w:jc w:val="left"/>
              <w:rPr>
                <w:lang w:val="en-GB"/>
              </w:rPr>
            </w:pPr>
            <w:r w:rsidRPr="002B43C8">
              <w:rPr>
                <w:lang w:val="en-GB"/>
              </w:rPr>
              <w:t>VXi</w:t>
            </w:r>
          </w:p>
        </w:tc>
        <w:tc>
          <w:tcPr>
            <w:tcW w:w="1170" w:type="dxa"/>
          </w:tcPr>
          <w:p w14:paraId="5D66FD0C" w14:textId="3F030C11" w:rsidR="00047F42" w:rsidRPr="002B43C8" w:rsidRDefault="00047F42" w:rsidP="00275853">
            <w:pPr>
              <w:pStyle w:val="ExhibitText"/>
              <w:jc w:val="right"/>
              <w:rPr>
                <w:lang w:val="en-GB"/>
              </w:rPr>
            </w:pPr>
            <w:r w:rsidRPr="002B43C8">
              <w:rPr>
                <w:lang w:val="en-GB"/>
              </w:rPr>
              <w:t>367</w:t>
            </w:r>
            <w:r>
              <w:rPr>
                <w:lang w:val="en-GB"/>
              </w:rPr>
              <w:t>.98</w:t>
            </w:r>
          </w:p>
          <w:p w14:paraId="5306AB5F" w14:textId="280ACAD6" w:rsidR="00047F42" w:rsidRPr="002B43C8" w:rsidRDefault="00047F42" w:rsidP="00275853">
            <w:pPr>
              <w:pStyle w:val="ExhibitText"/>
              <w:jc w:val="right"/>
              <w:rPr>
                <w:caps/>
                <w:lang w:val="en-GB"/>
              </w:rPr>
            </w:pPr>
            <w:r w:rsidRPr="002B43C8">
              <w:rPr>
                <w:lang w:val="en-GB"/>
              </w:rPr>
              <w:t>400</w:t>
            </w:r>
            <w:r>
              <w:rPr>
                <w:lang w:val="en-GB"/>
              </w:rPr>
              <w:t>.12</w:t>
            </w:r>
          </w:p>
          <w:p w14:paraId="244C34E2" w14:textId="65F782A6" w:rsidR="00047F42" w:rsidRPr="002B43C8" w:rsidRDefault="00047F42" w:rsidP="00275853">
            <w:pPr>
              <w:pStyle w:val="ExhibitText"/>
              <w:jc w:val="right"/>
              <w:rPr>
                <w:lang w:val="en-GB"/>
              </w:rPr>
            </w:pPr>
            <w:r w:rsidRPr="002B43C8">
              <w:rPr>
                <w:lang w:val="en-GB"/>
              </w:rPr>
              <w:t>456</w:t>
            </w:r>
            <w:r>
              <w:rPr>
                <w:lang w:val="en-GB"/>
              </w:rPr>
              <w:t>.</w:t>
            </w:r>
            <w:r w:rsidRPr="002B43C8">
              <w:rPr>
                <w:lang w:val="en-GB"/>
              </w:rPr>
              <w:t>8</w:t>
            </w:r>
            <w:r>
              <w:rPr>
                <w:lang w:val="en-GB"/>
              </w:rPr>
              <w:t>6</w:t>
            </w:r>
          </w:p>
        </w:tc>
        <w:tc>
          <w:tcPr>
            <w:tcW w:w="1080" w:type="dxa"/>
            <w:vAlign w:val="center"/>
          </w:tcPr>
          <w:p w14:paraId="1554BAD6" w14:textId="10A8FF53" w:rsidR="00047F42" w:rsidRDefault="006D37EE" w:rsidP="001A5003">
            <w:pPr>
              <w:pStyle w:val="ExhibitText"/>
              <w:jc w:val="left"/>
              <w:rPr>
                <w:lang w:val="en-GB"/>
              </w:rPr>
            </w:pPr>
            <w:r w:rsidRPr="00781819">
              <w:rPr>
                <w:lang w:val="en-GB"/>
              </w:rPr>
              <w:t xml:space="preserve">For </w:t>
            </w:r>
            <w:r w:rsidR="00D41C10">
              <w:rPr>
                <w:lang w:val="en-GB"/>
              </w:rPr>
              <w:t>t</w:t>
            </w:r>
            <w:r w:rsidRPr="00781819">
              <w:rPr>
                <w:lang w:val="en-GB"/>
              </w:rPr>
              <w:t>he Smarter Race</w:t>
            </w:r>
          </w:p>
        </w:tc>
        <w:tc>
          <w:tcPr>
            <w:tcW w:w="1381" w:type="dxa"/>
            <w:vAlign w:val="center"/>
          </w:tcPr>
          <w:p w14:paraId="4A474A82" w14:textId="3E57C069" w:rsidR="00047F42" w:rsidRPr="002B43C8" w:rsidRDefault="00047F42" w:rsidP="001A5003">
            <w:pPr>
              <w:pStyle w:val="ExhibitText"/>
              <w:jc w:val="left"/>
              <w:rPr>
                <w:lang w:val="en-GB"/>
              </w:rPr>
            </w:pPr>
            <w:r>
              <w:rPr>
                <w:lang w:val="en-GB"/>
              </w:rPr>
              <w:t>Middle and upper</w:t>
            </w:r>
            <w:r w:rsidR="00D41C10">
              <w:rPr>
                <w:lang w:val="en-GB"/>
              </w:rPr>
              <w:t>-</w:t>
            </w:r>
            <w:r>
              <w:rPr>
                <w:lang w:val="en-GB"/>
              </w:rPr>
              <w:t xml:space="preserve">middle class </w:t>
            </w:r>
          </w:p>
        </w:tc>
      </w:tr>
      <w:tr w:rsidR="00FC33E3" w:rsidRPr="002B43C8" w14:paraId="6B8ACCB1" w14:textId="25F6E3CF" w:rsidTr="00561043">
        <w:trPr>
          <w:trHeight w:val="247"/>
          <w:jc w:val="center"/>
        </w:trPr>
        <w:tc>
          <w:tcPr>
            <w:tcW w:w="1260" w:type="dxa"/>
            <w:vAlign w:val="center"/>
            <w:hideMark/>
          </w:tcPr>
          <w:p w14:paraId="7664570D" w14:textId="77777777" w:rsidR="00047F42" w:rsidRPr="00275853" w:rsidRDefault="00047F42" w:rsidP="001A5003">
            <w:pPr>
              <w:pStyle w:val="ExhibitText"/>
              <w:jc w:val="left"/>
            </w:pPr>
            <w:r w:rsidRPr="00275853">
              <w:t>Stingray</w:t>
            </w:r>
          </w:p>
          <w:p w14:paraId="026C7F18" w14:textId="77777777" w:rsidR="00047F42" w:rsidRPr="00275853" w:rsidRDefault="00047F42" w:rsidP="001A5003">
            <w:pPr>
              <w:pStyle w:val="ExhibitText"/>
              <w:jc w:val="left"/>
            </w:pPr>
          </w:p>
        </w:tc>
        <w:tc>
          <w:tcPr>
            <w:tcW w:w="1440" w:type="dxa"/>
            <w:vAlign w:val="center"/>
            <w:hideMark/>
          </w:tcPr>
          <w:p w14:paraId="4DCBC808" w14:textId="77777777" w:rsidR="006B52F6" w:rsidRPr="00275853" w:rsidRDefault="00047F42" w:rsidP="001A5003">
            <w:pPr>
              <w:pStyle w:val="ExhibitText"/>
              <w:jc w:val="left"/>
            </w:pPr>
            <w:r w:rsidRPr="00275853">
              <w:t xml:space="preserve">5mt/cable </w:t>
            </w:r>
          </w:p>
          <w:p w14:paraId="17546874" w14:textId="1DC5A922" w:rsidR="00047F42" w:rsidRPr="00275853" w:rsidRDefault="00047F42" w:rsidP="001A5003">
            <w:pPr>
              <w:pStyle w:val="ExhibitText"/>
              <w:jc w:val="left"/>
            </w:pPr>
            <w:r w:rsidRPr="00275853">
              <w:t>type gear shift</w:t>
            </w:r>
          </w:p>
        </w:tc>
        <w:tc>
          <w:tcPr>
            <w:tcW w:w="810" w:type="dxa"/>
            <w:noWrap/>
            <w:vAlign w:val="center"/>
            <w:hideMark/>
          </w:tcPr>
          <w:p w14:paraId="1C37EE7B" w14:textId="77777777" w:rsidR="00047F42" w:rsidRPr="00275853" w:rsidRDefault="00047F42" w:rsidP="001A5003">
            <w:pPr>
              <w:pStyle w:val="ExhibitText"/>
              <w:jc w:val="left"/>
            </w:pPr>
            <w:r w:rsidRPr="00275853">
              <w:t>K10B</w:t>
            </w:r>
          </w:p>
        </w:tc>
        <w:tc>
          <w:tcPr>
            <w:tcW w:w="1080" w:type="dxa"/>
            <w:noWrap/>
            <w:vAlign w:val="center"/>
            <w:hideMark/>
          </w:tcPr>
          <w:p w14:paraId="28C4A1FA" w14:textId="77777777" w:rsidR="00047F42" w:rsidRPr="00275853" w:rsidRDefault="00047F42" w:rsidP="001A5003">
            <w:pPr>
              <w:pStyle w:val="ExhibitText"/>
              <w:jc w:val="right"/>
            </w:pPr>
            <w:r w:rsidRPr="00275853">
              <w:t>21</w:t>
            </w:r>
          </w:p>
        </w:tc>
        <w:tc>
          <w:tcPr>
            <w:tcW w:w="900" w:type="dxa"/>
          </w:tcPr>
          <w:p w14:paraId="1A86BDA1" w14:textId="77777777" w:rsidR="00047F42" w:rsidRPr="002B43C8" w:rsidRDefault="00047F42" w:rsidP="00275853">
            <w:pPr>
              <w:pStyle w:val="ExhibitText"/>
              <w:jc w:val="left"/>
              <w:rPr>
                <w:lang w:val="en-GB"/>
              </w:rPr>
            </w:pPr>
            <w:r w:rsidRPr="002B43C8">
              <w:rPr>
                <w:lang w:val="en-GB"/>
              </w:rPr>
              <w:t>LXi</w:t>
            </w:r>
          </w:p>
          <w:p w14:paraId="3E2579BE" w14:textId="77777777" w:rsidR="00047F42" w:rsidRPr="002B43C8" w:rsidRDefault="00047F42" w:rsidP="00275853">
            <w:pPr>
              <w:pStyle w:val="ExhibitText"/>
              <w:jc w:val="left"/>
              <w:rPr>
                <w:lang w:val="en-GB"/>
              </w:rPr>
            </w:pPr>
            <w:r w:rsidRPr="002B43C8">
              <w:rPr>
                <w:lang w:val="en-GB"/>
              </w:rPr>
              <w:t>VXi</w:t>
            </w:r>
          </w:p>
          <w:p w14:paraId="3EBC46F7" w14:textId="77777777" w:rsidR="00047F42" w:rsidRPr="002B43C8" w:rsidRDefault="00047F42" w:rsidP="00275853">
            <w:pPr>
              <w:pStyle w:val="ExhibitText"/>
              <w:jc w:val="left"/>
              <w:rPr>
                <w:lang w:val="en-GB"/>
              </w:rPr>
            </w:pPr>
            <w:r w:rsidRPr="002B43C8">
              <w:rPr>
                <w:lang w:val="en-GB"/>
              </w:rPr>
              <w:t>VXi O</w:t>
            </w:r>
          </w:p>
        </w:tc>
        <w:tc>
          <w:tcPr>
            <w:tcW w:w="1170" w:type="dxa"/>
          </w:tcPr>
          <w:p w14:paraId="08258684" w14:textId="333B6A3F" w:rsidR="00047F42" w:rsidRPr="002B43C8" w:rsidRDefault="00047F42" w:rsidP="00275853">
            <w:pPr>
              <w:pStyle w:val="ExhibitText"/>
              <w:jc w:val="right"/>
              <w:rPr>
                <w:caps/>
                <w:lang w:val="en-GB"/>
              </w:rPr>
            </w:pPr>
            <w:r w:rsidRPr="002B43C8">
              <w:rPr>
                <w:lang w:val="en-GB"/>
              </w:rPr>
              <w:t>419</w:t>
            </w:r>
            <w:r>
              <w:rPr>
                <w:lang w:val="en-GB"/>
              </w:rPr>
              <w:t>.15</w:t>
            </w:r>
          </w:p>
          <w:p w14:paraId="22A63BCA" w14:textId="5661390C" w:rsidR="00047F42" w:rsidRPr="002B43C8" w:rsidRDefault="00047F42" w:rsidP="00275853">
            <w:pPr>
              <w:pStyle w:val="ExhibitText"/>
              <w:jc w:val="right"/>
              <w:rPr>
                <w:caps/>
                <w:lang w:val="en-GB"/>
              </w:rPr>
            </w:pPr>
            <w:r w:rsidRPr="002B43C8">
              <w:rPr>
                <w:lang w:val="en-GB"/>
              </w:rPr>
              <w:t>447</w:t>
            </w:r>
            <w:r>
              <w:rPr>
                <w:lang w:val="en-GB"/>
              </w:rPr>
              <w:t>.17</w:t>
            </w:r>
          </w:p>
          <w:p w14:paraId="1792887C" w14:textId="2601A6F9" w:rsidR="00047F42" w:rsidRPr="002B43C8" w:rsidRDefault="00047F42" w:rsidP="00275853">
            <w:pPr>
              <w:pStyle w:val="ExhibitText"/>
              <w:jc w:val="right"/>
              <w:rPr>
                <w:lang w:val="en-GB"/>
              </w:rPr>
            </w:pPr>
            <w:r w:rsidRPr="002B43C8">
              <w:rPr>
                <w:lang w:val="en-GB"/>
              </w:rPr>
              <w:t>476</w:t>
            </w:r>
            <w:r>
              <w:rPr>
                <w:lang w:val="en-GB"/>
              </w:rPr>
              <w:t>.</w:t>
            </w:r>
            <w:r w:rsidRPr="002B43C8">
              <w:rPr>
                <w:lang w:val="en-GB"/>
              </w:rPr>
              <w:t>20</w:t>
            </w:r>
          </w:p>
        </w:tc>
        <w:tc>
          <w:tcPr>
            <w:tcW w:w="1080" w:type="dxa"/>
            <w:vAlign w:val="center"/>
          </w:tcPr>
          <w:p w14:paraId="36AD6022" w14:textId="0D97E5F0" w:rsidR="00047F42" w:rsidRDefault="006D37EE" w:rsidP="001A5003">
            <w:pPr>
              <w:pStyle w:val="ExhibitText"/>
              <w:jc w:val="left"/>
              <w:rPr>
                <w:lang w:val="en-GB"/>
              </w:rPr>
            </w:pPr>
            <w:r w:rsidRPr="00781819">
              <w:rPr>
                <w:lang w:val="en-GB"/>
              </w:rPr>
              <w:t>My Thing, Everything</w:t>
            </w:r>
          </w:p>
        </w:tc>
        <w:tc>
          <w:tcPr>
            <w:tcW w:w="1381" w:type="dxa"/>
            <w:vAlign w:val="center"/>
          </w:tcPr>
          <w:p w14:paraId="69BCF33A" w14:textId="477D4AE5" w:rsidR="00047F42" w:rsidRPr="002B43C8" w:rsidRDefault="00047F42" w:rsidP="001A5003">
            <w:pPr>
              <w:pStyle w:val="ExhibitText"/>
              <w:jc w:val="left"/>
              <w:rPr>
                <w:lang w:val="en-GB"/>
              </w:rPr>
            </w:pPr>
            <w:r>
              <w:rPr>
                <w:lang w:val="en-GB"/>
              </w:rPr>
              <w:t xml:space="preserve">Urban </w:t>
            </w:r>
            <w:r w:rsidR="00D41C10">
              <w:rPr>
                <w:lang w:val="en-GB"/>
              </w:rPr>
              <w:t>y</w:t>
            </w:r>
            <w:r>
              <w:rPr>
                <w:lang w:val="en-GB"/>
              </w:rPr>
              <w:t xml:space="preserve">outh </w:t>
            </w:r>
          </w:p>
        </w:tc>
      </w:tr>
      <w:tr w:rsidR="00FC33E3" w:rsidRPr="002B43C8" w14:paraId="0F0E0A8D" w14:textId="68E49039" w:rsidTr="00561043">
        <w:trPr>
          <w:trHeight w:val="247"/>
          <w:jc w:val="center"/>
        </w:trPr>
        <w:tc>
          <w:tcPr>
            <w:tcW w:w="1260" w:type="dxa"/>
            <w:vAlign w:val="center"/>
            <w:hideMark/>
          </w:tcPr>
          <w:p w14:paraId="46DBA5BA" w14:textId="77777777" w:rsidR="00047F42" w:rsidRPr="00275853" w:rsidRDefault="00047F42" w:rsidP="001A5003">
            <w:pPr>
              <w:pStyle w:val="ExhibitText"/>
              <w:jc w:val="left"/>
            </w:pPr>
            <w:r w:rsidRPr="00275853">
              <w:t>Celerio</w:t>
            </w:r>
          </w:p>
        </w:tc>
        <w:tc>
          <w:tcPr>
            <w:tcW w:w="1440" w:type="dxa"/>
            <w:vAlign w:val="center"/>
            <w:hideMark/>
          </w:tcPr>
          <w:p w14:paraId="73719B1F" w14:textId="77777777" w:rsidR="00047F42" w:rsidRPr="00275853" w:rsidRDefault="00047F42" w:rsidP="001A5003">
            <w:pPr>
              <w:pStyle w:val="ExhibitText"/>
              <w:jc w:val="left"/>
            </w:pPr>
            <w:r w:rsidRPr="00275853">
              <w:t>5mt/auto gear shift</w:t>
            </w:r>
          </w:p>
        </w:tc>
        <w:tc>
          <w:tcPr>
            <w:tcW w:w="810" w:type="dxa"/>
            <w:noWrap/>
            <w:vAlign w:val="center"/>
            <w:hideMark/>
          </w:tcPr>
          <w:p w14:paraId="6858EA32" w14:textId="77777777" w:rsidR="00047F42" w:rsidRPr="00275853" w:rsidRDefault="00047F42" w:rsidP="001A5003">
            <w:pPr>
              <w:pStyle w:val="ExhibitText"/>
              <w:jc w:val="left"/>
            </w:pPr>
            <w:r w:rsidRPr="00275853">
              <w:t>K10B</w:t>
            </w:r>
          </w:p>
        </w:tc>
        <w:tc>
          <w:tcPr>
            <w:tcW w:w="1080" w:type="dxa"/>
            <w:noWrap/>
            <w:vAlign w:val="center"/>
            <w:hideMark/>
          </w:tcPr>
          <w:p w14:paraId="361D7CC5" w14:textId="77777777" w:rsidR="00047F42" w:rsidRPr="00275853" w:rsidRDefault="00047F42" w:rsidP="001A5003">
            <w:pPr>
              <w:pStyle w:val="ExhibitText"/>
              <w:jc w:val="right"/>
            </w:pPr>
            <w:r w:rsidRPr="00275853">
              <w:t>32</w:t>
            </w:r>
          </w:p>
        </w:tc>
        <w:tc>
          <w:tcPr>
            <w:tcW w:w="900" w:type="dxa"/>
          </w:tcPr>
          <w:p w14:paraId="24486E08" w14:textId="77777777" w:rsidR="00047F42" w:rsidRPr="002B43C8" w:rsidRDefault="00047F42" w:rsidP="00275853">
            <w:pPr>
              <w:pStyle w:val="ExhibitText"/>
              <w:jc w:val="left"/>
              <w:rPr>
                <w:lang w:val="en-GB"/>
              </w:rPr>
            </w:pPr>
            <w:r w:rsidRPr="002B43C8">
              <w:rPr>
                <w:lang w:val="en-GB"/>
              </w:rPr>
              <w:t>LXi</w:t>
            </w:r>
          </w:p>
          <w:p w14:paraId="09B1E1EE" w14:textId="77777777" w:rsidR="00047F42" w:rsidRPr="002B43C8" w:rsidRDefault="00047F42" w:rsidP="00275853">
            <w:pPr>
              <w:pStyle w:val="ExhibitText"/>
              <w:jc w:val="left"/>
              <w:rPr>
                <w:lang w:val="en-GB"/>
              </w:rPr>
            </w:pPr>
            <w:r w:rsidRPr="002B43C8">
              <w:rPr>
                <w:lang w:val="en-GB"/>
              </w:rPr>
              <w:t>VXi</w:t>
            </w:r>
          </w:p>
          <w:p w14:paraId="083523B5" w14:textId="77777777" w:rsidR="00047F42" w:rsidRPr="002B43C8" w:rsidRDefault="00047F42" w:rsidP="00275853">
            <w:pPr>
              <w:pStyle w:val="ExhibitText"/>
              <w:jc w:val="left"/>
              <w:rPr>
                <w:lang w:val="en-GB"/>
              </w:rPr>
            </w:pPr>
            <w:r w:rsidRPr="002B43C8">
              <w:rPr>
                <w:lang w:val="en-GB"/>
              </w:rPr>
              <w:t>ZXi</w:t>
            </w:r>
          </w:p>
        </w:tc>
        <w:tc>
          <w:tcPr>
            <w:tcW w:w="1170" w:type="dxa"/>
          </w:tcPr>
          <w:p w14:paraId="583F1FEB" w14:textId="61405E4F" w:rsidR="00047F42" w:rsidRPr="002B43C8" w:rsidRDefault="00047F42" w:rsidP="00275853">
            <w:pPr>
              <w:pStyle w:val="ExhibitText"/>
              <w:jc w:val="right"/>
              <w:rPr>
                <w:lang w:val="en-GB"/>
              </w:rPr>
            </w:pPr>
            <w:r w:rsidRPr="002B43C8">
              <w:rPr>
                <w:lang w:val="en-GB"/>
              </w:rPr>
              <w:t>440</w:t>
            </w:r>
            <w:r>
              <w:rPr>
                <w:lang w:val="en-GB"/>
              </w:rPr>
              <w:t>.13</w:t>
            </w:r>
          </w:p>
          <w:p w14:paraId="08B859D5" w14:textId="617F89D7" w:rsidR="00047F42" w:rsidRPr="002B43C8" w:rsidRDefault="00047F42" w:rsidP="00275853">
            <w:pPr>
              <w:pStyle w:val="ExhibitText"/>
              <w:jc w:val="right"/>
              <w:rPr>
                <w:lang w:val="en-GB"/>
              </w:rPr>
            </w:pPr>
            <w:r w:rsidRPr="002B43C8">
              <w:rPr>
                <w:lang w:val="en-GB"/>
              </w:rPr>
              <w:t>470</w:t>
            </w:r>
            <w:r>
              <w:rPr>
                <w:lang w:val="en-GB"/>
              </w:rPr>
              <w:t>.14</w:t>
            </w:r>
          </w:p>
          <w:p w14:paraId="71F2EA29" w14:textId="08C6A817" w:rsidR="00047F42" w:rsidRPr="002B43C8" w:rsidRDefault="00047F42" w:rsidP="00275853">
            <w:pPr>
              <w:pStyle w:val="ExhibitText"/>
              <w:jc w:val="right"/>
              <w:rPr>
                <w:lang w:val="en-GB"/>
              </w:rPr>
            </w:pPr>
            <w:r w:rsidRPr="002B43C8">
              <w:rPr>
                <w:lang w:val="en-GB"/>
              </w:rPr>
              <w:t>496</w:t>
            </w:r>
            <w:r>
              <w:rPr>
                <w:lang w:val="en-GB"/>
              </w:rPr>
              <w:t>.</w:t>
            </w:r>
            <w:r w:rsidRPr="002B43C8">
              <w:rPr>
                <w:lang w:val="en-GB"/>
              </w:rPr>
              <w:t>4</w:t>
            </w:r>
            <w:r>
              <w:rPr>
                <w:lang w:val="en-GB"/>
              </w:rPr>
              <w:t>8</w:t>
            </w:r>
          </w:p>
        </w:tc>
        <w:tc>
          <w:tcPr>
            <w:tcW w:w="1080" w:type="dxa"/>
            <w:vAlign w:val="center"/>
          </w:tcPr>
          <w:p w14:paraId="24F91C57" w14:textId="1532B392" w:rsidR="00047F42" w:rsidRDefault="006D37EE" w:rsidP="001A5003">
            <w:pPr>
              <w:pStyle w:val="ExhibitText"/>
              <w:jc w:val="left"/>
              <w:rPr>
                <w:lang w:val="en-GB"/>
              </w:rPr>
            </w:pPr>
            <w:r w:rsidRPr="00781819">
              <w:rPr>
                <w:lang w:val="en-GB"/>
              </w:rPr>
              <w:t>Life Takes a Leap</w:t>
            </w:r>
          </w:p>
        </w:tc>
        <w:tc>
          <w:tcPr>
            <w:tcW w:w="1381" w:type="dxa"/>
            <w:vAlign w:val="center"/>
          </w:tcPr>
          <w:p w14:paraId="7B70AD91" w14:textId="2CAF095C" w:rsidR="00047F42" w:rsidRPr="002B43C8" w:rsidRDefault="00047F42" w:rsidP="001A5003">
            <w:pPr>
              <w:pStyle w:val="ExhibitText"/>
              <w:jc w:val="left"/>
              <w:rPr>
                <w:lang w:val="en-GB"/>
              </w:rPr>
            </w:pPr>
            <w:r>
              <w:rPr>
                <w:lang w:val="en-GB"/>
              </w:rPr>
              <w:t xml:space="preserve">Urban youth, </w:t>
            </w:r>
            <w:r w:rsidR="00D41C10">
              <w:rPr>
                <w:lang w:val="en-GB"/>
              </w:rPr>
              <w:t>y</w:t>
            </w:r>
            <w:r>
              <w:rPr>
                <w:lang w:val="en-GB"/>
              </w:rPr>
              <w:t>oung working couples</w:t>
            </w:r>
          </w:p>
        </w:tc>
      </w:tr>
      <w:tr w:rsidR="00FC33E3" w:rsidRPr="002B43C8" w14:paraId="46377583" w14:textId="2DC57402" w:rsidTr="00561043">
        <w:trPr>
          <w:trHeight w:val="123"/>
          <w:jc w:val="center"/>
        </w:trPr>
        <w:tc>
          <w:tcPr>
            <w:tcW w:w="1260" w:type="dxa"/>
            <w:vAlign w:val="center"/>
            <w:hideMark/>
          </w:tcPr>
          <w:p w14:paraId="28B78D2E" w14:textId="77777777" w:rsidR="00047F42" w:rsidRPr="00275853" w:rsidRDefault="00047F42" w:rsidP="001A5003">
            <w:pPr>
              <w:pStyle w:val="ExhibitText"/>
              <w:jc w:val="left"/>
            </w:pPr>
            <w:r w:rsidRPr="00275853">
              <w:t>Ritz</w:t>
            </w:r>
          </w:p>
        </w:tc>
        <w:tc>
          <w:tcPr>
            <w:tcW w:w="1440" w:type="dxa"/>
            <w:vAlign w:val="center"/>
            <w:hideMark/>
          </w:tcPr>
          <w:p w14:paraId="24AFDBE7" w14:textId="77777777" w:rsidR="00047F42" w:rsidRPr="00275853" w:rsidRDefault="00047F42" w:rsidP="001A5003">
            <w:pPr>
              <w:pStyle w:val="ExhibitText"/>
              <w:jc w:val="left"/>
            </w:pPr>
            <w:r w:rsidRPr="00275853">
              <w:t>5mt/4at</w:t>
            </w:r>
          </w:p>
        </w:tc>
        <w:tc>
          <w:tcPr>
            <w:tcW w:w="810" w:type="dxa"/>
            <w:noWrap/>
            <w:vAlign w:val="center"/>
            <w:hideMark/>
          </w:tcPr>
          <w:p w14:paraId="0BE55788" w14:textId="77777777" w:rsidR="00EF3157" w:rsidRPr="00275853" w:rsidRDefault="00047F42" w:rsidP="001A5003">
            <w:pPr>
              <w:pStyle w:val="ExhibitText"/>
              <w:jc w:val="left"/>
            </w:pPr>
            <w:r w:rsidRPr="00275853">
              <w:t>VVT/</w:t>
            </w:r>
          </w:p>
          <w:p w14:paraId="0993FD9F" w14:textId="785BC323" w:rsidR="00047F42" w:rsidRPr="00275853" w:rsidRDefault="00047F42" w:rsidP="001A5003">
            <w:pPr>
              <w:pStyle w:val="ExhibitText"/>
              <w:jc w:val="left"/>
            </w:pPr>
            <w:r w:rsidRPr="00275853">
              <w:t>Ddis</w:t>
            </w:r>
          </w:p>
        </w:tc>
        <w:tc>
          <w:tcPr>
            <w:tcW w:w="1080" w:type="dxa"/>
            <w:noWrap/>
            <w:vAlign w:val="center"/>
            <w:hideMark/>
          </w:tcPr>
          <w:p w14:paraId="0D7561EE" w14:textId="5206E3EA" w:rsidR="00047F42" w:rsidRPr="00275853" w:rsidRDefault="00047F42" w:rsidP="001A5003">
            <w:pPr>
              <w:pStyle w:val="ExhibitText"/>
              <w:jc w:val="right"/>
            </w:pPr>
            <w:r w:rsidRPr="00275853">
              <w:t>17</w:t>
            </w:r>
            <w:r w:rsidR="00FE3D65" w:rsidRPr="00275853">
              <w:t>–</w:t>
            </w:r>
            <w:r w:rsidRPr="00275853">
              <w:t>23</w:t>
            </w:r>
          </w:p>
        </w:tc>
        <w:tc>
          <w:tcPr>
            <w:tcW w:w="900" w:type="dxa"/>
          </w:tcPr>
          <w:p w14:paraId="6B3A9E88" w14:textId="77777777" w:rsidR="00047F42" w:rsidRPr="005D682F" w:rsidRDefault="00047F42" w:rsidP="00275853">
            <w:pPr>
              <w:pStyle w:val="ExhibitText"/>
              <w:jc w:val="left"/>
              <w:rPr>
                <w:lang w:val="it-IT"/>
              </w:rPr>
            </w:pPr>
            <w:r w:rsidRPr="005D682F">
              <w:rPr>
                <w:lang w:val="it-IT"/>
              </w:rPr>
              <w:t>LXi</w:t>
            </w:r>
          </w:p>
          <w:p w14:paraId="42E0B4A7" w14:textId="77777777" w:rsidR="00047F42" w:rsidRPr="005D682F" w:rsidRDefault="00047F42" w:rsidP="00275853">
            <w:pPr>
              <w:pStyle w:val="ExhibitText"/>
              <w:jc w:val="left"/>
              <w:rPr>
                <w:lang w:val="it-IT"/>
              </w:rPr>
            </w:pPr>
            <w:r w:rsidRPr="005D682F">
              <w:rPr>
                <w:lang w:val="it-IT"/>
              </w:rPr>
              <w:t>VXi</w:t>
            </w:r>
          </w:p>
          <w:p w14:paraId="417F3E37" w14:textId="77777777" w:rsidR="00047F42" w:rsidRPr="005D682F" w:rsidRDefault="00047F42" w:rsidP="00275853">
            <w:pPr>
              <w:pStyle w:val="ExhibitText"/>
              <w:jc w:val="left"/>
              <w:rPr>
                <w:lang w:val="it-IT"/>
              </w:rPr>
            </w:pPr>
            <w:r w:rsidRPr="005D682F">
              <w:rPr>
                <w:lang w:val="it-IT"/>
              </w:rPr>
              <w:t>ZXi</w:t>
            </w:r>
          </w:p>
          <w:p w14:paraId="49828BC3" w14:textId="77777777" w:rsidR="00047F42" w:rsidRPr="005D682F" w:rsidRDefault="00047F42" w:rsidP="00275853">
            <w:pPr>
              <w:pStyle w:val="ExhibitText"/>
              <w:jc w:val="left"/>
              <w:rPr>
                <w:lang w:val="it-IT"/>
              </w:rPr>
            </w:pPr>
            <w:r w:rsidRPr="005D682F">
              <w:rPr>
                <w:lang w:val="it-IT"/>
              </w:rPr>
              <w:t>LDi</w:t>
            </w:r>
          </w:p>
          <w:p w14:paraId="30389221" w14:textId="77777777" w:rsidR="00047F42" w:rsidRPr="005D682F" w:rsidRDefault="00047F42" w:rsidP="00275853">
            <w:pPr>
              <w:pStyle w:val="ExhibitText"/>
              <w:jc w:val="left"/>
              <w:rPr>
                <w:lang w:val="it-IT"/>
              </w:rPr>
            </w:pPr>
            <w:r w:rsidRPr="005D682F">
              <w:rPr>
                <w:lang w:val="it-IT"/>
              </w:rPr>
              <w:t>VDi</w:t>
            </w:r>
          </w:p>
          <w:p w14:paraId="054AD11C" w14:textId="77777777" w:rsidR="00047F42" w:rsidRPr="005D682F" w:rsidRDefault="00047F42" w:rsidP="00275853">
            <w:pPr>
              <w:pStyle w:val="ExhibitText"/>
              <w:jc w:val="left"/>
              <w:rPr>
                <w:lang w:val="it-IT"/>
              </w:rPr>
            </w:pPr>
            <w:r w:rsidRPr="005D682F">
              <w:rPr>
                <w:lang w:val="it-IT"/>
              </w:rPr>
              <w:t>ZDi</w:t>
            </w:r>
          </w:p>
        </w:tc>
        <w:tc>
          <w:tcPr>
            <w:tcW w:w="1170" w:type="dxa"/>
          </w:tcPr>
          <w:p w14:paraId="6EF58488" w14:textId="182D2D0D" w:rsidR="00047F42" w:rsidRPr="002B43C8" w:rsidRDefault="00047F42" w:rsidP="00275853">
            <w:pPr>
              <w:pStyle w:val="ExhibitText"/>
              <w:jc w:val="right"/>
              <w:rPr>
                <w:lang w:val="en-GB"/>
              </w:rPr>
            </w:pPr>
            <w:r w:rsidRPr="002B43C8">
              <w:rPr>
                <w:lang w:val="en-GB"/>
              </w:rPr>
              <w:t>438</w:t>
            </w:r>
            <w:r>
              <w:rPr>
                <w:lang w:val="en-GB"/>
              </w:rPr>
              <w:t>.68</w:t>
            </w:r>
          </w:p>
          <w:p w14:paraId="5BEA58C1" w14:textId="03204301" w:rsidR="00047F42" w:rsidRPr="002B43C8" w:rsidRDefault="00047F42" w:rsidP="00275853">
            <w:pPr>
              <w:pStyle w:val="ExhibitText"/>
              <w:jc w:val="right"/>
              <w:rPr>
                <w:lang w:val="en-GB"/>
              </w:rPr>
            </w:pPr>
            <w:r w:rsidRPr="002B43C8">
              <w:rPr>
                <w:lang w:val="en-GB"/>
              </w:rPr>
              <w:t>478</w:t>
            </w:r>
            <w:r>
              <w:rPr>
                <w:lang w:val="en-GB"/>
              </w:rPr>
              <w:t>.72</w:t>
            </w:r>
          </w:p>
          <w:p w14:paraId="485BCDFD" w14:textId="2643E5E6" w:rsidR="00047F42" w:rsidRPr="002B43C8" w:rsidRDefault="00047F42" w:rsidP="00275853">
            <w:pPr>
              <w:pStyle w:val="ExhibitText"/>
              <w:jc w:val="right"/>
              <w:rPr>
                <w:lang w:val="en-GB"/>
              </w:rPr>
            </w:pPr>
            <w:r w:rsidRPr="002B43C8">
              <w:rPr>
                <w:lang w:val="en-GB"/>
              </w:rPr>
              <w:t>538</w:t>
            </w:r>
            <w:r>
              <w:rPr>
                <w:lang w:val="en-GB"/>
              </w:rPr>
              <w:t>.77</w:t>
            </w:r>
          </w:p>
          <w:p w14:paraId="04FA2FA4" w14:textId="7F4A08B5" w:rsidR="00047F42" w:rsidRPr="002B43C8" w:rsidRDefault="00047F42" w:rsidP="00275853">
            <w:pPr>
              <w:pStyle w:val="ExhibitText"/>
              <w:jc w:val="right"/>
              <w:rPr>
                <w:lang w:val="en-GB"/>
              </w:rPr>
            </w:pPr>
            <w:r w:rsidRPr="002B43C8">
              <w:rPr>
                <w:lang w:val="en-GB"/>
              </w:rPr>
              <w:t>546</w:t>
            </w:r>
            <w:r>
              <w:rPr>
                <w:lang w:val="en-GB"/>
              </w:rPr>
              <w:t>.78</w:t>
            </w:r>
          </w:p>
          <w:p w14:paraId="0D025A0F" w14:textId="23BF55F0" w:rsidR="00047F42" w:rsidRPr="002B43C8" w:rsidRDefault="00047F42" w:rsidP="00275853">
            <w:pPr>
              <w:pStyle w:val="ExhibitText"/>
              <w:jc w:val="right"/>
              <w:rPr>
                <w:lang w:val="en-GB"/>
              </w:rPr>
            </w:pPr>
            <w:r w:rsidRPr="002B43C8">
              <w:rPr>
                <w:lang w:val="en-GB"/>
              </w:rPr>
              <w:t>597</w:t>
            </w:r>
            <w:r>
              <w:rPr>
                <w:lang w:val="en-GB"/>
              </w:rPr>
              <w:t>.83</w:t>
            </w:r>
          </w:p>
          <w:p w14:paraId="3AE6E04B" w14:textId="3440F481" w:rsidR="00047F42" w:rsidRPr="002B43C8" w:rsidRDefault="00047F42" w:rsidP="00275853">
            <w:pPr>
              <w:pStyle w:val="ExhibitText"/>
              <w:jc w:val="right"/>
              <w:rPr>
                <w:lang w:val="en-GB"/>
              </w:rPr>
            </w:pPr>
            <w:r w:rsidRPr="002B43C8">
              <w:rPr>
                <w:lang w:val="en-GB"/>
              </w:rPr>
              <w:t>638</w:t>
            </w:r>
            <w:r>
              <w:rPr>
                <w:lang w:val="en-GB"/>
              </w:rPr>
              <w:t>.</w:t>
            </w:r>
            <w:r w:rsidRPr="002B43C8">
              <w:rPr>
                <w:lang w:val="en-GB"/>
              </w:rPr>
              <w:t>36</w:t>
            </w:r>
          </w:p>
        </w:tc>
        <w:tc>
          <w:tcPr>
            <w:tcW w:w="1080" w:type="dxa"/>
            <w:vAlign w:val="center"/>
          </w:tcPr>
          <w:p w14:paraId="20189E7C" w14:textId="32055787" w:rsidR="00047F42" w:rsidRPr="002B43C8" w:rsidRDefault="006D37EE" w:rsidP="001A5003">
            <w:pPr>
              <w:pStyle w:val="ExhibitText"/>
              <w:jc w:val="left"/>
              <w:rPr>
                <w:lang w:val="en-GB"/>
              </w:rPr>
            </w:pPr>
            <w:r w:rsidRPr="00781819">
              <w:rPr>
                <w:lang w:val="en-GB"/>
              </w:rPr>
              <w:t>Joy Inside</w:t>
            </w:r>
          </w:p>
        </w:tc>
        <w:tc>
          <w:tcPr>
            <w:tcW w:w="1381" w:type="dxa"/>
            <w:vAlign w:val="center"/>
          </w:tcPr>
          <w:p w14:paraId="48EA1AE7" w14:textId="342EED3B" w:rsidR="00047F42" w:rsidRPr="002B43C8" w:rsidRDefault="0001098B" w:rsidP="001A5003">
            <w:pPr>
              <w:pStyle w:val="ExhibitText"/>
              <w:jc w:val="left"/>
              <w:rPr>
                <w:lang w:val="en-GB"/>
              </w:rPr>
            </w:pPr>
            <w:r>
              <w:rPr>
                <w:lang w:val="en-GB"/>
              </w:rPr>
              <w:t>Middle and upper</w:t>
            </w:r>
            <w:r w:rsidR="00D41C10">
              <w:rPr>
                <w:lang w:val="en-GB"/>
              </w:rPr>
              <w:t>-</w:t>
            </w:r>
            <w:r>
              <w:rPr>
                <w:lang w:val="en-GB"/>
              </w:rPr>
              <w:t>middle class</w:t>
            </w:r>
            <w:r w:rsidR="00783824">
              <w:rPr>
                <w:lang w:val="en-GB"/>
              </w:rPr>
              <w:t xml:space="preserve"> </w:t>
            </w:r>
          </w:p>
        </w:tc>
      </w:tr>
      <w:tr w:rsidR="00FC33E3" w:rsidRPr="002B43C8" w14:paraId="3A7DEE89" w14:textId="2395C13B" w:rsidTr="00561043">
        <w:trPr>
          <w:trHeight w:val="123"/>
          <w:jc w:val="center"/>
        </w:trPr>
        <w:tc>
          <w:tcPr>
            <w:tcW w:w="1260" w:type="dxa"/>
            <w:vAlign w:val="center"/>
            <w:hideMark/>
          </w:tcPr>
          <w:p w14:paraId="58A3FB61" w14:textId="77777777" w:rsidR="00047F42" w:rsidRPr="00275853" w:rsidRDefault="00047F42" w:rsidP="001A5003">
            <w:pPr>
              <w:pStyle w:val="ExhibitText"/>
              <w:jc w:val="left"/>
            </w:pPr>
            <w:r w:rsidRPr="00275853">
              <w:t>Swift</w:t>
            </w:r>
          </w:p>
        </w:tc>
        <w:tc>
          <w:tcPr>
            <w:tcW w:w="1440" w:type="dxa"/>
            <w:vAlign w:val="center"/>
            <w:hideMark/>
          </w:tcPr>
          <w:p w14:paraId="25EF9B72" w14:textId="77777777" w:rsidR="00047F42" w:rsidRPr="00275853" w:rsidRDefault="00047F42" w:rsidP="001A5003">
            <w:pPr>
              <w:pStyle w:val="ExhibitText"/>
              <w:jc w:val="left"/>
            </w:pPr>
            <w:r w:rsidRPr="00275853">
              <w:t>5mt</w:t>
            </w:r>
          </w:p>
        </w:tc>
        <w:tc>
          <w:tcPr>
            <w:tcW w:w="810" w:type="dxa"/>
            <w:noWrap/>
            <w:vAlign w:val="center"/>
            <w:hideMark/>
          </w:tcPr>
          <w:p w14:paraId="735A0189" w14:textId="77777777" w:rsidR="00EF3157" w:rsidRPr="00275853" w:rsidRDefault="00047F42" w:rsidP="001A5003">
            <w:pPr>
              <w:pStyle w:val="ExhibitText"/>
              <w:jc w:val="left"/>
            </w:pPr>
            <w:r w:rsidRPr="00275853">
              <w:t>VVT/</w:t>
            </w:r>
          </w:p>
          <w:p w14:paraId="742B2AC5" w14:textId="5EF9CD4B" w:rsidR="00047F42" w:rsidRPr="00275853" w:rsidRDefault="00047F42" w:rsidP="001A5003">
            <w:pPr>
              <w:pStyle w:val="ExhibitText"/>
              <w:jc w:val="left"/>
            </w:pPr>
            <w:r w:rsidRPr="00275853">
              <w:t>Ddis</w:t>
            </w:r>
          </w:p>
        </w:tc>
        <w:tc>
          <w:tcPr>
            <w:tcW w:w="1080" w:type="dxa"/>
            <w:noWrap/>
            <w:vAlign w:val="center"/>
            <w:hideMark/>
          </w:tcPr>
          <w:p w14:paraId="3714B6E9" w14:textId="73C362D1" w:rsidR="00047F42" w:rsidRPr="00275853" w:rsidRDefault="00047F42" w:rsidP="001A5003">
            <w:pPr>
              <w:pStyle w:val="ExhibitText"/>
              <w:jc w:val="right"/>
            </w:pPr>
            <w:r w:rsidRPr="00275853">
              <w:t>20</w:t>
            </w:r>
            <w:r w:rsidR="00FE3D65" w:rsidRPr="00275853">
              <w:t>–</w:t>
            </w:r>
            <w:r w:rsidRPr="00275853">
              <w:t>25</w:t>
            </w:r>
          </w:p>
        </w:tc>
        <w:tc>
          <w:tcPr>
            <w:tcW w:w="900" w:type="dxa"/>
          </w:tcPr>
          <w:p w14:paraId="30B9DF7D" w14:textId="77777777" w:rsidR="00047F42" w:rsidRPr="005D682F" w:rsidRDefault="00047F42" w:rsidP="00275853">
            <w:pPr>
              <w:pStyle w:val="ExhibitText"/>
              <w:jc w:val="left"/>
              <w:rPr>
                <w:lang w:val="it-IT"/>
              </w:rPr>
            </w:pPr>
            <w:r w:rsidRPr="005D682F">
              <w:rPr>
                <w:lang w:val="it-IT"/>
              </w:rPr>
              <w:t>LXi</w:t>
            </w:r>
          </w:p>
          <w:p w14:paraId="65BF85E4" w14:textId="77777777" w:rsidR="00047F42" w:rsidRPr="005D682F" w:rsidRDefault="00047F42" w:rsidP="00275853">
            <w:pPr>
              <w:pStyle w:val="ExhibitText"/>
              <w:jc w:val="left"/>
              <w:rPr>
                <w:lang w:val="it-IT"/>
              </w:rPr>
            </w:pPr>
            <w:r w:rsidRPr="005D682F">
              <w:rPr>
                <w:lang w:val="it-IT"/>
              </w:rPr>
              <w:t>VXi</w:t>
            </w:r>
          </w:p>
          <w:p w14:paraId="7F80609A" w14:textId="77777777" w:rsidR="00047F42" w:rsidRPr="005D682F" w:rsidRDefault="00047F42" w:rsidP="00275853">
            <w:pPr>
              <w:pStyle w:val="ExhibitText"/>
              <w:jc w:val="left"/>
              <w:rPr>
                <w:lang w:val="it-IT"/>
              </w:rPr>
            </w:pPr>
            <w:r w:rsidRPr="005D682F">
              <w:rPr>
                <w:lang w:val="it-IT"/>
              </w:rPr>
              <w:t>ZXi</w:t>
            </w:r>
          </w:p>
          <w:p w14:paraId="7B06FFE8" w14:textId="77777777" w:rsidR="00047F42" w:rsidRPr="005D682F" w:rsidRDefault="00047F42" w:rsidP="00275853">
            <w:pPr>
              <w:pStyle w:val="ExhibitText"/>
              <w:jc w:val="left"/>
              <w:rPr>
                <w:lang w:val="it-IT"/>
              </w:rPr>
            </w:pPr>
            <w:r w:rsidRPr="005D682F">
              <w:rPr>
                <w:lang w:val="it-IT"/>
              </w:rPr>
              <w:t>LDi</w:t>
            </w:r>
          </w:p>
          <w:p w14:paraId="5694732C" w14:textId="77777777" w:rsidR="00047F42" w:rsidRPr="005D682F" w:rsidRDefault="00047F42" w:rsidP="00275853">
            <w:pPr>
              <w:pStyle w:val="ExhibitText"/>
              <w:jc w:val="left"/>
              <w:rPr>
                <w:lang w:val="it-IT"/>
              </w:rPr>
            </w:pPr>
            <w:r w:rsidRPr="005D682F">
              <w:rPr>
                <w:lang w:val="it-IT"/>
              </w:rPr>
              <w:t>VDi</w:t>
            </w:r>
          </w:p>
          <w:p w14:paraId="18133D9F" w14:textId="77777777" w:rsidR="00047F42" w:rsidRPr="005D682F" w:rsidRDefault="00047F42" w:rsidP="00275853">
            <w:pPr>
              <w:pStyle w:val="ExhibitText"/>
              <w:jc w:val="left"/>
              <w:rPr>
                <w:lang w:val="it-IT"/>
              </w:rPr>
            </w:pPr>
            <w:r w:rsidRPr="005D682F">
              <w:rPr>
                <w:lang w:val="it-IT"/>
              </w:rPr>
              <w:t>ZDi</w:t>
            </w:r>
          </w:p>
        </w:tc>
        <w:tc>
          <w:tcPr>
            <w:tcW w:w="1170" w:type="dxa"/>
          </w:tcPr>
          <w:p w14:paraId="331A3140" w14:textId="4825764E" w:rsidR="00047F42" w:rsidRPr="002B43C8" w:rsidRDefault="00047F42" w:rsidP="00275853">
            <w:pPr>
              <w:pStyle w:val="ExhibitText"/>
              <w:jc w:val="right"/>
              <w:rPr>
                <w:caps/>
                <w:lang w:val="en-GB"/>
              </w:rPr>
            </w:pPr>
            <w:r w:rsidRPr="002B43C8">
              <w:rPr>
                <w:lang w:val="en-GB"/>
              </w:rPr>
              <w:t>458</w:t>
            </w:r>
            <w:r>
              <w:rPr>
                <w:lang w:val="en-GB"/>
              </w:rPr>
              <w:t>.31</w:t>
            </w:r>
          </w:p>
          <w:p w14:paraId="0EE02BA9" w14:textId="27A947C2" w:rsidR="00047F42" w:rsidRPr="002B43C8" w:rsidRDefault="00047F42" w:rsidP="00275853">
            <w:pPr>
              <w:pStyle w:val="ExhibitText"/>
              <w:jc w:val="right"/>
              <w:rPr>
                <w:caps/>
                <w:lang w:val="en-GB"/>
              </w:rPr>
            </w:pPr>
            <w:r w:rsidRPr="002B43C8">
              <w:rPr>
                <w:lang w:val="en-GB"/>
              </w:rPr>
              <w:t>531</w:t>
            </w:r>
            <w:r>
              <w:rPr>
                <w:lang w:val="en-GB"/>
              </w:rPr>
              <w:t>.82</w:t>
            </w:r>
          </w:p>
          <w:p w14:paraId="48F7A9D7" w14:textId="3076D455" w:rsidR="00047F42" w:rsidRPr="002B43C8" w:rsidRDefault="00047F42" w:rsidP="00275853">
            <w:pPr>
              <w:pStyle w:val="ExhibitText"/>
              <w:jc w:val="right"/>
              <w:rPr>
                <w:caps/>
                <w:lang w:val="en-GB"/>
              </w:rPr>
            </w:pPr>
            <w:r w:rsidRPr="002B43C8">
              <w:rPr>
                <w:lang w:val="en-GB"/>
              </w:rPr>
              <w:t>616</w:t>
            </w:r>
            <w:r>
              <w:rPr>
                <w:lang w:val="en-GB"/>
              </w:rPr>
              <w:t>.94</w:t>
            </w:r>
          </w:p>
          <w:p w14:paraId="603B86D4" w14:textId="1B2DCE9C" w:rsidR="00047F42" w:rsidRPr="002B43C8" w:rsidRDefault="00047F42" w:rsidP="00275853">
            <w:pPr>
              <w:pStyle w:val="ExhibitText"/>
              <w:jc w:val="right"/>
              <w:rPr>
                <w:caps/>
                <w:lang w:val="en-GB"/>
              </w:rPr>
            </w:pPr>
            <w:r w:rsidRPr="002B43C8">
              <w:rPr>
                <w:lang w:val="en-GB"/>
              </w:rPr>
              <w:t>576</w:t>
            </w:r>
            <w:r>
              <w:rPr>
                <w:lang w:val="en-GB"/>
              </w:rPr>
              <w:t>.63</w:t>
            </w:r>
          </w:p>
          <w:p w14:paraId="66B0582B" w14:textId="7C4C312D" w:rsidR="00047F42" w:rsidRPr="002B43C8" w:rsidRDefault="00047F42" w:rsidP="00275853">
            <w:pPr>
              <w:pStyle w:val="ExhibitText"/>
              <w:jc w:val="right"/>
              <w:rPr>
                <w:caps/>
                <w:lang w:val="en-GB"/>
              </w:rPr>
            </w:pPr>
            <w:r w:rsidRPr="002B43C8">
              <w:rPr>
                <w:lang w:val="en-GB"/>
              </w:rPr>
              <w:t>622</w:t>
            </w:r>
            <w:r>
              <w:rPr>
                <w:lang w:val="en-GB"/>
              </w:rPr>
              <w:t>.18</w:t>
            </w:r>
          </w:p>
          <w:p w14:paraId="12AE0EE4" w14:textId="61553233" w:rsidR="00047F42" w:rsidRPr="002B43C8" w:rsidRDefault="00047F42" w:rsidP="00275853">
            <w:pPr>
              <w:pStyle w:val="ExhibitText"/>
              <w:jc w:val="right"/>
              <w:rPr>
                <w:lang w:val="en-GB"/>
              </w:rPr>
            </w:pPr>
            <w:r w:rsidRPr="002B43C8">
              <w:rPr>
                <w:lang w:val="en-GB"/>
              </w:rPr>
              <w:t>720</w:t>
            </w:r>
            <w:r>
              <w:rPr>
                <w:lang w:val="en-GB"/>
              </w:rPr>
              <w:t>.</w:t>
            </w:r>
            <w:r w:rsidRPr="002B43C8">
              <w:rPr>
                <w:lang w:val="en-GB"/>
              </w:rPr>
              <w:t>9</w:t>
            </w:r>
            <w:r>
              <w:rPr>
                <w:lang w:val="en-GB"/>
              </w:rPr>
              <w:t>1</w:t>
            </w:r>
          </w:p>
        </w:tc>
        <w:tc>
          <w:tcPr>
            <w:tcW w:w="1080" w:type="dxa"/>
            <w:vAlign w:val="center"/>
          </w:tcPr>
          <w:p w14:paraId="5FD6F1EE" w14:textId="50DCF6F1" w:rsidR="00047F42" w:rsidRPr="002B43C8" w:rsidRDefault="006D37EE" w:rsidP="001A5003">
            <w:pPr>
              <w:pStyle w:val="ExhibitText"/>
              <w:jc w:val="left"/>
              <w:rPr>
                <w:lang w:val="en-GB"/>
              </w:rPr>
            </w:pPr>
            <w:r w:rsidRPr="00781819">
              <w:rPr>
                <w:lang w:val="en-GB"/>
              </w:rPr>
              <w:t xml:space="preserve">You Are </w:t>
            </w:r>
            <w:r w:rsidR="00D41C10">
              <w:rPr>
                <w:lang w:val="en-GB"/>
              </w:rPr>
              <w:t>t</w:t>
            </w:r>
            <w:r w:rsidRPr="00781819">
              <w:rPr>
                <w:lang w:val="en-GB"/>
              </w:rPr>
              <w:t xml:space="preserve">he </w:t>
            </w:r>
            <w:r w:rsidR="00D41C10">
              <w:rPr>
                <w:lang w:val="en-GB"/>
              </w:rPr>
              <w:t>F</w:t>
            </w:r>
            <w:r w:rsidRPr="00781819">
              <w:rPr>
                <w:lang w:val="en-GB"/>
              </w:rPr>
              <w:t>uel</w:t>
            </w:r>
          </w:p>
        </w:tc>
        <w:tc>
          <w:tcPr>
            <w:tcW w:w="1381" w:type="dxa"/>
            <w:vAlign w:val="center"/>
          </w:tcPr>
          <w:p w14:paraId="04658E62" w14:textId="47FA5038" w:rsidR="00047F42" w:rsidRPr="002B43C8" w:rsidRDefault="006314DF" w:rsidP="001A5003">
            <w:pPr>
              <w:pStyle w:val="ExhibitText"/>
              <w:jc w:val="left"/>
              <w:rPr>
                <w:lang w:val="en-GB"/>
              </w:rPr>
            </w:pPr>
            <w:r>
              <w:rPr>
                <w:lang w:val="en-GB"/>
              </w:rPr>
              <w:t>Middle and upper</w:t>
            </w:r>
            <w:r w:rsidR="00D41C10">
              <w:rPr>
                <w:lang w:val="en-GB"/>
              </w:rPr>
              <w:t>-</w:t>
            </w:r>
            <w:r>
              <w:rPr>
                <w:lang w:val="en-GB"/>
              </w:rPr>
              <w:t>middle class</w:t>
            </w:r>
          </w:p>
        </w:tc>
      </w:tr>
      <w:tr w:rsidR="00FC33E3" w:rsidRPr="002B43C8" w14:paraId="44D38AFB" w14:textId="276D3AD5" w:rsidTr="00561043">
        <w:trPr>
          <w:trHeight w:val="123"/>
          <w:jc w:val="center"/>
        </w:trPr>
        <w:tc>
          <w:tcPr>
            <w:tcW w:w="1260" w:type="dxa"/>
            <w:vAlign w:val="center"/>
            <w:hideMark/>
          </w:tcPr>
          <w:p w14:paraId="0C34CFF8" w14:textId="77777777" w:rsidR="00047F42" w:rsidRPr="00275853" w:rsidRDefault="00047F42" w:rsidP="001A5003">
            <w:pPr>
              <w:pStyle w:val="ExhibitText"/>
              <w:jc w:val="left"/>
            </w:pPr>
            <w:r w:rsidRPr="00275853">
              <w:t>Dzire</w:t>
            </w:r>
          </w:p>
        </w:tc>
        <w:tc>
          <w:tcPr>
            <w:tcW w:w="1440" w:type="dxa"/>
            <w:vAlign w:val="center"/>
            <w:hideMark/>
          </w:tcPr>
          <w:p w14:paraId="611B1A89" w14:textId="77777777" w:rsidR="00047F42" w:rsidRPr="00275853" w:rsidRDefault="00047F42" w:rsidP="001A5003">
            <w:pPr>
              <w:pStyle w:val="ExhibitText"/>
              <w:jc w:val="left"/>
            </w:pPr>
            <w:r w:rsidRPr="00275853">
              <w:t>5mt/4at</w:t>
            </w:r>
          </w:p>
        </w:tc>
        <w:tc>
          <w:tcPr>
            <w:tcW w:w="810" w:type="dxa"/>
            <w:noWrap/>
            <w:vAlign w:val="center"/>
            <w:hideMark/>
          </w:tcPr>
          <w:p w14:paraId="30459F12" w14:textId="77777777" w:rsidR="00EF3157" w:rsidRPr="00275853" w:rsidRDefault="00047F42" w:rsidP="001A5003">
            <w:pPr>
              <w:pStyle w:val="ExhibitText"/>
              <w:jc w:val="left"/>
            </w:pPr>
            <w:r w:rsidRPr="00275853">
              <w:t>K12/</w:t>
            </w:r>
          </w:p>
          <w:p w14:paraId="67D5D182" w14:textId="79F453CC" w:rsidR="00047F42" w:rsidRPr="00275853" w:rsidRDefault="00047F42" w:rsidP="001A5003">
            <w:pPr>
              <w:pStyle w:val="ExhibitText"/>
              <w:jc w:val="left"/>
            </w:pPr>
            <w:r w:rsidRPr="00275853">
              <w:t>Ddis</w:t>
            </w:r>
          </w:p>
        </w:tc>
        <w:tc>
          <w:tcPr>
            <w:tcW w:w="1080" w:type="dxa"/>
            <w:noWrap/>
            <w:vAlign w:val="center"/>
            <w:hideMark/>
          </w:tcPr>
          <w:p w14:paraId="10D35CF8" w14:textId="68E457EC" w:rsidR="00047F42" w:rsidRPr="00275853" w:rsidRDefault="00047F42" w:rsidP="001A5003">
            <w:pPr>
              <w:pStyle w:val="ExhibitText"/>
              <w:jc w:val="right"/>
            </w:pPr>
            <w:r w:rsidRPr="00275853">
              <w:t>21</w:t>
            </w:r>
            <w:r w:rsidR="00FE3D65" w:rsidRPr="00275853">
              <w:t>–</w:t>
            </w:r>
            <w:r w:rsidRPr="00275853">
              <w:t>27</w:t>
            </w:r>
          </w:p>
        </w:tc>
        <w:tc>
          <w:tcPr>
            <w:tcW w:w="900" w:type="dxa"/>
          </w:tcPr>
          <w:p w14:paraId="17A2496C" w14:textId="77777777" w:rsidR="00047F42" w:rsidRPr="005D682F" w:rsidRDefault="00047F42" w:rsidP="00275853">
            <w:pPr>
              <w:pStyle w:val="ExhibitText"/>
              <w:jc w:val="left"/>
              <w:rPr>
                <w:lang w:val="it-IT"/>
              </w:rPr>
            </w:pPr>
            <w:r w:rsidRPr="005D682F">
              <w:rPr>
                <w:lang w:val="it-IT"/>
              </w:rPr>
              <w:t>LXi</w:t>
            </w:r>
          </w:p>
          <w:p w14:paraId="47E777F8" w14:textId="77777777" w:rsidR="00047F42" w:rsidRPr="005D682F" w:rsidRDefault="00047F42" w:rsidP="00275853">
            <w:pPr>
              <w:pStyle w:val="ExhibitText"/>
              <w:jc w:val="left"/>
              <w:rPr>
                <w:lang w:val="it-IT"/>
              </w:rPr>
            </w:pPr>
            <w:r w:rsidRPr="005D682F">
              <w:rPr>
                <w:lang w:val="it-IT"/>
              </w:rPr>
              <w:t>VXi</w:t>
            </w:r>
          </w:p>
          <w:p w14:paraId="15F246BA" w14:textId="77777777" w:rsidR="00047F42" w:rsidRPr="005D682F" w:rsidRDefault="00047F42" w:rsidP="00275853">
            <w:pPr>
              <w:pStyle w:val="ExhibitText"/>
              <w:jc w:val="left"/>
              <w:rPr>
                <w:lang w:val="it-IT"/>
              </w:rPr>
            </w:pPr>
            <w:r w:rsidRPr="005D682F">
              <w:rPr>
                <w:lang w:val="it-IT"/>
              </w:rPr>
              <w:t>ZXi</w:t>
            </w:r>
          </w:p>
          <w:p w14:paraId="0A901B0D" w14:textId="77777777" w:rsidR="00047F42" w:rsidRPr="005D682F" w:rsidRDefault="00047F42" w:rsidP="00275853">
            <w:pPr>
              <w:pStyle w:val="ExhibitText"/>
              <w:jc w:val="left"/>
              <w:rPr>
                <w:lang w:val="it-IT"/>
              </w:rPr>
            </w:pPr>
            <w:r w:rsidRPr="005D682F">
              <w:rPr>
                <w:lang w:val="it-IT"/>
              </w:rPr>
              <w:t>LDi</w:t>
            </w:r>
          </w:p>
          <w:p w14:paraId="556A6E27" w14:textId="77777777" w:rsidR="00047F42" w:rsidRPr="005D682F" w:rsidRDefault="00047F42" w:rsidP="00275853">
            <w:pPr>
              <w:pStyle w:val="ExhibitText"/>
              <w:jc w:val="left"/>
              <w:rPr>
                <w:lang w:val="it-IT"/>
              </w:rPr>
            </w:pPr>
            <w:r w:rsidRPr="005D682F">
              <w:rPr>
                <w:lang w:val="it-IT"/>
              </w:rPr>
              <w:t>VDi</w:t>
            </w:r>
          </w:p>
          <w:p w14:paraId="6F10C35A" w14:textId="77777777" w:rsidR="00047F42" w:rsidRPr="005D682F" w:rsidRDefault="00047F42" w:rsidP="00275853">
            <w:pPr>
              <w:pStyle w:val="ExhibitText"/>
              <w:jc w:val="left"/>
              <w:rPr>
                <w:lang w:val="it-IT"/>
              </w:rPr>
            </w:pPr>
            <w:r w:rsidRPr="005D682F">
              <w:rPr>
                <w:lang w:val="it-IT"/>
              </w:rPr>
              <w:t>ZDi</w:t>
            </w:r>
          </w:p>
        </w:tc>
        <w:tc>
          <w:tcPr>
            <w:tcW w:w="1170" w:type="dxa"/>
          </w:tcPr>
          <w:p w14:paraId="5B275F57" w14:textId="4C6DCE03" w:rsidR="00047F42" w:rsidRPr="002B43C8" w:rsidRDefault="00047F42" w:rsidP="00275853">
            <w:pPr>
              <w:pStyle w:val="ExhibitText"/>
              <w:jc w:val="right"/>
              <w:rPr>
                <w:lang w:val="en-GB"/>
              </w:rPr>
            </w:pPr>
            <w:r w:rsidRPr="002B43C8">
              <w:rPr>
                <w:lang w:val="en-GB"/>
              </w:rPr>
              <w:t>508</w:t>
            </w:r>
            <w:r>
              <w:rPr>
                <w:lang w:val="en-GB"/>
              </w:rPr>
              <w:t>.36</w:t>
            </w:r>
          </w:p>
          <w:p w14:paraId="10817B5A" w14:textId="6766B1C4" w:rsidR="00047F42" w:rsidRPr="002B43C8" w:rsidRDefault="00047F42" w:rsidP="00275853">
            <w:pPr>
              <w:pStyle w:val="ExhibitText"/>
              <w:jc w:val="right"/>
              <w:rPr>
                <w:lang w:val="en-GB"/>
              </w:rPr>
            </w:pPr>
            <w:r w:rsidRPr="002B43C8">
              <w:rPr>
                <w:lang w:val="en-GB"/>
              </w:rPr>
              <w:t>585</w:t>
            </w:r>
            <w:r>
              <w:rPr>
                <w:lang w:val="en-GB"/>
              </w:rPr>
              <w:t>.55</w:t>
            </w:r>
          </w:p>
          <w:p w14:paraId="5265F101" w14:textId="193C3BEB" w:rsidR="00047F42" w:rsidRPr="002B43C8" w:rsidRDefault="00047F42" w:rsidP="00275853">
            <w:pPr>
              <w:pStyle w:val="ExhibitText"/>
              <w:jc w:val="right"/>
              <w:rPr>
                <w:lang w:val="en-GB"/>
              </w:rPr>
            </w:pPr>
            <w:r w:rsidRPr="002B43C8">
              <w:rPr>
                <w:lang w:val="en-GB"/>
              </w:rPr>
              <w:t>680</w:t>
            </w:r>
            <w:r>
              <w:rPr>
                <w:lang w:val="en-GB"/>
              </w:rPr>
              <w:t>.64</w:t>
            </w:r>
          </w:p>
          <w:p w14:paraId="2BDB8DE1" w14:textId="7A63B451" w:rsidR="00047F42" w:rsidRPr="002B43C8" w:rsidRDefault="00047F42" w:rsidP="00275853">
            <w:pPr>
              <w:pStyle w:val="ExhibitText"/>
              <w:jc w:val="right"/>
              <w:rPr>
                <w:lang w:val="en-GB"/>
              </w:rPr>
            </w:pPr>
            <w:r w:rsidRPr="002B43C8">
              <w:rPr>
                <w:lang w:val="en-GB"/>
              </w:rPr>
              <w:t>599</w:t>
            </w:r>
            <w:r>
              <w:rPr>
                <w:lang w:val="en-GB"/>
              </w:rPr>
              <w:t>.53</w:t>
            </w:r>
          </w:p>
          <w:p w14:paraId="20DEB467" w14:textId="7F3228C6" w:rsidR="00047F42" w:rsidRPr="002B43C8" w:rsidRDefault="00047F42" w:rsidP="00275853">
            <w:pPr>
              <w:pStyle w:val="ExhibitText"/>
              <w:jc w:val="right"/>
              <w:rPr>
                <w:lang w:val="en-GB"/>
              </w:rPr>
            </w:pPr>
            <w:r w:rsidRPr="002B43C8">
              <w:rPr>
                <w:lang w:val="en-GB"/>
              </w:rPr>
              <w:t>710</w:t>
            </w:r>
            <w:r>
              <w:rPr>
                <w:lang w:val="en-GB"/>
              </w:rPr>
              <w:t>.00</w:t>
            </w:r>
          </w:p>
          <w:p w14:paraId="62C89A47" w14:textId="68E2BC1D" w:rsidR="00047F42" w:rsidRPr="002B43C8" w:rsidRDefault="00047F42" w:rsidP="00275853">
            <w:pPr>
              <w:pStyle w:val="ExhibitText"/>
              <w:jc w:val="right"/>
              <w:rPr>
                <w:lang w:val="en-GB"/>
              </w:rPr>
            </w:pPr>
            <w:r w:rsidRPr="002B43C8">
              <w:rPr>
                <w:lang w:val="en-GB"/>
              </w:rPr>
              <w:t>781</w:t>
            </w:r>
            <w:r>
              <w:rPr>
                <w:lang w:val="en-GB"/>
              </w:rPr>
              <w:t>.</w:t>
            </w:r>
            <w:r w:rsidRPr="002B43C8">
              <w:rPr>
                <w:lang w:val="en-GB"/>
              </w:rPr>
              <w:t>7</w:t>
            </w:r>
            <w:r>
              <w:rPr>
                <w:lang w:val="en-GB"/>
              </w:rPr>
              <w:t>4</w:t>
            </w:r>
          </w:p>
        </w:tc>
        <w:tc>
          <w:tcPr>
            <w:tcW w:w="1080" w:type="dxa"/>
            <w:vAlign w:val="center"/>
          </w:tcPr>
          <w:p w14:paraId="725BD677" w14:textId="391681C6" w:rsidR="00047F42" w:rsidRDefault="006D37EE" w:rsidP="001A5003">
            <w:pPr>
              <w:pStyle w:val="ExhibitText"/>
              <w:jc w:val="left"/>
              <w:rPr>
                <w:lang w:val="en-GB"/>
              </w:rPr>
            </w:pPr>
            <w:r w:rsidRPr="004C6B22">
              <w:rPr>
                <w:lang w:val="en-GB"/>
              </w:rPr>
              <w:t>Let Your Desire Show</w:t>
            </w:r>
          </w:p>
        </w:tc>
        <w:tc>
          <w:tcPr>
            <w:tcW w:w="1381" w:type="dxa"/>
            <w:vAlign w:val="center"/>
          </w:tcPr>
          <w:p w14:paraId="62DA365C" w14:textId="1B0DE1F0" w:rsidR="00047F42" w:rsidRPr="002B43C8" w:rsidRDefault="00047F42" w:rsidP="001A5003">
            <w:pPr>
              <w:pStyle w:val="ExhibitText"/>
              <w:jc w:val="left"/>
              <w:rPr>
                <w:lang w:val="en-GB"/>
              </w:rPr>
            </w:pPr>
            <w:r>
              <w:rPr>
                <w:lang w:val="en-GB"/>
              </w:rPr>
              <w:t xml:space="preserve">Existing customer </w:t>
            </w:r>
            <w:r w:rsidR="00864F6C">
              <w:rPr>
                <w:lang w:val="en-GB"/>
              </w:rPr>
              <w:t>looking</w:t>
            </w:r>
            <w:r>
              <w:rPr>
                <w:lang w:val="en-GB"/>
              </w:rPr>
              <w:t xml:space="preserve"> for upgrade to a sedan from </w:t>
            </w:r>
            <w:r w:rsidR="00D41C10">
              <w:rPr>
                <w:lang w:val="en-GB"/>
              </w:rPr>
              <w:t>h</w:t>
            </w:r>
            <w:r>
              <w:rPr>
                <w:lang w:val="en-GB"/>
              </w:rPr>
              <w:t>atchback</w:t>
            </w:r>
          </w:p>
        </w:tc>
      </w:tr>
    </w:tbl>
    <w:p w14:paraId="43A40B01" w14:textId="41F0C811" w:rsidR="00561043" w:rsidRDefault="00561043" w:rsidP="001A5003">
      <w:pPr>
        <w:pStyle w:val="ExhibitText"/>
        <w:tabs>
          <w:tab w:val="left" w:pos="962"/>
          <w:tab w:val="left" w:pos="2402"/>
          <w:tab w:val="left" w:pos="3212"/>
          <w:tab w:val="left" w:pos="4292"/>
          <w:tab w:val="left" w:pos="5192"/>
          <w:tab w:val="left" w:pos="6362"/>
          <w:tab w:val="left" w:pos="7442"/>
        </w:tabs>
        <w:jc w:val="left"/>
      </w:pPr>
    </w:p>
    <w:p w14:paraId="4D381EA6" w14:textId="77777777" w:rsidR="00561043" w:rsidRDefault="00561043">
      <w:pPr>
        <w:spacing w:after="200" w:line="276" w:lineRule="auto"/>
        <w:rPr>
          <w:rFonts w:ascii="Arial" w:hAnsi="Arial" w:cs="Arial"/>
        </w:rPr>
      </w:pPr>
      <w:r>
        <w:br w:type="page"/>
      </w:r>
    </w:p>
    <w:p w14:paraId="22FF9480" w14:textId="02FCAD5E" w:rsidR="00561043" w:rsidRDefault="00561043" w:rsidP="00561043">
      <w:pPr>
        <w:pStyle w:val="ExhibitHeading"/>
        <w:rPr>
          <w:lang w:val="en-GB"/>
        </w:rPr>
      </w:pPr>
      <w:r>
        <w:rPr>
          <w:lang w:val="en-GB"/>
        </w:rPr>
        <w:lastRenderedPageBreak/>
        <w:t>EXHIBIT 9 (CONTINUED)</w:t>
      </w:r>
    </w:p>
    <w:p w14:paraId="3293A46C" w14:textId="77777777" w:rsidR="00561043" w:rsidRDefault="00561043" w:rsidP="00561043">
      <w:pPr>
        <w:pStyle w:val="ExhibitText"/>
        <w:rPr>
          <w:lang w:val="en-GB"/>
        </w:rPr>
      </w:pPr>
    </w:p>
    <w:tbl>
      <w:tblPr>
        <w:tblW w:w="9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260"/>
        <w:gridCol w:w="1440"/>
        <w:gridCol w:w="810"/>
        <w:gridCol w:w="1080"/>
        <w:gridCol w:w="900"/>
        <w:gridCol w:w="1170"/>
        <w:gridCol w:w="1080"/>
        <w:gridCol w:w="1471"/>
      </w:tblGrid>
      <w:tr w:rsidR="00561043" w:rsidRPr="002B43C8" w14:paraId="0374A7BD" w14:textId="77777777" w:rsidTr="00561043">
        <w:trPr>
          <w:trHeight w:val="123"/>
          <w:jc w:val="center"/>
        </w:trPr>
        <w:tc>
          <w:tcPr>
            <w:tcW w:w="1260" w:type="dxa"/>
            <w:vAlign w:val="center"/>
          </w:tcPr>
          <w:p w14:paraId="405E55BC" w14:textId="2D53B389" w:rsidR="00561043" w:rsidRPr="00561043" w:rsidRDefault="00561043" w:rsidP="00561043">
            <w:pPr>
              <w:pStyle w:val="ExhibitText"/>
              <w:jc w:val="center"/>
              <w:rPr>
                <w:b/>
              </w:rPr>
            </w:pPr>
            <w:r w:rsidRPr="00561043">
              <w:rPr>
                <w:b/>
              </w:rPr>
              <w:t>Car</w:t>
            </w:r>
          </w:p>
        </w:tc>
        <w:tc>
          <w:tcPr>
            <w:tcW w:w="1440" w:type="dxa"/>
            <w:vAlign w:val="center"/>
          </w:tcPr>
          <w:p w14:paraId="7E0BE1E3" w14:textId="7F1B593F" w:rsidR="00561043" w:rsidRPr="00561043" w:rsidRDefault="00561043" w:rsidP="00561043">
            <w:pPr>
              <w:pStyle w:val="ExhibitText"/>
              <w:jc w:val="center"/>
              <w:rPr>
                <w:b/>
              </w:rPr>
            </w:pPr>
            <w:r w:rsidRPr="00561043">
              <w:rPr>
                <w:b/>
              </w:rPr>
              <w:t>Transmission</w:t>
            </w:r>
          </w:p>
        </w:tc>
        <w:tc>
          <w:tcPr>
            <w:tcW w:w="810" w:type="dxa"/>
            <w:noWrap/>
            <w:vAlign w:val="center"/>
          </w:tcPr>
          <w:p w14:paraId="28E5C471" w14:textId="573BB4DB" w:rsidR="00561043" w:rsidRPr="00561043" w:rsidRDefault="00561043" w:rsidP="00561043">
            <w:pPr>
              <w:pStyle w:val="ExhibitText"/>
              <w:jc w:val="center"/>
              <w:rPr>
                <w:b/>
              </w:rPr>
            </w:pPr>
            <w:r w:rsidRPr="00561043">
              <w:rPr>
                <w:b/>
              </w:rPr>
              <w:t>Engine</w:t>
            </w:r>
          </w:p>
        </w:tc>
        <w:tc>
          <w:tcPr>
            <w:tcW w:w="1080" w:type="dxa"/>
            <w:noWrap/>
            <w:vAlign w:val="center"/>
          </w:tcPr>
          <w:p w14:paraId="11ADEA03" w14:textId="1FEACCF4" w:rsidR="00561043" w:rsidRPr="00561043" w:rsidRDefault="00561043" w:rsidP="00561043">
            <w:pPr>
              <w:pStyle w:val="ExhibitText"/>
              <w:jc w:val="center"/>
              <w:rPr>
                <w:b/>
              </w:rPr>
            </w:pPr>
            <w:r w:rsidRPr="00561043">
              <w:rPr>
                <w:b/>
              </w:rPr>
              <w:t>Fuel Efficiency (kmpl)</w:t>
            </w:r>
          </w:p>
        </w:tc>
        <w:tc>
          <w:tcPr>
            <w:tcW w:w="900" w:type="dxa"/>
            <w:vAlign w:val="center"/>
          </w:tcPr>
          <w:p w14:paraId="57F72917" w14:textId="0DC56D4F" w:rsidR="00561043" w:rsidRPr="00561043" w:rsidRDefault="00561043" w:rsidP="00561043">
            <w:pPr>
              <w:pStyle w:val="ExhibitText"/>
              <w:jc w:val="center"/>
              <w:rPr>
                <w:b/>
                <w:lang w:val="en-GB"/>
              </w:rPr>
            </w:pPr>
            <w:r w:rsidRPr="00561043">
              <w:rPr>
                <w:b/>
                <w:lang w:val="en-GB"/>
              </w:rPr>
              <w:t>Variants</w:t>
            </w:r>
          </w:p>
        </w:tc>
        <w:tc>
          <w:tcPr>
            <w:tcW w:w="1170" w:type="dxa"/>
            <w:vAlign w:val="center"/>
          </w:tcPr>
          <w:p w14:paraId="3FF03371" w14:textId="53F1625F" w:rsidR="00561043" w:rsidRPr="00561043" w:rsidRDefault="00561043" w:rsidP="00561043">
            <w:pPr>
              <w:pStyle w:val="ExhibitText"/>
              <w:jc w:val="center"/>
              <w:rPr>
                <w:b/>
                <w:lang w:val="en-GB"/>
              </w:rPr>
            </w:pPr>
            <w:r w:rsidRPr="00561043">
              <w:rPr>
                <w:b/>
                <w:lang w:val="en-GB"/>
              </w:rPr>
              <w:t xml:space="preserve">Price (in </w:t>
            </w:r>
            <w:r w:rsidRPr="00561043">
              <w:rPr>
                <w:rFonts w:eastAsia="Calibri"/>
                <w:b/>
                <w:spacing w:val="-2"/>
                <w:kern w:val="15"/>
                <w:sz w:val="18"/>
                <w:szCs w:val="18"/>
                <w:lang w:val="en-GB"/>
              </w:rPr>
              <w:t xml:space="preserve">₹ </w:t>
            </w:r>
            <w:r w:rsidRPr="00EC5423">
              <w:rPr>
                <w:rFonts w:eastAsia="Calibri"/>
                <w:b/>
                <w:spacing w:val="-2"/>
                <w:kern w:val="15"/>
                <w:lang w:val="en-GB"/>
              </w:rPr>
              <w:t>thousands</w:t>
            </w:r>
            <w:r w:rsidRPr="00561043">
              <w:rPr>
                <w:rFonts w:eastAsia="Calibri"/>
                <w:b/>
                <w:spacing w:val="-2"/>
                <w:kern w:val="15"/>
                <w:sz w:val="18"/>
                <w:szCs w:val="18"/>
                <w:lang w:val="en-GB"/>
              </w:rPr>
              <w:t>)</w:t>
            </w:r>
          </w:p>
        </w:tc>
        <w:tc>
          <w:tcPr>
            <w:tcW w:w="1080" w:type="dxa"/>
            <w:vAlign w:val="center"/>
          </w:tcPr>
          <w:p w14:paraId="7CF258F4" w14:textId="074FB2C0" w:rsidR="00561043" w:rsidRPr="00561043" w:rsidRDefault="00561043" w:rsidP="000E44FF">
            <w:pPr>
              <w:pStyle w:val="ExhibitText"/>
              <w:jc w:val="center"/>
              <w:rPr>
                <w:b/>
                <w:lang w:val="en-GB"/>
              </w:rPr>
            </w:pPr>
            <w:r w:rsidRPr="00561043">
              <w:rPr>
                <w:b/>
                <w:lang w:val="en-GB"/>
              </w:rPr>
              <w:t>Tag</w:t>
            </w:r>
            <w:r w:rsidR="000E44FF">
              <w:rPr>
                <w:b/>
                <w:lang w:val="en-GB"/>
              </w:rPr>
              <w:t xml:space="preserve"> L</w:t>
            </w:r>
            <w:r w:rsidRPr="00561043">
              <w:rPr>
                <w:b/>
                <w:lang w:val="en-GB"/>
              </w:rPr>
              <w:t>ines</w:t>
            </w:r>
          </w:p>
        </w:tc>
        <w:tc>
          <w:tcPr>
            <w:tcW w:w="1471" w:type="dxa"/>
            <w:vAlign w:val="center"/>
          </w:tcPr>
          <w:p w14:paraId="784B7FD9" w14:textId="2576A700" w:rsidR="00561043" w:rsidRPr="00561043" w:rsidRDefault="00561043" w:rsidP="00561043">
            <w:pPr>
              <w:pStyle w:val="ExhibitText"/>
              <w:jc w:val="center"/>
              <w:rPr>
                <w:b/>
                <w:lang w:val="en-GB"/>
              </w:rPr>
            </w:pPr>
            <w:r w:rsidRPr="00561043">
              <w:rPr>
                <w:b/>
                <w:lang w:val="en-GB"/>
              </w:rPr>
              <w:t>Target Customer</w:t>
            </w:r>
          </w:p>
        </w:tc>
      </w:tr>
      <w:tr w:rsidR="00FC33E3" w:rsidRPr="002B43C8" w14:paraId="5FD2E0F9" w14:textId="789F50E6" w:rsidTr="00561043">
        <w:trPr>
          <w:trHeight w:val="123"/>
          <w:jc w:val="center"/>
        </w:trPr>
        <w:tc>
          <w:tcPr>
            <w:tcW w:w="1260" w:type="dxa"/>
            <w:vAlign w:val="center"/>
            <w:hideMark/>
          </w:tcPr>
          <w:p w14:paraId="02879C53" w14:textId="77777777" w:rsidR="00047F42" w:rsidRPr="00275853" w:rsidRDefault="00047F42" w:rsidP="001A5003">
            <w:pPr>
              <w:pStyle w:val="ExhibitText"/>
              <w:jc w:val="left"/>
            </w:pPr>
            <w:r w:rsidRPr="00275853">
              <w:t>Ciaz</w:t>
            </w:r>
          </w:p>
        </w:tc>
        <w:tc>
          <w:tcPr>
            <w:tcW w:w="1440" w:type="dxa"/>
            <w:vAlign w:val="center"/>
            <w:hideMark/>
          </w:tcPr>
          <w:p w14:paraId="2784C72A" w14:textId="77777777" w:rsidR="00047F42" w:rsidRPr="00275853" w:rsidRDefault="00047F42" w:rsidP="001A5003">
            <w:pPr>
              <w:pStyle w:val="ExhibitText"/>
              <w:jc w:val="left"/>
            </w:pPr>
            <w:r w:rsidRPr="00275853">
              <w:t>5mt/4at</w:t>
            </w:r>
          </w:p>
        </w:tc>
        <w:tc>
          <w:tcPr>
            <w:tcW w:w="810" w:type="dxa"/>
            <w:noWrap/>
            <w:vAlign w:val="center"/>
            <w:hideMark/>
          </w:tcPr>
          <w:p w14:paraId="080D9D17" w14:textId="77777777" w:rsidR="00CE6B99" w:rsidRDefault="00047F42" w:rsidP="001A5003">
            <w:pPr>
              <w:pStyle w:val="ExhibitText"/>
              <w:jc w:val="left"/>
            </w:pPr>
            <w:r w:rsidRPr="00275853">
              <w:t>K14B/</w:t>
            </w:r>
          </w:p>
          <w:p w14:paraId="2BD953C7" w14:textId="0D501DAD" w:rsidR="00047F42" w:rsidRPr="00275853" w:rsidRDefault="00047F42" w:rsidP="001A5003">
            <w:pPr>
              <w:pStyle w:val="ExhibitText"/>
              <w:jc w:val="left"/>
            </w:pPr>
            <w:r w:rsidRPr="00275853">
              <w:t>Ddis200</w:t>
            </w:r>
          </w:p>
        </w:tc>
        <w:tc>
          <w:tcPr>
            <w:tcW w:w="1080" w:type="dxa"/>
            <w:noWrap/>
            <w:vAlign w:val="center"/>
            <w:hideMark/>
          </w:tcPr>
          <w:p w14:paraId="4B6FC8A4" w14:textId="7EA1688F" w:rsidR="00047F42" w:rsidRPr="00275853" w:rsidRDefault="00047F42" w:rsidP="001A5003">
            <w:pPr>
              <w:pStyle w:val="ExhibitText"/>
              <w:jc w:val="right"/>
            </w:pPr>
            <w:r w:rsidRPr="00275853">
              <w:t>21</w:t>
            </w:r>
            <w:r w:rsidR="00FE3D65" w:rsidRPr="00275853">
              <w:t>–</w:t>
            </w:r>
            <w:r w:rsidRPr="00275853">
              <w:t>27</w:t>
            </w:r>
          </w:p>
        </w:tc>
        <w:tc>
          <w:tcPr>
            <w:tcW w:w="900" w:type="dxa"/>
          </w:tcPr>
          <w:p w14:paraId="1A712322" w14:textId="77777777" w:rsidR="00047F42" w:rsidRPr="002B43C8" w:rsidRDefault="00047F42" w:rsidP="00275853">
            <w:pPr>
              <w:pStyle w:val="ExhibitText"/>
              <w:jc w:val="left"/>
              <w:rPr>
                <w:lang w:val="en-GB"/>
              </w:rPr>
            </w:pPr>
            <w:r w:rsidRPr="002B43C8">
              <w:rPr>
                <w:lang w:val="en-GB"/>
              </w:rPr>
              <w:t>VXi</w:t>
            </w:r>
          </w:p>
          <w:p w14:paraId="015D83E1" w14:textId="77777777" w:rsidR="00047F42" w:rsidRPr="002B43C8" w:rsidRDefault="00047F42" w:rsidP="00275853">
            <w:pPr>
              <w:pStyle w:val="ExhibitText"/>
              <w:jc w:val="left"/>
              <w:rPr>
                <w:lang w:val="en-GB"/>
              </w:rPr>
            </w:pPr>
            <w:r w:rsidRPr="002B43C8">
              <w:rPr>
                <w:lang w:val="en-GB"/>
              </w:rPr>
              <w:t>VXi+ MT</w:t>
            </w:r>
          </w:p>
          <w:p w14:paraId="7B990EE0" w14:textId="77777777" w:rsidR="00047F42" w:rsidRPr="002B43C8" w:rsidRDefault="00047F42" w:rsidP="00275853">
            <w:pPr>
              <w:pStyle w:val="ExhibitText"/>
              <w:jc w:val="left"/>
              <w:rPr>
                <w:lang w:val="en-GB"/>
              </w:rPr>
            </w:pPr>
            <w:r w:rsidRPr="002B43C8">
              <w:rPr>
                <w:lang w:val="en-GB"/>
              </w:rPr>
              <w:t>VXi+ AT</w:t>
            </w:r>
          </w:p>
          <w:p w14:paraId="39DC93CC" w14:textId="77777777" w:rsidR="00047F42" w:rsidRPr="002B43C8" w:rsidRDefault="00047F42" w:rsidP="00275853">
            <w:pPr>
              <w:pStyle w:val="ExhibitText"/>
              <w:jc w:val="left"/>
              <w:rPr>
                <w:lang w:val="en-GB"/>
              </w:rPr>
            </w:pPr>
            <w:r w:rsidRPr="002B43C8">
              <w:rPr>
                <w:lang w:val="en-GB"/>
              </w:rPr>
              <w:t>VDi</w:t>
            </w:r>
          </w:p>
          <w:p w14:paraId="5E1ED831" w14:textId="77777777" w:rsidR="00047F42" w:rsidRPr="002B43C8" w:rsidRDefault="00047F42" w:rsidP="00275853">
            <w:pPr>
              <w:pStyle w:val="ExhibitText"/>
              <w:jc w:val="left"/>
              <w:rPr>
                <w:lang w:val="en-GB"/>
              </w:rPr>
            </w:pPr>
            <w:r w:rsidRPr="002B43C8">
              <w:rPr>
                <w:lang w:val="en-GB"/>
              </w:rPr>
              <w:t>VDi+</w:t>
            </w:r>
          </w:p>
          <w:p w14:paraId="6058BCE5" w14:textId="77777777" w:rsidR="00047F42" w:rsidRPr="002B43C8" w:rsidRDefault="00047F42" w:rsidP="00275853">
            <w:pPr>
              <w:pStyle w:val="ExhibitText"/>
              <w:jc w:val="left"/>
              <w:rPr>
                <w:lang w:val="en-GB"/>
              </w:rPr>
            </w:pPr>
            <w:r w:rsidRPr="002B43C8">
              <w:rPr>
                <w:lang w:val="en-GB"/>
              </w:rPr>
              <w:t>ZXi MT</w:t>
            </w:r>
          </w:p>
          <w:p w14:paraId="47538903" w14:textId="77777777" w:rsidR="00047F42" w:rsidRPr="002B43C8" w:rsidRDefault="00047F42" w:rsidP="00275853">
            <w:pPr>
              <w:pStyle w:val="ExhibitText"/>
              <w:jc w:val="left"/>
              <w:rPr>
                <w:lang w:val="en-GB"/>
              </w:rPr>
            </w:pPr>
            <w:r w:rsidRPr="002B43C8">
              <w:rPr>
                <w:lang w:val="en-GB"/>
              </w:rPr>
              <w:t>ZXi AT</w:t>
            </w:r>
          </w:p>
          <w:p w14:paraId="6ABC208A" w14:textId="77777777" w:rsidR="00047F42" w:rsidRPr="002B43C8" w:rsidRDefault="00047F42" w:rsidP="00275853">
            <w:pPr>
              <w:pStyle w:val="ExhibitText"/>
              <w:jc w:val="left"/>
              <w:rPr>
                <w:lang w:val="en-GB"/>
              </w:rPr>
            </w:pPr>
            <w:r w:rsidRPr="002B43C8">
              <w:rPr>
                <w:lang w:val="en-GB"/>
              </w:rPr>
              <w:t>ZXi+</w:t>
            </w:r>
          </w:p>
          <w:p w14:paraId="4E392FEA" w14:textId="77777777" w:rsidR="00047F42" w:rsidRPr="002B43C8" w:rsidRDefault="00047F42" w:rsidP="00275853">
            <w:pPr>
              <w:pStyle w:val="ExhibitText"/>
              <w:jc w:val="left"/>
              <w:rPr>
                <w:lang w:val="en-GB"/>
              </w:rPr>
            </w:pPr>
            <w:r w:rsidRPr="002B43C8">
              <w:rPr>
                <w:lang w:val="en-GB"/>
              </w:rPr>
              <w:t>ZDi</w:t>
            </w:r>
          </w:p>
          <w:p w14:paraId="02EFFF6D" w14:textId="77777777" w:rsidR="00047F42" w:rsidRPr="002B43C8" w:rsidRDefault="00047F42" w:rsidP="00275853">
            <w:pPr>
              <w:pStyle w:val="ExhibitText"/>
              <w:jc w:val="left"/>
              <w:rPr>
                <w:lang w:val="en-GB"/>
              </w:rPr>
            </w:pPr>
            <w:r w:rsidRPr="002B43C8">
              <w:rPr>
                <w:lang w:val="en-GB"/>
              </w:rPr>
              <w:t>ZDi O</w:t>
            </w:r>
          </w:p>
          <w:p w14:paraId="4C269CCA" w14:textId="77777777" w:rsidR="00047F42" w:rsidRPr="002B43C8" w:rsidRDefault="00047F42" w:rsidP="00275853">
            <w:pPr>
              <w:pStyle w:val="ExhibitText"/>
              <w:jc w:val="left"/>
              <w:rPr>
                <w:lang w:val="en-GB"/>
              </w:rPr>
            </w:pPr>
            <w:r w:rsidRPr="002B43C8">
              <w:rPr>
                <w:lang w:val="en-GB"/>
              </w:rPr>
              <w:t>ZDi+</w:t>
            </w:r>
          </w:p>
        </w:tc>
        <w:tc>
          <w:tcPr>
            <w:tcW w:w="1170" w:type="dxa"/>
          </w:tcPr>
          <w:p w14:paraId="7BBCECD4" w14:textId="3D3BF53A" w:rsidR="00047F42" w:rsidRPr="002B43C8" w:rsidRDefault="00047F42" w:rsidP="00275853">
            <w:pPr>
              <w:pStyle w:val="ExhibitText"/>
              <w:jc w:val="right"/>
              <w:rPr>
                <w:lang w:val="en-GB"/>
              </w:rPr>
            </w:pPr>
            <w:r w:rsidRPr="002B43C8">
              <w:rPr>
                <w:lang w:val="en-GB"/>
              </w:rPr>
              <w:t>717</w:t>
            </w:r>
            <w:r>
              <w:rPr>
                <w:lang w:val="en-GB"/>
              </w:rPr>
              <w:t>.38</w:t>
            </w:r>
          </w:p>
          <w:p w14:paraId="19D6809F" w14:textId="4F5FABD6" w:rsidR="00047F42" w:rsidRPr="002B43C8" w:rsidRDefault="00047F42" w:rsidP="00275853">
            <w:pPr>
              <w:pStyle w:val="ExhibitText"/>
              <w:jc w:val="right"/>
              <w:rPr>
                <w:lang w:val="en-GB"/>
              </w:rPr>
            </w:pPr>
            <w:r w:rsidRPr="002B43C8">
              <w:rPr>
                <w:lang w:val="en-GB"/>
              </w:rPr>
              <w:t>774</w:t>
            </w:r>
            <w:r>
              <w:rPr>
                <w:lang w:val="en-GB"/>
              </w:rPr>
              <w:t>.62</w:t>
            </w:r>
          </w:p>
          <w:p w14:paraId="55111420" w14:textId="66137B6B" w:rsidR="00047F42" w:rsidRPr="002B43C8" w:rsidRDefault="00047F42" w:rsidP="00275853">
            <w:pPr>
              <w:pStyle w:val="ExhibitText"/>
              <w:jc w:val="right"/>
              <w:rPr>
                <w:lang w:val="en-GB"/>
              </w:rPr>
            </w:pPr>
            <w:r w:rsidRPr="002B43C8">
              <w:rPr>
                <w:lang w:val="en-GB"/>
              </w:rPr>
              <w:t>887</w:t>
            </w:r>
            <w:r>
              <w:rPr>
                <w:lang w:val="en-GB"/>
              </w:rPr>
              <w:t>.</w:t>
            </w:r>
            <w:r w:rsidRPr="002B43C8">
              <w:rPr>
                <w:lang w:val="en-GB"/>
              </w:rPr>
              <w:t>6</w:t>
            </w:r>
            <w:r>
              <w:rPr>
                <w:lang w:val="en-GB"/>
              </w:rPr>
              <w:t>6</w:t>
            </w:r>
          </w:p>
          <w:p w14:paraId="0B3DEA97" w14:textId="660C8300" w:rsidR="00047F42" w:rsidRPr="002B43C8" w:rsidRDefault="00047F42" w:rsidP="00275853">
            <w:pPr>
              <w:pStyle w:val="ExhibitText"/>
              <w:jc w:val="right"/>
              <w:rPr>
                <w:lang w:val="en-GB"/>
              </w:rPr>
            </w:pPr>
            <w:r w:rsidRPr="002B43C8">
              <w:rPr>
                <w:lang w:val="en-GB"/>
              </w:rPr>
              <w:t>825</w:t>
            </w:r>
            <w:r>
              <w:rPr>
                <w:lang w:val="en-GB"/>
              </w:rPr>
              <w:t>.28</w:t>
            </w:r>
          </w:p>
          <w:p w14:paraId="615D69F6" w14:textId="3F9DAC75" w:rsidR="00047F42" w:rsidRPr="002B43C8" w:rsidRDefault="00047F42" w:rsidP="00275853">
            <w:pPr>
              <w:pStyle w:val="ExhibitText"/>
              <w:jc w:val="right"/>
              <w:rPr>
                <w:lang w:val="en-GB"/>
              </w:rPr>
            </w:pPr>
            <w:r w:rsidRPr="002B43C8">
              <w:rPr>
                <w:lang w:val="en-GB"/>
              </w:rPr>
              <w:t>885</w:t>
            </w:r>
            <w:r>
              <w:rPr>
                <w:lang w:val="en-GB"/>
              </w:rPr>
              <w:t>.60</w:t>
            </w:r>
          </w:p>
          <w:p w14:paraId="57B6EAAB" w14:textId="29A41155" w:rsidR="00047F42" w:rsidRPr="002B43C8" w:rsidRDefault="00047F42" w:rsidP="00275853">
            <w:pPr>
              <w:pStyle w:val="ExhibitText"/>
              <w:jc w:val="right"/>
              <w:rPr>
                <w:lang w:val="en-GB"/>
              </w:rPr>
            </w:pPr>
            <w:r w:rsidRPr="002B43C8">
              <w:rPr>
                <w:lang w:val="en-GB"/>
              </w:rPr>
              <w:t>845</w:t>
            </w:r>
            <w:r>
              <w:rPr>
                <w:lang w:val="en-GB"/>
              </w:rPr>
              <w:t>.52</w:t>
            </w:r>
          </w:p>
          <w:p w14:paraId="1F5575F8" w14:textId="2217B4D5" w:rsidR="00047F42" w:rsidRPr="002B43C8" w:rsidRDefault="00047F42" w:rsidP="00275853">
            <w:pPr>
              <w:pStyle w:val="ExhibitText"/>
              <w:jc w:val="right"/>
              <w:rPr>
                <w:lang w:val="en-GB"/>
              </w:rPr>
            </w:pPr>
            <w:r w:rsidRPr="002B43C8">
              <w:rPr>
                <w:lang w:val="en-GB"/>
              </w:rPr>
              <w:t>958</w:t>
            </w:r>
            <w:r>
              <w:rPr>
                <w:lang w:val="en-GB"/>
              </w:rPr>
              <w:t>.57</w:t>
            </w:r>
          </w:p>
          <w:p w14:paraId="2C9B6863" w14:textId="25683409" w:rsidR="00047F42" w:rsidRPr="002B43C8" w:rsidRDefault="00047F42" w:rsidP="00275853">
            <w:pPr>
              <w:pStyle w:val="ExhibitText"/>
              <w:jc w:val="right"/>
              <w:rPr>
                <w:lang w:val="en-GB"/>
              </w:rPr>
            </w:pPr>
            <w:r w:rsidRPr="002B43C8">
              <w:rPr>
                <w:lang w:val="en-GB"/>
              </w:rPr>
              <w:t>903</w:t>
            </w:r>
            <w:r>
              <w:rPr>
                <w:lang w:val="en-GB"/>
              </w:rPr>
              <w:t>.07</w:t>
            </w:r>
          </w:p>
          <w:p w14:paraId="610067C4" w14:textId="4ECAB74E" w:rsidR="00047F42" w:rsidRPr="002B43C8" w:rsidRDefault="00047F42" w:rsidP="00275853">
            <w:pPr>
              <w:pStyle w:val="ExhibitText"/>
              <w:jc w:val="right"/>
              <w:rPr>
                <w:lang w:val="en-GB"/>
              </w:rPr>
            </w:pPr>
            <w:r w:rsidRPr="002B43C8">
              <w:rPr>
                <w:lang w:val="en-GB"/>
              </w:rPr>
              <w:t>969</w:t>
            </w:r>
            <w:r>
              <w:rPr>
                <w:lang w:val="en-GB"/>
              </w:rPr>
              <w:t>.87</w:t>
            </w:r>
          </w:p>
          <w:p w14:paraId="6799C72E" w14:textId="149F8A5A" w:rsidR="00047F42" w:rsidRPr="002B43C8" w:rsidRDefault="00047F42" w:rsidP="00275853">
            <w:pPr>
              <w:pStyle w:val="ExhibitText"/>
              <w:jc w:val="right"/>
              <w:rPr>
                <w:lang w:val="en-GB"/>
              </w:rPr>
            </w:pPr>
            <w:r>
              <w:rPr>
                <w:lang w:val="en-GB"/>
              </w:rPr>
              <w:t>1</w:t>
            </w:r>
            <w:r w:rsidR="00D41C10">
              <w:rPr>
                <w:lang w:val="en-GB"/>
              </w:rPr>
              <w:t>,</w:t>
            </w:r>
            <w:r w:rsidRPr="002B43C8">
              <w:rPr>
                <w:lang w:val="en-GB"/>
              </w:rPr>
              <w:t>005</w:t>
            </w:r>
            <w:r>
              <w:rPr>
                <w:lang w:val="en-GB"/>
              </w:rPr>
              <w:t>.84</w:t>
            </w:r>
          </w:p>
          <w:p w14:paraId="24154A5F" w14:textId="43BF1543" w:rsidR="00047F42" w:rsidRPr="002B43C8" w:rsidRDefault="00047F42" w:rsidP="00275853">
            <w:pPr>
              <w:pStyle w:val="ExhibitText"/>
              <w:jc w:val="right"/>
              <w:rPr>
                <w:lang w:val="en-GB"/>
              </w:rPr>
            </w:pPr>
            <w:r>
              <w:rPr>
                <w:lang w:val="en-GB"/>
              </w:rPr>
              <w:t>1</w:t>
            </w:r>
            <w:r w:rsidR="00D41C10">
              <w:rPr>
                <w:lang w:val="en-GB"/>
              </w:rPr>
              <w:t>,</w:t>
            </w:r>
            <w:r w:rsidRPr="002B43C8">
              <w:rPr>
                <w:lang w:val="en-GB"/>
              </w:rPr>
              <w:t>031</w:t>
            </w:r>
            <w:r>
              <w:rPr>
                <w:lang w:val="en-GB"/>
              </w:rPr>
              <w:t>.</w:t>
            </w:r>
            <w:r w:rsidRPr="002B43C8">
              <w:rPr>
                <w:lang w:val="en-GB"/>
              </w:rPr>
              <w:t>52</w:t>
            </w:r>
          </w:p>
        </w:tc>
        <w:tc>
          <w:tcPr>
            <w:tcW w:w="1080" w:type="dxa"/>
            <w:vAlign w:val="center"/>
          </w:tcPr>
          <w:p w14:paraId="460E48DA" w14:textId="101ECE14" w:rsidR="00047F42" w:rsidRPr="004C6B22" w:rsidRDefault="006D37EE" w:rsidP="001A5003">
            <w:pPr>
              <w:pStyle w:val="ExhibitText"/>
              <w:jc w:val="left"/>
              <w:rPr>
                <w:lang w:val="en-GB"/>
              </w:rPr>
            </w:pPr>
            <w:r w:rsidRPr="004C6B22">
              <w:rPr>
                <w:lang w:val="en-GB"/>
              </w:rPr>
              <w:t>Make Way</w:t>
            </w:r>
          </w:p>
        </w:tc>
        <w:tc>
          <w:tcPr>
            <w:tcW w:w="1471" w:type="dxa"/>
            <w:vAlign w:val="center"/>
          </w:tcPr>
          <w:p w14:paraId="6CC8EF3D" w14:textId="1EFA2F22" w:rsidR="00047F42" w:rsidRPr="002B43C8" w:rsidRDefault="00047F42" w:rsidP="001A5003">
            <w:pPr>
              <w:pStyle w:val="ExhibitText"/>
              <w:jc w:val="left"/>
              <w:rPr>
                <w:lang w:val="en-GB"/>
              </w:rPr>
            </w:pPr>
            <w:r w:rsidRPr="0064343A">
              <w:rPr>
                <w:lang w:val="en-GB"/>
              </w:rPr>
              <w:t>Existing customer</w:t>
            </w:r>
            <w:r w:rsidR="00EF6D1B" w:rsidRPr="0064343A">
              <w:rPr>
                <w:lang w:val="en-GB"/>
              </w:rPr>
              <w:t>s</w:t>
            </w:r>
            <w:r w:rsidR="00F428F1" w:rsidRPr="0064343A">
              <w:rPr>
                <w:lang w:val="en-GB"/>
              </w:rPr>
              <w:t xml:space="preserve"> who own Dzire/Swift </w:t>
            </w:r>
            <w:r w:rsidR="00E53F2C" w:rsidRPr="0064343A">
              <w:rPr>
                <w:lang w:val="en-GB"/>
              </w:rPr>
              <w:t>but looking</w:t>
            </w:r>
            <w:r w:rsidRPr="0064343A">
              <w:rPr>
                <w:lang w:val="en-GB"/>
              </w:rPr>
              <w:t xml:space="preserve"> </w:t>
            </w:r>
            <w:r w:rsidR="00E95CA1" w:rsidRPr="0064343A">
              <w:rPr>
                <w:lang w:val="en-GB"/>
              </w:rPr>
              <w:t>for an</w:t>
            </w:r>
            <w:r w:rsidR="00F428F1" w:rsidRPr="0064343A">
              <w:rPr>
                <w:lang w:val="en-GB"/>
              </w:rPr>
              <w:t xml:space="preserve"> </w:t>
            </w:r>
            <w:r w:rsidRPr="0064343A">
              <w:rPr>
                <w:lang w:val="en-GB"/>
              </w:rPr>
              <w:t>upgrade to higher</w:t>
            </w:r>
            <w:r w:rsidR="00D41C10">
              <w:rPr>
                <w:lang w:val="en-GB"/>
              </w:rPr>
              <w:t>-</w:t>
            </w:r>
            <w:r w:rsidRPr="0064343A">
              <w:rPr>
                <w:lang w:val="en-GB"/>
              </w:rPr>
              <w:t>end sedan</w:t>
            </w:r>
            <w:r w:rsidR="00F96F70" w:rsidRPr="0064343A">
              <w:rPr>
                <w:lang w:val="en-GB"/>
              </w:rPr>
              <w:t xml:space="preserve">, </w:t>
            </w:r>
            <w:r w:rsidR="00D41C10">
              <w:rPr>
                <w:lang w:val="en-GB"/>
              </w:rPr>
              <w:t>h</w:t>
            </w:r>
            <w:r w:rsidR="00F96F70" w:rsidRPr="0064343A">
              <w:rPr>
                <w:lang w:val="en-GB"/>
              </w:rPr>
              <w:t>igh</w:t>
            </w:r>
            <w:r w:rsidR="00D41C10">
              <w:rPr>
                <w:lang w:val="en-GB"/>
              </w:rPr>
              <w:t>-n</w:t>
            </w:r>
            <w:r w:rsidR="00F42F3A" w:rsidRPr="0064343A">
              <w:rPr>
                <w:lang w:val="en-GB"/>
              </w:rPr>
              <w:t>et</w:t>
            </w:r>
            <w:r w:rsidR="00D41C10">
              <w:rPr>
                <w:lang w:val="en-GB"/>
              </w:rPr>
              <w:t>-</w:t>
            </w:r>
            <w:r w:rsidR="00F42F3A" w:rsidRPr="0064343A">
              <w:rPr>
                <w:lang w:val="en-GB"/>
              </w:rPr>
              <w:t>wor</w:t>
            </w:r>
            <w:r w:rsidR="00D41C10">
              <w:rPr>
                <w:lang w:val="en-GB"/>
              </w:rPr>
              <w:t>th</w:t>
            </w:r>
            <w:r w:rsidR="00F42F3A" w:rsidRPr="0064343A">
              <w:rPr>
                <w:lang w:val="en-GB"/>
              </w:rPr>
              <w:t xml:space="preserve"> </w:t>
            </w:r>
            <w:r w:rsidR="00D41C10">
              <w:rPr>
                <w:lang w:val="en-GB"/>
              </w:rPr>
              <w:t>i</w:t>
            </w:r>
            <w:r w:rsidR="00F42F3A" w:rsidRPr="0064343A">
              <w:rPr>
                <w:lang w:val="en-GB"/>
              </w:rPr>
              <w:t>ndividuals</w:t>
            </w:r>
            <w:r w:rsidR="00B63395" w:rsidRPr="0064343A">
              <w:rPr>
                <w:lang w:val="en-GB"/>
              </w:rPr>
              <w:t xml:space="preserve">, </w:t>
            </w:r>
            <w:r w:rsidR="007C1951" w:rsidRPr="0064343A">
              <w:rPr>
                <w:lang w:val="en-GB"/>
              </w:rPr>
              <w:t>upper</w:t>
            </w:r>
            <w:r w:rsidR="00D41C10">
              <w:rPr>
                <w:lang w:val="en-GB"/>
              </w:rPr>
              <w:t>-</w:t>
            </w:r>
            <w:r w:rsidR="007C1951" w:rsidRPr="0064343A">
              <w:rPr>
                <w:lang w:val="en-GB"/>
              </w:rPr>
              <w:t>middle class</w:t>
            </w:r>
          </w:p>
        </w:tc>
      </w:tr>
      <w:tr w:rsidR="00FC33E3" w:rsidRPr="002B43C8" w14:paraId="0FC1CCA1" w14:textId="0A886B9B" w:rsidTr="00561043">
        <w:trPr>
          <w:trHeight w:val="123"/>
          <w:jc w:val="center"/>
        </w:trPr>
        <w:tc>
          <w:tcPr>
            <w:tcW w:w="1260" w:type="dxa"/>
            <w:vAlign w:val="center"/>
            <w:hideMark/>
          </w:tcPr>
          <w:p w14:paraId="380D8EB8" w14:textId="77777777" w:rsidR="00047F42" w:rsidRPr="00275853" w:rsidRDefault="00047F42" w:rsidP="001A5003">
            <w:pPr>
              <w:pStyle w:val="ExhibitText"/>
              <w:jc w:val="left"/>
            </w:pPr>
            <w:r w:rsidRPr="00275853">
              <w:t>Ertiga</w:t>
            </w:r>
          </w:p>
        </w:tc>
        <w:tc>
          <w:tcPr>
            <w:tcW w:w="1440" w:type="dxa"/>
            <w:vAlign w:val="center"/>
            <w:hideMark/>
          </w:tcPr>
          <w:p w14:paraId="7B28EFA6" w14:textId="77777777" w:rsidR="00047F42" w:rsidRPr="00275853" w:rsidRDefault="00047F42" w:rsidP="001A5003">
            <w:pPr>
              <w:pStyle w:val="ExhibitText"/>
              <w:jc w:val="left"/>
            </w:pPr>
            <w:r w:rsidRPr="00275853">
              <w:t>5mt</w:t>
            </w:r>
          </w:p>
        </w:tc>
        <w:tc>
          <w:tcPr>
            <w:tcW w:w="810" w:type="dxa"/>
            <w:noWrap/>
            <w:vAlign w:val="center"/>
            <w:hideMark/>
          </w:tcPr>
          <w:p w14:paraId="2D3FA648" w14:textId="77777777" w:rsidR="00EF3157" w:rsidRPr="00275853" w:rsidRDefault="00047F42" w:rsidP="001A5003">
            <w:pPr>
              <w:pStyle w:val="ExhibitText"/>
              <w:jc w:val="left"/>
            </w:pPr>
            <w:r w:rsidRPr="00275853">
              <w:t>VVT/</w:t>
            </w:r>
          </w:p>
          <w:p w14:paraId="6C7EA618" w14:textId="7DDAE4A8" w:rsidR="00047F42" w:rsidRPr="00275853" w:rsidRDefault="00047F42" w:rsidP="001A5003">
            <w:pPr>
              <w:pStyle w:val="ExhibitText"/>
              <w:jc w:val="left"/>
            </w:pPr>
            <w:r w:rsidRPr="00275853">
              <w:t>Ddis</w:t>
            </w:r>
          </w:p>
        </w:tc>
        <w:tc>
          <w:tcPr>
            <w:tcW w:w="1080" w:type="dxa"/>
            <w:noWrap/>
            <w:vAlign w:val="center"/>
            <w:hideMark/>
          </w:tcPr>
          <w:p w14:paraId="51B6CB0C" w14:textId="7EEEFC6C" w:rsidR="00047F42" w:rsidRPr="00275853" w:rsidRDefault="00047F42" w:rsidP="001A5003">
            <w:pPr>
              <w:pStyle w:val="ExhibitText"/>
              <w:jc w:val="right"/>
            </w:pPr>
            <w:r w:rsidRPr="00275853">
              <w:t>16</w:t>
            </w:r>
            <w:r w:rsidR="00FE3D65" w:rsidRPr="00275853">
              <w:t>–</w:t>
            </w:r>
            <w:r w:rsidRPr="00275853">
              <w:t>23</w:t>
            </w:r>
          </w:p>
        </w:tc>
        <w:tc>
          <w:tcPr>
            <w:tcW w:w="900" w:type="dxa"/>
          </w:tcPr>
          <w:p w14:paraId="6C986D97" w14:textId="77777777" w:rsidR="00047F42" w:rsidRPr="005D682F" w:rsidRDefault="00047F42" w:rsidP="00275853">
            <w:pPr>
              <w:pStyle w:val="ExhibitText"/>
              <w:jc w:val="left"/>
              <w:rPr>
                <w:lang w:val="it-IT"/>
              </w:rPr>
            </w:pPr>
            <w:r w:rsidRPr="005D682F">
              <w:rPr>
                <w:lang w:val="it-IT"/>
              </w:rPr>
              <w:t>LXi</w:t>
            </w:r>
          </w:p>
          <w:p w14:paraId="2EB118B7" w14:textId="77777777" w:rsidR="00047F42" w:rsidRPr="005D682F" w:rsidRDefault="00047F42" w:rsidP="00275853">
            <w:pPr>
              <w:pStyle w:val="ExhibitText"/>
              <w:jc w:val="left"/>
              <w:rPr>
                <w:lang w:val="it-IT"/>
              </w:rPr>
            </w:pPr>
            <w:r w:rsidRPr="005D682F">
              <w:rPr>
                <w:lang w:val="it-IT"/>
              </w:rPr>
              <w:t>VXi</w:t>
            </w:r>
          </w:p>
          <w:p w14:paraId="5B0DFCD2" w14:textId="77777777" w:rsidR="00047F42" w:rsidRPr="005D682F" w:rsidRDefault="00047F42" w:rsidP="00275853">
            <w:pPr>
              <w:pStyle w:val="ExhibitText"/>
              <w:jc w:val="left"/>
              <w:rPr>
                <w:lang w:val="it-IT"/>
              </w:rPr>
            </w:pPr>
            <w:r w:rsidRPr="005D682F">
              <w:rPr>
                <w:lang w:val="it-IT"/>
              </w:rPr>
              <w:t>ZXi</w:t>
            </w:r>
          </w:p>
          <w:p w14:paraId="42A8E40C" w14:textId="77777777" w:rsidR="00047F42" w:rsidRPr="005D682F" w:rsidRDefault="00047F42" w:rsidP="00275853">
            <w:pPr>
              <w:pStyle w:val="ExhibitText"/>
              <w:jc w:val="left"/>
              <w:rPr>
                <w:lang w:val="it-IT"/>
              </w:rPr>
            </w:pPr>
            <w:r w:rsidRPr="005D682F">
              <w:rPr>
                <w:lang w:val="it-IT"/>
              </w:rPr>
              <w:t>LDi</w:t>
            </w:r>
          </w:p>
          <w:p w14:paraId="64417F71" w14:textId="77777777" w:rsidR="00047F42" w:rsidRPr="005D682F" w:rsidRDefault="00047F42" w:rsidP="00275853">
            <w:pPr>
              <w:pStyle w:val="ExhibitText"/>
              <w:jc w:val="left"/>
              <w:rPr>
                <w:lang w:val="it-IT"/>
              </w:rPr>
            </w:pPr>
            <w:r w:rsidRPr="005D682F">
              <w:rPr>
                <w:lang w:val="it-IT"/>
              </w:rPr>
              <w:t>VDi</w:t>
            </w:r>
          </w:p>
          <w:p w14:paraId="3FC2FF26" w14:textId="77777777" w:rsidR="00047F42" w:rsidRPr="005D682F" w:rsidRDefault="00047F42" w:rsidP="00275853">
            <w:pPr>
              <w:pStyle w:val="ExhibitText"/>
              <w:jc w:val="left"/>
              <w:rPr>
                <w:lang w:val="it-IT"/>
              </w:rPr>
            </w:pPr>
            <w:r w:rsidRPr="005D682F">
              <w:rPr>
                <w:lang w:val="it-IT"/>
              </w:rPr>
              <w:t>ZDi</w:t>
            </w:r>
          </w:p>
        </w:tc>
        <w:tc>
          <w:tcPr>
            <w:tcW w:w="1170" w:type="dxa"/>
          </w:tcPr>
          <w:p w14:paraId="32754226" w14:textId="09C04B2E" w:rsidR="00047F42" w:rsidRPr="002B43C8" w:rsidRDefault="00047F42" w:rsidP="00275853">
            <w:pPr>
              <w:pStyle w:val="ExhibitText"/>
              <w:jc w:val="right"/>
              <w:rPr>
                <w:lang w:val="en-GB"/>
              </w:rPr>
            </w:pPr>
            <w:r w:rsidRPr="002B43C8">
              <w:rPr>
                <w:lang w:val="en-GB"/>
              </w:rPr>
              <w:t>599</w:t>
            </w:r>
            <w:r>
              <w:rPr>
                <w:lang w:val="en-GB"/>
              </w:rPr>
              <w:t>.51</w:t>
            </w:r>
          </w:p>
          <w:p w14:paraId="57777AEE" w14:textId="7E56FFAC" w:rsidR="00047F42" w:rsidRPr="002B43C8" w:rsidRDefault="00047F42" w:rsidP="00275853">
            <w:pPr>
              <w:pStyle w:val="ExhibitText"/>
              <w:jc w:val="right"/>
              <w:rPr>
                <w:lang w:val="en-GB"/>
              </w:rPr>
            </w:pPr>
            <w:r w:rsidRPr="002B43C8">
              <w:rPr>
                <w:lang w:val="en-GB"/>
              </w:rPr>
              <w:t>687</w:t>
            </w:r>
            <w:r>
              <w:rPr>
                <w:lang w:val="en-GB"/>
              </w:rPr>
              <w:t>.06</w:t>
            </w:r>
          </w:p>
          <w:p w14:paraId="1DB3CF1C" w14:textId="2F04699F" w:rsidR="00047F42" w:rsidRPr="002B43C8" w:rsidRDefault="00047F42" w:rsidP="00275853">
            <w:pPr>
              <w:pStyle w:val="ExhibitText"/>
              <w:jc w:val="right"/>
              <w:rPr>
                <w:lang w:val="en-GB"/>
              </w:rPr>
            </w:pPr>
            <w:r w:rsidRPr="002B43C8">
              <w:rPr>
                <w:lang w:val="en-GB"/>
              </w:rPr>
              <w:t>759</w:t>
            </w:r>
            <w:r>
              <w:rPr>
                <w:lang w:val="en-GB"/>
              </w:rPr>
              <w:t>. 63</w:t>
            </w:r>
          </w:p>
          <w:p w14:paraId="161D2610" w14:textId="081038FF" w:rsidR="00047F42" w:rsidRPr="002B43C8" w:rsidRDefault="00047F42" w:rsidP="00275853">
            <w:pPr>
              <w:pStyle w:val="ExhibitText"/>
              <w:jc w:val="right"/>
              <w:rPr>
                <w:lang w:val="en-GB"/>
              </w:rPr>
            </w:pPr>
            <w:r w:rsidRPr="002B43C8">
              <w:rPr>
                <w:lang w:val="en-GB"/>
              </w:rPr>
              <w:t>741</w:t>
            </w:r>
            <w:r>
              <w:rPr>
                <w:lang w:val="en-GB"/>
              </w:rPr>
              <w:t>.86</w:t>
            </w:r>
          </w:p>
          <w:p w14:paraId="7749F2D3" w14:textId="4D19D5D3" w:rsidR="00047F42" w:rsidRPr="002B43C8" w:rsidRDefault="00047F42" w:rsidP="00275853">
            <w:pPr>
              <w:pStyle w:val="ExhibitText"/>
              <w:jc w:val="right"/>
              <w:rPr>
                <w:lang w:val="en-GB"/>
              </w:rPr>
            </w:pPr>
            <w:r w:rsidRPr="002B43C8">
              <w:rPr>
                <w:lang w:val="en-GB"/>
              </w:rPr>
              <w:t>806</w:t>
            </w:r>
            <w:r>
              <w:rPr>
                <w:lang w:val="en-GB"/>
              </w:rPr>
              <w:t>.</w:t>
            </w:r>
            <w:r w:rsidRPr="002B43C8">
              <w:rPr>
                <w:lang w:val="en-GB"/>
              </w:rPr>
              <w:t>48</w:t>
            </w:r>
          </w:p>
          <w:p w14:paraId="0114A31A" w14:textId="4A4AA6C7" w:rsidR="00047F42" w:rsidRPr="002B43C8" w:rsidRDefault="00047F42" w:rsidP="00275853">
            <w:pPr>
              <w:pStyle w:val="ExhibitText"/>
              <w:jc w:val="right"/>
              <w:rPr>
                <w:lang w:val="en-GB"/>
              </w:rPr>
            </w:pPr>
            <w:r w:rsidRPr="002B43C8">
              <w:rPr>
                <w:lang w:val="en-GB"/>
              </w:rPr>
              <w:t>872</w:t>
            </w:r>
            <w:r>
              <w:rPr>
                <w:lang w:val="en-GB"/>
              </w:rPr>
              <w:t>.</w:t>
            </w:r>
            <w:r w:rsidRPr="002B43C8">
              <w:rPr>
                <w:lang w:val="en-GB"/>
              </w:rPr>
              <w:t>09</w:t>
            </w:r>
          </w:p>
        </w:tc>
        <w:tc>
          <w:tcPr>
            <w:tcW w:w="1080" w:type="dxa"/>
            <w:vAlign w:val="center"/>
          </w:tcPr>
          <w:p w14:paraId="01D656E2" w14:textId="3156A99B" w:rsidR="00047F42" w:rsidRDefault="00630787" w:rsidP="001A5003">
            <w:pPr>
              <w:pStyle w:val="ExhibitText"/>
              <w:jc w:val="left"/>
              <w:rPr>
                <w:lang w:val="en-GB"/>
              </w:rPr>
            </w:pPr>
            <w:r w:rsidRPr="00B60188">
              <w:rPr>
                <w:lang w:val="en-GB"/>
              </w:rPr>
              <w:t xml:space="preserve">Live Life </w:t>
            </w:r>
            <w:r w:rsidR="00D41C10">
              <w:rPr>
                <w:lang w:val="en-GB"/>
              </w:rPr>
              <w:t>w</w:t>
            </w:r>
            <w:r w:rsidRPr="00B60188">
              <w:rPr>
                <w:lang w:val="en-GB"/>
              </w:rPr>
              <w:t>ith Luv</w:t>
            </w:r>
          </w:p>
        </w:tc>
        <w:tc>
          <w:tcPr>
            <w:tcW w:w="1471" w:type="dxa"/>
            <w:vAlign w:val="center"/>
          </w:tcPr>
          <w:p w14:paraId="4AA10B67" w14:textId="1E6BD5B5" w:rsidR="00047F42" w:rsidRPr="002B43C8" w:rsidRDefault="00770523" w:rsidP="001A5003">
            <w:pPr>
              <w:pStyle w:val="ExhibitText"/>
              <w:jc w:val="left"/>
              <w:rPr>
                <w:lang w:val="en-GB"/>
              </w:rPr>
            </w:pPr>
            <w:r>
              <w:rPr>
                <w:lang w:val="en-GB"/>
              </w:rPr>
              <w:t xml:space="preserve">Urban </w:t>
            </w:r>
            <w:r w:rsidR="00251177">
              <w:rPr>
                <w:lang w:val="en-GB"/>
              </w:rPr>
              <w:t>middle and upper</w:t>
            </w:r>
            <w:r w:rsidR="00D41C10">
              <w:rPr>
                <w:lang w:val="en-GB"/>
              </w:rPr>
              <w:t>-</w:t>
            </w:r>
            <w:r w:rsidR="00251177">
              <w:rPr>
                <w:lang w:val="en-GB"/>
              </w:rPr>
              <w:t xml:space="preserve">middle </w:t>
            </w:r>
            <w:r w:rsidR="00424DC6">
              <w:rPr>
                <w:lang w:val="en-GB"/>
              </w:rPr>
              <w:t>youth</w:t>
            </w:r>
            <w:r w:rsidR="00995365">
              <w:rPr>
                <w:lang w:val="en-GB"/>
              </w:rPr>
              <w:t xml:space="preserve"> </w:t>
            </w:r>
            <w:r>
              <w:rPr>
                <w:lang w:val="en-GB"/>
              </w:rPr>
              <w:t>with</w:t>
            </w:r>
            <w:r w:rsidR="00995365">
              <w:rPr>
                <w:lang w:val="en-GB"/>
              </w:rPr>
              <w:t xml:space="preserve"> </w:t>
            </w:r>
            <w:r w:rsidR="00424DC6">
              <w:rPr>
                <w:lang w:val="en-GB"/>
              </w:rPr>
              <w:t xml:space="preserve">family, </w:t>
            </w:r>
            <w:r w:rsidR="00D41C10">
              <w:rPr>
                <w:lang w:val="en-GB"/>
              </w:rPr>
              <w:t>y</w:t>
            </w:r>
            <w:r w:rsidR="00424DC6">
              <w:rPr>
                <w:lang w:val="en-GB"/>
              </w:rPr>
              <w:t>outh with urban lifestyle</w:t>
            </w:r>
          </w:p>
        </w:tc>
      </w:tr>
      <w:tr w:rsidR="00FC33E3" w:rsidRPr="002B43C8" w14:paraId="5E09141F" w14:textId="1E6FA1F6" w:rsidTr="00561043">
        <w:trPr>
          <w:trHeight w:val="247"/>
          <w:jc w:val="center"/>
        </w:trPr>
        <w:tc>
          <w:tcPr>
            <w:tcW w:w="1260" w:type="dxa"/>
            <w:vAlign w:val="center"/>
            <w:hideMark/>
          </w:tcPr>
          <w:p w14:paraId="18D3E81A" w14:textId="77777777" w:rsidR="00047F42" w:rsidRPr="00275853" w:rsidRDefault="00047F42" w:rsidP="001A5003">
            <w:pPr>
              <w:pStyle w:val="ExhibitText"/>
              <w:jc w:val="left"/>
            </w:pPr>
            <w:r w:rsidRPr="00275853">
              <w:t>Gypsy</w:t>
            </w:r>
          </w:p>
        </w:tc>
        <w:tc>
          <w:tcPr>
            <w:tcW w:w="1440" w:type="dxa"/>
            <w:vAlign w:val="center"/>
            <w:hideMark/>
          </w:tcPr>
          <w:p w14:paraId="79505006" w14:textId="77777777" w:rsidR="006B52F6" w:rsidRPr="00275853" w:rsidRDefault="00047F42" w:rsidP="001A5003">
            <w:pPr>
              <w:pStyle w:val="ExhibitText"/>
              <w:jc w:val="left"/>
            </w:pPr>
            <w:r w:rsidRPr="00275853">
              <w:t>5forward/</w:t>
            </w:r>
          </w:p>
          <w:p w14:paraId="147BE17C" w14:textId="191AE946" w:rsidR="00047F42" w:rsidRPr="00275853" w:rsidRDefault="00047F42" w:rsidP="001A5003">
            <w:pPr>
              <w:pStyle w:val="ExhibitText"/>
              <w:jc w:val="left"/>
            </w:pPr>
            <w:r w:rsidRPr="00275853">
              <w:t>1reverse</w:t>
            </w:r>
          </w:p>
        </w:tc>
        <w:tc>
          <w:tcPr>
            <w:tcW w:w="810" w:type="dxa"/>
            <w:noWrap/>
            <w:vAlign w:val="center"/>
            <w:hideMark/>
          </w:tcPr>
          <w:p w14:paraId="6F861E6F" w14:textId="77777777" w:rsidR="00047F42" w:rsidRPr="00275853" w:rsidRDefault="00047F42" w:rsidP="001A5003">
            <w:pPr>
              <w:pStyle w:val="ExhibitText"/>
              <w:jc w:val="left"/>
            </w:pPr>
            <w:r w:rsidRPr="00275853">
              <w:t>G13BB MPF</w:t>
            </w:r>
          </w:p>
        </w:tc>
        <w:tc>
          <w:tcPr>
            <w:tcW w:w="1080" w:type="dxa"/>
            <w:noWrap/>
            <w:vAlign w:val="center"/>
            <w:hideMark/>
          </w:tcPr>
          <w:p w14:paraId="074A7C5B" w14:textId="77777777" w:rsidR="00047F42" w:rsidRPr="00275853" w:rsidRDefault="00047F42" w:rsidP="001A5003">
            <w:pPr>
              <w:pStyle w:val="ExhibitText"/>
              <w:jc w:val="right"/>
            </w:pPr>
            <w:r w:rsidRPr="00275853">
              <w:t>NA</w:t>
            </w:r>
          </w:p>
        </w:tc>
        <w:tc>
          <w:tcPr>
            <w:tcW w:w="900" w:type="dxa"/>
          </w:tcPr>
          <w:p w14:paraId="4F9159D8" w14:textId="77777777" w:rsidR="00047F42" w:rsidRPr="002B43C8" w:rsidRDefault="00047F42" w:rsidP="00275853">
            <w:pPr>
              <w:pStyle w:val="ExhibitText"/>
              <w:jc w:val="left"/>
              <w:rPr>
                <w:lang w:val="en-GB"/>
              </w:rPr>
            </w:pPr>
            <w:r w:rsidRPr="002B43C8">
              <w:rPr>
                <w:lang w:val="en-GB"/>
              </w:rPr>
              <w:t>Petrol</w:t>
            </w:r>
          </w:p>
        </w:tc>
        <w:tc>
          <w:tcPr>
            <w:tcW w:w="1170" w:type="dxa"/>
          </w:tcPr>
          <w:p w14:paraId="16308272" w14:textId="424670B9" w:rsidR="00047F42" w:rsidRPr="002B43C8" w:rsidRDefault="00047F42" w:rsidP="00275853">
            <w:pPr>
              <w:pStyle w:val="ExhibitText"/>
              <w:jc w:val="right"/>
              <w:rPr>
                <w:lang w:val="en-GB"/>
              </w:rPr>
            </w:pPr>
            <w:r w:rsidRPr="002B43C8">
              <w:rPr>
                <w:lang w:val="en-GB"/>
              </w:rPr>
              <w:t>612</w:t>
            </w:r>
            <w:r>
              <w:rPr>
                <w:lang w:val="en-GB"/>
              </w:rPr>
              <w:t>.5</w:t>
            </w:r>
            <w:r w:rsidRPr="002B43C8">
              <w:rPr>
                <w:lang w:val="en-GB"/>
              </w:rPr>
              <w:t>5</w:t>
            </w:r>
          </w:p>
        </w:tc>
        <w:tc>
          <w:tcPr>
            <w:tcW w:w="1080" w:type="dxa"/>
            <w:vAlign w:val="center"/>
          </w:tcPr>
          <w:p w14:paraId="3E274942" w14:textId="4D517B84" w:rsidR="00047F42" w:rsidRPr="002B43C8" w:rsidRDefault="006D37EE" w:rsidP="001A5003">
            <w:pPr>
              <w:pStyle w:val="ExhibitText"/>
              <w:jc w:val="left"/>
              <w:rPr>
                <w:lang w:val="en-GB"/>
              </w:rPr>
            </w:pPr>
            <w:r w:rsidRPr="00B60188">
              <w:rPr>
                <w:lang w:val="en-GB"/>
              </w:rPr>
              <w:t xml:space="preserve">There Is </w:t>
            </w:r>
            <w:r w:rsidR="00D41C10">
              <w:rPr>
                <w:lang w:val="en-GB"/>
              </w:rPr>
              <w:t>a</w:t>
            </w:r>
            <w:r w:rsidRPr="00B60188">
              <w:rPr>
                <w:lang w:val="en-GB"/>
              </w:rPr>
              <w:t xml:space="preserve"> Gypsy </w:t>
            </w:r>
            <w:r w:rsidR="00D41C10">
              <w:rPr>
                <w:lang w:val="en-GB"/>
              </w:rPr>
              <w:t>i</w:t>
            </w:r>
            <w:r w:rsidRPr="00B60188">
              <w:rPr>
                <w:lang w:val="en-GB"/>
              </w:rPr>
              <w:t>n Everyone</w:t>
            </w:r>
          </w:p>
        </w:tc>
        <w:tc>
          <w:tcPr>
            <w:tcW w:w="1471" w:type="dxa"/>
            <w:vAlign w:val="center"/>
          </w:tcPr>
          <w:p w14:paraId="59ACDEAF" w14:textId="49FC5F54" w:rsidR="00047F42" w:rsidRPr="002B43C8" w:rsidRDefault="00D11627" w:rsidP="001A5003">
            <w:pPr>
              <w:pStyle w:val="ExhibitText"/>
              <w:jc w:val="left"/>
              <w:rPr>
                <w:lang w:val="en-GB"/>
              </w:rPr>
            </w:pPr>
            <w:r>
              <w:rPr>
                <w:lang w:val="en-GB"/>
              </w:rPr>
              <w:t>Middle and upper</w:t>
            </w:r>
            <w:r w:rsidR="00D41C10">
              <w:rPr>
                <w:lang w:val="en-GB"/>
              </w:rPr>
              <w:t>-</w:t>
            </w:r>
            <w:r>
              <w:rPr>
                <w:lang w:val="en-GB"/>
              </w:rPr>
              <w:t>middle class</w:t>
            </w:r>
            <w:r w:rsidR="00A200D5">
              <w:rPr>
                <w:lang w:val="en-GB"/>
              </w:rPr>
              <w:t>, Indian Army</w:t>
            </w:r>
          </w:p>
        </w:tc>
      </w:tr>
      <w:tr w:rsidR="00FC33E3" w:rsidRPr="002B43C8" w14:paraId="26BC6BB2" w14:textId="467B445B" w:rsidTr="00561043">
        <w:trPr>
          <w:trHeight w:val="247"/>
          <w:jc w:val="center"/>
        </w:trPr>
        <w:tc>
          <w:tcPr>
            <w:tcW w:w="1260" w:type="dxa"/>
            <w:vAlign w:val="center"/>
            <w:hideMark/>
          </w:tcPr>
          <w:p w14:paraId="1D55D8C2" w14:textId="77777777" w:rsidR="00047F42" w:rsidRPr="00275853" w:rsidRDefault="00047F42" w:rsidP="001A5003">
            <w:pPr>
              <w:pStyle w:val="ExhibitText"/>
              <w:jc w:val="left"/>
            </w:pPr>
            <w:r w:rsidRPr="00275853">
              <w:t>Omni</w:t>
            </w:r>
          </w:p>
        </w:tc>
        <w:tc>
          <w:tcPr>
            <w:tcW w:w="1440" w:type="dxa"/>
            <w:vAlign w:val="center"/>
            <w:hideMark/>
          </w:tcPr>
          <w:p w14:paraId="3873D5E8" w14:textId="77777777" w:rsidR="006B52F6" w:rsidRPr="00275853" w:rsidRDefault="00047F42" w:rsidP="001A5003">
            <w:pPr>
              <w:pStyle w:val="ExhibitText"/>
              <w:jc w:val="left"/>
            </w:pPr>
            <w:r w:rsidRPr="00275853">
              <w:t>4forward/</w:t>
            </w:r>
          </w:p>
          <w:p w14:paraId="016948BF" w14:textId="4EE1F6F4" w:rsidR="00047F42" w:rsidRPr="00275853" w:rsidRDefault="00047F42" w:rsidP="001A5003">
            <w:pPr>
              <w:pStyle w:val="ExhibitText"/>
              <w:jc w:val="left"/>
            </w:pPr>
            <w:r w:rsidRPr="00275853">
              <w:t>1reverse</w:t>
            </w:r>
          </w:p>
        </w:tc>
        <w:tc>
          <w:tcPr>
            <w:tcW w:w="810" w:type="dxa"/>
            <w:noWrap/>
            <w:vAlign w:val="center"/>
            <w:hideMark/>
          </w:tcPr>
          <w:p w14:paraId="3F1878B1" w14:textId="77777777" w:rsidR="00047F42" w:rsidRPr="00275853" w:rsidRDefault="00047F42" w:rsidP="001A5003">
            <w:pPr>
              <w:pStyle w:val="ExhibitText"/>
              <w:jc w:val="left"/>
            </w:pPr>
            <w:r w:rsidRPr="00275853">
              <w:t>4 stroke cycle</w:t>
            </w:r>
          </w:p>
        </w:tc>
        <w:tc>
          <w:tcPr>
            <w:tcW w:w="1080" w:type="dxa"/>
            <w:noWrap/>
            <w:vAlign w:val="center"/>
            <w:hideMark/>
          </w:tcPr>
          <w:p w14:paraId="28DAE5B6" w14:textId="77777777" w:rsidR="00047F42" w:rsidRPr="00275853" w:rsidRDefault="00047F42" w:rsidP="001A5003">
            <w:pPr>
              <w:pStyle w:val="ExhibitText"/>
              <w:jc w:val="right"/>
            </w:pPr>
            <w:r w:rsidRPr="00275853">
              <w:t>17</w:t>
            </w:r>
          </w:p>
        </w:tc>
        <w:tc>
          <w:tcPr>
            <w:tcW w:w="900" w:type="dxa"/>
          </w:tcPr>
          <w:p w14:paraId="70AB3A07" w14:textId="77777777" w:rsidR="00047F42" w:rsidRPr="002B43C8" w:rsidRDefault="00047F42" w:rsidP="00275853">
            <w:pPr>
              <w:pStyle w:val="ExhibitText"/>
              <w:jc w:val="left"/>
              <w:rPr>
                <w:lang w:val="en-GB"/>
              </w:rPr>
            </w:pPr>
            <w:r w:rsidRPr="002B43C8">
              <w:rPr>
                <w:lang w:val="en-GB"/>
              </w:rPr>
              <w:t>Petrol</w:t>
            </w:r>
          </w:p>
        </w:tc>
        <w:tc>
          <w:tcPr>
            <w:tcW w:w="1170" w:type="dxa"/>
          </w:tcPr>
          <w:p w14:paraId="73DE003F" w14:textId="45C22A90" w:rsidR="00047F42" w:rsidRPr="002B43C8" w:rsidRDefault="00047F42" w:rsidP="00275853">
            <w:pPr>
              <w:pStyle w:val="ExhibitText"/>
              <w:jc w:val="right"/>
              <w:rPr>
                <w:lang w:val="en-GB"/>
              </w:rPr>
            </w:pPr>
            <w:r w:rsidRPr="002B43C8">
              <w:rPr>
                <w:lang w:val="en-GB"/>
              </w:rPr>
              <w:t>254</w:t>
            </w:r>
            <w:r>
              <w:rPr>
                <w:lang w:val="en-GB"/>
              </w:rPr>
              <w:t>.</w:t>
            </w:r>
            <w:r w:rsidRPr="002B43C8">
              <w:rPr>
                <w:lang w:val="en-GB"/>
              </w:rPr>
              <w:t>5</w:t>
            </w:r>
            <w:r>
              <w:rPr>
                <w:lang w:val="en-GB"/>
              </w:rPr>
              <w:t>6</w:t>
            </w:r>
          </w:p>
        </w:tc>
        <w:tc>
          <w:tcPr>
            <w:tcW w:w="1080" w:type="dxa"/>
            <w:vAlign w:val="center"/>
          </w:tcPr>
          <w:p w14:paraId="1700A030" w14:textId="04671A0E" w:rsidR="00047F42" w:rsidRPr="00D41C10" w:rsidRDefault="00D41C10" w:rsidP="001A5003">
            <w:pPr>
              <w:pStyle w:val="ExhibitText"/>
              <w:jc w:val="left"/>
              <w:rPr>
                <w:szCs w:val="16"/>
                <w:lang w:val="en-GB"/>
              </w:rPr>
            </w:pPr>
            <w:r>
              <w:rPr>
                <w:szCs w:val="16"/>
                <w:lang w:val="en-GB"/>
              </w:rPr>
              <w:t>“</w:t>
            </w:r>
            <w:r w:rsidRPr="002141C0">
              <w:rPr>
                <w:szCs w:val="16"/>
                <w:lang w:val="en-GB"/>
              </w:rPr>
              <w:t>Celebrate Success with Happiness</w:t>
            </w:r>
            <w:r>
              <w:rPr>
                <w:szCs w:val="16"/>
                <w:lang w:val="en-GB"/>
              </w:rPr>
              <w:t>”</w:t>
            </w:r>
            <w:r w:rsidRPr="002141C0">
              <w:rPr>
                <w:szCs w:val="16"/>
                <w:lang w:val="en-GB"/>
              </w:rPr>
              <w:t xml:space="preserve"> (</w:t>
            </w:r>
            <w:r w:rsidR="00630787" w:rsidRPr="002141C0">
              <w:rPr>
                <w:i/>
                <w:szCs w:val="16"/>
                <w:lang w:val="en-GB"/>
              </w:rPr>
              <w:t>Kamayabi Khushiyon Se Sajaiye</w:t>
            </w:r>
            <w:r w:rsidRPr="002141C0">
              <w:rPr>
                <w:szCs w:val="16"/>
                <w:lang w:val="en-GB"/>
              </w:rPr>
              <w:t>)</w:t>
            </w:r>
          </w:p>
        </w:tc>
        <w:tc>
          <w:tcPr>
            <w:tcW w:w="1471" w:type="dxa"/>
            <w:vAlign w:val="center"/>
          </w:tcPr>
          <w:p w14:paraId="6EE0B344" w14:textId="189A06E3" w:rsidR="00047F42" w:rsidRPr="002B43C8" w:rsidRDefault="006840F3" w:rsidP="001A5003">
            <w:pPr>
              <w:pStyle w:val="ExhibitText"/>
              <w:jc w:val="left"/>
              <w:rPr>
                <w:lang w:val="en-GB"/>
              </w:rPr>
            </w:pPr>
            <w:r>
              <w:rPr>
                <w:lang w:val="en-GB"/>
              </w:rPr>
              <w:t>Middle class</w:t>
            </w:r>
            <w:r w:rsidR="00047F42">
              <w:rPr>
                <w:lang w:val="en-GB"/>
              </w:rPr>
              <w:t xml:space="preserve"> with big family</w:t>
            </w:r>
            <w:r w:rsidR="003970A4">
              <w:rPr>
                <w:lang w:val="en-GB"/>
              </w:rPr>
              <w:t>,</w:t>
            </w:r>
            <w:r w:rsidR="00047F42">
              <w:rPr>
                <w:lang w:val="en-GB"/>
              </w:rPr>
              <w:t xml:space="preserve"> businessmen</w:t>
            </w:r>
          </w:p>
        </w:tc>
      </w:tr>
      <w:tr w:rsidR="00FC33E3" w:rsidRPr="002B43C8" w14:paraId="302C9994" w14:textId="7646D851" w:rsidTr="00561043">
        <w:trPr>
          <w:trHeight w:val="1637"/>
          <w:jc w:val="center"/>
        </w:trPr>
        <w:tc>
          <w:tcPr>
            <w:tcW w:w="1260" w:type="dxa"/>
            <w:vAlign w:val="center"/>
            <w:hideMark/>
          </w:tcPr>
          <w:p w14:paraId="257C5A6A" w14:textId="77777777" w:rsidR="00047F42" w:rsidRPr="00275853" w:rsidRDefault="00047F42" w:rsidP="001A5003">
            <w:pPr>
              <w:pStyle w:val="ExhibitText"/>
              <w:jc w:val="left"/>
            </w:pPr>
            <w:r w:rsidRPr="00275853">
              <w:t>Eeco</w:t>
            </w:r>
          </w:p>
        </w:tc>
        <w:tc>
          <w:tcPr>
            <w:tcW w:w="1440" w:type="dxa"/>
            <w:vAlign w:val="center"/>
            <w:hideMark/>
          </w:tcPr>
          <w:p w14:paraId="2EA56AAD" w14:textId="77777777" w:rsidR="00047F42" w:rsidRPr="00275853" w:rsidRDefault="00047F42" w:rsidP="001A5003">
            <w:pPr>
              <w:pStyle w:val="ExhibitText"/>
              <w:jc w:val="left"/>
            </w:pPr>
            <w:r w:rsidRPr="00275853">
              <w:t>5mt</w:t>
            </w:r>
          </w:p>
        </w:tc>
        <w:tc>
          <w:tcPr>
            <w:tcW w:w="810" w:type="dxa"/>
            <w:noWrap/>
            <w:vAlign w:val="center"/>
            <w:hideMark/>
          </w:tcPr>
          <w:p w14:paraId="1AFA4458" w14:textId="77777777" w:rsidR="00047F42" w:rsidRPr="00275853" w:rsidRDefault="00047F42" w:rsidP="001A5003">
            <w:pPr>
              <w:pStyle w:val="ExhibitText"/>
              <w:jc w:val="left"/>
            </w:pPr>
            <w:r w:rsidRPr="00275853">
              <w:t>BS IV</w:t>
            </w:r>
          </w:p>
        </w:tc>
        <w:tc>
          <w:tcPr>
            <w:tcW w:w="1080" w:type="dxa"/>
            <w:noWrap/>
            <w:vAlign w:val="center"/>
            <w:hideMark/>
          </w:tcPr>
          <w:p w14:paraId="0E1CA11D" w14:textId="77777777" w:rsidR="00047F42" w:rsidRPr="00275853" w:rsidRDefault="00047F42" w:rsidP="001A5003">
            <w:pPr>
              <w:pStyle w:val="ExhibitText"/>
              <w:jc w:val="right"/>
            </w:pPr>
            <w:r w:rsidRPr="00275853">
              <w:t>16</w:t>
            </w:r>
          </w:p>
        </w:tc>
        <w:tc>
          <w:tcPr>
            <w:tcW w:w="900" w:type="dxa"/>
          </w:tcPr>
          <w:p w14:paraId="7B5D9166" w14:textId="35D1E167" w:rsidR="00047F42" w:rsidRPr="002B43C8" w:rsidRDefault="00047F42" w:rsidP="00275853">
            <w:pPr>
              <w:pStyle w:val="ExhibitText"/>
              <w:jc w:val="left"/>
              <w:rPr>
                <w:lang w:val="en-GB"/>
              </w:rPr>
            </w:pPr>
            <w:r w:rsidRPr="002B43C8">
              <w:rPr>
                <w:lang w:val="en-GB"/>
              </w:rPr>
              <w:t>5</w:t>
            </w:r>
            <w:r w:rsidR="00CE416B">
              <w:rPr>
                <w:lang w:val="en-GB"/>
              </w:rPr>
              <w:t xml:space="preserve">s </w:t>
            </w:r>
            <w:r w:rsidRPr="002B43C8">
              <w:rPr>
                <w:lang w:val="en-GB"/>
              </w:rPr>
              <w:t>Standard</w:t>
            </w:r>
          </w:p>
          <w:p w14:paraId="4F9FFB47" w14:textId="4FC0F83F" w:rsidR="00047F42" w:rsidRPr="002B43C8" w:rsidRDefault="00047F42" w:rsidP="00275853">
            <w:pPr>
              <w:pStyle w:val="ExhibitText"/>
              <w:jc w:val="left"/>
              <w:rPr>
                <w:lang w:val="en-GB"/>
              </w:rPr>
            </w:pPr>
            <w:r w:rsidRPr="002B43C8">
              <w:rPr>
                <w:lang w:val="en-GB"/>
              </w:rPr>
              <w:t>5s Standard</w:t>
            </w:r>
            <w:r w:rsidR="00507F38">
              <w:rPr>
                <w:lang w:val="en-GB"/>
              </w:rPr>
              <w:t>-</w:t>
            </w:r>
            <w:r w:rsidRPr="002B43C8">
              <w:rPr>
                <w:lang w:val="en-GB"/>
              </w:rPr>
              <w:t>AC</w:t>
            </w:r>
          </w:p>
          <w:p w14:paraId="4777AB22" w14:textId="77777777" w:rsidR="00047F42" w:rsidRPr="002B43C8" w:rsidRDefault="00047F42" w:rsidP="00275853">
            <w:pPr>
              <w:pStyle w:val="ExhibitText"/>
              <w:jc w:val="left"/>
              <w:rPr>
                <w:lang w:val="en-GB"/>
              </w:rPr>
            </w:pPr>
            <w:r w:rsidRPr="002B43C8">
              <w:rPr>
                <w:lang w:val="en-GB"/>
              </w:rPr>
              <w:t>7s Standard</w:t>
            </w:r>
          </w:p>
        </w:tc>
        <w:tc>
          <w:tcPr>
            <w:tcW w:w="1170" w:type="dxa"/>
          </w:tcPr>
          <w:p w14:paraId="7E402107" w14:textId="77777777" w:rsidR="00561043" w:rsidRDefault="00561043" w:rsidP="00275853">
            <w:pPr>
              <w:pStyle w:val="ExhibitText"/>
              <w:jc w:val="right"/>
              <w:rPr>
                <w:lang w:val="en-GB"/>
              </w:rPr>
            </w:pPr>
          </w:p>
          <w:p w14:paraId="0FDA6271" w14:textId="78345E24" w:rsidR="00047F42" w:rsidRPr="002B43C8" w:rsidRDefault="00047F42" w:rsidP="00275853">
            <w:pPr>
              <w:pStyle w:val="ExhibitText"/>
              <w:jc w:val="right"/>
              <w:rPr>
                <w:lang w:val="en-GB"/>
              </w:rPr>
            </w:pPr>
            <w:r w:rsidRPr="002B43C8">
              <w:rPr>
                <w:lang w:val="en-GB"/>
              </w:rPr>
              <w:t>312</w:t>
            </w:r>
            <w:r>
              <w:rPr>
                <w:lang w:val="en-GB"/>
              </w:rPr>
              <w:t>.55</w:t>
            </w:r>
          </w:p>
          <w:p w14:paraId="05AECEE8" w14:textId="77777777" w:rsidR="00561043" w:rsidRDefault="00561043" w:rsidP="00275853">
            <w:pPr>
              <w:pStyle w:val="ExhibitText"/>
              <w:jc w:val="right"/>
              <w:rPr>
                <w:lang w:val="en-GB"/>
              </w:rPr>
            </w:pPr>
          </w:p>
          <w:p w14:paraId="47FF4478" w14:textId="19A9AC77" w:rsidR="00047F42" w:rsidRPr="002B43C8" w:rsidRDefault="00047F42" w:rsidP="00275853">
            <w:pPr>
              <w:pStyle w:val="ExhibitText"/>
              <w:jc w:val="right"/>
              <w:rPr>
                <w:lang w:val="en-GB"/>
              </w:rPr>
            </w:pPr>
            <w:r w:rsidRPr="002B43C8">
              <w:rPr>
                <w:lang w:val="en-GB"/>
              </w:rPr>
              <w:t>342</w:t>
            </w:r>
            <w:r>
              <w:rPr>
                <w:lang w:val="en-GB"/>
              </w:rPr>
              <w:t>.63</w:t>
            </w:r>
          </w:p>
          <w:p w14:paraId="1E444238" w14:textId="77777777" w:rsidR="00561043" w:rsidRDefault="00561043" w:rsidP="00275853">
            <w:pPr>
              <w:pStyle w:val="ExhibitText"/>
              <w:jc w:val="right"/>
              <w:rPr>
                <w:lang w:val="en-GB"/>
              </w:rPr>
            </w:pPr>
          </w:p>
          <w:p w14:paraId="3BAD3111" w14:textId="77777777" w:rsidR="00561043" w:rsidRDefault="00561043" w:rsidP="00275853">
            <w:pPr>
              <w:pStyle w:val="ExhibitText"/>
              <w:jc w:val="right"/>
              <w:rPr>
                <w:lang w:val="en-GB"/>
              </w:rPr>
            </w:pPr>
          </w:p>
          <w:p w14:paraId="59F1E6B5" w14:textId="6DAC9596" w:rsidR="00047F42" w:rsidRPr="002B43C8" w:rsidRDefault="00047F42" w:rsidP="00275853">
            <w:pPr>
              <w:pStyle w:val="ExhibitText"/>
              <w:jc w:val="right"/>
              <w:rPr>
                <w:lang w:val="en-GB"/>
              </w:rPr>
            </w:pPr>
            <w:r w:rsidRPr="002B43C8">
              <w:rPr>
                <w:lang w:val="en-GB"/>
              </w:rPr>
              <w:t>329</w:t>
            </w:r>
            <w:r>
              <w:rPr>
                <w:lang w:val="en-GB"/>
              </w:rPr>
              <w:t>.</w:t>
            </w:r>
            <w:r w:rsidRPr="002B43C8">
              <w:rPr>
                <w:lang w:val="en-GB"/>
              </w:rPr>
              <w:t>61</w:t>
            </w:r>
          </w:p>
        </w:tc>
        <w:tc>
          <w:tcPr>
            <w:tcW w:w="1080" w:type="dxa"/>
            <w:vAlign w:val="center"/>
          </w:tcPr>
          <w:p w14:paraId="4BA88DA0" w14:textId="32C2E9D7" w:rsidR="00047F42" w:rsidRDefault="006D37EE" w:rsidP="001A5003">
            <w:pPr>
              <w:pStyle w:val="ExhibitText"/>
              <w:jc w:val="left"/>
              <w:rPr>
                <w:lang w:val="en-GB"/>
              </w:rPr>
            </w:pPr>
            <w:r w:rsidRPr="008E68C4">
              <w:rPr>
                <w:lang w:val="en-GB"/>
              </w:rPr>
              <w:t>Happiness Family Size</w:t>
            </w:r>
          </w:p>
        </w:tc>
        <w:tc>
          <w:tcPr>
            <w:tcW w:w="1471" w:type="dxa"/>
            <w:vAlign w:val="center"/>
          </w:tcPr>
          <w:p w14:paraId="5FAC3AEE" w14:textId="6806F2AE" w:rsidR="00047F42" w:rsidRPr="002B43C8" w:rsidRDefault="003136F2" w:rsidP="001A5003">
            <w:pPr>
              <w:pStyle w:val="ExhibitText"/>
              <w:jc w:val="left"/>
              <w:rPr>
                <w:lang w:val="en-GB"/>
              </w:rPr>
            </w:pPr>
            <w:r>
              <w:rPr>
                <w:lang w:val="en-GB"/>
              </w:rPr>
              <w:t>Middle class with big family, businessmen</w:t>
            </w:r>
          </w:p>
        </w:tc>
      </w:tr>
    </w:tbl>
    <w:p w14:paraId="4BF0267F" w14:textId="77777777" w:rsidR="00884D9D" w:rsidRDefault="00884D9D" w:rsidP="00DA7877">
      <w:pPr>
        <w:pStyle w:val="Footnote"/>
        <w:rPr>
          <w:lang w:val="en-GB"/>
        </w:rPr>
      </w:pPr>
    </w:p>
    <w:p w14:paraId="64769F5F" w14:textId="0DEBE0E9" w:rsidR="00D41C10" w:rsidRPr="00561043" w:rsidRDefault="00DA7877" w:rsidP="00DA7877">
      <w:pPr>
        <w:pStyle w:val="Footnote"/>
        <w:rPr>
          <w:rFonts w:eastAsiaTheme="minorEastAsia"/>
        </w:rPr>
      </w:pPr>
      <w:r w:rsidRPr="002B43C8">
        <w:rPr>
          <w:lang w:val="en-GB"/>
        </w:rPr>
        <w:t>No</w:t>
      </w:r>
      <w:r w:rsidRPr="002141C0">
        <w:t>te:</w:t>
      </w:r>
      <w:r w:rsidR="00D41C10">
        <w:rPr>
          <w:rFonts w:eastAsiaTheme="minorEastAsia"/>
        </w:rPr>
        <w:t xml:space="preserve"> </w:t>
      </w:r>
      <w:r w:rsidR="000D6E3F">
        <w:rPr>
          <w:rFonts w:eastAsiaTheme="minorEastAsia"/>
        </w:rPr>
        <w:t>MT</w:t>
      </w:r>
      <w:r w:rsidR="000E44FF">
        <w:rPr>
          <w:rFonts w:eastAsiaTheme="minorEastAsia"/>
        </w:rPr>
        <w:t xml:space="preserve"> =</w:t>
      </w:r>
      <w:r w:rsidR="000D6E3F">
        <w:rPr>
          <w:rFonts w:eastAsiaTheme="minorEastAsia"/>
        </w:rPr>
        <w:t xml:space="preserve"> </w:t>
      </w:r>
      <w:r w:rsidR="00994D2B">
        <w:rPr>
          <w:rFonts w:eastAsiaTheme="minorEastAsia"/>
        </w:rPr>
        <w:t>manual transmission</w:t>
      </w:r>
      <w:r w:rsidR="000E44FF">
        <w:rPr>
          <w:rFonts w:eastAsiaTheme="minorEastAsia"/>
        </w:rPr>
        <w:t xml:space="preserve">; </w:t>
      </w:r>
      <w:r w:rsidR="00994D2B">
        <w:rPr>
          <w:rFonts w:eastAsiaTheme="minorEastAsia"/>
        </w:rPr>
        <w:t>AT</w:t>
      </w:r>
      <w:r w:rsidR="000E44FF">
        <w:rPr>
          <w:rFonts w:eastAsiaTheme="minorEastAsia"/>
        </w:rPr>
        <w:t xml:space="preserve"> =</w:t>
      </w:r>
      <w:r w:rsidR="00994D2B">
        <w:rPr>
          <w:rFonts w:eastAsiaTheme="minorEastAsia"/>
        </w:rPr>
        <w:t xml:space="preserve"> a</w:t>
      </w:r>
      <w:r w:rsidR="000D6E3F">
        <w:rPr>
          <w:rFonts w:eastAsiaTheme="minorEastAsia"/>
        </w:rPr>
        <w:t>utomatic transmission</w:t>
      </w:r>
      <w:r w:rsidR="00561043">
        <w:rPr>
          <w:rFonts w:eastAsiaTheme="minorEastAsia"/>
        </w:rPr>
        <w:t xml:space="preserve">; </w:t>
      </w:r>
      <w:r w:rsidR="000E44FF">
        <w:rPr>
          <w:rFonts w:eastAsiaTheme="minorEastAsia"/>
        </w:rPr>
        <w:t xml:space="preserve">kmpl = kilometres per litre; </w:t>
      </w:r>
      <w:r w:rsidR="000E44FF" w:rsidRPr="00EA6BC3">
        <w:rPr>
          <w:rFonts w:eastAsiaTheme="minorEastAsia"/>
        </w:rPr>
        <w:t>₹</w:t>
      </w:r>
      <w:r w:rsidR="000E44FF">
        <w:rPr>
          <w:rFonts w:eastAsiaTheme="minorEastAsia"/>
        </w:rPr>
        <w:t xml:space="preserve"> = INR = Indian rupee; US$1 = ₹67.44</w:t>
      </w:r>
      <w:r w:rsidR="000E44FF" w:rsidRPr="00EA6BC3">
        <w:rPr>
          <w:rFonts w:eastAsiaTheme="minorEastAsia"/>
        </w:rPr>
        <w:t xml:space="preserve"> on </w:t>
      </w:r>
      <w:r w:rsidR="000E44FF">
        <w:t>May 25, 2016</w:t>
      </w:r>
      <w:r w:rsidR="00C170DA">
        <w:t xml:space="preserve"> </w:t>
      </w:r>
    </w:p>
    <w:p w14:paraId="0D5180FB" w14:textId="653AE363" w:rsidR="00DA7877" w:rsidRDefault="00935D2F" w:rsidP="00DA7877">
      <w:pPr>
        <w:pStyle w:val="Footnote"/>
        <w:rPr>
          <w:lang w:val="en-GB"/>
        </w:rPr>
      </w:pPr>
      <w:r w:rsidRPr="002B43C8">
        <w:rPr>
          <w:lang w:val="en-GB"/>
        </w:rPr>
        <w:t xml:space="preserve">Source: </w:t>
      </w:r>
      <w:r w:rsidR="00246B2D">
        <w:rPr>
          <w:lang w:val="en-GB"/>
        </w:rPr>
        <w:t xml:space="preserve">Compiled by the case authors based on </w:t>
      </w:r>
      <w:r w:rsidRPr="00561043">
        <w:rPr>
          <w:lang w:val="en-GB"/>
        </w:rPr>
        <w:t>Maruti Suzuki India Limited official website</w:t>
      </w:r>
      <w:r w:rsidR="000E44FF">
        <w:rPr>
          <w:lang w:val="en-GB"/>
        </w:rPr>
        <w:t xml:space="preserve">, accessed February 15, 2017, </w:t>
      </w:r>
      <w:r w:rsidR="000E44FF" w:rsidRPr="000E44FF">
        <w:rPr>
          <w:lang w:val="en-GB"/>
        </w:rPr>
        <w:t>www.marutisuzuki.com/</w:t>
      </w:r>
      <w:r w:rsidR="00246B2D" w:rsidRPr="00561043">
        <w:rPr>
          <w:lang w:val="en-GB"/>
        </w:rPr>
        <w:t>.</w:t>
      </w:r>
      <w:r w:rsidR="00DA7877" w:rsidRPr="002B43C8">
        <w:rPr>
          <w:lang w:val="en-GB"/>
        </w:rPr>
        <w:t xml:space="preserve"> </w:t>
      </w:r>
    </w:p>
    <w:p w14:paraId="39C48F58" w14:textId="77777777" w:rsidR="00CB2471" w:rsidRDefault="00CB2471" w:rsidP="00DA7877">
      <w:pPr>
        <w:pStyle w:val="Footnote"/>
        <w:rPr>
          <w:lang w:val="en-GB"/>
        </w:rPr>
      </w:pPr>
    </w:p>
    <w:p w14:paraId="44BBE5CE" w14:textId="77777777" w:rsidR="00CB2471" w:rsidRPr="002B43C8" w:rsidRDefault="00CB2471" w:rsidP="00DA7877">
      <w:pPr>
        <w:pStyle w:val="Footnote"/>
        <w:rPr>
          <w:lang w:val="en-GB"/>
        </w:rPr>
      </w:pPr>
    </w:p>
    <w:sectPr w:rsidR="00CB2471" w:rsidRPr="002B43C8" w:rsidSect="000008A5">
      <w:headerReference w:type="default" r:id="rId21"/>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8FBE4" w14:textId="77777777" w:rsidR="00880091" w:rsidRDefault="00880091" w:rsidP="00D75295">
      <w:r>
        <w:separator/>
      </w:r>
    </w:p>
  </w:endnote>
  <w:endnote w:type="continuationSeparator" w:id="0">
    <w:p w14:paraId="72D736FB" w14:textId="77777777" w:rsidR="00880091" w:rsidRDefault="0088009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IveyVHWLogos">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97170" w14:textId="77777777" w:rsidR="00880091" w:rsidRDefault="00880091" w:rsidP="00D75295">
      <w:r>
        <w:separator/>
      </w:r>
    </w:p>
  </w:footnote>
  <w:footnote w:type="continuationSeparator" w:id="0">
    <w:p w14:paraId="3CC08BF2" w14:textId="77777777" w:rsidR="00880091" w:rsidRDefault="00880091" w:rsidP="00D75295">
      <w:r>
        <w:continuationSeparator/>
      </w:r>
    </w:p>
  </w:footnote>
  <w:footnote w:id="1">
    <w:p w14:paraId="3F11BBB9" w14:textId="2DE0FE4D" w:rsidR="00880091" w:rsidRPr="001A3E09" w:rsidRDefault="00880091">
      <w:pPr>
        <w:pStyle w:val="FootnoteText"/>
        <w:rPr>
          <w:rStyle w:val="FootnoteChar"/>
        </w:rPr>
      </w:pPr>
      <w:r w:rsidRPr="001A3E09">
        <w:rPr>
          <w:rStyle w:val="FootnoteChar"/>
          <w:vertAlign w:val="superscript"/>
        </w:rPr>
        <w:footnoteRef/>
      </w:r>
      <w:r w:rsidRPr="002141C0">
        <w:rPr>
          <w:rStyle w:val="FootnoteChar"/>
          <w:vertAlign w:val="superscript"/>
        </w:rPr>
        <w:t xml:space="preserve"> </w:t>
      </w:r>
      <w:r w:rsidRPr="001A3E09">
        <w:rPr>
          <w:rStyle w:val="FootnoteChar"/>
          <w:rFonts w:eastAsiaTheme="minorEastAsia"/>
        </w:rPr>
        <w:t>Approximately ₹471.41 billion; ₹</w:t>
      </w:r>
      <w:r>
        <w:rPr>
          <w:rStyle w:val="FootnoteChar"/>
          <w:rFonts w:eastAsiaTheme="minorEastAsia"/>
        </w:rPr>
        <w:t xml:space="preserve"> = INR = Indian rupee; </w:t>
      </w:r>
      <w:r w:rsidRPr="001A3E09">
        <w:rPr>
          <w:rStyle w:val="FootnoteChar"/>
          <w:rFonts w:eastAsiaTheme="minorEastAsia"/>
        </w:rPr>
        <w:t xml:space="preserve">US$1 = ₹67.44 on </w:t>
      </w:r>
      <w:r w:rsidRPr="001A3E09">
        <w:rPr>
          <w:rStyle w:val="FootnoteChar"/>
        </w:rPr>
        <w:t>May 25, 2016.</w:t>
      </w:r>
    </w:p>
  </w:footnote>
  <w:footnote w:id="2">
    <w:p w14:paraId="463E214F" w14:textId="70FEADB9" w:rsidR="00880091" w:rsidRDefault="00880091" w:rsidP="00EC5423">
      <w:pPr>
        <w:pStyle w:val="Footnote"/>
      </w:pPr>
      <w:r>
        <w:rPr>
          <w:rStyle w:val="FootnoteReference"/>
        </w:rPr>
        <w:footnoteRef/>
      </w:r>
      <w:r>
        <w:t xml:space="preserve"> Vehicles in India were classified into an “A”, “B”, or “C” segment based on their length. The Society of Indian Automobile Manufacturers assigned these segmentations, and manufacturers could classify their vehicles based on this system. </w:t>
      </w:r>
    </w:p>
  </w:footnote>
  <w:footnote w:id="3">
    <w:p w14:paraId="2F9F4E0D" w14:textId="6AB1C745" w:rsidR="00880091" w:rsidRPr="00A91FBB" w:rsidRDefault="00880091" w:rsidP="005D682F">
      <w:pPr>
        <w:pStyle w:val="FootnoteText"/>
        <w:contextualSpacing/>
        <w:jc w:val="both"/>
        <w:rPr>
          <w:spacing w:val="-2"/>
          <w:kern w:val="17"/>
          <w:sz w:val="17"/>
          <w:szCs w:val="17"/>
        </w:rPr>
      </w:pPr>
      <w:r w:rsidRPr="008953AF">
        <w:rPr>
          <w:rStyle w:val="FootnoteReference"/>
          <w:rFonts w:ascii="Arial" w:hAnsi="Arial"/>
          <w:sz w:val="17"/>
          <w:szCs w:val="17"/>
        </w:rPr>
        <w:footnoteRef/>
      </w:r>
      <w:r w:rsidRPr="008953AF">
        <w:rPr>
          <w:rFonts w:ascii="Arial" w:hAnsi="Arial"/>
          <w:sz w:val="17"/>
          <w:szCs w:val="17"/>
        </w:rPr>
        <w:t xml:space="preserve"> </w:t>
      </w:r>
      <w:r w:rsidRPr="00A91FBB">
        <w:rPr>
          <w:rFonts w:ascii="Arial" w:hAnsi="Arial"/>
          <w:spacing w:val="-2"/>
          <w:kern w:val="17"/>
          <w:sz w:val="17"/>
          <w:szCs w:val="17"/>
        </w:rPr>
        <w:t xml:space="preserve">PTI, “Maruti Suzuki's 5 Models in Top 10 Best-Selling Cars in April,” </w:t>
      </w:r>
      <w:r w:rsidRPr="00A91FBB">
        <w:rPr>
          <w:rFonts w:ascii="Arial" w:hAnsi="Arial"/>
          <w:i/>
          <w:spacing w:val="-2"/>
          <w:kern w:val="17"/>
          <w:sz w:val="17"/>
          <w:szCs w:val="17"/>
        </w:rPr>
        <w:t>Economic Times</w:t>
      </w:r>
      <w:r w:rsidRPr="00A91FBB">
        <w:rPr>
          <w:rFonts w:ascii="Arial" w:hAnsi="Arial"/>
          <w:spacing w:val="-2"/>
          <w:kern w:val="17"/>
          <w:sz w:val="17"/>
          <w:szCs w:val="17"/>
        </w:rPr>
        <w:t>, May 22 2014, accessed May 25, 2016, http://articles.economictimes.indiatimes.com/2014-05-22/news/50029852_1_honda-cars-india-maruti-suzuki-india-top-position.</w:t>
      </w:r>
    </w:p>
  </w:footnote>
  <w:footnote w:id="4">
    <w:p w14:paraId="0D821348" w14:textId="48A0417B" w:rsidR="00880091" w:rsidRPr="008953AF" w:rsidRDefault="00880091" w:rsidP="005D682F">
      <w:pPr>
        <w:pStyle w:val="FootnoteText"/>
        <w:jc w:val="both"/>
        <w:rPr>
          <w:sz w:val="17"/>
          <w:szCs w:val="17"/>
        </w:rPr>
      </w:pPr>
      <w:r w:rsidRPr="008953AF">
        <w:rPr>
          <w:rStyle w:val="FootnoteReference"/>
          <w:rFonts w:ascii="Arial" w:hAnsi="Arial" w:cs="Arial"/>
          <w:sz w:val="17"/>
          <w:szCs w:val="17"/>
        </w:rPr>
        <w:footnoteRef/>
      </w:r>
      <w:r w:rsidRPr="008953AF">
        <w:rPr>
          <w:sz w:val="17"/>
          <w:szCs w:val="17"/>
        </w:rPr>
        <w:t xml:space="preserve"> </w:t>
      </w:r>
      <w:r w:rsidRPr="008953AF">
        <w:rPr>
          <w:rFonts w:ascii="Arial" w:hAnsi="Arial"/>
          <w:sz w:val="17"/>
          <w:szCs w:val="17"/>
        </w:rPr>
        <w:t>Ketan Thak</w:t>
      </w:r>
      <w:r>
        <w:rPr>
          <w:rFonts w:ascii="Arial" w:hAnsi="Arial"/>
          <w:sz w:val="17"/>
          <w:szCs w:val="17"/>
        </w:rPr>
        <w:t>k</w:t>
      </w:r>
      <w:r w:rsidRPr="008953AF">
        <w:rPr>
          <w:rFonts w:ascii="Arial" w:hAnsi="Arial"/>
          <w:sz w:val="17"/>
          <w:szCs w:val="17"/>
        </w:rPr>
        <w:t xml:space="preserve">ar, “Ciaz </w:t>
      </w:r>
      <w:r>
        <w:rPr>
          <w:rFonts w:ascii="Arial" w:hAnsi="Arial"/>
          <w:sz w:val="17"/>
          <w:szCs w:val="17"/>
        </w:rPr>
        <w:t>S</w:t>
      </w:r>
      <w:r w:rsidRPr="008953AF">
        <w:rPr>
          <w:rFonts w:ascii="Arial" w:hAnsi="Arial"/>
          <w:sz w:val="17"/>
          <w:szCs w:val="17"/>
        </w:rPr>
        <w:t xml:space="preserve">uccess </w:t>
      </w:r>
      <w:r>
        <w:rPr>
          <w:rFonts w:ascii="Arial" w:hAnsi="Arial"/>
          <w:sz w:val="17"/>
          <w:szCs w:val="17"/>
        </w:rPr>
        <w:t>P</w:t>
      </w:r>
      <w:r w:rsidRPr="008953AF">
        <w:rPr>
          <w:rFonts w:ascii="Arial" w:hAnsi="Arial"/>
          <w:sz w:val="17"/>
          <w:szCs w:val="17"/>
        </w:rPr>
        <w:t xml:space="preserve">ropels Maruti Suzuki into the </w:t>
      </w:r>
      <w:r>
        <w:rPr>
          <w:rFonts w:ascii="Arial" w:hAnsi="Arial"/>
          <w:sz w:val="17"/>
          <w:szCs w:val="17"/>
        </w:rPr>
        <w:t>M</w:t>
      </w:r>
      <w:r w:rsidRPr="008953AF">
        <w:rPr>
          <w:rFonts w:ascii="Arial" w:hAnsi="Arial"/>
          <w:sz w:val="17"/>
          <w:szCs w:val="17"/>
        </w:rPr>
        <w:t>id-</w:t>
      </w:r>
      <w:r>
        <w:rPr>
          <w:rFonts w:ascii="Arial" w:hAnsi="Arial"/>
          <w:sz w:val="17"/>
          <w:szCs w:val="17"/>
        </w:rPr>
        <w:t>S</w:t>
      </w:r>
      <w:r w:rsidRPr="008953AF">
        <w:rPr>
          <w:rFonts w:ascii="Arial" w:hAnsi="Arial"/>
          <w:sz w:val="17"/>
          <w:szCs w:val="17"/>
        </w:rPr>
        <w:t xml:space="preserve">ize </w:t>
      </w:r>
      <w:r>
        <w:rPr>
          <w:rFonts w:ascii="Arial" w:hAnsi="Arial"/>
          <w:sz w:val="17"/>
          <w:szCs w:val="17"/>
        </w:rPr>
        <w:t>S</w:t>
      </w:r>
      <w:r w:rsidRPr="008953AF">
        <w:rPr>
          <w:rFonts w:ascii="Arial" w:hAnsi="Arial"/>
          <w:sz w:val="17"/>
          <w:szCs w:val="17"/>
        </w:rPr>
        <w:t xml:space="preserve">edan </w:t>
      </w:r>
      <w:r>
        <w:rPr>
          <w:rFonts w:ascii="Arial" w:hAnsi="Arial"/>
          <w:sz w:val="17"/>
          <w:szCs w:val="17"/>
        </w:rPr>
        <w:t>M</w:t>
      </w:r>
      <w:r w:rsidRPr="008953AF">
        <w:rPr>
          <w:rFonts w:ascii="Arial" w:hAnsi="Arial"/>
          <w:sz w:val="17"/>
          <w:szCs w:val="17"/>
        </w:rPr>
        <w:t xml:space="preserve">akers </w:t>
      </w:r>
      <w:r>
        <w:rPr>
          <w:rFonts w:ascii="Arial" w:hAnsi="Arial"/>
          <w:sz w:val="17"/>
          <w:szCs w:val="17"/>
        </w:rPr>
        <w:t>L</w:t>
      </w:r>
      <w:r w:rsidRPr="008953AF">
        <w:rPr>
          <w:rFonts w:ascii="Arial" w:hAnsi="Arial"/>
          <w:sz w:val="17"/>
          <w:szCs w:val="17"/>
        </w:rPr>
        <w:t>eague in India,</w:t>
      </w:r>
      <w:r>
        <w:rPr>
          <w:rFonts w:ascii="Arial" w:hAnsi="Arial"/>
          <w:sz w:val="17"/>
          <w:szCs w:val="17"/>
        </w:rPr>
        <w:t>”</w:t>
      </w:r>
      <w:r w:rsidRPr="008953AF">
        <w:rPr>
          <w:rFonts w:ascii="Arial" w:hAnsi="Arial"/>
          <w:sz w:val="17"/>
          <w:szCs w:val="17"/>
        </w:rPr>
        <w:t xml:space="preserve"> </w:t>
      </w:r>
      <w:r w:rsidRPr="008953AF">
        <w:rPr>
          <w:rFonts w:ascii="Arial" w:hAnsi="Arial"/>
          <w:i/>
          <w:sz w:val="17"/>
          <w:szCs w:val="17"/>
        </w:rPr>
        <w:t xml:space="preserve">Economic Times, </w:t>
      </w:r>
      <w:r w:rsidRPr="008953AF">
        <w:rPr>
          <w:rFonts w:ascii="Arial" w:hAnsi="Arial"/>
          <w:sz w:val="17"/>
          <w:szCs w:val="17"/>
        </w:rPr>
        <w:t>June 19 2015, accessed May 25</w:t>
      </w:r>
      <w:r>
        <w:rPr>
          <w:rFonts w:ascii="Arial" w:hAnsi="Arial"/>
          <w:sz w:val="17"/>
          <w:szCs w:val="17"/>
        </w:rPr>
        <w:t>,</w:t>
      </w:r>
      <w:r w:rsidRPr="008953AF">
        <w:rPr>
          <w:rFonts w:ascii="Arial" w:hAnsi="Arial"/>
          <w:sz w:val="17"/>
          <w:szCs w:val="17"/>
        </w:rPr>
        <w:t xml:space="preserve"> 2016, http://articles.economictimes.indiatimes.com/2015-06-19/auto/63617135_1_ciaz-s-kalsi-maruti-suzuki</w:t>
      </w:r>
      <w:r>
        <w:rPr>
          <w:rFonts w:ascii="Arial" w:hAnsi="Arial"/>
          <w:sz w:val="17"/>
          <w:szCs w:val="17"/>
        </w:rPr>
        <w:t>.</w:t>
      </w:r>
    </w:p>
  </w:footnote>
  <w:footnote w:id="5">
    <w:p w14:paraId="7C3E9031" w14:textId="743C6310" w:rsidR="00880091" w:rsidRPr="00A42DB4" w:rsidRDefault="00880091">
      <w:pPr>
        <w:pStyle w:val="FootnoteText"/>
        <w:rPr>
          <w:rStyle w:val="FootnoteChar"/>
        </w:rPr>
      </w:pPr>
      <w:r w:rsidRPr="00EC5423">
        <w:rPr>
          <w:rStyle w:val="FootnoteReference"/>
          <w:rFonts w:ascii="Arial" w:hAnsi="Arial" w:cs="Arial"/>
          <w:sz w:val="17"/>
          <w:szCs w:val="17"/>
        </w:rPr>
        <w:footnoteRef/>
      </w:r>
      <w:r>
        <w:t xml:space="preserve"> </w:t>
      </w:r>
      <w:r w:rsidRPr="00A42DB4">
        <w:rPr>
          <w:rStyle w:val="FootnoteChar"/>
        </w:rPr>
        <w:t>Euro norms</w:t>
      </w:r>
      <w:r>
        <w:rPr>
          <w:rStyle w:val="FootnoteChar"/>
        </w:rPr>
        <w:t>, based on European regulations,</w:t>
      </w:r>
      <w:r w:rsidRPr="00A42DB4">
        <w:rPr>
          <w:rStyle w:val="FootnoteChar"/>
        </w:rPr>
        <w:t xml:space="preserve"> </w:t>
      </w:r>
      <w:r>
        <w:rPr>
          <w:rStyle w:val="FootnoteChar"/>
        </w:rPr>
        <w:t>were</w:t>
      </w:r>
      <w:r w:rsidRPr="00A42DB4">
        <w:rPr>
          <w:rStyle w:val="FootnoteChar"/>
        </w:rPr>
        <w:t xml:space="preserve"> the standards </w:t>
      </w:r>
      <w:r>
        <w:rPr>
          <w:rStyle w:val="FootnoteChar"/>
        </w:rPr>
        <w:t>of</w:t>
      </w:r>
      <w:r w:rsidRPr="00A42DB4">
        <w:rPr>
          <w:rStyle w:val="FootnoteChar"/>
        </w:rPr>
        <w:t xml:space="preserve"> permissible emission limits for automobiles. </w:t>
      </w:r>
      <w:r>
        <w:rPr>
          <w:rStyle w:val="FootnoteChar"/>
        </w:rPr>
        <w:t xml:space="preserve">The </w:t>
      </w:r>
      <w:r w:rsidRPr="00A42DB4">
        <w:rPr>
          <w:rStyle w:val="FootnoteChar"/>
        </w:rPr>
        <w:t>Indian government adopt</w:t>
      </w:r>
      <w:r>
        <w:rPr>
          <w:rStyle w:val="FootnoteChar"/>
        </w:rPr>
        <w:t>ed</w:t>
      </w:r>
      <w:r w:rsidRPr="00A42DB4">
        <w:rPr>
          <w:rStyle w:val="FootnoteChar"/>
        </w:rPr>
        <w:t xml:space="preserve"> these norms and </w:t>
      </w:r>
      <w:r>
        <w:rPr>
          <w:rStyle w:val="FootnoteChar"/>
        </w:rPr>
        <w:t>communicated them</w:t>
      </w:r>
      <w:r w:rsidRPr="00A42DB4">
        <w:rPr>
          <w:rStyle w:val="FootnoteChar"/>
        </w:rPr>
        <w:t xml:space="preserve"> as Bharat Stage norms</w:t>
      </w:r>
      <w:r>
        <w:rPr>
          <w:rStyle w:val="FootnoteChar"/>
        </w:rPr>
        <w:t xml:space="preserve"> in India</w:t>
      </w:r>
      <w:r w:rsidRPr="00A42DB4">
        <w:rPr>
          <w:rStyle w:val="FootnoteChar"/>
        </w:rPr>
        <w:t xml:space="preserve">. </w:t>
      </w:r>
      <w:r>
        <w:rPr>
          <w:rStyle w:val="FootnoteChar"/>
        </w:rPr>
        <w:t>M</w:t>
      </w:r>
      <w:r w:rsidRPr="00A42DB4">
        <w:rPr>
          <w:rStyle w:val="FootnoteChar"/>
        </w:rPr>
        <w:t>anufacturers in India ha</w:t>
      </w:r>
      <w:r>
        <w:rPr>
          <w:rStyle w:val="FootnoteChar"/>
        </w:rPr>
        <w:t>d</w:t>
      </w:r>
      <w:r w:rsidRPr="00A42DB4">
        <w:rPr>
          <w:rStyle w:val="FootnoteChar"/>
        </w:rPr>
        <w:t xml:space="preserve"> to comply with these norms by changing their technology such that the emission level</w:t>
      </w:r>
      <w:r>
        <w:rPr>
          <w:rStyle w:val="FootnoteChar"/>
        </w:rPr>
        <w:t>s did</w:t>
      </w:r>
      <w:r w:rsidRPr="00A42DB4">
        <w:rPr>
          <w:rStyle w:val="FootnoteChar"/>
        </w:rPr>
        <w:t xml:space="preserve"> not </w:t>
      </w:r>
      <w:r>
        <w:rPr>
          <w:rStyle w:val="FootnoteChar"/>
        </w:rPr>
        <w:t>exceed</w:t>
      </w:r>
      <w:r w:rsidRPr="00A42DB4">
        <w:rPr>
          <w:rStyle w:val="FootnoteChar"/>
        </w:rPr>
        <w:t xml:space="preserve"> the permissible limits</w:t>
      </w:r>
      <w:r>
        <w:rPr>
          <w:rStyle w:val="FootnoteChar"/>
        </w:rPr>
        <w:t xml:space="preserve">; </w:t>
      </w:r>
      <w:r w:rsidRPr="00A42DB4">
        <w:rPr>
          <w:rStyle w:val="FootnoteChar"/>
        </w:rPr>
        <w:t xml:space="preserve">“Emission </w:t>
      </w:r>
      <w:r>
        <w:rPr>
          <w:rStyle w:val="FootnoteChar"/>
        </w:rPr>
        <w:t>N</w:t>
      </w:r>
      <w:r w:rsidRPr="00A42DB4">
        <w:rPr>
          <w:rStyle w:val="FootnoteChar"/>
        </w:rPr>
        <w:t>orms</w:t>
      </w:r>
      <w:r>
        <w:rPr>
          <w:rStyle w:val="FootnoteChar"/>
        </w:rPr>
        <w:t>,”</w:t>
      </w:r>
      <w:r w:rsidRPr="00A42DB4">
        <w:rPr>
          <w:rStyle w:val="FootnoteChar"/>
        </w:rPr>
        <w:t xml:space="preserve"> Society of Indian Automobile Manufacturers</w:t>
      </w:r>
      <w:r>
        <w:rPr>
          <w:rStyle w:val="FootnoteChar"/>
        </w:rPr>
        <w:t>, accessed October 21, 2017,</w:t>
      </w:r>
      <w:r>
        <w:t xml:space="preserve"> </w:t>
      </w:r>
      <w:hyperlink r:id="rId1" w:history="1">
        <w:r w:rsidRPr="00A42DB4">
          <w:rPr>
            <w:rStyle w:val="FootnoteChar"/>
          </w:rPr>
          <w:t>www.siamindia.com/technical-regulation.aspx?mpgid=31&amp;pgidtrail=33</w:t>
        </w:r>
      </w:hyperlink>
      <w:r>
        <w:rPr>
          <w:rStyle w:val="FootnoteChar"/>
        </w:rPr>
        <w:t>.</w:t>
      </w:r>
    </w:p>
  </w:footnote>
  <w:footnote w:id="6">
    <w:p w14:paraId="3DD99E3E" w14:textId="6C788926" w:rsidR="00880091" w:rsidRPr="008953AF" w:rsidRDefault="00880091" w:rsidP="00EC5423">
      <w:pPr>
        <w:pStyle w:val="Footnote"/>
      </w:pPr>
      <w:r w:rsidRPr="00EC5423">
        <w:rPr>
          <w:rStyle w:val="FootnoteChar"/>
          <w:vertAlign w:val="superscript"/>
        </w:rPr>
        <w:footnoteRef/>
      </w:r>
      <w:r w:rsidRPr="008953AF">
        <w:t xml:space="preserve"> </w:t>
      </w:r>
      <w:r w:rsidRPr="008A1D00">
        <w:t>Pres</w:t>
      </w:r>
      <w:r>
        <w:t>s</w:t>
      </w:r>
      <w:r w:rsidRPr="008A1D00">
        <w:t xml:space="preserve"> Trust of India</w:t>
      </w:r>
      <w:r>
        <w:t xml:space="preserve">, </w:t>
      </w:r>
      <w:r w:rsidRPr="008953AF">
        <w:t>“</w:t>
      </w:r>
      <w:r>
        <w:t xml:space="preserve">India Home to 1.98 Lakh Millionaires: </w:t>
      </w:r>
      <w:r w:rsidRPr="008953AF">
        <w:t xml:space="preserve">World </w:t>
      </w:r>
      <w:r>
        <w:t>W</w:t>
      </w:r>
      <w:r w:rsidRPr="008953AF">
        <w:t xml:space="preserve">ealth </w:t>
      </w:r>
      <w:r>
        <w:t>R</w:t>
      </w:r>
      <w:r w:rsidRPr="008953AF">
        <w:t>eport 201</w:t>
      </w:r>
      <w:r>
        <w:t>5,</w:t>
      </w:r>
      <w:r w:rsidRPr="008953AF">
        <w:t xml:space="preserve">” </w:t>
      </w:r>
      <w:r>
        <w:t>NDTV</w:t>
      </w:r>
      <w:r w:rsidRPr="008953AF">
        <w:t xml:space="preserve">, </w:t>
      </w:r>
      <w:r>
        <w:t xml:space="preserve">September 15, 2015, </w:t>
      </w:r>
      <w:r w:rsidRPr="008953AF">
        <w:t xml:space="preserve">accessed </w:t>
      </w:r>
      <w:r>
        <w:t>October 21,</w:t>
      </w:r>
      <w:r w:rsidRPr="008953AF">
        <w:t xml:space="preserve"> 201</w:t>
      </w:r>
      <w:r>
        <w:t xml:space="preserve">7, </w:t>
      </w:r>
      <w:r w:rsidRPr="00C122B0">
        <w:t>https://www.ndtv.com/india-news/india-home-to-1-98-lakh-millionaires-world-wealth-report-2015-1217902</w:t>
      </w:r>
      <w:r>
        <w:t>.</w:t>
      </w:r>
    </w:p>
  </w:footnote>
  <w:footnote w:id="7">
    <w:p w14:paraId="60987F0C" w14:textId="1396D5B9" w:rsidR="00880091" w:rsidRPr="00A42DB4" w:rsidRDefault="00880091" w:rsidP="005D682F">
      <w:pPr>
        <w:pStyle w:val="FootnoteText"/>
        <w:jc w:val="both"/>
        <w:rPr>
          <w:sz w:val="17"/>
          <w:szCs w:val="17"/>
        </w:rPr>
      </w:pPr>
      <w:r w:rsidRPr="00A42DB4">
        <w:rPr>
          <w:rStyle w:val="FootnoteChar"/>
          <w:vertAlign w:val="superscript"/>
        </w:rPr>
        <w:footnoteRef/>
      </w:r>
      <w:r w:rsidRPr="002141C0">
        <w:rPr>
          <w:rStyle w:val="FootnoteChar"/>
        </w:rPr>
        <w:t xml:space="preserve"> </w:t>
      </w:r>
      <w:r w:rsidRPr="00A42DB4">
        <w:rPr>
          <w:rStyle w:val="FootnoteChar"/>
        </w:rPr>
        <w:t>“</w:t>
      </w:r>
      <w:r w:rsidRPr="00A42DB4">
        <w:rPr>
          <w:rFonts w:ascii="Arial" w:hAnsi="Arial" w:cs="Arial"/>
          <w:sz w:val="17"/>
          <w:szCs w:val="17"/>
        </w:rPr>
        <w:t>About Us: Milestones,” Hyundai Motor Company, 2016, accessed October 25</w:t>
      </w:r>
      <w:r>
        <w:rPr>
          <w:rFonts w:ascii="Arial" w:hAnsi="Arial" w:cs="Arial"/>
          <w:sz w:val="17"/>
          <w:szCs w:val="17"/>
        </w:rPr>
        <w:t>,</w:t>
      </w:r>
      <w:r w:rsidRPr="00A42DB4">
        <w:rPr>
          <w:rFonts w:ascii="Arial" w:hAnsi="Arial" w:cs="Arial"/>
          <w:sz w:val="17"/>
          <w:szCs w:val="17"/>
        </w:rPr>
        <w:t xml:space="preserve"> 2017</w:t>
      </w:r>
      <w:r>
        <w:rPr>
          <w:rFonts w:ascii="Arial" w:hAnsi="Arial" w:cs="Arial"/>
          <w:sz w:val="17"/>
          <w:szCs w:val="17"/>
        </w:rPr>
        <w:t>,</w:t>
      </w:r>
      <w:r w:rsidRPr="00A42DB4">
        <w:rPr>
          <w:rFonts w:ascii="Arial" w:hAnsi="Arial" w:cs="Arial"/>
          <w:sz w:val="17"/>
          <w:szCs w:val="17"/>
        </w:rPr>
        <w:t xml:space="preserve"> www.hyundai.com/in/en/AboutUs/Milestones/index.html.</w:t>
      </w:r>
    </w:p>
  </w:footnote>
  <w:footnote w:id="8">
    <w:p w14:paraId="554ED6FC" w14:textId="1C91E164" w:rsidR="00880091" w:rsidRPr="00A42DB4" w:rsidRDefault="00880091" w:rsidP="005D682F">
      <w:pPr>
        <w:pStyle w:val="FootnoteText"/>
        <w:jc w:val="both"/>
        <w:rPr>
          <w:sz w:val="17"/>
          <w:szCs w:val="17"/>
        </w:rPr>
      </w:pPr>
      <w:r w:rsidRPr="00A42DB4">
        <w:rPr>
          <w:rStyle w:val="FootnoteReference"/>
          <w:rFonts w:ascii="Arial" w:hAnsi="Arial" w:cs="Arial"/>
          <w:sz w:val="17"/>
          <w:szCs w:val="17"/>
        </w:rPr>
        <w:footnoteRef/>
      </w:r>
      <w:r w:rsidRPr="00A42DB4">
        <w:rPr>
          <w:rFonts w:ascii="Arial" w:hAnsi="Arial" w:cs="Arial"/>
          <w:sz w:val="17"/>
          <w:szCs w:val="17"/>
        </w:rPr>
        <w:t xml:space="preserve"> Yuthika Bhargava, “Raises Hopes of Turnaround,” </w:t>
      </w:r>
      <w:r w:rsidRPr="00A42DB4">
        <w:rPr>
          <w:rFonts w:ascii="Arial" w:hAnsi="Arial" w:cs="Arial"/>
          <w:i/>
          <w:sz w:val="17"/>
          <w:szCs w:val="17"/>
        </w:rPr>
        <w:t>Hindu</w:t>
      </w:r>
      <w:r w:rsidRPr="00A42DB4">
        <w:rPr>
          <w:rFonts w:ascii="Arial" w:hAnsi="Arial" w:cs="Arial"/>
          <w:sz w:val="17"/>
          <w:szCs w:val="17"/>
        </w:rPr>
        <w:t>, April 2, 2015, accessed October 25</w:t>
      </w:r>
      <w:r>
        <w:rPr>
          <w:rFonts w:ascii="Arial" w:hAnsi="Arial" w:cs="Arial"/>
          <w:sz w:val="17"/>
          <w:szCs w:val="17"/>
        </w:rPr>
        <w:t>,</w:t>
      </w:r>
      <w:r w:rsidRPr="00A42DB4">
        <w:rPr>
          <w:rFonts w:ascii="Arial" w:hAnsi="Arial" w:cs="Arial"/>
          <w:sz w:val="17"/>
          <w:szCs w:val="17"/>
        </w:rPr>
        <w:t xml:space="preserve"> 2017, www.thehindu.com/business/Industry/maruti-hyundai-honda-post-sales-records/article7058247.ece.</w:t>
      </w:r>
    </w:p>
  </w:footnote>
  <w:footnote w:id="9">
    <w:p w14:paraId="4C9A6367" w14:textId="2F7076B3" w:rsidR="00880091" w:rsidRPr="00A42DB4" w:rsidRDefault="00880091" w:rsidP="005D682F">
      <w:pPr>
        <w:pStyle w:val="FootnoteText"/>
        <w:jc w:val="both"/>
        <w:rPr>
          <w:rFonts w:ascii="Arial" w:hAnsi="Arial" w:cs="Arial"/>
          <w:sz w:val="17"/>
          <w:szCs w:val="17"/>
        </w:rPr>
      </w:pPr>
      <w:r w:rsidRPr="00A42DB4">
        <w:rPr>
          <w:rStyle w:val="FootnoteReference"/>
          <w:rFonts w:ascii="Arial" w:hAnsi="Arial" w:cs="Arial"/>
          <w:sz w:val="17"/>
          <w:szCs w:val="17"/>
        </w:rPr>
        <w:footnoteRef/>
      </w:r>
      <w:r w:rsidRPr="00A42DB4">
        <w:rPr>
          <w:sz w:val="17"/>
          <w:szCs w:val="17"/>
        </w:rPr>
        <w:t xml:space="preserve"> </w:t>
      </w:r>
      <w:r w:rsidRPr="00A42DB4">
        <w:rPr>
          <w:rFonts w:ascii="Arial" w:hAnsi="Arial" w:cs="Arial"/>
          <w:sz w:val="17"/>
          <w:szCs w:val="17"/>
        </w:rPr>
        <w:t xml:space="preserve">“About </w:t>
      </w:r>
      <w:r>
        <w:rPr>
          <w:rFonts w:ascii="Arial" w:hAnsi="Arial" w:cs="Arial"/>
          <w:sz w:val="17"/>
          <w:szCs w:val="17"/>
        </w:rPr>
        <w:t>U</w:t>
      </w:r>
      <w:r w:rsidRPr="00A42DB4">
        <w:rPr>
          <w:rFonts w:ascii="Arial" w:hAnsi="Arial" w:cs="Arial"/>
          <w:sz w:val="17"/>
          <w:szCs w:val="17"/>
        </w:rPr>
        <w:t>s</w:t>
      </w:r>
      <w:r>
        <w:rPr>
          <w:rFonts w:ascii="Arial" w:hAnsi="Arial" w:cs="Arial"/>
          <w:sz w:val="17"/>
          <w:szCs w:val="17"/>
        </w:rPr>
        <w:t>,</w:t>
      </w:r>
      <w:r w:rsidRPr="00A42DB4">
        <w:rPr>
          <w:rFonts w:ascii="Arial" w:hAnsi="Arial" w:cs="Arial"/>
          <w:sz w:val="17"/>
          <w:szCs w:val="17"/>
        </w:rPr>
        <w:t>” Tatamotors.com, accessed October 25</w:t>
      </w:r>
      <w:r>
        <w:rPr>
          <w:rFonts w:ascii="Arial" w:hAnsi="Arial" w:cs="Arial"/>
          <w:sz w:val="17"/>
          <w:szCs w:val="17"/>
        </w:rPr>
        <w:t>,</w:t>
      </w:r>
      <w:r w:rsidRPr="00A42DB4">
        <w:rPr>
          <w:rFonts w:ascii="Arial" w:hAnsi="Arial" w:cs="Arial"/>
          <w:sz w:val="17"/>
          <w:szCs w:val="17"/>
        </w:rPr>
        <w:t xml:space="preserve"> 2017</w:t>
      </w:r>
      <w:r>
        <w:rPr>
          <w:rFonts w:ascii="Arial" w:hAnsi="Arial" w:cs="Arial"/>
          <w:sz w:val="17"/>
          <w:szCs w:val="17"/>
        </w:rPr>
        <w:t>,</w:t>
      </w:r>
      <w:r w:rsidRPr="00A42DB4">
        <w:rPr>
          <w:rFonts w:ascii="Arial" w:hAnsi="Arial" w:cs="Arial"/>
          <w:sz w:val="17"/>
          <w:szCs w:val="17"/>
        </w:rPr>
        <w:t xml:space="preserve"> www.tatamotors.com/about-us/.</w:t>
      </w:r>
    </w:p>
  </w:footnote>
  <w:footnote w:id="10">
    <w:p w14:paraId="59E448CC" w14:textId="2C288B1B" w:rsidR="00880091" w:rsidRPr="008953AF" w:rsidRDefault="00880091" w:rsidP="005D682F">
      <w:pPr>
        <w:pStyle w:val="FootnoteText"/>
        <w:jc w:val="both"/>
        <w:rPr>
          <w:sz w:val="17"/>
          <w:szCs w:val="17"/>
        </w:rPr>
      </w:pPr>
      <w:r w:rsidRPr="00A42DB4">
        <w:rPr>
          <w:rStyle w:val="FootnoteReference"/>
          <w:rFonts w:ascii="Arial" w:hAnsi="Arial" w:cs="Arial"/>
          <w:sz w:val="17"/>
          <w:szCs w:val="17"/>
        </w:rPr>
        <w:footnoteRef/>
      </w:r>
      <w:r w:rsidRPr="00A42DB4">
        <w:rPr>
          <w:sz w:val="17"/>
          <w:szCs w:val="17"/>
        </w:rPr>
        <w:t xml:space="preserve"> </w:t>
      </w:r>
      <w:r w:rsidRPr="00A42DB4">
        <w:rPr>
          <w:rFonts w:ascii="Arial" w:hAnsi="Arial" w:cs="Arial"/>
          <w:sz w:val="17"/>
          <w:szCs w:val="17"/>
        </w:rPr>
        <w:t>“EV Industry,” Society of Manufacturers of Electric Vehicles, accessed October 25</w:t>
      </w:r>
      <w:r>
        <w:rPr>
          <w:rFonts w:ascii="Arial" w:hAnsi="Arial" w:cs="Arial"/>
          <w:sz w:val="17"/>
          <w:szCs w:val="17"/>
        </w:rPr>
        <w:t>,</w:t>
      </w:r>
      <w:r w:rsidRPr="00A42DB4">
        <w:rPr>
          <w:rFonts w:ascii="Arial" w:hAnsi="Arial" w:cs="Arial"/>
          <w:sz w:val="17"/>
          <w:szCs w:val="17"/>
        </w:rPr>
        <w:t xml:space="preserve"> 2017</w:t>
      </w:r>
      <w:r>
        <w:rPr>
          <w:rFonts w:ascii="Arial" w:hAnsi="Arial" w:cs="Arial"/>
          <w:sz w:val="17"/>
          <w:szCs w:val="17"/>
        </w:rPr>
        <w:t>,</w:t>
      </w:r>
      <w:r w:rsidRPr="00A42DB4">
        <w:rPr>
          <w:rFonts w:ascii="Arial" w:hAnsi="Arial" w:cs="Arial"/>
          <w:sz w:val="17"/>
          <w:szCs w:val="17"/>
        </w:rPr>
        <w:t xml:space="preserve"> www.smev.in/industry-info/ev-industry-overview/.</w:t>
      </w:r>
    </w:p>
  </w:footnote>
  <w:footnote w:id="11">
    <w:p w14:paraId="3B3A63EB" w14:textId="3EF2260D" w:rsidR="00880091" w:rsidRPr="00A42DB4" w:rsidRDefault="00880091" w:rsidP="00A42DB4">
      <w:pPr>
        <w:pStyle w:val="Footnote"/>
      </w:pPr>
      <w:r>
        <w:rPr>
          <w:rStyle w:val="FootnoteReference"/>
        </w:rPr>
        <w:footnoteRef/>
      </w:r>
      <w:r>
        <w:t xml:space="preserve"> </w:t>
      </w:r>
      <w:r w:rsidRPr="00A42DB4">
        <w:t>“Automotive</w:t>
      </w:r>
      <w:r>
        <w:t>,</w:t>
      </w:r>
      <w:r w:rsidRPr="00A42DB4">
        <w:t>” Mahindra.com, accessed October 25</w:t>
      </w:r>
      <w:r>
        <w:t>,</w:t>
      </w:r>
      <w:r w:rsidRPr="00A42DB4">
        <w:t xml:space="preserve"> 2017, www.mahindra.com/business/automotive</w:t>
      </w:r>
      <w:r>
        <w:t>.</w:t>
      </w:r>
    </w:p>
  </w:footnote>
  <w:footnote w:id="12">
    <w:p w14:paraId="25C9A6E8" w14:textId="5311A0B6" w:rsidR="00880091" w:rsidRPr="00A42DB4" w:rsidRDefault="00880091" w:rsidP="00A42DB4">
      <w:pPr>
        <w:pStyle w:val="Footnote"/>
      </w:pPr>
      <w:r w:rsidRPr="00A42DB4">
        <w:rPr>
          <w:rStyle w:val="FootnoteReference"/>
        </w:rPr>
        <w:footnoteRef/>
      </w:r>
      <w:r w:rsidRPr="00A42DB4">
        <w:t xml:space="preserve"> “World Wealth Report 2016,” Capgemini, May 25, 2016, accessed October 25</w:t>
      </w:r>
      <w:r>
        <w:t>,</w:t>
      </w:r>
      <w:r w:rsidRPr="00A42DB4">
        <w:t xml:space="preserve"> 2017</w:t>
      </w:r>
      <w:r>
        <w:t>,</w:t>
      </w:r>
      <w:r w:rsidRPr="00A42DB4">
        <w:t xml:space="preserve"> https://www.worldwealthreport.com/download.</w:t>
      </w:r>
      <w:r w:rsidRPr="00A42DB4" w:rsidDel="0033563F">
        <w:t xml:space="preserve"> </w:t>
      </w:r>
    </w:p>
  </w:footnote>
  <w:footnote w:id="13">
    <w:p w14:paraId="26673AA6" w14:textId="086C9628" w:rsidR="00880091" w:rsidRPr="00A91FBB" w:rsidRDefault="00880091" w:rsidP="00A42DB4">
      <w:pPr>
        <w:pStyle w:val="Footnote"/>
        <w:rPr>
          <w:spacing w:val="-4"/>
          <w:kern w:val="17"/>
        </w:rPr>
      </w:pPr>
      <w:r w:rsidRPr="00A42DB4">
        <w:rPr>
          <w:rStyle w:val="FootnoteReference"/>
          <w:rFonts w:eastAsiaTheme="minorEastAsia"/>
        </w:rPr>
        <w:footnoteRef/>
      </w:r>
      <w:r w:rsidRPr="00A42DB4">
        <w:rPr>
          <w:rStyle w:val="FootnoteReference"/>
          <w:rFonts w:eastAsiaTheme="minorEastAsia"/>
        </w:rPr>
        <w:t xml:space="preserve"> </w:t>
      </w:r>
      <w:r w:rsidRPr="00A91FBB">
        <w:rPr>
          <w:rFonts w:eastAsiaTheme="minorEastAsia"/>
          <w:spacing w:val="-4"/>
          <w:kern w:val="17"/>
        </w:rPr>
        <w:t>Ketan Thakkar, “Maruti Suzuki Aims to Grow at 10% in FY15 on Rural Boos</w:t>
      </w:r>
      <w:r w:rsidRPr="00A91FBB">
        <w:rPr>
          <w:rStyle w:val="FootnoteChar"/>
          <w:rFonts w:eastAsiaTheme="minorEastAsia"/>
          <w:spacing w:val="-4"/>
          <w:kern w:val="17"/>
        </w:rPr>
        <w:t>t,”</w:t>
      </w:r>
      <w:r w:rsidRPr="00A91FBB">
        <w:rPr>
          <w:rFonts w:eastAsiaTheme="minorEastAsia"/>
          <w:spacing w:val="-4"/>
          <w:kern w:val="17"/>
        </w:rPr>
        <w:t xml:space="preserve"> </w:t>
      </w:r>
      <w:r w:rsidRPr="00A91FBB">
        <w:rPr>
          <w:rFonts w:eastAsiaTheme="minorEastAsia"/>
          <w:i/>
          <w:spacing w:val="-4"/>
          <w:kern w:val="17"/>
        </w:rPr>
        <w:t>Economic Times</w:t>
      </w:r>
      <w:r w:rsidRPr="00A91FBB">
        <w:rPr>
          <w:rFonts w:eastAsiaTheme="minorEastAsia"/>
          <w:spacing w:val="-4"/>
          <w:kern w:val="17"/>
        </w:rPr>
        <w:t>, May 23, 2015, accessed October 25, 2017,</w:t>
      </w:r>
      <w:r w:rsidRPr="00A91FBB">
        <w:rPr>
          <w:spacing w:val="-4"/>
          <w:kern w:val="17"/>
        </w:rPr>
        <w:t xml:space="preserve"> </w:t>
      </w:r>
      <w:r w:rsidRPr="00A91FBB">
        <w:rPr>
          <w:rFonts w:eastAsiaTheme="minorEastAsia"/>
          <w:spacing w:val="-4"/>
          <w:kern w:val="17"/>
        </w:rPr>
        <w:t>http://articles.economictimes.indiatimes.com/2014-05-23/news/50055122_1_mayank-pareek-maruti-suzuki-alto.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2E933" w14:textId="010D4610" w:rsidR="00880091" w:rsidRDefault="0088009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E4F13">
      <w:rPr>
        <w:rFonts w:ascii="Arial" w:hAnsi="Arial"/>
        <w:b/>
        <w:noProof/>
      </w:rPr>
      <w:t>2</w:t>
    </w:r>
    <w:r>
      <w:rPr>
        <w:rFonts w:ascii="Arial" w:hAnsi="Arial"/>
        <w:b/>
      </w:rPr>
      <w:fldChar w:fldCharType="end"/>
    </w:r>
    <w:r>
      <w:rPr>
        <w:rFonts w:ascii="Arial" w:hAnsi="Arial"/>
        <w:b/>
      </w:rPr>
      <w:tab/>
      <w:t>9B17A059</w:t>
    </w:r>
  </w:p>
  <w:p w14:paraId="29B915CE" w14:textId="77777777" w:rsidR="00880091" w:rsidRPr="00C92CC4" w:rsidRDefault="00880091">
    <w:pPr>
      <w:pStyle w:val="Header"/>
      <w:rPr>
        <w:sz w:val="18"/>
        <w:szCs w:val="18"/>
      </w:rPr>
    </w:pPr>
  </w:p>
  <w:p w14:paraId="3C86563B" w14:textId="77777777" w:rsidR="00880091" w:rsidRPr="00C92CC4" w:rsidRDefault="00880091">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1A7BD" w14:textId="0BC2D86A" w:rsidR="00880091" w:rsidRDefault="00880091" w:rsidP="000008A5">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E4F13">
      <w:rPr>
        <w:rFonts w:ascii="Arial" w:hAnsi="Arial"/>
        <w:b/>
        <w:noProof/>
      </w:rPr>
      <w:t>11</w:t>
    </w:r>
    <w:r>
      <w:rPr>
        <w:rFonts w:ascii="Arial" w:hAnsi="Arial"/>
        <w:b/>
      </w:rPr>
      <w:fldChar w:fldCharType="end"/>
    </w:r>
    <w:r>
      <w:rPr>
        <w:rFonts w:ascii="Arial" w:hAnsi="Arial"/>
        <w:b/>
      </w:rPr>
      <w:tab/>
      <w:t>9B17A059</w:t>
    </w:r>
  </w:p>
  <w:p w14:paraId="68BCBAA6" w14:textId="77777777" w:rsidR="00880091" w:rsidRPr="00C92CC4" w:rsidRDefault="00880091" w:rsidP="000008A5">
    <w:pPr>
      <w:pStyle w:val="Header"/>
      <w:tabs>
        <w:tab w:val="clear" w:pos="4680"/>
        <w:tab w:val="clear" w:pos="9360"/>
        <w:tab w:val="right" w:pos="12960"/>
      </w:tabs>
      <w:rPr>
        <w:sz w:val="18"/>
        <w:szCs w:val="18"/>
      </w:rPr>
    </w:pPr>
  </w:p>
  <w:p w14:paraId="2B516CF7" w14:textId="77777777" w:rsidR="00880091" w:rsidRPr="00C92CC4" w:rsidRDefault="00880091" w:rsidP="000008A5">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4D30A" w14:textId="1ACE1B45" w:rsidR="00880091" w:rsidRDefault="00880091" w:rsidP="000008A5">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E4F13">
      <w:rPr>
        <w:rFonts w:ascii="Arial" w:hAnsi="Arial"/>
        <w:b/>
        <w:noProof/>
      </w:rPr>
      <w:t>18</w:t>
    </w:r>
    <w:r>
      <w:rPr>
        <w:rFonts w:ascii="Arial" w:hAnsi="Arial"/>
        <w:b/>
      </w:rPr>
      <w:fldChar w:fldCharType="end"/>
    </w:r>
    <w:r>
      <w:rPr>
        <w:rFonts w:ascii="Arial" w:hAnsi="Arial"/>
        <w:b/>
      </w:rPr>
      <w:tab/>
      <w:t>9B17A059</w:t>
    </w:r>
  </w:p>
  <w:p w14:paraId="5550D935" w14:textId="77777777" w:rsidR="00880091" w:rsidRPr="00C92CC4" w:rsidRDefault="00880091" w:rsidP="000008A5">
    <w:pPr>
      <w:pStyle w:val="Header"/>
      <w:tabs>
        <w:tab w:val="clear" w:pos="4680"/>
      </w:tabs>
      <w:rPr>
        <w:sz w:val="18"/>
        <w:szCs w:val="18"/>
      </w:rPr>
    </w:pPr>
  </w:p>
  <w:p w14:paraId="19A9B766" w14:textId="77777777" w:rsidR="00880091" w:rsidRPr="00C92CC4" w:rsidRDefault="00880091" w:rsidP="000008A5">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9C029FC"/>
    <w:multiLevelType w:val="hybridMultilevel"/>
    <w:tmpl w:val="30083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6CEF5EBF"/>
    <w:multiLevelType w:val="hybridMultilevel"/>
    <w:tmpl w:val="2FD8D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7EF41AE5"/>
    <w:multiLevelType w:val="hybridMultilevel"/>
    <w:tmpl w:val="0898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0"/>
  </w:num>
  <w:num w:numId="13">
    <w:abstractNumId w:val="14"/>
  </w:num>
  <w:num w:numId="14">
    <w:abstractNumId w:val="21"/>
  </w:num>
  <w:num w:numId="15">
    <w:abstractNumId w:val="22"/>
  </w:num>
  <w:num w:numId="16">
    <w:abstractNumId w:val="23"/>
  </w:num>
  <w:num w:numId="17">
    <w:abstractNumId w:val="17"/>
  </w:num>
  <w:num w:numId="18">
    <w:abstractNumId w:val="24"/>
  </w:num>
  <w:num w:numId="19">
    <w:abstractNumId w:val="13"/>
  </w:num>
  <w:num w:numId="20">
    <w:abstractNumId w:val="12"/>
  </w:num>
  <w:num w:numId="21">
    <w:abstractNumId w:val="26"/>
  </w:num>
  <w:num w:numId="22">
    <w:abstractNumId w:val="19"/>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8"/>
  </w:num>
  <w:num w:numId="28">
    <w:abstractNumId w:val="10"/>
  </w:num>
  <w:num w:numId="29">
    <w:abstractNumId w:val="28"/>
  </w:num>
  <w:num w:numId="30">
    <w:abstractNumId w:val="2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08A5"/>
    <w:rsid w:val="00001BE9"/>
    <w:rsid w:val="0000297A"/>
    <w:rsid w:val="00003A64"/>
    <w:rsid w:val="00003FD3"/>
    <w:rsid w:val="00004920"/>
    <w:rsid w:val="0000564A"/>
    <w:rsid w:val="00005EDC"/>
    <w:rsid w:val="00006B53"/>
    <w:rsid w:val="0001098B"/>
    <w:rsid w:val="0001166D"/>
    <w:rsid w:val="00013360"/>
    <w:rsid w:val="000177D0"/>
    <w:rsid w:val="00020A15"/>
    <w:rsid w:val="00020E92"/>
    <w:rsid w:val="000216CE"/>
    <w:rsid w:val="00022472"/>
    <w:rsid w:val="000229FF"/>
    <w:rsid w:val="00022D1C"/>
    <w:rsid w:val="000244A1"/>
    <w:rsid w:val="00025DC7"/>
    <w:rsid w:val="00025E47"/>
    <w:rsid w:val="00026486"/>
    <w:rsid w:val="00032236"/>
    <w:rsid w:val="00034BAD"/>
    <w:rsid w:val="000352AC"/>
    <w:rsid w:val="00036070"/>
    <w:rsid w:val="00036303"/>
    <w:rsid w:val="00036B8D"/>
    <w:rsid w:val="000372AA"/>
    <w:rsid w:val="00041566"/>
    <w:rsid w:val="00041FD5"/>
    <w:rsid w:val="00044ECC"/>
    <w:rsid w:val="00047F42"/>
    <w:rsid w:val="00050664"/>
    <w:rsid w:val="00050C7E"/>
    <w:rsid w:val="000526F5"/>
    <w:rsid w:val="000531D3"/>
    <w:rsid w:val="000539F1"/>
    <w:rsid w:val="00054E12"/>
    <w:rsid w:val="0005646B"/>
    <w:rsid w:val="00056513"/>
    <w:rsid w:val="00056D19"/>
    <w:rsid w:val="00057F7F"/>
    <w:rsid w:val="000611A9"/>
    <w:rsid w:val="00063064"/>
    <w:rsid w:val="0006404A"/>
    <w:rsid w:val="0006634A"/>
    <w:rsid w:val="00067296"/>
    <w:rsid w:val="00067716"/>
    <w:rsid w:val="00067CE5"/>
    <w:rsid w:val="000735FF"/>
    <w:rsid w:val="00075A1A"/>
    <w:rsid w:val="00076CB3"/>
    <w:rsid w:val="000778BB"/>
    <w:rsid w:val="00077997"/>
    <w:rsid w:val="00077AA8"/>
    <w:rsid w:val="0008101C"/>
    <w:rsid w:val="0008102D"/>
    <w:rsid w:val="000813EA"/>
    <w:rsid w:val="00081F53"/>
    <w:rsid w:val="00082786"/>
    <w:rsid w:val="00082878"/>
    <w:rsid w:val="000833FB"/>
    <w:rsid w:val="000838A7"/>
    <w:rsid w:val="00086D4E"/>
    <w:rsid w:val="000874F2"/>
    <w:rsid w:val="00094C0E"/>
    <w:rsid w:val="00094F68"/>
    <w:rsid w:val="000957F5"/>
    <w:rsid w:val="00097531"/>
    <w:rsid w:val="000A0E73"/>
    <w:rsid w:val="000A3E14"/>
    <w:rsid w:val="000A4D0A"/>
    <w:rsid w:val="000A6267"/>
    <w:rsid w:val="000A6FE0"/>
    <w:rsid w:val="000A76F1"/>
    <w:rsid w:val="000A7AB6"/>
    <w:rsid w:val="000B054B"/>
    <w:rsid w:val="000B0758"/>
    <w:rsid w:val="000B7C64"/>
    <w:rsid w:val="000C107D"/>
    <w:rsid w:val="000C31F0"/>
    <w:rsid w:val="000C669F"/>
    <w:rsid w:val="000C78C8"/>
    <w:rsid w:val="000D272C"/>
    <w:rsid w:val="000D2B01"/>
    <w:rsid w:val="000D321D"/>
    <w:rsid w:val="000D4071"/>
    <w:rsid w:val="000D4B2F"/>
    <w:rsid w:val="000D6E3F"/>
    <w:rsid w:val="000D7063"/>
    <w:rsid w:val="000D72E9"/>
    <w:rsid w:val="000E4017"/>
    <w:rsid w:val="000E44FF"/>
    <w:rsid w:val="000E4D8D"/>
    <w:rsid w:val="000F0C22"/>
    <w:rsid w:val="000F4FF0"/>
    <w:rsid w:val="000F613E"/>
    <w:rsid w:val="000F6B09"/>
    <w:rsid w:val="000F6FDC"/>
    <w:rsid w:val="000F7C78"/>
    <w:rsid w:val="00100EC3"/>
    <w:rsid w:val="001031BE"/>
    <w:rsid w:val="001041E0"/>
    <w:rsid w:val="00104567"/>
    <w:rsid w:val="001048ED"/>
    <w:rsid w:val="001052BB"/>
    <w:rsid w:val="00106C35"/>
    <w:rsid w:val="00107947"/>
    <w:rsid w:val="00111349"/>
    <w:rsid w:val="001122DB"/>
    <w:rsid w:val="001125CA"/>
    <w:rsid w:val="001126CD"/>
    <w:rsid w:val="00112E36"/>
    <w:rsid w:val="00115278"/>
    <w:rsid w:val="001153E9"/>
    <w:rsid w:val="001173FA"/>
    <w:rsid w:val="00117B43"/>
    <w:rsid w:val="00120C4C"/>
    <w:rsid w:val="00120CE7"/>
    <w:rsid w:val="00122A2F"/>
    <w:rsid w:val="00124684"/>
    <w:rsid w:val="0012732D"/>
    <w:rsid w:val="00127431"/>
    <w:rsid w:val="00127F74"/>
    <w:rsid w:val="00132921"/>
    <w:rsid w:val="00133D69"/>
    <w:rsid w:val="00135059"/>
    <w:rsid w:val="00136A02"/>
    <w:rsid w:val="001403A0"/>
    <w:rsid w:val="00140C56"/>
    <w:rsid w:val="00140FEB"/>
    <w:rsid w:val="00142B18"/>
    <w:rsid w:val="001461BE"/>
    <w:rsid w:val="00150820"/>
    <w:rsid w:val="00151244"/>
    <w:rsid w:val="00151C70"/>
    <w:rsid w:val="001536F6"/>
    <w:rsid w:val="0015395E"/>
    <w:rsid w:val="00154EE4"/>
    <w:rsid w:val="00154FC9"/>
    <w:rsid w:val="00156D50"/>
    <w:rsid w:val="00157E3E"/>
    <w:rsid w:val="00157E4F"/>
    <w:rsid w:val="00165424"/>
    <w:rsid w:val="001663F8"/>
    <w:rsid w:val="00170397"/>
    <w:rsid w:val="00171E56"/>
    <w:rsid w:val="00172AB3"/>
    <w:rsid w:val="00173781"/>
    <w:rsid w:val="0018081C"/>
    <w:rsid w:val="00181230"/>
    <w:rsid w:val="001828AC"/>
    <w:rsid w:val="00182DA5"/>
    <w:rsid w:val="0018394C"/>
    <w:rsid w:val="00184250"/>
    <w:rsid w:val="001848E0"/>
    <w:rsid w:val="00184DB5"/>
    <w:rsid w:val="001855FE"/>
    <w:rsid w:val="001864AE"/>
    <w:rsid w:val="001869EB"/>
    <w:rsid w:val="00186C7C"/>
    <w:rsid w:val="00191242"/>
    <w:rsid w:val="00192403"/>
    <w:rsid w:val="0019241A"/>
    <w:rsid w:val="001925C4"/>
    <w:rsid w:val="00192F90"/>
    <w:rsid w:val="00196D61"/>
    <w:rsid w:val="001A3A8D"/>
    <w:rsid w:val="001A3E09"/>
    <w:rsid w:val="001A4D25"/>
    <w:rsid w:val="001A4D78"/>
    <w:rsid w:val="001A5003"/>
    <w:rsid w:val="001A5335"/>
    <w:rsid w:val="001A54CD"/>
    <w:rsid w:val="001A6C4E"/>
    <w:rsid w:val="001A752D"/>
    <w:rsid w:val="001B1AD9"/>
    <w:rsid w:val="001B1CF7"/>
    <w:rsid w:val="001B204A"/>
    <w:rsid w:val="001B6903"/>
    <w:rsid w:val="001B6A11"/>
    <w:rsid w:val="001C2B1A"/>
    <w:rsid w:val="001C4996"/>
    <w:rsid w:val="001C5649"/>
    <w:rsid w:val="001C6C8A"/>
    <w:rsid w:val="001D16ED"/>
    <w:rsid w:val="001D4720"/>
    <w:rsid w:val="001D5AC9"/>
    <w:rsid w:val="001D5D4E"/>
    <w:rsid w:val="001D61DF"/>
    <w:rsid w:val="001D6FDE"/>
    <w:rsid w:val="001D6FE0"/>
    <w:rsid w:val="001E1BB1"/>
    <w:rsid w:val="001E1F80"/>
    <w:rsid w:val="001E2B55"/>
    <w:rsid w:val="001E3484"/>
    <w:rsid w:val="001E4CFB"/>
    <w:rsid w:val="001E570B"/>
    <w:rsid w:val="001E6561"/>
    <w:rsid w:val="001F1B44"/>
    <w:rsid w:val="001F1D76"/>
    <w:rsid w:val="001F1FBD"/>
    <w:rsid w:val="001F2343"/>
    <w:rsid w:val="001F36DB"/>
    <w:rsid w:val="001F3AB9"/>
    <w:rsid w:val="001F54E9"/>
    <w:rsid w:val="001F6DE0"/>
    <w:rsid w:val="002004C5"/>
    <w:rsid w:val="002008E3"/>
    <w:rsid w:val="00203AA1"/>
    <w:rsid w:val="00205CF9"/>
    <w:rsid w:val="002069B5"/>
    <w:rsid w:val="002105B9"/>
    <w:rsid w:val="00212A66"/>
    <w:rsid w:val="00213E98"/>
    <w:rsid w:val="002141C0"/>
    <w:rsid w:val="00215C5F"/>
    <w:rsid w:val="00216D63"/>
    <w:rsid w:val="00216F00"/>
    <w:rsid w:val="00216F24"/>
    <w:rsid w:val="002174AD"/>
    <w:rsid w:val="00217A54"/>
    <w:rsid w:val="00222B8A"/>
    <w:rsid w:val="00223C4F"/>
    <w:rsid w:val="00223CE5"/>
    <w:rsid w:val="00224D43"/>
    <w:rsid w:val="00225018"/>
    <w:rsid w:val="002264F2"/>
    <w:rsid w:val="00226902"/>
    <w:rsid w:val="00227441"/>
    <w:rsid w:val="00230A30"/>
    <w:rsid w:val="002324C3"/>
    <w:rsid w:val="002329D9"/>
    <w:rsid w:val="00232B12"/>
    <w:rsid w:val="002336CF"/>
    <w:rsid w:val="0023689D"/>
    <w:rsid w:val="0023717A"/>
    <w:rsid w:val="002406B5"/>
    <w:rsid w:val="0024283B"/>
    <w:rsid w:val="00243D7F"/>
    <w:rsid w:val="0024553C"/>
    <w:rsid w:val="0024565C"/>
    <w:rsid w:val="002456DB"/>
    <w:rsid w:val="00245E75"/>
    <w:rsid w:val="00246B2D"/>
    <w:rsid w:val="00250227"/>
    <w:rsid w:val="002506CA"/>
    <w:rsid w:val="00251177"/>
    <w:rsid w:val="002511AF"/>
    <w:rsid w:val="00252DAF"/>
    <w:rsid w:val="0025679F"/>
    <w:rsid w:val="00256C35"/>
    <w:rsid w:val="00257390"/>
    <w:rsid w:val="00261404"/>
    <w:rsid w:val="0026203A"/>
    <w:rsid w:val="00262AD0"/>
    <w:rsid w:val="0026352C"/>
    <w:rsid w:val="00265E35"/>
    <w:rsid w:val="00265F74"/>
    <w:rsid w:val="0026639C"/>
    <w:rsid w:val="00270D97"/>
    <w:rsid w:val="00272C1B"/>
    <w:rsid w:val="00274415"/>
    <w:rsid w:val="00275853"/>
    <w:rsid w:val="002766B7"/>
    <w:rsid w:val="00282D78"/>
    <w:rsid w:val="00283B3C"/>
    <w:rsid w:val="00284B1A"/>
    <w:rsid w:val="002859D1"/>
    <w:rsid w:val="002862F0"/>
    <w:rsid w:val="00286BAB"/>
    <w:rsid w:val="0029127B"/>
    <w:rsid w:val="002925F8"/>
    <w:rsid w:val="00295292"/>
    <w:rsid w:val="0029619A"/>
    <w:rsid w:val="00296388"/>
    <w:rsid w:val="002970D1"/>
    <w:rsid w:val="002A0DAE"/>
    <w:rsid w:val="002A1D87"/>
    <w:rsid w:val="002A3689"/>
    <w:rsid w:val="002A39D4"/>
    <w:rsid w:val="002A3B12"/>
    <w:rsid w:val="002A3D93"/>
    <w:rsid w:val="002A486C"/>
    <w:rsid w:val="002A6E8C"/>
    <w:rsid w:val="002A7298"/>
    <w:rsid w:val="002B0021"/>
    <w:rsid w:val="002B06A0"/>
    <w:rsid w:val="002B0C8E"/>
    <w:rsid w:val="002B1058"/>
    <w:rsid w:val="002B43C8"/>
    <w:rsid w:val="002C26C6"/>
    <w:rsid w:val="002C2BE8"/>
    <w:rsid w:val="002C35E1"/>
    <w:rsid w:val="002C395D"/>
    <w:rsid w:val="002C4CD1"/>
    <w:rsid w:val="002C5F22"/>
    <w:rsid w:val="002D1998"/>
    <w:rsid w:val="002D4E48"/>
    <w:rsid w:val="002D56B4"/>
    <w:rsid w:val="002D5A40"/>
    <w:rsid w:val="002D5B6C"/>
    <w:rsid w:val="002D64FB"/>
    <w:rsid w:val="002D7A9B"/>
    <w:rsid w:val="002E1A11"/>
    <w:rsid w:val="002E27FB"/>
    <w:rsid w:val="002E32EB"/>
    <w:rsid w:val="002E32F0"/>
    <w:rsid w:val="002E44CD"/>
    <w:rsid w:val="002E4BA9"/>
    <w:rsid w:val="002E4D5D"/>
    <w:rsid w:val="002E4F13"/>
    <w:rsid w:val="002E4FAA"/>
    <w:rsid w:val="002E5938"/>
    <w:rsid w:val="002E6A4E"/>
    <w:rsid w:val="002E6FE4"/>
    <w:rsid w:val="002E77D8"/>
    <w:rsid w:val="002F0F4E"/>
    <w:rsid w:val="002F1D78"/>
    <w:rsid w:val="002F3445"/>
    <w:rsid w:val="002F460C"/>
    <w:rsid w:val="002F48D6"/>
    <w:rsid w:val="002F5D8A"/>
    <w:rsid w:val="002F5F76"/>
    <w:rsid w:val="002F60CE"/>
    <w:rsid w:val="002F7371"/>
    <w:rsid w:val="003008EB"/>
    <w:rsid w:val="00302012"/>
    <w:rsid w:val="00302F3E"/>
    <w:rsid w:val="00305B56"/>
    <w:rsid w:val="003061B6"/>
    <w:rsid w:val="00306B9A"/>
    <w:rsid w:val="003072F8"/>
    <w:rsid w:val="0030779A"/>
    <w:rsid w:val="003106FF"/>
    <w:rsid w:val="003107EC"/>
    <w:rsid w:val="00310C92"/>
    <w:rsid w:val="003136F2"/>
    <w:rsid w:val="00314E2D"/>
    <w:rsid w:val="00314F1D"/>
    <w:rsid w:val="003160EB"/>
    <w:rsid w:val="00316FD8"/>
    <w:rsid w:val="00320C63"/>
    <w:rsid w:val="00320E64"/>
    <w:rsid w:val="003241D1"/>
    <w:rsid w:val="00326622"/>
    <w:rsid w:val="00326D32"/>
    <w:rsid w:val="00330091"/>
    <w:rsid w:val="00330843"/>
    <w:rsid w:val="003311A8"/>
    <w:rsid w:val="003334A0"/>
    <w:rsid w:val="0033563F"/>
    <w:rsid w:val="00336F5A"/>
    <w:rsid w:val="003377E9"/>
    <w:rsid w:val="00337F92"/>
    <w:rsid w:val="00344FB7"/>
    <w:rsid w:val="0034673A"/>
    <w:rsid w:val="0034716D"/>
    <w:rsid w:val="003507A1"/>
    <w:rsid w:val="00351A7A"/>
    <w:rsid w:val="00351E61"/>
    <w:rsid w:val="0035295C"/>
    <w:rsid w:val="00352C3D"/>
    <w:rsid w:val="00352D23"/>
    <w:rsid w:val="0035308D"/>
    <w:rsid w:val="00354899"/>
    <w:rsid w:val="00354A4E"/>
    <w:rsid w:val="00355FD6"/>
    <w:rsid w:val="00361B24"/>
    <w:rsid w:val="00361C8E"/>
    <w:rsid w:val="0036227B"/>
    <w:rsid w:val="00364209"/>
    <w:rsid w:val="00364A5C"/>
    <w:rsid w:val="0036741B"/>
    <w:rsid w:val="0037071C"/>
    <w:rsid w:val="00373FB1"/>
    <w:rsid w:val="00374D6C"/>
    <w:rsid w:val="0037538B"/>
    <w:rsid w:val="0037584A"/>
    <w:rsid w:val="003765C6"/>
    <w:rsid w:val="003766CA"/>
    <w:rsid w:val="0037755C"/>
    <w:rsid w:val="00381583"/>
    <w:rsid w:val="003817ED"/>
    <w:rsid w:val="00381F0D"/>
    <w:rsid w:val="003828FF"/>
    <w:rsid w:val="00384017"/>
    <w:rsid w:val="003842FC"/>
    <w:rsid w:val="00385591"/>
    <w:rsid w:val="00385993"/>
    <w:rsid w:val="00387F5A"/>
    <w:rsid w:val="00390EB7"/>
    <w:rsid w:val="003930C7"/>
    <w:rsid w:val="00395D6C"/>
    <w:rsid w:val="00395EEC"/>
    <w:rsid w:val="00395F21"/>
    <w:rsid w:val="003970A4"/>
    <w:rsid w:val="003A0A83"/>
    <w:rsid w:val="003A0C86"/>
    <w:rsid w:val="003A1DD7"/>
    <w:rsid w:val="003A240F"/>
    <w:rsid w:val="003A3210"/>
    <w:rsid w:val="003A34D6"/>
    <w:rsid w:val="003A55D3"/>
    <w:rsid w:val="003B30D8"/>
    <w:rsid w:val="003B3D71"/>
    <w:rsid w:val="003B5FD8"/>
    <w:rsid w:val="003B6352"/>
    <w:rsid w:val="003B75BD"/>
    <w:rsid w:val="003B7EF2"/>
    <w:rsid w:val="003C0067"/>
    <w:rsid w:val="003C0405"/>
    <w:rsid w:val="003C1D48"/>
    <w:rsid w:val="003C1FF5"/>
    <w:rsid w:val="003C3FA4"/>
    <w:rsid w:val="003C48D0"/>
    <w:rsid w:val="003C4D4B"/>
    <w:rsid w:val="003C4D9E"/>
    <w:rsid w:val="003C4EE5"/>
    <w:rsid w:val="003C5177"/>
    <w:rsid w:val="003C6C27"/>
    <w:rsid w:val="003D0BEC"/>
    <w:rsid w:val="003D0FC1"/>
    <w:rsid w:val="003D281E"/>
    <w:rsid w:val="003D393A"/>
    <w:rsid w:val="003D4ADB"/>
    <w:rsid w:val="003D58B7"/>
    <w:rsid w:val="003D70F8"/>
    <w:rsid w:val="003D7472"/>
    <w:rsid w:val="003D7A0B"/>
    <w:rsid w:val="003E0C74"/>
    <w:rsid w:val="003E2823"/>
    <w:rsid w:val="003E2FB0"/>
    <w:rsid w:val="003E4F93"/>
    <w:rsid w:val="003E5D47"/>
    <w:rsid w:val="003E72FF"/>
    <w:rsid w:val="003F113A"/>
    <w:rsid w:val="003F1E7A"/>
    <w:rsid w:val="003F2B0C"/>
    <w:rsid w:val="003F3622"/>
    <w:rsid w:val="003F48C4"/>
    <w:rsid w:val="003F59D0"/>
    <w:rsid w:val="003F5C52"/>
    <w:rsid w:val="003F5DB1"/>
    <w:rsid w:val="004012D4"/>
    <w:rsid w:val="00402FAD"/>
    <w:rsid w:val="004072F8"/>
    <w:rsid w:val="00407A09"/>
    <w:rsid w:val="004105A4"/>
    <w:rsid w:val="00410CD0"/>
    <w:rsid w:val="00411EAF"/>
    <w:rsid w:val="00412DCA"/>
    <w:rsid w:val="004139EF"/>
    <w:rsid w:val="00415843"/>
    <w:rsid w:val="0041610F"/>
    <w:rsid w:val="0041791F"/>
    <w:rsid w:val="004221E4"/>
    <w:rsid w:val="00423136"/>
    <w:rsid w:val="00424DC6"/>
    <w:rsid w:val="00425802"/>
    <w:rsid w:val="00425A43"/>
    <w:rsid w:val="00427229"/>
    <w:rsid w:val="0042730A"/>
    <w:rsid w:val="00427CAF"/>
    <w:rsid w:val="00430571"/>
    <w:rsid w:val="00430799"/>
    <w:rsid w:val="0043156F"/>
    <w:rsid w:val="0043234E"/>
    <w:rsid w:val="004328F4"/>
    <w:rsid w:val="00437255"/>
    <w:rsid w:val="004373E2"/>
    <w:rsid w:val="004419DC"/>
    <w:rsid w:val="00441B5C"/>
    <w:rsid w:val="0044240E"/>
    <w:rsid w:val="00442556"/>
    <w:rsid w:val="00442A30"/>
    <w:rsid w:val="00443512"/>
    <w:rsid w:val="00443A2B"/>
    <w:rsid w:val="00444510"/>
    <w:rsid w:val="00446649"/>
    <w:rsid w:val="0044760F"/>
    <w:rsid w:val="00450A0E"/>
    <w:rsid w:val="00450B20"/>
    <w:rsid w:val="00450DC4"/>
    <w:rsid w:val="00455FDE"/>
    <w:rsid w:val="004565F9"/>
    <w:rsid w:val="004570EC"/>
    <w:rsid w:val="00457F87"/>
    <w:rsid w:val="0046106B"/>
    <w:rsid w:val="00461423"/>
    <w:rsid w:val="00463824"/>
    <w:rsid w:val="004645CD"/>
    <w:rsid w:val="0046745C"/>
    <w:rsid w:val="00467D31"/>
    <w:rsid w:val="00467DBB"/>
    <w:rsid w:val="004705BC"/>
    <w:rsid w:val="00471088"/>
    <w:rsid w:val="004712C5"/>
    <w:rsid w:val="00472C46"/>
    <w:rsid w:val="004744C3"/>
    <w:rsid w:val="00477682"/>
    <w:rsid w:val="0047772B"/>
    <w:rsid w:val="00477800"/>
    <w:rsid w:val="00477BBC"/>
    <w:rsid w:val="0048072C"/>
    <w:rsid w:val="00481A5A"/>
    <w:rsid w:val="0048211C"/>
    <w:rsid w:val="00483AF9"/>
    <w:rsid w:val="004840AE"/>
    <w:rsid w:val="0048444B"/>
    <w:rsid w:val="0048454B"/>
    <w:rsid w:val="00484FE8"/>
    <w:rsid w:val="00485E73"/>
    <w:rsid w:val="00487CCE"/>
    <w:rsid w:val="004944DF"/>
    <w:rsid w:val="0049451A"/>
    <w:rsid w:val="00495168"/>
    <w:rsid w:val="004958E2"/>
    <w:rsid w:val="00497E28"/>
    <w:rsid w:val="004A08F2"/>
    <w:rsid w:val="004A1F4A"/>
    <w:rsid w:val="004A2467"/>
    <w:rsid w:val="004A2DE2"/>
    <w:rsid w:val="004A2EDA"/>
    <w:rsid w:val="004A4FD0"/>
    <w:rsid w:val="004A4FDD"/>
    <w:rsid w:val="004A5080"/>
    <w:rsid w:val="004A5408"/>
    <w:rsid w:val="004A6577"/>
    <w:rsid w:val="004B1CCB"/>
    <w:rsid w:val="004B2DCF"/>
    <w:rsid w:val="004B52BD"/>
    <w:rsid w:val="004B5CEB"/>
    <w:rsid w:val="004B5D83"/>
    <w:rsid w:val="004C37A0"/>
    <w:rsid w:val="004C59DB"/>
    <w:rsid w:val="004C6AC9"/>
    <w:rsid w:val="004C6B22"/>
    <w:rsid w:val="004C7D72"/>
    <w:rsid w:val="004D1717"/>
    <w:rsid w:val="004D3239"/>
    <w:rsid w:val="004D73A5"/>
    <w:rsid w:val="004E12DC"/>
    <w:rsid w:val="004E3487"/>
    <w:rsid w:val="004E39BE"/>
    <w:rsid w:val="004E3AF2"/>
    <w:rsid w:val="004E3EDC"/>
    <w:rsid w:val="004E4ECA"/>
    <w:rsid w:val="004E5D73"/>
    <w:rsid w:val="004E665B"/>
    <w:rsid w:val="004E6855"/>
    <w:rsid w:val="004E6A99"/>
    <w:rsid w:val="004E7373"/>
    <w:rsid w:val="004E75A2"/>
    <w:rsid w:val="004F02D2"/>
    <w:rsid w:val="004F1CCD"/>
    <w:rsid w:val="004F1D47"/>
    <w:rsid w:val="004F238A"/>
    <w:rsid w:val="004F295D"/>
    <w:rsid w:val="004F5787"/>
    <w:rsid w:val="00500D95"/>
    <w:rsid w:val="00505694"/>
    <w:rsid w:val="005063FD"/>
    <w:rsid w:val="00506E3B"/>
    <w:rsid w:val="00507F38"/>
    <w:rsid w:val="00510013"/>
    <w:rsid w:val="00510BDF"/>
    <w:rsid w:val="005131C7"/>
    <w:rsid w:val="0051378B"/>
    <w:rsid w:val="00513A3A"/>
    <w:rsid w:val="00516B6F"/>
    <w:rsid w:val="005177CC"/>
    <w:rsid w:val="00517A21"/>
    <w:rsid w:val="00517A30"/>
    <w:rsid w:val="00517AAD"/>
    <w:rsid w:val="00517BEB"/>
    <w:rsid w:val="00521357"/>
    <w:rsid w:val="0052215A"/>
    <w:rsid w:val="0052613C"/>
    <w:rsid w:val="005274C9"/>
    <w:rsid w:val="005277EF"/>
    <w:rsid w:val="00527C55"/>
    <w:rsid w:val="00527E0B"/>
    <w:rsid w:val="005302A4"/>
    <w:rsid w:val="00530B65"/>
    <w:rsid w:val="005312D1"/>
    <w:rsid w:val="00532CF5"/>
    <w:rsid w:val="00536058"/>
    <w:rsid w:val="0053756A"/>
    <w:rsid w:val="00541261"/>
    <w:rsid w:val="005416E1"/>
    <w:rsid w:val="005428D8"/>
    <w:rsid w:val="00546F47"/>
    <w:rsid w:val="00550160"/>
    <w:rsid w:val="00551EB7"/>
    <w:rsid w:val="005525B9"/>
    <w:rsid w:val="005528CB"/>
    <w:rsid w:val="005558AF"/>
    <w:rsid w:val="0055591F"/>
    <w:rsid w:val="00556122"/>
    <w:rsid w:val="00556551"/>
    <w:rsid w:val="005566C3"/>
    <w:rsid w:val="00557C2E"/>
    <w:rsid w:val="00561043"/>
    <w:rsid w:val="00562E20"/>
    <w:rsid w:val="0056457B"/>
    <w:rsid w:val="005665D0"/>
    <w:rsid w:val="00566771"/>
    <w:rsid w:val="005668CD"/>
    <w:rsid w:val="00567543"/>
    <w:rsid w:val="00570550"/>
    <w:rsid w:val="00570915"/>
    <w:rsid w:val="005717FF"/>
    <w:rsid w:val="0057597C"/>
    <w:rsid w:val="00581E2E"/>
    <w:rsid w:val="00582916"/>
    <w:rsid w:val="00582D83"/>
    <w:rsid w:val="00583776"/>
    <w:rsid w:val="005837CA"/>
    <w:rsid w:val="005839AA"/>
    <w:rsid w:val="00584884"/>
    <w:rsid w:val="00584DA7"/>
    <w:rsid w:val="00584F15"/>
    <w:rsid w:val="00590AF8"/>
    <w:rsid w:val="00590C9C"/>
    <w:rsid w:val="00590E21"/>
    <w:rsid w:val="005913A1"/>
    <w:rsid w:val="00593ABD"/>
    <w:rsid w:val="005951A4"/>
    <w:rsid w:val="00596256"/>
    <w:rsid w:val="00596A8B"/>
    <w:rsid w:val="00596ADE"/>
    <w:rsid w:val="00597CB2"/>
    <w:rsid w:val="005A0743"/>
    <w:rsid w:val="005A25C3"/>
    <w:rsid w:val="005A33C5"/>
    <w:rsid w:val="005A5E3C"/>
    <w:rsid w:val="005A6BB1"/>
    <w:rsid w:val="005A6C01"/>
    <w:rsid w:val="005A787A"/>
    <w:rsid w:val="005A7F00"/>
    <w:rsid w:val="005B048F"/>
    <w:rsid w:val="005B1D0A"/>
    <w:rsid w:val="005B55D8"/>
    <w:rsid w:val="005B712F"/>
    <w:rsid w:val="005C05E6"/>
    <w:rsid w:val="005C0870"/>
    <w:rsid w:val="005C3815"/>
    <w:rsid w:val="005C3EA0"/>
    <w:rsid w:val="005C41C3"/>
    <w:rsid w:val="005C41FD"/>
    <w:rsid w:val="005C5158"/>
    <w:rsid w:val="005C7742"/>
    <w:rsid w:val="005D0EB5"/>
    <w:rsid w:val="005D1115"/>
    <w:rsid w:val="005D11D9"/>
    <w:rsid w:val="005D1524"/>
    <w:rsid w:val="005D4697"/>
    <w:rsid w:val="005D682F"/>
    <w:rsid w:val="005D73B1"/>
    <w:rsid w:val="005D7932"/>
    <w:rsid w:val="005E074D"/>
    <w:rsid w:val="005E2744"/>
    <w:rsid w:val="005E2C61"/>
    <w:rsid w:val="005E3C20"/>
    <w:rsid w:val="005E3CEE"/>
    <w:rsid w:val="005E4E15"/>
    <w:rsid w:val="005E4EE9"/>
    <w:rsid w:val="005E59CD"/>
    <w:rsid w:val="005E6081"/>
    <w:rsid w:val="005E6166"/>
    <w:rsid w:val="005E66ED"/>
    <w:rsid w:val="005E74A4"/>
    <w:rsid w:val="005E790A"/>
    <w:rsid w:val="005F0571"/>
    <w:rsid w:val="005F0818"/>
    <w:rsid w:val="005F0E6A"/>
    <w:rsid w:val="005F277F"/>
    <w:rsid w:val="005F4557"/>
    <w:rsid w:val="005F4A48"/>
    <w:rsid w:val="00600E56"/>
    <w:rsid w:val="00604A9F"/>
    <w:rsid w:val="00605A06"/>
    <w:rsid w:val="00607C32"/>
    <w:rsid w:val="0061463C"/>
    <w:rsid w:val="00614D14"/>
    <w:rsid w:val="006153DF"/>
    <w:rsid w:val="006163F7"/>
    <w:rsid w:val="00616711"/>
    <w:rsid w:val="0062001E"/>
    <w:rsid w:val="00621983"/>
    <w:rsid w:val="006234BD"/>
    <w:rsid w:val="006246B6"/>
    <w:rsid w:val="00630787"/>
    <w:rsid w:val="006314DF"/>
    <w:rsid w:val="006333C2"/>
    <w:rsid w:val="00635402"/>
    <w:rsid w:val="00635759"/>
    <w:rsid w:val="006367B5"/>
    <w:rsid w:val="00642C83"/>
    <w:rsid w:val="0064343A"/>
    <w:rsid w:val="00646609"/>
    <w:rsid w:val="006475BF"/>
    <w:rsid w:val="006517FC"/>
    <w:rsid w:val="00652606"/>
    <w:rsid w:val="00653792"/>
    <w:rsid w:val="00654E3C"/>
    <w:rsid w:val="00655224"/>
    <w:rsid w:val="00655DB8"/>
    <w:rsid w:val="00656753"/>
    <w:rsid w:val="00660A90"/>
    <w:rsid w:val="0066102A"/>
    <w:rsid w:val="006618B3"/>
    <w:rsid w:val="006656DE"/>
    <w:rsid w:val="00667049"/>
    <w:rsid w:val="00667CB2"/>
    <w:rsid w:val="00670D25"/>
    <w:rsid w:val="006712DE"/>
    <w:rsid w:val="00671401"/>
    <w:rsid w:val="00672421"/>
    <w:rsid w:val="00672819"/>
    <w:rsid w:val="006738F8"/>
    <w:rsid w:val="00673A41"/>
    <w:rsid w:val="00674397"/>
    <w:rsid w:val="00674ED8"/>
    <w:rsid w:val="00674FDF"/>
    <w:rsid w:val="006754D1"/>
    <w:rsid w:val="0067679C"/>
    <w:rsid w:val="006808C6"/>
    <w:rsid w:val="006816BF"/>
    <w:rsid w:val="006822D3"/>
    <w:rsid w:val="00682754"/>
    <w:rsid w:val="006840F3"/>
    <w:rsid w:val="006841C2"/>
    <w:rsid w:val="00691590"/>
    <w:rsid w:val="006941E0"/>
    <w:rsid w:val="006951C4"/>
    <w:rsid w:val="00695AD8"/>
    <w:rsid w:val="006A033E"/>
    <w:rsid w:val="006A0B6B"/>
    <w:rsid w:val="006A532D"/>
    <w:rsid w:val="006A58A9"/>
    <w:rsid w:val="006A606D"/>
    <w:rsid w:val="006B1692"/>
    <w:rsid w:val="006B2ED0"/>
    <w:rsid w:val="006B3814"/>
    <w:rsid w:val="006B399E"/>
    <w:rsid w:val="006B4B50"/>
    <w:rsid w:val="006B52F6"/>
    <w:rsid w:val="006B70D8"/>
    <w:rsid w:val="006B7F7A"/>
    <w:rsid w:val="006C0371"/>
    <w:rsid w:val="006C08B6"/>
    <w:rsid w:val="006C0B1A"/>
    <w:rsid w:val="006C1324"/>
    <w:rsid w:val="006C1697"/>
    <w:rsid w:val="006C1921"/>
    <w:rsid w:val="006C1CFD"/>
    <w:rsid w:val="006C278C"/>
    <w:rsid w:val="006C27AA"/>
    <w:rsid w:val="006C27CB"/>
    <w:rsid w:val="006C28D4"/>
    <w:rsid w:val="006C4384"/>
    <w:rsid w:val="006C5157"/>
    <w:rsid w:val="006C5816"/>
    <w:rsid w:val="006C6065"/>
    <w:rsid w:val="006C7816"/>
    <w:rsid w:val="006C7F9F"/>
    <w:rsid w:val="006D09ED"/>
    <w:rsid w:val="006D132C"/>
    <w:rsid w:val="006D13C4"/>
    <w:rsid w:val="006D2583"/>
    <w:rsid w:val="006D37EE"/>
    <w:rsid w:val="006D54CA"/>
    <w:rsid w:val="006D574E"/>
    <w:rsid w:val="006D5E1F"/>
    <w:rsid w:val="006D6D20"/>
    <w:rsid w:val="006E0EA7"/>
    <w:rsid w:val="006E193B"/>
    <w:rsid w:val="006E1F85"/>
    <w:rsid w:val="006E2F6D"/>
    <w:rsid w:val="006E41AA"/>
    <w:rsid w:val="006E4291"/>
    <w:rsid w:val="006E43C3"/>
    <w:rsid w:val="006E43D9"/>
    <w:rsid w:val="006E4BA1"/>
    <w:rsid w:val="006E58F6"/>
    <w:rsid w:val="006E5BEF"/>
    <w:rsid w:val="006E77E1"/>
    <w:rsid w:val="006F131D"/>
    <w:rsid w:val="006F1D9E"/>
    <w:rsid w:val="006F1EB1"/>
    <w:rsid w:val="006F3A84"/>
    <w:rsid w:val="006F4133"/>
    <w:rsid w:val="006F503E"/>
    <w:rsid w:val="006F67E9"/>
    <w:rsid w:val="00700AB5"/>
    <w:rsid w:val="007015EB"/>
    <w:rsid w:val="00703610"/>
    <w:rsid w:val="007049AB"/>
    <w:rsid w:val="007101A2"/>
    <w:rsid w:val="00710242"/>
    <w:rsid w:val="007103BB"/>
    <w:rsid w:val="007141E6"/>
    <w:rsid w:val="0071742C"/>
    <w:rsid w:val="007175AE"/>
    <w:rsid w:val="0071789D"/>
    <w:rsid w:val="0072118A"/>
    <w:rsid w:val="0072311D"/>
    <w:rsid w:val="00723D73"/>
    <w:rsid w:val="00724115"/>
    <w:rsid w:val="00724A07"/>
    <w:rsid w:val="00730343"/>
    <w:rsid w:val="0073066D"/>
    <w:rsid w:val="00730955"/>
    <w:rsid w:val="00730E87"/>
    <w:rsid w:val="00731682"/>
    <w:rsid w:val="00732AEF"/>
    <w:rsid w:val="0073338A"/>
    <w:rsid w:val="00733ABA"/>
    <w:rsid w:val="00735B17"/>
    <w:rsid w:val="007363EE"/>
    <w:rsid w:val="007418AE"/>
    <w:rsid w:val="00743F79"/>
    <w:rsid w:val="00744404"/>
    <w:rsid w:val="007458C3"/>
    <w:rsid w:val="00751596"/>
    <w:rsid w:val="00752BCD"/>
    <w:rsid w:val="00754D0D"/>
    <w:rsid w:val="00755166"/>
    <w:rsid w:val="00757073"/>
    <w:rsid w:val="007570BE"/>
    <w:rsid w:val="00757AE3"/>
    <w:rsid w:val="00760517"/>
    <w:rsid w:val="00761A38"/>
    <w:rsid w:val="00761DD8"/>
    <w:rsid w:val="00762B1B"/>
    <w:rsid w:val="00762FF4"/>
    <w:rsid w:val="00764CC9"/>
    <w:rsid w:val="00765C29"/>
    <w:rsid w:val="0076643A"/>
    <w:rsid w:val="00766DA1"/>
    <w:rsid w:val="00767A90"/>
    <w:rsid w:val="00770523"/>
    <w:rsid w:val="0077066A"/>
    <w:rsid w:val="00770E2F"/>
    <w:rsid w:val="00771632"/>
    <w:rsid w:val="00771845"/>
    <w:rsid w:val="00771D1A"/>
    <w:rsid w:val="00775287"/>
    <w:rsid w:val="00775F11"/>
    <w:rsid w:val="007811E6"/>
    <w:rsid w:val="00781819"/>
    <w:rsid w:val="007818D7"/>
    <w:rsid w:val="00782B81"/>
    <w:rsid w:val="00783824"/>
    <w:rsid w:val="00784A7F"/>
    <w:rsid w:val="007866A6"/>
    <w:rsid w:val="00786A97"/>
    <w:rsid w:val="007905BC"/>
    <w:rsid w:val="007908EE"/>
    <w:rsid w:val="00791A0D"/>
    <w:rsid w:val="007928BE"/>
    <w:rsid w:val="00793A69"/>
    <w:rsid w:val="00794101"/>
    <w:rsid w:val="00797518"/>
    <w:rsid w:val="00797FAD"/>
    <w:rsid w:val="007A079E"/>
    <w:rsid w:val="007A130D"/>
    <w:rsid w:val="007A1560"/>
    <w:rsid w:val="007A18B2"/>
    <w:rsid w:val="007A3624"/>
    <w:rsid w:val="007A365C"/>
    <w:rsid w:val="007A3A1A"/>
    <w:rsid w:val="007A4D59"/>
    <w:rsid w:val="007A66D9"/>
    <w:rsid w:val="007A6F80"/>
    <w:rsid w:val="007A7C33"/>
    <w:rsid w:val="007B00AE"/>
    <w:rsid w:val="007B0172"/>
    <w:rsid w:val="007B395D"/>
    <w:rsid w:val="007B3A8C"/>
    <w:rsid w:val="007B403D"/>
    <w:rsid w:val="007B462C"/>
    <w:rsid w:val="007B4C52"/>
    <w:rsid w:val="007B5F26"/>
    <w:rsid w:val="007B61AF"/>
    <w:rsid w:val="007B655D"/>
    <w:rsid w:val="007C0543"/>
    <w:rsid w:val="007C12B8"/>
    <w:rsid w:val="007C1951"/>
    <w:rsid w:val="007C2331"/>
    <w:rsid w:val="007C4F1F"/>
    <w:rsid w:val="007C5ABB"/>
    <w:rsid w:val="007D1DED"/>
    <w:rsid w:val="007D2831"/>
    <w:rsid w:val="007D2EB8"/>
    <w:rsid w:val="007D4102"/>
    <w:rsid w:val="007D5832"/>
    <w:rsid w:val="007E1435"/>
    <w:rsid w:val="007E2954"/>
    <w:rsid w:val="007E4998"/>
    <w:rsid w:val="007E4FB4"/>
    <w:rsid w:val="007E5921"/>
    <w:rsid w:val="007E5CEF"/>
    <w:rsid w:val="007E66E1"/>
    <w:rsid w:val="007E7ACC"/>
    <w:rsid w:val="007F10DB"/>
    <w:rsid w:val="007F136F"/>
    <w:rsid w:val="007F210F"/>
    <w:rsid w:val="007F36EF"/>
    <w:rsid w:val="007F42D3"/>
    <w:rsid w:val="007F597F"/>
    <w:rsid w:val="007F7732"/>
    <w:rsid w:val="008020F8"/>
    <w:rsid w:val="00802DB2"/>
    <w:rsid w:val="00803D36"/>
    <w:rsid w:val="00804006"/>
    <w:rsid w:val="008108A4"/>
    <w:rsid w:val="00811E21"/>
    <w:rsid w:val="0081272A"/>
    <w:rsid w:val="00812BCF"/>
    <w:rsid w:val="008143AF"/>
    <w:rsid w:val="008143B3"/>
    <w:rsid w:val="00816687"/>
    <w:rsid w:val="00820C8B"/>
    <w:rsid w:val="00821FFC"/>
    <w:rsid w:val="00826E37"/>
    <w:rsid w:val="008271CA"/>
    <w:rsid w:val="008274D9"/>
    <w:rsid w:val="0083573C"/>
    <w:rsid w:val="008362A9"/>
    <w:rsid w:val="00837E36"/>
    <w:rsid w:val="00840733"/>
    <w:rsid w:val="0084249B"/>
    <w:rsid w:val="00842944"/>
    <w:rsid w:val="00843678"/>
    <w:rsid w:val="00843874"/>
    <w:rsid w:val="00844367"/>
    <w:rsid w:val="00844D6C"/>
    <w:rsid w:val="00845346"/>
    <w:rsid w:val="00845801"/>
    <w:rsid w:val="00845B31"/>
    <w:rsid w:val="008467D5"/>
    <w:rsid w:val="0084792D"/>
    <w:rsid w:val="008535A9"/>
    <w:rsid w:val="00855073"/>
    <w:rsid w:val="008566CA"/>
    <w:rsid w:val="00856D9F"/>
    <w:rsid w:val="008614CA"/>
    <w:rsid w:val="00861B2D"/>
    <w:rsid w:val="00861B6D"/>
    <w:rsid w:val="0086257A"/>
    <w:rsid w:val="008629F3"/>
    <w:rsid w:val="00864F6C"/>
    <w:rsid w:val="00866F6D"/>
    <w:rsid w:val="00867986"/>
    <w:rsid w:val="00867B27"/>
    <w:rsid w:val="0087016B"/>
    <w:rsid w:val="0087062D"/>
    <w:rsid w:val="00870F98"/>
    <w:rsid w:val="00871827"/>
    <w:rsid w:val="00871831"/>
    <w:rsid w:val="00871B08"/>
    <w:rsid w:val="00871D02"/>
    <w:rsid w:val="00872612"/>
    <w:rsid w:val="0087263B"/>
    <w:rsid w:val="008726C6"/>
    <w:rsid w:val="0087509A"/>
    <w:rsid w:val="00875E7E"/>
    <w:rsid w:val="00876D8A"/>
    <w:rsid w:val="00876EE0"/>
    <w:rsid w:val="00877DCC"/>
    <w:rsid w:val="00880091"/>
    <w:rsid w:val="008813D6"/>
    <w:rsid w:val="00882D70"/>
    <w:rsid w:val="00884D9D"/>
    <w:rsid w:val="00884E80"/>
    <w:rsid w:val="00890750"/>
    <w:rsid w:val="00892FAA"/>
    <w:rsid w:val="00893ABF"/>
    <w:rsid w:val="00894667"/>
    <w:rsid w:val="0089492A"/>
    <w:rsid w:val="008953AF"/>
    <w:rsid w:val="0089569D"/>
    <w:rsid w:val="00897195"/>
    <w:rsid w:val="0089785F"/>
    <w:rsid w:val="00897C78"/>
    <w:rsid w:val="00897F1A"/>
    <w:rsid w:val="00897F2B"/>
    <w:rsid w:val="008A195C"/>
    <w:rsid w:val="008A1D00"/>
    <w:rsid w:val="008A3C30"/>
    <w:rsid w:val="008A4DC4"/>
    <w:rsid w:val="008A6BAB"/>
    <w:rsid w:val="008B0029"/>
    <w:rsid w:val="008B0101"/>
    <w:rsid w:val="008B01C9"/>
    <w:rsid w:val="008B2873"/>
    <w:rsid w:val="008B2C16"/>
    <w:rsid w:val="008B2C3D"/>
    <w:rsid w:val="008B4109"/>
    <w:rsid w:val="008B4775"/>
    <w:rsid w:val="008B552F"/>
    <w:rsid w:val="008C10BE"/>
    <w:rsid w:val="008C176C"/>
    <w:rsid w:val="008C3005"/>
    <w:rsid w:val="008D0274"/>
    <w:rsid w:val="008D3496"/>
    <w:rsid w:val="008D367D"/>
    <w:rsid w:val="008D3F16"/>
    <w:rsid w:val="008D487E"/>
    <w:rsid w:val="008D51A1"/>
    <w:rsid w:val="008D52D8"/>
    <w:rsid w:val="008D5F8C"/>
    <w:rsid w:val="008D64C6"/>
    <w:rsid w:val="008D7051"/>
    <w:rsid w:val="008D7D7D"/>
    <w:rsid w:val="008E0AA5"/>
    <w:rsid w:val="008E17F5"/>
    <w:rsid w:val="008E2324"/>
    <w:rsid w:val="008E287B"/>
    <w:rsid w:val="008E51FA"/>
    <w:rsid w:val="008E68C4"/>
    <w:rsid w:val="008E79C1"/>
    <w:rsid w:val="008E7EB8"/>
    <w:rsid w:val="008F0D59"/>
    <w:rsid w:val="008F1E2D"/>
    <w:rsid w:val="008F286A"/>
    <w:rsid w:val="008F2FF9"/>
    <w:rsid w:val="008F301A"/>
    <w:rsid w:val="008F3337"/>
    <w:rsid w:val="008F33F7"/>
    <w:rsid w:val="008F4608"/>
    <w:rsid w:val="008F5429"/>
    <w:rsid w:val="008F5ABE"/>
    <w:rsid w:val="008F5B3F"/>
    <w:rsid w:val="008F5D28"/>
    <w:rsid w:val="008F5E58"/>
    <w:rsid w:val="008F7621"/>
    <w:rsid w:val="008F7E34"/>
    <w:rsid w:val="00900836"/>
    <w:rsid w:val="009011D3"/>
    <w:rsid w:val="0090192E"/>
    <w:rsid w:val="00902216"/>
    <w:rsid w:val="0090518B"/>
    <w:rsid w:val="009067A4"/>
    <w:rsid w:val="0090722E"/>
    <w:rsid w:val="00910A50"/>
    <w:rsid w:val="00911121"/>
    <w:rsid w:val="009115D3"/>
    <w:rsid w:val="0091160B"/>
    <w:rsid w:val="009136DC"/>
    <w:rsid w:val="0091376B"/>
    <w:rsid w:val="00913F2A"/>
    <w:rsid w:val="00917F1F"/>
    <w:rsid w:val="00924224"/>
    <w:rsid w:val="009246D2"/>
    <w:rsid w:val="00925BDC"/>
    <w:rsid w:val="009263BA"/>
    <w:rsid w:val="00930D2A"/>
    <w:rsid w:val="0093249D"/>
    <w:rsid w:val="009325BC"/>
    <w:rsid w:val="009332F9"/>
    <w:rsid w:val="00933AF8"/>
    <w:rsid w:val="009340DB"/>
    <w:rsid w:val="0093562A"/>
    <w:rsid w:val="00935B76"/>
    <w:rsid w:val="00935C30"/>
    <w:rsid w:val="00935D2F"/>
    <w:rsid w:val="00935E6B"/>
    <w:rsid w:val="00937BA1"/>
    <w:rsid w:val="009406FA"/>
    <w:rsid w:val="009414FD"/>
    <w:rsid w:val="009415BF"/>
    <w:rsid w:val="00945632"/>
    <w:rsid w:val="00945D18"/>
    <w:rsid w:val="00945F9E"/>
    <w:rsid w:val="009465B7"/>
    <w:rsid w:val="00947059"/>
    <w:rsid w:val="009511DC"/>
    <w:rsid w:val="00951299"/>
    <w:rsid w:val="00951A7D"/>
    <w:rsid w:val="0095211A"/>
    <w:rsid w:val="00952DC1"/>
    <w:rsid w:val="00953C32"/>
    <w:rsid w:val="009547AD"/>
    <w:rsid w:val="00956718"/>
    <w:rsid w:val="009569FC"/>
    <w:rsid w:val="0095728C"/>
    <w:rsid w:val="009603D0"/>
    <w:rsid w:val="00960628"/>
    <w:rsid w:val="00961C6D"/>
    <w:rsid w:val="00962498"/>
    <w:rsid w:val="009644A6"/>
    <w:rsid w:val="009654F7"/>
    <w:rsid w:val="00966887"/>
    <w:rsid w:val="00966AEA"/>
    <w:rsid w:val="00966F45"/>
    <w:rsid w:val="00972139"/>
    <w:rsid w:val="00972498"/>
    <w:rsid w:val="009726B0"/>
    <w:rsid w:val="009740F3"/>
    <w:rsid w:val="00974BE9"/>
    <w:rsid w:val="00974CC6"/>
    <w:rsid w:val="009750A7"/>
    <w:rsid w:val="009752C3"/>
    <w:rsid w:val="0097599D"/>
    <w:rsid w:val="00976AD4"/>
    <w:rsid w:val="00981245"/>
    <w:rsid w:val="00981372"/>
    <w:rsid w:val="00982C45"/>
    <w:rsid w:val="00983424"/>
    <w:rsid w:val="009844AC"/>
    <w:rsid w:val="00984BD1"/>
    <w:rsid w:val="00984DC2"/>
    <w:rsid w:val="00985974"/>
    <w:rsid w:val="009871DE"/>
    <w:rsid w:val="00987813"/>
    <w:rsid w:val="009904FE"/>
    <w:rsid w:val="00994D2B"/>
    <w:rsid w:val="00995365"/>
    <w:rsid w:val="0099576D"/>
    <w:rsid w:val="00997B16"/>
    <w:rsid w:val="009A00F5"/>
    <w:rsid w:val="009A0912"/>
    <w:rsid w:val="009A0F71"/>
    <w:rsid w:val="009A2644"/>
    <w:rsid w:val="009A312F"/>
    <w:rsid w:val="009A4699"/>
    <w:rsid w:val="009A5348"/>
    <w:rsid w:val="009A67BB"/>
    <w:rsid w:val="009A73CA"/>
    <w:rsid w:val="009B00B4"/>
    <w:rsid w:val="009B0B7E"/>
    <w:rsid w:val="009B0FC1"/>
    <w:rsid w:val="009B2479"/>
    <w:rsid w:val="009B2B5F"/>
    <w:rsid w:val="009B3600"/>
    <w:rsid w:val="009B3F4D"/>
    <w:rsid w:val="009B5523"/>
    <w:rsid w:val="009B5D49"/>
    <w:rsid w:val="009B5E67"/>
    <w:rsid w:val="009C04B0"/>
    <w:rsid w:val="009C0D52"/>
    <w:rsid w:val="009C29E6"/>
    <w:rsid w:val="009C304A"/>
    <w:rsid w:val="009C338B"/>
    <w:rsid w:val="009C3532"/>
    <w:rsid w:val="009C76D5"/>
    <w:rsid w:val="009D0A75"/>
    <w:rsid w:val="009D2FEC"/>
    <w:rsid w:val="009D608E"/>
    <w:rsid w:val="009D7C48"/>
    <w:rsid w:val="009E0308"/>
    <w:rsid w:val="009E069F"/>
    <w:rsid w:val="009E17B6"/>
    <w:rsid w:val="009E1ECE"/>
    <w:rsid w:val="009E5D68"/>
    <w:rsid w:val="009F02FB"/>
    <w:rsid w:val="009F03BB"/>
    <w:rsid w:val="009F1A67"/>
    <w:rsid w:val="009F27A9"/>
    <w:rsid w:val="009F7AA4"/>
    <w:rsid w:val="00A001BE"/>
    <w:rsid w:val="00A05DEA"/>
    <w:rsid w:val="00A116D8"/>
    <w:rsid w:val="00A1477B"/>
    <w:rsid w:val="00A14CC5"/>
    <w:rsid w:val="00A15111"/>
    <w:rsid w:val="00A155F5"/>
    <w:rsid w:val="00A176A4"/>
    <w:rsid w:val="00A176E8"/>
    <w:rsid w:val="00A200D5"/>
    <w:rsid w:val="00A214B9"/>
    <w:rsid w:val="00A214EA"/>
    <w:rsid w:val="00A2335F"/>
    <w:rsid w:val="00A24615"/>
    <w:rsid w:val="00A24990"/>
    <w:rsid w:val="00A32A00"/>
    <w:rsid w:val="00A34351"/>
    <w:rsid w:val="00A374D6"/>
    <w:rsid w:val="00A4141E"/>
    <w:rsid w:val="00A41F45"/>
    <w:rsid w:val="00A42DB4"/>
    <w:rsid w:val="00A4347F"/>
    <w:rsid w:val="00A44159"/>
    <w:rsid w:val="00A44EC8"/>
    <w:rsid w:val="00A451A3"/>
    <w:rsid w:val="00A46E5D"/>
    <w:rsid w:val="00A47DDB"/>
    <w:rsid w:val="00A5072A"/>
    <w:rsid w:val="00A51252"/>
    <w:rsid w:val="00A531CA"/>
    <w:rsid w:val="00A535B2"/>
    <w:rsid w:val="00A559DB"/>
    <w:rsid w:val="00A603AC"/>
    <w:rsid w:val="00A605E8"/>
    <w:rsid w:val="00A61675"/>
    <w:rsid w:val="00A61DF0"/>
    <w:rsid w:val="00A6281D"/>
    <w:rsid w:val="00A62AB1"/>
    <w:rsid w:val="00A6428E"/>
    <w:rsid w:val="00A64E12"/>
    <w:rsid w:val="00A66E82"/>
    <w:rsid w:val="00A67618"/>
    <w:rsid w:val="00A679F1"/>
    <w:rsid w:val="00A70123"/>
    <w:rsid w:val="00A7052D"/>
    <w:rsid w:val="00A73FAD"/>
    <w:rsid w:val="00A74379"/>
    <w:rsid w:val="00A76148"/>
    <w:rsid w:val="00A76A65"/>
    <w:rsid w:val="00A81369"/>
    <w:rsid w:val="00A8367D"/>
    <w:rsid w:val="00A903D4"/>
    <w:rsid w:val="00A9052A"/>
    <w:rsid w:val="00A90F99"/>
    <w:rsid w:val="00A91FBB"/>
    <w:rsid w:val="00A9253C"/>
    <w:rsid w:val="00A92D8E"/>
    <w:rsid w:val="00A93DF2"/>
    <w:rsid w:val="00A94C4F"/>
    <w:rsid w:val="00A95714"/>
    <w:rsid w:val="00A96423"/>
    <w:rsid w:val="00A97781"/>
    <w:rsid w:val="00AA26A2"/>
    <w:rsid w:val="00AA2F84"/>
    <w:rsid w:val="00AA3C9D"/>
    <w:rsid w:val="00AA5679"/>
    <w:rsid w:val="00AB0479"/>
    <w:rsid w:val="00AB19B2"/>
    <w:rsid w:val="00AB1F36"/>
    <w:rsid w:val="00AB3305"/>
    <w:rsid w:val="00AB6FE2"/>
    <w:rsid w:val="00AB76E5"/>
    <w:rsid w:val="00AC03FC"/>
    <w:rsid w:val="00AC0CE1"/>
    <w:rsid w:val="00AC7488"/>
    <w:rsid w:val="00AD0B77"/>
    <w:rsid w:val="00AD0E30"/>
    <w:rsid w:val="00AD11A7"/>
    <w:rsid w:val="00AD1A13"/>
    <w:rsid w:val="00AD26B4"/>
    <w:rsid w:val="00AD2FC0"/>
    <w:rsid w:val="00AD3FA5"/>
    <w:rsid w:val="00AD5A12"/>
    <w:rsid w:val="00AD66B9"/>
    <w:rsid w:val="00AD73E7"/>
    <w:rsid w:val="00AE0F3D"/>
    <w:rsid w:val="00AE1631"/>
    <w:rsid w:val="00AE182A"/>
    <w:rsid w:val="00AE218A"/>
    <w:rsid w:val="00AE2A1C"/>
    <w:rsid w:val="00AE4674"/>
    <w:rsid w:val="00AE58FF"/>
    <w:rsid w:val="00AF002D"/>
    <w:rsid w:val="00AF04BE"/>
    <w:rsid w:val="00AF0C83"/>
    <w:rsid w:val="00AF1E5F"/>
    <w:rsid w:val="00AF3076"/>
    <w:rsid w:val="00AF35FC"/>
    <w:rsid w:val="00AF6EE3"/>
    <w:rsid w:val="00AF7043"/>
    <w:rsid w:val="00B021B8"/>
    <w:rsid w:val="00B03639"/>
    <w:rsid w:val="00B04803"/>
    <w:rsid w:val="00B05817"/>
    <w:rsid w:val="00B0652A"/>
    <w:rsid w:val="00B070D5"/>
    <w:rsid w:val="00B07B7D"/>
    <w:rsid w:val="00B10026"/>
    <w:rsid w:val="00B113CC"/>
    <w:rsid w:val="00B11B5F"/>
    <w:rsid w:val="00B1349E"/>
    <w:rsid w:val="00B1417D"/>
    <w:rsid w:val="00B158A4"/>
    <w:rsid w:val="00B2153F"/>
    <w:rsid w:val="00B23C7F"/>
    <w:rsid w:val="00B23E46"/>
    <w:rsid w:val="00B302D9"/>
    <w:rsid w:val="00B31A47"/>
    <w:rsid w:val="00B336B7"/>
    <w:rsid w:val="00B3757D"/>
    <w:rsid w:val="00B37A45"/>
    <w:rsid w:val="00B37DD1"/>
    <w:rsid w:val="00B40125"/>
    <w:rsid w:val="00B40937"/>
    <w:rsid w:val="00B423EF"/>
    <w:rsid w:val="00B42B74"/>
    <w:rsid w:val="00B437DA"/>
    <w:rsid w:val="00B439F2"/>
    <w:rsid w:val="00B43C07"/>
    <w:rsid w:val="00B44674"/>
    <w:rsid w:val="00B4530D"/>
    <w:rsid w:val="00B453DE"/>
    <w:rsid w:val="00B4569F"/>
    <w:rsid w:val="00B45A0C"/>
    <w:rsid w:val="00B467B5"/>
    <w:rsid w:val="00B4742F"/>
    <w:rsid w:val="00B47693"/>
    <w:rsid w:val="00B479EB"/>
    <w:rsid w:val="00B50EF8"/>
    <w:rsid w:val="00B5135E"/>
    <w:rsid w:val="00B53B4A"/>
    <w:rsid w:val="00B5423B"/>
    <w:rsid w:val="00B54587"/>
    <w:rsid w:val="00B60188"/>
    <w:rsid w:val="00B60CB0"/>
    <w:rsid w:val="00B61889"/>
    <w:rsid w:val="00B6198A"/>
    <w:rsid w:val="00B62554"/>
    <w:rsid w:val="00B63119"/>
    <w:rsid w:val="00B63395"/>
    <w:rsid w:val="00B648D6"/>
    <w:rsid w:val="00B650F6"/>
    <w:rsid w:val="00B65C99"/>
    <w:rsid w:val="00B673E8"/>
    <w:rsid w:val="00B67E9F"/>
    <w:rsid w:val="00B714BA"/>
    <w:rsid w:val="00B72A29"/>
    <w:rsid w:val="00B757F0"/>
    <w:rsid w:val="00B76688"/>
    <w:rsid w:val="00B77DBC"/>
    <w:rsid w:val="00B77F6F"/>
    <w:rsid w:val="00B80359"/>
    <w:rsid w:val="00B804B7"/>
    <w:rsid w:val="00B84D8A"/>
    <w:rsid w:val="00B901F9"/>
    <w:rsid w:val="00B90D14"/>
    <w:rsid w:val="00B92225"/>
    <w:rsid w:val="00B92DBE"/>
    <w:rsid w:val="00B9394C"/>
    <w:rsid w:val="00B945D9"/>
    <w:rsid w:val="00BA0021"/>
    <w:rsid w:val="00BA02AE"/>
    <w:rsid w:val="00BA182B"/>
    <w:rsid w:val="00BA2E03"/>
    <w:rsid w:val="00BA3579"/>
    <w:rsid w:val="00BA3A59"/>
    <w:rsid w:val="00BA4661"/>
    <w:rsid w:val="00BA5042"/>
    <w:rsid w:val="00BA70A3"/>
    <w:rsid w:val="00BA7365"/>
    <w:rsid w:val="00BA7596"/>
    <w:rsid w:val="00BB0C2C"/>
    <w:rsid w:val="00BB199A"/>
    <w:rsid w:val="00BB3B2E"/>
    <w:rsid w:val="00BB4851"/>
    <w:rsid w:val="00BB7010"/>
    <w:rsid w:val="00BB7507"/>
    <w:rsid w:val="00BC1414"/>
    <w:rsid w:val="00BC2634"/>
    <w:rsid w:val="00BC32E8"/>
    <w:rsid w:val="00BC469E"/>
    <w:rsid w:val="00BC5722"/>
    <w:rsid w:val="00BC7D1F"/>
    <w:rsid w:val="00BC7EF7"/>
    <w:rsid w:val="00BD07C8"/>
    <w:rsid w:val="00BD1AA8"/>
    <w:rsid w:val="00BD2C47"/>
    <w:rsid w:val="00BD3B16"/>
    <w:rsid w:val="00BD3C72"/>
    <w:rsid w:val="00BD5CF6"/>
    <w:rsid w:val="00BD6EFB"/>
    <w:rsid w:val="00BD73C9"/>
    <w:rsid w:val="00BD7E64"/>
    <w:rsid w:val="00BE0EDA"/>
    <w:rsid w:val="00BE27FD"/>
    <w:rsid w:val="00BE4647"/>
    <w:rsid w:val="00BE597E"/>
    <w:rsid w:val="00BF05F4"/>
    <w:rsid w:val="00BF37BF"/>
    <w:rsid w:val="00BF3DE8"/>
    <w:rsid w:val="00BF4695"/>
    <w:rsid w:val="00BF56B0"/>
    <w:rsid w:val="00BF5A2A"/>
    <w:rsid w:val="00BF5BAF"/>
    <w:rsid w:val="00BF7D4A"/>
    <w:rsid w:val="00C003B9"/>
    <w:rsid w:val="00C034FB"/>
    <w:rsid w:val="00C06A72"/>
    <w:rsid w:val="00C077DE"/>
    <w:rsid w:val="00C0794D"/>
    <w:rsid w:val="00C07F6B"/>
    <w:rsid w:val="00C117D2"/>
    <w:rsid w:val="00C122B0"/>
    <w:rsid w:val="00C129D7"/>
    <w:rsid w:val="00C1563D"/>
    <w:rsid w:val="00C15BE2"/>
    <w:rsid w:val="00C170DA"/>
    <w:rsid w:val="00C17903"/>
    <w:rsid w:val="00C17AF2"/>
    <w:rsid w:val="00C17F44"/>
    <w:rsid w:val="00C204EF"/>
    <w:rsid w:val="00C21C6C"/>
    <w:rsid w:val="00C22219"/>
    <w:rsid w:val="00C2285C"/>
    <w:rsid w:val="00C262C7"/>
    <w:rsid w:val="00C27E25"/>
    <w:rsid w:val="00C31951"/>
    <w:rsid w:val="00C3411E"/>
    <w:rsid w:val="00C341FE"/>
    <w:rsid w:val="00C3447F"/>
    <w:rsid w:val="00C34ED7"/>
    <w:rsid w:val="00C34F1D"/>
    <w:rsid w:val="00C35A63"/>
    <w:rsid w:val="00C35F0C"/>
    <w:rsid w:val="00C36763"/>
    <w:rsid w:val="00C379ED"/>
    <w:rsid w:val="00C40858"/>
    <w:rsid w:val="00C40A84"/>
    <w:rsid w:val="00C414AD"/>
    <w:rsid w:val="00C42256"/>
    <w:rsid w:val="00C4467D"/>
    <w:rsid w:val="00C46A13"/>
    <w:rsid w:val="00C52664"/>
    <w:rsid w:val="00C546E2"/>
    <w:rsid w:val="00C54982"/>
    <w:rsid w:val="00C5613C"/>
    <w:rsid w:val="00C61ADA"/>
    <w:rsid w:val="00C63259"/>
    <w:rsid w:val="00C654D2"/>
    <w:rsid w:val="00C65F31"/>
    <w:rsid w:val="00C6795C"/>
    <w:rsid w:val="00C70B6E"/>
    <w:rsid w:val="00C717D1"/>
    <w:rsid w:val="00C72193"/>
    <w:rsid w:val="00C752CE"/>
    <w:rsid w:val="00C8020B"/>
    <w:rsid w:val="00C80FD7"/>
    <w:rsid w:val="00C81341"/>
    <w:rsid w:val="00C81491"/>
    <w:rsid w:val="00C814B6"/>
    <w:rsid w:val="00C81676"/>
    <w:rsid w:val="00C82F18"/>
    <w:rsid w:val="00C83641"/>
    <w:rsid w:val="00C8379B"/>
    <w:rsid w:val="00C8508B"/>
    <w:rsid w:val="00C905A0"/>
    <w:rsid w:val="00C927FA"/>
    <w:rsid w:val="00C92CC4"/>
    <w:rsid w:val="00C92E26"/>
    <w:rsid w:val="00C930B5"/>
    <w:rsid w:val="00C93258"/>
    <w:rsid w:val="00C94180"/>
    <w:rsid w:val="00C96935"/>
    <w:rsid w:val="00C97363"/>
    <w:rsid w:val="00C97591"/>
    <w:rsid w:val="00CA0AFB"/>
    <w:rsid w:val="00CA1792"/>
    <w:rsid w:val="00CA2CE1"/>
    <w:rsid w:val="00CA2E28"/>
    <w:rsid w:val="00CA3976"/>
    <w:rsid w:val="00CA6DC3"/>
    <w:rsid w:val="00CA7219"/>
    <w:rsid w:val="00CA757B"/>
    <w:rsid w:val="00CB13A6"/>
    <w:rsid w:val="00CB17E3"/>
    <w:rsid w:val="00CB2471"/>
    <w:rsid w:val="00CB3DE0"/>
    <w:rsid w:val="00CB622B"/>
    <w:rsid w:val="00CB6B09"/>
    <w:rsid w:val="00CB7BC7"/>
    <w:rsid w:val="00CC0670"/>
    <w:rsid w:val="00CC1787"/>
    <w:rsid w:val="00CC182C"/>
    <w:rsid w:val="00CC2B8A"/>
    <w:rsid w:val="00CC31DC"/>
    <w:rsid w:val="00CC3EA4"/>
    <w:rsid w:val="00CC53AB"/>
    <w:rsid w:val="00CC73E0"/>
    <w:rsid w:val="00CC7B3A"/>
    <w:rsid w:val="00CD01BE"/>
    <w:rsid w:val="00CD0824"/>
    <w:rsid w:val="00CD0BE2"/>
    <w:rsid w:val="00CD173C"/>
    <w:rsid w:val="00CD2536"/>
    <w:rsid w:val="00CD2727"/>
    <w:rsid w:val="00CD2908"/>
    <w:rsid w:val="00CD3558"/>
    <w:rsid w:val="00CD4507"/>
    <w:rsid w:val="00CD4900"/>
    <w:rsid w:val="00CD493B"/>
    <w:rsid w:val="00CD4A3F"/>
    <w:rsid w:val="00CD600F"/>
    <w:rsid w:val="00CD6021"/>
    <w:rsid w:val="00CD7E29"/>
    <w:rsid w:val="00CE196A"/>
    <w:rsid w:val="00CE356E"/>
    <w:rsid w:val="00CE3AA4"/>
    <w:rsid w:val="00CE416B"/>
    <w:rsid w:val="00CE4231"/>
    <w:rsid w:val="00CE6B99"/>
    <w:rsid w:val="00CE7414"/>
    <w:rsid w:val="00CF04F7"/>
    <w:rsid w:val="00CF0AEC"/>
    <w:rsid w:val="00CF0CDE"/>
    <w:rsid w:val="00CF1023"/>
    <w:rsid w:val="00CF1571"/>
    <w:rsid w:val="00CF5494"/>
    <w:rsid w:val="00CF777E"/>
    <w:rsid w:val="00D0089A"/>
    <w:rsid w:val="00D01172"/>
    <w:rsid w:val="00D03725"/>
    <w:rsid w:val="00D03A82"/>
    <w:rsid w:val="00D03BC8"/>
    <w:rsid w:val="00D04EA9"/>
    <w:rsid w:val="00D07547"/>
    <w:rsid w:val="00D07797"/>
    <w:rsid w:val="00D11627"/>
    <w:rsid w:val="00D11A28"/>
    <w:rsid w:val="00D14DDA"/>
    <w:rsid w:val="00D15344"/>
    <w:rsid w:val="00D1669C"/>
    <w:rsid w:val="00D17966"/>
    <w:rsid w:val="00D210FA"/>
    <w:rsid w:val="00D21E39"/>
    <w:rsid w:val="00D243C8"/>
    <w:rsid w:val="00D2581A"/>
    <w:rsid w:val="00D269DD"/>
    <w:rsid w:val="00D3078D"/>
    <w:rsid w:val="00D31BEC"/>
    <w:rsid w:val="00D3288D"/>
    <w:rsid w:val="00D338F4"/>
    <w:rsid w:val="00D34097"/>
    <w:rsid w:val="00D34E3D"/>
    <w:rsid w:val="00D375FF"/>
    <w:rsid w:val="00D3766F"/>
    <w:rsid w:val="00D37DE0"/>
    <w:rsid w:val="00D41C10"/>
    <w:rsid w:val="00D42F6A"/>
    <w:rsid w:val="00D43DCC"/>
    <w:rsid w:val="00D505B5"/>
    <w:rsid w:val="00D539AE"/>
    <w:rsid w:val="00D5464E"/>
    <w:rsid w:val="00D54D79"/>
    <w:rsid w:val="00D56951"/>
    <w:rsid w:val="00D61187"/>
    <w:rsid w:val="00D63150"/>
    <w:rsid w:val="00D64A32"/>
    <w:rsid w:val="00D64DCF"/>
    <w:rsid w:val="00D64EFC"/>
    <w:rsid w:val="00D676FB"/>
    <w:rsid w:val="00D67874"/>
    <w:rsid w:val="00D6791C"/>
    <w:rsid w:val="00D67B5E"/>
    <w:rsid w:val="00D70072"/>
    <w:rsid w:val="00D706A4"/>
    <w:rsid w:val="00D71A1C"/>
    <w:rsid w:val="00D72F47"/>
    <w:rsid w:val="00D75295"/>
    <w:rsid w:val="00D76CE9"/>
    <w:rsid w:val="00D76D11"/>
    <w:rsid w:val="00D7736E"/>
    <w:rsid w:val="00D80020"/>
    <w:rsid w:val="00D80B59"/>
    <w:rsid w:val="00D828FF"/>
    <w:rsid w:val="00D85D75"/>
    <w:rsid w:val="00D865BB"/>
    <w:rsid w:val="00D916DA"/>
    <w:rsid w:val="00D9370E"/>
    <w:rsid w:val="00D96B89"/>
    <w:rsid w:val="00D96C17"/>
    <w:rsid w:val="00D97F12"/>
    <w:rsid w:val="00DA16FD"/>
    <w:rsid w:val="00DA1F78"/>
    <w:rsid w:val="00DA238D"/>
    <w:rsid w:val="00DA4DA1"/>
    <w:rsid w:val="00DA72A0"/>
    <w:rsid w:val="00DA7877"/>
    <w:rsid w:val="00DB04E7"/>
    <w:rsid w:val="00DB42E7"/>
    <w:rsid w:val="00DB5D6E"/>
    <w:rsid w:val="00DB731A"/>
    <w:rsid w:val="00DC07D9"/>
    <w:rsid w:val="00DC15D4"/>
    <w:rsid w:val="00DC28D4"/>
    <w:rsid w:val="00DC3019"/>
    <w:rsid w:val="00DC30F4"/>
    <w:rsid w:val="00DC3CEE"/>
    <w:rsid w:val="00DC5903"/>
    <w:rsid w:val="00DC5C30"/>
    <w:rsid w:val="00DC5CE2"/>
    <w:rsid w:val="00DC6F50"/>
    <w:rsid w:val="00DD037C"/>
    <w:rsid w:val="00DD1684"/>
    <w:rsid w:val="00DD2EAE"/>
    <w:rsid w:val="00DD42CC"/>
    <w:rsid w:val="00DD6054"/>
    <w:rsid w:val="00DD614C"/>
    <w:rsid w:val="00DD6E52"/>
    <w:rsid w:val="00DD79D7"/>
    <w:rsid w:val="00DE262E"/>
    <w:rsid w:val="00DE381B"/>
    <w:rsid w:val="00DE5F7E"/>
    <w:rsid w:val="00DE70FD"/>
    <w:rsid w:val="00DE78AA"/>
    <w:rsid w:val="00DF23F0"/>
    <w:rsid w:val="00DF3168"/>
    <w:rsid w:val="00DF32C2"/>
    <w:rsid w:val="00DF3DA6"/>
    <w:rsid w:val="00DF3E23"/>
    <w:rsid w:val="00DF797C"/>
    <w:rsid w:val="00E0110D"/>
    <w:rsid w:val="00E013FC"/>
    <w:rsid w:val="00E02027"/>
    <w:rsid w:val="00E040A9"/>
    <w:rsid w:val="00E04251"/>
    <w:rsid w:val="00E049C6"/>
    <w:rsid w:val="00E07D0F"/>
    <w:rsid w:val="00E11EA0"/>
    <w:rsid w:val="00E12490"/>
    <w:rsid w:val="00E132D9"/>
    <w:rsid w:val="00E13A92"/>
    <w:rsid w:val="00E13D48"/>
    <w:rsid w:val="00E13E7F"/>
    <w:rsid w:val="00E16C07"/>
    <w:rsid w:val="00E217EF"/>
    <w:rsid w:val="00E21BD1"/>
    <w:rsid w:val="00E2325A"/>
    <w:rsid w:val="00E23F5D"/>
    <w:rsid w:val="00E26C34"/>
    <w:rsid w:val="00E31243"/>
    <w:rsid w:val="00E323B0"/>
    <w:rsid w:val="00E33783"/>
    <w:rsid w:val="00E40053"/>
    <w:rsid w:val="00E409B2"/>
    <w:rsid w:val="00E40CF1"/>
    <w:rsid w:val="00E40D9D"/>
    <w:rsid w:val="00E41073"/>
    <w:rsid w:val="00E429B7"/>
    <w:rsid w:val="00E435F6"/>
    <w:rsid w:val="00E43F50"/>
    <w:rsid w:val="00E471A7"/>
    <w:rsid w:val="00E50900"/>
    <w:rsid w:val="00E51F50"/>
    <w:rsid w:val="00E5232D"/>
    <w:rsid w:val="00E53420"/>
    <w:rsid w:val="00E53A67"/>
    <w:rsid w:val="00E53F2C"/>
    <w:rsid w:val="00E57A10"/>
    <w:rsid w:val="00E60B6E"/>
    <w:rsid w:val="00E635CF"/>
    <w:rsid w:val="00E63825"/>
    <w:rsid w:val="00E63B02"/>
    <w:rsid w:val="00E64310"/>
    <w:rsid w:val="00E65571"/>
    <w:rsid w:val="00E66B07"/>
    <w:rsid w:val="00E66B42"/>
    <w:rsid w:val="00E70B80"/>
    <w:rsid w:val="00E70EE8"/>
    <w:rsid w:val="00E73556"/>
    <w:rsid w:val="00E77119"/>
    <w:rsid w:val="00E7763B"/>
    <w:rsid w:val="00E80053"/>
    <w:rsid w:val="00E80088"/>
    <w:rsid w:val="00E82936"/>
    <w:rsid w:val="00E8372C"/>
    <w:rsid w:val="00E86C12"/>
    <w:rsid w:val="00E9175C"/>
    <w:rsid w:val="00E936AA"/>
    <w:rsid w:val="00E9421B"/>
    <w:rsid w:val="00E945DC"/>
    <w:rsid w:val="00E95CA1"/>
    <w:rsid w:val="00E970D4"/>
    <w:rsid w:val="00EA0E9C"/>
    <w:rsid w:val="00EA13C5"/>
    <w:rsid w:val="00EA1D84"/>
    <w:rsid w:val="00EA2C6B"/>
    <w:rsid w:val="00EA34B6"/>
    <w:rsid w:val="00EA6BC3"/>
    <w:rsid w:val="00EB0273"/>
    <w:rsid w:val="00EB140B"/>
    <w:rsid w:val="00EB3FD0"/>
    <w:rsid w:val="00EB5410"/>
    <w:rsid w:val="00EB63DB"/>
    <w:rsid w:val="00EB7607"/>
    <w:rsid w:val="00EC4D6A"/>
    <w:rsid w:val="00EC5423"/>
    <w:rsid w:val="00EC650C"/>
    <w:rsid w:val="00EC6E0A"/>
    <w:rsid w:val="00ED2196"/>
    <w:rsid w:val="00ED3CCE"/>
    <w:rsid w:val="00ED43CC"/>
    <w:rsid w:val="00ED4E18"/>
    <w:rsid w:val="00ED641A"/>
    <w:rsid w:val="00EE06C1"/>
    <w:rsid w:val="00EE1197"/>
    <w:rsid w:val="00EE1F37"/>
    <w:rsid w:val="00EE4B5F"/>
    <w:rsid w:val="00EE77A4"/>
    <w:rsid w:val="00EE78E1"/>
    <w:rsid w:val="00EF1D33"/>
    <w:rsid w:val="00EF1DC1"/>
    <w:rsid w:val="00EF20C0"/>
    <w:rsid w:val="00EF2A39"/>
    <w:rsid w:val="00EF30D5"/>
    <w:rsid w:val="00EF3157"/>
    <w:rsid w:val="00EF5E31"/>
    <w:rsid w:val="00EF6D1B"/>
    <w:rsid w:val="00EF6EF6"/>
    <w:rsid w:val="00EF7457"/>
    <w:rsid w:val="00EF7AD9"/>
    <w:rsid w:val="00F0159C"/>
    <w:rsid w:val="00F03DF3"/>
    <w:rsid w:val="00F0533A"/>
    <w:rsid w:val="00F076F9"/>
    <w:rsid w:val="00F105B7"/>
    <w:rsid w:val="00F10CEE"/>
    <w:rsid w:val="00F143F0"/>
    <w:rsid w:val="00F14737"/>
    <w:rsid w:val="00F14C63"/>
    <w:rsid w:val="00F1554D"/>
    <w:rsid w:val="00F15D2E"/>
    <w:rsid w:val="00F16874"/>
    <w:rsid w:val="00F16D4A"/>
    <w:rsid w:val="00F178D8"/>
    <w:rsid w:val="00F17A0D"/>
    <w:rsid w:val="00F17A21"/>
    <w:rsid w:val="00F20D11"/>
    <w:rsid w:val="00F24B50"/>
    <w:rsid w:val="00F25179"/>
    <w:rsid w:val="00F26B8F"/>
    <w:rsid w:val="00F2728F"/>
    <w:rsid w:val="00F27923"/>
    <w:rsid w:val="00F27B60"/>
    <w:rsid w:val="00F31790"/>
    <w:rsid w:val="00F356C4"/>
    <w:rsid w:val="00F356CF"/>
    <w:rsid w:val="00F361B3"/>
    <w:rsid w:val="00F41BA1"/>
    <w:rsid w:val="00F42331"/>
    <w:rsid w:val="00F4247C"/>
    <w:rsid w:val="00F42656"/>
    <w:rsid w:val="00F428F1"/>
    <w:rsid w:val="00F42F3A"/>
    <w:rsid w:val="00F4336C"/>
    <w:rsid w:val="00F50E91"/>
    <w:rsid w:val="00F52EBD"/>
    <w:rsid w:val="00F530EE"/>
    <w:rsid w:val="00F53316"/>
    <w:rsid w:val="00F546DD"/>
    <w:rsid w:val="00F57D29"/>
    <w:rsid w:val="00F60A99"/>
    <w:rsid w:val="00F60D09"/>
    <w:rsid w:val="00F61708"/>
    <w:rsid w:val="00F632EF"/>
    <w:rsid w:val="00F6375B"/>
    <w:rsid w:val="00F67E9B"/>
    <w:rsid w:val="00F67F16"/>
    <w:rsid w:val="00F70A8C"/>
    <w:rsid w:val="00F72087"/>
    <w:rsid w:val="00F749BA"/>
    <w:rsid w:val="00F74F14"/>
    <w:rsid w:val="00F76B59"/>
    <w:rsid w:val="00F77B1A"/>
    <w:rsid w:val="00F82BC9"/>
    <w:rsid w:val="00F833E3"/>
    <w:rsid w:val="00F86A51"/>
    <w:rsid w:val="00F86C43"/>
    <w:rsid w:val="00F916D5"/>
    <w:rsid w:val="00F92A99"/>
    <w:rsid w:val="00F95CB5"/>
    <w:rsid w:val="00F96201"/>
    <w:rsid w:val="00F96B52"/>
    <w:rsid w:val="00F96F70"/>
    <w:rsid w:val="00FA0091"/>
    <w:rsid w:val="00FA228B"/>
    <w:rsid w:val="00FA3D3F"/>
    <w:rsid w:val="00FA47C8"/>
    <w:rsid w:val="00FA56E3"/>
    <w:rsid w:val="00FA60E9"/>
    <w:rsid w:val="00FB09DE"/>
    <w:rsid w:val="00FB23E4"/>
    <w:rsid w:val="00FB38F4"/>
    <w:rsid w:val="00FB3B02"/>
    <w:rsid w:val="00FB4AC5"/>
    <w:rsid w:val="00FB5C42"/>
    <w:rsid w:val="00FB74FD"/>
    <w:rsid w:val="00FC045F"/>
    <w:rsid w:val="00FC30E9"/>
    <w:rsid w:val="00FC33E3"/>
    <w:rsid w:val="00FC4254"/>
    <w:rsid w:val="00FC44CE"/>
    <w:rsid w:val="00FC7DFE"/>
    <w:rsid w:val="00FD0B18"/>
    <w:rsid w:val="00FD0F82"/>
    <w:rsid w:val="00FD12A1"/>
    <w:rsid w:val="00FD2855"/>
    <w:rsid w:val="00FD3A7B"/>
    <w:rsid w:val="00FD3BAD"/>
    <w:rsid w:val="00FD4B50"/>
    <w:rsid w:val="00FD4D69"/>
    <w:rsid w:val="00FE3D65"/>
    <w:rsid w:val="00FE65C6"/>
    <w:rsid w:val="00FE714F"/>
    <w:rsid w:val="00FF003D"/>
    <w:rsid w:val="00FF0CC6"/>
    <w:rsid w:val="00FF193B"/>
    <w:rsid w:val="00FF2ED5"/>
    <w:rsid w:val="00FF3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4932243"/>
  <w15:docId w15:val="{06595D62-F4B1-4CA1-A942-AD49912BC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C850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50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D2F"/>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935D2F"/>
    <w:pPr>
      <w:keepNext/>
      <w:keepLines/>
      <w:spacing w:before="200"/>
      <w:outlineLvl w:val="3"/>
    </w:pPr>
    <w:rPr>
      <w:rFonts w:asciiTheme="majorHAnsi" w:eastAsiaTheme="majorEastAsia" w:hAnsiTheme="majorHAnsi" w:cstheme="majorBidi"/>
      <w:b/>
      <w:bCs/>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C8508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508B"/>
    <w:rPr>
      <w:rFonts w:asciiTheme="majorHAnsi" w:eastAsiaTheme="majorEastAsia" w:hAnsiTheme="majorHAnsi" w:cstheme="majorBidi"/>
      <w:b/>
      <w:bCs/>
      <w:color w:val="4F81BD" w:themeColor="accent1"/>
      <w:sz w:val="26"/>
      <w:szCs w:val="26"/>
    </w:rPr>
  </w:style>
  <w:style w:type="character" w:customStyle="1" w:styleId="FootnoteTextChar1">
    <w:name w:val="Footnote Text Char1"/>
    <w:basedOn w:val="DefaultParagraphFont"/>
    <w:uiPriority w:val="99"/>
    <w:semiHidden/>
    <w:rsid w:val="00C8508B"/>
  </w:style>
  <w:style w:type="character" w:customStyle="1" w:styleId="Heading3Char">
    <w:name w:val="Heading 3 Char"/>
    <w:basedOn w:val="DefaultParagraphFont"/>
    <w:link w:val="Heading3"/>
    <w:uiPriority w:val="9"/>
    <w:rsid w:val="00935D2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935D2F"/>
    <w:rPr>
      <w:rFonts w:asciiTheme="majorHAnsi" w:eastAsiaTheme="majorEastAsia" w:hAnsiTheme="majorHAnsi" w:cstheme="majorBidi"/>
      <w:b/>
      <w:bCs/>
      <w:i/>
      <w:iCs/>
      <w:color w:val="4F81BD" w:themeColor="accent1"/>
      <w:sz w:val="24"/>
      <w:szCs w:val="24"/>
    </w:rPr>
  </w:style>
  <w:style w:type="character" w:customStyle="1" w:styleId="TitleChar">
    <w:name w:val="Title Char"/>
    <w:basedOn w:val="DefaultParagraphFont"/>
    <w:link w:val="Title"/>
    <w:uiPriority w:val="10"/>
    <w:rsid w:val="00935D2F"/>
    <w:rPr>
      <w:rFonts w:asciiTheme="majorHAnsi" w:eastAsiaTheme="majorEastAsia" w:hAnsiTheme="majorHAnsi" w:cstheme="majorBidi"/>
      <w:color w:val="17365D" w:themeColor="text2" w:themeShade="BF"/>
      <w:spacing w:val="5"/>
      <w:kern w:val="28"/>
      <w:sz w:val="52"/>
      <w:szCs w:val="52"/>
    </w:rPr>
  </w:style>
  <w:style w:type="paragraph" w:styleId="Title">
    <w:name w:val="Title"/>
    <w:basedOn w:val="Normal"/>
    <w:next w:val="Normal"/>
    <w:link w:val="TitleChar"/>
    <w:uiPriority w:val="10"/>
    <w:qFormat/>
    <w:rsid w:val="00935D2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rsid w:val="00935D2F"/>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935D2F"/>
    <w:rPr>
      <w:rFonts w:asciiTheme="majorHAnsi" w:eastAsiaTheme="majorEastAsia" w:hAnsiTheme="majorHAnsi" w:cstheme="majorBidi"/>
      <w:i/>
      <w:iCs/>
      <w:color w:val="4F81BD" w:themeColor="accent1"/>
      <w:spacing w:val="15"/>
    </w:rPr>
  </w:style>
  <w:style w:type="paragraph" w:styleId="Subtitle">
    <w:name w:val="Subtitle"/>
    <w:basedOn w:val="Normal"/>
    <w:next w:val="Normal"/>
    <w:link w:val="SubtitleChar"/>
    <w:uiPriority w:val="11"/>
    <w:qFormat/>
    <w:rsid w:val="00935D2F"/>
    <w:pPr>
      <w:numPr>
        <w:ilvl w:val="1"/>
      </w:numPr>
    </w:pPr>
    <w:rPr>
      <w:rFonts w:asciiTheme="majorHAnsi" w:eastAsiaTheme="majorEastAsia" w:hAnsiTheme="majorHAnsi" w:cstheme="majorBidi"/>
      <w:i/>
      <w:iCs/>
      <w:color w:val="4F81BD" w:themeColor="accent1"/>
      <w:spacing w:val="15"/>
      <w:sz w:val="22"/>
      <w:szCs w:val="22"/>
    </w:rPr>
  </w:style>
  <w:style w:type="character" w:customStyle="1" w:styleId="SubtitleChar1">
    <w:name w:val="Subtitle Char1"/>
    <w:basedOn w:val="DefaultParagraphFont"/>
    <w:uiPriority w:val="11"/>
    <w:rsid w:val="00935D2F"/>
    <w:rPr>
      <w:rFonts w:eastAsiaTheme="minorEastAsia"/>
      <w:color w:val="5A5A5A" w:themeColor="text1" w:themeTint="A5"/>
      <w:spacing w:val="15"/>
    </w:rPr>
  </w:style>
  <w:style w:type="character" w:customStyle="1" w:styleId="HTMLPreformattedChar">
    <w:name w:val="HTML Preformatted Char"/>
    <w:basedOn w:val="DefaultParagraphFont"/>
    <w:link w:val="HTMLPreformatted"/>
    <w:uiPriority w:val="99"/>
    <w:rsid w:val="00935D2F"/>
    <w:rPr>
      <w:rFonts w:ascii="Courier" w:hAnsi="Courier" w:cs="Courier"/>
      <w:sz w:val="20"/>
      <w:szCs w:val="20"/>
    </w:rPr>
  </w:style>
  <w:style w:type="paragraph" w:styleId="HTMLPreformatted">
    <w:name w:val="HTML Preformatted"/>
    <w:basedOn w:val="Normal"/>
    <w:link w:val="HTMLPreformattedChar"/>
    <w:uiPriority w:val="99"/>
    <w:unhideWhenUsed/>
    <w:rsid w:val="009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rPr>
  </w:style>
  <w:style w:type="character" w:customStyle="1" w:styleId="HTMLPreformattedChar1">
    <w:name w:val="HTML Preformatted Char1"/>
    <w:basedOn w:val="DefaultParagraphFont"/>
    <w:uiPriority w:val="99"/>
    <w:semiHidden/>
    <w:rsid w:val="00935D2F"/>
    <w:rPr>
      <w:rFonts w:ascii="Consolas" w:eastAsia="Times New Roman" w:hAnsi="Consolas" w:cs="Consolas"/>
      <w:sz w:val="20"/>
      <w:szCs w:val="20"/>
    </w:rPr>
  </w:style>
  <w:style w:type="character" w:customStyle="1" w:styleId="BalloonTextChar1">
    <w:name w:val="Balloon Text Char1"/>
    <w:basedOn w:val="DefaultParagraphFont"/>
    <w:uiPriority w:val="99"/>
    <w:semiHidden/>
    <w:rsid w:val="00935D2F"/>
    <w:rPr>
      <w:rFonts w:ascii="Lucida Grande" w:hAnsi="Lucida Grande" w:cs="Lucida Grande"/>
      <w:sz w:val="18"/>
      <w:szCs w:val="18"/>
    </w:rPr>
  </w:style>
  <w:style w:type="character" w:customStyle="1" w:styleId="EndnoteTextChar1">
    <w:name w:val="Endnote Text Char1"/>
    <w:basedOn w:val="DefaultParagraphFont"/>
    <w:uiPriority w:val="99"/>
    <w:semiHidden/>
    <w:rsid w:val="00935D2F"/>
  </w:style>
  <w:style w:type="character" w:customStyle="1" w:styleId="HeaderChar1">
    <w:name w:val="Header Char1"/>
    <w:basedOn w:val="DefaultParagraphFont"/>
    <w:uiPriority w:val="99"/>
    <w:semiHidden/>
    <w:rsid w:val="00935D2F"/>
  </w:style>
  <w:style w:type="character" w:customStyle="1" w:styleId="FooterChar1">
    <w:name w:val="Footer Char1"/>
    <w:basedOn w:val="DefaultParagraphFont"/>
    <w:uiPriority w:val="99"/>
    <w:semiHidden/>
    <w:rsid w:val="00935D2F"/>
  </w:style>
  <w:style w:type="character" w:styleId="PageNumber">
    <w:name w:val="page number"/>
    <w:basedOn w:val="DefaultParagraphFont"/>
    <w:uiPriority w:val="99"/>
    <w:semiHidden/>
    <w:unhideWhenUsed/>
    <w:rsid w:val="00935D2F"/>
  </w:style>
  <w:style w:type="paragraph" w:styleId="DocumentMap">
    <w:name w:val="Document Map"/>
    <w:basedOn w:val="Normal"/>
    <w:link w:val="DocumentMapChar"/>
    <w:uiPriority w:val="99"/>
    <w:semiHidden/>
    <w:unhideWhenUsed/>
    <w:rsid w:val="00935D2F"/>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935D2F"/>
    <w:rPr>
      <w:rFonts w:ascii="Lucida Grande" w:eastAsiaTheme="minorEastAsia" w:hAnsi="Lucida Grande" w:cs="Lucida Grande"/>
      <w:sz w:val="24"/>
      <w:szCs w:val="24"/>
    </w:rPr>
  </w:style>
  <w:style w:type="character" w:styleId="FollowedHyperlink">
    <w:name w:val="FollowedHyperlink"/>
    <w:basedOn w:val="DefaultParagraphFont"/>
    <w:uiPriority w:val="99"/>
    <w:semiHidden/>
    <w:unhideWhenUsed/>
    <w:rsid w:val="009C0D52"/>
    <w:rPr>
      <w:color w:val="800080" w:themeColor="followedHyperlink"/>
      <w:u w:val="single"/>
    </w:rPr>
  </w:style>
  <w:style w:type="character" w:customStyle="1" w:styleId="s1">
    <w:name w:val="s1"/>
    <w:basedOn w:val="DefaultParagraphFont"/>
    <w:rsid w:val="00246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1901">
      <w:bodyDiv w:val="1"/>
      <w:marLeft w:val="0"/>
      <w:marRight w:val="0"/>
      <w:marTop w:val="0"/>
      <w:marBottom w:val="0"/>
      <w:divBdr>
        <w:top w:val="none" w:sz="0" w:space="0" w:color="auto"/>
        <w:left w:val="none" w:sz="0" w:space="0" w:color="auto"/>
        <w:bottom w:val="none" w:sz="0" w:space="0" w:color="auto"/>
        <w:right w:val="none" w:sz="0" w:space="0" w:color="auto"/>
      </w:divBdr>
    </w:div>
    <w:div w:id="443351432">
      <w:bodyDiv w:val="1"/>
      <w:marLeft w:val="0"/>
      <w:marRight w:val="0"/>
      <w:marTop w:val="0"/>
      <w:marBottom w:val="0"/>
      <w:divBdr>
        <w:top w:val="none" w:sz="0" w:space="0" w:color="auto"/>
        <w:left w:val="none" w:sz="0" w:space="0" w:color="auto"/>
        <w:bottom w:val="none" w:sz="0" w:space="0" w:color="auto"/>
        <w:right w:val="none" w:sz="0" w:space="0" w:color="auto"/>
      </w:divBdr>
    </w:div>
    <w:div w:id="642195166">
      <w:bodyDiv w:val="1"/>
      <w:marLeft w:val="0"/>
      <w:marRight w:val="0"/>
      <w:marTop w:val="0"/>
      <w:marBottom w:val="0"/>
      <w:divBdr>
        <w:top w:val="none" w:sz="0" w:space="0" w:color="auto"/>
        <w:left w:val="none" w:sz="0" w:space="0" w:color="auto"/>
        <w:bottom w:val="none" w:sz="0" w:space="0" w:color="auto"/>
        <w:right w:val="none" w:sz="0" w:space="0" w:color="auto"/>
      </w:divBdr>
    </w:div>
    <w:div w:id="1106653998">
      <w:bodyDiv w:val="1"/>
      <w:marLeft w:val="0"/>
      <w:marRight w:val="0"/>
      <w:marTop w:val="0"/>
      <w:marBottom w:val="0"/>
      <w:divBdr>
        <w:top w:val="none" w:sz="0" w:space="0" w:color="auto"/>
        <w:left w:val="none" w:sz="0" w:space="0" w:color="auto"/>
        <w:bottom w:val="none" w:sz="0" w:space="0" w:color="auto"/>
        <w:right w:val="none" w:sz="0" w:space="0" w:color="auto"/>
      </w:divBdr>
    </w:div>
    <w:div w:id="1489713712">
      <w:bodyDiv w:val="1"/>
      <w:marLeft w:val="0"/>
      <w:marRight w:val="0"/>
      <w:marTop w:val="0"/>
      <w:marBottom w:val="0"/>
      <w:divBdr>
        <w:top w:val="none" w:sz="0" w:space="0" w:color="auto"/>
        <w:left w:val="none" w:sz="0" w:space="0" w:color="auto"/>
        <w:bottom w:val="none" w:sz="0" w:space="0" w:color="auto"/>
        <w:right w:val="none" w:sz="0" w:space="0" w:color="auto"/>
      </w:divBdr>
    </w:div>
    <w:div w:id="186535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ata.gov.in/catalog/annual-estimates-gdp-current-prices" TargetMode="Externa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iamindia.com/technical-regulation.aspx?mpgid=31&amp;pgidtrail=33"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Prateeksha:Desktop:Prateeksha%20Offcial:Thesis:Thesis%20October:Before%20Proposal:Thesis:TILL%20CIS:omprehensive:latest%20of%20both:Case%20readings:CMIE%20data:Company_wise_Sales_of_Passenger_cars_Numbers_1997_98_to_2014_15.xls"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Macintosh%20HD:Users:Prateeksha:Desktop:Prateeksha%20Offcial:Thesis:Thesis%20October:Before%20Proposal:Thesis:TILL%20CIS:omprehensive:latest%20of%20both:Case%20readings:CMIE%20data:Company_wise_Sales_of_Passenger_cars_Numbers_1997_98_to_2014_15.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autoTitleDeleted val="1"/>
    <c:plotArea>
      <c:layout>
        <c:manualLayout>
          <c:layoutTarget val="inner"/>
          <c:xMode val="edge"/>
          <c:yMode val="edge"/>
          <c:x val="0.133446620096938"/>
          <c:y val="5.3497942386831303E-2"/>
          <c:w val="0.80279819979467804"/>
          <c:h val="0.59519166585658301"/>
        </c:manualLayout>
      </c:layout>
      <c:lineChart>
        <c:grouping val="standard"/>
        <c:varyColors val="0"/>
        <c:ser>
          <c:idx val="0"/>
          <c:order val="0"/>
          <c:tx>
            <c:strRef>
              <c:f>PC!$G$31</c:f>
              <c:strCache>
                <c:ptCount val="1"/>
                <c:pt idx="0">
                  <c:v>Maruti</c:v>
                </c:pt>
              </c:strCache>
            </c:strRef>
          </c:tx>
          <c:spPr>
            <a:ln w="3175" cmpd="sng"/>
          </c:spPr>
          <c:cat>
            <c:strRef>
              <c:f>PC!$F$32:$F$41</c:f>
              <c:strCache>
                <c:ptCount val="10"/>
                <c:pt idx="0">
                  <c:v>2005−06</c:v>
                </c:pt>
                <c:pt idx="1">
                  <c:v>2006−07</c:v>
                </c:pt>
                <c:pt idx="2">
                  <c:v>2007−08</c:v>
                </c:pt>
                <c:pt idx="3">
                  <c:v>2008−09</c:v>
                </c:pt>
                <c:pt idx="4">
                  <c:v>2009−10</c:v>
                </c:pt>
                <c:pt idx="5">
                  <c:v>2010−11</c:v>
                </c:pt>
                <c:pt idx="6">
                  <c:v>2011−12</c:v>
                </c:pt>
                <c:pt idx="7">
                  <c:v>2012−13</c:v>
                </c:pt>
                <c:pt idx="8">
                  <c:v>2013−14</c:v>
                </c:pt>
                <c:pt idx="9">
                  <c:v>2014−15</c:v>
                </c:pt>
              </c:strCache>
            </c:strRef>
          </c:cat>
          <c:val>
            <c:numRef>
              <c:f>PC!$G$32:$G$41</c:f>
              <c:numCache>
                <c:formatCode>#,##0</c:formatCode>
                <c:ptCount val="10"/>
                <c:pt idx="0">
                  <c:v>489895</c:v>
                </c:pt>
                <c:pt idx="1">
                  <c:v>587078</c:v>
                </c:pt>
                <c:pt idx="2">
                  <c:v>670084</c:v>
                </c:pt>
                <c:pt idx="3">
                  <c:v>705542</c:v>
                </c:pt>
                <c:pt idx="4">
                  <c:v>911689</c:v>
                </c:pt>
                <c:pt idx="5">
                  <c:v>1102473</c:v>
                </c:pt>
                <c:pt idx="6">
                  <c:v>981424</c:v>
                </c:pt>
                <c:pt idx="7">
                  <c:v>980194</c:v>
                </c:pt>
                <c:pt idx="8">
                  <c:v>990287</c:v>
                </c:pt>
                <c:pt idx="9">
                  <c:v>1083124</c:v>
                </c:pt>
              </c:numCache>
            </c:numRef>
          </c:val>
          <c:smooth val="0"/>
        </c:ser>
        <c:ser>
          <c:idx val="1"/>
          <c:order val="1"/>
          <c:tx>
            <c:strRef>
              <c:f>PC!$H$31</c:f>
              <c:strCache>
                <c:ptCount val="1"/>
                <c:pt idx="0">
                  <c:v>Honda</c:v>
                </c:pt>
              </c:strCache>
            </c:strRef>
          </c:tx>
          <c:spPr>
            <a:ln w="3175" cmpd="sng">
              <a:solidFill>
                <a:schemeClr val="tx1"/>
              </a:solidFill>
            </a:ln>
          </c:spPr>
          <c:marker>
            <c:spPr>
              <a:ln w="6350"/>
            </c:spPr>
          </c:marker>
          <c:cat>
            <c:strRef>
              <c:f>PC!$F$32:$F$41</c:f>
              <c:strCache>
                <c:ptCount val="10"/>
                <c:pt idx="0">
                  <c:v>2005−06</c:v>
                </c:pt>
                <c:pt idx="1">
                  <c:v>2006−07</c:v>
                </c:pt>
                <c:pt idx="2">
                  <c:v>2007−08</c:v>
                </c:pt>
                <c:pt idx="3">
                  <c:v>2008−09</c:v>
                </c:pt>
                <c:pt idx="4">
                  <c:v>2009−10</c:v>
                </c:pt>
                <c:pt idx="5">
                  <c:v>2010−11</c:v>
                </c:pt>
                <c:pt idx="6">
                  <c:v>2011−12</c:v>
                </c:pt>
                <c:pt idx="7">
                  <c:v>2012−13</c:v>
                </c:pt>
                <c:pt idx="8">
                  <c:v>2013−14</c:v>
                </c:pt>
                <c:pt idx="9">
                  <c:v>2014−15</c:v>
                </c:pt>
              </c:strCache>
            </c:strRef>
          </c:cat>
          <c:val>
            <c:numRef>
              <c:f>PC!$H$32:$H$41</c:f>
              <c:numCache>
                <c:formatCode>#,##0</c:formatCode>
                <c:ptCount val="10"/>
                <c:pt idx="0">
                  <c:v>259823</c:v>
                </c:pt>
                <c:pt idx="1">
                  <c:v>310395</c:v>
                </c:pt>
                <c:pt idx="2">
                  <c:v>360747</c:v>
                </c:pt>
                <c:pt idx="3">
                  <c:v>497374</c:v>
                </c:pt>
                <c:pt idx="4">
                  <c:v>600625</c:v>
                </c:pt>
                <c:pt idx="5">
                  <c:v>591973</c:v>
                </c:pt>
                <c:pt idx="6">
                  <c:v>624602</c:v>
                </c:pt>
                <c:pt idx="7">
                  <c:v>642662</c:v>
                </c:pt>
                <c:pt idx="8">
                  <c:v>612815</c:v>
                </c:pt>
                <c:pt idx="9">
                  <c:v>610012</c:v>
                </c:pt>
              </c:numCache>
            </c:numRef>
          </c:val>
          <c:smooth val="0"/>
        </c:ser>
        <c:ser>
          <c:idx val="2"/>
          <c:order val="2"/>
          <c:tx>
            <c:strRef>
              <c:f>PC!$I$31</c:f>
              <c:strCache>
                <c:ptCount val="1"/>
                <c:pt idx="0">
                  <c:v>Honda</c:v>
                </c:pt>
              </c:strCache>
            </c:strRef>
          </c:tx>
          <c:spPr>
            <a:ln w="3175" cmpd="sng"/>
          </c:spPr>
          <c:cat>
            <c:strRef>
              <c:f>PC!$F$32:$F$41</c:f>
              <c:strCache>
                <c:ptCount val="10"/>
                <c:pt idx="0">
                  <c:v>2005−06</c:v>
                </c:pt>
                <c:pt idx="1">
                  <c:v>2006−07</c:v>
                </c:pt>
                <c:pt idx="2">
                  <c:v>2007−08</c:v>
                </c:pt>
                <c:pt idx="3">
                  <c:v>2008−09</c:v>
                </c:pt>
                <c:pt idx="4">
                  <c:v>2009−10</c:v>
                </c:pt>
                <c:pt idx="5">
                  <c:v>2010−11</c:v>
                </c:pt>
                <c:pt idx="6">
                  <c:v>2011−12</c:v>
                </c:pt>
                <c:pt idx="7">
                  <c:v>2012−13</c:v>
                </c:pt>
                <c:pt idx="8">
                  <c:v>2013−14</c:v>
                </c:pt>
                <c:pt idx="9">
                  <c:v>2014−15</c:v>
                </c:pt>
              </c:strCache>
            </c:strRef>
          </c:cat>
          <c:val>
            <c:numRef>
              <c:f>PC!$I$32:$I$41</c:f>
              <c:numCache>
                <c:formatCode>#,##0</c:formatCode>
                <c:ptCount val="10"/>
                <c:pt idx="0">
                  <c:v>40918</c:v>
                </c:pt>
                <c:pt idx="1">
                  <c:v>59483</c:v>
                </c:pt>
                <c:pt idx="2">
                  <c:v>59410</c:v>
                </c:pt>
                <c:pt idx="3">
                  <c:v>50245</c:v>
                </c:pt>
                <c:pt idx="4">
                  <c:v>61434</c:v>
                </c:pt>
                <c:pt idx="5">
                  <c:v>59040</c:v>
                </c:pt>
                <c:pt idx="6">
                  <c:v>54182</c:v>
                </c:pt>
                <c:pt idx="7">
                  <c:v>75792</c:v>
                </c:pt>
                <c:pt idx="8">
                  <c:v>138375</c:v>
                </c:pt>
                <c:pt idx="9">
                  <c:v>164931</c:v>
                </c:pt>
              </c:numCache>
            </c:numRef>
          </c:val>
          <c:smooth val="0"/>
        </c:ser>
        <c:ser>
          <c:idx val="3"/>
          <c:order val="3"/>
          <c:tx>
            <c:strRef>
              <c:f>PC!$J$31</c:f>
              <c:strCache>
                <c:ptCount val="1"/>
                <c:pt idx="0">
                  <c:v>Mahindra</c:v>
                </c:pt>
              </c:strCache>
            </c:strRef>
          </c:tx>
          <c:spPr>
            <a:ln w="6350" cmpd="sng">
              <a:solidFill>
                <a:schemeClr val="tx1"/>
              </a:solidFill>
            </a:ln>
          </c:spPr>
          <c:cat>
            <c:strRef>
              <c:f>PC!$F$32:$F$41</c:f>
              <c:strCache>
                <c:ptCount val="10"/>
                <c:pt idx="0">
                  <c:v>2005−06</c:v>
                </c:pt>
                <c:pt idx="1">
                  <c:v>2006−07</c:v>
                </c:pt>
                <c:pt idx="2">
                  <c:v>2007−08</c:v>
                </c:pt>
                <c:pt idx="3">
                  <c:v>2008−09</c:v>
                </c:pt>
                <c:pt idx="4">
                  <c:v>2009−10</c:v>
                </c:pt>
                <c:pt idx="5">
                  <c:v>2010−11</c:v>
                </c:pt>
                <c:pt idx="6">
                  <c:v>2011−12</c:v>
                </c:pt>
                <c:pt idx="7">
                  <c:v>2012−13</c:v>
                </c:pt>
                <c:pt idx="8">
                  <c:v>2013−14</c:v>
                </c:pt>
                <c:pt idx="9">
                  <c:v>2014−15</c:v>
                </c:pt>
              </c:strCache>
            </c:strRef>
          </c:cat>
          <c:val>
            <c:numRef>
              <c:f>PC!$J$32:$J$41</c:f>
              <c:numCache>
                <c:formatCode>#,##0</c:formatCode>
                <c:ptCount val="10"/>
                <c:pt idx="0">
                  <c:v>0</c:v>
                </c:pt>
                <c:pt idx="1">
                  <c:v>0</c:v>
                </c:pt>
                <c:pt idx="2">
                  <c:v>0</c:v>
                </c:pt>
                <c:pt idx="3">
                  <c:v>0</c:v>
                </c:pt>
                <c:pt idx="4">
                  <c:v>0</c:v>
                </c:pt>
                <c:pt idx="5">
                  <c:v>11913</c:v>
                </c:pt>
                <c:pt idx="6">
                  <c:v>17839</c:v>
                </c:pt>
                <c:pt idx="7">
                  <c:v>15344</c:v>
                </c:pt>
                <c:pt idx="8">
                  <c:v>9734</c:v>
                </c:pt>
                <c:pt idx="9">
                  <c:v>3184</c:v>
                </c:pt>
              </c:numCache>
            </c:numRef>
          </c:val>
          <c:smooth val="0"/>
        </c:ser>
        <c:ser>
          <c:idx val="4"/>
          <c:order val="4"/>
          <c:tx>
            <c:strRef>
              <c:f>PC!$K$31</c:f>
              <c:strCache>
                <c:ptCount val="1"/>
                <c:pt idx="0">
                  <c:v>Tata</c:v>
                </c:pt>
              </c:strCache>
            </c:strRef>
          </c:tx>
          <c:spPr>
            <a:ln w="3175" cmpd="sng">
              <a:solidFill>
                <a:schemeClr val="tx1"/>
              </a:solidFill>
            </a:ln>
          </c:spPr>
          <c:cat>
            <c:strRef>
              <c:f>PC!$F$32:$F$41</c:f>
              <c:strCache>
                <c:ptCount val="10"/>
                <c:pt idx="0">
                  <c:v>2005−06</c:v>
                </c:pt>
                <c:pt idx="1">
                  <c:v>2006−07</c:v>
                </c:pt>
                <c:pt idx="2">
                  <c:v>2007−08</c:v>
                </c:pt>
                <c:pt idx="3">
                  <c:v>2008−09</c:v>
                </c:pt>
                <c:pt idx="4">
                  <c:v>2009−10</c:v>
                </c:pt>
                <c:pt idx="5">
                  <c:v>2010−11</c:v>
                </c:pt>
                <c:pt idx="6">
                  <c:v>2011−12</c:v>
                </c:pt>
                <c:pt idx="7">
                  <c:v>2012−13</c:v>
                </c:pt>
                <c:pt idx="8">
                  <c:v>2013−14</c:v>
                </c:pt>
                <c:pt idx="9">
                  <c:v>2014−15</c:v>
                </c:pt>
              </c:strCache>
            </c:strRef>
          </c:cat>
          <c:val>
            <c:numRef>
              <c:f>PC!$K$32:$K$41</c:f>
              <c:numCache>
                <c:formatCode>#,##0</c:formatCode>
                <c:ptCount val="10"/>
                <c:pt idx="0">
                  <c:v>169071</c:v>
                </c:pt>
                <c:pt idx="1">
                  <c:v>195415</c:v>
                </c:pt>
                <c:pt idx="2">
                  <c:v>179263</c:v>
                </c:pt>
                <c:pt idx="3">
                  <c:v>166716</c:v>
                </c:pt>
                <c:pt idx="4">
                  <c:v>207036</c:v>
                </c:pt>
                <c:pt idx="5">
                  <c:v>262777</c:v>
                </c:pt>
                <c:pt idx="6">
                  <c:v>265254</c:v>
                </c:pt>
                <c:pt idx="7">
                  <c:v>180350</c:v>
                </c:pt>
                <c:pt idx="8">
                  <c:v>112894</c:v>
                </c:pt>
                <c:pt idx="9">
                  <c:v>111982</c:v>
                </c:pt>
              </c:numCache>
            </c:numRef>
          </c:val>
          <c:smooth val="0"/>
        </c:ser>
        <c:dLbls>
          <c:showLegendKey val="0"/>
          <c:showVal val="0"/>
          <c:showCatName val="0"/>
          <c:showSerName val="0"/>
          <c:showPercent val="0"/>
          <c:showBubbleSize val="0"/>
        </c:dLbls>
        <c:marker val="1"/>
        <c:smooth val="0"/>
        <c:axId val="269672336"/>
        <c:axId val="269672728"/>
      </c:lineChart>
      <c:catAx>
        <c:axId val="269672336"/>
        <c:scaling>
          <c:orientation val="minMax"/>
        </c:scaling>
        <c:delete val="0"/>
        <c:axPos val="b"/>
        <c:numFmt formatCode="General" sourceLinked="1"/>
        <c:majorTickMark val="none"/>
        <c:minorTickMark val="none"/>
        <c:tickLblPos val="nextTo"/>
        <c:txPr>
          <a:bodyPr/>
          <a:lstStyle/>
          <a:p>
            <a:pPr>
              <a:defRPr sz="800"/>
            </a:pPr>
            <a:endParaRPr lang="en-US"/>
          </a:p>
        </c:txPr>
        <c:crossAx val="269672728"/>
        <c:crosses val="autoZero"/>
        <c:auto val="1"/>
        <c:lblAlgn val="ctr"/>
        <c:lblOffset val="200"/>
        <c:tickMarkSkip val="1"/>
        <c:noMultiLvlLbl val="0"/>
      </c:catAx>
      <c:valAx>
        <c:axId val="269672728"/>
        <c:scaling>
          <c:orientation val="minMax"/>
        </c:scaling>
        <c:delete val="0"/>
        <c:axPos val="l"/>
        <c:numFmt formatCode="#,##0" sourceLinked="1"/>
        <c:majorTickMark val="none"/>
        <c:minorTickMark val="none"/>
        <c:tickLblPos val="nextTo"/>
        <c:txPr>
          <a:bodyPr/>
          <a:lstStyle/>
          <a:p>
            <a:pPr>
              <a:defRPr sz="800"/>
            </a:pPr>
            <a:endParaRPr lang="en-US"/>
          </a:p>
        </c:txPr>
        <c:crossAx val="269672336"/>
        <c:crossesAt val="1"/>
        <c:crossBetween val="between"/>
        <c:majorUnit val="200000"/>
      </c:valAx>
      <c:spPr>
        <a:noFill/>
        <a:ln w="3175" cmpd="sng">
          <a:gradFill flip="none" rotWithShape="1">
            <a:gsLst>
              <a:gs pos="0">
                <a:schemeClr val="dk1">
                  <a:tint val="88000"/>
                  <a:shade val="95000"/>
                  <a:satMod val="105000"/>
                </a:schemeClr>
              </a:gs>
              <a:gs pos="100000">
                <a:srgbClr val="FFFFFF"/>
              </a:gs>
            </a:gsLst>
            <a:lin ang="0" scaled="1"/>
            <a:tileRect/>
          </a:gradFill>
        </a:ln>
      </c:spPr>
    </c:plotArea>
    <c:legend>
      <c:legendPos val="b"/>
      <c:layout>
        <c:manualLayout>
          <c:xMode val="edge"/>
          <c:yMode val="edge"/>
          <c:x val="0.13101371573054499"/>
          <c:y val="0.74333300929976298"/>
          <c:w val="0.71869531933508302"/>
          <c:h val="8.1175882723632894E-2"/>
        </c:manualLayout>
      </c:layout>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autoTitleDeleted val="0"/>
    <c:plotArea>
      <c:layout>
        <c:manualLayout>
          <c:layoutTarget val="inner"/>
          <c:xMode val="edge"/>
          <c:yMode val="edge"/>
          <c:x val="0.130524676793768"/>
          <c:y val="6.5032516258129003E-2"/>
          <c:w val="0.78869061809954899"/>
          <c:h val="0.66768620530737799"/>
        </c:manualLayout>
      </c:layout>
      <c:lineChart>
        <c:grouping val="standard"/>
        <c:varyColors val="0"/>
        <c:ser>
          <c:idx val="0"/>
          <c:order val="0"/>
          <c:tx>
            <c:strRef>
              <c:f>UV!$F$12</c:f>
              <c:strCache>
                <c:ptCount val="1"/>
                <c:pt idx="0">
                  <c:v>Maruti</c:v>
                </c:pt>
              </c:strCache>
            </c:strRef>
          </c:tx>
          <c:spPr>
            <a:ln w="12700" cmpd="sng"/>
          </c:spPr>
          <c:cat>
            <c:strRef>
              <c:f>UV!$E$13:$E$22</c:f>
              <c:strCache>
                <c:ptCount val="10"/>
                <c:pt idx="0">
                  <c:v>2005−06</c:v>
                </c:pt>
                <c:pt idx="1">
                  <c:v>2006−07</c:v>
                </c:pt>
                <c:pt idx="2">
                  <c:v>2007−08</c:v>
                </c:pt>
                <c:pt idx="3">
                  <c:v>2008−09</c:v>
                </c:pt>
                <c:pt idx="4">
                  <c:v>2009−10</c:v>
                </c:pt>
                <c:pt idx="5">
                  <c:v>2010−11</c:v>
                </c:pt>
                <c:pt idx="6">
                  <c:v>2011−12</c:v>
                </c:pt>
                <c:pt idx="7">
                  <c:v>2012−13</c:v>
                </c:pt>
                <c:pt idx="8">
                  <c:v>2013−14</c:v>
                </c:pt>
                <c:pt idx="9">
                  <c:v>2014−15</c:v>
                </c:pt>
              </c:strCache>
            </c:strRef>
          </c:cat>
          <c:val>
            <c:numRef>
              <c:f>UV!$F$13:$F$22</c:f>
              <c:numCache>
                <c:formatCode>#,##0</c:formatCode>
                <c:ptCount val="10"/>
                <c:pt idx="0">
                  <c:v>4468</c:v>
                </c:pt>
                <c:pt idx="1">
                  <c:v>3425</c:v>
                </c:pt>
                <c:pt idx="2">
                  <c:v>4030</c:v>
                </c:pt>
                <c:pt idx="3">
                  <c:v>7565</c:v>
                </c:pt>
                <c:pt idx="4">
                  <c:v>3989</c:v>
                </c:pt>
                <c:pt idx="5">
                  <c:v>5892</c:v>
                </c:pt>
                <c:pt idx="6">
                  <c:v>6694</c:v>
                </c:pt>
                <c:pt idx="7">
                  <c:v>79487</c:v>
                </c:pt>
                <c:pt idx="8">
                  <c:v>61378</c:v>
                </c:pt>
                <c:pt idx="9">
                  <c:v>78692</c:v>
                </c:pt>
              </c:numCache>
            </c:numRef>
          </c:val>
          <c:smooth val="0"/>
        </c:ser>
        <c:ser>
          <c:idx val="1"/>
          <c:order val="1"/>
          <c:tx>
            <c:strRef>
              <c:f>UV!$G$12</c:f>
              <c:strCache>
                <c:ptCount val="1"/>
                <c:pt idx="0">
                  <c:v>Honda</c:v>
                </c:pt>
              </c:strCache>
            </c:strRef>
          </c:tx>
          <c:spPr>
            <a:ln w="12700" cmpd="sng"/>
          </c:spPr>
          <c:cat>
            <c:strRef>
              <c:f>UV!$E$13:$E$22</c:f>
              <c:strCache>
                <c:ptCount val="10"/>
                <c:pt idx="0">
                  <c:v>2005−06</c:v>
                </c:pt>
                <c:pt idx="1">
                  <c:v>2006−07</c:v>
                </c:pt>
                <c:pt idx="2">
                  <c:v>2007−08</c:v>
                </c:pt>
                <c:pt idx="3">
                  <c:v>2008−09</c:v>
                </c:pt>
                <c:pt idx="4">
                  <c:v>2009−10</c:v>
                </c:pt>
                <c:pt idx="5">
                  <c:v>2010−11</c:v>
                </c:pt>
                <c:pt idx="6">
                  <c:v>2011−12</c:v>
                </c:pt>
                <c:pt idx="7">
                  <c:v>2012−13</c:v>
                </c:pt>
                <c:pt idx="8">
                  <c:v>2013−14</c:v>
                </c:pt>
                <c:pt idx="9">
                  <c:v>2014−15</c:v>
                </c:pt>
              </c:strCache>
            </c:strRef>
          </c:cat>
          <c:val>
            <c:numRef>
              <c:f>UV!$G$13:$G$22</c:f>
              <c:numCache>
                <c:formatCode>General</c:formatCode>
                <c:ptCount val="10"/>
                <c:pt idx="0" formatCode="#,##0">
                  <c:v>1253</c:v>
                </c:pt>
                <c:pt idx="1">
                  <c:v>391</c:v>
                </c:pt>
                <c:pt idx="2">
                  <c:v>188</c:v>
                </c:pt>
                <c:pt idx="3">
                  <c:v>50</c:v>
                </c:pt>
                <c:pt idx="4">
                  <c:v>14</c:v>
                </c:pt>
                <c:pt idx="5">
                  <c:v>462</c:v>
                </c:pt>
                <c:pt idx="6" formatCode="#,##0">
                  <c:v>1611</c:v>
                </c:pt>
                <c:pt idx="7">
                  <c:v>760</c:v>
                </c:pt>
                <c:pt idx="8">
                  <c:v>698</c:v>
                </c:pt>
                <c:pt idx="9" formatCode="#,##0">
                  <c:v>1877</c:v>
                </c:pt>
              </c:numCache>
            </c:numRef>
          </c:val>
          <c:smooth val="0"/>
        </c:ser>
        <c:ser>
          <c:idx val="2"/>
          <c:order val="2"/>
          <c:tx>
            <c:strRef>
              <c:f>UV!$H$12</c:f>
              <c:strCache>
                <c:ptCount val="1"/>
                <c:pt idx="0">
                  <c:v>Honda</c:v>
                </c:pt>
              </c:strCache>
            </c:strRef>
          </c:tx>
          <c:spPr>
            <a:ln w="12700" cmpd="sng"/>
          </c:spPr>
          <c:dPt>
            <c:idx val="0"/>
            <c:bubble3D val="0"/>
            <c:spPr>
              <a:ln w="12700" cmpd="sng">
                <a:solidFill>
                  <a:schemeClr val="tx1"/>
                </a:solidFill>
              </a:ln>
            </c:spPr>
          </c:dPt>
          <c:cat>
            <c:strRef>
              <c:f>UV!$E$13:$E$22</c:f>
              <c:strCache>
                <c:ptCount val="10"/>
                <c:pt idx="0">
                  <c:v>2005−06</c:v>
                </c:pt>
                <c:pt idx="1">
                  <c:v>2006−07</c:v>
                </c:pt>
                <c:pt idx="2">
                  <c:v>2007−08</c:v>
                </c:pt>
                <c:pt idx="3">
                  <c:v>2008−09</c:v>
                </c:pt>
                <c:pt idx="4">
                  <c:v>2009−10</c:v>
                </c:pt>
                <c:pt idx="5">
                  <c:v>2010−11</c:v>
                </c:pt>
                <c:pt idx="6">
                  <c:v>2011−12</c:v>
                </c:pt>
                <c:pt idx="7">
                  <c:v>2012−13</c:v>
                </c:pt>
                <c:pt idx="8">
                  <c:v>2013−14</c:v>
                </c:pt>
                <c:pt idx="9">
                  <c:v>2014−15</c:v>
                </c:pt>
              </c:strCache>
            </c:strRef>
          </c:cat>
          <c:val>
            <c:numRef>
              <c:f>UV!$H$13:$H$22</c:f>
              <c:numCache>
                <c:formatCode>#,##0</c:formatCode>
                <c:ptCount val="10"/>
                <c:pt idx="0">
                  <c:v>1858</c:v>
                </c:pt>
                <c:pt idx="1">
                  <c:v>1873</c:v>
                </c:pt>
                <c:pt idx="2">
                  <c:v>3428</c:v>
                </c:pt>
                <c:pt idx="3">
                  <c:v>2246</c:v>
                </c:pt>
                <c:pt idx="4" formatCode="General">
                  <c:v>474</c:v>
                </c:pt>
                <c:pt idx="5" formatCode="General">
                  <c:v>512</c:v>
                </c:pt>
                <c:pt idx="6" formatCode="General">
                  <c:v>312</c:v>
                </c:pt>
                <c:pt idx="7" formatCode="General">
                  <c:v>301</c:v>
                </c:pt>
                <c:pt idx="8">
                  <c:v>1018</c:v>
                </c:pt>
                <c:pt idx="9">
                  <c:v>32529</c:v>
                </c:pt>
              </c:numCache>
            </c:numRef>
          </c:val>
          <c:smooth val="0"/>
        </c:ser>
        <c:ser>
          <c:idx val="3"/>
          <c:order val="3"/>
          <c:tx>
            <c:strRef>
              <c:f>UV!$I$12</c:f>
              <c:strCache>
                <c:ptCount val="1"/>
                <c:pt idx="0">
                  <c:v>Mahindra</c:v>
                </c:pt>
              </c:strCache>
            </c:strRef>
          </c:tx>
          <c:spPr>
            <a:ln w="12700" cmpd="sng"/>
          </c:spPr>
          <c:cat>
            <c:strRef>
              <c:f>UV!$E$13:$E$22</c:f>
              <c:strCache>
                <c:ptCount val="10"/>
                <c:pt idx="0">
                  <c:v>2005−06</c:v>
                </c:pt>
                <c:pt idx="1">
                  <c:v>2006−07</c:v>
                </c:pt>
                <c:pt idx="2">
                  <c:v>2007−08</c:v>
                </c:pt>
                <c:pt idx="3">
                  <c:v>2008−09</c:v>
                </c:pt>
                <c:pt idx="4">
                  <c:v>2009−10</c:v>
                </c:pt>
                <c:pt idx="5">
                  <c:v>2010−11</c:v>
                </c:pt>
                <c:pt idx="6">
                  <c:v>2011−12</c:v>
                </c:pt>
                <c:pt idx="7">
                  <c:v>2012−13</c:v>
                </c:pt>
                <c:pt idx="8">
                  <c:v>2013−14</c:v>
                </c:pt>
                <c:pt idx="9">
                  <c:v>2014−15</c:v>
                </c:pt>
              </c:strCache>
            </c:strRef>
          </c:cat>
          <c:val>
            <c:numRef>
              <c:f>UV!$I$13:$I$22</c:f>
              <c:numCache>
                <c:formatCode>#,##0</c:formatCode>
                <c:ptCount val="10"/>
                <c:pt idx="0">
                  <c:v>86488</c:v>
                </c:pt>
                <c:pt idx="1">
                  <c:v>92305</c:v>
                </c:pt>
                <c:pt idx="2">
                  <c:v>107426</c:v>
                </c:pt>
                <c:pt idx="3">
                  <c:v>108564</c:v>
                </c:pt>
                <c:pt idx="4">
                  <c:v>152736</c:v>
                </c:pt>
                <c:pt idx="5">
                  <c:v>171924</c:v>
                </c:pt>
                <c:pt idx="6">
                  <c:v>206467</c:v>
                </c:pt>
                <c:pt idx="7">
                  <c:v>270013</c:v>
                </c:pt>
                <c:pt idx="8">
                  <c:v>226938</c:v>
                </c:pt>
                <c:pt idx="9">
                  <c:v>212166</c:v>
                </c:pt>
              </c:numCache>
            </c:numRef>
          </c:val>
          <c:smooth val="0"/>
        </c:ser>
        <c:ser>
          <c:idx val="4"/>
          <c:order val="4"/>
          <c:tx>
            <c:strRef>
              <c:f>UV!$J$12</c:f>
              <c:strCache>
                <c:ptCount val="1"/>
                <c:pt idx="0">
                  <c:v>Tata</c:v>
                </c:pt>
              </c:strCache>
            </c:strRef>
          </c:tx>
          <c:spPr>
            <a:ln w="12700" cmpd="sng">
              <a:solidFill>
                <a:schemeClr val="tx1"/>
              </a:solidFill>
            </a:ln>
          </c:spPr>
          <c:cat>
            <c:strRef>
              <c:f>UV!$E$13:$E$22</c:f>
              <c:strCache>
                <c:ptCount val="10"/>
                <c:pt idx="0">
                  <c:v>2005−06</c:v>
                </c:pt>
                <c:pt idx="1">
                  <c:v>2006−07</c:v>
                </c:pt>
                <c:pt idx="2">
                  <c:v>2007−08</c:v>
                </c:pt>
                <c:pt idx="3">
                  <c:v>2008−09</c:v>
                </c:pt>
                <c:pt idx="4">
                  <c:v>2009−10</c:v>
                </c:pt>
                <c:pt idx="5">
                  <c:v>2010−11</c:v>
                </c:pt>
                <c:pt idx="6">
                  <c:v>2011−12</c:v>
                </c:pt>
                <c:pt idx="7">
                  <c:v>2012−13</c:v>
                </c:pt>
                <c:pt idx="8">
                  <c:v>2013−14</c:v>
                </c:pt>
                <c:pt idx="9">
                  <c:v>2014−15</c:v>
                </c:pt>
              </c:strCache>
            </c:strRef>
          </c:cat>
          <c:val>
            <c:numRef>
              <c:f>UV!$J$13:$J$22</c:f>
              <c:numCache>
                <c:formatCode>#,##0</c:formatCode>
                <c:ptCount val="10"/>
                <c:pt idx="0">
                  <c:v>39789</c:v>
                </c:pt>
                <c:pt idx="1">
                  <c:v>49550</c:v>
                </c:pt>
                <c:pt idx="2">
                  <c:v>52324</c:v>
                </c:pt>
                <c:pt idx="3">
                  <c:v>42342</c:v>
                </c:pt>
                <c:pt idx="4">
                  <c:v>36109</c:v>
                </c:pt>
                <c:pt idx="5">
                  <c:v>42440</c:v>
                </c:pt>
                <c:pt idx="6">
                  <c:v>49194</c:v>
                </c:pt>
                <c:pt idx="7">
                  <c:v>45602</c:v>
                </c:pt>
                <c:pt idx="8">
                  <c:v>29232</c:v>
                </c:pt>
                <c:pt idx="9">
                  <c:v>24858</c:v>
                </c:pt>
              </c:numCache>
            </c:numRef>
          </c:val>
          <c:smooth val="0"/>
        </c:ser>
        <c:dLbls>
          <c:showLegendKey val="0"/>
          <c:showVal val="0"/>
          <c:showCatName val="0"/>
          <c:showSerName val="0"/>
          <c:showPercent val="0"/>
          <c:showBubbleSize val="0"/>
        </c:dLbls>
        <c:marker val="1"/>
        <c:smooth val="0"/>
        <c:axId val="150527048"/>
        <c:axId val="150526656"/>
      </c:lineChart>
      <c:catAx>
        <c:axId val="150527048"/>
        <c:scaling>
          <c:orientation val="minMax"/>
        </c:scaling>
        <c:delete val="0"/>
        <c:axPos val="b"/>
        <c:numFmt formatCode="General" sourceLinked="0"/>
        <c:majorTickMark val="none"/>
        <c:minorTickMark val="none"/>
        <c:tickLblPos val="nextTo"/>
        <c:crossAx val="150526656"/>
        <c:crosses val="autoZero"/>
        <c:auto val="1"/>
        <c:lblAlgn val="ctr"/>
        <c:lblOffset val="100"/>
        <c:noMultiLvlLbl val="0"/>
      </c:catAx>
      <c:valAx>
        <c:axId val="150526656"/>
        <c:scaling>
          <c:orientation val="minMax"/>
        </c:scaling>
        <c:delete val="0"/>
        <c:axPos val="l"/>
        <c:numFmt formatCode="#,##0" sourceLinked="1"/>
        <c:majorTickMark val="none"/>
        <c:minorTickMark val="none"/>
        <c:tickLblPos val="nextTo"/>
        <c:crossAx val="150527048"/>
        <c:crosses val="autoZero"/>
        <c:crossBetween val="between"/>
      </c:valAx>
      <c:spPr>
        <a:ln w="6350" cmpd="sng"/>
      </c:spPr>
    </c:plotArea>
    <c:legend>
      <c:legendPos val="b"/>
      <c:layout>
        <c:manualLayout>
          <c:xMode val="edge"/>
          <c:yMode val="edge"/>
          <c:x val="0.161692913385827"/>
          <c:y val="0.83205881576913898"/>
          <c:w val="0.68994750656168002"/>
          <c:h val="9.6136492991032899E-2"/>
        </c:manualLayout>
      </c:layout>
      <c:overlay val="0"/>
    </c:legend>
    <c:plotVisOnly val="1"/>
    <c:dispBlanksAs val="gap"/>
    <c:showDLblsOverMax val="0"/>
  </c:chart>
  <c:txPr>
    <a:bodyPr/>
    <a:lstStyle/>
    <a:p>
      <a:pPr>
        <a:defRPr sz="900"/>
      </a:pPr>
      <a:endParaRPr lang="en-US"/>
    </a:p>
  </c:txPr>
  <c:externalData r:id="rId1">
    <c:autoUpdate val="0"/>
  </c:externalData>
  <c:userShapes r:id="rId2"/>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B623E-9734-F844-8A7C-5995AD66DD5F}" type="doc">
      <dgm:prSet loTypeId="urn:microsoft.com/office/officeart/2009/3/layout/HorizontalOrganizationChart" loCatId="" qsTypeId="urn:microsoft.com/office/officeart/2005/8/quickstyle/simple4" qsCatId="simple" csTypeId="urn:microsoft.com/office/officeart/2005/8/colors/accent1_2" csCatId="accent1" phldr="1"/>
      <dgm:spPr/>
      <dgm:t>
        <a:bodyPr/>
        <a:lstStyle/>
        <a:p>
          <a:endParaRPr lang="en-US"/>
        </a:p>
      </dgm:t>
    </dgm:pt>
    <dgm:pt modelId="{F09E1704-4DC2-6F4D-9384-6A24FB6218DF}">
      <dgm:prSet phldrT="[Text]" custT="1">
        <dgm:style>
          <a:lnRef idx="2">
            <a:schemeClr val="dk1"/>
          </a:lnRef>
          <a:fillRef idx="1">
            <a:schemeClr val="lt1"/>
          </a:fillRef>
          <a:effectRef idx="0">
            <a:schemeClr val="dk1"/>
          </a:effectRef>
          <a:fontRef idx="minor">
            <a:schemeClr val="dk1"/>
          </a:fontRef>
        </dgm:style>
      </dgm:prSet>
      <dgm:spPr>
        <a:ln w="28575" cmpd="sng"/>
      </dgm:spPr>
      <dgm:t>
        <a:bodyPr/>
        <a:lstStyle/>
        <a:p>
          <a:r>
            <a:rPr lang="en-US" sz="900" b="1">
              <a:latin typeface="Arial"/>
              <a:cs typeface="Arial"/>
            </a:rPr>
            <a:t>1991 </a:t>
          </a:r>
          <a:r>
            <a:rPr lang="en-US" sz="900">
              <a:latin typeface="Arial"/>
              <a:cs typeface="Arial"/>
            </a:rPr>
            <a:t>                                                        Maruti Udyog Limited (MUL) established as Public Sector Undertaking</a:t>
          </a:r>
        </a:p>
      </dgm:t>
    </dgm:pt>
    <dgm:pt modelId="{97726D10-39A5-F345-9DFD-A4F6A6C9A652}" type="parTrans" cxnId="{9483F9D0-0832-4746-859B-4514190101ED}">
      <dgm:prSet/>
      <dgm:spPr/>
      <dgm:t>
        <a:bodyPr/>
        <a:lstStyle/>
        <a:p>
          <a:endParaRPr lang="en-US"/>
        </a:p>
      </dgm:t>
    </dgm:pt>
    <dgm:pt modelId="{E4AC5857-17B8-4147-B2AD-92F87B189BBF}" type="sibTrans" cxnId="{9483F9D0-0832-4746-859B-4514190101ED}">
      <dgm:prSet/>
      <dgm:spPr/>
      <dgm:t>
        <a:bodyPr/>
        <a:lstStyle/>
        <a:p>
          <a:endParaRPr lang="en-US"/>
        </a:p>
      </dgm:t>
    </dgm:pt>
    <dgm:pt modelId="{E90ADEC9-A2EF-3B4A-86C3-6402273D26BC}" type="asst">
      <dgm:prSet phldrT="[Text]" custT="1">
        <dgm:style>
          <a:lnRef idx="2">
            <a:schemeClr val="dk1"/>
          </a:lnRef>
          <a:fillRef idx="1">
            <a:schemeClr val="lt1"/>
          </a:fillRef>
          <a:effectRef idx="0">
            <a:schemeClr val="dk1"/>
          </a:effectRef>
          <a:fontRef idx="minor">
            <a:schemeClr val="dk1"/>
          </a:fontRef>
        </dgm:style>
      </dgm:prSet>
      <dgm:spPr>
        <a:ln w="28575" cmpd="sng"/>
      </dgm:spPr>
      <dgm:t>
        <a:bodyPr/>
        <a:lstStyle/>
        <a:p>
          <a:pPr algn="ctr"/>
          <a:r>
            <a:rPr lang="en-US" sz="900" b="1">
              <a:latin typeface="Arial"/>
              <a:cs typeface="Arial"/>
            </a:rPr>
            <a:t>2007</a:t>
          </a:r>
          <a:r>
            <a:rPr lang="en-US" sz="900">
              <a:latin typeface="Arial"/>
              <a:cs typeface="Arial"/>
            </a:rPr>
            <a:t>                                                        Government of India exits; MUL re-named MSIL</a:t>
          </a:r>
        </a:p>
      </dgm:t>
    </dgm:pt>
    <dgm:pt modelId="{1B620DF1-8BB0-F94E-B9E7-E96121F1D002}" type="parTrans" cxnId="{C7221EAA-059A-A04B-B1B8-FF2572538310}">
      <dgm:prSet>
        <dgm:style>
          <a:lnRef idx="2">
            <a:schemeClr val="dk1"/>
          </a:lnRef>
          <a:fillRef idx="1">
            <a:schemeClr val="lt1"/>
          </a:fillRef>
          <a:effectRef idx="0">
            <a:schemeClr val="dk1"/>
          </a:effectRef>
          <a:fontRef idx="minor">
            <a:schemeClr val="dk1"/>
          </a:fontRef>
        </dgm:style>
      </dgm:prSet>
      <dgm:spPr>
        <a:ln w="28575" cmpd="sng"/>
      </dgm:spPr>
      <dgm:t>
        <a:bodyPr/>
        <a:lstStyle/>
        <a:p>
          <a:endParaRPr lang="en-US">
            <a:latin typeface="Arial"/>
            <a:cs typeface="Arial"/>
          </a:endParaRPr>
        </a:p>
      </dgm:t>
    </dgm:pt>
    <dgm:pt modelId="{07EE0617-3BFB-C44B-80AC-C2D818126FDB}" type="sibTrans" cxnId="{C7221EAA-059A-A04B-B1B8-FF2572538310}">
      <dgm:prSet/>
      <dgm:spPr/>
      <dgm:t>
        <a:bodyPr/>
        <a:lstStyle/>
        <a:p>
          <a:endParaRPr lang="en-US"/>
        </a:p>
      </dgm:t>
    </dgm:pt>
    <dgm:pt modelId="{DB739961-4504-D547-904B-3437BED29933}">
      <dgm:prSet phldrT="[Text]" custT="1">
        <dgm:style>
          <a:lnRef idx="2">
            <a:schemeClr val="dk1"/>
          </a:lnRef>
          <a:fillRef idx="1">
            <a:schemeClr val="lt1"/>
          </a:fillRef>
          <a:effectRef idx="0">
            <a:schemeClr val="dk1"/>
          </a:effectRef>
          <a:fontRef idx="minor">
            <a:schemeClr val="dk1"/>
          </a:fontRef>
        </dgm:style>
      </dgm:prSet>
      <dgm:spPr>
        <a:ln w="28575" cmpd="sng"/>
      </dgm:spPr>
      <dgm:t>
        <a:bodyPr/>
        <a:lstStyle/>
        <a:p>
          <a:r>
            <a:rPr lang="en-US" sz="900" b="1">
              <a:latin typeface="Arial"/>
              <a:cs typeface="Arial"/>
            </a:rPr>
            <a:t>2013</a:t>
          </a:r>
          <a:r>
            <a:rPr lang="en-US" sz="900">
              <a:latin typeface="Arial"/>
              <a:cs typeface="Arial"/>
            </a:rPr>
            <a:t>                                                </a:t>
          </a:r>
          <a:r>
            <a:rPr lang="en-US" sz="900" b="0">
              <a:latin typeface="Arial"/>
              <a:cs typeface="Arial"/>
            </a:rPr>
            <a:t>Suzuki Motor  Corporation </a:t>
          </a:r>
          <a:r>
            <a:rPr lang="en-US" sz="900">
              <a:latin typeface="Arial"/>
              <a:cs typeface="Arial"/>
            </a:rPr>
            <a:t>stake increased to 56.21%</a:t>
          </a:r>
        </a:p>
      </dgm:t>
    </dgm:pt>
    <dgm:pt modelId="{0B657DF0-B843-0146-8412-490AB3EA1811}" type="parTrans" cxnId="{DB07F92E-8618-C44B-8C5A-41E5D17439EE}">
      <dgm:prSet>
        <dgm:style>
          <a:lnRef idx="2">
            <a:schemeClr val="dk1"/>
          </a:lnRef>
          <a:fillRef idx="1">
            <a:schemeClr val="lt1"/>
          </a:fillRef>
          <a:effectRef idx="0">
            <a:schemeClr val="dk1"/>
          </a:effectRef>
          <a:fontRef idx="minor">
            <a:schemeClr val="dk1"/>
          </a:fontRef>
        </dgm:style>
      </dgm:prSet>
      <dgm:spPr>
        <a:ln w="28575" cmpd="sng"/>
      </dgm:spPr>
      <dgm:t>
        <a:bodyPr/>
        <a:lstStyle/>
        <a:p>
          <a:endParaRPr lang="en-US">
            <a:latin typeface="Arial"/>
            <a:cs typeface="Arial"/>
          </a:endParaRPr>
        </a:p>
      </dgm:t>
    </dgm:pt>
    <dgm:pt modelId="{F2B18DA1-0477-BB40-B4C6-F46F9F167288}" type="sibTrans" cxnId="{DB07F92E-8618-C44B-8C5A-41E5D17439EE}">
      <dgm:prSet/>
      <dgm:spPr/>
      <dgm:t>
        <a:bodyPr/>
        <a:lstStyle/>
        <a:p>
          <a:endParaRPr lang="en-US"/>
        </a:p>
      </dgm:t>
    </dgm:pt>
    <dgm:pt modelId="{429FFA5C-BF08-CD4C-8C2F-78B25F806105}">
      <dgm:prSet phldrT="[Text]" custT="1">
        <dgm:style>
          <a:lnRef idx="2">
            <a:schemeClr val="dk1"/>
          </a:lnRef>
          <a:fillRef idx="1">
            <a:schemeClr val="lt1"/>
          </a:fillRef>
          <a:effectRef idx="0">
            <a:schemeClr val="dk1"/>
          </a:effectRef>
          <a:fontRef idx="minor">
            <a:schemeClr val="dk1"/>
          </a:fontRef>
        </dgm:style>
      </dgm:prSet>
      <dgm:spPr>
        <a:ln w="28575" cmpd="sng"/>
      </dgm:spPr>
      <dgm:t>
        <a:bodyPr/>
        <a:lstStyle/>
        <a:p>
          <a:r>
            <a:rPr lang="en-US" sz="900" b="1">
              <a:latin typeface="Arial"/>
              <a:cs typeface="Arial"/>
            </a:rPr>
            <a:t>2020</a:t>
          </a:r>
          <a:r>
            <a:rPr lang="en-US" sz="900">
              <a:latin typeface="Arial"/>
              <a:cs typeface="Arial"/>
            </a:rPr>
            <a:t>                                                     Target sales of 2  million vehicles per year</a:t>
          </a:r>
        </a:p>
      </dgm:t>
    </dgm:pt>
    <dgm:pt modelId="{0E986F03-3FB2-4145-B446-DE7D333F3A48}" type="parTrans" cxnId="{A6471721-42FA-6B4B-9AF0-2A355BFBC1B3}">
      <dgm:prSet>
        <dgm:style>
          <a:lnRef idx="2">
            <a:schemeClr val="dk1"/>
          </a:lnRef>
          <a:fillRef idx="1">
            <a:schemeClr val="lt1"/>
          </a:fillRef>
          <a:effectRef idx="0">
            <a:schemeClr val="dk1"/>
          </a:effectRef>
          <a:fontRef idx="minor">
            <a:schemeClr val="dk1"/>
          </a:fontRef>
        </dgm:style>
      </dgm:prSet>
      <dgm:spPr>
        <a:ln w="28575" cmpd="sng"/>
      </dgm:spPr>
      <dgm:t>
        <a:bodyPr/>
        <a:lstStyle/>
        <a:p>
          <a:endParaRPr lang="en-US">
            <a:latin typeface="Arial"/>
            <a:cs typeface="Arial"/>
          </a:endParaRPr>
        </a:p>
      </dgm:t>
    </dgm:pt>
    <dgm:pt modelId="{74BDB7A8-2B5E-1D4B-A6B1-43952FD1BB05}" type="sibTrans" cxnId="{A6471721-42FA-6B4B-9AF0-2A355BFBC1B3}">
      <dgm:prSet/>
      <dgm:spPr/>
      <dgm:t>
        <a:bodyPr/>
        <a:lstStyle/>
        <a:p>
          <a:endParaRPr lang="en-US"/>
        </a:p>
      </dgm:t>
    </dgm:pt>
    <dgm:pt modelId="{A83348D0-C4E3-C542-A95D-F724FD237988}">
      <dgm:prSet phldrT="[Text]" custT="1">
        <dgm:style>
          <a:lnRef idx="2">
            <a:schemeClr val="dk1"/>
          </a:lnRef>
          <a:fillRef idx="1">
            <a:schemeClr val="lt1"/>
          </a:fillRef>
          <a:effectRef idx="0">
            <a:schemeClr val="dk1"/>
          </a:effectRef>
          <a:fontRef idx="minor">
            <a:schemeClr val="dk1"/>
          </a:fontRef>
        </dgm:style>
      </dgm:prSet>
      <dgm:spPr>
        <a:ln w="28575" cmpd="sng"/>
      </dgm:spPr>
      <dgm:t>
        <a:bodyPr/>
        <a:lstStyle/>
        <a:p>
          <a:r>
            <a:rPr lang="en-US" sz="900" b="1">
              <a:latin typeface="Arial"/>
              <a:cs typeface="Arial"/>
            </a:rPr>
            <a:t>2002 </a:t>
          </a:r>
        </a:p>
        <a:p>
          <a:r>
            <a:rPr lang="en-US" sz="900" b="0">
              <a:latin typeface="Arial"/>
              <a:cs typeface="Arial"/>
            </a:rPr>
            <a:t>MUL privatized with 54.2% stake of Suzuki Motor  Corporation </a:t>
          </a:r>
        </a:p>
      </dgm:t>
    </dgm:pt>
    <dgm:pt modelId="{476C1C85-EAD9-7C49-A067-325FEF414D72}" type="parTrans" cxnId="{F8C5E159-5324-F742-93D0-D406D147877F}">
      <dgm:prSet>
        <dgm:style>
          <a:lnRef idx="2">
            <a:schemeClr val="dk1"/>
          </a:lnRef>
          <a:fillRef idx="1">
            <a:schemeClr val="lt1"/>
          </a:fillRef>
          <a:effectRef idx="0">
            <a:schemeClr val="dk1"/>
          </a:effectRef>
          <a:fontRef idx="minor">
            <a:schemeClr val="dk1"/>
          </a:fontRef>
        </dgm:style>
      </dgm:prSet>
      <dgm:spPr>
        <a:ln w="28575" cmpd="sng"/>
      </dgm:spPr>
      <dgm:t>
        <a:bodyPr/>
        <a:lstStyle/>
        <a:p>
          <a:endParaRPr lang="en-US">
            <a:latin typeface="Arial"/>
            <a:cs typeface="Arial"/>
          </a:endParaRPr>
        </a:p>
      </dgm:t>
    </dgm:pt>
    <dgm:pt modelId="{D738D809-FFA7-2F47-ACC9-6853A5553CC6}" type="sibTrans" cxnId="{F8C5E159-5324-F742-93D0-D406D147877F}">
      <dgm:prSet/>
      <dgm:spPr/>
      <dgm:t>
        <a:bodyPr/>
        <a:lstStyle/>
        <a:p>
          <a:endParaRPr lang="en-US"/>
        </a:p>
      </dgm:t>
    </dgm:pt>
    <dgm:pt modelId="{E6E5D7EB-FE08-3C44-9ADF-603766294099}" type="asst">
      <dgm:prSet phldrT="[Text]" custT="1">
        <dgm:style>
          <a:lnRef idx="2">
            <a:schemeClr val="dk1"/>
          </a:lnRef>
          <a:fillRef idx="1">
            <a:schemeClr val="lt1"/>
          </a:fillRef>
          <a:effectRef idx="0">
            <a:schemeClr val="dk1"/>
          </a:effectRef>
          <a:fontRef idx="minor">
            <a:schemeClr val="dk1"/>
          </a:fontRef>
        </dgm:style>
      </dgm:prSet>
      <dgm:spPr>
        <a:ln w="28575" cmpd="sng"/>
      </dgm:spPr>
      <dgm:t>
        <a:bodyPr/>
        <a:lstStyle/>
        <a:p>
          <a:r>
            <a:rPr lang="en-US" sz="900" b="1">
              <a:latin typeface="Arial"/>
              <a:cs typeface="Arial"/>
            </a:rPr>
            <a:t>2005</a:t>
          </a:r>
          <a:r>
            <a:rPr lang="en-US" sz="900">
              <a:latin typeface="Arial"/>
              <a:cs typeface="Arial"/>
            </a:rPr>
            <a:t>                                                         5 million vehicles sold</a:t>
          </a:r>
        </a:p>
      </dgm:t>
    </dgm:pt>
    <dgm:pt modelId="{C1AA46D8-549A-6240-8106-62835F55A8F3}" type="parTrans" cxnId="{476C7C89-D068-7E46-BA80-291BB99CBA26}">
      <dgm:prSet>
        <dgm:style>
          <a:lnRef idx="2">
            <a:schemeClr val="dk1"/>
          </a:lnRef>
          <a:fillRef idx="1">
            <a:schemeClr val="lt1"/>
          </a:fillRef>
          <a:effectRef idx="0">
            <a:schemeClr val="dk1"/>
          </a:effectRef>
          <a:fontRef idx="minor">
            <a:schemeClr val="dk1"/>
          </a:fontRef>
        </dgm:style>
      </dgm:prSet>
      <dgm:spPr>
        <a:ln w="28575" cmpd="sng"/>
      </dgm:spPr>
      <dgm:t>
        <a:bodyPr/>
        <a:lstStyle/>
        <a:p>
          <a:endParaRPr lang="en-US">
            <a:latin typeface="Arial"/>
            <a:cs typeface="Arial"/>
          </a:endParaRPr>
        </a:p>
      </dgm:t>
    </dgm:pt>
    <dgm:pt modelId="{6935024F-6D51-2044-88D4-09E2DB907F75}" type="sibTrans" cxnId="{476C7C89-D068-7E46-BA80-291BB99CBA26}">
      <dgm:prSet/>
      <dgm:spPr/>
      <dgm:t>
        <a:bodyPr/>
        <a:lstStyle/>
        <a:p>
          <a:endParaRPr lang="en-US"/>
        </a:p>
      </dgm:t>
    </dgm:pt>
    <dgm:pt modelId="{511E203A-12DE-6E4F-9DEC-FE02D1C4E6FD}">
      <dgm:prSet phldrT="[Text]" custT="1">
        <dgm:style>
          <a:lnRef idx="2">
            <a:schemeClr val="dk1"/>
          </a:lnRef>
          <a:fillRef idx="1">
            <a:schemeClr val="lt1"/>
          </a:fillRef>
          <a:effectRef idx="0">
            <a:schemeClr val="dk1"/>
          </a:effectRef>
          <a:fontRef idx="minor">
            <a:schemeClr val="dk1"/>
          </a:fontRef>
        </dgm:style>
      </dgm:prSet>
      <dgm:spPr>
        <a:ln w="28575" cmpd="sng"/>
      </dgm:spPr>
      <dgm:t>
        <a:bodyPr/>
        <a:lstStyle/>
        <a:p>
          <a:r>
            <a:rPr lang="en-US" sz="900" b="1">
              <a:latin typeface="Arial"/>
              <a:cs typeface="Arial"/>
            </a:rPr>
            <a:t>2011</a:t>
          </a:r>
          <a:r>
            <a:rPr lang="en-US" sz="900">
              <a:latin typeface="Arial"/>
              <a:cs typeface="Arial"/>
            </a:rPr>
            <a:t>                                                    10 million vehicles sold</a:t>
          </a:r>
        </a:p>
      </dgm:t>
    </dgm:pt>
    <dgm:pt modelId="{02DB9CC6-8E80-4043-97D0-4A833DED1B9C}" type="parTrans" cxnId="{D889530F-A542-6644-892F-A1E6C3F426C1}">
      <dgm:prSet>
        <dgm:style>
          <a:lnRef idx="2">
            <a:schemeClr val="dk1"/>
          </a:lnRef>
          <a:fillRef idx="1">
            <a:schemeClr val="lt1"/>
          </a:fillRef>
          <a:effectRef idx="0">
            <a:schemeClr val="dk1"/>
          </a:effectRef>
          <a:fontRef idx="minor">
            <a:schemeClr val="dk1"/>
          </a:fontRef>
        </dgm:style>
      </dgm:prSet>
      <dgm:spPr>
        <a:ln w="28575" cmpd="sng"/>
      </dgm:spPr>
      <dgm:t>
        <a:bodyPr/>
        <a:lstStyle/>
        <a:p>
          <a:endParaRPr lang="en-US">
            <a:latin typeface="Arial"/>
            <a:cs typeface="Arial"/>
          </a:endParaRPr>
        </a:p>
      </dgm:t>
    </dgm:pt>
    <dgm:pt modelId="{4A55832F-43D6-9D4F-B0A6-7BD81B12F189}" type="sibTrans" cxnId="{D889530F-A542-6644-892F-A1E6C3F426C1}">
      <dgm:prSet/>
      <dgm:spPr/>
      <dgm:t>
        <a:bodyPr/>
        <a:lstStyle/>
        <a:p>
          <a:endParaRPr lang="en-US"/>
        </a:p>
      </dgm:t>
    </dgm:pt>
    <dgm:pt modelId="{2CA4A706-26A0-0440-AAB1-5764F497DA70}">
      <dgm:prSet phldrT="[Text]" custT="1">
        <dgm:style>
          <a:lnRef idx="2">
            <a:schemeClr val="dk1"/>
          </a:lnRef>
          <a:fillRef idx="1">
            <a:schemeClr val="lt1"/>
          </a:fillRef>
          <a:effectRef idx="0">
            <a:schemeClr val="dk1"/>
          </a:effectRef>
          <a:fontRef idx="minor">
            <a:schemeClr val="dk1"/>
          </a:fontRef>
        </dgm:style>
      </dgm:prSet>
      <dgm:spPr>
        <a:ln w="28575" cmpd="sng"/>
      </dgm:spPr>
      <dgm:t>
        <a:bodyPr/>
        <a:lstStyle/>
        <a:p>
          <a:r>
            <a:rPr lang="en-US" sz="900" b="1">
              <a:latin typeface="Arial"/>
              <a:cs typeface="Arial"/>
            </a:rPr>
            <a:t>2015</a:t>
          </a:r>
          <a:r>
            <a:rPr lang="en-US" sz="900">
              <a:latin typeface="Arial"/>
              <a:cs typeface="Arial"/>
            </a:rPr>
            <a:t>                                                   15 million vehicles  sold</a:t>
          </a:r>
        </a:p>
      </dgm:t>
    </dgm:pt>
    <dgm:pt modelId="{16CF039D-4E78-A74B-8583-40A422301E34}" type="parTrans" cxnId="{2F806707-A17C-4B44-B0BE-E67AC66AAA5A}">
      <dgm:prSet>
        <dgm:style>
          <a:lnRef idx="2">
            <a:schemeClr val="dk1"/>
          </a:lnRef>
          <a:fillRef idx="1">
            <a:schemeClr val="lt1"/>
          </a:fillRef>
          <a:effectRef idx="0">
            <a:schemeClr val="dk1"/>
          </a:effectRef>
          <a:fontRef idx="minor">
            <a:schemeClr val="dk1"/>
          </a:fontRef>
        </dgm:style>
      </dgm:prSet>
      <dgm:spPr>
        <a:ln w="28575" cmpd="sng"/>
      </dgm:spPr>
      <dgm:t>
        <a:bodyPr/>
        <a:lstStyle/>
        <a:p>
          <a:endParaRPr lang="en-US">
            <a:latin typeface="Arial"/>
            <a:cs typeface="Arial"/>
          </a:endParaRPr>
        </a:p>
      </dgm:t>
    </dgm:pt>
    <dgm:pt modelId="{90BC4A8C-6DE7-D040-A58F-9E9A7C8B69BE}" type="sibTrans" cxnId="{2F806707-A17C-4B44-B0BE-E67AC66AAA5A}">
      <dgm:prSet/>
      <dgm:spPr/>
      <dgm:t>
        <a:bodyPr/>
        <a:lstStyle/>
        <a:p>
          <a:endParaRPr lang="en-US"/>
        </a:p>
      </dgm:t>
    </dgm:pt>
    <dgm:pt modelId="{0BBA89E4-4C90-FE4B-97F7-DF75B298B3F6}" type="pres">
      <dgm:prSet presAssocID="{1F7B623E-9734-F844-8A7C-5995AD66DD5F}" presName="hierChild1" presStyleCnt="0">
        <dgm:presLayoutVars>
          <dgm:orgChart val="1"/>
          <dgm:chPref val="1"/>
          <dgm:dir/>
          <dgm:animOne val="branch"/>
          <dgm:animLvl val="lvl"/>
          <dgm:resizeHandles/>
        </dgm:presLayoutVars>
      </dgm:prSet>
      <dgm:spPr/>
      <dgm:t>
        <a:bodyPr/>
        <a:lstStyle/>
        <a:p>
          <a:endParaRPr lang="en-US"/>
        </a:p>
      </dgm:t>
    </dgm:pt>
    <dgm:pt modelId="{2644B114-2202-CC40-AB23-D9EEFDEE6459}" type="pres">
      <dgm:prSet presAssocID="{F09E1704-4DC2-6F4D-9384-6A24FB6218DF}" presName="hierRoot1" presStyleCnt="0">
        <dgm:presLayoutVars>
          <dgm:hierBranch val="init"/>
        </dgm:presLayoutVars>
      </dgm:prSet>
      <dgm:spPr/>
    </dgm:pt>
    <dgm:pt modelId="{FA79C929-32A9-B34A-83C8-1102A21DACE2}" type="pres">
      <dgm:prSet presAssocID="{F09E1704-4DC2-6F4D-9384-6A24FB6218DF}" presName="rootComposite1" presStyleCnt="0"/>
      <dgm:spPr/>
    </dgm:pt>
    <dgm:pt modelId="{C4980489-CAD6-1C4D-98A4-FA69F0AE3340}" type="pres">
      <dgm:prSet presAssocID="{F09E1704-4DC2-6F4D-9384-6A24FB6218DF}" presName="rootText1" presStyleLbl="node0" presStyleIdx="0" presStyleCnt="1" custScaleX="85140" custScaleY="309183" custLinFactNeighborX="-96424" custLinFactNeighborY="-1005">
        <dgm:presLayoutVars>
          <dgm:chPref val="3"/>
        </dgm:presLayoutVars>
      </dgm:prSet>
      <dgm:spPr/>
      <dgm:t>
        <a:bodyPr/>
        <a:lstStyle/>
        <a:p>
          <a:endParaRPr lang="en-US"/>
        </a:p>
      </dgm:t>
    </dgm:pt>
    <dgm:pt modelId="{8251955B-F137-7F47-96FB-949622E8B7DE}" type="pres">
      <dgm:prSet presAssocID="{F09E1704-4DC2-6F4D-9384-6A24FB6218DF}" presName="rootConnector1" presStyleLbl="node1" presStyleIdx="0" presStyleCnt="0"/>
      <dgm:spPr/>
      <dgm:t>
        <a:bodyPr/>
        <a:lstStyle/>
        <a:p>
          <a:endParaRPr lang="en-US"/>
        </a:p>
      </dgm:t>
    </dgm:pt>
    <dgm:pt modelId="{56825620-8601-1D46-9564-64202787E18D}" type="pres">
      <dgm:prSet presAssocID="{F09E1704-4DC2-6F4D-9384-6A24FB6218DF}" presName="hierChild2" presStyleCnt="0"/>
      <dgm:spPr/>
    </dgm:pt>
    <dgm:pt modelId="{92E2F38C-A8CF-9946-8112-58A849FF3DA7}" type="pres">
      <dgm:prSet presAssocID="{0B657DF0-B843-0146-8412-490AB3EA1811}" presName="Name64" presStyleLbl="parChTrans1D2" presStyleIdx="0" presStyleCnt="7" custSzX="2445681" custSzY="2285222"/>
      <dgm:spPr/>
      <dgm:t>
        <a:bodyPr/>
        <a:lstStyle/>
        <a:p>
          <a:endParaRPr lang="en-US"/>
        </a:p>
      </dgm:t>
    </dgm:pt>
    <dgm:pt modelId="{9CBB3332-B91D-DB4A-B124-ACB4BF4B817C}" type="pres">
      <dgm:prSet presAssocID="{DB739961-4504-D547-904B-3437BED29933}" presName="hierRoot2" presStyleCnt="0">
        <dgm:presLayoutVars>
          <dgm:hierBranch val="init"/>
        </dgm:presLayoutVars>
      </dgm:prSet>
      <dgm:spPr/>
    </dgm:pt>
    <dgm:pt modelId="{8B19CA01-92ED-B446-A599-5674EE449564}" type="pres">
      <dgm:prSet presAssocID="{DB739961-4504-D547-904B-3437BED29933}" presName="rootComposite" presStyleCnt="0"/>
      <dgm:spPr/>
    </dgm:pt>
    <dgm:pt modelId="{F6AE1C98-C2F3-EC47-BD24-17987E905DEA}" type="pres">
      <dgm:prSet presAssocID="{DB739961-4504-D547-904B-3437BED29933}" presName="rootText" presStyleLbl="node2" presStyleIdx="0" presStyleCnt="5" custScaleX="122679" custScaleY="173062" custLinFactNeighborX="21203" custLinFactNeighborY="63827">
        <dgm:presLayoutVars>
          <dgm:chPref val="3"/>
        </dgm:presLayoutVars>
      </dgm:prSet>
      <dgm:spPr/>
      <dgm:t>
        <a:bodyPr/>
        <a:lstStyle/>
        <a:p>
          <a:endParaRPr lang="en-US"/>
        </a:p>
      </dgm:t>
    </dgm:pt>
    <dgm:pt modelId="{F27C84E2-B95E-154A-A3F4-75208146A892}" type="pres">
      <dgm:prSet presAssocID="{DB739961-4504-D547-904B-3437BED29933}" presName="rootConnector" presStyleLbl="node2" presStyleIdx="0" presStyleCnt="5"/>
      <dgm:spPr/>
      <dgm:t>
        <a:bodyPr/>
        <a:lstStyle/>
        <a:p>
          <a:endParaRPr lang="en-US"/>
        </a:p>
      </dgm:t>
    </dgm:pt>
    <dgm:pt modelId="{80E987E1-A99F-9644-9DCD-05F107CF6011}" type="pres">
      <dgm:prSet presAssocID="{DB739961-4504-D547-904B-3437BED29933}" presName="hierChild4" presStyleCnt="0"/>
      <dgm:spPr/>
    </dgm:pt>
    <dgm:pt modelId="{9FAFCE30-45C9-9B49-AEA7-4EC0B83C1B3A}" type="pres">
      <dgm:prSet presAssocID="{DB739961-4504-D547-904B-3437BED29933}" presName="hierChild5" presStyleCnt="0"/>
      <dgm:spPr/>
    </dgm:pt>
    <dgm:pt modelId="{27A6A85D-8B86-2240-A084-FAFEADE1AA87}" type="pres">
      <dgm:prSet presAssocID="{0E986F03-3FB2-4145-B446-DE7D333F3A48}" presName="Name64" presStyleLbl="parChTrans1D2" presStyleIdx="1" presStyleCnt="7" custSzX="3815552" custSzY="676193"/>
      <dgm:spPr/>
      <dgm:t>
        <a:bodyPr/>
        <a:lstStyle/>
        <a:p>
          <a:endParaRPr lang="en-US"/>
        </a:p>
      </dgm:t>
    </dgm:pt>
    <dgm:pt modelId="{8CEE6312-155A-134B-81D1-5B10304190D4}" type="pres">
      <dgm:prSet presAssocID="{429FFA5C-BF08-CD4C-8C2F-78B25F806105}" presName="hierRoot2" presStyleCnt="0">
        <dgm:presLayoutVars>
          <dgm:hierBranch val="init"/>
        </dgm:presLayoutVars>
      </dgm:prSet>
      <dgm:spPr/>
    </dgm:pt>
    <dgm:pt modelId="{B88004AD-20C8-B64B-81F4-DD122DC713C3}" type="pres">
      <dgm:prSet presAssocID="{429FFA5C-BF08-CD4C-8C2F-78B25F806105}" presName="rootComposite" presStyleCnt="0"/>
      <dgm:spPr/>
    </dgm:pt>
    <dgm:pt modelId="{43A309D1-CA65-4D40-B250-39943AD041B6}" type="pres">
      <dgm:prSet presAssocID="{429FFA5C-BF08-CD4C-8C2F-78B25F806105}" presName="rootText" presStyleLbl="node2" presStyleIdx="1" presStyleCnt="5" custScaleX="107081" custScaleY="183916" custLinFactX="27746" custLinFactY="40031" custLinFactNeighborX="100000" custLinFactNeighborY="100000">
        <dgm:presLayoutVars>
          <dgm:chPref val="3"/>
        </dgm:presLayoutVars>
      </dgm:prSet>
      <dgm:spPr/>
      <dgm:t>
        <a:bodyPr/>
        <a:lstStyle/>
        <a:p>
          <a:endParaRPr lang="en-US"/>
        </a:p>
      </dgm:t>
    </dgm:pt>
    <dgm:pt modelId="{906DD82D-2793-4448-96E0-7B7B6DDB1813}" type="pres">
      <dgm:prSet presAssocID="{429FFA5C-BF08-CD4C-8C2F-78B25F806105}" presName="rootConnector" presStyleLbl="node2" presStyleIdx="1" presStyleCnt="5"/>
      <dgm:spPr/>
      <dgm:t>
        <a:bodyPr/>
        <a:lstStyle/>
        <a:p>
          <a:endParaRPr lang="en-US"/>
        </a:p>
      </dgm:t>
    </dgm:pt>
    <dgm:pt modelId="{4453B662-AEB3-FC4D-ADCF-67300658C3DF}" type="pres">
      <dgm:prSet presAssocID="{429FFA5C-BF08-CD4C-8C2F-78B25F806105}" presName="hierChild4" presStyleCnt="0"/>
      <dgm:spPr/>
    </dgm:pt>
    <dgm:pt modelId="{793403C9-632E-5F4C-A388-F7E2C9A28A2B}" type="pres">
      <dgm:prSet presAssocID="{429FFA5C-BF08-CD4C-8C2F-78B25F806105}" presName="hierChild5" presStyleCnt="0"/>
      <dgm:spPr/>
    </dgm:pt>
    <dgm:pt modelId="{46A7B6CD-3B8C-5B45-9DDA-B8F1B084E41A}" type="pres">
      <dgm:prSet presAssocID="{476C1C85-EAD9-7C49-A067-325FEF414D72}" presName="Name64" presStyleLbl="parChTrans1D2" presStyleIdx="2" presStyleCnt="7" custSzX="277302" custSzY="1499957"/>
      <dgm:spPr/>
      <dgm:t>
        <a:bodyPr/>
        <a:lstStyle/>
        <a:p>
          <a:endParaRPr lang="en-US"/>
        </a:p>
      </dgm:t>
    </dgm:pt>
    <dgm:pt modelId="{E01A050F-9723-5A48-8EAC-432127DAC2F4}" type="pres">
      <dgm:prSet presAssocID="{A83348D0-C4E3-C542-A95D-F724FD237988}" presName="hierRoot2" presStyleCnt="0">
        <dgm:presLayoutVars>
          <dgm:hierBranch val="init"/>
        </dgm:presLayoutVars>
      </dgm:prSet>
      <dgm:spPr/>
    </dgm:pt>
    <dgm:pt modelId="{0FBBA482-9FD5-214D-9E68-2A2ECB551869}" type="pres">
      <dgm:prSet presAssocID="{A83348D0-C4E3-C542-A95D-F724FD237988}" presName="rootComposite" presStyleCnt="0"/>
      <dgm:spPr/>
    </dgm:pt>
    <dgm:pt modelId="{F8E21F6B-5E3D-F143-A723-6751E70A82AF}" type="pres">
      <dgm:prSet presAssocID="{A83348D0-C4E3-C542-A95D-F724FD237988}" presName="rootText" presStyleLbl="node2" presStyleIdx="2" presStyleCnt="5" custScaleX="120225" custScaleY="191203" custLinFactX="-89154" custLinFactY="100000" custLinFactNeighborX="-100000" custLinFactNeighborY="105832">
        <dgm:presLayoutVars>
          <dgm:chPref val="3"/>
        </dgm:presLayoutVars>
      </dgm:prSet>
      <dgm:spPr/>
      <dgm:t>
        <a:bodyPr/>
        <a:lstStyle/>
        <a:p>
          <a:endParaRPr lang="en-US"/>
        </a:p>
      </dgm:t>
    </dgm:pt>
    <dgm:pt modelId="{44DDABC8-4AE6-DD46-9E7A-95584E381BC2}" type="pres">
      <dgm:prSet presAssocID="{A83348D0-C4E3-C542-A95D-F724FD237988}" presName="rootConnector" presStyleLbl="node2" presStyleIdx="2" presStyleCnt="5"/>
      <dgm:spPr/>
      <dgm:t>
        <a:bodyPr/>
        <a:lstStyle/>
        <a:p>
          <a:endParaRPr lang="en-US"/>
        </a:p>
      </dgm:t>
    </dgm:pt>
    <dgm:pt modelId="{93F82643-9B62-8340-A87D-D1DE9A2B3813}" type="pres">
      <dgm:prSet presAssocID="{A83348D0-C4E3-C542-A95D-F724FD237988}" presName="hierChild4" presStyleCnt="0"/>
      <dgm:spPr/>
    </dgm:pt>
    <dgm:pt modelId="{7B181A06-2336-0947-B151-D336BC54D246}" type="pres">
      <dgm:prSet presAssocID="{A83348D0-C4E3-C542-A95D-F724FD237988}" presName="hierChild5" presStyleCnt="0"/>
      <dgm:spPr/>
    </dgm:pt>
    <dgm:pt modelId="{79789FAA-3764-604A-9026-3B695638F00C}" type="pres">
      <dgm:prSet presAssocID="{16CF039D-4E78-A74B-8583-40A422301E34}" presName="Name64" presStyleLbl="parChTrans1D2" presStyleIdx="3" presStyleCnt="7" custSzX="3506055" custSzY="1407121"/>
      <dgm:spPr/>
      <dgm:t>
        <a:bodyPr/>
        <a:lstStyle/>
        <a:p>
          <a:endParaRPr lang="en-US"/>
        </a:p>
      </dgm:t>
    </dgm:pt>
    <dgm:pt modelId="{D65C39F3-3F40-9D4A-A018-CEFE2BE286CF}" type="pres">
      <dgm:prSet presAssocID="{2CA4A706-26A0-0440-AAB1-5764F497DA70}" presName="hierRoot2" presStyleCnt="0">
        <dgm:presLayoutVars>
          <dgm:hierBranch val="init"/>
        </dgm:presLayoutVars>
      </dgm:prSet>
      <dgm:spPr/>
    </dgm:pt>
    <dgm:pt modelId="{4A10B8FC-4F82-6F44-8348-F093EF34EEA8}" type="pres">
      <dgm:prSet presAssocID="{2CA4A706-26A0-0440-AAB1-5764F497DA70}" presName="rootComposite" presStyleCnt="0"/>
      <dgm:spPr/>
    </dgm:pt>
    <dgm:pt modelId="{676D9DDA-A8AD-8546-A443-FAED8A2C85D3}" type="pres">
      <dgm:prSet presAssocID="{2CA4A706-26A0-0440-AAB1-5764F497DA70}" presName="rootText" presStyleLbl="node2" presStyleIdx="3" presStyleCnt="5" custScaleX="90685" custScaleY="130405" custLinFactNeighborX="53586" custLinFactNeighborY="16621">
        <dgm:presLayoutVars>
          <dgm:chPref val="3"/>
        </dgm:presLayoutVars>
      </dgm:prSet>
      <dgm:spPr/>
      <dgm:t>
        <a:bodyPr/>
        <a:lstStyle/>
        <a:p>
          <a:endParaRPr lang="en-US"/>
        </a:p>
      </dgm:t>
    </dgm:pt>
    <dgm:pt modelId="{F336E98B-E74F-4949-A92A-CB41BD046619}" type="pres">
      <dgm:prSet presAssocID="{2CA4A706-26A0-0440-AAB1-5764F497DA70}" presName="rootConnector" presStyleLbl="node2" presStyleIdx="3" presStyleCnt="5"/>
      <dgm:spPr/>
      <dgm:t>
        <a:bodyPr/>
        <a:lstStyle/>
        <a:p>
          <a:endParaRPr lang="en-US"/>
        </a:p>
      </dgm:t>
    </dgm:pt>
    <dgm:pt modelId="{077E45E9-28DA-6141-8C0A-DEF83ED0C566}" type="pres">
      <dgm:prSet presAssocID="{2CA4A706-26A0-0440-AAB1-5764F497DA70}" presName="hierChild4" presStyleCnt="0"/>
      <dgm:spPr/>
    </dgm:pt>
    <dgm:pt modelId="{58FD808E-1ED8-2140-AEB6-93359778BC70}" type="pres">
      <dgm:prSet presAssocID="{2CA4A706-26A0-0440-AAB1-5764F497DA70}" presName="hierChild5" presStyleCnt="0"/>
      <dgm:spPr/>
    </dgm:pt>
    <dgm:pt modelId="{43763753-2DAC-7346-A10A-CD2759A3569B}" type="pres">
      <dgm:prSet presAssocID="{02DB9CC6-8E80-4043-97D0-4A833DED1B9C}" presName="Name64" presStyleLbl="parChTrans1D2" presStyleIdx="4" presStyleCnt="7" custSzX="2199393" custSzY="1333296"/>
      <dgm:spPr/>
      <dgm:t>
        <a:bodyPr/>
        <a:lstStyle/>
        <a:p>
          <a:endParaRPr lang="en-US"/>
        </a:p>
      </dgm:t>
    </dgm:pt>
    <dgm:pt modelId="{9CEB9495-569B-BE47-ACA9-3E32CE717887}" type="pres">
      <dgm:prSet presAssocID="{511E203A-12DE-6E4F-9DEC-FE02D1C4E6FD}" presName="hierRoot2" presStyleCnt="0">
        <dgm:presLayoutVars>
          <dgm:hierBranch val="init"/>
        </dgm:presLayoutVars>
      </dgm:prSet>
      <dgm:spPr/>
    </dgm:pt>
    <dgm:pt modelId="{2DE85197-1619-3244-B4EF-0E1ADB91087B}" type="pres">
      <dgm:prSet presAssocID="{511E203A-12DE-6E4F-9DEC-FE02D1C4E6FD}" presName="rootComposite" presStyleCnt="0"/>
      <dgm:spPr/>
    </dgm:pt>
    <dgm:pt modelId="{7AF514F0-C32B-9841-8B97-568F9EE42893}" type="pres">
      <dgm:prSet presAssocID="{511E203A-12DE-6E4F-9DEC-FE02D1C4E6FD}" presName="rootText" presStyleLbl="node2" presStyleIdx="4" presStyleCnt="5" custScaleX="66286" custScaleY="134474" custLinFactNeighborX="-49803" custLinFactNeighborY="-99010">
        <dgm:presLayoutVars>
          <dgm:chPref val="3"/>
        </dgm:presLayoutVars>
      </dgm:prSet>
      <dgm:spPr/>
      <dgm:t>
        <a:bodyPr/>
        <a:lstStyle/>
        <a:p>
          <a:endParaRPr lang="en-US"/>
        </a:p>
      </dgm:t>
    </dgm:pt>
    <dgm:pt modelId="{3E08579F-7C8C-F546-9828-D26AE87837A4}" type="pres">
      <dgm:prSet presAssocID="{511E203A-12DE-6E4F-9DEC-FE02D1C4E6FD}" presName="rootConnector" presStyleLbl="node2" presStyleIdx="4" presStyleCnt="5"/>
      <dgm:spPr/>
      <dgm:t>
        <a:bodyPr/>
        <a:lstStyle/>
        <a:p>
          <a:endParaRPr lang="en-US"/>
        </a:p>
      </dgm:t>
    </dgm:pt>
    <dgm:pt modelId="{FD6F4E31-98C6-F04E-9B19-F48F25AEC8B4}" type="pres">
      <dgm:prSet presAssocID="{511E203A-12DE-6E4F-9DEC-FE02D1C4E6FD}" presName="hierChild4" presStyleCnt="0"/>
      <dgm:spPr/>
    </dgm:pt>
    <dgm:pt modelId="{C14D69A8-CB6F-554F-B66F-0DF834650519}" type="pres">
      <dgm:prSet presAssocID="{511E203A-12DE-6E4F-9DEC-FE02D1C4E6FD}" presName="hierChild5" presStyleCnt="0"/>
      <dgm:spPr/>
    </dgm:pt>
    <dgm:pt modelId="{0FD4DBAC-5A3A-FC46-8561-3E58D52BED58}" type="pres">
      <dgm:prSet presAssocID="{F09E1704-4DC2-6F4D-9384-6A24FB6218DF}" presName="hierChild3" presStyleCnt="0"/>
      <dgm:spPr/>
    </dgm:pt>
    <dgm:pt modelId="{23EB462F-ACBC-1045-9929-09A623665BF9}" type="pres">
      <dgm:prSet presAssocID="{1B620DF1-8BB0-F94E-B9E7-E96121F1D002}" presName="Name115" presStyleLbl="parChTrans1D2" presStyleIdx="5" presStyleCnt="7" custSzX="1620726" custSzY="1143017"/>
      <dgm:spPr/>
      <dgm:t>
        <a:bodyPr/>
        <a:lstStyle/>
        <a:p>
          <a:endParaRPr lang="en-US"/>
        </a:p>
      </dgm:t>
    </dgm:pt>
    <dgm:pt modelId="{B4EBAC0D-1B68-7C47-B579-8DAFBC1956F4}" type="pres">
      <dgm:prSet presAssocID="{E90ADEC9-A2EF-3B4A-86C3-6402273D26BC}" presName="hierRoot3" presStyleCnt="0">
        <dgm:presLayoutVars>
          <dgm:hierBranch val="init"/>
        </dgm:presLayoutVars>
      </dgm:prSet>
      <dgm:spPr/>
    </dgm:pt>
    <dgm:pt modelId="{CF90A970-BB84-394F-8188-3EBE24FB94CD}" type="pres">
      <dgm:prSet presAssocID="{E90ADEC9-A2EF-3B4A-86C3-6402273D26BC}" presName="rootComposite3" presStyleCnt="0"/>
      <dgm:spPr/>
    </dgm:pt>
    <dgm:pt modelId="{0CC41DD3-1BDA-0F49-A01F-D994F93C4B1F}" type="pres">
      <dgm:prSet presAssocID="{E90ADEC9-A2EF-3B4A-86C3-6402273D26BC}" presName="rootText3" presStyleLbl="asst1" presStyleIdx="0" presStyleCnt="2" custScaleX="100382" custScaleY="171374" custLinFactY="-45091" custLinFactNeighborX="-5677" custLinFactNeighborY="-100000">
        <dgm:presLayoutVars>
          <dgm:chPref val="3"/>
        </dgm:presLayoutVars>
      </dgm:prSet>
      <dgm:spPr/>
      <dgm:t>
        <a:bodyPr/>
        <a:lstStyle/>
        <a:p>
          <a:endParaRPr lang="en-US"/>
        </a:p>
      </dgm:t>
    </dgm:pt>
    <dgm:pt modelId="{5A678D7E-3077-924A-89EE-2B17FF80187E}" type="pres">
      <dgm:prSet presAssocID="{E90ADEC9-A2EF-3B4A-86C3-6402273D26BC}" presName="rootConnector3" presStyleLbl="asst1" presStyleIdx="0" presStyleCnt="2"/>
      <dgm:spPr/>
      <dgm:t>
        <a:bodyPr/>
        <a:lstStyle/>
        <a:p>
          <a:endParaRPr lang="en-US"/>
        </a:p>
      </dgm:t>
    </dgm:pt>
    <dgm:pt modelId="{03C8A2EA-6BEB-7A4C-9841-FB1F6DC926F8}" type="pres">
      <dgm:prSet presAssocID="{E90ADEC9-A2EF-3B4A-86C3-6402273D26BC}" presName="hierChild6" presStyleCnt="0"/>
      <dgm:spPr/>
    </dgm:pt>
    <dgm:pt modelId="{E862F006-74E5-EF4A-9C4C-8E738E420FAA}" type="pres">
      <dgm:prSet presAssocID="{E90ADEC9-A2EF-3B4A-86C3-6402273D26BC}" presName="hierChild7" presStyleCnt="0"/>
      <dgm:spPr/>
    </dgm:pt>
    <dgm:pt modelId="{34817FF1-82D7-3A4E-B6BC-D45D3E93A60F}" type="pres">
      <dgm:prSet presAssocID="{C1AA46D8-549A-6240-8106-62835F55A8F3}" presName="Name115" presStyleLbl="parChTrans1D2" presStyleIdx="6" presStyleCnt="7" custSzX="924302" custSzY="318013"/>
      <dgm:spPr/>
      <dgm:t>
        <a:bodyPr/>
        <a:lstStyle/>
        <a:p>
          <a:endParaRPr lang="en-US"/>
        </a:p>
      </dgm:t>
    </dgm:pt>
    <dgm:pt modelId="{99398AE0-E643-E24C-910E-99FD86943EF9}" type="pres">
      <dgm:prSet presAssocID="{E6E5D7EB-FE08-3C44-9ADF-603766294099}" presName="hierRoot3" presStyleCnt="0">
        <dgm:presLayoutVars>
          <dgm:hierBranch val="init"/>
        </dgm:presLayoutVars>
      </dgm:prSet>
      <dgm:spPr/>
    </dgm:pt>
    <dgm:pt modelId="{F5749285-8826-224B-AE17-5AFD98D2732F}" type="pres">
      <dgm:prSet presAssocID="{E6E5D7EB-FE08-3C44-9ADF-603766294099}" presName="rootComposite3" presStyleCnt="0"/>
      <dgm:spPr/>
    </dgm:pt>
    <dgm:pt modelId="{26E182D9-FF7B-F44A-BCF1-39567CDE0A64}" type="pres">
      <dgm:prSet presAssocID="{E6E5D7EB-FE08-3C44-9ADF-603766294099}" presName="rootText3" presStyleLbl="asst1" presStyleIdx="1" presStyleCnt="2" custScaleX="75555" custScaleY="136520" custLinFactX="-5799" custLinFactY="-200000" custLinFactNeighborX="-100000" custLinFactNeighborY="-233423">
        <dgm:presLayoutVars>
          <dgm:chPref val="3"/>
        </dgm:presLayoutVars>
      </dgm:prSet>
      <dgm:spPr/>
      <dgm:t>
        <a:bodyPr/>
        <a:lstStyle/>
        <a:p>
          <a:endParaRPr lang="en-US"/>
        </a:p>
      </dgm:t>
    </dgm:pt>
    <dgm:pt modelId="{CA579264-0343-AC46-9D29-1674EFCD8EB9}" type="pres">
      <dgm:prSet presAssocID="{E6E5D7EB-FE08-3C44-9ADF-603766294099}" presName="rootConnector3" presStyleLbl="asst1" presStyleIdx="1" presStyleCnt="2"/>
      <dgm:spPr/>
      <dgm:t>
        <a:bodyPr/>
        <a:lstStyle/>
        <a:p>
          <a:endParaRPr lang="en-US"/>
        </a:p>
      </dgm:t>
    </dgm:pt>
    <dgm:pt modelId="{B4FD3385-B7CE-7A48-8484-47DC16CD5AE8}" type="pres">
      <dgm:prSet presAssocID="{E6E5D7EB-FE08-3C44-9ADF-603766294099}" presName="hierChild6" presStyleCnt="0"/>
      <dgm:spPr/>
    </dgm:pt>
    <dgm:pt modelId="{68090122-8EB3-5044-92F3-3A448392B4D1}" type="pres">
      <dgm:prSet presAssocID="{E6E5D7EB-FE08-3C44-9ADF-603766294099}" presName="hierChild7" presStyleCnt="0"/>
      <dgm:spPr/>
    </dgm:pt>
  </dgm:ptLst>
  <dgm:cxnLst>
    <dgm:cxn modelId="{71A4C965-E3EF-4CD7-84B2-AD148BD3BF85}" type="presOf" srcId="{0B657DF0-B843-0146-8412-490AB3EA1811}" destId="{92E2F38C-A8CF-9946-8112-58A849FF3DA7}" srcOrd="0" destOrd="0" presId="urn:microsoft.com/office/officeart/2009/3/layout/HorizontalOrganizationChart"/>
    <dgm:cxn modelId="{5023F34F-BD1F-4A1D-9AB6-C41C91CFD10D}" type="presOf" srcId="{E90ADEC9-A2EF-3B4A-86C3-6402273D26BC}" destId="{0CC41DD3-1BDA-0F49-A01F-D994F93C4B1F}" srcOrd="0" destOrd="0" presId="urn:microsoft.com/office/officeart/2009/3/layout/HorizontalOrganizationChart"/>
    <dgm:cxn modelId="{2F806707-A17C-4B44-B0BE-E67AC66AAA5A}" srcId="{F09E1704-4DC2-6F4D-9384-6A24FB6218DF}" destId="{2CA4A706-26A0-0440-AAB1-5764F497DA70}" srcOrd="5" destOrd="0" parTransId="{16CF039D-4E78-A74B-8583-40A422301E34}" sibTransId="{90BC4A8C-6DE7-D040-A58F-9E9A7C8B69BE}"/>
    <dgm:cxn modelId="{7B3CD0B1-05BE-436A-A010-3FFA6601B761}" type="presOf" srcId="{02DB9CC6-8E80-4043-97D0-4A833DED1B9C}" destId="{43763753-2DAC-7346-A10A-CD2759A3569B}" srcOrd="0" destOrd="0" presId="urn:microsoft.com/office/officeart/2009/3/layout/HorizontalOrganizationChart"/>
    <dgm:cxn modelId="{A1461B83-39EB-4E0D-A664-991272C0BF66}" type="presOf" srcId="{429FFA5C-BF08-CD4C-8C2F-78B25F806105}" destId="{906DD82D-2793-4448-96E0-7B7B6DDB1813}" srcOrd="1" destOrd="0" presId="urn:microsoft.com/office/officeart/2009/3/layout/HorizontalOrganizationChart"/>
    <dgm:cxn modelId="{B06830F8-42BF-4ADF-A8DC-B8063F59889C}" type="presOf" srcId="{A83348D0-C4E3-C542-A95D-F724FD237988}" destId="{F8E21F6B-5E3D-F143-A723-6751E70A82AF}" srcOrd="0" destOrd="0" presId="urn:microsoft.com/office/officeart/2009/3/layout/HorizontalOrganizationChart"/>
    <dgm:cxn modelId="{9F0B5E9C-0F7D-402F-A3C0-FC0BC86BAFB8}" type="presOf" srcId="{2CA4A706-26A0-0440-AAB1-5764F497DA70}" destId="{F336E98B-E74F-4949-A92A-CB41BD046619}" srcOrd="1" destOrd="0" presId="urn:microsoft.com/office/officeart/2009/3/layout/HorizontalOrganizationChart"/>
    <dgm:cxn modelId="{A6471721-42FA-6B4B-9AF0-2A355BFBC1B3}" srcId="{F09E1704-4DC2-6F4D-9384-6A24FB6218DF}" destId="{429FFA5C-BF08-CD4C-8C2F-78B25F806105}" srcOrd="3" destOrd="0" parTransId="{0E986F03-3FB2-4145-B446-DE7D333F3A48}" sibTransId="{74BDB7A8-2B5E-1D4B-A6B1-43952FD1BB05}"/>
    <dgm:cxn modelId="{37387BD6-C41A-45C6-912F-3663C427873C}" type="presOf" srcId="{F09E1704-4DC2-6F4D-9384-6A24FB6218DF}" destId="{8251955B-F137-7F47-96FB-949622E8B7DE}" srcOrd="1" destOrd="0" presId="urn:microsoft.com/office/officeart/2009/3/layout/HorizontalOrganizationChart"/>
    <dgm:cxn modelId="{D889530F-A542-6644-892F-A1E6C3F426C1}" srcId="{F09E1704-4DC2-6F4D-9384-6A24FB6218DF}" destId="{511E203A-12DE-6E4F-9DEC-FE02D1C4E6FD}" srcOrd="6" destOrd="0" parTransId="{02DB9CC6-8E80-4043-97D0-4A833DED1B9C}" sibTransId="{4A55832F-43D6-9D4F-B0A6-7BD81B12F189}"/>
    <dgm:cxn modelId="{9483F9D0-0832-4746-859B-4514190101ED}" srcId="{1F7B623E-9734-F844-8A7C-5995AD66DD5F}" destId="{F09E1704-4DC2-6F4D-9384-6A24FB6218DF}" srcOrd="0" destOrd="0" parTransId="{97726D10-39A5-F345-9DFD-A4F6A6C9A652}" sibTransId="{E4AC5857-17B8-4147-B2AD-92F87B189BBF}"/>
    <dgm:cxn modelId="{D7B4D346-17C1-4B68-8C73-8767CA35DA51}" type="presOf" srcId="{A83348D0-C4E3-C542-A95D-F724FD237988}" destId="{44DDABC8-4AE6-DD46-9E7A-95584E381BC2}" srcOrd="1" destOrd="0" presId="urn:microsoft.com/office/officeart/2009/3/layout/HorizontalOrganizationChart"/>
    <dgm:cxn modelId="{E96E63F5-83CD-4E2C-B201-C6A544B197D7}" type="presOf" srcId="{2CA4A706-26A0-0440-AAB1-5764F497DA70}" destId="{676D9DDA-A8AD-8546-A443-FAED8A2C85D3}" srcOrd="0" destOrd="0" presId="urn:microsoft.com/office/officeart/2009/3/layout/HorizontalOrganizationChart"/>
    <dgm:cxn modelId="{88E2195C-9228-472E-A58E-598D85C2B73C}" type="presOf" srcId="{DB739961-4504-D547-904B-3437BED29933}" destId="{F6AE1C98-C2F3-EC47-BD24-17987E905DEA}" srcOrd="0" destOrd="0" presId="urn:microsoft.com/office/officeart/2009/3/layout/HorizontalOrganizationChart"/>
    <dgm:cxn modelId="{00DB1D46-7012-4240-A1C5-56872BFFD52F}" type="presOf" srcId="{E6E5D7EB-FE08-3C44-9ADF-603766294099}" destId="{26E182D9-FF7B-F44A-BCF1-39567CDE0A64}" srcOrd="0" destOrd="0" presId="urn:microsoft.com/office/officeart/2009/3/layout/HorizontalOrganizationChart"/>
    <dgm:cxn modelId="{CBB47540-7C43-45EB-BD52-032190AF254A}" type="presOf" srcId="{C1AA46D8-549A-6240-8106-62835F55A8F3}" destId="{34817FF1-82D7-3A4E-B6BC-D45D3E93A60F}" srcOrd="0" destOrd="0" presId="urn:microsoft.com/office/officeart/2009/3/layout/HorizontalOrganizationChart"/>
    <dgm:cxn modelId="{C250BE1D-A356-4400-935E-6C4E7D6EE7B1}" type="presOf" srcId="{DB739961-4504-D547-904B-3437BED29933}" destId="{F27C84E2-B95E-154A-A3F4-75208146A892}" srcOrd="1" destOrd="0" presId="urn:microsoft.com/office/officeart/2009/3/layout/HorizontalOrganizationChart"/>
    <dgm:cxn modelId="{E37C364C-38C1-479E-B80C-1EF0814C4205}" type="presOf" srcId="{E6E5D7EB-FE08-3C44-9ADF-603766294099}" destId="{CA579264-0343-AC46-9D29-1674EFCD8EB9}" srcOrd="1" destOrd="0" presId="urn:microsoft.com/office/officeart/2009/3/layout/HorizontalOrganizationChart"/>
    <dgm:cxn modelId="{D49FACA9-AC03-4C86-BD98-5ECAA4C7106D}" type="presOf" srcId="{476C1C85-EAD9-7C49-A067-325FEF414D72}" destId="{46A7B6CD-3B8C-5B45-9DDA-B8F1B084E41A}" srcOrd="0" destOrd="0" presId="urn:microsoft.com/office/officeart/2009/3/layout/HorizontalOrganizationChart"/>
    <dgm:cxn modelId="{ADA414C7-C589-4AEF-BB1F-CC9783421510}" type="presOf" srcId="{16CF039D-4E78-A74B-8583-40A422301E34}" destId="{79789FAA-3764-604A-9026-3B695638F00C}" srcOrd="0" destOrd="0" presId="urn:microsoft.com/office/officeart/2009/3/layout/HorizontalOrganizationChart"/>
    <dgm:cxn modelId="{53E0EB8F-C6A7-49FA-BDAC-106AFECE878B}" type="presOf" srcId="{429FFA5C-BF08-CD4C-8C2F-78B25F806105}" destId="{43A309D1-CA65-4D40-B250-39943AD041B6}" srcOrd="0" destOrd="0" presId="urn:microsoft.com/office/officeart/2009/3/layout/HorizontalOrganizationChart"/>
    <dgm:cxn modelId="{DB07F92E-8618-C44B-8C5A-41E5D17439EE}" srcId="{F09E1704-4DC2-6F4D-9384-6A24FB6218DF}" destId="{DB739961-4504-D547-904B-3437BED29933}" srcOrd="2" destOrd="0" parTransId="{0B657DF0-B843-0146-8412-490AB3EA1811}" sibTransId="{F2B18DA1-0477-BB40-B4C6-F46F9F167288}"/>
    <dgm:cxn modelId="{13560219-7441-4E47-83D5-3AF7B9390879}" type="presOf" srcId="{E90ADEC9-A2EF-3B4A-86C3-6402273D26BC}" destId="{5A678D7E-3077-924A-89EE-2B17FF80187E}" srcOrd="1" destOrd="0" presId="urn:microsoft.com/office/officeart/2009/3/layout/HorizontalOrganizationChart"/>
    <dgm:cxn modelId="{476C7C89-D068-7E46-BA80-291BB99CBA26}" srcId="{F09E1704-4DC2-6F4D-9384-6A24FB6218DF}" destId="{E6E5D7EB-FE08-3C44-9ADF-603766294099}" srcOrd="1" destOrd="0" parTransId="{C1AA46D8-549A-6240-8106-62835F55A8F3}" sibTransId="{6935024F-6D51-2044-88D4-09E2DB907F75}"/>
    <dgm:cxn modelId="{A3E15DC0-206B-43DC-9487-B79711445EBD}" type="presOf" srcId="{1B620DF1-8BB0-F94E-B9E7-E96121F1D002}" destId="{23EB462F-ACBC-1045-9929-09A623665BF9}" srcOrd="0" destOrd="0" presId="urn:microsoft.com/office/officeart/2009/3/layout/HorizontalOrganizationChart"/>
    <dgm:cxn modelId="{72324CB5-C183-451B-A580-AB5E17BB7F4D}" type="presOf" srcId="{0E986F03-3FB2-4145-B446-DE7D333F3A48}" destId="{27A6A85D-8B86-2240-A084-FAFEADE1AA87}" srcOrd="0" destOrd="0" presId="urn:microsoft.com/office/officeart/2009/3/layout/HorizontalOrganizationChart"/>
    <dgm:cxn modelId="{8A571459-DB1D-4358-8D11-24BA65E76C06}" type="presOf" srcId="{511E203A-12DE-6E4F-9DEC-FE02D1C4E6FD}" destId="{7AF514F0-C32B-9841-8B97-568F9EE42893}" srcOrd="0" destOrd="0" presId="urn:microsoft.com/office/officeart/2009/3/layout/HorizontalOrganizationChart"/>
    <dgm:cxn modelId="{C7221EAA-059A-A04B-B1B8-FF2572538310}" srcId="{F09E1704-4DC2-6F4D-9384-6A24FB6218DF}" destId="{E90ADEC9-A2EF-3B4A-86C3-6402273D26BC}" srcOrd="0" destOrd="0" parTransId="{1B620DF1-8BB0-F94E-B9E7-E96121F1D002}" sibTransId="{07EE0617-3BFB-C44B-80AC-C2D818126FDB}"/>
    <dgm:cxn modelId="{F71CB9D0-ABF9-4969-8037-8795EFBC2EB5}" type="presOf" srcId="{F09E1704-4DC2-6F4D-9384-6A24FB6218DF}" destId="{C4980489-CAD6-1C4D-98A4-FA69F0AE3340}" srcOrd="0" destOrd="0" presId="urn:microsoft.com/office/officeart/2009/3/layout/HorizontalOrganizationChart"/>
    <dgm:cxn modelId="{6513658F-BE9A-4E5E-9811-6250BEC20E50}" type="presOf" srcId="{511E203A-12DE-6E4F-9DEC-FE02D1C4E6FD}" destId="{3E08579F-7C8C-F546-9828-D26AE87837A4}" srcOrd="1" destOrd="0" presId="urn:microsoft.com/office/officeart/2009/3/layout/HorizontalOrganizationChart"/>
    <dgm:cxn modelId="{F8C5E159-5324-F742-93D0-D406D147877F}" srcId="{F09E1704-4DC2-6F4D-9384-6A24FB6218DF}" destId="{A83348D0-C4E3-C542-A95D-F724FD237988}" srcOrd="4" destOrd="0" parTransId="{476C1C85-EAD9-7C49-A067-325FEF414D72}" sibTransId="{D738D809-FFA7-2F47-ACC9-6853A5553CC6}"/>
    <dgm:cxn modelId="{85C4DEC1-E9F5-4B07-ACEF-4340A8DEB1EB}" type="presOf" srcId="{1F7B623E-9734-F844-8A7C-5995AD66DD5F}" destId="{0BBA89E4-4C90-FE4B-97F7-DF75B298B3F6}" srcOrd="0" destOrd="0" presId="urn:microsoft.com/office/officeart/2009/3/layout/HorizontalOrganizationChart"/>
    <dgm:cxn modelId="{64627BAF-E77B-41D6-874C-ACE5FA98C715}" type="presParOf" srcId="{0BBA89E4-4C90-FE4B-97F7-DF75B298B3F6}" destId="{2644B114-2202-CC40-AB23-D9EEFDEE6459}" srcOrd="0" destOrd="0" presId="urn:microsoft.com/office/officeart/2009/3/layout/HorizontalOrganizationChart"/>
    <dgm:cxn modelId="{38C3B8EA-4F82-4DD5-8218-3A39030DA0A8}" type="presParOf" srcId="{2644B114-2202-CC40-AB23-D9EEFDEE6459}" destId="{FA79C929-32A9-B34A-83C8-1102A21DACE2}" srcOrd="0" destOrd="0" presId="urn:microsoft.com/office/officeart/2009/3/layout/HorizontalOrganizationChart"/>
    <dgm:cxn modelId="{C9540BE6-F853-4F35-B9DF-66A5CAD1D367}" type="presParOf" srcId="{FA79C929-32A9-B34A-83C8-1102A21DACE2}" destId="{C4980489-CAD6-1C4D-98A4-FA69F0AE3340}" srcOrd="0" destOrd="0" presId="urn:microsoft.com/office/officeart/2009/3/layout/HorizontalOrganizationChart"/>
    <dgm:cxn modelId="{673CEA98-B7A5-4FF9-87E1-5561956E849D}" type="presParOf" srcId="{FA79C929-32A9-B34A-83C8-1102A21DACE2}" destId="{8251955B-F137-7F47-96FB-949622E8B7DE}" srcOrd="1" destOrd="0" presId="urn:microsoft.com/office/officeart/2009/3/layout/HorizontalOrganizationChart"/>
    <dgm:cxn modelId="{B61CDB13-2F35-4720-8531-377151F65B7E}" type="presParOf" srcId="{2644B114-2202-CC40-AB23-D9EEFDEE6459}" destId="{56825620-8601-1D46-9564-64202787E18D}" srcOrd="1" destOrd="0" presId="urn:microsoft.com/office/officeart/2009/3/layout/HorizontalOrganizationChart"/>
    <dgm:cxn modelId="{BA5B2231-937F-4860-94CE-61FD5352E96F}" type="presParOf" srcId="{56825620-8601-1D46-9564-64202787E18D}" destId="{92E2F38C-A8CF-9946-8112-58A849FF3DA7}" srcOrd="0" destOrd="0" presId="urn:microsoft.com/office/officeart/2009/3/layout/HorizontalOrganizationChart"/>
    <dgm:cxn modelId="{5532B407-2501-4AB1-8CBB-A96079020649}" type="presParOf" srcId="{56825620-8601-1D46-9564-64202787E18D}" destId="{9CBB3332-B91D-DB4A-B124-ACB4BF4B817C}" srcOrd="1" destOrd="0" presId="urn:microsoft.com/office/officeart/2009/3/layout/HorizontalOrganizationChart"/>
    <dgm:cxn modelId="{1FCE0322-CEB8-4FC0-AE25-C771CA81A0FF}" type="presParOf" srcId="{9CBB3332-B91D-DB4A-B124-ACB4BF4B817C}" destId="{8B19CA01-92ED-B446-A599-5674EE449564}" srcOrd="0" destOrd="0" presId="urn:microsoft.com/office/officeart/2009/3/layout/HorizontalOrganizationChart"/>
    <dgm:cxn modelId="{2CCCEFDD-72DC-4D23-B8D1-22AAE4E3258A}" type="presParOf" srcId="{8B19CA01-92ED-B446-A599-5674EE449564}" destId="{F6AE1C98-C2F3-EC47-BD24-17987E905DEA}" srcOrd="0" destOrd="0" presId="urn:microsoft.com/office/officeart/2009/3/layout/HorizontalOrganizationChart"/>
    <dgm:cxn modelId="{0D187531-2593-4CAF-915D-AF6601B710D2}" type="presParOf" srcId="{8B19CA01-92ED-B446-A599-5674EE449564}" destId="{F27C84E2-B95E-154A-A3F4-75208146A892}" srcOrd="1" destOrd="0" presId="urn:microsoft.com/office/officeart/2009/3/layout/HorizontalOrganizationChart"/>
    <dgm:cxn modelId="{778CD379-A129-49F8-9DE5-3872191569B2}" type="presParOf" srcId="{9CBB3332-B91D-DB4A-B124-ACB4BF4B817C}" destId="{80E987E1-A99F-9644-9DCD-05F107CF6011}" srcOrd="1" destOrd="0" presId="urn:microsoft.com/office/officeart/2009/3/layout/HorizontalOrganizationChart"/>
    <dgm:cxn modelId="{B67035FE-9B29-42EC-B8E4-622DA1025B57}" type="presParOf" srcId="{9CBB3332-B91D-DB4A-B124-ACB4BF4B817C}" destId="{9FAFCE30-45C9-9B49-AEA7-4EC0B83C1B3A}" srcOrd="2" destOrd="0" presId="urn:microsoft.com/office/officeart/2009/3/layout/HorizontalOrganizationChart"/>
    <dgm:cxn modelId="{1741428A-A151-495A-9E97-DD5EE1F76BE0}" type="presParOf" srcId="{56825620-8601-1D46-9564-64202787E18D}" destId="{27A6A85D-8B86-2240-A084-FAFEADE1AA87}" srcOrd="2" destOrd="0" presId="urn:microsoft.com/office/officeart/2009/3/layout/HorizontalOrganizationChart"/>
    <dgm:cxn modelId="{47812AE2-1FB9-4B7F-8B2A-78E8D5B8814C}" type="presParOf" srcId="{56825620-8601-1D46-9564-64202787E18D}" destId="{8CEE6312-155A-134B-81D1-5B10304190D4}" srcOrd="3" destOrd="0" presId="urn:microsoft.com/office/officeart/2009/3/layout/HorizontalOrganizationChart"/>
    <dgm:cxn modelId="{D2658C1F-6404-4534-87FF-60E9CADC7AC9}" type="presParOf" srcId="{8CEE6312-155A-134B-81D1-5B10304190D4}" destId="{B88004AD-20C8-B64B-81F4-DD122DC713C3}" srcOrd="0" destOrd="0" presId="urn:microsoft.com/office/officeart/2009/3/layout/HorizontalOrganizationChart"/>
    <dgm:cxn modelId="{0B05BD2A-5027-44B9-9798-2906F6992EC3}" type="presParOf" srcId="{B88004AD-20C8-B64B-81F4-DD122DC713C3}" destId="{43A309D1-CA65-4D40-B250-39943AD041B6}" srcOrd="0" destOrd="0" presId="urn:microsoft.com/office/officeart/2009/3/layout/HorizontalOrganizationChart"/>
    <dgm:cxn modelId="{8D50484A-60CB-436F-AAA7-47E7AA4A55FE}" type="presParOf" srcId="{B88004AD-20C8-B64B-81F4-DD122DC713C3}" destId="{906DD82D-2793-4448-96E0-7B7B6DDB1813}" srcOrd="1" destOrd="0" presId="urn:microsoft.com/office/officeart/2009/3/layout/HorizontalOrganizationChart"/>
    <dgm:cxn modelId="{FD1DCF5F-ECD0-4A48-B768-EA07CBD7A572}" type="presParOf" srcId="{8CEE6312-155A-134B-81D1-5B10304190D4}" destId="{4453B662-AEB3-FC4D-ADCF-67300658C3DF}" srcOrd="1" destOrd="0" presId="urn:microsoft.com/office/officeart/2009/3/layout/HorizontalOrganizationChart"/>
    <dgm:cxn modelId="{31C00FF3-F734-4510-9514-9EC73AC118D2}" type="presParOf" srcId="{8CEE6312-155A-134B-81D1-5B10304190D4}" destId="{793403C9-632E-5F4C-A388-F7E2C9A28A2B}" srcOrd="2" destOrd="0" presId="urn:microsoft.com/office/officeart/2009/3/layout/HorizontalOrganizationChart"/>
    <dgm:cxn modelId="{6BDBB32A-39AC-4F15-B421-DA4ED0CEEC31}" type="presParOf" srcId="{56825620-8601-1D46-9564-64202787E18D}" destId="{46A7B6CD-3B8C-5B45-9DDA-B8F1B084E41A}" srcOrd="4" destOrd="0" presId="urn:microsoft.com/office/officeart/2009/3/layout/HorizontalOrganizationChart"/>
    <dgm:cxn modelId="{8AF5FAA2-033C-4659-ACB9-D1B733ADA2B5}" type="presParOf" srcId="{56825620-8601-1D46-9564-64202787E18D}" destId="{E01A050F-9723-5A48-8EAC-432127DAC2F4}" srcOrd="5" destOrd="0" presId="urn:microsoft.com/office/officeart/2009/3/layout/HorizontalOrganizationChart"/>
    <dgm:cxn modelId="{23174B67-8E84-4AD3-BF07-E2AA2CED61C3}" type="presParOf" srcId="{E01A050F-9723-5A48-8EAC-432127DAC2F4}" destId="{0FBBA482-9FD5-214D-9E68-2A2ECB551869}" srcOrd="0" destOrd="0" presId="urn:microsoft.com/office/officeart/2009/3/layout/HorizontalOrganizationChart"/>
    <dgm:cxn modelId="{D2FF215B-0AE5-4CB8-9E56-3C089266077F}" type="presParOf" srcId="{0FBBA482-9FD5-214D-9E68-2A2ECB551869}" destId="{F8E21F6B-5E3D-F143-A723-6751E70A82AF}" srcOrd="0" destOrd="0" presId="urn:microsoft.com/office/officeart/2009/3/layout/HorizontalOrganizationChart"/>
    <dgm:cxn modelId="{8416EAC6-1EBB-42D7-8A16-0189BE3BD6D3}" type="presParOf" srcId="{0FBBA482-9FD5-214D-9E68-2A2ECB551869}" destId="{44DDABC8-4AE6-DD46-9E7A-95584E381BC2}" srcOrd="1" destOrd="0" presId="urn:microsoft.com/office/officeart/2009/3/layout/HorizontalOrganizationChart"/>
    <dgm:cxn modelId="{2999A8BC-0F50-4462-8CCD-C9BD1857AE93}" type="presParOf" srcId="{E01A050F-9723-5A48-8EAC-432127DAC2F4}" destId="{93F82643-9B62-8340-A87D-D1DE9A2B3813}" srcOrd="1" destOrd="0" presId="urn:microsoft.com/office/officeart/2009/3/layout/HorizontalOrganizationChart"/>
    <dgm:cxn modelId="{E2821260-31A1-4369-B12B-0B4979081818}" type="presParOf" srcId="{E01A050F-9723-5A48-8EAC-432127DAC2F4}" destId="{7B181A06-2336-0947-B151-D336BC54D246}" srcOrd="2" destOrd="0" presId="urn:microsoft.com/office/officeart/2009/3/layout/HorizontalOrganizationChart"/>
    <dgm:cxn modelId="{FC87C791-88B5-4F48-AABC-E601C3F9D738}" type="presParOf" srcId="{56825620-8601-1D46-9564-64202787E18D}" destId="{79789FAA-3764-604A-9026-3B695638F00C}" srcOrd="6" destOrd="0" presId="urn:microsoft.com/office/officeart/2009/3/layout/HorizontalOrganizationChart"/>
    <dgm:cxn modelId="{10FF4CEE-2A3E-4A7D-A4BD-7C6CD15F2EE6}" type="presParOf" srcId="{56825620-8601-1D46-9564-64202787E18D}" destId="{D65C39F3-3F40-9D4A-A018-CEFE2BE286CF}" srcOrd="7" destOrd="0" presId="urn:microsoft.com/office/officeart/2009/3/layout/HorizontalOrganizationChart"/>
    <dgm:cxn modelId="{F0BD4302-F284-4621-A639-F2D8F345A665}" type="presParOf" srcId="{D65C39F3-3F40-9D4A-A018-CEFE2BE286CF}" destId="{4A10B8FC-4F82-6F44-8348-F093EF34EEA8}" srcOrd="0" destOrd="0" presId="urn:microsoft.com/office/officeart/2009/3/layout/HorizontalOrganizationChart"/>
    <dgm:cxn modelId="{64610C19-CCEF-42EB-AA15-B118736AE83C}" type="presParOf" srcId="{4A10B8FC-4F82-6F44-8348-F093EF34EEA8}" destId="{676D9DDA-A8AD-8546-A443-FAED8A2C85D3}" srcOrd="0" destOrd="0" presId="urn:microsoft.com/office/officeart/2009/3/layout/HorizontalOrganizationChart"/>
    <dgm:cxn modelId="{156E4F67-75C5-402A-A2AD-8C930401FFB9}" type="presParOf" srcId="{4A10B8FC-4F82-6F44-8348-F093EF34EEA8}" destId="{F336E98B-E74F-4949-A92A-CB41BD046619}" srcOrd="1" destOrd="0" presId="urn:microsoft.com/office/officeart/2009/3/layout/HorizontalOrganizationChart"/>
    <dgm:cxn modelId="{5EA82FB2-4B2E-4D7A-8E44-DC31115CE8D1}" type="presParOf" srcId="{D65C39F3-3F40-9D4A-A018-CEFE2BE286CF}" destId="{077E45E9-28DA-6141-8C0A-DEF83ED0C566}" srcOrd="1" destOrd="0" presId="urn:microsoft.com/office/officeart/2009/3/layout/HorizontalOrganizationChart"/>
    <dgm:cxn modelId="{7DF3B693-3272-4429-B863-4FC6086EDC95}" type="presParOf" srcId="{D65C39F3-3F40-9D4A-A018-CEFE2BE286CF}" destId="{58FD808E-1ED8-2140-AEB6-93359778BC70}" srcOrd="2" destOrd="0" presId="urn:microsoft.com/office/officeart/2009/3/layout/HorizontalOrganizationChart"/>
    <dgm:cxn modelId="{5B084CD9-D8F0-4BED-AC4F-C9E8C6D2F8BE}" type="presParOf" srcId="{56825620-8601-1D46-9564-64202787E18D}" destId="{43763753-2DAC-7346-A10A-CD2759A3569B}" srcOrd="8" destOrd="0" presId="urn:microsoft.com/office/officeart/2009/3/layout/HorizontalOrganizationChart"/>
    <dgm:cxn modelId="{C25D7953-B4BE-4759-A67B-94FE622C86CF}" type="presParOf" srcId="{56825620-8601-1D46-9564-64202787E18D}" destId="{9CEB9495-569B-BE47-ACA9-3E32CE717887}" srcOrd="9" destOrd="0" presId="urn:microsoft.com/office/officeart/2009/3/layout/HorizontalOrganizationChart"/>
    <dgm:cxn modelId="{7488BD35-EB0B-4854-8945-74E11FFA3D26}" type="presParOf" srcId="{9CEB9495-569B-BE47-ACA9-3E32CE717887}" destId="{2DE85197-1619-3244-B4EF-0E1ADB91087B}" srcOrd="0" destOrd="0" presId="urn:microsoft.com/office/officeart/2009/3/layout/HorizontalOrganizationChart"/>
    <dgm:cxn modelId="{8E7E6E27-A791-4EFC-AB37-CDCE4E39DB0D}" type="presParOf" srcId="{2DE85197-1619-3244-B4EF-0E1ADB91087B}" destId="{7AF514F0-C32B-9841-8B97-568F9EE42893}" srcOrd="0" destOrd="0" presId="urn:microsoft.com/office/officeart/2009/3/layout/HorizontalOrganizationChart"/>
    <dgm:cxn modelId="{43923D93-2E97-4F99-9FB9-47350FDB2365}" type="presParOf" srcId="{2DE85197-1619-3244-B4EF-0E1ADB91087B}" destId="{3E08579F-7C8C-F546-9828-D26AE87837A4}" srcOrd="1" destOrd="0" presId="urn:microsoft.com/office/officeart/2009/3/layout/HorizontalOrganizationChart"/>
    <dgm:cxn modelId="{C5A25402-F635-4810-AF7C-5C63CB553F0B}" type="presParOf" srcId="{9CEB9495-569B-BE47-ACA9-3E32CE717887}" destId="{FD6F4E31-98C6-F04E-9B19-F48F25AEC8B4}" srcOrd="1" destOrd="0" presId="urn:microsoft.com/office/officeart/2009/3/layout/HorizontalOrganizationChart"/>
    <dgm:cxn modelId="{E435EC43-1970-40E1-922C-58E170DB1285}" type="presParOf" srcId="{9CEB9495-569B-BE47-ACA9-3E32CE717887}" destId="{C14D69A8-CB6F-554F-B66F-0DF834650519}" srcOrd="2" destOrd="0" presId="urn:microsoft.com/office/officeart/2009/3/layout/HorizontalOrganizationChart"/>
    <dgm:cxn modelId="{4ABD4A63-108A-45C7-9C1A-F9B28829DD2B}" type="presParOf" srcId="{2644B114-2202-CC40-AB23-D9EEFDEE6459}" destId="{0FD4DBAC-5A3A-FC46-8561-3E58D52BED58}" srcOrd="2" destOrd="0" presId="urn:microsoft.com/office/officeart/2009/3/layout/HorizontalOrganizationChart"/>
    <dgm:cxn modelId="{7C27BB51-0A5C-4794-B249-8EDC0829FC0D}" type="presParOf" srcId="{0FD4DBAC-5A3A-FC46-8561-3E58D52BED58}" destId="{23EB462F-ACBC-1045-9929-09A623665BF9}" srcOrd="0" destOrd="0" presId="urn:microsoft.com/office/officeart/2009/3/layout/HorizontalOrganizationChart"/>
    <dgm:cxn modelId="{4E0178C7-F1E8-440C-8DE4-E3F81EA5F82A}" type="presParOf" srcId="{0FD4DBAC-5A3A-FC46-8561-3E58D52BED58}" destId="{B4EBAC0D-1B68-7C47-B579-8DAFBC1956F4}" srcOrd="1" destOrd="0" presId="urn:microsoft.com/office/officeart/2009/3/layout/HorizontalOrganizationChart"/>
    <dgm:cxn modelId="{F3F52500-37C2-426D-9566-303F0DCCB2CD}" type="presParOf" srcId="{B4EBAC0D-1B68-7C47-B579-8DAFBC1956F4}" destId="{CF90A970-BB84-394F-8188-3EBE24FB94CD}" srcOrd="0" destOrd="0" presId="urn:microsoft.com/office/officeart/2009/3/layout/HorizontalOrganizationChart"/>
    <dgm:cxn modelId="{3D3BB5BC-B702-4821-990A-1BE56F87BE69}" type="presParOf" srcId="{CF90A970-BB84-394F-8188-3EBE24FB94CD}" destId="{0CC41DD3-1BDA-0F49-A01F-D994F93C4B1F}" srcOrd="0" destOrd="0" presId="urn:microsoft.com/office/officeart/2009/3/layout/HorizontalOrganizationChart"/>
    <dgm:cxn modelId="{68E36BA3-000E-4299-B76E-560A9D31BE78}" type="presParOf" srcId="{CF90A970-BB84-394F-8188-3EBE24FB94CD}" destId="{5A678D7E-3077-924A-89EE-2B17FF80187E}" srcOrd="1" destOrd="0" presId="urn:microsoft.com/office/officeart/2009/3/layout/HorizontalOrganizationChart"/>
    <dgm:cxn modelId="{8708EE58-31BD-4C68-846C-65534DB926A8}" type="presParOf" srcId="{B4EBAC0D-1B68-7C47-B579-8DAFBC1956F4}" destId="{03C8A2EA-6BEB-7A4C-9841-FB1F6DC926F8}" srcOrd="1" destOrd="0" presId="urn:microsoft.com/office/officeart/2009/3/layout/HorizontalOrganizationChart"/>
    <dgm:cxn modelId="{ECD6749B-82F1-44DA-A65E-E2358FE004C5}" type="presParOf" srcId="{B4EBAC0D-1B68-7C47-B579-8DAFBC1956F4}" destId="{E862F006-74E5-EF4A-9C4C-8E738E420FAA}" srcOrd="2" destOrd="0" presId="urn:microsoft.com/office/officeart/2009/3/layout/HorizontalOrganizationChart"/>
    <dgm:cxn modelId="{BF8FD9F4-634C-4266-BAF8-AE4092F3027E}" type="presParOf" srcId="{0FD4DBAC-5A3A-FC46-8561-3E58D52BED58}" destId="{34817FF1-82D7-3A4E-B6BC-D45D3E93A60F}" srcOrd="2" destOrd="0" presId="urn:microsoft.com/office/officeart/2009/3/layout/HorizontalOrganizationChart"/>
    <dgm:cxn modelId="{40B512E9-F82D-4D72-9346-26711AB05DF1}" type="presParOf" srcId="{0FD4DBAC-5A3A-FC46-8561-3E58D52BED58}" destId="{99398AE0-E643-E24C-910E-99FD86943EF9}" srcOrd="3" destOrd="0" presId="urn:microsoft.com/office/officeart/2009/3/layout/HorizontalOrganizationChart"/>
    <dgm:cxn modelId="{B00C1E15-A732-495F-B5A3-E7C9814BFB8A}" type="presParOf" srcId="{99398AE0-E643-E24C-910E-99FD86943EF9}" destId="{F5749285-8826-224B-AE17-5AFD98D2732F}" srcOrd="0" destOrd="0" presId="urn:microsoft.com/office/officeart/2009/3/layout/HorizontalOrganizationChart"/>
    <dgm:cxn modelId="{D209A025-1E23-4763-8BD1-E5FF49067CE2}" type="presParOf" srcId="{F5749285-8826-224B-AE17-5AFD98D2732F}" destId="{26E182D9-FF7B-F44A-BCF1-39567CDE0A64}" srcOrd="0" destOrd="0" presId="urn:microsoft.com/office/officeart/2009/3/layout/HorizontalOrganizationChart"/>
    <dgm:cxn modelId="{71678C6C-28A8-4688-BFEB-FCAC20FB106E}" type="presParOf" srcId="{F5749285-8826-224B-AE17-5AFD98D2732F}" destId="{CA579264-0343-AC46-9D29-1674EFCD8EB9}" srcOrd="1" destOrd="0" presId="urn:microsoft.com/office/officeart/2009/3/layout/HorizontalOrganizationChart"/>
    <dgm:cxn modelId="{3F461F45-3DAB-4F76-8484-2FB5C7C41BD6}" type="presParOf" srcId="{99398AE0-E643-E24C-910E-99FD86943EF9}" destId="{B4FD3385-B7CE-7A48-8484-47DC16CD5AE8}" srcOrd="1" destOrd="0" presId="urn:microsoft.com/office/officeart/2009/3/layout/HorizontalOrganizationChart"/>
    <dgm:cxn modelId="{4D530C69-0519-4C22-B67E-0A26BCF7DD67}" type="presParOf" srcId="{99398AE0-E643-E24C-910E-99FD86943EF9}" destId="{68090122-8EB3-5044-92F3-3A448392B4D1}" srcOrd="2" destOrd="0" presId="urn:microsoft.com/office/officeart/2009/3/layout/Horizontal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17FF1-82D7-3A4E-B6BC-D45D3E93A60F}">
      <dsp:nvSpPr>
        <dsp:cNvPr id="0" name=""/>
        <dsp:cNvSpPr/>
      </dsp:nvSpPr>
      <dsp:spPr>
        <a:xfrm>
          <a:off x="982213" y="655954"/>
          <a:ext cx="613261" cy="849704"/>
        </a:xfrm>
        <a:custGeom>
          <a:avLst/>
          <a:gdLst/>
          <a:ahLst/>
          <a:cxnLst/>
          <a:rect l="0" t="0" r="0" b="0"/>
          <a:pathLst>
            <a:path>
              <a:moveTo>
                <a:pt x="0" y="849704"/>
              </a:moveTo>
              <a:lnTo>
                <a:pt x="613261" y="849704"/>
              </a:lnTo>
              <a:lnTo>
                <a:pt x="613261" y="0"/>
              </a:lnTo>
            </a:path>
          </a:pathLst>
        </a:custGeom>
        <a:noFill/>
        <a:ln w="28575"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23EB462F-ACBC-1045-9929-09A623665BF9}">
      <dsp:nvSpPr>
        <dsp:cNvPr id="0" name=""/>
        <dsp:cNvSpPr/>
      </dsp:nvSpPr>
      <dsp:spPr>
        <a:xfrm>
          <a:off x="982213" y="997891"/>
          <a:ext cx="1627994" cy="507768"/>
        </a:xfrm>
        <a:custGeom>
          <a:avLst/>
          <a:gdLst/>
          <a:ahLst/>
          <a:cxnLst/>
          <a:rect l="0" t="0" r="0" b="0"/>
          <a:pathLst>
            <a:path>
              <a:moveTo>
                <a:pt x="0" y="507768"/>
              </a:moveTo>
              <a:lnTo>
                <a:pt x="1627994" y="507768"/>
              </a:lnTo>
              <a:lnTo>
                <a:pt x="1627994" y="0"/>
              </a:lnTo>
            </a:path>
          </a:pathLst>
        </a:custGeom>
        <a:noFill/>
        <a:ln w="28575"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3763753-2DAC-7346-A10A-CD2759A3569B}">
      <dsp:nvSpPr>
        <dsp:cNvPr id="0" name=""/>
        <dsp:cNvSpPr/>
      </dsp:nvSpPr>
      <dsp:spPr>
        <a:xfrm>
          <a:off x="982213" y="1505659"/>
          <a:ext cx="1891659" cy="997331"/>
        </a:xfrm>
        <a:custGeom>
          <a:avLst/>
          <a:gdLst/>
          <a:ahLst/>
          <a:cxnLst/>
          <a:rect l="0" t="0" r="0" b="0"/>
          <a:pathLst>
            <a:path>
              <a:moveTo>
                <a:pt x="0" y="0"/>
              </a:moveTo>
              <a:lnTo>
                <a:pt x="1790502" y="0"/>
              </a:lnTo>
              <a:lnTo>
                <a:pt x="1790502" y="997331"/>
              </a:lnTo>
              <a:lnTo>
                <a:pt x="1891659" y="997331"/>
              </a:lnTo>
            </a:path>
          </a:pathLst>
        </a:custGeom>
        <a:noFill/>
        <a:ln w="28575"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79789FAA-3764-604A-9026-3B695638F00C}">
      <dsp:nvSpPr>
        <dsp:cNvPr id="0" name=""/>
        <dsp:cNvSpPr/>
      </dsp:nvSpPr>
      <dsp:spPr>
        <a:xfrm>
          <a:off x="982213" y="1505659"/>
          <a:ext cx="2937507" cy="819027"/>
        </a:xfrm>
        <a:custGeom>
          <a:avLst/>
          <a:gdLst/>
          <a:ahLst/>
          <a:cxnLst/>
          <a:rect l="0" t="0" r="0" b="0"/>
          <a:pathLst>
            <a:path>
              <a:moveTo>
                <a:pt x="0" y="0"/>
              </a:moveTo>
              <a:lnTo>
                <a:pt x="2836350" y="0"/>
              </a:lnTo>
              <a:lnTo>
                <a:pt x="2836350" y="819027"/>
              </a:lnTo>
              <a:lnTo>
                <a:pt x="2937507" y="819027"/>
              </a:lnTo>
            </a:path>
          </a:pathLst>
        </a:custGeom>
        <a:noFill/>
        <a:ln w="28575"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6A7B6CD-3B8C-5B45-9DDA-B8F1B084E41A}">
      <dsp:nvSpPr>
        <dsp:cNvPr id="0" name=""/>
        <dsp:cNvSpPr/>
      </dsp:nvSpPr>
      <dsp:spPr>
        <a:xfrm>
          <a:off x="982213" y="1505659"/>
          <a:ext cx="482031" cy="780224"/>
        </a:xfrm>
        <a:custGeom>
          <a:avLst/>
          <a:gdLst/>
          <a:ahLst/>
          <a:cxnLst/>
          <a:rect l="0" t="0" r="0" b="0"/>
          <a:pathLst>
            <a:path>
              <a:moveTo>
                <a:pt x="0" y="0"/>
              </a:moveTo>
              <a:lnTo>
                <a:pt x="380874" y="0"/>
              </a:lnTo>
              <a:lnTo>
                <a:pt x="380874" y="780224"/>
              </a:lnTo>
              <a:lnTo>
                <a:pt x="482031" y="780224"/>
              </a:lnTo>
            </a:path>
          </a:pathLst>
        </a:custGeom>
        <a:noFill/>
        <a:ln w="28575"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27A6A85D-8B86-2240-A084-FAFEADE1AA87}">
      <dsp:nvSpPr>
        <dsp:cNvPr id="0" name=""/>
        <dsp:cNvSpPr/>
      </dsp:nvSpPr>
      <dsp:spPr>
        <a:xfrm>
          <a:off x="982213" y="1377751"/>
          <a:ext cx="3649591" cy="127908"/>
        </a:xfrm>
        <a:custGeom>
          <a:avLst/>
          <a:gdLst/>
          <a:ahLst/>
          <a:cxnLst/>
          <a:rect l="0" t="0" r="0" b="0"/>
          <a:pathLst>
            <a:path>
              <a:moveTo>
                <a:pt x="0" y="127908"/>
              </a:moveTo>
              <a:lnTo>
                <a:pt x="3548435" y="127908"/>
              </a:lnTo>
              <a:lnTo>
                <a:pt x="3548435" y="0"/>
              </a:lnTo>
              <a:lnTo>
                <a:pt x="3649591" y="0"/>
              </a:lnTo>
            </a:path>
          </a:pathLst>
        </a:custGeom>
        <a:noFill/>
        <a:ln w="28575"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2E2F38C-A8CF-9946-8112-58A849FF3DA7}">
      <dsp:nvSpPr>
        <dsp:cNvPr id="0" name=""/>
        <dsp:cNvSpPr/>
      </dsp:nvSpPr>
      <dsp:spPr>
        <a:xfrm>
          <a:off x="982213" y="465506"/>
          <a:ext cx="2609931" cy="1040152"/>
        </a:xfrm>
        <a:custGeom>
          <a:avLst/>
          <a:gdLst/>
          <a:ahLst/>
          <a:cxnLst/>
          <a:rect l="0" t="0" r="0" b="0"/>
          <a:pathLst>
            <a:path>
              <a:moveTo>
                <a:pt x="0" y="1040152"/>
              </a:moveTo>
              <a:lnTo>
                <a:pt x="2508775" y="1040152"/>
              </a:lnTo>
              <a:lnTo>
                <a:pt x="2508775" y="0"/>
              </a:lnTo>
              <a:lnTo>
                <a:pt x="2609931" y="0"/>
              </a:lnTo>
            </a:path>
          </a:pathLst>
        </a:custGeom>
        <a:noFill/>
        <a:ln w="28575"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4980489-CAD6-1C4D-98A4-FA69F0AE3340}">
      <dsp:nvSpPr>
        <dsp:cNvPr id="0" name=""/>
        <dsp:cNvSpPr/>
      </dsp:nvSpPr>
      <dsp:spPr>
        <a:xfrm>
          <a:off x="120965" y="1028701"/>
          <a:ext cx="861247" cy="953915"/>
        </a:xfrm>
        <a:prstGeom prst="rect">
          <a:avLst/>
        </a:prstGeom>
        <a:solidFill>
          <a:schemeClr val="lt1"/>
        </a:solidFill>
        <a:ln w="28575"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1991 </a:t>
          </a:r>
          <a:r>
            <a:rPr lang="en-US" sz="900" kern="1200">
              <a:latin typeface="Arial"/>
              <a:cs typeface="Arial"/>
            </a:rPr>
            <a:t>                                                        Maruti Udyog Limited (MUL) established as Public Sector Undertaking</a:t>
          </a:r>
        </a:p>
      </dsp:txBody>
      <dsp:txXfrm>
        <a:off x="120965" y="1028701"/>
        <a:ext cx="861247" cy="953915"/>
      </dsp:txXfrm>
    </dsp:sp>
    <dsp:sp modelId="{F6AE1C98-C2F3-EC47-BD24-17987E905DEA}">
      <dsp:nvSpPr>
        <dsp:cNvPr id="0" name=""/>
        <dsp:cNvSpPr/>
      </dsp:nvSpPr>
      <dsp:spPr>
        <a:xfrm>
          <a:off x="3592144" y="198534"/>
          <a:ext cx="1240979" cy="533944"/>
        </a:xfrm>
        <a:prstGeom prst="rect">
          <a:avLst/>
        </a:prstGeom>
        <a:solidFill>
          <a:schemeClr val="lt1"/>
        </a:solidFill>
        <a:ln w="28575"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2013</a:t>
          </a:r>
          <a:r>
            <a:rPr lang="en-US" sz="900" kern="1200">
              <a:latin typeface="Arial"/>
              <a:cs typeface="Arial"/>
            </a:rPr>
            <a:t>                                                </a:t>
          </a:r>
          <a:r>
            <a:rPr lang="en-US" sz="900" b="0" kern="1200">
              <a:latin typeface="Arial"/>
              <a:cs typeface="Arial"/>
            </a:rPr>
            <a:t>Suzuki Motor  Corporation </a:t>
          </a:r>
          <a:r>
            <a:rPr lang="en-US" sz="900" kern="1200">
              <a:latin typeface="Arial"/>
              <a:cs typeface="Arial"/>
            </a:rPr>
            <a:t>stake increased to 56.21%</a:t>
          </a:r>
        </a:p>
      </dsp:txBody>
      <dsp:txXfrm>
        <a:off x="3592144" y="198534"/>
        <a:ext cx="1240979" cy="533944"/>
      </dsp:txXfrm>
    </dsp:sp>
    <dsp:sp modelId="{43A309D1-CA65-4D40-B250-39943AD041B6}">
      <dsp:nvSpPr>
        <dsp:cNvPr id="0" name=""/>
        <dsp:cNvSpPr/>
      </dsp:nvSpPr>
      <dsp:spPr>
        <a:xfrm>
          <a:off x="4631804" y="1094035"/>
          <a:ext cx="1083195" cy="567431"/>
        </a:xfrm>
        <a:prstGeom prst="rect">
          <a:avLst/>
        </a:prstGeom>
        <a:solidFill>
          <a:schemeClr val="lt1"/>
        </a:solidFill>
        <a:ln w="28575"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2020</a:t>
          </a:r>
          <a:r>
            <a:rPr lang="en-US" sz="900" kern="1200">
              <a:latin typeface="Arial"/>
              <a:cs typeface="Arial"/>
            </a:rPr>
            <a:t>                                                     Target sales of 2  million vehicles per year</a:t>
          </a:r>
        </a:p>
      </dsp:txBody>
      <dsp:txXfrm>
        <a:off x="4631804" y="1094035"/>
        <a:ext cx="1083195" cy="567431"/>
      </dsp:txXfrm>
    </dsp:sp>
    <dsp:sp modelId="{F8E21F6B-5E3D-F143-A723-6751E70A82AF}">
      <dsp:nvSpPr>
        <dsp:cNvPr id="0" name=""/>
        <dsp:cNvSpPr/>
      </dsp:nvSpPr>
      <dsp:spPr>
        <a:xfrm>
          <a:off x="1464244" y="1990927"/>
          <a:ext cx="1216155" cy="589914"/>
        </a:xfrm>
        <a:prstGeom prst="rect">
          <a:avLst/>
        </a:prstGeom>
        <a:solidFill>
          <a:schemeClr val="lt1"/>
        </a:solidFill>
        <a:ln w="28575"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2002 </a:t>
          </a:r>
        </a:p>
        <a:p>
          <a:pPr lvl="0" algn="ctr" defTabSz="400050">
            <a:lnSpc>
              <a:spcPct val="90000"/>
            </a:lnSpc>
            <a:spcBef>
              <a:spcPct val="0"/>
            </a:spcBef>
            <a:spcAft>
              <a:spcPct val="35000"/>
            </a:spcAft>
          </a:pPr>
          <a:r>
            <a:rPr lang="en-US" sz="900" b="0" kern="1200">
              <a:latin typeface="Arial"/>
              <a:cs typeface="Arial"/>
            </a:rPr>
            <a:t>MUL privatized with 54.2% stake of Suzuki Motor  Corporation </a:t>
          </a:r>
        </a:p>
      </dsp:txBody>
      <dsp:txXfrm>
        <a:off x="1464244" y="1990927"/>
        <a:ext cx="1216155" cy="589914"/>
      </dsp:txXfrm>
    </dsp:sp>
    <dsp:sp modelId="{676D9DDA-A8AD-8546-A443-FAED8A2C85D3}">
      <dsp:nvSpPr>
        <dsp:cNvPr id="0" name=""/>
        <dsp:cNvSpPr/>
      </dsp:nvSpPr>
      <dsp:spPr>
        <a:xfrm>
          <a:off x="3919720" y="2123518"/>
          <a:ext cx="917338" cy="402335"/>
        </a:xfrm>
        <a:prstGeom prst="rect">
          <a:avLst/>
        </a:prstGeom>
        <a:solidFill>
          <a:schemeClr val="lt1"/>
        </a:solidFill>
        <a:ln w="28575"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2015</a:t>
          </a:r>
          <a:r>
            <a:rPr lang="en-US" sz="900" kern="1200">
              <a:latin typeface="Arial"/>
              <a:cs typeface="Arial"/>
            </a:rPr>
            <a:t>                                                   15 million vehicles  sold</a:t>
          </a:r>
        </a:p>
      </dsp:txBody>
      <dsp:txXfrm>
        <a:off x="3919720" y="2123518"/>
        <a:ext cx="917338" cy="402335"/>
      </dsp:txXfrm>
    </dsp:sp>
    <dsp:sp modelId="{7AF514F0-C32B-9841-8B97-568F9EE42893}">
      <dsp:nvSpPr>
        <dsp:cNvPr id="0" name=""/>
        <dsp:cNvSpPr/>
      </dsp:nvSpPr>
      <dsp:spPr>
        <a:xfrm>
          <a:off x="2873872" y="2295546"/>
          <a:ext cx="670526" cy="414889"/>
        </a:xfrm>
        <a:prstGeom prst="rect">
          <a:avLst/>
        </a:prstGeom>
        <a:solidFill>
          <a:schemeClr val="lt1"/>
        </a:solidFill>
        <a:ln w="28575"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2011</a:t>
          </a:r>
          <a:r>
            <a:rPr lang="en-US" sz="900" kern="1200">
              <a:latin typeface="Arial"/>
              <a:cs typeface="Arial"/>
            </a:rPr>
            <a:t>                                                    10 million vehicles sold</a:t>
          </a:r>
        </a:p>
      </dsp:txBody>
      <dsp:txXfrm>
        <a:off x="2873872" y="2295546"/>
        <a:ext cx="670526" cy="414889"/>
      </dsp:txXfrm>
    </dsp:sp>
    <dsp:sp modelId="{0CC41DD3-1BDA-0F49-A01F-D994F93C4B1F}">
      <dsp:nvSpPr>
        <dsp:cNvPr id="0" name=""/>
        <dsp:cNvSpPr/>
      </dsp:nvSpPr>
      <dsp:spPr>
        <a:xfrm>
          <a:off x="2102492" y="469154"/>
          <a:ext cx="1015430" cy="528736"/>
        </a:xfrm>
        <a:prstGeom prst="rect">
          <a:avLst/>
        </a:prstGeom>
        <a:solidFill>
          <a:schemeClr val="lt1"/>
        </a:solidFill>
        <a:ln w="28575"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2007</a:t>
          </a:r>
          <a:r>
            <a:rPr lang="en-US" sz="900" kern="1200">
              <a:latin typeface="Arial"/>
              <a:cs typeface="Arial"/>
            </a:rPr>
            <a:t>                                                        Government of India exits; MUL re-named MSIL</a:t>
          </a:r>
        </a:p>
      </dsp:txBody>
      <dsp:txXfrm>
        <a:off x="2102492" y="469154"/>
        <a:ext cx="1015430" cy="528736"/>
      </dsp:txXfrm>
    </dsp:sp>
    <dsp:sp modelId="{26E182D9-FF7B-F44A-BCF1-39567CDE0A64}">
      <dsp:nvSpPr>
        <dsp:cNvPr id="0" name=""/>
        <dsp:cNvSpPr/>
      </dsp:nvSpPr>
      <dsp:spPr>
        <a:xfrm>
          <a:off x="1213330" y="234752"/>
          <a:ext cx="764288" cy="421201"/>
        </a:xfrm>
        <a:prstGeom prst="rect">
          <a:avLst/>
        </a:prstGeom>
        <a:solidFill>
          <a:schemeClr val="lt1"/>
        </a:solidFill>
        <a:ln w="28575"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2005</a:t>
          </a:r>
          <a:r>
            <a:rPr lang="en-US" sz="900" kern="1200">
              <a:latin typeface="Arial"/>
              <a:cs typeface="Arial"/>
            </a:rPr>
            <a:t>                                                         5 million vehicles sold</a:t>
          </a:r>
        </a:p>
      </dsp:txBody>
      <dsp:txXfrm>
        <a:off x="1213330" y="234752"/>
        <a:ext cx="764288" cy="42120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0.41964</cdr:x>
      <cdr:y>0.8367</cdr:y>
    </cdr:from>
    <cdr:to>
      <cdr:x>0.58631</cdr:x>
      <cdr:y>0.89086</cdr:y>
    </cdr:to>
    <cdr:sp macro="" textlink="">
      <cdr:nvSpPr>
        <cdr:cNvPr id="2" name="Text Box 1"/>
        <cdr:cNvSpPr txBox="1"/>
      </cdr:nvSpPr>
      <cdr:spPr>
        <a:xfrm xmlns:a="http://schemas.openxmlformats.org/drawingml/2006/main">
          <a:off x="2302329" y="2628900"/>
          <a:ext cx="914400" cy="17018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0.40166</cdr:x>
      <cdr:y>0.81481</cdr:y>
    </cdr:from>
    <cdr:to>
      <cdr:x>0.56832</cdr:x>
      <cdr:y>0.88889</cdr:y>
    </cdr:to>
    <cdr:sp macro="" textlink="">
      <cdr:nvSpPr>
        <cdr:cNvPr id="4" name="Text Box 3"/>
        <cdr:cNvSpPr txBox="1"/>
      </cdr:nvSpPr>
      <cdr:spPr>
        <a:xfrm xmlns:a="http://schemas.openxmlformats.org/drawingml/2006/main">
          <a:off x="2400300" y="2514600"/>
          <a:ext cx="995998" cy="2286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900">
              <a:latin typeface="+mn-lt"/>
              <a:cs typeface="Arial"/>
            </a:rPr>
            <a:t>Fiscal Year</a:t>
          </a:r>
        </a:p>
      </cdr:txBody>
    </cdr:sp>
  </cdr:relSizeAnchor>
  <cdr:relSizeAnchor xmlns:cdr="http://schemas.openxmlformats.org/drawingml/2006/chartDrawing">
    <cdr:from>
      <cdr:x>0</cdr:x>
      <cdr:y>0</cdr:y>
    </cdr:from>
    <cdr:to>
      <cdr:x>0.04167</cdr:x>
      <cdr:y>0.74074</cdr:y>
    </cdr:to>
    <cdr:sp macro="" textlink="">
      <cdr:nvSpPr>
        <cdr:cNvPr id="5" name="Text Box 4"/>
        <cdr:cNvSpPr txBox="1"/>
      </cdr:nvSpPr>
      <cdr:spPr>
        <a:xfrm xmlns:a="http://schemas.openxmlformats.org/drawingml/2006/main" rot="10800000">
          <a:off x="-1126670" y="0"/>
          <a:ext cx="228600" cy="2286000"/>
        </a:xfrm>
        <a:prstGeom xmlns:a="http://schemas.openxmlformats.org/drawingml/2006/main" prst="rect">
          <a:avLst/>
        </a:prstGeom>
      </cdr:spPr>
      <cdr:txBody>
        <a:bodyPr xmlns:a="http://schemas.openxmlformats.org/drawingml/2006/main" vertOverflow="clip" vert="eaVert" wrap="non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800">
              <a:latin typeface="Arial"/>
              <a:cs typeface="Arial"/>
            </a:rPr>
            <a:t>       </a:t>
          </a:r>
          <a:r>
            <a:rPr lang="en-US" sz="800" baseline="0">
              <a:latin typeface="Arial"/>
              <a:cs typeface="Arial"/>
            </a:rPr>
            <a:t>          </a:t>
          </a:r>
          <a:r>
            <a:rPr lang="en-US" sz="800">
              <a:latin typeface="Arial"/>
              <a:cs typeface="Arial"/>
            </a:rPr>
            <a:t>Units of Passenger Cars Sold</a:t>
          </a:r>
        </a:p>
        <a:p xmlns:a="http://schemas.openxmlformats.org/drawingml/2006/main">
          <a:endParaRPr lang="en-US" sz="800">
            <a:latin typeface="Arial"/>
            <a:cs typeface="Aria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0.27978</cdr:y>
    </cdr:from>
    <cdr:to>
      <cdr:x>0.04155</cdr:x>
      <cdr:y>0.63996</cdr:y>
    </cdr:to>
    <cdr:sp macro="" textlink="">
      <cdr:nvSpPr>
        <cdr:cNvPr id="2" name="Text Box 1"/>
        <cdr:cNvSpPr txBox="1"/>
      </cdr:nvSpPr>
      <cdr:spPr>
        <a:xfrm xmlns:a="http://schemas.openxmlformats.org/drawingml/2006/main" rot="10800000">
          <a:off x="-1118506" y="710293"/>
          <a:ext cx="228600" cy="914400"/>
        </a:xfrm>
        <a:prstGeom xmlns:a="http://schemas.openxmlformats.org/drawingml/2006/main" prst="rect">
          <a:avLst/>
        </a:prstGeom>
      </cdr:spPr>
      <cdr:txBody>
        <a:bodyPr xmlns:a="http://schemas.openxmlformats.org/drawingml/2006/main" vertOverflow="clip" vert="eaVert" wrap="none" rtlCol="0"/>
        <a:lstStyle xmlns:a="http://schemas.openxmlformats.org/drawingml/2006/main"/>
        <a:p xmlns:a="http://schemas.openxmlformats.org/drawingml/2006/main">
          <a:pPr marL="0" marR="0" indent="0" algn="l" defTabSz="914400" eaLnBrk="1" fontAlgn="auto" latinLnBrk="0" hangingPunct="1">
            <a:lnSpc>
              <a:spcPct val="100000"/>
            </a:lnSpc>
            <a:spcBef>
              <a:spcPts val="0"/>
            </a:spcBef>
            <a:spcAft>
              <a:spcPts val="0"/>
            </a:spcAft>
            <a:buClrTx/>
            <a:buSzTx/>
            <a:buFontTx/>
            <a:buNone/>
            <a:tabLst/>
            <a:defRPr/>
          </a:pPr>
          <a:r>
            <a:rPr lang="en-US" sz="800"/>
            <a:t>Units  of  Utility Vehicles Sold     </a:t>
          </a:r>
        </a:p>
        <a:p xmlns:a="http://schemas.openxmlformats.org/drawingml/2006/main">
          <a:endParaRPr lang="en-US" sz="800"/>
        </a:p>
      </cdr:txBody>
    </cdr:sp>
  </cdr:relSizeAnchor>
  <cdr:relSizeAnchor xmlns:cdr="http://schemas.openxmlformats.org/drawingml/2006/chartDrawing">
    <cdr:from>
      <cdr:x>0.38286</cdr:x>
      <cdr:y>0.91397</cdr:y>
    </cdr:from>
    <cdr:to>
      <cdr:x>0.54286</cdr:x>
      <cdr:y>1</cdr:y>
    </cdr:to>
    <cdr:sp macro="" textlink="">
      <cdr:nvSpPr>
        <cdr:cNvPr id="3" name="Text Box 2"/>
        <cdr:cNvSpPr txBox="1"/>
      </cdr:nvSpPr>
      <cdr:spPr>
        <a:xfrm xmlns:a="http://schemas.openxmlformats.org/drawingml/2006/main">
          <a:off x="2188029" y="2424793"/>
          <a:ext cx="914400" cy="22823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900"/>
            <a:t>Fiscal year</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6D497-3491-408F-9AA6-EBAC65B49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6505</Words>
  <Characters>37083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7</cp:revision>
  <cp:lastPrinted>2017-11-08T15:56:00Z</cp:lastPrinted>
  <dcterms:created xsi:type="dcterms:W3CDTF">2017-11-08T15:32:00Z</dcterms:created>
  <dcterms:modified xsi:type="dcterms:W3CDTF">2018-01-10T14:13:00Z</dcterms:modified>
</cp:coreProperties>
</file>