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9191D" w14:textId="761FB9A3" w:rsidR="008467D5" w:rsidRPr="0034527B" w:rsidRDefault="003658DE" w:rsidP="00013360">
      <w:pPr>
        <w:tabs>
          <w:tab w:val="left" w:pos="-1440"/>
          <w:tab w:val="left" w:pos="-720"/>
          <w:tab w:val="left" w:pos="1"/>
          <w:tab w:val="right" w:pos="9360"/>
        </w:tabs>
        <w:jc w:val="both"/>
        <w:rPr>
          <w:rFonts w:ascii="Arial" w:hAnsi="Arial"/>
          <w:sz w:val="24"/>
          <w:lang w:val="en-GB"/>
        </w:rPr>
      </w:pPr>
      <w:r w:rsidRPr="0034527B">
        <w:rPr>
          <w:rFonts w:ascii="Arial" w:hAnsi="Arial"/>
          <w:b/>
          <w:noProof/>
          <w:sz w:val="24"/>
        </w:rPr>
        <w:drawing>
          <wp:inline distT="0" distB="0" distL="0" distR="0" wp14:anchorId="3A21A6C4" wp14:editId="38076D1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9184C63" w14:textId="77777777" w:rsidR="00856D9F" w:rsidRPr="0034527B"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43731BB" w14:textId="55E32119" w:rsidR="00D75295" w:rsidRPr="0034527B" w:rsidRDefault="00431BEB" w:rsidP="00F105B7">
      <w:pPr>
        <w:pStyle w:val="ProductNumber"/>
        <w:rPr>
          <w:lang w:val="en-GB"/>
        </w:rPr>
      </w:pPr>
      <w:r>
        <w:rPr>
          <w:lang w:val="en-GB"/>
        </w:rPr>
        <w:t>9B17A065</w:t>
      </w:r>
    </w:p>
    <w:p w14:paraId="747B9C83" w14:textId="77777777" w:rsidR="00D75295" w:rsidRPr="0034527B" w:rsidRDefault="00D75295" w:rsidP="00D75295">
      <w:pPr>
        <w:jc w:val="right"/>
        <w:rPr>
          <w:rFonts w:ascii="Arial" w:hAnsi="Arial"/>
          <w:b/>
          <w:sz w:val="28"/>
          <w:szCs w:val="28"/>
          <w:lang w:val="en-GB"/>
        </w:rPr>
      </w:pPr>
    </w:p>
    <w:p w14:paraId="453035AA" w14:textId="77777777" w:rsidR="00866F6D" w:rsidRPr="0034527B" w:rsidRDefault="00866F6D" w:rsidP="00D75295">
      <w:pPr>
        <w:jc w:val="right"/>
        <w:rPr>
          <w:rFonts w:ascii="Arial" w:hAnsi="Arial"/>
          <w:b/>
          <w:sz w:val="28"/>
          <w:szCs w:val="28"/>
          <w:lang w:val="en-GB"/>
        </w:rPr>
      </w:pPr>
    </w:p>
    <w:p w14:paraId="6587A022" w14:textId="1AB0FF30" w:rsidR="00013360" w:rsidRPr="0034527B" w:rsidRDefault="00614FEB" w:rsidP="00013360">
      <w:pPr>
        <w:pStyle w:val="CaseTitle"/>
        <w:spacing w:after="0" w:line="240" w:lineRule="auto"/>
        <w:rPr>
          <w:lang w:val="en-GB"/>
        </w:rPr>
      </w:pPr>
      <w:r w:rsidRPr="0034527B">
        <w:rPr>
          <w:lang w:val="en-GB"/>
        </w:rPr>
        <w:t>BRAC: Shasthya Shebikas’ Role in Delivering Health care Service to Rural Markets</w:t>
      </w:r>
    </w:p>
    <w:p w14:paraId="1F172F57" w14:textId="77777777" w:rsidR="00013360" w:rsidRPr="0034527B" w:rsidRDefault="00013360" w:rsidP="00013360">
      <w:pPr>
        <w:pStyle w:val="CaseTitle"/>
        <w:spacing w:after="0" w:line="240" w:lineRule="auto"/>
        <w:rPr>
          <w:sz w:val="20"/>
          <w:szCs w:val="20"/>
          <w:lang w:val="en-GB"/>
        </w:rPr>
      </w:pPr>
    </w:p>
    <w:p w14:paraId="577FE12A" w14:textId="77777777" w:rsidR="00CA3976" w:rsidRPr="0034527B" w:rsidRDefault="00CA3976" w:rsidP="00013360">
      <w:pPr>
        <w:pStyle w:val="CaseTitle"/>
        <w:spacing w:after="0" w:line="240" w:lineRule="auto"/>
        <w:rPr>
          <w:sz w:val="20"/>
          <w:szCs w:val="20"/>
          <w:lang w:val="en-GB"/>
        </w:rPr>
      </w:pPr>
    </w:p>
    <w:p w14:paraId="5FEDE9D0" w14:textId="77777777" w:rsidR="00013360" w:rsidRPr="0034527B" w:rsidRDefault="00013360" w:rsidP="00013360">
      <w:pPr>
        <w:pStyle w:val="CaseTitle"/>
        <w:spacing w:after="0" w:line="240" w:lineRule="auto"/>
        <w:rPr>
          <w:sz w:val="20"/>
          <w:szCs w:val="20"/>
          <w:lang w:val="en-GB"/>
        </w:rPr>
      </w:pPr>
    </w:p>
    <w:p w14:paraId="452FBD6F" w14:textId="77777777" w:rsidR="00013360" w:rsidRPr="0034527B" w:rsidRDefault="00614FEB" w:rsidP="00104567">
      <w:pPr>
        <w:pStyle w:val="StyleCopyrightStatementAfter0ptBottomSinglesolidline1"/>
        <w:rPr>
          <w:lang w:val="en-GB"/>
        </w:rPr>
      </w:pPr>
      <w:r w:rsidRPr="0034527B">
        <w:rPr>
          <w:lang w:val="en-GB"/>
        </w:rPr>
        <w:t xml:space="preserve">Sanal Kumar Velayudhan, Sayeda Shabukta Malik, and Kaosar Afsana </w:t>
      </w:r>
      <w:r w:rsidR="007E5921" w:rsidRPr="0034527B">
        <w:rPr>
          <w:lang w:val="en-GB"/>
        </w:rPr>
        <w:t>wrote this case sol</w:t>
      </w:r>
      <w:r w:rsidR="00D75295" w:rsidRPr="0034527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383223D" w14:textId="77777777" w:rsidR="00013360" w:rsidRPr="0034527B" w:rsidRDefault="00013360" w:rsidP="00104567">
      <w:pPr>
        <w:pStyle w:val="StyleCopyrightStatementAfter0ptBottomSinglesolidline1"/>
        <w:rPr>
          <w:lang w:val="en-GB"/>
        </w:rPr>
      </w:pPr>
    </w:p>
    <w:p w14:paraId="1AFB02B2" w14:textId="32163041" w:rsidR="003658DE" w:rsidRPr="0034527B" w:rsidRDefault="003658DE" w:rsidP="003658DE">
      <w:pPr>
        <w:pStyle w:val="StyleStyleCopyrightStatementAfter0ptBottomSinglesolid"/>
        <w:rPr>
          <w:lang w:val="en-GB"/>
        </w:rPr>
      </w:pPr>
      <w:r w:rsidRPr="0034527B">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AA32F6C" w14:textId="77777777" w:rsidR="003658DE" w:rsidRPr="0034527B" w:rsidRDefault="003658DE" w:rsidP="003658DE">
      <w:pPr>
        <w:pStyle w:val="StyleStyleCopyrightStatementAfter0ptBottomSinglesolid"/>
        <w:rPr>
          <w:lang w:val="en-GB"/>
        </w:rPr>
      </w:pPr>
    </w:p>
    <w:p w14:paraId="56C2ED37" w14:textId="48B8B3F1" w:rsidR="003B7EF2" w:rsidRPr="0034527B" w:rsidRDefault="003658DE" w:rsidP="003658DE">
      <w:pPr>
        <w:pStyle w:val="StyleStyleCopyrightStatementAfter0ptBottomSinglesolid"/>
        <w:rPr>
          <w:lang w:val="en-GB"/>
        </w:rPr>
      </w:pPr>
      <w:r w:rsidRPr="0034527B">
        <w:rPr>
          <w:lang w:val="en-GB"/>
        </w:rPr>
        <w:t>Copyright © 2017, Richard Ivey School of Business Foundation</w:t>
      </w:r>
      <w:r w:rsidR="003B7EF2" w:rsidRPr="0034527B">
        <w:rPr>
          <w:lang w:val="en-GB"/>
        </w:rPr>
        <w:tab/>
        <w:t xml:space="preserve">Version: </w:t>
      </w:r>
      <w:r w:rsidR="00361C8E" w:rsidRPr="0034527B">
        <w:rPr>
          <w:lang w:val="en-GB"/>
        </w:rPr>
        <w:t>201</w:t>
      </w:r>
      <w:r w:rsidR="007F51FC" w:rsidRPr="0034527B">
        <w:rPr>
          <w:lang w:val="en-GB"/>
        </w:rPr>
        <w:t>7</w:t>
      </w:r>
      <w:r w:rsidR="00361C8E" w:rsidRPr="0034527B">
        <w:rPr>
          <w:lang w:val="en-GB"/>
        </w:rPr>
        <w:t>-</w:t>
      </w:r>
      <w:r w:rsidR="00FA2E99">
        <w:rPr>
          <w:lang w:val="en-GB"/>
        </w:rPr>
        <w:t>12-0</w:t>
      </w:r>
      <w:r w:rsidR="00C32974">
        <w:rPr>
          <w:lang w:val="en-GB"/>
        </w:rPr>
        <w:t>7</w:t>
      </w:r>
    </w:p>
    <w:p w14:paraId="0F13280E" w14:textId="77777777" w:rsidR="003B7EF2" w:rsidRPr="0034527B" w:rsidRDefault="003B7EF2" w:rsidP="00104567">
      <w:pPr>
        <w:pStyle w:val="StyleCopyrightStatementAfter0ptBottomSinglesolidline1"/>
        <w:rPr>
          <w:rFonts w:ascii="Times New Roman" w:hAnsi="Times New Roman"/>
          <w:sz w:val="20"/>
          <w:lang w:val="en-GB"/>
        </w:rPr>
      </w:pPr>
    </w:p>
    <w:p w14:paraId="6CF46917" w14:textId="77777777" w:rsidR="003B7EF2" w:rsidRPr="0034527B" w:rsidRDefault="003B7EF2" w:rsidP="006B7F7A">
      <w:pPr>
        <w:pStyle w:val="BodyTextMain"/>
        <w:rPr>
          <w:sz w:val="20"/>
          <w:lang w:val="en-GB"/>
        </w:rPr>
      </w:pPr>
    </w:p>
    <w:p w14:paraId="7770868C" w14:textId="1D6DFD10" w:rsidR="003658DE" w:rsidRPr="0034527B" w:rsidRDefault="00614FEB" w:rsidP="00614FEB">
      <w:pPr>
        <w:pStyle w:val="BodyTextMain"/>
        <w:rPr>
          <w:spacing w:val="-2"/>
          <w:lang w:val="en-GB"/>
        </w:rPr>
      </w:pPr>
      <w:r w:rsidRPr="0034527B">
        <w:rPr>
          <w:spacing w:val="-2"/>
          <w:lang w:val="en-GB"/>
        </w:rPr>
        <w:t xml:space="preserve">Dr. Kaosar Afsana, </w:t>
      </w:r>
      <w:r w:rsidR="00D85C90" w:rsidRPr="0034527B">
        <w:rPr>
          <w:spacing w:val="-2"/>
          <w:lang w:val="en-GB"/>
        </w:rPr>
        <w:t>d</w:t>
      </w:r>
      <w:r w:rsidRPr="0034527B">
        <w:rPr>
          <w:spacing w:val="-2"/>
          <w:lang w:val="en-GB"/>
        </w:rPr>
        <w:t xml:space="preserve">irector of the Health, Nutrition and Population program </w:t>
      </w:r>
      <w:r w:rsidR="00D85C90" w:rsidRPr="0034527B">
        <w:rPr>
          <w:spacing w:val="-2"/>
          <w:lang w:val="en-GB"/>
        </w:rPr>
        <w:t>at</w:t>
      </w:r>
      <w:r w:rsidRPr="0034527B">
        <w:rPr>
          <w:spacing w:val="-2"/>
          <w:lang w:val="en-GB"/>
        </w:rPr>
        <w:t xml:space="preserve"> BRAC, the world’s largest non-governmental development organization, </w:t>
      </w:r>
      <w:r w:rsidR="00D85C90" w:rsidRPr="0034527B">
        <w:rPr>
          <w:spacing w:val="-2"/>
          <w:lang w:val="en-GB"/>
        </w:rPr>
        <w:t xml:space="preserve">was </w:t>
      </w:r>
      <w:r w:rsidRPr="0034527B">
        <w:rPr>
          <w:spacing w:val="-2"/>
          <w:lang w:val="en-GB"/>
        </w:rPr>
        <w:t>review</w:t>
      </w:r>
      <w:r w:rsidR="00D85C90" w:rsidRPr="0034527B">
        <w:rPr>
          <w:spacing w:val="-2"/>
          <w:lang w:val="en-GB"/>
        </w:rPr>
        <w:t>ing</w:t>
      </w:r>
      <w:r w:rsidRPr="0034527B">
        <w:rPr>
          <w:spacing w:val="-2"/>
          <w:lang w:val="en-GB"/>
        </w:rPr>
        <w:t xml:space="preserve"> the health</w:t>
      </w:r>
      <w:r w:rsidR="00D85C90" w:rsidRPr="0034527B">
        <w:rPr>
          <w:spacing w:val="-2"/>
          <w:lang w:val="en-GB"/>
        </w:rPr>
        <w:t xml:space="preserve"> </w:t>
      </w:r>
      <w:r w:rsidRPr="0034527B">
        <w:rPr>
          <w:spacing w:val="-2"/>
          <w:lang w:val="en-GB"/>
        </w:rPr>
        <w:t>care service delivery system in a meeting with her team in January 2017. At that time, the team was focused on delivering health</w:t>
      </w:r>
      <w:r w:rsidR="00D85C90" w:rsidRPr="0034527B">
        <w:rPr>
          <w:spacing w:val="-2"/>
          <w:lang w:val="en-GB"/>
        </w:rPr>
        <w:t xml:space="preserve"> </w:t>
      </w:r>
      <w:r w:rsidRPr="0034527B">
        <w:rPr>
          <w:spacing w:val="-2"/>
          <w:lang w:val="en-GB"/>
        </w:rPr>
        <w:t>care service</w:t>
      </w:r>
      <w:r w:rsidR="00D85C90" w:rsidRPr="0034527B">
        <w:rPr>
          <w:spacing w:val="-2"/>
          <w:lang w:val="en-GB"/>
        </w:rPr>
        <w:t>s</w:t>
      </w:r>
      <w:r w:rsidRPr="0034527B">
        <w:rPr>
          <w:spacing w:val="-2"/>
          <w:lang w:val="en-GB"/>
        </w:rPr>
        <w:t xml:space="preserve"> </w:t>
      </w:r>
      <w:r w:rsidR="00716D30" w:rsidRPr="0034527B">
        <w:rPr>
          <w:spacing w:val="-2"/>
          <w:lang w:val="en-GB"/>
        </w:rPr>
        <w:t>f</w:t>
      </w:r>
      <w:r w:rsidRPr="0034527B">
        <w:rPr>
          <w:spacing w:val="-2"/>
          <w:lang w:val="en-GB"/>
        </w:rPr>
        <w:t>o</w:t>
      </w:r>
      <w:r w:rsidR="00716D30" w:rsidRPr="0034527B">
        <w:rPr>
          <w:spacing w:val="-2"/>
          <w:lang w:val="en-GB"/>
        </w:rPr>
        <w:t>r</w:t>
      </w:r>
      <w:r w:rsidRPr="0034527B">
        <w:rPr>
          <w:spacing w:val="-2"/>
          <w:lang w:val="en-GB"/>
        </w:rPr>
        <w:t xml:space="preserve"> the rural </w:t>
      </w:r>
      <w:r w:rsidR="003049B3" w:rsidRPr="0034527B">
        <w:rPr>
          <w:spacing w:val="-2"/>
          <w:lang w:val="en-GB"/>
        </w:rPr>
        <w:t xml:space="preserve">and urban slum </w:t>
      </w:r>
      <w:r w:rsidRPr="0034527B">
        <w:rPr>
          <w:spacing w:val="-2"/>
          <w:lang w:val="en-GB"/>
        </w:rPr>
        <w:t>poor</w:t>
      </w:r>
      <w:r w:rsidR="00D85C90" w:rsidRPr="0034527B">
        <w:rPr>
          <w:spacing w:val="-2"/>
          <w:lang w:val="en-GB"/>
        </w:rPr>
        <w:t xml:space="preserve"> in Bangladesh</w:t>
      </w:r>
      <w:r w:rsidRPr="0034527B">
        <w:rPr>
          <w:spacing w:val="-2"/>
          <w:lang w:val="en-GB"/>
        </w:rPr>
        <w:t>. Substantial progress in health</w:t>
      </w:r>
      <w:r w:rsidR="00D85C90" w:rsidRPr="0034527B">
        <w:rPr>
          <w:spacing w:val="-2"/>
          <w:lang w:val="en-GB"/>
        </w:rPr>
        <w:t xml:space="preserve"> </w:t>
      </w:r>
      <w:r w:rsidRPr="0034527B">
        <w:rPr>
          <w:spacing w:val="-2"/>
          <w:lang w:val="en-GB"/>
        </w:rPr>
        <w:t>care service delivery was achieved through Shasthya Shebikas</w:t>
      </w:r>
      <w:r w:rsidR="00D85C90" w:rsidRPr="0034527B">
        <w:rPr>
          <w:spacing w:val="-2"/>
          <w:lang w:val="en-GB"/>
        </w:rPr>
        <w:t>,</w:t>
      </w:r>
      <w:r w:rsidR="003658DE" w:rsidRPr="0034527B">
        <w:rPr>
          <w:rStyle w:val="FootnoteReference"/>
          <w:spacing w:val="-2"/>
          <w:lang w:val="en-GB"/>
        </w:rPr>
        <w:footnoteReference w:id="1"/>
      </w:r>
      <w:r w:rsidR="003658DE" w:rsidRPr="0034527B">
        <w:rPr>
          <w:spacing w:val="-2"/>
          <w:lang w:val="en-GB"/>
        </w:rPr>
        <w:t xml:space="preserve"> female community health workers. Although the director acknowledged the substantial contribution of the Shasthya Shebikas in delivering health care services, she was concerned with the enormity of the task. Motivating and retaining the Shasthya Shebikas was a challenge for BRAC. Afsana was also aware of the presence of other potential service delivery channels. The 2007 Bangladesh Health Watch report had suggested improving the skills of these alternat</w:t>
      </w:r>
      <w:r w:rsidR="00FD3173" w:rsidRPr="0034527B">
        <w:rPr>
          <w:spacing w:val="-2"/>
          <w:lang w:val="en-GB"/>
        </w:rPr>
        <w:t>iv</w:t>
      </w:r>
      <w:r w:rsidR="003658DE" w:rsidRPr="0034527B">
        <w:rPr>
          <w:spacing w:val="-2"/>
          <w:lang w:val="en-GB"/>
        </w:rPr>
        <w:t>e informal health care service providers; it had suggested this as a short-term solution to meeting the huge challenge of serving the rural poor. The health care delivery challenges BRAC faced in Bangladesh were quite unlike the challenges faced in developed countries. The rural poor in Bangladesh lacked education and were conservative, and this affected the number of young women who volunteered to be a Shasthya Shebika</w:t>
      </w:r>
      <w:r w:rsidR="00FD3173" w:rsidRPr="0034527B">
        <w:rPr>
          <w:spacing w:val="-2"/>
          <w:lang w:val="en-GB"/>
        </w:rPr>
        <w:t>.</w:t>
      </w:r>
      <w:r w:rsidR="003658DE" w:rsidRPr="0034527B">
        <w:rPr>
          <w:spacing w:val="-2"/>
          <w:lang w:val="en-GB"/>
        </w:rPr>
        <w:t xml:space="preserve"> The Shasthya Shebikas were required to make house calls to promote and offer health care services, a task that was not viewed favourably by the community nor, quite often, by their family. Some volunteers even dropped out when required to attend the mandatory residential training program. The socio-economic context of rural Bangladesh posed a problem not only for the supply side of health care service but also for the demand side. The rural poor preferred traditional healers and were reluctant to use the modern health care services. </w:t>
      </w:r>
    </w:p>
    <w:p w14:paraId="32E697FB" w14:textId="77777777" w:rsidR="003658DE" w:rsidRPr="0034527B" w:rsidRDefault="003658DE" w:rsidP="00614FEB">
      <w:pPr>
        <w:pStyle w:val="BodyTextMain"/>
        <w:rPr>
          <w:sz w:val="20"/>
          <w:lang w:val="en-GB"/>
        </w:rPr>
      </w:pPr>
    </w:p>
    <w:p w14:paraId="53613A0B" w14:textId="3ADE75F9" w:rsidR="003658DE" w:rsidRPr="0034527B" w:rsidRDefault="003658DE" w:rsidP="00614FEB">
      <w:pPr>
        <w:pStyle w:val="BodyTextMain"/>
        <w:rPr>
          <w:lang w:val="en-GB"/>
        </w:rPr>
      </w:pPr>
      <w:r w:rsidRPr="0034527B">
        <w:rPr>
          <w:lang w:val="en-GB"/>
        </w:rPr>
        <w:t>Given the unique challenges of delivering health care service to the rural poor in Bangladesh, BRAC staff tried new methods and often improvised on the existing approach. BRAC faced two important issues in health care service delivery. One issue related to including unqualified local health care service providers in BRAC, and the other related to strengthening the Shasthya Shebikas’ health care service delivery channel. These issues led BRAC to ask</w:t>
      </w:r>
      <w:r w:rsidR="00FD3173" w:rsidRPr="0034527B">
        <w:rPr>
          <w:lang w:val="en-GB"/>
        </w:rPr>
        <w:t xml:space="preserve"> whether it s</w:t>
      </w:r>
      <w:r w:rsidRPr="0034527B">
        <w:rPr>
          <w:lang w:val="en-GB"/>
        </w:rPr>
        <w:t>hould examine the other health care service providers to determine if the</w:t>
      </w:r>
      <w:r w:rsidR="002E665F">
        <w:rPr>
          <w:lang w:val="en-GB"/>
        </w:rPr>
        <w:t>y</w:t>
      </w:r>
      <w:r w:rsidRPr="0034527B">
        <w:rPr>
          <w:lang w:val="en-GB"/>
        </w:rPr>
        <w:t xml:space="preserve"> could complement the work of the Shasthya Shebikas</w:t>
      </w:r>
      <w:r w:rsidR="00FD3173" w:rsidRPr="0034527B">
        <w:rPr>
          <w:lang w:val="en-GB"/>
        </w:rPr>
        <w:t>. I</w:t>
      </w:r>
      <w:r w:rsidRPr="0034527B">
        <w:rPr>
          <w:lang w:val="en-GB"/>
        </w:rPr>
        <w:t xml:space="preserve">f so, which </w:t>
      </w:r>
      <w:r w:rsidR="00FD3173" w:rsidRPr="0034527B">
        <w:rPr>
          <w:lang w:val="en-GB"/>
        </w:rPr>
        <w:t>of</w:t>
      </w:r>
      <w:r w:rsidRPr="0034527B">
        <w:rPr>
          <w:lang w:val="en-GB"/>
        </w:rPr>
        <w:t xml:space="preserve"> the various types of health care service providers should </w:t>
      </w:r>
      <w:r w:rsidR="00FD3173" w:rsidRPr="0034527B">
        <w:rPr>
          <w:lang w:val="en-GB"/>
        </w:rPr>
        <w:t>BRAC consider</w:t>
      </w:r>
      <w:r w:rsidRPr="0034527B">
        <w:rPr>
          <w:lang w:val="en-GB"/>
        </w:rPr>
        <w:t>? What steps should BRAC take to strengthen the Shasthya Shebika channel? What should BRAC do to motivate and retain the Shasthya Shebikas?</w:t>
      </w:r>
    </w:p>
    <w:p w14:paraId="42B644D5" w14:textId="77777777" w:rsidR="003658DE" w:rsidRPr="0034527B" w:rsidRDefault="003658DE" w:rsidP="00614FEB">
      <w:pPr>
        <w:pStyle w:val="Casehead1"/>
        <w:rPr>
          <w:lang w:val="en-GB"/>
        </w:rPr>
      </w:pPr>
      <w:r w:rsidRPr="0034527B">
        <w:rPr>
          <w:lang w:val="en-GB"/>
        </w:rPr>
        <w:lastRenderedPageBreak/>
        <w:t>BRAC and its Programs</w:t>
      </w:r>
    </w:p>
    <w:p w14:paraId="657B7984" w14:textId="77777777" w:rsidR="003658DE" w:rsidRPr="0034527B" w:rsidRDefault="003658DE" w:rsidP="00614FEB">
      <w:pPr>
        <w:pStyle w:val="BodyTextMain"/>
        <w:rPr>
          <w:sz w:val="20"/>
          <w:lang w:val="en-GB"/>
        </w:rPr>
      </w:pPr>
    </w:p>
    <w:p w14:paraId="4CF1AA7F" w14:textId="55FE3899" w:rsidR="003658DE" w:rsidRPr="0034527B" w:rsidRDefault="003658DE" w:rsidP="00614FEB">
      <w:pPr>
        <w:pStyle w:val="BodyTextMain"/>
        <w:rPr>
          <w:spacing w:val="-2"/>
          <w:lang w:val="en-GB"/>
        </w:rPr>
      </w:pPr>
      <w:r w:rsidRPr="0034527B">
        <w:rPr>
          <w:spacing w:val="-2"/>
          <w:lang w:val="en-GB"/>
        </w:rPr>
        <w:t>BRAC was founded by Sir Fazle Hasan Abed in 1972. Based in Bangladesh, BRAC operated in 11 other countries through its international arm. It had more than 111,000 employees providing health care, financial, and other social services to a population of over 138 million. Bangladesh had a predominantly rural population, and 24.8 per cent of the country’s population was poor (see Exhibit 1). BRAC strived to reduce poverty through its programs in the areas of human and social empowerment, education and health, economic empowerment and enterprise development, livelihood training, environmental sustainability, and disaster preparedness. Its business enterprises not only contributed to its revenues but also increased the effectiveness of its development programs. Of the total expenditure of US$904 million</w:t>
      </w:r>
      <w:r w:rsidRPr="0034527B">
        <w:rPr>
          <w:rStyle w:val="FootnoteReference"/>
          <w:spacing w:val="-2"/>
          <w:lang w:val="en-GB"/>
        </w:rPr>
        <w:footnoteReference w:id="2"/>
      </w:r>
      <w:r w:rsidRPr="0034527B">
        <w:rPr>
          <w:spacing w:val="-2"/>
          <w:lang w:val="en-GB"/>
        </w:rPr>
        <w:t xml:space="preserve"> for the year ended December 31, 2015, the contribution from BRAC’s donors was only $100 million (see Exhibit 2). Enterprises and microfinance helped reduce its dependency on donors for its development programs (see Exhibit 3).</w:t>
      </w:r>
    </w:p>
    <w:p w14:paraId="6E26B967" w14:textId="77777777" w:rsidR="003658DE" w:rsidRPr="0034527B" w:rsidRDefault="003658DE" w:rsidP="00614FEB">
      <w:pPr>
        <w:pStyle w:val="BodyTextMain"/>
        <w:rPr>
          <w:sz w:val="20"/>
          <w:lang w:val="en-GB"/>
        </w:rPr>
      </w:pPr>
    </w:p>
    <w:p w14:paraId="5EA39A81" w14:textId="0360A60F" w:rsidR="003658DE" w:rsidRPr="0034527B" w:rsidRDefault="003658DE" w:rsidP="00614FEB">
      <w:pPr>
        <w:pStyle w:val="BodyTextMain"/>
        <w:rPr>
          <w:lang w:val="en-GB"/>
        </w:rPr>
      </w:pPr>
      <w:r w:rsidRPr="0034527B">
        <w:rPr>
          <w:lang w:val="en-GB"/>
        </w:rPr>
        <w:t>BRAC’s Health, Nutrition and Population Program (see Exhibit 4) was one of its critical development programs. The program had many components, which included Essential Health Care; Maternal, Neonatal and Child Health services for rural and urban populations; Tuberculosis and Malaria Control programs; Nutrition; Eye Care; Mobile Health Intervention; Health Care Financing and Innovations; Non-communicable Disease program</w:t>
      </w:r>
      <w:r w:rsidR="0034527B">
        <w:rPr>
          <w:lang w:val="en-GB"/>
        </w:rPr>
        <w:t>s;</w:t>
      </w:r>
      <w:r w:rsidRPr="0034527B">
        <w:rPr>
          <w:lang w:val="en-GB"/>
        </w:rPr>
        <w:t xml:space="preserve"> and BRAC Facility Based Services. Essential Health Care was the basic platform for all of BRAC’s health programs, and the Shasthya Shebika delivery system was the low-cost method of BRAC’s health care service delivery. </w:t>
      </w:r>
    </w:p>
    <w:p w14:paraId="456B2AE4" w14:textId="77777777" w:rsidR="003658DE" w:rsidRPr="0034527B" w:rsidRDefault="003658DE" w:rsidP="00614FEB">
      <w:pPr>
        <w:pStyle w:val="BodyTextMain"/>
        <w:rPr>
          <w:sz w:val="20"/>
          <w:lang w:val="en-GB"/>
        </w:rPr>
      </w:pPr>
    </w:p>
    <w:p w14:paraId="3B59597A" w14:textId="77777777" w:rsidR="003658DE" w:rsidRPr="0034527B" w:rsidRDefault="003658DE" w:rsidP="00614FEB">
      <w:pPr>
        <w:pStyle w:val="BodyTextMain"/>
        <w:rPr>
          <w:sz w:val="20"/>
          <w:lang w:val="en-GB"/>
        </w:rPr>
      </w:pPr>
    </w:p>
    <w:p w14:paraId="6DCA5F54" w14:textId="77777777" w:rsidR="003658DE" w:rsidRPr="0034527B" w:rsidRDefault="003658DE" w:rsidP="00614FEB">
      <w:pPr>
        <w:pStyle w:val="Casehead1"/>
        <w:rPr>
          <w:lang w:val="en-GB"/>
        </w:rPr>
      </w:pPr>
      <w:r w:rsidRPr="0034527B">
        <w:rPr>
          <w:lang w:val="en-GB"/>
        </w:rPr>
        <w:t>Shasthya Shebikas and their responsibilities</w:t>
      </w:r>
    </w:p>
    <w:p w14:paraId="07B81AB2" w14:textId="77777777" w:rsidR="003658DE" w:rsidRPr="0034527B" w:rsidRDefault="003658DE" w:rsidP="00614FEB">
      <w:pPr>
        <w:pStyle w:val="BodyTextMain"/>
        <w:rPr>
          <w:sz w:val="20"/>
          <w:lang w:val="en-GB"/>
        </w:rPr>
      </w:pPr>
    </w:p>
    <w:p w14:paraId="3CE4D7D6" w14:textId="469C4246" w:rsidR="003658DE" w:rsidRPr="0034527B" w:rsidRDefault="003658DE" w:rsidP="00614FEB">
      <w:pPr>
        <w:pStyle w:val="BodyTextMain"/>
        <w:rPr>
          <w:spacing w:val="-4"/>
          <w:lang w:val="en-GB"/>
        </w:rPr>
      </w:pPr>
      <w:r w:rsidRPr="0034527B">
        <w:rPr>
          <w:spacing w:val="-4"/>
          <w:lang w:val="en-GB"/>
        </w:rPr>
        <w:t xml:space="preserve">BRAC had more than 117,000 community health workers who worked part-time. These were the Shasthya Shebikas, and they delivered basic health care services to rural consumers in Bangladesh and helped them to access public health care service. The Shasthya Shebikas also retailed health products. BRAC faced the challenge of attracting and sustaining Shasthya Shebikas; one published source indicated </w:t>
      </w:r>
      <w:r w:rsidR="0034527B">
        <w:rPr>
          <w:spacing w:val="-4"/>
          <w:lang w:val="en-GB"/>
        </w:rPr>
        <w:t xml:space="preserve">that </w:t>
      </w:r>
      <w:r w:rsidRPr="0034527B">
        <w:rPr>
          <w:spacing w:val="-4"/>
          <w:lang w:val="en-GB"/>
        </w:rPr>
        <w:t>the</w:t>
      </w:r>
      <w:r w:rsidR="00D509B5" w:rsidRPr="0034527B">
        <w:rPr>
          <w:spacing w:val="-4"/>
          <w:lang w:val="en-GB"/>
        </w:rPr>
        <w:t>ir</w:t>
      </w:r>
      <w:r w:rsidRPr="0034527B">
        <w:rPr>
          <w:spacing w:val="-4"/>
          <w:lang w:val="en-GB"/>
        </w:rPr>
        <w:t xml:space="preserve"> turnover rate </w:t>
      </w:r>
      <w:r w:rsidR="00D509B5" w:rsidRPr="0034527B">
        <w:rPr>
          <w:spacing w:val="-4"/>
          <w:lang w:val="en-GB"/>
        </w:rPr>
        <w:t>was</w:t>
      </w:r>
      <w:r w:rsidRPr="0034527B">
        <w:rPr>
          <w:spacing w:val="-4"/>
          <w:lang w:val="en-GB"/>
        </w:rPr>
        <w:t xml:space="preserve"> 15 to 20 per cent.</w:t>
      </w:r>
      <w:r w:rsidRPr="0034527B">
        <w:rPr>
          <w:rFonts w:eastAsia="Calibri"/>
          <w:spacing w:val="-4"/>
          <w:vertAlign w:val="superscript"/>
          <w:lang w:val="en-GB"/>
        </w:rPr>
        <w:footnoteReference w:id="3"/>
      </w:r>
      <w:r w:rsidRPr="0034527B">
        <w:rPr>
          <w:spacing w:val="-4"/>
          <w:lang w:val="en-GB"/>
        </w:rPr>
        <w:t xml:space="preserve"> One BRAC official believed that turnover rates varied over the years. According to her, the turnover rates were close</w:t>
      </w:r>
      <w:r w:rsidR="00686604">
        <w:rPr>
          <w:spacing w:val="-4"/>
          <w:lang w:val="en-GB"/>
        </w:rPr>
        <w:t>r</w:t>
      </w:r>
      <w:r w:rsidRPr="0034527B">
        <w:rPr>
          <w:spacing w:val="-4"/>
          <w:lang w:val="en-GB"/>
        </w:rPr>
        <w:t xml:space="preserve"> to 10 per</w:t>
      </w:r>
      <w:r w:rsidR="0034527B">
        <w:rPr>
          <w:spacing w:val="-4"/>
          <w:lang w:val="en-GB"/>
        </w:rPr>
        <w:t xml:space="preserve"> </w:t>
      </w:r>
      <w:r w:rsidRPr="0034527B">
        <w:rPr>
          <w:spacing w:val="-4"/>
          <w:lang w:val="en-GB"/>
        </w:rPr>
        <w:t>cent. Whenever BRAC launched a new project, a large number of Shasthya Shebikas had to be recruited within a short period, which sometimes resulted in a poor fit between the newly recruited Shasthya Shebikas and the</w:t>
      </w:r>
      <w:r w:rsidR="00686604">
        <w:rPr>
          <w:spacing w:val="-4"/>
          <w:lang w:val="en-GB"/>
        </w:rPr>
        <w:t>ir</w:t>
      </w:r>
      <w:r w:rsidRPr="0034527B">
        <w:rPr>
          <w:spacing w:val="-4"/>
          <w:lang w:val="en-GB"/>
        </w:rPr>
        <w:t xml:space="preserve"> task requirements. The poor fit could also be </w:t>
      </w:r>
      <w:r w:rsidR="00686604">
        <w:rPr>
          <w:spacing w:val="-4"/>
          <w:lang w:val="en-GB"/>
        </w:rPr>
        <w:t>attributed to</w:t>
      </w:r>
      <w:r w:rsidRPr="0034527B">
        <w:rPr>
          <w:spacing w:val="-4"/>
          <w:lang w:val="en-GB"/>
        </w:rPr>
        <w:t xml:space="preserve"> the initial identification and screening done at the community level. New recruits were required to attend a residential training program. A</w:t>
      </w:r>
      <w:r w:rsidR="00686604">
        <w:rPr>
          <w:spacing w:val="-4"/>
          <w:lang w:val="en-GB"/>
        </w:rPr>
        <w:t>nd a</w:t>
      </w:r>
      <w:r w:rsidRPr="0034527B">
        <w:rPr>
          <w:spacing w:val="-4"/>
          <w:lang w:val="en-GB"/>
        </w:rPr>
        <w:t xml:space="preserve">t this stage, quite a few of them dropped out of the program. </w:t>
      </w:r>
    </w:p>
    <w:p w14:paraId="1AA98E45" w14:textId="77777777" w:rsidR="003658DE" w:rsidRPr="0034527B" w:rsidRDefault="003658DE" w:rsidP="00614FEB">
      <w:pPr>
        <w:pStyle w:val="BodyTextMain"/>
        <w:rPr>
          <w:spacing w:val="-4"/>
          <w:sz w:val="20"/>
          <w:lang w:val="en-GB"/>
        </w:rPr>
      </w:pPr>
    </w:p>
    <w:p w14:paraId="3238F6EC" w14:textId="778ED716" w:rsidR="003658DE" w:rsidRPr="00AB2A6D" w:rsidRDefault="003658DE" w:rsidP="00614FEB">
      <w:pPr>
        <w:pStyle w:val="BodyTextMain"/>
        <w:rPr>
          <w:spacing w:val="-2"/>
          <w:lang w:val="en-GB"/>
        </w:rPr>
      </w:pPr>
      <w:r w:rsidRPr="00AB2A6D">
        <w:rPr>
          <w:spacing w:val="-2"/>
          <w:lang w:val="en-GB"/>
        </w:rPr>
        <w:t xml:space="preserve">The Shasthya Shebikas were offered incentives for rendering health care services. Their earnings depended on their delivery of the mix of BRAC’s product and service offerings. It was important for BRAC to identify the mix of products and services that would not only meet BRAC’s objective of providing affordable health care, but also provide financial incentives to motivate the Shasthya Shebikas. There were limitations on what could be sold through the Shasthya Shebikas. The territory covered by these women also influenced their income. The Shasthya Shebikas desired wide coverage, which </w:t>
      </w:r>
      <w:r w:rsidR="00EA32A0" w:rsidRPr="00AB2A6D">
        <w:rPr>
          <w:spacing w:val="-2"/>
          <w:lang w:val="en-GB"/>
        </w:rPr>
        <w:t>at times</w:t>
      </w:r>
      <w:r w:rsidRPr="00AB2A6D">
        <w:rPr>
          <w:spacing w:val="-2"/>
          <w:lang w:val="en-GB"/>
        </w:rPr>
        <w:t xml:space="preserve"> conflicted with the intensity of coverage </w:t>
      </w:r>
      <w:r w:rsidR="00EA32A0" w:rsidRPr="00AB2A6D">
        <w:rPr>
          <w:spacing w:val="-2"/>
          <w:lang w:val="en-GB"/>
        </w:rPr>
        <w:t xml:space="preserve">that </w:t>
      </w:r>
      <w:r w:rsidRPr="00AB2A6D">
        <w:rPr>
          <w:spacing w:val="-2"/>
          <w:lang w:val="en-GB"/>
        </w:rPr>
        <w:t>BRAC desired.</w:t>
      </w:r>
    </w:p>
    <w:p w14:paraId="0E13FB1A" w14:textId="77777777" w:rsidR="003658DE" w:rsidRPr="0034527B" w:rsidRDefault="003658DE" w:rsidP="00614FEB">
      <w:pPr>
        <w:pStyle w:val="BodyTextMain"/>
        <w:rPr>
          <w:sz w:val="20"/>
          <w:lang w:val="en-GB"/>
        </w:rPr>
      </w:pPr>
    </w:p>
    <w:p w14:paraId="292545B7" w14:textId="1577D9F4" w:rsidR="003658DE" w:rsidRPr="0034527B" w:rsidRDefault="003658DE" w:rsidP="00614FEB">
      <w:pPr>
        <w:pStyle w:val="BodyTextMain"/>
        <w:rPr>
          <w:spacing w:val="-2"/>
          <w:lang w:val="en-GB"/>
        </w:rPr>
      </w:pPr>
      <w:r w:rsidRPr="0034527B">
        <w:rPr>
          <w:lang w:val="en-GB"/>
        </w:rPr>
        <w:t xml:space="preserve">The Shasthya Shebikas worked part-time, visiting village households to deliver health care services (see Exhibit 5). They contributed to preventing diseases and promoting health through health education. They organized health education forums, making house visits and spreading their message in community </w:t>
      </w:r>
      <w:r w:rsidRPr="0034527B">
        <w:rPr>
          <w:lang w:val="en-GB"/>
        </w:rPr>
        <w:lastRenderedPageBreak/>
        <w:t xml:space="preserve">meetings. They spoke to villagers about family planning methods, child health, immunization, pregnancy related care, safe drinking water and sanitation, personal hygiene, nutrition, tuberculosis, and other topics. They also offered basic curative services. Shasthya Shebikas also provided treatment for common ailments </w:t>
      </w:r>
      <w:r w:rsidRPr="0034527B">
        <w:rPr>
          <w:spacing w:val="-2"/>
          <w:lang w:val="en-GB"/>
        </w:rPr>
        <w:t>such as diarrhea, dysentery, the common cold, anemia, and ringworm. For other ailments and cases that were beyond their capability, the women referred patients to government or private health facilities. The Shasthya Shebikas also identified possible tuberculosis cases, referring patients who had had a persistent cough for more than three weeks for sputum examination. The Shasthya Shebikas provided directly observed treatment, short</w:t>
      </w:r>
      <w:r w:rsidR="00EA32A0">
        <w:rPr>
          <w:spacing w:val="-2"/>
          <w:lang w:val="en-GB"/>
        </w:rPr>
        <w:t>-</w:t>
      </w:r>
      <w:r w:rsidRPr="0034527B">
        <w:rPr>
          <w:spacing w:val="-2"/>
          <w:lang w:val="en-GB"/>
        </w:rPr>
        <w:t>course</w:t>
      </w:r>
      <w:r w:rsidR="00EA32A0">
        <w:rPr>
          <w:spacing w:val="-2"/>
          <w:lang w:val="en-GB"/>
        </w:rPr>
        <w:t xml:space="preserve"> (</w:t>
      </w:r>
      <w:r w:rsidR="002E665F">
        <w:rPr>
          <w:spacing w:val="-2"/>
          <w:lang w:val="en-GB"/>
        </w:rPr>
        <w:t xml:space="preserve">known as </w:t>
      </w:r>
      <w:r w:rsidR="00EA32A0" w:rsidRPr="0034527B">
        <w:rPr>
          <w:spacing w:val="-2"/>
          <w:lang w:val="en-GB"/>
        </w:rPr>
        <w:t>DOTS</w:t>
      </w:r>
      <w:r w:rsidRPr="0034527B">
        <w:rPr>
          <w:spacing w:val="-2"/>
          <w:lang w:val="en-GB"/>
        </w:rPr>
        <w:t>) for the treatment of tuberculosis patients, and performed follow-up of the treatment. They also sold over-the-counter drugs and health commodities. They encouraged villagers to access the primary health care facilities offered by the public health care system. It was observed that holding health education forums increased the sales of health care products and created demand for health care services.</w:t>
      </w:r>
      <w:r w:rsidRPr="0034527B">
        <w:rPr>
          <w:rFonts w:eastAsia="Calibri"/>
          <w:spacing w:val="-2"/>
          <w:vertAlign w:val="superscript"/>
          <w:lang w:val="en-GB"/>
        </w:rPr>
        <w:footnoteReference w:id="4"/>
      </w:r>
      <w:r w:rsidRPr="0034527B">
        <w:rPr>
          <w:spacing w:val="-2"/>
          <w:lang w:val="en-GB"/>
        </w:rPr>
        <w:t xml:space="preserve"> </w:t>
      </w:r>
    </w:p>
    <w:p w14:paraId="15F04A23" w14:textId="77777777" w:rsidR="003658DE" w:rsidRPr="0034527B" w:rsidRDefault="003658DE" w:rsidP="00614FEB">
      <w:pPr>
        <w:pStyle w:val="BodyTextMain"/>
        <w:rPr>
          <w:sz w:val="18"/>
          <w:lang w:val="en-GB"/>
        </w:rPr>
      </w:pPr>
    </w:p>
    <w:p w14:paraId="3E58CD39" w14:textId="77777777" w:rsidR="003658DE" w:rsidRPr="0034527B" w:rsidRDefault="003658DE" w:rsidP="00614FEB">
      <w:pPr>
        <w:pStyle w:val="BodyTextMain"/>
        <w:rPr>
          <w:sz w:val="18"/>
          <w:lang w:val="en-GB"/>
        </w:rPr>
      </w:pPr>
    </w:p>
    <w:p w14:paraId="6FC5D97F" w14:textId="77777777" w:rsidR="003658DE" w:rsidRPr="0034527B" w:rsidRDefault="003658DE" w:rsidP="00614FEB">
      <w:pPr>
        <w:pStyle w:val="Casehead1"/>
        <w:rPr>
          <w:lang w:val="en-GB"/>
        </w:rPr>
      </w:pPr>
      <w:r w:rsidRPr="0034527B">
        <w:rPr>
          <w:lang w:val="en-GB"/>
        </w:rPr>
        <w:t>Managing the Shasthya Shebikas</w:t>
      </w:r>
    </w:p>
    <w:p w14:paraId="1435DC85" w14:textId="77777777" w:rsidR="003658DE" w:rsidRPr="0034527B" w:rsidRDefault="003658DE" w:rsidP="00614FEB">
      <w:pPr>
        <w:pStyle w:val="BodyTextMain"/>
        <w:rPr>
          <w:sz w:val="18"/>
          <w:lang w:val="en-GB"/>
        </w:rPr>
      </w:pPr>
    </w:p>
    <w:p w14:paraId="126B0463" w14:textId="73AB53F2" w:rsidR="003658DE" w:rsidRPr="0034527B" w:rsidRDefault="003658DE" w:rsidP="00614FEB">
      <w:pPr>
        <w:pStyle w:val="BodyTextMain"/>
        <w:rPr>
          <w:lang w:val="en-GB"/>
        </w:rPr>
      </w:pPr>
      <w:r w:rsidRPr="0034527B">
        <w:rPr>
          <w:lang w:val="en-GB"/>
        </w:rPr>
        <w:t>BRAC exercised care in recruiting and training the Shasthya Shebikas. It also regularly monitored the women’s performance, and its compensation package was designed to motivate and retain them.</w:t>
      </w:r>
    </w:p>
    <w:p w14:paraId="2E941438" w14:textId="77777777" w:rsidR="003658DE" w:rsidRPr="0034527B" w:rsidRDefault="003658DE" w:rsidP="00614FEB">
      <w:pPr>
        <w:pStyle w:val="BodyTextMain"/>
        <w:rPr>
          <w:sz w:val="18"/>
          <w:lang w:val="en-GB"/>
        </w:rPr>
      </w:pPr>
    </w:p>
    <w:p w14:paraId="01D88269" w14:textId="77777777" w:rsidR="003658DE" w:rsidRPr="0034527B" w:rsidRDefault="003658DE" w:rsidP="00614FEB">
      <w:pPr>
        <w:pStyle w:val="BodyTextMain"/>
        <w:rPr>
          <w:sz w:val="18"/>
          <w:lang w:val="en-GB"/>
        </w:rPr>
      </w:pPr>
    </w:p>
    <w:p w14:paraId="6A0FB65B" w14:textId="77777777" w:rsidR="003658DE" w:rsidRPr="0034527B" w:rsidRDefault="003658DE" w:rsidP="00614FEB">
      <w:pPr>
        <w:pStyle w:val="Casehead2"/>
        <w:rPr>
          <w:lang w:val="en-GB"/>
        </w:rPr>
      </w:pPr>
      <w:r w:rsidRPr="0034527B">
        <w:rPr>
          <w:lang w:val="en-GB"/>
        </w:rPr>
        <w:t>Recruitment</w:t>
      </w:r>
    </w:p>
    <w:p w14:paraId="77D3B473" w14:textId="77777777" w:rsidR="003658DE" w:rsidRPr="0034527B" w:rsidRDefault="003658DE" w:rsidP="00614FEB">
      <w:pPr>
        <w:pStyle w:val="BodyTextMain"/>
        <w:rPr>
          <w:sz w:val="18"/>
          <w:lang w:val="en-GB"/>
        </w:rPr>
      </w:pPr>
    </w:p>
    <w:p w14:paraId="0FBE8622" w14:textId="28E1CEA0" w:rsidR="003658DE" w:rsidRPr="0034527B" w:rsidRDefault="003658DE" w:rsidP="00614FEB">
      <w:pPr>
        <w:pStyle w:val="BodyTextMain"/>
        <w:rPr>
          <w:spacing w:val="-4"/>
          <w:lang w:val="en-GB"/>
        </w:rPr>
      </w:pPr>
      <w:r w:rsidRPr="0034527B">
        <w:rPr>
          <w:spacing w:val="-4"/>
          <w:lang w:val="en-GB"/>
        </w:rPr>
        <w:t>The Shasthya Shebikas were young women between the ages of 25 and 35 or older, who were married and had no children under the age of two, and who were required to have passed standard 8 (eight years of schooling; standard 1 started at age six) in school. They were also required to have an entrepreneurship mentality. The women of a community nominated a person from among themselves, and the nominee had to be ratified at a meeting organized by the BRAC local office.</w:t>
      </w:r>
      <w:r w:rsidRPr="0034527B">
        <w:rPr>
          <w:spacing w:val="-4"/>
          <w:vertAlign w:val="superscript"/>
          <w:lang w:val="en-GB"/>
        </w:rPr>
        <w:t>5</w:t>
      </w:r>
      <w:r w:rsidRPr="0034527B">
        <w:rPr>
          <w:spacing w:val="-4"/>
          <w:lang w:val="en-GB"/>
        </w:rPr>
        <w:t xml:space="preserve"> If found eligible to be a Shasthya Shebika at the community level, the nominee was given two days orientation by BRAC staff and sent to the field for one month. If the nominee performed well, she was selected for training. After training, she started working as a Shasthya Shebika.</w:t>
      </w:r>
    </w:p>
    <w:p w14:paraId="1B2C7EA0" w14:textId="77777777" w:rsidR="003658DE" w:rsidRPr="0034527B" w:rsidRDefault="003658DE" w:rsidP="00614FEB">
      <w:pPr>
        <w:pStyle w:val="BodyTextMain"/>
        <w:rPr>
          <w:sz w:val="20"/>
          <w:lang w:val="en-GB"/>
        </w:rPr>
      </w:pPr>
    </w:p>
    <w:p w14:paraId="1502836A" w14:textId="77777777" w:rsidR="003658DE" w:rsidRPr="0034527B" w:rsidRDefault="003658DE" w:rsidP="00614FEB">
      <w:pPr>
        <w:pStyle w:val="BodyTextMain"/>
        <w:rPr>
          <w:sz w:val="20"/>
          <w:lang w:val="en-GB"/>
        </w:rPr>
      </w:pPr>
    </w:p>
    <w:p w14:paraId="1C783155" w14:textId="77777777" w:rsidR="003658DE" w:rsidRPr="0034527B" w:rsidRDefault="003658DE" w:rsidP="00614FEB">
      <w:pPr>
        <w:pStyle w:val="Casehead2"/>
        <w:rPr>
          <w:lang w:val="en-GB"/>
        </w:rPr>
      </w:pPr>
      <w:r w:rsidRPr="0034527B">
        <w:rPr>
          <w:lang w:val="en-GB"/>
        </w:rPr>
        <w:t>Training</w:t>
      </w:r>
    </w:p>
    <w:p w14:paraId="4A0949B8" w14:textId="77777777" w:rsidR="003658DE" w:rsidRPr="0034527B" w:rsidRDefault="003658DE" w:rsidP="00614FEB">
      <w:pPr>
        <w:pStyle w:val="BodyTextMain"/>
        <w:rPr>
          <w:sz w:val="20"/>
          <w:lang w:val="en-GB"/>
        </w:rPr>
      </w:pPr>
    </w:p>
    <w:p w14:paraId="615DE864" w14:textId="0B53D7C4" w:rsidR="003658DE" w:rsidRPr="0034527B" w:rsidRDefault="003658DE" w:rsidP="00614FEB">
      <w:pPr>
        <w:pStyle w:val="BodyTextMain"/>
        <w:rPr>
          <w:lang w:val="en-GB"/>
        </w:rPr>
      </w:pPr>
      <w:r w:rsidRPr="0034527B">
        <w:rPr>
          <w:lang w:val="en-GB"/>
        </w:rPr>
        <w:t xml:space="preserve">BRAC provided regular group training for the Shasthya Shebikas at its residential training centres. The batch size for training the newly recruited Shasthya Shebikas was 18 to 20. BRAC organized an initial three weeks of training on maternal and child health and nutrition, immunization, family planning, water and sanitation, communicable disease control, and basic curative care for some common illnesses. The Shasthya Shebikas were also given training on specific topics such as nutrition intervention, maternal and newborn child health, reading glasses, and others. </w:t>
      </w:r>
    </w:p>
    <w:p w14:paraId="56CE1238" w14:textId="77777777" w:rsidR="003658DE" w:rsidRPr="0034527B" w:rsidRDefault="003658DE" w:rsidP="00614FEB">
      <w:pPr>
        <w:pStyle w:val="BodyTextMain"/>
        <w:rPr>
          <w:sz w:val="20"/>
          <w:lang w:val="en-GB"/>
        </w:rPr>
      </w:pPr>
    </w:p>
    <w:p w14:paraId="6AA92848" w14:textId="5DE77F5B" w:rsidR="003658DE" w:rsidRPr="0034527B" w:rsidRDefault="003658DE" w:rsidP="00614FEB">
      <w:pPr>
        <w:pStyle w:val="BodyTextMain"/>
        <w:rPr>
          <w:lang w:val="en-GB"/>
        </w:rPr>
      </w:pPr>
      <w:r w:rsidRPr="0034527B">
        <w:rPr>
          <w:lang w:val="en-GB"/>
        </w:rPr>
        <w:t>A regular one-day refresher training was conducted once every three months by the program organizer, Health, at the local BRAC field office. As part of the refresher training, new health and nutrition issues were discussed; in addition, experiences were shared and problem-solving exercises were performed.</w:t>
      </w:r>
      <w:r w:rsidRPr="0034527B">
        <w:rPr>
          <w:rFonts w:eastAsia="Calibri"/>
          <w:vertAlign w:val="superscript"/>
          <w:lang w:val="en-GB"/>
        </w:rPr>
        <w:footnoteReference w:id="5"/>
      </w:r>
    </w:p>
    <w:p w14:paraId="767B37D5" w14:textId="77777777" w:rsidR="003658DE" w:rsidRPr="0034527B" w:rsidRDefault="003658DE" w:rsidP="00614FEB">
      <w:pPr>
        <w:pStyle w:val="BodyTextMain"/>
        <w:rPr>
          <w:sz w:val="20"/>
          <w:lang w:val="en-GB"/>
        </w:rPr>
      </w:pPr>
    </w:p>
    <w:p w14:paraId="3F3B47E5" w14:textId="77777777" w:rsidR="00D509B5" w:rsidRPr="0034527B" w:rsidRDefault="00D509B5" w:rsidP="00614FEB">
      <w:pPr>
        <w:pStyle w:val="BodyTextMain"/>
        <w:rPr>
          <w:sz w:val="18"/>
          <w:lang w:val="en-GB"/>
        </w:rPr>
      </w:pPr>
    </w:p>
    <w:p w14:paraId="29BBB5D1" w14:textId="77777777" w:rsidR="003658DE" w:rsidRPr="0034527B" w:rsidRDefault="003658DE" w:rsidP="00614FEB">
      <w:pPr>
        <w:pStyle w:val="Casehead2"/>
        <w:rPr>
          <w:lang w:val="en-GB"/>
        </w:rPr>
      </w:pPr>
      <w:r w:rsidRPr="0034527B">
        <w:rPr>
          <w:lang w:val="en-GB"/>
        </w:rPr>
        <w:t>Monitoring</w:t>
      </w:r>
    </w:p>
    <w:p w14:paraId="213ACFB2" w14:textId="77777777" w:rsidR="003658DE" w:rsidRPr="0034527B" w:rsidRDefault="003658DE" w:rsidP="00614FEB">
      <w:pPr>
        <w:pStyle w:val="BodyTextMain"/>
        <w:rPr>
          <w:sz w:val="20"/>
          <w:lang w:val="en-GB"/>
        </w:rPr>
      </w:pPr>
    </w:p>
    <w:p w14:paraId="683E9F0D" w14:textId="695A4371" w:rsidR="003658DE" w:rsidRPr="00AB2A6D" w:rsidRDefault="003658DE" w:rsidP="00614FEB">
      <w:pPr>
        <w:pStyle w:val="BodyTextMain"/>
        <w:rPr>
          <w:spacing w:val="-4"/>
          <w:lang w:val="en-GB"/>
        </w:rPr>
      </w:pPr>
      <w:r w:rsidRPr="00AB2A6D">
        <w:rPr>
          <w:spacing w:val="-4"/>
          <w:lang w:val="en-GB"/>
        </w:rPr>
        <w:t xml:space="preserve">Shasthya Kormis were community-based front line workers who supported the work of the Sasthya Shebikas. Each Shasthya Kormi worked in the catchment area of 10 Shasthya Shebikas and met with all of them twice a </w:t>
      </w:r>
      <w:r w:rsidRPr="00AB2A6D">
        <w:rPr>
          <w:spacing w:val="-4"/>
          <w:lang w:val="en-GB"/>
        </w:rPr>
        <w:lastRenderedPageBreak/>
        <w:t>month. During field visits, which they made six days a week, the Shasthya Kormis reviewed the activities of the Shasthya Shebikas and provided health care services alongside them. The Shasthya Kormis also educated the rural population during the health education forums in the village organized by the Shasthya Shebikas.</w:t>
      </w:r>
    </w:p>
    <w:p w14:paraId="3B1B1379" w14:textId="77777777" w:rsidR="003658DE" w:rsidRPr="0034527B" w:rsidRDefault="003658DE" w:rsidP="00614FEB">
      <w:pPr>
        <w:pStyle w:val="BodyTextMain"/>
        <w:rPr>
          <w:sz w:val="20"/>
          <w:lang w:val="en-GB"/>
        </w:rPr>
      </w:pPr>
    </w:p>
    <w:p w14:paraId="5B2F6CC1" w14:textId="33D21122" w:rsidR="003658DE" w:rsidRPr="0034527B" w:rsidRDefault="003658DE" w:rsidP="00614FEB">
      <w:pPr>
        <w:pStyle w:val="BodyTextMain"/>
        <w:rPr>
          <w:lang w:val="en-GB"/>
        </w:rPr>
      </w:pPr>
      <w:r w:rsidRPr="0034527B">
        <w:rPr>
          <w:lang w:val="en-GB"/>
        </w:rPr>
        <w:t xml:space="preserve">The Shasthya Kormis reported to the program organizer, Health, who was responsible for all of the health program activities that occurred in the catchment area of the field office. The Shasthya Kormis and the program organizer worked under the overall supervision of an </w:t>
      </w:r>
      <w:r w:rsidRPr="0034527B">
        <w:rPr>
          <w:i/>
          <w:lang w:val="en-GB"/>
        </w:rPr>
        <w:t>upazila</w:t>
      </w:r>
      <w:r w:rsidRPr="0034527B">
        <w:rPr>
          <w:lang w:val="en-GB"/>
        </w:rPr>
        <w:t xml:space="preserve"> (sub-unit of a district) manager in an area. These upazila managers reported to district managers.</w:t>
      </w:r>
    </w:p>
    <w:p w14:paraId="456C0B8B" w14:textId="77777777" w:rsidR="003658DE" w:rsidRPr="0034527B" w:rsidRDefault="003658DE" w:rsidP="00614FEB">
      <w:pPr>
        <w:pStyle w:val="BodyTextMain"/>
        <w:rPr>
          <w:sz w:val="20"/>
          <w:lang w:val="en-GB"/>
        </w:rPr>
      </w:pPr>
    </w:p>
    <w:p w14:paraId="5D03AEC2" w14:textId="26C27DB9" w:rsidR="003658DE" w:rsidRPr="0034527B" w:rsidRDefault="003658DE" w:rsidP="00614FEB">
      <w:pPr>
        <w:pStyle w:val="BodyTextMain"/>
        <w:rPr>
          <w:lang w:val="en-GB"/>
        </w:rPr>
      </w:pPr>
      <w:r w:rsidRPr="0034527B">
        <w:rPr>
          <w:lang w:val="en-GB"/>
        </w:rPr>
        <w:t>As part of the quarterly refresher training session, a work plan for the Shasthya Kormis for the following three months was prepared. The session was also used to check sales performances and replenish the stock of health products. The monthly performance report for the Shasthya Shebikas was generated at the field level by the Shasthya Kormis. Shasthya Shebikas’ performance was assessed based on the number of patients they served and products they sold, their attendance at refresher training, the number of patients/clients they mobilized for immunization, and so on. Shasthya Shebikas who did not take products from BRAC nor attend the refresher training were considered inactive.</w:t>
      </w:r>
    </w:p>
    <w:p w14:paraId="71542B74" w14:textId="77777777" w:rsidR="003658DE" w:rsidRPr="0034527B" w:rsidRDefault="003658DE" w:rsidP="00614FEB">
      <w:pPr>
        <w:pStyle w:val="BodyTextMain"/>
        <w:rPr>
          <w:sz w:val="20"/>
          <w:lang w:val="en-GB"/>
        </w:rPr>
      </w:pPr>
    </w:p>
    <w:p w14:paraId="4513FF52" w14:textId="77777777" w:rsidR="003658DE" w:rsidRPr="0034527B" w:rsidRDefault="003658DE" w:rsidP="00614FEB">
      <w:pPr>
        <w:pStyle w:val="BodyTextMain"/>
        <w:rPr>
          <w:sz w:val="20"/>
          <w:lang w:val="en-GB"/>
        </w:rPr>
      </w:pPr>
    </w:p>
    <w:p w14:paraId="2B36C222" w14:textId="77777777" w:rsidR="003658DE" w:rsidRPr="0034527B" w:rsidRDefault="003658DE" w:rsidP="00614FEB">
      <w:pPr>
        <w:pStyle w:val="Casehead2"/>
        <w:rPr>
          <w:lang w:val="en-GB"/>
        </w:rPr>
      </w:pPr>
      <w:r w:rsidRPr="0034527B">
        <w:rPr>
          <w:lang w:val="en-GB"/>
        </w:rPr>
        <w:t>Compensation</w:t>
      </w:r>
    </w:p>
    <w:p w14:paraId="6EC267EB" w14:textId="77777777" w:rsidR="003658DE" w:rsidRPr="0034527B" w:rsidRDefault="003658DE" w:rsidP="00614FEB">
      <w:pPr>
        <w:pStyle w:val="BodyTextMain"/>
        <w:rPr>
          <w:sz w:val="20"/>
          <w:lang w:val="en-GB"/>
        </w:rPr>
      </w:pPr>
    </w:p>
    <w:p w14:paraId="33198CD8" w14:textId="091588CF" w:rsidR="003658DE" w:rsidRPr="0034527B" w:rsidRDefault="003658DE" w:rsidP="00614FEB">
      <w:pPr>
        <w:pStyle w:val="BodyTextMain"/>
        <w:rPr>
          <w:lang w:val="en-GB"/>
        </w:rPr>
      </w:pPr>
      <w:r w:rsidRPr="0034527B">
        <w:rPr>
          <w:lang w:val="en-GB"/>
        </w:rPr>
        <w:t>A Shasthya Shebika was an independent worker incentivized by BRAC. An example of the compensation for the rendering of health care services by a Shasthya Shebika was the payment she received every time she identified someone with tuberculosis, and every time the identified patient completed a six-month course of tuberculosis medicines.</w:t>
      </w:r>
      <w:r w:rsidRPr="0034527B">
        <w:rPr>
          <w:rFonts w:eastAsia="Calibri"/>
          <w:vertAlign w:val="superscript"/>
          <w:lang w:val="en-GB"/>
        </w:rPr>
        <w:footnoteReference w:id="6"/>
      </w:r>
      <w:r w:rsidRPr="0034527B">
        <w:rPr>
          <w:lang w:val="en-GB"/>
        </w:rPr>
        <w:t xml:space="preserve"> The patient receiving the service paid the Shasthya Shebika for the service rendered. Health products were sold by the Shasthya Shebikas at a 10 to 15 per cent markup. BRAC provided interest-free working capital of up to 1,000 taka</w:t>
      </w:r>
      <w:r w:rsidRPr="0034527B">
        <w:rPr>
          <w:rStyle w:val="FootnoteReference"/>
          <w:lang w:val="en-GB"/>
        </w:rPr>
        <w:footnoteReference w:id="7"/>
      </w:r>
      <w:r w:rsidRPr="0034527B">
        <w:rPr>
          <w:lang w:val="en-GB"/>
        </w:rPr>
        <w:t xml:space="preserve"> for a regular Sasthya Shebika (one who received training on basic primary health care) and 4,000</w:t>
      </w:r>
      <w:r w:rsidR="00AD2C8E">
        <w:rPr>
          <w:lang w:val="en-GB"/>
        </w:rPr>
        <w:t>–</w:t>
      </w:r>
      <w:r w:rsidRPr="0034527B">
        <w:rPr>
          <w:lang w:val="en-GB"/>
        </w:rPr>
        <w:t>5,000 taka for the upgrade/model Shasthya Shebika (one who received advanced training on non-communicable diseases care and eye care along with basic primary health care training). The income of Shasthya Shebikas was in the range of 500</w:t>
      </w:r>
      <w:r w:rsidR="00AD2C8E">
        <w:rPr>
          <w:lang w:val="en-GB"/>
        </w:rPr>
        <w:t>–</w:t>
      </w:r>
      <w:r w:rsidRPr="0034527B">
        <w:rPr>
          <w:lang w:val="en-GB"/>
        </w:rPr>
        <w:t>1,500 taka per month. They earned income by selling medicines and commodities, and earned incentives from the sale of reading glasses, the completed treatments of tuberculosis patients, identifying pregnancies, providing antenatal and postnatal care, and the early initiation of breastfeeding (see Exhibit 6). Shasthya Shebikas received travel and meal allowances for attending quarterly refresher training sessions. About 1 to 2 per cent of Shasthya Shebikas reported earnings from health services outside BRAC.</w:t>
      </w:r>
      <w:r w:rsidRPr="0034527B">
        <w:rPr>
          <w:rFonts w:eastAsia="Calibri"/>
          <w:vertAlign w:val="superscript"/>
          <w:lang w:val="en-GB"/>
        </w:rPr>
        <w:footnoteReference w:id="8"/>
      </w:r>
    </w:p>
    <w:p w14:paraId="763D18A7" w14:textId="77777777" w:rsidR="003658DE" w:rsidRPr="0034527B" w:rsidRDefault="003658DE" w:rsidP="00614FEB">
      <w:pPr>
        <w:pStyle w:val="BodyTextMain"/>
        <w:rPr>
          <w:sz w:val="20"/>
          <w:lang w:val="en-GB"/>
        </w:rPr>
      </w:pPr>
    </w:p>
    <w:p w14:paraId="20E7A4DF" w14:textId="77777777" w:rsidR="003658DE" w:rsidRPr="0034527B" w:rsidRDefault="003658DE" w:rsidP="00614FEB">
      <w:pPr>
        <w:pStyle w:val="BodyTextMain"/>
        <w:rPr>
          <w:sz w:val="20"/>
          <w:lang w:val="en-GB"/>
        </w:rPr>
      </w:pPr>
    </w:p>
    <w:p w14:paraId="71ACCF8F" w14:textId="77777777" w:rsidR="003658DE" w:rsidRPr="0034527B" w:rsidRDefault="003658DE" w:rsidP="007039A5">
      <w:pPr>
        <w:pStyle w:val="Casehead1"/>
        <w:keepNext/>
        <w:rPr>
          <w:lang w:val="en-GB"/>
        </w:rPr>
      </w:pPr>
      <w:r w:rsidRPr="0034527B">
        <w:rPr>
          <w:lang w:val="en-GB"/>
        </w:rPr>
        <w:t>Motivating the Shasthya Shebikas</w:t>
      </w:r>
    </w:p>
    <w:p w14:paraId="0DA384E8" w14:textId="77777777" w:rsidR="003658DE" w:rsidRPr="0034527B" w:rsidRDefault="003658DE" w:rsidP="007039A5">
      <w:pPr>
        <w:pStyle w:val="BodyTextMain"/>
        <w:keepNext/>
        <w:rPr>
          <w:sz w:val="20"/>
          <w:lang w:val="en-GB"/>
        </w:rPr>
      </w:pPr>
    </w:p>
    <w:p w14:paraId="552E77BF" w14:textId="1A2E142A" w:rsidR="003658DE" w:rsidRPr="0034527B" w:rsidRDefault="003658DE" w:rsidP="007039A5">
      <w:pPr>
        <w:pStyle w:val="BodyTextMain"/>
        <w:keepNext/>
        <w:rPr>
          <w:lang w:val="en-GB"/>
        </w:rPr>
      </w:pPr>
      <w:r w:rsidRPr="0034527B">
        <w:rPr>
          <w:lang w:val="en-GB"/>
        </w:rPr>
        <w:t>Women in Bangladesh volunteered for community work in order to gain social recognition and financial independence. Most of the women who joined the Shasthya Shebikas had no income</w:t>
      </w:r>
      <w:r w:rsidR="00AD2C8E">
        <w:rPr>
          <w:lang w:val="en-GB"/>
        </w:rPr>
        <w:t>-</w:t>
      </w:r>
      <w:r w:rsidRPr="0034527B">
        <w:rPr>
          <w:lang w:val="en-GB"/>
        </w:rPr>
        <w:t xml:space="preserve">generating activity before becoming a Shasthya Shebika. Many of them approached BRAC on their own initiative to take up the position. For some of these women, their job as a Shasthya Shebika was the main source of their household income. According to a BRAC official, the factors influencing the performance of Shasthya Shebikas were community trust, social recognition, BRAC monitoring and motivation, and income earned. A survey observed that the effort and performance of Shasthya Shebikas was greater when the household </w:t>
      </w:r>
      <w:r w:rsidRPr="0034527B">
        <w:rPr>
          <w:lang w:val="en-GB"/>
        </w:rPr>
        <w:lastRenderedPageBreak/>
        <w:t>was dependent on their income. Shasthya Shebikas expected reasonable compensation for their efforts. In addition to monetary compensation, the opportunity to provide a service, social recognition, and respect were given as important motivating factors by a significant number of Shasthya Shebikas.</w:t>
      </w:r>
    </w:p>
    <w:p w14:paraId="72B4AE74" w14:textId="77777777" w:rsidR="003658DE" w:rsidRPr="0034527B" w:rsidRDefault="003658DE" w:rsidP="00614FEB">
      <w:pPr>
        <w:pStyle w:val="BodyTextMain"/>
        <w:rPr>
          <w:sz w:val="20"/>
          <w:lang w:val="en-GB"/>
        </w:rPr>
      </w:pPr>
    </w:p>
    <w:p w14:paraId="7D001256" w14:textId="77777777" w:rsidR="003658DE" w:rsidRPr="0034527B" w:rsidRDefault="003658DE" w:rsidP="00614FEB">
      <w:pPr>
        <w:pStyle w:val="BodyTextMain"/>
        <w:rPr>
          <w:sz w:val="20"/>
          <w:lang w:val="en-GB"/>
        </w:rPr>
      </w:pPr>
    </w:p>
    <w:p w14:paraId="3CDD06E8" w14:textId="56282A80" w:rsidR="003658DE" w:rsidRPr="0034527B" w:rsidRDefault="003658DE" w:rsidP="00ED5236">
      <w:pPr>
        <w:pStyle w:val="Casehead1"/>
        <w:keepNext/>
        <w:rPr>
          <w:lang w:val="en-GB"/>
        </w:rPr>
      </w:pPr>
      <w:r w:rsidRPr="0034527B">
        <w:rPr>
          <w:lang w:val="en-GB"/>
        </w:rPr>
        <w:t>implications of product/service mix and territory size on income</w:t>
      </w:r>
    </w:p>
    <w:p w14:paraId="065ED0FF" w14:textId="77777777" w:rsidR="003658DE" w:rsidRPr="0034527B" w:rsidRDefault="003658DE" w:rsidP="00ED5236">
      <w:pPr>
        <w:pStyle w:val="BodyTextMain"/>
        <w:keepNext/>
        <w:rPr>
          <w:sz w:val="20"/>
          <w:lang w:val="en-GB"/>
        </w:rPr>
      </w:pPr>
    </w:p>
    <w:p w14:paraId="7E846A86" w14:textId="072CA496" w:rsidR="003658DE" w:rsidRPr="0034527B" w:rsidRDefault="003658DE" w:rsidP="00ED5236">
      <w:pPr>
        <w:pStyle w:val="BodyTextMain"/>
        <w:keepNext/>
        <w:rPr>
          <w:spacing w:val="-4"/>
          <w:lang w:val="en-GB"/>
        </w:rPr>
      </w:pPr>
      <w:r w:rsidRPr="0034527B">
        <w:rPr>
          <w:spacing w:val="-4"/>
          <w:lang w:val="en-GB"/>
        </w:rPr>
        <w:t>The range of health care services offered by Shasthya Shebikas and the products they sold had implications on the income they earned. The influence of the product/service mix on income was observed in two situations. One was the introduction of new services by BRAC, and the other was the effort by Shasthya Shebikas to increase the range of services and products they sold outside of BRAC’s product and service offering.</w:t>
      </w:r>
      <w:r w:rsidRPr="0034527B">
        <w:rPr>
          <w:rFonts w:eastAsia="Calibri"/>
          <w:spacing w:val="-4"/>
          <w:vertAlign w:val="superscript"/>
          <w:lang w:val="en-GB"/>
        </w:rPr>
        <w:footnoteReference w:id="9"/>
      </w:r>
    </w:p>
    <w:p w14:paraId="38F7971C" w14:textId="77777777" w:rsidR="003658DE" w:rsidRPr="0034527B" w:rsidRDefault="003658DE" w:rsidP="00614FEB">
      <w:pPr>
        <w:pStyle w:val="BodyTextMain"/>
        <w:rPr>
          <w:spacing w:val="-4"/>
          <w:sz w:val="20"/>
          <w:lang w:val="en-GB"/>
        </w:rPr>
      </w:pPr>
    </w:p>
    <w:p w14:paraId="0D6CCD8A" w14:textId="77777777" w:rsidR="003658DE" w:rsidRPr="0034527B" w:rsidRDefault="003658DE" w:rsidP="00614FEB">
      <w:pPr>
        <w:pStyle w:val="BodyTextMain"/>
        <w:rPr>
          <w:sz w:val="20"/>
          <w:lang w:val="en-GB"/>
        </w:rPr>
      </w:pPr>
    </w:p>
    <w:p w14:paraId="2215DBBC" w14:textId="74C8541D" w:rsidR="003658DE" w:rsidRPr="0034527B" w:rsidRDefault="003658DE" w:rsidP="007039A5">
      <w:pPr>
        <w:pStyle w:val="Casehead2"/>
        <w:rPr>
          <w:lang w:val="en-GB"/>
        </w:rPr>
      </w:pPr>
      <w:r w:rsidRPr="0034527B">
        <w:rPr>
          <w:lang w:val="en-GB"/>
        </w:rPr>
        <w:t xml:space="preserve">Range of Offerings and </w:t>
      </w:r>
      <w:r w:rsidR="00AD2C8E">
        <w:rPr>
          <w:lang w:val="en-GB"/>
        </w:rPr>
        <w:t>I</w:t>
      </w:r>
      <w:r w:rsidRPr="0034527B">
        <w:rPr>
          <w:lang w:val="en-GB"/>
        </w:rPr>
        <w:t>ts Implications on Shasthya Shebikas’ Income</w:t>
      </w:r>
    </w:p>
    <w:p w14:paraId="3B9B8268" w14:textId="77777777" w:rsidR="003658DE" w:rsidRPr="0034527B" w:rsidRDefault="003658DE" w:rsidP="00614FEB">
      <w:pPr>
        <w:pStyle w:val="BodyTextMain"/>
        <w:rPr>
          <w:sz w:val="20"/>
          <w:lang w:val="en-GB"/>
        </w:rPr>
      </w:pPr>
    </w:p>
    <w:p w14:paraId="57E691B8" w14:textId="54C09E09" w:rsidR="003658DE" w:rsidRPr="0034527B" w:rsidRDefault="003658DE" w:rsidP="00614FEB">
      <w:pPr>
        <w:pStyle w:val="BodyTextMain"/>
        <w:rPr>
          <w:lang w:val="en-GB"/>
        </w:rPr>
      </w:pPr>
      <w:r w:rsidRPr="0034527B">
        <w:rPr>
          <w:lang w:val="en-GB"/>
        </w:rPr>
        <w:t>BRAC introduced the Maternal, Neonatal and Child Health (MNCH) pilot program in 2005. This program provided help during childbirth and care for the newborn. The additional services were rendered by the Shasthya Shebikas, but because of this, the territory they covered was reduced in order to increase effectiveness in the delivery of these health care services. The majority of Shasthya Shebikas attributed a perceived income reduction to the reduced territory. However, 34 per cent of Shasthya Shebikas perceived an increase in income, and of these women, 73 per cent attributed the increase to the additional services offered under the MNCH program.</w:t>
      </w:r>
      <w:r w:rsidRPr="0034527B">
        <w:rPr>
          <w:rFonts w:eastAsia="Calibri"/>
          <w:vertAlign w:val="superscript"/>
          <w:lang w:val="en-GB"/>
        </w:rPr>
        <w:footnoteReference w:id="10"/>
      </w:r>
    </w:p>
    <w:p w14:paraId="437113B0" w14:textId="77777777" w:rsidR="003658DE" w:rsidRPr="0034527B" w:rsidRDefault="003658DE" w:rsidP="00614FEB">
      <w:pPr>
        <w:pStyle w:val="BodyTextMain"/>
        <w:rPr>
          <w:sz w:val="20"/>
          <w:lang w:val="en-GB"/>
        </w:rPr>
      </w:pPr>
    </w:p>
    <w:p w14:paraId="640D2A97" w14:textId="4669B544" w:rsidR="003658DE" w:rsidRPr="0034527B" w:rsidRDefault="003658DE" w:rsidP="00614FEB">
      <w:pPr>
        <w:pStyle w:val="BodyTextMain"/>
        <w:rPr>
          <w:spacing w:val="-2"/>
          <w:lang w:val="en-GB"/>
        </w:rPr>
      </w:pPr>
      <w:r w:rsidRPr="0034527B">
        <w:rPr>
          <w:spacing w:val="-2"/>
          <w:lang w:val="en-GB"/>
        </w:rPr>
        <w:t>Approximately 40 per cent of Shasthya Shebikas earned additional income by providing health care services outside of BRAC. Th</w:t>
      </w:r>
      <w:r w:rsidR="0024357D">
        <w:rPr>
          <w:spacing w:val="-2"/>
          <w:lang w:val="en-GB"/>
        </w:rPr>
        <w:t>at additional</w:t>
      </w:r>
      <w:r w:rsidRPr="0034527B">
        <w:rPr>
          <w:spacing w:val="-2"/>
          <w:lang w:val="en-GB"/>
        </w:rPr>
        <w:t xml:space="preserve"> income came from referrals to health care facilities and from providing services such as neonatal care. A significant number of Shasthya Shebikas received training from external sources in addition to the training conducted by BRAC, enabling them to offer the additional services. Some of the Shasthya Shebikas even purchased medicines from sources other than BRAC.</w:t>
      </w:r>
      <w:r w:rsidRPr="0034527B">
        <w:rPr>
          <w:rFonts w:eastAsia="Calibri"/>
          <w:spacing w:val="-2"/>
          <w:vertAlign w:val="superscript"/>
          <w:lang w:val="en-GB"/>
        </w:rPr>
        <w:footnoteReference w:id="11"/>
      </w:r>
      <w:r w:rsidRPr="0034527B">
        <w:rPr>
          <w:spacing w:val="-2"/>
          <w:lang w:val="en-GB"/>
        </w:rPr>
        <w:t xml:space="preserve"> An interesting observation was that those who had taken outside training ultimately worked with BRAC for a longer period. </w:t>
      </w:r>
    </w:p>
    <w:p w14:paraId="6827D305" w14:textId="77777777" w:rsidR="003658DE" w:rsidRPr="0034527B" w:rsidRDefault="003658DE" w:rsidP="00614FEB">
      <w:pPr>
        <w:pStyle w:val="BodyTextMain"/>
        <w:rPr>
          <w:sz w:val="20"/>
          <w:lang w:val="en-GB"/>
        </w:rPr>
      </w:pPr>
    </w:p>
    <w:p w14:paraId="5AD763CC" w14:textId="77777777" w:rsidR="003658DE" w:rsidRPr="0034527B" w:rsidRDefault="003658DE" w:rsidP="00614FEB">
      <w:pPr>
        <w:pStyle w:val="BodyTextMain"/>
        <w:rPr>
          <w:sz w:val="20"/>
          <w:lang w:val="en-GB"/>
        </w:rPr>
      </w:pPr>
    </w:p>
    <w:p w14:paraId="141C620D" w14:textId="77777777" w:rsidR="003658DE" w:rsidRPr="0034527B" w:rsidRDefault="003658DE" w:rsidP="007039A5">
      <w:pPr>
        <w:pStyle w:val="Casehead2"/>
        <w:rPr>
          <w:lang w:val="en-GB"/>
        </w:rPr>
      </w:pPr>
      <w:r w:rsidRPr="0034527B">
        <w:rPr>
          <w:lang w:val="en-GB"/>
        </w:rPr>
        <w:t>Territory Coverage and Income</w:t>
      </w:r>
    </w:p>
    <w:p w14:paraId="1FEA5781" w14:textId="77777777" w:rsidR="003658DE" w:rsidRPr="0034527B" w:rsidRDefault="003658DE" w:rsidP="00614FEB">
      <w:pPr>
        <w:pStyle w:val="BodyTextMain"/>
        <w:rPr>
          <w:sz w:val="20"/>
          <w:lang w:val="en-GB"/>
        </w:rPr>
      </w:pPr>
    </w:p>
    <w:p w14:paraId="7C2BADFA" w14:textId="605BD80E" w:rsidR="003658DE" w:rsidRPr="0034527B" w:rsidRDefault="003658DE" w:rsidP="00614FEB">
      <w:pPr>
        <w:pStyle w:val="BodyTextMain"/>
        <w:rPr>
          <w:lang w:val="en-GB"/>
        </w:rPr>
      </w:pPr>
      <w:r w:rsidRPr="0034527B">
        <w:rPr>
          <w:lang w:val="en-GB"/>
        </w:rPr>
        <w:t>The territory covered by Shasthya Shebikas was designed typically to include 400 households. Shasthya Shebikas spent their time on field visits for tuberculosis drug administration and primary health care from 7:00 a.m. until noon, usually making 20 visits in a day, six days a week. They ensured that they visited the households in their territory at least once in a month. Earlier, the number of households that Shasthya Shebikas were required to visit was 300, but this was subsequently increased to 400. Under the MNCH program, as mentioned above, the territory of Shasthya Shebikas was reduced and they were required to visit only 150 households in</w:t>
      </w:r>
      <w:r w:rsidR="0024357D">
        <w:rPr>
          <w:lang w:val="en-GB"/>
        </w:rPr>
        <w:t>stead</w:t>
      </w:r>
      <w:r w:rsidRPr="0034527B">
        <w:rPr>
          <w:lang w:val="en-GB"/>
        </w:rPr>
        <w:t xml:space="preserve"> of 300 households. </w:t>
      </w:r>
    </w:p>
    <w:p w14:paraId="32BE3FEA" w14:textId="77777777" w:rsidR="003658DE" w:rsidRPr="0034527B" w:rsidRDefault="003658DE" w:rsidP="00614FEB">
      <w:pPr>
        <w:pStyle w:val="BodyTextMain"/>
        <w:rPr>
          <w:sz w:val="20"/>
          <w:lang w:val="en-GB"/>
        </w:rPr>
      </w:pPr>
    </w:p>
    <w:p w14:paraId="47A6C3A8" w14:textId="77777777" w:rsidR="003658DE" w:rsidRPr="0034527B" w:rsidRDefault="003658DE" w:rsidP="00614FEB">
      <w:pPr>
        <w:pStyle w:val="BodyTextMain"/>
        <w:rPr>
          <w:sz w:val="20"/>
          <w:lang w:val="en-GB"/>
        </w:rPr>
      </w:pPr>
    </w:p>
    <w:p w14:paraId="63ACE117" w14:textId="06665AFB" w:rsidR="003658DE" w:rsidRPr="0034527B" w:rsidRDefault="003658DE" w:rsidP="007039A5">
      <w:pPr>
        <w:pStyle w:val="Casehead1"/>
        <w:rPr>
          <w:lang w:val="en-GB"/>
        </w:rPr>
      </w:pPr>
      <w:r w:rsidRPr="0034527B">
        <w:rPr>
          <w:lang w:val="en-GB"/>
        </w:rPr>
        <w:t>Efforts to retain Sasthya Shebikas</w:t>
      </w:r>
    </w:p>
    <w:p w14:paraId="7A44201F" w14:textId="77777777" w:rsidR="003658DE" w:rsidRPr="0034527B" w:rsidRDefault="003658DE" w:rsidP="00614FEB">
      <w:pPr>
        <w:pStyle w:val="BodyTextMain"/>
        <w:rPr>
          <w:sz w:val="20"/>
          <w:lang w:val="en-GB"/>
        </w:rPr>
      </w:pPr>
    </w:p>
    <w:p w14:paraId="22912D44" w14:textId="54232D15" w:rsidR="003658DE" w:rsidRPr="00AB2A6D" w:rsidRDefault="003658DE" w:rsidP="00614FEB">
      <w:pPr>
        <w:pStyle w:val="BodyTextMain"/>
        <w:rPr>
          <w:spacing w:val="-2"/>
          <w:lang w:val="en-GB"/>
        </w:rPr>
      </w:pPr>
      <w:r w:rsidRPr="00AB2A6D">
        <w:rPr>
          <w:spacing w:val="-2"/>
          <w:lang w:val="en-GB"/>
        </w:rPr>
        <w:t xml:space="preserve">BRAC invested a significant amount in creating and maintaining an effective team of Shasthya Shebikas, and therefore the turnover of Shasthya Shebikas had cost implications for the organization. The cost incurred by BRAC when a Shasthya Shebika left the job was estimated to be $24. A reason for a Shasthya Shebika dropping out was that she considered the income insufficient for her effort. The increased literacy levels of a </w:t>
      </w:r>
      <w:r w:rsidRPr="00AB2A6D">
        <w:rPr>
          <w:spacing w:val="-2"/>
          <w:lang w:val="en-GB"/>
        </w:rPr>
        <w:lastRenderedPageBreak/>
        <w:t>Shasthya Shebika and the availability of alternative employment opportunities for her also contributed to</w:t>
      </w:r>
      <w:r w:rsidR="00B441B3" w:rsidRPr="00AB2A6D">
        <w:rPr>
          <w:spacing w:val="-2"/>
          <w:lang w:val="en-GB"/>
        </w:rPr>
        <w:t xml:space="preserve"> the</w:t>
      </w:r>
      <w:r w:rsidRPr="00AB2A6D">
        <w:rPr>
          <w:spacing w:val="-2"/>
          <w:lang w:val="en-GB"/>
        </w:rPr>
        <w:t xml:space="preserve"> turnover. There were other issues besides the issue of income, including the competing demands on Shasthya Shebikas’ time</w:t>
      </w:r>
      <w:r w:rsidR="00B441B3" w:rsidRPr="00AB2A6D">
        <w:rPr>
          <w:spacing w:val="-2"/>
          <w:lang w:val="en-GB"/>
        </w:rPr>
        <w:t xml:space="preserve"> such as</w:t>
      </w:r>
      <w:r w:rsidRPr="00AB2A6D">
        <w:rPr>
          <w:spacing w:val="-2"/>
          <w:lang w:val="en-GB"/>
        </w:rPr>
        <w:t xml:space="preserve"> household work; the unfavourable light in which families and neighbours viewed these women’s taking up employment; and the difficulty the women faced because of people’s reluctance to seek advice on health problems from a local</w:t>
      </w:r>
      <w:r w:rsidR="00B441B3" w:rsidRPr="00AB2A6D">
        <w:rPr>
          <w:spacing w:val="-2"/>
          <w:lang w:val="en-GB"/>
        </w:rPr>
        <w:t>,</w:t>
      </w:r>
      <w:r w:rsidRPr="00AB2A6D">
        <w:rPr>
          <w:spacing w:val="-2"/>
          <w:lang w:val="en-GB"/>
        </w:rPr>
        <w:t xml:space="preserve"> as opposed to a </w:t>
      </w:r>
      <w:r w:rsidR="00B441B3" w:rsidRPr="00AB2A6D">
        <w:rPr>
          <w:spacing w:val="-2"/>
          <w:lang w:val="en-GB"/>
        </w:rPr>
        <w:t xml:space="preserve">fully </w:t>
      </w:r>
      <w:r w:rsidRPr="00AB2A6D">
        <w:rPr>
          <w:spacing w:val="-2"/>
          <w:lang w:val="en-GB"/>
        </w:rPr>
        <w:t>qualified</w:t>
      </w:r>
      <w:r w:rsidR="00B441B3" w:rsidRPr="00AB2A6D">
        <w:rPr>
          <w:spacing w:val="-2"/>
          <w:lang w:val="en-GB"/>
        </w:rPr>
        <w:t>,</w:t>
      </w:r>
      <w:r w:rsidRPr="00AB2A6D">
        <w:rPr>
          <w:spacing w:val="-2"/>
          <w:lang w:val="en-GB"/>
        </w:rPr>
        <w:t xml:space="preserve"> practitioner.</w:t>
      </w:r>
      <w:r w:rsidRPr="00AB2A6D">
        <w:rPr>
          <w:rFonts w:eastAsia="Calibri"/>
          <w:spacing w:val="-2"/>
          <w:vertAlign w:val="superscript"/>
          <w:lang w:val="en-GB"/>
        </w:rPr>
        <w:footnoteReference w:id="12"/>
      </w:r>
    </w:p>
    <w:p w14:paraId="368241AD" w14:textId="77777777" w:rsidR="003658DE" w:rsidRPr="0034527B" w:rsidRDefault="003658DE" w:rsidP="00614FEB">
      <w:pPr>
        <w:pStyle w:val="BodyTextMain"/>
        <w:rPr>
          <w:lang w:val="en-GB"/>
        </w:rPr>
      </w:pPr>
    </w:p>
    <w:p w14:paraId="3E1E57A0" w14:textId="5D561F2D" w:rsidR="003658DE" w:rsidRPr="0034527B" w:rsidRDefault="003658DE" w:rsidP="00614FEB">
      <w:pPr>
        <w:pStyle w:val="BodyTextMain"/>
        <w:rPr>
          <w:lang w:val="en-GB"/>
        </w:rPr>
      </w:pPr>
      <w:r w:rsidRPr="0034527B">
        <w:rPr>
          <w:lang w:val="en-GB"/>
        </w:rPr>
        <w:t xml:space="preserve">Some of the steps BRAC had taken to increase retention of Shasthya Shebikas included proper recruitment practices; improvements to the incentive system, both monetary and non-monetary; and an increase of its product and service mix. In addition to this, BRAC carried out an experiment to improve delivery of health care service and to address the retention issue by introducing the “model” Shasthya Shebika </w:t>
      </w:r>
      <w:r w:rsidR="00B441B3">
        <w:rPr>
          <w:lang w:val="en-GB"/>
        </w:rPr>
        <w:t xml:space="preserve">program </w:t>
      </w:r>
      <w:r w:rsidRPr="0034527B">
        <w:rPr>
          <w:lang w:val="en-GB"/>
        </w:rPr>
        <w:t>in July 2010</w:t>
      </w:r>
      <w:r w:rsidR="00B441B3">
        <w:rPr>
          <w:lang w:val="en-GB"/>
        </w:rPr>
        <w:t>.</w:t>
      </w:r>
      <w:r w:rsidRPr="0034527B">
        <w:rPr>
          <w:lang w:val="en-GB"/>
        </w:rPr>
        <w:t xml:space="preserve"> A pilot study was carried out in the urban slums of Dhaka city in an effort to develop an improved cadre of Shasthya Shebikas based on performance. The model Shasthya Shebika </w:t>
      </w:r>
      <w:r w:rsidR="00B441B3">
        <w:rPr>
          <w:lang w:val="en-GB"/>
        </w:rPr>
        <w:t xml:space="preserve">was defined as </w:t>
      </w:r>
      <w:r w:rsidRPr="0034527B">
        <w:rPr>
          <w:lang w:val="en-GB"/>
        </w:rPr>
        <w:t>ha</w:t>
      </w:r>
      <w:r w:rsidR="00B441B3">
        <w:rPr>
          <w:lang w:val="en-GB"/>
        </w:rPr>
        <w:t>ving</w:t>
      </w:r>
      <w:r w:rsidRPr="0034527B">
        <w:rPr>
          <w:lang w:val="en-GB"/>
        </w:rPr>
        <w:t xml:space="preserve"> the additional requirement of being literate, as well as owning and operating a grocery shop. The purpose of shop ownership was to enable Shasthya Shebikas to sell BRAC products in addition to rendering doorstep health care services. Ninety-four per cent of model Shasthya Shebikas perceived positive benefits after the program. Clients also gave positive feedback on the program, with most of them indicating that the model Shasthya Shebika visited their home more than once in a month. Furthermore, they believed </w:t>
      </w:r>
      <w:r w:rsidR="00B441B3">
        <w:rPr>
          <w:lang w:val="en-GB"/>
        </w:rPr>
        <w:t xml:space="preserve">that </w:t>
      </w:r>
      <w:r w:rsidRPr="0034527B">
        <w:rPr>
          <w:lang w:val="en-GB"/>
        </w:rPr>
        <w:t>the model Shasthya Shebika had expertise in treating minor ailments.</w:t>
      </w:r>
      <w:r w:rsidRPr="0034527B">
        <w:rPr>
          <w:rFonts w:eastAsia="Calibri"/>
          <w:vertAlign w:val="superscript"/>
          <w:lang w:val="en-GB"/>
        </w:rPr>
        <w:footnoteReference w:id="13"/>
      </w:r>
    </w:p>
    <w:p w14:paraId="2D145D6F" w14:textId="77777777" w:rsidR="003658DE" w:rsidRPr="0034527B" w:rsidRDefault="003658DE" w:rsidP="00614FEB">
      <w:pPr>
        <w:pStyle w:val="BodyTextMain"/>
        <w:rPr>
          <w:lang w:val="en-GB"/>
        </w:rPr>
      </w:pPr>
    </w:p>
    <w:p w14:paraId="015129AB" w14:textId="77777777" w:rsidR="003658DE" w:rsidRPr="0034527B" w:rsidRDefault="003658DE" w:rsidP="00614FEB">
      <w:pPr>
        <w:pStyle w:val="BodyTextMain"/>
        <w:rPr>
          <w:lang w:val="en-GB"/>
        </w:rPr>
      </w:pPr>
    </w:p>
    <w:p w14:paraId="21B83D65" w14:textId="77777777" w:rsidR="003658DE" w:rsidRPr="0034527B" w:rsidRDefault="003658DE" w:rsidP="007039A5">
      <w:pPr>
        <w:pStyle w:val="Casehead1"/>
        <w:rPr>
          <w:lang w:val="en-GB"/>
        </w:rPr>
      </w:pPr>
      <w:r w:rsidRPr="0034527B">
        <w:rPr>
          <w:lang w:val="en-GB"/>
        </w:rPr>
        <w:t>Shasthya Shebikas and competition</w:t>
      </w:r>
    </w:p>
    <w:p w14:paraId="34180EFB" w14:textId="77777777" w:rsidR="003658DE" w:rsidRPr="0034527B" w:rsidRDefault="003658DE" w:rsidP="00614FEB">
      <w:pPr>
        <w:pStyle w:val="BodyTextMain"/>
        <w:rPr>
          <w:lang w:val="en-GB"/>
        </w:rPr>
      </w:pPr>
    </w:p>
    <w:p w14:paraId="1A037682" w14:textId="69ABE225" w:rsidR="003658DE" w:rsidRPr="0034527B" w:rsidRDefault="003658DE" w:rsidP="00614FEB">
      <w:pPr>
        <w:pStyle w:val="BodyTextMain"/>
        <w:rPr>
          <w:lang w:val="en-GB"/>
        </w:rPr>
      </w:pPr>
      <w:r w:rsidRPr="0034527B">
        <w:rPr>
          <w:lang w:val="en-GB"/>
        </w:rPr>
        <w:t>Shasthya Shebikas offered heath care services to more than 100 million people, mostly women.</w:t>
      </w:r>
      <w:r w:rsidRPr="0034527B">
        <w:rPr>
          <w:rFonts w:eastAsia="Calibri"/>
          <w:vertAlign w:val="superscript"/>
          <w:lang w:val="en-GB"/>
        </w:rPr>
        <w:footnoteReference w:id="14"/>
      </w:r>
      <w:r w:rsidRPr="0034527B">
        <w:rPr>
          <w:lang w:val="en-GB"/>
        </w:rPr>
        <w:t xml:space="preserve"> Most of them were from poor households, but approximately 5 per cent were from well-off households. Around 40 per cent of Shasthya Shebikas’ clients were BRAC village organization members. Shasthya Shebikas were approached with cases of anemia, fever, diarrhea, and other ailments, as well as for the purchase of medicines.</w:t>
      </w:r>
      <w:r w:rsidRPr="0034527B">
        <w:rPr>
          <w:rFonts w:eastAsia="Calibri"/>
          <w:vertAlign w:val="superscript"/>
          <w:lang w:val="en-GB"/>
        </w:rPr>
        <w:footnoteReference w:id="15"/>
      </w:r>
      <w:r w:rsidRPr="0034527B">
        <w:rPr>
          <w:lang w:val="en-GB"/>
        </w:rPr>
        <w:t xml:space="preserve"> The poor, however, also used the health care services provided by the informal sector. Poor use of the formal health care service was evidenced by the number of births that took place at home assisted by untrained attendants—one-third of all cases.</w:t>
      </w:r>
    </w:p>
    <w:p w14:paraId="11E627B8" w14:textId="77777777" w:rsidR="003658DE" w:rsidRPr="0034527B" w:rsidRDefault="003658DE" w:rsidP="00614FEB">
      <w:pPr>
        <w:pStyle w:val="BodyTextMain"/>
        <w:rPr>
          <w:lang w:val="en-GB"/>
        </w:rPr>
      </w:pPr>
    </w:p>
    <w:p w14:paraId="458E6871" w14:textId="6942512C" w:rsidR="003658DE" w:rsidRPr="0034527B" w:rsidRDefault="003658DE" w:rsidP="00614FEB">
      <w:pPr>
        <w:pStyle w:val="BodyTextMain"/>
        <w:rPr>
          <w:lang w:val="en-GB"/>
        </w:rPr>
      </w:pPr>
      <w:r w:rsidRPr="0034527B">
        <w:rPr>
          <w:lang w:val="en-GB"/>
        </w:rPr>
        <w:t>Most Shasthya Shebikas perceived the presence of competition, mostly from pharmacies and village doctors. Some Shasthya Shebikas indicated that the competition affected their income. A small but significant number of them also mentioned government hospitals as competitors. The unavailability of preferred brands of medicines</w:t>
      </w:r>
      <w:r w:rsidR="00B441B3">
        <w:rPr>
          <w:lang w:val="en-GB"/>
        </w:rPr>
        <w:t>,</w:t>
      </w:r>
      <w:r w:rsidRPr="0034527B">
        <w:rPr>
          <w:lang w:val="en-GB"/>
        </w:rPr>
        <w:t xml:space="preserve"> and sometimes unavailability of the medicine itself</w:t>
      </w:r>
      <w:r w:rsidR="00B441B3">
        <w:rPr>
          <w:lang w:val="en-GB"/>
        </w:rPr>
        <w:t>,</w:t>
      </w:r>
      <w:r w:rsidRPr="0034527B">
        <w:rPr>
          <w:lang w:val="en-GB"/>
        </w:rPr>
        <w:t xml:space="preserve"> was considered by some Shasthya Shebikas as their weakness compared to competing service providers. A sizeable number of Shasthya Shebikas who did not face challenges because of competition indicated that the presence of other health care service providers in their territory was low. Shasthya Shebikas suggested that their clients preferred them to other health care service providers because of the doorstep service and flexible payment options they provided. In addition to this, many of their clients were female and preferred to buy most health products from other females. Familiarity and proximity were other reasons given for a preference for Shasthya Shebikas.</w:t>
      </w:r>
      <w:r w:rsidRPr="0034527B">
        <w:rPr>
          <w:rFonts w:eastAsia="Calibri"/>
          <w:vertAlign w:val="superscript"/>
          <w:lang w:val="en-GB"/>
        </w:rPr>
        <w:footnoteReference w:id="16"/>
      </w:r>
    </w:p>
    <w:p w14:paraId="034987CA" w14:textId="77777777" w:rsidR="003658DE" w:rsidRPr="0034527B" w:rsidRDefault="003658DE" w:rsidP="00614FEB">
      <w:pPr>
        <w:pStyle w:val="BodyTextMain"/>
        <w:rPr>
          <w:lang w:val="en-GB"/>
        </w:rPr>
      </w:pPr>
    </w:p>
    <w:p w14:paraId="36EB0C2D" w14:textId="5A011E10" w:rsidR="003658DE" w:rsidRPr="00AB2A6D" w:rsidRDefault="003658DE" w:rsidP="00614FEB">
      <w:pPr>
        <w:pStyle w:val="BodyTextMain"/>
        <w:rPr>
          <w:spacing w:val="-2"/>
          <w:lang w:val="en-GB"/>
        </w:rPr>
      </w:pPr>
      <w:r w:rsidRPr="00AB2A6D">
        <w:rPr>
          <w:spacing w:val="-2"/>
          <w:lang w:val="en-GB"/>
        </w:rPr>
        <w:t xml:space="preserve">A study of informal health service providers checked the quality of treatment provided by these service providers, and observed that the quality of treatment by these village doctors and other informal service </w:t>
      </w:r>
      <w:r w:rsidRPr="00AB2A6D">
        <w:rPr>
          <w:spacing w:val="-2"/>
          <w:lang w:val="en-GB"/>
        </w:rPr>
        <w:lastRenderedPageBreak/>
        <w:t>providers was poor. In most cases, inappropriate drugs were prescribed.</w:t>
      </w:r>
      <w:r w:rsidRPr="00AB2A6D">
        <w:rPr>
          <w:rFonts w:eastAsia="Calibri"/>
          <w:spacing w:val="-2"/>
          <w:vertAlign w:val="superscript"/>
          <w:lang w:val="en-GB"/>
        </w:rPr>
        <w:footnoteReference w:id="17"/>
      </w:r>
      <w:r w:rsidRPr="00AB2A6D">
        <w:rPr>
          <w:spacing w:val="-2"/>
          <w:lang w:val="en-GB"/>
        </w:rPr>
        <w:t xml:space="preserve"> Although Shasthya Shebikas were not qualified medical practitioners, they were trained to cure minor illnesses and to identify complex cases that required the attention of qualified physicians. The efficacy of their treatment was also </w:t>
      </w:r>
      <w:r w:rsidR="00253B30" w:rsidRPr="00AB2A6D">
        <w:rPr>
          <w:spacing w:val="-2"/>
          <w:lang w:val="en-GB"/>
        </w:rPr>
        <w:t>due to</w:t>
      </w:r>
      <w:r w:rsidRPr="00AB2A6D">
        <w:rPr>
          <w:spacing w:val="-2"/>
          <w:lang w:val="en-GB"/>
        </w:rPr>
        <w:t xml:space="preserve"> the regular follow-ups they conducted. This was important </w:t>
      </w:r>
      <w:r w:rsidR="00253B30" w:rsidRPr="00AB2A6D">
        <w:rPr>
          <w:spacing w:val="-2"/>
          <w:lang w:val="en-GB"/>
        </w:rPr>
        <w:t>bec</w:t>
      </w:r>
      <w:r w:rsidRPr="00AB2A6D">
        <w:rPr>
          <w:spacing w:val="-2"/>
          <w:lang w:val="en-GB"/>
        </w:rPr>
        <w:t>a</w:t>
      </w:r>
      <w:r w:rsidR="00253B30" w:rsidRPr="00AB2A6D">
        <w:rPr>
          <w:spacing w:val="-2"/>
          <w:lang w:val="en-GB"/>
        </w:rPr>
        <w:t>u</w:t>
      </w:r>
      <w:r w:rsidRPr="00AB2A6D">
        <w:rPr>
          <w:spacing w:val="-2"/>
          <w:lang w:val="en-GB"/>
        </w:rPr>
        <w:t>s</w:t>
      </w:r>
      <w:r w:rsidR="00253B30" w:rsidRPr="00AB2A6D">
        <w:rPr>
          <w:spacing w:val="-2"/>
          <w:lang w:val="en-GB"/>
        </w:rPr>
        <w:t>e</w:t>
      </w:r>
      <w:r w:rsidRPr="00AB2A6D">
        <w:rPr>
          <w:spacing w:val="-2"/>
          <w:lang w:val="en-GB"/>
        </w:rPr>
        <w:t xml:space="preserve"> clients had a tendency to discontinue treatment, and the BRAC program provided incentives both to patients and to Shasthya Shebikas to finish </w:t>
      </w:r>
      <w:r w:rsidR="00253B30" w:rsidRPr="00AB2A6D">
        <w:rPr>
          <w:spacing w:val="-2"/>
          <w:lang w:val="en-GB"/>
        </w:rPr>
        <w:t xml:space="preserve">the </w:t>
      </w:r>
      <w:r w:rsidRPr="00AB2A6D">
        <w:rPr>
          <w:spacing w:val="-2"/>
          <w:lang w:val="en-GB"/>
        </w:rPr>
        <w:t>treatment.</w:t>
      </w:r>
      <w:r w:rsidRPr="00AB2A6D">
        <w:rPr>
          <w:rFonts w:eastAsia="Calibri"/>
          <w:spacing w:val="-2"/>
          <w:vertAlign w:val="superscript"/>
          <w:lang w:val="en-GB"/>
        </w:rPr>
        <w:footnoteReference w:id="18"/>
      </w:r>
    </w:p>
    <w:p w14:paraId="723EF23D" w14:textId="77777777" w:rsidR="003658DE" w:rsidRPr="0034527B" w:rsidRDefault="003658DE" w:rsidP="00614FEB">
      <w:pPr>
        <w:pStyle w:val="BodyTextMain"/>
        <w:rPr>
          <w:lang w:val="en-GB"/>
        </w:rPr>
      </w:pPr>
    </w:p>
    <w:p w14:paraId="73E00179" w14:textId="77777777" w:rsidR="003658DE" w:rsidRPr="0034527B" w:rsidRDefault="003658DE" w:rsidP="00614FEB">
      <w:pPr>
        <w:pStyle w:val="BodyTextMain"/>
        <w:rPr>
          <w:lang w:val="en-GB"/>
        </w:rPr>
      </w:pPr>
    </w:p>
    <w:p w14:paraId="73A56DC6" w14:textId="726D9435" w:rsidR="003658DE" w:rsidRPr="0034527B" w:rsidRDefault="003658DE" w:rsidP="00A82063">
      <w:pPr>
        <w:pStyle w:val="Casehead1"/>
        <w:keepNext/>
        <w:rPr>
          <w:lang w:val="en-GB"/>
        </w:rPr>
      </w:pPr>
      <w:r w:rsidRPr="0034527B">
        <w:rPr>
          <w:lang w:val="en-GB"/>
        </w:rPr>
        <w:t>Rural consumers and their preference for health care service providers</w:t>
      </w:r>
    </w:p>
    <w:p w14:paraId="2C7137A5" w14:textId="77777777" w:rsidR="003658DE" w:rsidRPr="0034527B" w:rsidRDefault="003658DE" w:rsidP="00A82063">
      <w:pPr>
        <w:pStyle w:val="BodyTextMain"/>
        <w:keepNext/>
        <w:rPr>
          <w:lang w:val="en-GB"/>
        </w:rPr>
      </w:pPr>
    </w:p>
    <w:p w14:paraId="0E709261" w14:textId="3CCC31EA" w:rsidR="003658DE" w:rsidRPr="00AB2A6D" w:rsidRDefault="00253B30" w:rsidP="00A82063">
      <w:pPr>
        <w:pStyle w:val="BodyTextMain"/>
        <w:keepNext/>
        <w:rPr>
          <w:spacing w:val="-2"/>
          <w:lang w:val="en-GB"/>
        </w:rPr>
      </w:pPr>
      <w:r w:rsidRPr="00AB2A6D">
        <w:rPr>
          <w:spacing w:val="-2"/>
          <w:lang w:val="en-GB"/>
        </w:rPr>
        <w:t>A</w:t>
      </w:r>
      <w:r w:rsidR="003658DE" w:rsidRPr="00AB2A6D">
        <w:rPr>
          <w:spacing w:val="-2"/>
          <w:lang w:val="en-GB"/>
        </w:rPr>
        <w:t xml:space="preserve">ttracting and retaining Shasthya Shebikas was </w:t>
      </w:r>
      <w:r w:rsidRPr="00AB2A6D">
        <w:rPr>
          <w:spacing w:val="-2"/>
          <w:lang w:val="en-GB"/>
        </w:rPr>
        <w:t>only one of the</w:t>
      </w:r>
      <w:r w:rsidR="003658DE" w:rsidRPr="00AB2A6D">
        <w:rPr>
          <w:spacing w:val="-2"/>
          <w:lang w:val="en-GB"/>
        </w:rPr>
        <w:t xml:space="preserve"> challenge</w:t>
      </w:r>
      <w:r w:rsidRPr="00AB2A6D">
        <w:rPr>
          <w:spacing w:val="-2"/>
          <w:lang w:val="en-GB"/>
        </w:rPr>
        <w:t>s</w:t>
      </w:r>
      <w:r w:rsidR="003658DE" w:rsidRPr="00AB2A6D">
        <w:rPr>
          <w:spacing w:val="-2"/>
          <w:lang w:val="en-GB"/>
        </w:rPr>
        <w:t xml:space="preserve"> BRAC faced</w:t>
      </w:r>
      <w:r w:rsidRPr="00AB2A6D">
        <w:rPr>
          <w:spacing w:val="-2"/>
          <w:lang w:val="en-GB"/>
        </w:rPr>
        <w:t>.</w:t>
      </w:r>
      <w:r w:rsidR="003658DE" w:rsidRPr="00AB2A6D">
        <w:rPr>
          <w:spacing w:val="-2"/>
          <w:lang w:val="en-GB"/>
        </w:rPr>
        <w:t xml:space="preserve"> </w:t>
      </w:r>
      <w:r w:rsidRPr="00AB2A6D">
        <w:rPr>
          <w:spacing w:val="-2"/>
          <w:lang w:val="en-GB"/>
        </w:rPr>
        <w:t>An</w:t>
      </w:r>
      <w:r w:rsidR="003658DE" w:rsidRPr="00AB2A6D">
        <w:rPr>
          <w:spacing w:val="-2"/>
          <w:lang w:val="en-GB"/>
        </w:rPr>
        <w:t xml:space="preserve">other critical aspect related to </w:t>
      </w:r>
      <w:r w:rsidRPr="00AB2A6D">
        <w:rPr>
          <w:spacing w:val="-2"/>
          <w:lang w:val="en-GB"/>
        </w:rPr>
        <w:t xml:space="preserve">the delivery of </w:t>
      </w:r>
      <w:r w:rsidR="003658DE" w:rsidRPr="00AB2A6D">
        <w:rPr>
          <w:spacing w:val="-2"/>
          <w:lang w:val="en-GB"/>
        </w:rPr>
        <w:t xml:space="preserve">health care service in Bangladesh. </w:t>
      </w:r>
      <w:r w:rsidRPr="00AB2A6D">
        <w:rPr>
          <w:spacing w:val="-2"/>
          <w:lang w:val="en-GB"/>
        </w:rPr>
        <w:t>I</w:t>
      </w:r>
      <w:r w:rsidR="003658DE" w:rsidRPr="00AB2A6D">
        <w:rPr>
          <w:spacing w:val="-2"/>
          <w:lang w:val="en-GB"/>
        </w:rPr>
        <w:t>n the rural areas of the country</w:t>
      </w:r>
      <w:r w:rsidRPr="00AB2A6D">
        <w:rPr>
          <w:spacing w:val="-2"/>
          <w:lang w:val="en-GB"/>
        </w:rPr>
        <w:t>, health care service delivery</w:t>
      </w:r>
      <w:r w:rsidR="003658DE" w:rsidRPr="00AB2A6D">
        <w:rPr>
          <w:spacing w:val="-2"/>
          <w:lang w:val="en-GB"/>
        </w:rPr>
        <w:t xml:space="preserve"> was carried out mostly by unqualified health care service providers. The presence of qualified medical professionals was minimal, </w:t>
      </w:r>
      <w:r w:rsidRPr="00AB2A6D">
        <w:rPr>
          <w:spacing w:val="-2"/>
          <w:lang w:val="en-GB"/>
        </w:rPr>
        <w:t>bec</w:t>
      </w:r>
      <w:r w:rsidR="003658DE" w:rsidRPr="00AB2A6D">
        <w:rPr>
          <w:spacing w:val="-2"/>
          <w:lang w:val="en-GB"/>
        </w:rPr>
        <w:t>a</w:t>
      </w:r>
      <w:r w:rsidRPr="00AB2A6D">
        <w:rPr>
          <w:spacing w:val="-2"/>
          <w:lang w:val="en-GB"/>
        </w:rPr>
        <w:t>u</w:t>
      </w:r>
      <w:r w:rsidR="003658DE" w:rsidRPr="00AB2A6D">
        <w:rPr>
          <w:spacing w:val="-2"/>
          <w:lang w:val="en-GB"/>
        </w:rPr>
        <w:t>s</w:t>
      </w:r>
      <w:r w:rsidRPr="00AB2A6D">
        <w:rPr>
          <w:spacing w:val="-2"/>
          <w:lang w:val="en-GB"/>
        </w:rPr>
        <w:t>e</w:t>
      </w:r>
      <w:r w:rsidR="003658DE" w:rsidRPr="00AB2A6D">
        <w:rPr>
          <w:spacing w:val="-2"/>
          <w:lang w:val="en-GB"/>
        </w:rPr>
        <w:t xml:space="preserve"> there were only 7.7 qualified professionals per 10,000 people. In contrast, there were 64.2 unqualified medical practitioners per 10,000 people.</w:t>
      </w:r>
      <w:r w:rsidR="003658DE" w:rsidRPr="00AB2A6D">
        <w:rPr>
          <w:rFonts w:eastAsia="Calibri"/>
          <w:spacing w:val="-2"/>
          <w:vertAlign w:val="superscript"/>
          <w:lang w:val="en-GB"/>
        </w:rPr>
        <w:footnoteReference w:id="19"/>
      </w:r>
      <w:r w:rsidR="003658DE" w:rsidRPr="00AB2A6D">
        <w:rPr>
          <w:spacing w:val="-2"/>
          <w:lang w:val="en-GB"/>
        </w:rPr>
        <w:t xml:space="preserve"> A review of the sector indicated that 60 per cent of the population, generally patients in the lower income group, sought the services of unqualified health care service providers. Studies that reviewed the health care service delivery system recommended enhancing the quality of care provided by the informal sector for the short term.</w:t>
      </w:r>
      <w:r w:rsidR="003658DE" w:rsidRPr="00AB2A6D">
        <w:rPr>
          <w:rFonts w:eastAsia="Calibri"/>
          <w:spacing w:val="-2"/>
          <w:vertAlign w:val="superscript"/>
          <w:lang w:val="en-GB"/>
        </w:rPr>
        <w:footnoteReference w:id="20"/>
      </w:r>
    </w:p>
    <w:p w14:paraId="0FAC5A20" w14:textId="77777777" w:rsidR="003658DE" w:rsidRPr="0034527B" w:rsidRDefault="003658DE" w:rsidP="00614FEB">
      <w:pPr>
        <w:pStyle w:val="BodyTextMain"/>
        <w:rPr>
          <w:lang w:val="en-GB"/>
        </w:rPr>
      </w:pPr>
    </w:p>
    <w:p w14:paraId="620A2AA8" w14:textId="44F30229" w:rsidR="003658DE" w:rsidRPr="0034527B" w:rsidRDefault="003658DE" w:rsidP="00614FEB">
      <w:pPr>
        <w:pStyle w:val="BodyTextMain"/>
        <w:rPr>
          <w:lang w:val="en-GB"/>
        </w:rPr>
      </w:pPr>
      <w:r w:rsidRPr="0034527B">
        <w:rPr>
          <w:lang w:val="en-GB"/>
        </w:rPr>
        <w:t>According to a BRAC official, “It is costly to have fully qualified medical practitioners and their availability is also limited. In the absence of qualified medical practitioners, the informal health care service providers fill a need-gap. The second reason for their existence is that at least some of them do have reasonable skill levels. These practitioners can attend to small ailments, but problems arise when they do not limit themselves to treating minor illnesses and also when complications arise.”</w:t>
      </w:r>
    </w:p>
    <w:p w14:paraId="3B134F3D" w14:textId="77777777" w:rsidR="003658DE" w:rsidRPr="0034527B" w:rsidRDefault="003658DE" w:rsidP="00614FEB">
      <w:pPr>
        <w:pStyle w:val="BodyTextMain"/>
        <w:rPr>
          <w:lang w:val="en-GB"/>
        </w:rPr>
      </w:pPr>
    </w:p>
    <w:p w14:paraId="6ED3B9B0" w14:textId="29110DA1" w:rsidR="003658DE" w:rsidRPr="0034527B" w:rsidRDefault="003658DE" w:rsidP="00614FEB">
      <w:pPr>
        <w:pStyle w:val="BodyTextMain"/>
        <w:rPr>
          <w:lang w:val="en-GB"/>
        </w:rPr>
      </w:pPr>
      <w:r w:rsidRPr="0034527B">
        <w:rPr>
          <w:lang w:val="en-GB"/>
        </w:rPr>
        <w:t>About 60 per cent of the population sought the services of unqualified health care services providers, and only a small percentage of people (13 per cent) used public health care services for treating illnesses.</w:t>
      </w:r>
      <w:r w:rsidRPr="0034527B">
        <w:rPr>
          <w:rFonts w:eastAsia="Calibri"/>
          <w:vertAlign w:val="superscript"/>
          <w:lang w:val="en-GB"/>
        </w:rPr>
        <w:footnoteReference w:id="21"/>
      </w:r>
      <w:r w:rsidRPr="0034527B">
        <w:rPr>
          <w:lang w:val="en-GB"/>
        </w:rPr>
        <w:t xml:space="preserve"> Different categories of health care providers existed (see Exhibit 7). However, one study indicated that there was an increasing preference among consumers for getting treatment from qualified doctors.</w:t>
      </w:r>
      <w:r w:rsidRPr="0034527B">
        <w:rPr>
          <w:rFonts w:eastAsia="Calibri"/>
          <w:vertAlign w:val="superscript"/>
          <w:lang w:val="en-GB"/>
        </w:rPr>
        <w:footnoteReference w:id="22"/>
      </w:r>
    </w:p>
    <w:p w14:paraId="4B878FAB" w14:textId="77777777" w:rsidR="003658DE" w:rsidRPr="0034527B" w:rsidRDefault="003658DE" w:rsidP="00614FEB">
      <w:pPr>
        <w:pStyle w:val="BodyTextMain"/>
        <w:rPr>
          <w:lang w:val="en-GB"/>
        </w:rPr>
      </w:pPr>
    </w:p>
    <w:p w14:paraId="2A9F8158" w14:textId="132B7013" w:rsidR="003658DE" w:rsidRPr="0034527B" w:rsidRDefault="003658DE" w:rsidP="00614FEB">
      <w:pPr>
        <w:pStyle w:val="BodyTextMain"/>
        <w:rPr>
          <w:lang w:val="en-GB"/>
        </w:rPr>
      </w:pPr>
      <w:r w:rsidRPr="0034527B">
        <w:rPr>
          <w:lang w:val="en-GB"/>
        </w:rPr>
        <w:t xml:space="preserve">The health care seeking behaviour of rural consumers was examined by a BRAC University study that conducted in-depth interviews with 17 mothers from two villages. The study indicated that an important reason for rural consumers seeking unqualified service providers like “village doctors” for minor illnesses was proximity (see Exhibit </w:t>
      </w:r>
      <w:r w:rsidR="00D509B5" w:rsidRPr="0034527B">
        <w:rPr>
          <w:lang w:val="en-GB"/>
        </w:rPr>
        <w:t>8</w:t>
      </w:r>
      <w:r w:rsidRPr="0034527B">
        <w:rPr>
          <w:lang w:val="en-GB"/>
        </w:rPr>
        <w:t>). In addition to village doctors, some consumers also visited faith healers, for prayers. In the case that the illness worsened, they then sought treatment from qualified physicians. Although these consumers recognized the superior treatment of the qualified physicians, they did not seek qualified physicians in the initial stage</w:t>
      </w:r>
      <w:r w:rsidR="00253B30">
        <w:rPr>
          <w:lang w:val="en-GB"/>
        </w:rPr>
        <w:t>s</w:t>
      </w:r>
      <w:r w:rsidRPr="0034527B">
        <w:rPr>
          <w:lang w:val="en-GB"/>
        </w:rPr>
        <w:t xml:space="preserve"> because of the expense, distance, and loss of the day’s wages or income. The poor villager also favoured local practitioners because they </w:t>
      </w:r>
      <w:r w:rsidR="00253B30">
        <w:rPr>
          <w:lang w:val="en-GB"/>
        </w:rPr>
        <w:t>did not always</w:t>
      </w:r>
      <w:r w:rsidRPr="0034527B">
        <w:rPr>
          <w:lang w:val="en-GB"/>
        </w:rPr>
        <w:t xml:space="preserve"> insist on immediate payment if the patient did not have money. In addition to cost and distance, approachability and familiarity also mattered. The perception of the villagers was that they received attention from the local practitioner. </w:t>
      </w:r>
      <w:r w:rsidRPr="0034527B">
        <w:rPr>
          <w:lang w:val="en-GB"/>
        </w:rPr>
        <w:lastRenderedPageBreak/>
        <w:t>They also found it easy to communicate with the local practitioner, in contrast to their experience with public health care service providers.</w:t>
      </w:r>
      <w:r w:rsidRPr="0034527B">
        <w:rPr>
          <w:rFonts w:eastAsia="Calibri"/>
          <w:vertAlign w:val="superscript"/>
          <w:lang w:val="en-GB"/>
        </w:rPr>
        <w:t xml:space="preserve"> </w:t>
      </w:r>
      <w:r w:rsidRPr="0034527B">
        <w:rPr>
          <w:rFonts w:eastAsia="Calibri"/>
          <w:vertAlign w:val="superscript"/>
          <w:lang w:val="en-GB"/>
        </w:rPr>
        <w:footnoteReference w:id="23"/>
      </w:r>
    </w:p>
    <w:p w14:paraId="4431C7DD" w14:textId="77777777" w:rsidR="003658DE" w:rsidRPr="0034527B" w:rsidRDefault="003658DE" w:rsidP="00614FEB">
      <w:pPr>
        <w:pStyle w:val="BodyTextMain"/>
        <w:rPr>
          <w:lang w:val="en-GB"/>
        </w:rPr>
      </w:pPr>
    </w:p>
    <w:p w14:paraId="44CD3A48" w14:textId="047753AF" w:rsidR="003658DE" w:rsidRPr="0034527B" w:rsidRDefault="003658DE" w:rsidP="00614FEB">
      <w:pPr>
        <w:pStyle w:val="BodyTextMain"/>
        <w:rPr>
          <w:lang w:val="en-GB"/>
        </w:rPr>
      </w:pPr>
      <w:r w:rsidRPr="0034527B">
        <w:rPr>
          <w:lang w:val="en-GB"/>
        </w:rPr>
        <w:t>A study on patients’ satisfaction with health care service providers and the factors influencing this indicated a higher rate of satisfaction with unqualified health care service providers. Satisfaction with the behaviour of unqualified practitioners was 90 per cent, compared to satisfaction with the behaviour of government health care service practitioners</w:t>
      </w:r>
      <w:r w:rsidR="00253B30">
        <w:rPr>
          <w:lang w:val="en-GB"/>
        </w:rPr>
        <w:t xml:space="preserve"> at</w:t>
      </w:r>
      <w:r w:rsidR="00253B30" w:rsidRPr="0034527B">
        <w:rPr>
          <w:lang w:val="en-GB"/>
        </w:rPr>
        <w:t xml:space="preserve"> 56 per cent</w:t>
      </w:r>
      <w:r w:rsidRPr="0034527B">
        <w:rPr>
          <w:lang w:val="en-GB"/>
        </w:rPr>
        <w:t>. Aspects that led to increased patient satisfaction included the explanation of the illness provided to the patient, availability of medicines, and reduced waiting time.</w:t>
      </w:r>
      <w:r w:rsidRPr="0034527B">
        <w:rPr>
          <w:rFonts w:eastAsia="Calibri"/>
          <w:vertAlign w:val="superscript"/>
          <w:lang w:val="en-GB"/>
        </w:rPr>
        <w:footnoteReference w:id="24"/>
      </w:r>
    </w:p>
    <w:p w14:paraId="1041C38F" w14:textId="77777777" w:rsidR="007039A5" w:rsidRPr="0034527B" w:rsidRDefault="007039A5" w:rsidP="00614FEB">
      <w:pPr>
        <w:pStyle w:val="BodyTextMain"/>
        <w:rPr>
          <w:lang w:val="en-GB"/>
        </w:rPr>
      </w:pPr>
    </w:p>
    <w:p w14:paraId="410F316F" w14:textId="635E9116" w:rsidR="006169F5" w:rsidRPr="00AB2A6D" w:rsidRDefault="00614FEB" w:rsidP="006169F5">
      <w:pPr>
        <w:pStyle w:val="BodyTextMain"/>
        <w:rPr>
          <w:spacing w:val="-2"/>
          <w:lang w:val="en-GB"/>
        </w:rPr>
      </w:pPr>
      <w:r w:rsidRPr="00AB2A6D">
        <w:rPr>
          <w:spacing w:val="-2"/>
          <w:lang w:val="en-GB"/>
        </w:rPr>
        <w:t>According to a BRAC official</w:t>
      </w:r>
      <w:r w:rsidR="009572EF" w:rsidRPr="00AB2A6D">
        <w:rPr>
          <w:spacing w:val="-2"/>
          <w:lang w:val="en-GB"/>
        </w:rPr>
        <w:t>,</w:t>
      </w:r>
      <w:r w:rsidRPr="00AB2A6D">
        <w:rPr>
          <w:spacing w:val="-2"/>
          <w:lang w:val="en-GB"/>
        </w:rPr>
        <w:t xml:space="preserve"> education and awareness among rural women was increasing</w:t>
      </w:r>
      <w:r w:rsidR="009572EF" w:rsidRPr="00AB2A6D">
        <w:rPr>
          <w:spacing w:val="-2"/>
          <w:lang w:val="en-GB"/>
        </w:rPr>
        <w:t>,</w:t>
      </w:r>
      <w:r w:rsidRPr="00AB2A6D">
        <w:rPr>
          <w:spacing w:val="-2"/>
          <w:lang w:val="en-GB"/>
        </w:rPr>
        <w:t xml:space="preserve"> </w:t>
      </w:r>
      <w:r w:rsidR="00AB2A6D" w:rsidRPr="00AB2A6D">
        <w:rPr>
          <w:spacing w:val="-2"/>
          <w:lang w:val="en-GB"/>
        </w:rPr>
        <w:t>which</w:t>
      </w:r>
      <w:r w:rsidRPr="00AB2A6D">
        <w:rPr>
          <w:spacing w:val="-2"/>
          <w:lang w:val="en-GB"/>
        </w:rPr>
        <w:t xml:space="preserve"> created demand for formal allopathic medical practitioners. BRAC had noted this trend and was </w:t>
      </w:r>
      <w:r w:rsidR="006223EB" w:rsidRPr="00AB2A6D">
        <w:rPr>
          <w:spacing w:val="-2"/>
          <w:lang w:val="en-GB"/>
        </w:rPr>
        <w:t>unsure</w:t>
      </w:r>
      <w:r w:rsidRPr="00AB2A6D">
        <w:rPr>
          <w:spacing w:val="-2"/>
          <w:lang w:val="en-GB"/>
        </w:rPr>
        <w:t xml:space="preserve"> </w:t>
      </w:r>
      <w:r w:rsidR="006223EB" w:rsidRPr="00AB2A6D">
        <w:rPr>
          <w:spacing w:val="-2"/>
          <w:lang w:val="en-GB"/>
        </w:rPr>
        <w:t>about</w:t>
      </w:r>
      <w:r w:rsidRPr="00AB2A6D">
        <w:rPr>
          <w:spacing w:val="-2"/>
          <w:lang w:val="en-GB"/>
        </w:rPr>
        <w:t xml:space="preserve"> investing the effort </w:t>
      </w:r>
      <w:r w:rsidR="006223EB" w:rsidRPr="00AB2A6D">
        <w:rPr>
          <w:spacing w:val="-2"/>
          <w:lang w:val="en-GB"/>
        </w:rPr>
        <w:t>in</w:t>
      </w:r>
      <w:r w:rsidRPr="00AB2A6D">
        <w:rPr>
          <w:spacing w:val="-2"/>
          <w:lang w:val="en-GB"/>
        </w:rPr>
        <w:t xml:space="preserve"> develop</w:t>
      </w:r>
      <w:r w:rsidR="006223EB" w:rsidRPr="00AB2A6D">
        <w:rPr>
          <w:spacing w:val="-2"/>
          <w:lang w:val="en-GB"/>
        </w:rPr>
        <w:t>ing</w:t>
      </w:r>
      <w:r w:rsidRPr="00AB2A6D">
        <w:rPr>
          <w:spacing w:val="-2"/>
          <w:lang w:val="en-GB"/>
        </w:rPr>
        <w:t xml:space="preserve"> informal service providers</w:t>
      </w:r>
      <w:r w:rsidR="00A17687" w:rsidRPr="00AB2A6D">
        <w:rPr>
          <w:spacing w:val="-2"/>
          <w:lang w:val="en-GB"/>
        </w:rPr>
        <w:t>,</w:t>
      </w:r>
      <w:r w:rsidRPr="00AB2A6D">
        <w:rPr>
          <w:spacing w:val="-2"/>
          <w:lang w:val="en-GB"/>
        </w:rPr>
        <w:t xml:space="preserve"> even for short-term use.</w:t>
      </w:r>
      <w:r w:rsidR="006169F5" w:rsidRPr="00AB2A6D">
        <w:rPr>
          <w:spacing w:val="-2"/>
          <w:lang w:val="en-GB"/>
        </w:rPr>
        <w:t xml:space="preserve"> Also, the income earned by some of these informal providers w</w:t>
      </w:r>
      <w:r w:rsidR="00253B30" w:rsidRPr="00AB2A6D">
        <w:rPr>
          <w:spacing w:val="-2"/>
          <w:lang w:val="en-GB"/>
        </w:rPr>
        <w:t>as</w:t>
      </w:r>
      <w:r w:rsidR="006169F5" w:rsidRPr="00AB2A6D">
        <w:rPr>
          <w:spacing w:val="-2"/>
          <w:lang w:val="en-GB"/>
        </w:rPr>
        <w:t xml:space="preserve"> much </w:t>
      </w:r>
      <w:r w:rsidR="00253B30" w:rsidRPr="00AB2A6D">
        <w:rPr>
          <w:spacing w:val="-2"/>
          <w:lang w:val="en-GB"/>
        </w:rPr>
        <w:t>higher</w:t>
      </w:r>
      <w:r w:rsidR="006169F5" w:rsidRPr="00AB2A6D">
        <w:rPr>
          <w:spacing w:val="-2"/>
          <w:lang w:val="en-GB"/>
        </w:rPr>
        <w:t xml:space="preserve"> than the earnings of Shasthya Shebikas. </w:t>
      </w:r>
      <w:r w:rsidR="00A17687" w:rsidRPr="00AB2A6D">
        <w:rPr>
          <w:spacing w:val="-2"/>
          <w:lang w:val="en-GB"/>
        </w:rPr>
        <w:t>Therefore, s</w:t>
      </w:r>
      <w:r w:rsidR="006169F5" w:rsidRPr="00AB2A6D">
        <w:rPr>
          <w:spacing w:val="-2"/>
          <w:lang w:val="en-GB"/>
        </w:rPr>
        <w:t xml:space="preserve">ome of the informal heath care service providers </w:t>
      </w:r>
      <w:r w:rsidR="00A17687" w:rsidRPr="00AB2A6D">
        <w:rPr>
          <w:spacing w:val="-2"/>
          <w:lang w:val="en-GB"/>
        </w:rPr>
        <w:t>would</w:t>
      </w:r>
      <w:r w:rsidR="006169F5" w:rsidRPr="00AB2A6D">
        <w:rPr>
          <w:spacing w:val="-2"/>
          <w:lang w:val="en-GB"/>
        </w:rPr>
        <w:t xml:space="preserve"> not be a viable option for BRAC. Information on the income earned by other types of health service providers was also available (see Exhibit </w:t>
      </w:r>
      <w:r w:rsidR="00D509B5" w:rsidRPr="00AB2A6D">
        <w:rPr>
          <w:spacing w:val="-2"/>
          <w:lang w:val="en-GB"/>
        </w:rPr>
        <w:t>9</w:t>
      </w:r>
      <w:r w:rsidR="006169F5" w:rsidRPr="00AB2A6D">
        <w:rPr>
          <w:spacing w:val="-2"/>
          <w:lang w:val="en-GB"/>
        </w:rPr>
        <w:t>).</w:t>
      </w:r>
    </w:p>
    <w:p w14:paraId="45F811E7" w14:textId="274EFA40" w:rsidR="00614FEB" w:rsidRPr="0034527B" w:rsidRDefault="00614FEB" w:rsidP="00614FEB">
      <w:pPr>
        <w:pStyle w:val="BodyTextMain"/>
        <w:rPr>
          <w:lang w:val="en-GB"/>
        </w:rPr>
      </w:pPr>
    </w:p>
    <w:p w14:paraId="02F50155" w14:textId="77777777" w:rsidR="004B28C6" w:rsidRPr="0034527B" w:rsidRDefault="004B28C6" w:rsidP="00614FEB">
      <w:pPr>
        <w:pStyle w:val="BodyTextMain"/>
        <w:rPr>
          <w:lang w:val="en-GB"/>
        </w:rPr>
      </w:pPr>
    </w:p>
    <w:p w14:paraId="2D4BC2AC" w14:textId="77777777" w:rsidR="00614FEB" w:rsidRPr="0034527B" w:rsidRDefault="00614FEB" w:rsidP="00C13EDD">
      <w:pPr>
        <w:pStyle w:val="Casehead1"/>
        <w:keepNext/>
        <w:rPr>
          <w:lang w:val="en-GB"/>
        </w:rPr>
      </w:pPr>
      <w:r w:rsidRPr="0034527B">
        <w:rPr>
          <w:lang w:val="en-GB"/>
        </w:rPr>
        <w:t>Issues</w:t>
      </w:r>
    </w:p>
    <w:p w14:paraId="4E780425" w14:textId="77777777" w:rsidR="007039A5" w:rsidRPr="0034527B" w:rsidRDefault="007039A5" w:rsidP="00C13EDD">
      <w:pPr>
        <w:pStyle w:val="BodyTextMain"/>
        <w:keepNext/>
        <w:rPr>
          <w:lang w:val="en-GB"/>
        </w:rPr>
      </w:pPr>
    </w:p>
    <w:p w14:paraId="6D43DA1A" w14:textId="743ADF35" w:rsidR="00614FEB" w:rsidRPr="0034527B" w:rsidRDefault="00614FEB" w:rsidP="00C13EDD">
      <w:pPr>
        <w:pStyle w:val="BodyTextMain"/>
        <w:keepNext/>
        <w:rPr>
          <w:lang w:val="en-GB"/>
        </w:rPr>
      </w:pPr>
      <w:r w:rsidRPr="0034527B">
        <w:rPr>
          <w:lang w:val="en-GB"/>
        </w:rPr>
        <w:t xml:space="preserve">The manager </w:t>
      </w:r>
      <w:r w:rsidR="0049141C" w:rsidRPr="0034527B">
        <w:rPr>
          <w:lang w:val="en-GB"/>
        </w:rPr>
        <w:t>of BRAC’s</w:t>
      </w:r>
      <w:r w:rsidRPr="0034527B">
        <w:rPr>
          <w:lang w:val="en-GB"/>
        </w:rPr>
        <w:t xml:space="preserve"> Health, Nutrition and Population program indicated a need to revisit the community health worker model to further enhance the quality of service and to make it sustainable. This </w:t>
      </w:r>
      <w:r w:rsidR="00525B72" w:rsidRPr="0034527B">
        <w:rPr>
          <w:lang w:val="en-GB"/>
        </w:rPr>
        <w:t>would involve</w:t>
      </w:r>
      <w:r w:rsidRPr="0034527B">
        <w:rPr>
          <w:lang w:val="en-GB"/>
        </w:rPr>
        <w:t xml:space="preserve"> creating a spirit of entrepreneurship among Shasthya Shebikas</w:t>
      </w:r>
      <w:r w:rsidR="00525B72" w:rsidRPr="0034527B">
        <w:rPr>
          <w:lang w:val="en-GB"/>
        </w:rPr>
        <w:t>, which,</w:t>
      </w:r>
      <w:r w:rsidRPr="0034527B">
        <w:rPr>
          <w:lang w:val="en-GB"/>
        </w:rPr>
        <w:t xml:space="preserve"> </w:t>
      </w:r>
      <w:r w:rsidR="00525B72" w:rsidRPr="0034527B">
        <w:rPr>
          <w:lang w:val="en-GB"/>
        </w:rPr>
        <w:t>a</w:t>
      </w:r>
      <w:r w:rsidRPr="0034527B">
        <w:rPr>
          <w:lang w:val="en-GB"/>
        </w:rPr>
        <w:t xml:space="preserve">ccording to the manager, required improving the competency of the community health workers, </w:t>
      </w:r>
      <w:r w:rsidR="00525B72" w:rsidRPr="0034527B">
        <w:rPr>
          <w:lang w:val="en-GB"/>
        </w:rPr>
        <w:t xml:space="preserve">and </w:t>
      </w:r>
      <w:r w:rsidRPr="0034527B">
        <w:rPr>
          <w:lang w:val="en-GB"/>
        </w:rPr>
        <w:t xml:space="preserve">increasing their income and motivation by exploring opportunities to enhance the basket of product and services offered by them. This </w:t>
      </w:r>
      <w:r w:rsidR="00525B72" w:rsidRPr="0034527B">
        <w:rPr>
          <w:lang w:val="en-GB"/>
        </w:rPr>
        <w:t>would</w:t>
      </w:r>
      <w:r w:rsidRPr="0034527B">
        <w:rPr>
          <w:lang w:val="en-GB"/>
        </w:rPr>
        <w:t xml:space="preserve"> require training and increasing the</w:t>
      </w:r>
      <w:r w:rsidR="00525B72" w:rsidRPr="0034527B">
        <w:rPr>
          <w:lang w:val="en-GB"/>
        </w:rPr>
        <w:t xml:space="preserve"> women’s</w:t>
      </w:r>
      <w:r w:rsidRPr="0034527B">
        <w:rPr>
          <w:lang w:val="en-GB"/>
        </w:rPr>
        <w:t xml:space="preserve"> access to funds.</w:t>
      </w:r>
    </w:p>
    <w:p w14:paraId="5F130F67" w14:textId="77777777" w:rsidR="007039A5" w:rsidRPr="0034527B" w:rsidRDefault="007039A5" w:rsidP="00614FEB">
      <w:pPr>
        <w:pStyle w:val="BodyTextMain"/>
        <w:rPr>
          <w:lang w:val="en-GB"/>
        </w:rPr>
      </w:pPr>
    </w:p>
    <w:p w14:paraId="44F1FE14" w14:textId="59960DD2" w:rsidR="00DA5D63" w:rsidRPr="0034527B" w:rsidRDefault="00614FEB" w:rsidP="00614FEB">
      <w:pPr>
        <w:pStyle w:val="BodyTextMain"/>
        <w:rPr>
          <w:lang w:val="en-GB"/>
        </w:rPr>
      </w:pPr>
      <w:r w:rsidRPr="0034527B">
        <w:rPr>
          <w:lang w:val="en-GB"/>
        </w:rPr>
        <w:t>The</w:t>
      </w:r>
      <w:r w:rsidR="00525B72" w:rsidRPr="0034527B">
        <w:rPr>
          <w:lang w:val="en-GB"/>
        </w:rPr>
        <w:t xml:space="preserve"> program</w:t>
      </w:r>
      <w:r w:rsidRPr="0034527B">
        <w:rPr>
          <w:lang w:val="en-GB"/>
        </w:rPr>
        <w:t xml:space="preserve"> manager faced the challenge of increasing incentives </w:t>
      </w:r>
      <w:r w:rsidR="00525B72" w:rsidRPr="0034527B">
        <w:rPr>
          <w:lang w:val="en-GB"/>
        </w:rPr>
        <w:t>for</w:t>
      </w:r>
      <w:r w:rsidRPr="0034527B">
        <w:rPr>
          <w:lang w:val="en-GB"/>
        </w:rPr>
        <w:t xml:space="preserve"> the Shasthya Shebikas</w:t>
      </w:r>
      <w:r w:rsidR="00525B72" w:rsidRPr="0034527B">
        <w:rPr>
          <w:lang w:val="en-GB"/>
        </w:rPr>
        <w:t xml:space="preserve"> </w:t>
      </w:r>
      <w:r w:rsidRPr="0034527B">
        <w:rPr>
          <w:lang w:val="en-GB"/>
        </w:rPr>
        <w:t xml:space="preserve">to reduce turnover. </w:t>
      </w:r>
      <w:r w:rsidR="00A17687">
        <w:rPr>
          <w:lang w:val="en-GB"/>
        </w:rPr>
        <w:t>Toward</w:t>
      </w:r>
      <w:r w:rsidR="00525B72" w:rsidRPr="0034527B">
        <w:rPr>
          <w:lang w:val="en-GB"/>
        </w:rPr>
        <w:t xml:space="preserve"> this</w:t>
      </w:r>
      <w:r w:rsidR="00A17687">
        <w:rPr>
          <w:lang w:val="en-GB"/>
        </w:rPr>
        <w:t xml:space="preserve"> goal</w:t>
      </w:r>
      <w:r w:rsidR="00525B72" w:rsidRPr="0034527B">
        <w:rPr>
          <w:lang w:val="en-GB"/>
        </w:rPr>
        <w:t xml:space="preserve">, </w:t>
      </w:r>
      <w:r w:rsidR="00A17687">
        <w:rPr>
          <w:lang w:val="en-GB"/>
        </w:rPr>
        <w:t xml:space="preserve">the program manager could consider </w:t>
      </w:r>
      <w:r w:rsidRPr="0034527B">
        <w:rPr>
          <w:lang w:val="en-GB"/>
        </w:rPr>
        <w:t xml:space="preserve">the </w:t>
      </w:r>
      <w:r w:rsidR="00525B72" w:rsidRPr="0034527B">
        <w:rPr>
          <w:lang w:val="en-GB"/>
        </w:rPr>
        <w:t>possibility</w:t>
      </w:r>
      <w:r w:rsidRPr="0034527B">
        <w:rPr>
          <w:lang w:val="en-GB"/>
        </w:rPr>
        <w:t xml:space="preserve"> of </w:t>
      </w:r>
      <w:r w:rsidR="004A1994" w:rsidRPr="0034527B">
        <w:rPr>
          <w:lang w:val="en-GB"/>
        </w:rPr>
        <w:t xml:space="preserve">identifying </w:t>
      </w:r>
      <w:r w:rsidR="00525B72" w:rsidRPr="0034527B">
        <w:rPr>
          <w:lang w:val="en-GB"/>
        </w:rPr>
        <w:t xml:space="preserve">the </w:t>
      </w:r>
      <w:r w:rsidRPr="0034527B">
        <w:rPr>
          <w:lang w:val="en-GB"/>
        </w:rPr>
        <w:t>optimum territory size</w:t>
      </w:r>
      <w:r w:rsidR="00525B72" w:rsidRPr="0034527B">
        <w:rPr>
          <w:lang w:val="en-GB"/>
        </w:rPr>
        <w:t xml:space="preserve"> for </w:t>
      </w:r>
      <w:r w:rsidR="00DA5D63" w:rsidRPr="0034527B">
        <w:rPr>
          <w:lang w:val="en-GB"/>
        </w:rPr>
        <w:t xml:space="preserve">the </w:t>
      </w:r>
      <w:r w:rsidR="00525B72" w:rsidRPr="0034527B">
        <w:rPr>
          <w:lang w:val="en-GB"/>
        </w:rPr>
        <w:t>Shasthya Shebikas,</w:t>
      </w:r>
      <w:r w:rsidRPr="0034527B">
        <w:rPr>
          <w:lang w:val="en-GB"/>
        </w:rPr>
        <w:t xml:space="preserve"> and encouraging the</w:t>
      </w:r>
      <w:r w:rsidR="00525B72" w:rsidRPr="0034527B">
        <w:rPr>
          <w:lang w:val="en-GB"/>
        </w:rPr>
        <w:t>m</w:t>
      </w:r>
      <w:r w:rsidRPr="0034527B">
        <w:rPr>
          <w:lang w:val="en-GB"/>
        </w:rPr>
        <w:t xml:space="preserve"> to take</w:t>
      </w:r>
      <w:r w:rsidR="00525B72" w:rsidRPr="0034527B">
        <w:rPr>
          <w:lang w:val="en-GB"/>
        </w:rPr>
        <w:t xml:space="preserve"> </w:t>
      </w:r>
      <w:r w:rsidRPr="0034527B">
        <w:rPr>
          <w:lang w:val="en-GB"/>
        </w:rPr>
        <w:t>up related services or products outside of BRAC’s offering</w:t>
      </w:r>
      <w:r w:rsidR="00A17687">
        <w:rPr>
          <w:lang w:val="en-GB"/>
        </w:rPr>
        <w:t xml:space="preserve">, </w:t>
      </w:r>
      <w:r w:rsidR="00A17687" w:rsidRPr="0034527B">
        <w:rPr>
          <w:lang w:val="en-GB"/>
        </w:rPr>
        <w:t>in addition to the option of increasing the service and product mix</w:t>
      </w:r>
      <w:r w:rsidRPr="0034527B">
        <w:rPr>
          <w:lang w:val="en-GB"/>
        </w:rPr>
        <w:t xml:space="preserve">. </w:t>
      </w:r>
      <w:r w:rsidR="00002FE2" w:rsidRPr="0034527B">
        <w:rPr>
          <w:lang w:val="en-GB"/>
        </w:rPr>
        <w:t>It was important, however, that t</w:t>
      </w:r>
      <w:r w:rsidRPr="0034527B">
        <w:rPr>
          <w:lang w:val="en-GB"/>
        </w:rPr>
        <w:t xml:space="preserve">he efforts to increase the income </w:t>
      </w:r>
      <w:r w:rsidR="009B1F6E" w:rsidRPr="0034527B">
        <w:rPr>
          <w:lang w:val="en-GB"/>
        </w:rPr>
        <w:t>of</w:t>
      </w:r>
      <w:r w:rsidRPr="0034527B">
        <w:rPr>
          <w:lang w:val="en-GB"/>
        </w:rPr>
        <w:t xml:space="preserve"> Shasthya Shebikas not take the focus away from BRAC</w:t>
      </w:r>
      <w:r w:rsidR="009B1F6E" w:rsidRPr="0034527B">
        <w:rPr>
          <w:lang w:val="en-GB"/>
        </w:rPr>
        <w:t>’s</w:t>
      </w:r>
      <w:r w:rsidRPr="0034527B">
        <w:rPr>
          <w:lang w:val="en-GB"/>
        </w:rPr>
        <w:t xml:space="preserve"> objective of </w:t>
      </w:r>
      <w:r w:rsidR="009B1F6E" w:rsidRPr="0034527B">
        <w:rPr>
          <w:lang w:val="en-GB"/>
        </w:rPr>
        <w:t xml:space="preserve">providing </w:t>
      </w:r>
      <w:r w:rsidRPr="0034527B">
        <w:rPr>
          <w:lang w:val="en-GB"/>
        </w:rPr>
        <w:t>health</w:t>
      </w:r>
      <w:r w:rsidR="009B1F6E" w:rsidRPr="0034527B">
        <w:rPr>
          <w:lang w:val="en-GB"/>
        </w:rPr>
        <w:t xml:space="preserve"> </w:t>
      </w:r>
      <w:r w:rsidRPr="0034527B">
        <w:rPr>
          <w:lang w:val="en-GB"/>
        </w:rPr>
        <w:t>care service. It was possible that</w:t>
      </w:r>
      <w:r w:rsidR="00002FE2" w:rsidRPr="0034527B">
        <w:rPr>
          <w:lang w:val="en-GB"/>
        </w:rPr>
        <w:t>,</w:t>
      </w:r>
      <w:r w:rsidRPr="0034527B">
        <w:rPr>
          <w:lang w:val="en-GB"/>
        </w:rPr>
        <w:t xml:space="preserve"> in </w:t>
      </w:r>
      <w:r w:rsidR="009B1F6E" w:rsidRPr="0034527B">
        <w:rPr>
          <w:lang w:val="en-GB"/>
        </w:rPr>
        <w:t>an</w:t>
      </w:r>
      <w:r w:rsidRPr="0034527B">
        <w:rPr>
          <w:lang w:val="en-GB"/>
        </w:rPr>
        <w:t xml:space="preserve"> effort to increase their income, the Shasthya Shebikas </w:t>
      </w:r>
      <w:r w:rsidR="009F7DBE" w:rsidRPr="0034527B">
        <w:rPr>
          <w:lang w:val="en-GB"/>
        </w:rPr>
        <w:t>could</w:t>
      </w:r>
      <w:r w:rsidRPr="0034527B">
        <w:rPr>
          <w:lang w:val="en-GB"/>
        </w:rPr>
        <w:t xml:space="preserve"> shift their efforts </w:t>
      </w:r>
      <w:r w:rsidR="00002FE2" w:rsidRPr="0034527B">
        <w:rPr>
          <w:lang w:val="en-GB"/>
        </w:rPr>
        <w:t xml:space="preserve">from </w:t>
      </w:r>
      <w:r w:rsidRPr="0034527B">
        <w:rPr>
          <w:lang w:val="en-GB"/>
        </w:rPr>
        <w:t xml:space="preserve">providing service </w:t>
      </w:r>
      <w:r w:rsidR="00002FE2" w:rsidRPr="0034527B">
        <w:rPr>
          <w:lang w:val="en-GB"/>
        </w:rPr>
        <w:t>to selling products—</w:t>
      </w:r>
      <w:r w:rsidRPr="0034527B">
        <w:rPr>
          <w:lang w:val="en-GB"/>
        </w:rPr>
        <w:t xml:space="preserve">and even push products not needed by their clients. </w:t>
      </w:r>
      <w:r w:rsidR="00D73E0C" w:rsidRPr="0034527B">
        <w:rPr>
          <w:lang w:val="en-GB"/>
        </w:rPr>
        <w:t>T</w:t>
      </w:r>
      <w:r w:rsidRPr="0034527B">
        <w:rPr>
          <w:lang w:val="en-GB"/>
        </w:rPr>
        <w:t>he Shasthya Shebikas had a different view on the issue</w:t>
      </w:r>
      <w:r w:rsidR="009B1F6E" w:rsidRPr="0034527B">
        <w:rPr>
          <w:lang w:val="en-GB"/>
        </w:rPr>
        <w:t>;</w:t>
      </w:r>
      <w:r w:rsidRPr="0034527B">
        <w:rPr>
          <w:lang w:val="en-GB"/>
        </w:rPr>
        <w:t xml:space="preserve"> </w:t>
      </w:r>
      <w:r w:rsidR="009B1F6E" w:rsidRPr="0034527B">
        <w:rPr>
          <w:lang w:val="en-GB"/>
        </w:rPr>
        <w:t>m</w:t>
      </w:r>
      <w:r w:rsidRPr="0034527B">
        <w:rPr>
          <w:lang w:val="en-GB"/>
        </w:rPr>
        <w:t>ost of the</w:t>
      </w:r>
      <w:r w:rsidR="009B1F6E" w:rsidRPr="0034527B">
        <w:rPr>
          <w:lang w:val="en-GB"/>
        </w:rPr>
        <w:t>m believed</w:t>
      </w:r>
      <w:r w:rsidRPr="0034527B">
        <w:rPr>
          <w:lang w:val="en-GB"/>
        </w:rPr>
        <w:t xml:space="preserve"> that providing health</w:t>
      </w:r>
      <w:r w:rsidR="009B1F6E" w:rsidRPr="0034527B">
        <w:rPr>
          <w:lang w:val="en-GB"/>
        </w:rPr>
        <w:t xml:space="preserve"> </w:t>
      </w:r>
      <w:r w:rsidRPr="0034527B">
        <w:rPr>
          <w:lang w:val="en-GB"/>
        </w:rPr>
        <w:t>care service and offering health</w:t>
      </w:r>
      <w:r w:rsidR="009B1F6E" w:rsidRPr="0034527B">
        <w:rPr>
          <w:lang w:val="en-GB"/>
        </w:rPr>
        <w:t>-related</w:t>
      </w:r>
      <w:r w:rsidRPr="0034527B">
        <w:rPr>
          <w:lang w:val="en-GB"/>
        </w:rPr>
        <w:t xml:space="preserve"> advice helped them </w:t>
      </w:r>
      <w:r w:rsidR="009B1F6E" w:rsidRPr="0034527B">
        <w:rPr>
          <w:lang w:val="en-GB"/>
        </w:rPr>
        <w:t>to</w:t>
      </w:r>
      <w:r w:rsidRPr="0034527B">
        <w:rPr>
          <w:lang w:val="en-GB"/>
        </w:rPr>
        <w:t xml:space="preserve"> sell their products. </w:t>
      </w:r>
    </w:p>
    <w:p w14:paraId="14617993" w14:textId="77777777" w:rsidR="00DA5D63" w:rsidRPr="0034527B" w:rsidRDefault="00DA5D63" w:rsidP="00614FEB">
      <w:pPr>
        <w:pStyle w:val="BodyTextMain"/>
        <w:rPr>
          <w:lang w:val="en-GB"/>
        </w:rPr>
      </w:pPr>
    </w:p>
    <w:p w14:paraId="14555B5C" w14:textId="6229D3DD" w:rsidR="00175C15" w:rsidRPr="0034527B" w:rsidRDefault="009B1F6E" w:rsidP="00ED5236">
      <w:pPr>
        <w:pStyle w:val="BodyTextMain"/>
        <w:rPr>
          <w:rFonts w:ascii="Arial" w:eastAsia="Calibri" w:hAnsi="Arial" w:cs="Arial"/>
          <w:b/>
          <w:caps/>
          <w:lang w:val="en-GB"/>
        </w:rPr>
      </w:pPr>
      <w:r w:rsidRPr="0034527B">
        <w:rPr>
          <w:lang w:val="en-GB"/>
        </w:rPr>
        <w:t xml:space="preserve">Another option </w:t>
      </w:r>
      <w:r w:rsidR="00A17687">
        <w:rPr>
          <w:lang w:val="en-GB"/>
        </w:rPr>
        <w:t>available to</w:t>
      </w:r>
      <w:r w:rsidRPr="0034527B">
        <w:rPr>
          <w:lang w:val="en-GB"/>
        </w:rPr>
        <w:t xml:space="preserve"> BRAC was including local, unqualified health care service providers to complement the work of the Shasthya Shebikas. </w:t>
      </w:r>
      <w:r w:rsidR="00A17687">
        <w:rPr>
          <w:lang w:val="en-GB"/>
        </w:rPr>
        <w:t>S</w:t>
      </w:r>
      <w:r w:rsidR="00A17687" w:rsidRPr="0034527B">
        <w:rPr>
          <w:lang w:val="en-GB"/>
        </w:rPr>
        <w:t>ome studies suggested exploring ways to use</w:t>
      </w:r>
      <w:r w:rsidR="00614FEB" w:rsidRPr="0034527B">
        <w:rPr>
          <w:lang w:val="en-GB"/>
        </w:rPr>
        <w:t xml:space="preserve"> </w:t>
      </w:r>
      <w:r w:rsidRPr="0034527B">
        <w:rPr>
          <w:lang w:val="en-GB"/>
        </w:rPr>
        <w:t>these</w:t>
      </w:r>
      <w:r w:rsidR="00614FEB" w:rsidRPr="0034527B">
        <w:rPr>
          <w:lang w:val="en-GB"/>
        </w:rPr>
        <w:t xml:space="preserve"> unqualified health</w:t>
      </w:r>
      <w:r w:rsidRPr="0034527B">
        <w:rPr>
          <w:lang w:val="en-GB"/>
        </w:rPr>
        <w:t xml:space="preserve"> </w:t>
      </w:r>
      <w:r w:rsidR="00614FEB" w:rsidRPr="0034527B">
        <w:rPr>
          <w:lang w:val="en-GB"/>
        </w:rPr>
        <w:t>care service providers</w:t>
      </w:r>
      <w:r w:rsidR="00A17687">
        <w:rPr>
          <w:lang w:val="en-GB"/>
        </w:rPr>
        <w:t xml:space="preserve"> that were popular among the poor</w:t>
      </w:r>
      <w:r w:rsidR="00614FEB" w:rsidRPr="0034527B">
        <w:rPr>
          <w:lang w:val="en-GB"/>
        </w:rPr>
        <w:t xml:space="preserve">, </w:t>
      </w:r>
      <w:r w:rsidR="00002FE2" w:rsidRPr="0034527B">
        <w:rPr>
          <w:lang w:val="en-GB"/>
        </w:rPr>
        <w:t>but this involved</w:t>
      </w:r>
      <w:r w:rsidR="00614FEB" w:rsidRPr="0034527B">
        <w:rPr>
          <w:lang w:val="en-GB"/>
        </w:rPr>
        <w:t xml:space="preserve"> improving the quality of the health</w:t>
      </w:r>
      <w:r w:rsidRPr="0034527B">
        <w:rPr>
          <w:lang w:val="en-GB"/>
        </w:rPr>
        <w:t xml:space="preserve"> </w:t>
      </w:r>
      <w:r w:rsidR="00614FEB" w:rsidRPr="0034527B">
        <w:rPr>
          <w:lang w:val="en-GB"/>
        </w:rPr>
        <w:t xml:space="preserve">care service </w:t>
      </w:r>
      <w:r w:rsidR="00002FE2" w:rsidRPr="0034527B">
        <w:rPr>
          <w:lang w:val="en-GB"/>
        </w:rPr>
        <w:t xml:space="preserve">they </w:t>
      </w:r>
      <w:r w:rsidR="00614FEB" w:rsidRPr="0034527B">
        <w:rPr>
          <w:lang w:val="en-GB"/>
        </w:rPr>
        <w:t>offered. I</w:t>
      </w:r>
      <w:r w:rsidR="00A17687">
        <w:rPr>
          <w:lang w:val="en-GB"/>
        </w:rPr>
        <w:t>f</w:t>
      </w:r>
      <w:r w:rsidRPr="0034527B">
        <w:rPr>
          <w:lang w:val="en-GB"/>
        </w:rPr>
        <w:t xml:space="preserve"> </w:t>
      </w:r>
      <w:r w:rsidR="00614FEB" w:rsidRPr="0034527B">
        <w:rPr>
          <w:lang w:val="en-GB"/>
        </w:rPr>
        <w:t>BRAC decided to use the services</w:t>
      </w:r>
      <w:r w:rsidR="00DA5D63" w:rsidRPr="0034527B">
        <w:rPr>
          <w:lang w:val="en-GB"/>
        </w:rPr>
        <w:t xml:space="preserve"> of local, unqualified health care service providers</w:t>
      </w:r>
      <w:r w:rsidRPr="0034527B">
        <w:rPr>
          <w:lang w:val="en-GB"/>
        </w:rPr>
        <w:t>,</w:t>
      </w:r>
      <w:r w:rsidR="00614FEB" w:rsidRPr="0034527B">
        <w:rPr>
          <w:lang w:val="en-GB"/>
        </w:rPr>
        <w:t xml:space="preserve"> </w:t>
      </w:r>
      <w:r w:rsidR="00002FE2" w:rsidRPr="0034527B">
        <w:rPr>
          <w:lang w:val="en-GB"/>
        </w:rPr>
        <w:t xml:space="preserve">it would have to </w:t>
      </w:r>
      <w:r w:rsidR="00324DAE" w:rsidRPr="0034527B">
        <w:rPr>
          <w:lang w:val="en-GB"/>
        </w:rPr>
        <w:t>identify acceptable service providers and determine the cost of using their services. BR</w:t>
      </w:r>
      <w:r w:rsidR="0057767F" w:rsidRPr="0034527B">
        <w:rPr>
          <w:lang w:val="en-GB"/>
        </w:rPr>
        <w:t>AC would also need to determine when to use unqualified health care service providers instead of Shasthya Shebikas.</w:t>
      </w:r>
      <w:r w:rsidR="00175C15" w:rsidRPr="0034527B">
        <w:rPr>
          <w:rFonts w:eastAsia="Calibri"/>
          <w:lang w:val="en-GB"/>
        </w:rPr>
        <w:br w:type="page"/>
      </w:r>
    </w:p>
    <w:p w14:paraId="299E9066" w14:textId="527B5974" w:rsidR="001010E5" w:rsidRPr="0034527B" w:rsidRDefault="001010E5" w:rsidP="001010E5">
      <w:pPr>
        <w:pStyle w:val="ExhibitHeading"/>
        <w:rPr>
          <w:rFonts w:eastAsia="Calibri"/>
          <w:lang w:val="en-GB"/>
        </w:rPr>
      </w:pPr>
      <w:r w:rsidRPr="0034527B">
        <w:rPr>
          <w:rFonts w:eastAsia="Calibri"/>
          <w:lang w:val="en-GB"/>
        </w:rPr>
        <w:lastRenderedPageBreak/>
        <w:t>Exhibit 1: Bangladesh Population, Geography, and Income levels</w:t>
      </w:r>
      <w:r w:rsidR="00127E19" w:rsidRPr="0034527B">
        <w:rPr>
          <w:rFonts w:eastAsia="Calibri"/>
          <w:lang w:val="en-GB"/>
        </w:rPr>
        <w:t xml:space="preserve"> (2011)</w:t>
      </w:r>
    </w:p>
    <w:p w14:paraId="43165778" w14:textId="77777777" w:rsidR="001010E5" w:rsidRPr="0034527B" w:rsidRDefault="001010E5" w:rsidP="001010E5">
      <w:pPr>
        <w:pStyle w:val="Casehead2"/>
        <w:rPr>
          <w:rFonts w:eastAsia="Calibri"/>
          <w:lang w:val="en-GB"/>
        </w:rPr>
      </w:pPr>
    </w:p>
    <w:p w14:paraId="4B267C32" w14:textId="77777777" w:rsidR="001010E5" w:rsidRPr="0034527B" w:rsidRDefault="001010E5" w:rsidP="001010E5">
      <w:pPr>
        <w:pStyle w:val="Casehead2"/>
        <w:rPr>
          <w:rFonts w:eastAsia="Calibri"/>
          <w:lang w:val="en-GB"/>
        </w:rPr>
      </w:pPr>
      <w:r w:rsidRPr="0034527B">
        <w:rPr>
          <w:rFonts w:eastAsia="Calibri"/>
          <w:lang w:val="en-GB"/>
        </w:rPr>
        <w:t>Population</w:t>
      </w:r>
    </w:p>
    <w:p w14:paraId="1E776FB2" w14:textId="77777777" w:rsidR="001010E5" w:rsidRPr="0034527B" w:rsidRDefault="001010E5" w:rsidP="001010E5">
      <w:pPr>
        <w:pStyle w:val="Casehead2"/>
        <w:rPr>
          <w:rFonts w:eastAsia="Calibri"/>
          <w:lang w:val="en-GB"/>
        </w:rPr>
      </w:pPr>
    </w:p>
    <w:p w14:paraId="6704B7DC" w14:textId="425F1823" w:rsidR="001010E5" w:rsidRPr="0034527B" w:rsidRDefault="00175C15" w:rsidP="001010E5">
      <w:pPr>
        <w:pStyle w:val="ExhibitText"/>
        <w:rPr>
          <w:rFonts w:eastAsia="Calibri"/>
          <w:lang w:val="en-GB"/>
        </w:rPr>
      </w:pPr>
      <w:r w:rsidRPr="0034527B">
        <w:rPr>
          <w:rFonts w:eastAsia="Calibri"/>
          <w:lang w:val="en-GB"/>
        </w:rPr>
        <w:t>T</w:t>
      </w:r>
      <w:r w:rsidR="001010E5" w:rsidRPr="0034527B">
        <w:rPr>
          <w:rFonts w:eastAsia="Calibri"/>
          <w:lang w:val="en-GB"/>
        </w:rPr>
        <w:t>he population of the country stood at 149.8 million</w:t>
      </w:r>
      <w:r w:rsidR="00127E19" w:rsidRPr="0034527B">
        <w:rPr>
          <w:rFonts w:eastAsia="Calibri"/>
          <w:lang w:val="en-GB"/>
        </w:rPr>
        <w:t xml:space="preserve"> in 2011</w:t>
      </w:r>
      <w:r w:rsidR="001010E5" w:rsidRPr="0034527B">
        <w:rPr>
          <w:rFonts w:eastAsia="Calibri"/>
          <w:lang w:val="en-GB"/>
        </w:rPr>
        <w:t>, with a population density of 1,015 persons per square kilometre. Close to 77</w:t>
      </w:r>
      <w:r w:rsidR="00C32974">
        <w:rPr>
          <w:rFonts w:eastAsia="Calibri"/>
          <w:lang w:val="en-GB"/>
        </w:rPr>
        <w:t xml:space="preserve"> per cent</w:t>
      </w:r>
      <w:r w:rsidR="000F29BB" w:rsidRPr="0034527B">
        <w:rPr>
          <w:rFonts w:eastAsia="Calibri"/>
          <w:lang w:val="en-GB"/>
        </w:rPr>
        <w:t xml:space="preserve"> of the population</w:t>
      </w:r>
      <w:r w:rsidR="001010E5" w:rsidRPr="0034527B">
        <w:rPr>
          <w:rFonts w:eastAsia="Calibri"/>
          <w:lang w:val="en-GB"/>
        </w:rPr>
        <w:t xml:space="preserve"> live</w:t>
      </w:r>
      <w:r w:rsidR="000F29BB" w:rsidRPr="0034527B">
        <w:rPr>
          <w:rFonts w:eastAsia="Calibri"/>
          <w:lang w:val="en-GB"/>
        </w:rPr>
        <w:t>d</w:t>
      </w:r>
      <w:r w:rsidR="001010E5" w:rsidRPr="0034527B">
        <w:rPr>
          <w:rFonts w:eastAsia="Calibri"/>
          <w:lang w:val="en-GB"/>
        </w:rPr>
        <w:t xml:space="preserve"> in rural Bangladesh.</w:t>
      </w:r>
    </w:p>
    <w:p w14:paraId="3B0E559A" w14:textId="77777777" w:rsidR="001010E5" w:rsidRPr="0034527B" w:rsidRDefault="001010E5" w:rsidP="001010E5">
      <w:pPr>
        <w:pStyle w:val="ExhibitText"/>
        <w:rPr>
          <w:rFonts w:eastAsia="Calibri"/>
          <w:b/>
          <w:lang w:val="en-GB"/>
        </w:rPr>
      </w:pPr>
    </w:p>
    <w:p w14:paraId="2FF6D741" w14:textId="77777777" w:rsidR="001010E5" w:rsidRPr="0034527B" w:rsidRDefault="001010E5" w:rsidP="001010E5">
      <w:pPr>
        <w:pStyle w:val="ExhibitText"/>
        <w:rPr>
          <w:rFonts w:eastAsia="Calibri"/>
          <w:b/>
          <w:lang w:val="en-GB"/>
        </w:rPr>
      </w:pPr>
    </w:p>
    <w:p w14:paraId="2BAC9814" w14:textId="77777777" w:rsidR="001010E5" w:rsidRPr="0034527B" w:rsidRDefault="001010E5" w:rsidP="001010E5">
      <w:pPr>
        <w:pStyle w:val="ExhibitText"/>
        <w:rPr>
          <w:rFonts w:eastAsia="Calibri"/>
          <w:b/>
          <w:lang w:val="en-GB"/>
        </w:rPr>
      </w:pPr>
      <w:r w:rsidRPr="0034527B">
        <w:rPr>
          <w:rFonts w:eastAsia="Calibri"/>
          <w:b/>
          <w:lang w:val="en-GB"/>
        </w:rPr>
        <w:t>Bangladesh Population by Area</w:t>
      </w:r>
    </w:p>
    <w:p w14:paraId="17530B57" w14:textId="77777777" w:rsidR="001010E5" w:rsidRPr="0034527B" w:rsidRDefault="001010E5" w:rsidP="001010E5">
      <w:pPr>
        <w:pStyle w:val="ExhibitText"/>
        <w:rPr>
          <w:rFonts w:eastAsia="Calibri"/>
          <w:b/>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361"/>
        <w:gridCol w:w="1439"/>
        <w:gridCol w:w="1416"/>
      </w:tblGrid>
      <w:tr w:rsidR="00127E19" w:rsidRPr="0034527B" w14:paraId="51865B54" w14:textId="7964AAF4" w:rsidTr="00AD1850">
        <w:trPr>
          <w:jc w:val="center"/>
        </w:trPr>
        <w:tc>
          <w:tcPr>
            <w:tcW w:w="879" w:type="dxa"/>
            <w:shd w:val="clear" w:color="auto" w:fill="auto"/>
          </w:tcPr>
          <w:p w14:paraId="67E6B470" w14:textId="77777777" w:rsidR="00127E19" w:rsidRPr="0034527B" w:rsidRDefault="00127E19" w:rsidP="00AD1850">
            <w:pPr>
              <w:pStyle w:val="ExhibitText"/>
              <w:rPr>
                <w:rFonts w:eastAsia="Calibri"/>
                <w:lang w:val="en-GB"/>
              </w:rPr>
            </w:pPr>
            <w:r w:rsidRPr="0034527B">
              <w:rPr>
                <w:rFonts w:eastAsia="Calibri"/>
                <w:lang w:val="en-GB"/>
              </w:rPr>
              <w:t>Area</w:t>
            </w:r>
          </w:p>
        </w:tc>
        <w:tc>
          <w:tcPr>
            <w:tcW w:w="1361" w:type="dxa"/>
            <w:shd w:val="clear" w:color="auto" w:fill="auto"/>
          </w:tcPr>
          <w:p w14:paraId="18A5107F" w14:textId="7DDF97E7" w:rsidR="00127E19" w:rsidRPr="0034527B" w:rsidRDefault="00127E19" w:rsidP="00AD1850">
            <w:pPr>
              <w:pStyle w:val="ExhibitText"/>
              <w:jc w:val="right"/>
              <w:rPr>
                <w:rFonts w:eastAsia="Calibri"/>
                <w:lang w:val="en-GB"/>
              </w:rPr>
            </w:pPr>
            <w:r w:rsidRPr="0034527B">
              <w:rPr>
                <w:rFonts w:eastAsia="Calibri"/>
                <w:lang w:val="en-GB"/>
              </w:rPr>
              <w:t>Number of Households</w:t>
            </w:r>
          </w:p>
        </w:tc>
        <w:tc>
          <w:tcPr>
            <w:tcW w:w="1344" w:type="dxa"/>
            <w:shd w:val="clear" w:color="auto" w:fill="auto"/>
          </w:tcPr>
          <w:p w14:paraId="0F768985" w14:textId="3F869433" w:rsidR="00127E19" w:rsidRPr="0034527B" w:rsidRDefault="00127E19" w:rsidP="00AD1850">
            <w:pPr>
              <w:pStyle w:val="ExhibitText"/>
              <w:jc w:val="right"/>
              <w:rPr>
                <w:rFonts w:eastAsia="Calibri"/>
                <w:lang w:val="en-GB"/>
              </w:rPr>
            </w:pPr>
            <w:r w:rsidRPr="0034527B">
              <w:rPr>
                <w:rFonts w:eastAsia="Calibri"/>
                <w:lang w:val="en-GB"/>
              </w:rPr>
              <w:t>Population</w:t>
            </w:r>
            <w:r w:rsidR="00AD1850" w:rsidRPr="0034527B">
              <w:rPr>
                <w:rFonts w:eastAsia="Calibri"/>
                <w:lang w:val="en-GB"/>
              </w:rPr>
              <w:t xml:space="preserve"> </w:t>
            </w:r>
            <w:r w:rsidRPr="0034527B">
              <w:rPr>
                <w:rFonts w:eastAsia="Calibri"/>
                <w:lang w:val="en-GB"/>
              </w:rPr>
              <w:t>(Enumerated)</w:t>
            </w:r>
          </w:p>
        </w:tc>
        <w:tc>
          <w:tcPr>
            <w:tcW w:w="1416" w:type="dxa"/>
          </w:tcPr>
          <w:p w14:paraId="5ED3E905" w14:textId="58972A0B" w:rsidR="00127E19" w:rsidRPr="0034527B" w:rsidRDefault="00127E19" w:rsidP="00AD1850">
            <w:pPr>
              <w:pStyle w:val="ExhibitText"/>
              <w:jc w:val="right"/>
              <w:rPr>
                <w:rFonts w:eastAsia="Calibri"/>
                <w:lang w:val="en-GB"/>
              </w:rPr>
            </w:pPr>
            <w:r w:rsidRPr="0034527B">
              <w:rPr>
                <w:lang w:val="en-GB"/>
              </w:rPr>
              <w:t>Population (Adjusted)</w:t>
            </w:r>
          </w:p>
        </w:tc>
      </w:tr>
      <w:tr w:rsidR="00127E19" w:rsidRPr="0034527B" w14:paraId="13292FFA" w14:textId="4CCF9499" w:rsidTr="00AD1850">
        <w:trPr>
          <w:jc w:val="center"/>
        </w:trPr>
        <w:tc>
          <w:tcPr>
            <w:tcW w:w="879" w:type="dxa"/>
            <w:shd w:val="clear" w:color="auto" w:fill="auto"/>
          </w:tcPr>
          <w:p w14:paraId="2A6A7F35" w14:textId="77777777" w:rsidR="00127E19" w:rsidRPr="0034527B" w:rsidRDefault="00127E19" w:rsidP="00AD1850">
            <w:pPr>
              <w:pStyle w:val="ExhibitText"/>
              <w:rPr>
                <w:rFonts w:eastAsia="Calibri"/>
                <w:lang w:val="en-GB"/>
              </w:rPr>
            </w:pPr>
            <w:r w:rsidRPr="0034527B">
              <w:rPr>
                <w:rFonts w:eastAsia="Calibri"/>
                <w:lang w:val="en-GB"/>
              </w:rPr>
              <w:t>Urban</w:t>
            </w:r>
          </w:p>
        </w:tc>
        <w:tc>
          <w:tcPr>
            <w:tcW w:w="1361" w:type="dxa"/>
            <w:shd w:val="clear" w:color="auto" w:fill="auto"/>
          </w:tcPr>
          <w:p w14:paraId="529ED7FD" w14:textId="77777777" w:rsidR="00127E19" w:rsidRPr="0034527B" w:rsidRDefault="00127E19" w:rsidP="00AD1850">
            <w:pPr>
              <w:pStyle w:val="ExhibitText"/>
              <w:jc w:val="right"/>
              <w:rPr>
                <w:rFonts w:eastAsia="Calibri"/>
                <w:lang w:val="en-GB"/>
              </w:rPr>
            </w:pPr>
            <w:r w:rsidRPr="0034527B">
              <w:rPr>
                <w:rFonts w:eastAsia="Calibri"/>
                <w:lang w:val="en-GB"/>
              </w:rPr>
              <w:t>7,502,040</w:t>
            </w:r>
          </w:p>
        </w:tc>
        <w:tc>
          <w:tcPr>
            <w:tcW w:w="1344" w:type="dxa"/>
            <w:shd w:val="clear" w:color="auto" w:fill="auto"/>
          </w:tcPr>
          <w:p w14:paraId="32D0E68B" w14:textId="77777777" w:rsidR="00127E19" w:rsidRPr="0034527B" w:rsidRDefault="00127E19" w:rsidP="00AD1850">
            <w:pPr>
              <w:pStyle w:val="ExhibitText"/>
              <w:jc w:val="right"/>
              <w:rPr>
                <w:rFonts w:eastAsia="Calibri"/>
                <w:lang w:val="en-GB"/>
              </w:rPr>
            </w:pPr>
            <w:r w:rsidRPr="0034527B">
              <w:rPr>
                <w:rFonts w:eastAsia="Calibri"/>
                <w:lang w:val="en-GB"/>
              </w:rPr>
              <w:t>33,563,183</w:t>
            </w:r>
          </w:p>
        </w:tc>
        <w:tc>
          <w:tcPr>
            <w:tcW w:w="1416" w:type="dxa"/>
          </w:tcPr>
          <w:p w14:paraId="3216C5FF" w14:textId="20F02733" w:rsidR="00127E19" w:rsidRPr="0034527B" w:rsidRDefault="00127E19" w:rsidP="00AD1850">
            <w:pPr>
              <w:pStyle w:val="ExhibitText"/>
              <w:jc w:val="right"/>
              <w:rPr>
                <w:rFonts w:eastAsia="Calibri"/>
                <w:lang w:val="en-GB"/>
              </w:rPr>
            </w:pPr>
            <w:r w:rsidRPr="0034527B">
              <w:rPr>
                <w:lang w:val="en-GB"/>
              </w:rPr>
              <w:t>35,100,000</w:t>
            </w:r>
          </w:p>
        </w:tc>
      </w:tr>
      <w:tr w:rsidR="00127E19" w:rsidRPr="0034527B" w14:paraId="5C5A5B19" w14:textId="42611A58" w:rsidTr="00AD1850">
        <w:trPr>
          <w:jc w:val="center"/>
        </w:trPr>
        <w:tc>
          <w:tcPr>
            <w:tcW w:w="879" w:type="dxa"/>
            <w:shd w:val="clear" w:color="auto" w:fill="auto"/>
          </w:tcPr>
          <w:p w14:paraId="2E223641" w14:textId="77777777" w:rsidR="00127E19" w:rsidRPr="0034527B" w:rsidRDefault="00127E19" w:rsidP="00AD1850">
            <w:pPr>
              <w:pStyle w:val="ExhibitText"/>
              <w:rPr>
                <w:rFonts w:eastAsia="Calibri"/>
                <w:lang w:val="en-GB"/>
              </w:rPr>
            </w:pPr>
            <w:r w:rsidRPr="0034527B">
              <w:rPr>
                <w:rFonts w:eastAsia="Calibri"/>
                <w:lang w:val="en-GB"/>
              </w:rPr>
              <w:t>Rural</w:t>
            </w:r>
          </w:p>
        </w:tc>
        <w:tc>
          <w:tcPr>
            <w:tcW w:w="1361" w:type="dxa"/>
            <w:shd w:val="clear" w:color="auto" w:fill="auto"/>
          </w:tcPr>
          <w:p w14:paraId="71882A6F" w14:textId="77777777" w:rsidR="00127E19" w:rsidRPr="0034527B" w:rsidRDefault="00127E19" w:rsidP="00AD1850">
            <w:pPr>
              <w:pStyle w:val="ExhibitText"/>
              <w:jc w:val="right"/>
              <w:rPr>
                <w:rFonts w:eastAsia="Calibri"/>
                <w:lang w:val="en-GB"/>
              </w:rPr>
            </w:pPr>
            <w:r w:rsidRPr="0034527B">
              <w:rPr>
                <w:rFonts w:eastAsia="Calibri"/>
                <w:lang w:val="en-GB"/>
              </w:rPr>
              <w:t>24,671,590</w:t>
            </w:r>
          </w:p>
        </w:tc>
        <w:tc>
          <w:tcPr>
            <w:tcW w:w="1344" w:type="dxa"/>
            <w:shd w:val="clear" w:color="auto" w:fill="auto"/>
          </w:tcPr>
          <w:p w14:paraId="0FD0E7D4" w14:textId="77777777" w:rsidR="00127E19" w:rsidRPr="0034527B" w:rsidRDefault="00127E19" w:rsidP="00AD1850">
            <w:pPr>
              <w:pStyle w:val="ExhibitText"/>
              <w:jc w:val="right"/>
              <w:rPr>
                <w:rFonts w:eastAsia="Calibri"/>
                <w:lang w:val="en-GB"/>
              </w:rPr>
            </w:pPr>
            <w:r w:rsidRPr="0034527B">
              <w:rPr>
                <w:rFonts w:eastAsia="Calibri"/>
                <w:lang w:val="en-GB"/>
              </w:rPr>
              <w:t>110,480,514</w:t>
            </w:r>
          </w:p>
        </w:tc>
        <w:tc>
          <w:tcPr>
            <w:tcW w:w="1416" w:type="dxa"/>
          </w:tcPr>
          <w:p w14:paraId="2FB9A9DC" w14:textId="14F460CE" w:rsidR="00127E19" w:rsidRPr="0034527B" w:rsidRDefault="00127E19" w:rsidP="00AD1850">
            <w:pPr>
              <w:pStyle w:val="ExhibitText"/>
              <w:jc w:val="right"/>
              <w:rPr>
                <w:rFonts w:eastAsia="Calibri"/>
                <w:lang w:val="en-GB"/>
              </w:rPr>
            </w:pPr>
            <w:r w:rsidRPr="0034527B">
              <w:rPr>
                <w:lang w:val="en-GB"/>
              </w:rPr>
              <w:t>114,700,000</w:t>
            </w:r>
          </w:p>
        </w:tc>
      </w:tr>
      <w:tr w:rsidR="00127E19" w:rsidRPr="0034527B" w14:paraId="7C89013C" w14:textId="0785CD6F" w:rsidTr="00AD1850">
        <w:trPr>
          <w:jc w:val="center"/>
        </w:trPr>
        <w:tc>
          <w:tcPr>
            <w:tcW w:w="879" w:type="dxa"/>
            <w:shd w:val="clear" w:color="auto" w:fill="auto"/>
          </w:tcPr>
          <w:p w14:paraId="1165B8EF" w14:textId="77777777" w:rsidR="00127E19" w:rsidRPr="0034527B" w:rsidRDefault="00127E19" w:rsidP="00AD1850">
            <w:pPr>
              <w:pStyle w:val="ExhibitText"/>
              <w:rPr>
                <w:rFonts w:eastAsia="Calibri"/>
                <w:lang w:val="en-GB"/>
              </w:rPr>
            </w:pPr>
            <w:r w:rsidRPr="0034527B">
              <w:rPr>
                <w:rFonts w:eastAsia="Calibri"/>
                <w:lang w:val="en-GB"/>
              </w:rPr>
              <w:t>Total</w:t>
            </w:r>
          </w:p>
        </w:tc>
        <w:tc>
          <w:tcPr>
            <w:tcW w:w="1361" w:type="dxa"/>
            <w:shd w:val="clear" w:color="auto" w:fill="auto"/>
          </w:tcPr>
          <w:p w14:paraId="06745D0E" w14:textId="77777777" w:rsidR="00127E19" w:rsidRPr="0034527B" w:rsidRDefault="00127E19" w:rsidP="00AD1850">
            <w:pPr>
              <w:pStyle w:val="ExhibitText"/>
              <w:jc w:val="right"/>
              <w:rPr>
                <w:rFonts w:eastAsia="Calibri"/>
                <w:lang w:val="en-GB"/>
              </w:rPr>
            </w:pPr>
            <w:r w:rsidRPr="0034527B">
              <w:rPr>
                <w:rFonts w:eastAsia="Calibri"/>
                <w:lang w:val="en-GB"/>
              </w:rPr>
              <w:t>32,173,630</w:t>
            </w:r>
          </w:p>
        </w:tc>
        <w:tc>
          <w:tcPr>
            <w:tcW w:w="1344" w:type="dxa"/>
            <w:shd w:val="clear" w:color="auto" w:fill="auto"/>
          </w:tcPr>
          <w:p w14:paraId="3922865A" w14:textId="77777777" w:rsidR="00127E19" w:rsidRPr="0034527B" w:rsidRDefault="00127E19" w:rsidP="00AD1850">
            <w:pPr>
              <w:pStyle w:val="ExhibitText"/>
              <w:jc w:val="right"/>
              <w:rPr>
                <w:rFonts w:eastAsia="Calibri"/>
                <w:lang w:val="en-GB"/>
              </w:rPr>
            </w:pPr>
            <w:r w:rsidRPr="0034527B">
              <w:rPr>
                <w:rFonts w:eastAsia="Calibri"/>
                <w:lang w:val="en-GB"/>
              </w:rPr>
              <w:t>144,043,697</w:t>
            </w:r>
          </w:p>
        </w:tc>
        <w:tc>
          <w:tcPr>
            <w:tcW w:w="1416" w:type="dxa"/>
          </w:tcPr>
          <w:p w14:paraId="656EB5E7" w14:textId="7E327E39" w:rsidR="00127E19" w:rsidRPr="0034527B" w:rsidRDefault="00127E19" w:rsidP="00AD1850">
            <w:pPr>
              <w:pStyle w:val="ExhibitText"/>
              <w:jc w:val="right"/>
              <w:rPr>
                <w:rFonts w:eastAsia="Calibri"/>
                <w:lang w:val="en-GB"/>
              </w:rPr>
            </w:pPr>
            <w:r w:rsidRPr="0034527B">
              <w:rPr>
                <w:lang w:val="en-GB"/>
              </w:rPr>
              <w:t>149,800,000</w:t>
            </w:r>
          </w:p>
        </w:tc>
      </w:tr>
    </w:tbl>
    <w:p w14:paraId="2F015322" w14:textId="77777777" w:rsidR="001010E5" w:rsidRPr="0034527B" w:rsidRDefault="001010E5" w:rsidP="001010E5">
      <w:pPr>
        <w:pStyle w:val="ExhibitText"/>
        <w:rPr>
          <w:rFonts w:eastAsia="Calibri"/>
          <w:b/>
          <w:lang w:val="en-GB"/>
        </w:rPr>
      </w:pPr>
    </w:p>
    <w:p w14:paraId="60DF0E66" w14:textId="77777777" w:rsidR="007830E3" w:rsidRPr="0034527B" w:rsidRDefault="007830E3" w:rsidP="001010E5">
      <w:pPr>
        <w:pStyle w:val="ExhibitText"/>
        <w:rPr>
          <w:rFonts w:eastAsia="Calibri"/>
          <w:b/>
          <w:lang w:val="en-GB"/>
        </w:rPr>
      </w:pPr>
    </w:p>
    <w:p w14:paraId="68385118" w14:textId="77777777" w:rsidR="001010E5" w:rsidRPr="0034527B" w:rsidRDefault="001010E5" w:rsidP="001010E5">
      <w:pPr>
        <w:pStyle w:val="ExhibitText"/>
        <w:rPr>
          <w:rFonts w:eastAsia="Calibri"/>
          <w:b/>
          <w:lang w:val="en-GB"/>
        </w:rPr>
      </w:pPr>
      <w:r w:rsidRPr="0034527B">
        <w:rPr>
          <w:rFonts w:eastAsia="Calibri"/>
          <w:b/>
          <w:lang w:val="en-GB"/>
        </w:rPr>
        <w:t>Geography</w:t>
      </w:r>
    </w:p>
    <w:p w14:paraId="538BF117" w14:textId="77777777" w:rsidR="007830E3" w:rsidRPr="0034527B" w:rsidRDefault="007830E3" w:rsidP="001010E5">
      <w:pPr>
        <w:pStyle w:val="ExhibitText"/>
        <w:rPr>
          <w:rFonts w:eastAsia="Calibri"/>
          <w:lang w:val="en-GB"/>
        </w:rPr>
      </w:pPr>
    </w:p>
    <w:p w14:paraId="3AACE45C" w14:textId="269270BA" w:rsidR="001010E5" w:rsidRPr="0034527B" w:rsidRDefault="001010E5" w:rsidP="001010E5">
      <w:pPr>
        <w:pStyle w:val="ExhibitText"/>
        <w:rPr>
          <w:rFonts w:eastAsia="Calibri"/>
          <w:lang w:val="en-GB"/>
        </w:rPr>
      </w:pPr>
      <w:r w:rsidRPr="0034527B">
        <w:rPr>
          <w:rFonts w:eastAsia="Calibri"/>
          <w:lang w:val="en-GB"/>
        </w:rPr>
        <w:t>Located in South Asia</w:t>
      </w:r>
      <w:r w:rsidR="000F29BB" w:rsidRPr="0034527B">
        <w:rPr>
          <w:rFonts w:eastAsia="Calibri"/>
          <w:lang w:val="en-GB"/>
        </w:rPr>
        <w:t>,</w:t>
      </w:r>
      <w:r w:rsidRPr="0034527B">
        <w:rPr>
          <w:rFonts w:eastAsia="Calibri"/>
          <w:lang w:val="en-GB"/>
        </w:rPr>
        <w:t xml:space="preserve"> </w:t>
      </w:r>
      <w:r w:rsidR="000F29BB" w:rsidRPr="0034527B">
        <w:rPr>
          <w:rFonts w:eastAsia="Calibri"/>
          <w:lang w:val="en-GB"/>
        </w:rPr>
        <w:t>Bangladesh was bordered by</w:t>
      </w:r>
      <w:r w:rsidRPr="0034527B">
        <w:rPr>
          <w:rFonts w:eastAsia="Calibri"/>
          <w:lang w:val="en-GB"/>
        </w:rPr>
        <w:t xml:space="preserve"> India and Myanmar. </w:t>
      </w:r>
      <w:r w:rsidR="000F29BB" w:rsidRPr="0034527B">
        <w:rPr>
          <w:rFonts w:eastAsia="Calibri"/>
          <w:lang w:val="en-GB"/>
        </w:rPr>
        <w:t>The country covered an</w:t>
      </w:r>
      <w:r w:rsidRPr="0034527B">
        <w:rPr>
          <w:rFonts w:eastAsia="Calibri"/>
          <w:lang w:val="en-GB"/>
        </w:rPr>
        <w:t xml:space="preserve"> area </w:t>
      </w:r>
      <w:r w:rsidR="000F29BB" w:rsidRPr="0034527B">
        <w:rPr>
          <w:rFonts w:eastAsia="Calibri"/>
          <w:lang w:val="en-GB"/>
        </w:rPr>
        <w:t>of</w:t>
      </w:r>
      <w:r w:rsidRPr="0034527B">
        <w:rPr>
          <w:rFonts w:eastAsia="Calibri"/>
          <w:lang w:val="en-GB"/>
        </w:rPr>
        <w:t xml:space="preserve"> 147</w:t>
      </w:r>
      <w:r w:rsidR="00BA665F" w:rsidRPr="0034527B">
        <w:rPr>
          <w:rFonts w:eastAsia="Calibri"/>
          <w:lang w:val="en-GB"/>
        </w:rPr>
        <w:t>,</w:t>
      </w:r>
      <w:r w:rsidRPr="0034527B">
        <w:rPr>
          <w:rFonts w:eastAsia="Calibri"/>
          <w:lang w:val="en-GB"/>
        </w:rPr>
        <w:t xml:space="preserve">570 square kilometres. </w:t>
      </w:r>
      <w:r w:rsidR="000F29BB" w:rsidRPr="0034527B">
        <w:rPr>
          <w:rFonts w:eastAsia="Calibri"/>
          <w:lang w:val="en-GB"/>
        </w:rPr>
        <w:t>Its</w:t>
      </w:r>
      <w:r w:rsidR="006C5996" w:rsidRPr="0034527B">
        <w:rPr>
          <w:rFonts w:eastAsia="Calibri"/>
          <w:lang w:val="en-GB"/>
        </w:rPr>
        <w:t xml:space="preserve"> </w:t>
      </w:r>
      <w:r w:rsidRPr="0034527B">
        <w:rPr>
          <w:rFonts w:eastAsia="Calibri"/>
          <w:lang w:val="en-GB"/>
        </w:rPr>
        <w:t xml:space="preserve">administrative divisions were Barisal, Chittagong, Dhaka, Khulna, Rajshahi, Rangpur, and Sylhet. Each division was subdivided into </w:t>
      </w:r>
      <w:r w:rsidRPr="0034527B">
        <w:rPr>
          <w:rFonts w:eastAsia="Calibri"/>
          <w:i/>
          <w:iCs/>
          <w:lang w:val="en-GB"/>
        </w:rPr>
        <w:t>zilas</w:t>
      </w:r>
      <w:r w:rsidR="000F29BB" w:rsidRPr="0034527B">
        <w:rPr>
          <w:rFonts w:eastAsia="Calibri"/>
          <w:iCs/>
          <w:lang w:val="en-GB"/>
        </w:rPr>
        <w:t>,</w:t>
      </w:r>
      <w:r w:rsidRPr="0034527B">
        <w:rPr>
          <w:rFonts w:eastAsia="Calibri"/>
          <w:i/>
          <w:iCs/>
          <w:lang w:val="en-GB"/>
        </w:rPr>
        <w:t xml:space="preserve"> </w:t>
      </w:r>
      <w:r w:rsidRPr="0034527B">
        <w:rPr>
          <w:rFonts w:eastAsia="Calibri"/>
          <w:lang w:val="en-GB"/>
        </w:rPr>
        <w:t xml:space="preserve">and each </w:t>
      </w:r>
      <w:r w:rsidRPr="0034527B">
        <w:rPr>
          <w:rFonts w:eastAsia="Calibri"/>
          <w:i/>
          <w:iCs/>
          <w:lang w:val="en-GB"/>
        </w:rPr>
        <w:t xml:space="preserve">zila </w:t>
      </w:r>
      <w:r w:rsidRPr="0034527B">
        <w:rPr>
          <w:rFonts w:eastAsia="Calibri"/>
          <w:lang w:val="en-GB"/>
        </w:rPr>
        <w:t xml:space="preserve">into </w:t>
      </w:r>
      <w:r w:rsidRPr="0034527B">
        <w:rPr>
          <w:rFonts w:eastAsia="Calibri"/>
          <w:i/>
          <w:iCs/>
          <w:lang w:val="en-GB"/>
        </w:rPr>
        <w:t>upazilas</w:t>
      </w:r>
      <w:r w:rsidRPr="0034527B">
        <w:rPr>
          <w:rFonts w:eastAsia="Calibri"/>
          <w:lang w:val="en-GB"/>
        </w:rPr>
        <w:t xml:space="preserve">. Each urban area in an </w:t>
      </w:r>
      <w:r w:rsidRPr="0034527B">
        <w:rPr>
          <w:rFonts w:eastAsia="Calibri"/>
          <w:i/>
          <w:iCs/>
          <w:lang w:val="en-GB"/>
        </w:rPr>
        <w:t>upazila</w:t>
      </w:r>
      <w:r w:rsidRPr="0034527B">
        <w:rPr>
          <w:rFonts w:eastAsia="Calibri"/>
          <w:lang w:val="en-GB"/>
        </w:rPr>
        <w:t xml:space="preserve"> was divided into wards, which w</w:t>
      </w:r>
      <w:r w:rsidR="000F29BB" w:rsidRPr="0034527B">
        <w:rPr>
          <w:rFonts w:eastAsia="Calibri"/>
          <w:lang w:val="en-GB"/>
        </w:rPr>
        <w:t>ere</w:t>
      </w:r>
      <w:r w:rsidRPr="0034527B">
        <w:rPr>
          <w:rFonts w:eastAsia="Calibri"/>
          <w:lang w:val="en-GB"/>
        </w:rPr>
        <w:t xml:space="preserve"> further sub-divided into </w:t>
      </w:r>
      <w:r w:rsidRPr="0034527B">
        <w:rPr>
          <w:rFonts w:eastAsia="Calibri"/>
          <w:i/>
          <w:iCs/>
          <w:lang w:val="en-GB"/>
        </w:rPr>
        <w:t>mohallas</w:t>
      </w:r>
      <w:r w:rsidRPr="0034527B">
        <w:rPr>
          <w:rFonts w:eastAsia="Calibri"/>
          <w:lang w:val="en-GB"/>
        </w:rPr>
        <w:t xml:space="preserve">. A rural area in </w:t>
      </w:r>
      <w:r w:rsidR="000F29BB" w:rsidRPr="0034527B">
        <w:rPr>
          <w:rFonts w:eastAsia="Calibri"/>
          <w:lang w:val="en-GB"/>
        </w:rPr>
        <w:t>an</w:t>
      </w:r>
      <w:r w:rsidRPr="0034527B">
        <w:rPr>
          <w:rFonts w:eastAsia="Calibri"/>
          <w:lang w:val="en-GB"/>
        </w:rPr>
        <w:t xml:space="preserve"> </w:t>
      </w:r>
      <w:r w:rsidRPr="0034527B">
        <w:rPr>
          <w:rFonts w:eastAsia="Calibri"/>
          <w:i/>
          <w:iCs/>
          <w:lang w:val="en-GB"/>
        </w:rPr>
        <w:t>upazila was</w:t>
      </w:r>
      <w:r w:rsidRPr="0034527B">
        <w:rPr>
          <w:rFonts w:eastAsia="Calibri"/>
          <w:lang w:val="en-GB"/>
        </w:rPr>
        <w:t xml:space="preserve"> divided into </w:t>
      </w:r>
      <w:r w:rsidRPr="0034527B">
        <w:rPr>
          <w:rFonts w:eastAsia="Calibri"/>
          <w:i/>
          <w:iCs/>
          <w:lang w:val="en-GB"/>
        </w:rPr>
        <w:t>union parishads</w:t>
      </w:r>
      <w:r w:rsidR="000F29BB" w:rsidRPr="0034527B">
        <w:rPr>
          <w:rFonts w:eastAsia="Calibri"/>
          <w:iCs/>
          <w:lang w:val="en-GB"/>
        </w:rPr>
        <w:t>,</w:t>
      </w:r>
      <w:r w:rsidRPr="0034527B">
        <w:rPr>
          <w:rFonts w:eastAsia="Calibri"/>
          <w:i/>
          <w:iCs/>
          <w:lang w:val="en-GB"/>
        </w:rPr>
        <w:t xml:space="preserve"> </w:t>
      </w:r>
      <w:r w:rsidRPr="0034527B">
        <w:rPr>
          <w:rFonts w:eastAsia="Calibri"/>
          <w:lang w:val="en-GB"/>
        </w:rPr>
        <w:t xml:space="preserve">and a </w:t>
      </w:r>
      <w:r w:rsidR="00373613" w:rsidRPr="0034527B">
        <w:rPr>
          <w:rFonts w:eastAsia="Calibri"/>
          <w:i/>
          <w:lang w:val="en-GB"/>
        </w:rPr>
        <w:t>u</w:t>
      </w:r>
      <w:r w:rsidRPr="0034527B">
        <w:rPr>
          <w:rFonts w:eastAsia="Calibri"/>
          <w:i/>
          <w:lang w:val="en-GB"/>
        </w:rPr>
        <w:t xml:space="preserve">nion </w:t>
      </w:r>
      <w:r w:rsidR="00373613" w:rsidRPr="0034527B">
        <w:rPr>
          <w:rFonts w:eastAsia="Calibri"/>
          <w:i/>
          <w:lang w:val="en-GB"/>
        </w:rPr>
        <w:t>p</w:t>
      </w:r>
      <w:r w:rsidRPr="0034527B">
        <w:rPr>
          <w:rFonts w:eastAsia="Calibri"/>
          <w:i/>
          <w:lang w:val="en-GB"/>
        </w:rPr>
        <w:t>arishad</w:t>
      </w:r>
      <w:r w:rsidRPr="0034527B">
        <w:rPr>
          <w:rFonts w:eastAsia="Calibri"/>
          <w:lang w:val="en-GB"/>
        </w:rPr>
        <w:t xml:space="preserve"> was further divided into </w:t>
      </w:r>
      <w:r w:rsidRPr="0034527B">
        <w:rPr>
          <w:rFonts w:eastAsia="Calibri"/>
          <w:i/>
          <w:lang w:val="en-GB"/>
        </w:rPr>
        <w:t>mouzas</w:t>
      </w:r>
      <w:r w:rsidRPr="0034527B">
        <w:rPr>
          <w:rFonts w:eastAsia="Calibri"/>
          <w:lang w:val="en-GB"/>
        </w:rPr>
        <w:t>.</w:t>
      </w:r>
    </w:p>
    <w:p w14:paraId="15C17192" w14:textId="77777777" w:rsidR="007830E3" w:rsidRPr="0034527B" w:rsidRDefault="007830E3" w:rsidP="001010E5">
      <w:pPr>
        <w:pStyle w:val="ExhibitText"/>
        <w:rPr>
          <w:rFonts w:eastAsia="Calibri"/>
          <w:b/>
          <w:lang w:val="en-GB"/>
        </w:rPr>
      </w:pPr>
    </w:p>
    <w:p w14:paraId="392EA0D7" w14:textId="77777777" w:rsidR="007830E3" w:rsidRPr="0034527B" w:rsidRDefault="007830E3" w:rsidP="001010E5">
      <w:pPr>
        <w:pStyle w:val="ExhibitText"/>
        <w:rPr>
          <w:rFonts w:eastAsia="Calibri"/>
          <w:b/>
          <w:lang w:val="en-GB"/>
        </w:rPr>
      </w:pPr>
    </w:p>
    <w:p w14:paraId="4CDD37CA" w14:textId="77777777" w:rsidR="001010E5" w:rsidRPr="0034527B" w:rsidRDefault="001010E5" w:rsidP="001010E5">
      <w:pPr>
        <w:pStyle w:val="ExhibitText"/>
        <w:rPr>
          <w:rFonts w:eastAsia="Calibri"/>
          <w:b/>
          <w:lang w:val="en-GB"/>
        </w:rPr>
      </w:pPr>
      <w:r w:rsidRPr="0034527B">
        <w:rPr>
          <w:rFonts w:eastAsia="Calibri"/>
          <w:b/>
          <w:lang w:val="en-GB"/>
        </w:rPr>
        <w:t xml:space="preserve">Income </w:t>
      </w:r>
      <w:r w:rsidR="007830E3" w:rsidRPr="0034527B">
        <w:rPr>
          <w:rFonts w:eastAsia="Calibri"/>
          <w:b/>
          <w:lang w:val="en-GB"/>
        </w:rPr>
        <w:t>L</w:t>
      </w:r>
      <w:r w:rsidRPr="0034527B">
        <w:rPr>
          <w:rFonts w:eastAsia="Calibri"/>
          <w:b/>
          <w:lang w:val="en-GB"/>
        </w:rPr>
        <w:t>evels</w:t>
      </w:r>
    </w:p>
    <w:p w14:paraId="5DB2187F" w14:textId="77777777" w:rsidR="007830E3" w:rsidRPr="0034527B" w:rsidRDefault="007830E3" w:rsidP="001010E5">
      <w:pPr>
        <w:pStyle w:val="ExhibitText"/>
        <w:rPr>
          <w:rFonts w:eastAsia="Calibri"/>
          <w:lang w:val="en-GB"/>
        </w:rPr>
      </w:pPr>
    </w:p>
    <w:p w14:paraId="1462B15B" w14:textId="2CD6D4E7" w:rsidR="001010E5" w:rsidRPr="0034527B" w:rsidRDefault="001010E5" w:rsidP="001010E5">
      <w:pPr>
        <w:pStyle w:val="ExhibitText"/>
        <w:rPr>
          <w:lang w:val="en-GB"/>
        </w:rPr>
      </w:pPr>
      <w:r w:rsidRPr="0034527B">
        <w:rPr>
          <w:rFonts w:eastAsia="Calibri"/>
          <w:lang w:val="en-GB"/>
        </w:rPr>
        <w:t xml:space="preserve">Even though poverty rates had demonstrated steady improvement, with an average decline of 1.74 points per year during the past decade, the income disparity between urban and rural areas had widened over the last five years. The </w:t>
      </w:r>
      <w:r w:rsidR="000F29BB" w:rsidRPr="0034527B">
        <w:rPr>
          <w:rFonts w:eastAsia="Calibri"/>
          <w:lang w:val="en-GB"/>
        </w:rPr>
        <w:t>gross domestic product</w:t>
      </w:r>
      <w:r w:rsidRPr="0034527B">
        <w:rPr>
          <w:rFonts w:eastAsia="Calibri"/>
          <w:lang w:val="en-GB"/>
        </w:rPr>
        <w:t xml:space="preserve"> per capita for 2014 </w:t>
      </w:r>
      <w:r w:rsidR="000F29BB" w:rsidRPr="0034527B">
        <w:rPr>
          <w:rFonts w:eastAsia="Calibri"/>
          <w:lang w:val="en-GB"/>
        </w:rPr>
        <w:t>was US$</w:t>
      </w:r>
      <w:r w:rsidRPr="0034527B">
        <w:rPr>
          <w:rFonts w:eastAsia="Calibri"/>
          <w:lang w:val="en-GB"/>
        </w:rPr>
        <w:t>1</w:t>
      </w:r>
      <w:r w:rsidR="000F29BB" w:rsidRPr="0034527B">
        <w:rPr>
          <w:rFonts w:eastAsia="Calibri"/>
          <w:lang w:val="en-GB"/>
        </w:rPr>
        <w:t>,</w:t>
      </w:r>
      <w:r w:rsidRPr="0034527B">
        <w:rPr>
          <w:rFonts w:eastAsia="Calibri"/>
          <w:lang w:val="en-GB"/>
        </w:rPr>
        <w:t>086.8</w:t>
      </w:r>
      <w:r w:rsidR="000F29BB" w:rsidRPr="0034527B">
        <w:rPr>
          <w:rFonts w:eastAsia="Calibri"/>
          <w:lang w:val="en-GB"/>
        </w:rPr>
        <w:t>0</w:t>
      </w:r>
      <w:r w:rsidRPr="0034527B">
        <w:rPr>
          <w:rFonts w:eastAsia="Calibri"/>
          <w:lang w:val="en-GB"/>
        </w:rPr>
        <w:t>.</w:t>
      </w:r>
    </w:p>
    <w:p w14:paraId="293AB525" w14:textId="77777777" w:rsidR="001010E5" w:rsidRPr="0034527B" w:rsidRDefault="001010E5" w:rsidP="001010E5">
      <w:pPr>
        <w:pStyle w:val="ExhibitText"/>
        <w:rPr>
          <w:lang w:val="en-GB"/>
        </w:rPr>
      </w:pPr>
    </w:p>
    <w:p w14:paraId="6A754CBE" w14:textId="2E54DEBF" w:rsidR="007830E3" w:rsidRPr="0034527B" w:rsidRDefault="007830E3" w:rsidP="00C13EDD">
      <w:pPr>
        <w:pStyle w:val="Footnote"/>
        <w:rPr>
          <w:lang w:val="en-GB"/>
        </w:rPr>
      </w:pPr>
      <w:r w:rsidRPr="0034527B">
        <w:rPr>
          <w:lang w:val="en-GB"/>
        </w:rPr>
        <w:t xml:space="preserve">Source: </w:t>
      </w:r>
      <w:r w:rsidR="000F29BB" w:rsidRPr="0034527B">
        <w:rPr>
          <w:lang w:val="en-GB"/>
        </w:rPr>
        <w:t>“</w:t>
      </w:r>
      <w:r w:rsidRPr="0034527B">
        <w:rPr>
          <w:lang w:val="en-GB"/>
        </w:rPr>
        <w:t>Population and Housing Census 2011,</w:t>
      </w:r>
      <w:r w:rsidR="000F29BB" w:rsidRPr="0034527B">
        <w:rPr>
          <w:lang w:val="en-GB"/>
        </w:rPr>
        <w:t>”</w:t>
      </w:r>
      <w:r w:rsidRPr="0034527B">
        <w:rPr>
          <w:lang w:val="en-GB"/>
        </w:rPr>
        <w:t xml:space="preserve"> </w:t>
      </w:r>
      <w:r w:rsidR="003F43E7" w:rsidRPr="0034527B">
        <w:rPr>
          <w:lang w:val="en-GB"/>
        </w:rPr>
        <w:t>Bangladesh Bureau of Statistics</w:t>
      </w:r>
      <w:r w:rsidR="000F29BB" w:rsidRPr="0034527B">
        <w:rPr>
          <w:lang w:val="en-GB"/>
        </w:rPr>
        <w:t xml:space="preserve">, </w:t>
      </w:r>
      <w:r w:rsidRPr="0034527B">
        <w:rPr>
          <w:lang w:val="en-GB"/>
        </w:rPr>
        <w:t>accessed March 3, 2016</w:t>
      </w:r>
      <w:r w:rsidR="000F29BB" w:rsidRPr="0034527B">
        <w:rPr>
          <w:lang w:val="en-GB"/>
        </w:rPr>
        <w:t>,</w:t>
      </w:r>
      <w:r w:rsidRPr="0034527B">
        <w:rPr>
          <w:lang w:val="en-GB"/>
        </w:rPr>
        <w:t xml:space="preserve"> http://203.112.218.69/binbgd/RpWebEngine.exe/Portal?BASE=HPC2011_short&amp;lang=ENG</w:t>
      </w:r>
      <w:r w:rsidR="000F29BB" w:rsidRPr="0034527B">
        <w:rPr>
          <w:lang w:val="en-GB"/>
        </w:rPr>
        <w:t>;</w:t>
      </w:r>
      <w:r w:rsidRPr="0034527B">
        <w:rPr>
          <w:lang w:val="en-GB"/>
        </w:rPr>
        <w:t xml:space="preserve"> </w:t>
      </w:r>
      <w:r w:rsidR="002D27AE" w:rsidRPr="0034527B">
        <w:rPr>
          <w:lang w:val="en-GB"/>
        </w:rPr>
        <w:t xml:space="preserve">The </w:t>
      </w:r>
      <w:r w:rsidR="00C647A8" w:rsidRPr="0034527B">
        <w:rPr>
          <w:lang w:val="en-GB"/>
        </w:rPr>
        <w:t xml:space="preserve">World </w:t>
      </w:r>
      <w:r w:rsidR="000F29BB" w:rsidRPr="0034527B">
        <w:rPr>
          <w:lang w:val="en-GB"/>
        </w:rPr>
        <w:t>B</w:t>
      </w:r>
      <w:r w:rsidR="00C647A8" w:rsidRPr="0034527B">
        <w:rPr>
          <w:lang w:val="en-GB"/>
        </w:rPr>
        <w:t>ank</w:t>
      </w:r>
      <w:r w:rsidR="002D27AE" w:rsidRPr="0034527B">
        <w:rPr>
          <w:lang w:val="en-GB"/>
        </w:rPr>
        <w:t>, “</w:t>
      </w:r>
      <w:r w:rsidR="00C647A8" w:rsidRPr="0034527B">
        <w:rPr>
          <w:lang w:val="en-GB"/>
        </w:rPr>
        <w:t xml:space="preserve">GDP per </w:t>
      </w:r>
      <w:r w:rsidR="002D27AE" w:rsidRPr="0034527B">
        <w:rPr>
          <w:lang w:val="en-GB"/>
        </w:rPr>
        <w:t>C</w:t>
      </w:r>
      <w:r w:rsidR="00C647A8" w:rsidRPr="0034527B">
        <w:rPr>
          <w:lang w:val="en-GB"/>
        </w:rPr>
        <w:t>apita (</w:t>
      </w:r>
      <w:r w:rsidR="002D27AE" w:rsidRPr="0034527B">
        <w:rPr>
          <w:lang w:val="en-GB"/>
        </w:rPr>
        <w:t>C</w:t>
      </w:r>
      <w:r w:rsidR="00C647A8" w:rsidRPr="0034527B">
        <w:rPr>
          <w:lang w:val="en-GB"/>
        </w:rPr>
        <w:t>urrent US$),</w:t>
      </w:r>
      <w:r w:rsidR="002D27AE" w:rsidRPr="0034527B">
        <w:rPr>
          <w:lang w:val="en-GB"/>
        </w:rPr>
        <w:t>” 2016, accessed April 4, 2016,</w:t>
      </w:r>
      <w:r w:rsidR="00C647A8" w:rsidRPr="0034527B">
        <w:rPr>
          <w:lang w:val="en-GB"/>
        </w:rPr>
        <w:t xml:space="preserve"> </w:t>
      </w:r>
      <w:hyperlink r:id="rId9" w:history="1">
        <w:r w:rsidR="002D27AE" w:rsidRPr="0034527B">
          <w:rPr>
            <w:lang w:val="en-GB"/>
          </w:rPr>
          <w:t>http://data.worldbank.org/indicator/NY.GDP.PCAP.CD</w:t>
        </w:r>
      </w:hyperlink>
      <w:r w:rsidR="00C647A8" w:rsidRPr="0034527B">
        <w:rPr>
          <w:lang w:val="en-GB"/>
        </w:rPr>
        <w:t>.</w:t>
      </w:r>
    </w:p>
    <w:p w14:paraId="310E14ED" w14:textId="77777777" w:rsidR="00FA1E6A" w:rsidRPr="0034527B" w:rsidRDefault="00FA1E6A" w:rsidP="00C13EDD">
      <w:pPr>
        <w:pStyle w:val="Footnote"/>
        <w:rPr>
          <w:rFonts w:eastAsia="Calibri"/>
          <w:lang w:val="en-GB"/>
        </w:rPr>
      </w:pPr>
    </w:p>
    <w:p w14:paraId="0445A443" w14:textId="77777777" w:rsidR="00FA1E6A" w:rsidRPr="0034527B" w:rsidRDefault="00FA1E6A">
      <w:pPr>
        <w:spacing w:after="200" w:line="276" w:lineRule="auto"/>
        <w:rPr>
          <w:rFonts w:ascii="Arial" w:eastAsia="Calibri" w:hAnsi="Arial" w:cs="Arial"/>
          <w:b/>
          <w:caps/>
          <w:lang w:val="en-GB"/>
        </w:rPr>
      </w:pPr>
      <w:r w:rsidRPr="0034527B">
        <w:rPr>
          <w:rFonts w:eastAsia="Calibri"/>
          <w:lang w:val="en-GB"/>
        </w:rPr>
        <w:br w:type="page"/>
      </w:r>
    </w:p>
    <w:p w14:paraId="7EBB61D9" w14:textId="4768D0C1" w:rsidR="007830E3" w:rsidRPr="0034527B" w:rsidRDefault="007830E3" w:rsidP="007830E3">
      <w:pPr>
        <w:pStyle w:val="ExhibitHeading"/>
        <w:rPr>
          <w:rFonts w:eastAsia="Calibri"/>
          <w:lang w:val="en-GB"/>
        </w:rPr>
      </w:pPr>
      <w:r w:rsidRPr="0034527B">
        <w:rPr>
          <w:rFonts w:eastAsia="Calibri"/>
          <w:lang w:val="en-GB"/>
        </w:rPr>
        <w:lastRenderedPageBreak/>
        <w:t xml:space="preserve">Exhibit 2: BRAC (Bangladesh) Statement of Income and Expenditure for the year ended December </w:t>
      </w:r>
      <w:r w:rsidR="002D27AE" w:rsidRPr="0034527B">
        <w:rPr>
          <w:rFonts w:eastAsia="Calibri"/>
          <w:lang w:val="en-GB"/>
        </w:rPr>
        <w:t xml:space="preserve">31, </w:t>
      </w:r>
      <w:r w:rsidRPr="0034527B">
        <w:rPr>
          <w:rFonts w:eastAsia="Calibri"/>
          <w:lang w:val="en-GB"/>
        </w:rPr>
        <w:t>2015</w:t>
      </w:r>
    </w:p>
    <w:p w14:paraId="75A5B4EB" w14:textId="77777777" w:rsidR="007830E3" w:rsidRPr="0034527B" w:rsidRDefault="007830E3" w:rsidP="007830E3">
      <w:pPr>
        <w:pStyle w:val="BodyTextMain"/>
        <w:rPr>
          <w:rFonts w:eastAsia="Calibri"/>
          <w:lang w:val="en-GB"/>
        </w:rPr>
      </w:pPr>
    </w:p>
    <w:tbl>
      <w:tblPr>
        <w:tblStyle w:val="TableGrid1"/>
        <w:tblW w:w="0" w:type="auto"/>
        <w:jc w:val="center"/>
        <w:tblLook w:val="04A0" w:firstRow="1" w:lastRow="0" w:firstColumn="1" w:lastColumn="0" w:noHBand="0" w:noVBand="1"/>
      </w:tblPr>
      <w:tblGrid>
        <w:gridCol w:w="4841"/>
        <w:gridCol w:w="1717"/>
      </w:tblGrid>
      <w:tr w:rsidR="007830E3" w:rsidRPr="0034527B" w14:paraId="3A441A3D" w14:textId="77777777" w:rsidTr="00D85C90">
        <w:trPr>
          <w:jc w:val="center"/>
        </w:trPr>
        <w:tc>
          <w:tcPr>
            <w:tcW w:w="0" w:type="auto"/>
          </w:tcPr>
          <w:p w14:paraId="711A9B92" w14:textId="1B1D4B9D" w:rsidR="007830E3" w:rsidRPr="0034527B" w:rsidRDefault="007830E3" w:rsidP="007830E3">
            <w:pPr>
              <w:pStyle w:val="ExhibitText"/>
              <w:rPr>
                <w:rFonts w:eastAsia="Calibri"/>
                <w:b/>
                <w:lang w:val="en-GB"/>
              </w:rPr>
            </w:pPr>
          </w:p>
        </w:tc>
        <w:tc>
          <w:tcPr>
            <w:tcW w:w="0" w:type="auto"/>
          </w:tcPr>
          <w:p w14:paraId="24CF2827" w14:textId="4DEA9529" w:rsidR="007830E3" w:rsidRPr="0034527B" w:rsidRDefault="007830E3" w:rsidP="002A44A4">
            <w:pPr>
              <w:pStyle w:val="ExhibitText"/>
              <w:jc w:val="center"/>
              <w:rPr>
                <w:rFonts w:eastAsia="Calibri"/>
                <w:b/>
                <w:lang w:val="en-GB"/>
              </w:rPr>
            </w:pPr>
            <w:r w:rsidRPr="0034527B">
              <w:rPr>
                <w:rFonts w:eastAsia="Calibri"/>
                <w:b/>
                <w:lang w:val="en-GB"/>
              </w:rPr>
              <w:t>Amount in Taka</w:t>
            </w:r>
          </w:p>
        </w:tc>
      </w:tr>
      <w:tr w:rsidR="007830E3" w:rsidRPr="0034527B" w14:paraId="211830CE" w14:textId="77777777" w:rsidTr="00D85C90">
        <w:trPr>
          <w:jc w:val="center"/>
        </w:trPr>
        <w:tc>
          <w:tcPr>
            <w:tcW w:w="0" w:type="auto"/>
            <w:gridSpan w:val="2"/>
          </w:tcPr>
          <w:p w14:paraId="61AF673B" w14:textId="77777777" w:rsidR="007830E3" w:rsidRPr="0034527B" w:rsidRDefault="007830E3" w:rsidP="007830E3">
            <w:pPr>
              <w:pStyle w:val="ExhibitText"/>
              <w:rPr>
                <w:rFonts w:eastAsia="Calibri"/>
                <w:b/>
                <w:lang w:val="en-GB"/>
              </w:rPr>
            </w:pPr>
            <w:r w:rsidRPr="0034527B">
              <w:rPr>
                <w:rFonts w:eastAsia="Calibri"/>
                <w:b/>
                <w:lang w:val="en-GB"/>
              </w:rPr>
              <w:t>Income</w:t>
            </w:r>
          </w:p>
        </w:tc>
      </w:tr>
      <w:tr w:rsidR="007830E3" w:rsidRPr="0034527B" w14:paraId="6F1C5086" w14:textId="77777777" w:rsidTr="00D85C90">
        <w:trPr>
          <w:jc w:val="center"/>
        </w:trPr>
        <w:tc>
          <w:tcPr>
            <w:tcW w:w="0" w:type="auto"/>
          </w:tcPr>
          <w:p w14:paraId="381517AB" w14:textId="3B69188B" w:rsidR="007830E3" w:rsidRPr="0034527B" w:rsidRDefault="007830E3" w:rsidP="00B11D40">
            <w:pPr>
              <w:pStyle w:val="ExhibitText"/>
              <w:rPr>
                <w:rFonts w:eastAsia="Calibri"/>
                <w:lang w:val="en-GB"/>
              </w:rPr>
            </w:pPr>
            <w:r w:rsidRPr="0034527B">
              <w:rPr>
                <w:rFonts w:eastAsia="Calibri"/>
                <w:lang w:val="en-GB"/>
              </w:rPr>
              <w:t xml:space="preserve">Donor </w:t>
            </w:r>
            <w:r w:rsidR="00B11D40" w:rsidRPr="0034527B">
              <w:rPr>
                <w:rFonts w:eastAsia="Calibri"/>
                <w:lang w:val="en-GB"/>
              </w:rPr>
              <w:t>G</w:t>
            </w:r>
            <w:r w:rsidRPr="0034527B">
              <w:rPr>
                <w:rFonts w:eastAsia="Calibri"/>
                <w:lang w:val="en-GB"/>
              </w:rPr>
              <w:t>rants</w:t>
            </w:r>
          </w:p>
        </w:tc>
        <w:tc>
          <w:tcPr>
            <w:tcW w:w="0" w:type="auto"/>
          </w:tcPr>
          <w:p w14:paraId="1C39C3E1" w14:textId="77777777" w:rsidR="007830E3" w:rsidRPr="0034527B" w:rsidRDefault="007830E3" w:rsidP="007830E3">
            <w:pPr>
              <w:pStyle w:val="ExhibitText"/>
              <w:jc w:val="right"/>
              <w:rPr>
                <w:rFonts w:eastAsia="Calibri"/>
                <w:lang w:val="en-GB"/>
              </w:rPr>
            </w:pPr>
            <w:r w:rsidRPr="0034527B">
              <w:rPr>
                <w:rFonts w:eastAsia="Calibri"/>
                <w:lang w:val="en-GB"/>
              </w:rPr>
              <w:t>13,785,992,217</w:t>
            </w:r>
          </w:p>
        </w:tc>
      </w:tr>
      <w:tr w:rsidR="007830E3" w:rsidRPr="0034527B" w14:paraId="32BD3546" w14:textId="77777777" w:rsidTr="00D85C90">
        <w:trPr>
          <w:jc w:val="center"/>
        </w:trPr>
        <w:tc>
          <w:tcPr>
            <w:tcW w:w="0" w:type="auto"/>
          </w:tcPr>
          <w:p w14:paraId="2C4A10F4" w14:textId="77777777" w:rsidR="007830E3" w:rsidRPr="0034527B" w:rsidRDefault="007830E3" w:rsidP="007830E3">
            <w:pPr>
              <w:pStyle w:val="ExhibitText"/>
              <w:rPr>
                <w:rFonts w:eastAsia="Calibri"/>
                <w:lang w:val="en-GB"/>
              </w:rPr>
            </w:pPr>
            <w:r w:rsidRPr="0034527B">
              <w:rPr>
                <w:rFonts w:eastAsia="Calibri"/>
                <w:lang w:val="en-GB"/>
              </w:rPr>
              <w:t>Social Enterprises</w:t>
            </w:r>
          </w:p>
        </w:tc>
        <w:tc>
          <w:tcPr>
            <w:tcW w:w="0" w:type="auto"/>
          </w:tcPr>
          <w:p w14:paraId="30792640" w14:textId="77777777" w:rsidR="007830E3" w:rsidRPr="0034527B" w:rsidRDefault="007830E3" w:rsidP="007830E3">
            <w:pPr>
              <w:pStyle w:val="ExhibitText"/>
              <w:jc w:val="right"/>
              <w:rPr>
                <w:rFonts w:eastAsia="Calibri"/>
                <w:lang w:val="en-GB"/>
              </w:rPr>
            </w:pPr>
            <w:r w:rsidRPr="0034527B">
              <w:rPr>
                <w:rFonts w:eastAsia="Calibri"/>
                <w:lang w:val="en-GB"/>
              </w:rPr>
              <w:t>13,345,427,760</w:t>
            </w:r>
          </w:p>
        </w:tc>
      </w:tr>
      <w:tr w:rsidR="007830E3" w:rsidRPr="0034527B" w14:paraId="1111647D" w14:textId="77777777" w:rsidTr="00D85C90">
        <w:trPr>
          <w:jc w:val="center"/>
        </w:trPr>
        <w:tc>
          <w:tcPr>
            <w:tcW w:w="0" w:type="auto"/>
          </w:tcPr>
          <w:p w14:paraId="1FB197F9" w14:textId="6E321EAE" w:rsidR="007830E3" w:rsidRPr="0034527B" w:rsidRDefault="007830E3" w:rsidP="00B11D40">
            <w:pPr>
              <w:pStyle w:val="ExhibitText"/>
              <w:rPr>
                <w:rFonts w:eastAsia="Calibri"/>
                <w:lang w:val="en-GB"/>
              </w:rPr>
            </w:pPr>
            <w:r w:rsidRPr="0034527B">
              <w:rPr>
                <w:rFonts w:eastAsia="Calibri"/>
                <w:lang w:val="en-GB"/>
              </w:rPr>
              <w:t>Microfinance Programme</w:t>
            </w:r>
          </w:p>
        </w:tc>
        <w:tc>
          <w:tcPr>
            <w:tcW w:w="0" w:type="auto"/>
          </w:tcPr>
          <w:p w14:paraId="7B1FE141" w14:textId="77777777" w:rsidR="007830E3" w:rsidRPr="0034527B" w:rsidRDefault="007830E3" w:rsidP="007830E3">
            <w:pPr>
              <w:pStyle w:val="ExhibitText"/>
              <w:jc w:val="right"/>
              <w:rPr>
                <w:rFonts w:eastAsia="Calibri"/>
                <w:lang w:val="en-GB"/>
              </w:rPr>
            </w:pPr>
            <w:r w:rsidRPr="0034527B">
              <w:rPr>
                <w:rFonts w:eastAsia="Calibri"/>
                <w:lang w:val="en-GB"/>
              </w:rPr>
              <w:t>26,682,363,975</w:t>
            </w:r>
          </w:p>
        </w:tc>
      </w:tr>
      <w:tr w:rsidR="007830E3" w:rsidRPr="0034527B" w14:paraId="712BF725" w14:textId="77777777" w:rsidTr="00D85C90">
        <w:trPr>
          <w:jc w:val="center"/>
        </w:trPr>
        <w:tc>
          <w:tcPr>
            <w:tcW w:w="0" w:type="auto"/>
          </w:tcPr>
          <w:p w14:paraId="6348DC36" w14:textId="49DF4D62" w:rsidR="007830E3" w:rsidRPr="0034527B" w:rsidRDefault="007830E3" w:rsidP="00B11D40">
            <w:pPr>
              <w:pStyle w:val="ExhibitText"/>
              <w:rPr>
                <w:rFonts w:eastAsia="Calibri"/>
                <w:lang w:val="en-GB"/>
              </w:rPr>
            </w:pPr>
            <w:r w:rsidRPr="0034527B">
              <w:rPr>
                <w:rFonts w:eastAsia="Calibri"/>
                <w:lang w:val="en-GB"/>
              </w:rPr>
              <w:t>Self-</w:t>
            </w:r>
            <w:r w:rsidR="00B11D40" w:rsidRPr="0034527B">
              <w:rPr>
                <w:rFonts w:eastAsia="Calibri"/>
                <w:lang w:val="en-GB"/>
              </w:rPr>
              <w:t>F</w:t>
            </w:r>
            <w:r w:rsidRPr="0034527B">
              <w:rPr>
                <w:rFonts w:eastAsia="Calibri"/>
                <w:lang w:val="en-GB"/>
              </w:rPr>
              <w:t>inancing Social Development Programmes</w:t>
            </w:r>
          </w:p>
        </w:tc>
        <w:tc>
          <w:tcPr>
            <w:tcW w:w="0" w:type="auto"/>
          </w:tcPr>
          <w:p w14:paraId="7D34E46C" w14:textId="77777777" w:rsidR="007830E3" w:rsidRPr="0034527B" w:rsidRDefault="007830E3" w:rsidP="007830E3">
            <w:pPr>
              <w:pStyle w:val="ExhibitText"/>
              <w:jc w:val="right"/>
              <w:rPr>
                <w:rFonts w:eastAsia="Calibri"/>
                <w:lang w:val="en-GB"/>
              </w:rPr>
            </w:pPr>
            <w:r w:rsidRPr="0034527B">
              <w:rPr>
                <w:rFonts w:eastAsia="Calibri"/>
                <w:lang w:val="en-GB"/>
              </w:rPr>
              <w:t>1,055,881,151</w:t>
            </w:r>
          </w:p>
        </w:tc>
      </w:tr>
      <w:tr w:rsidR="007830E3" w:rsidRPr="0034527B" w14:paraId="556EB54B" w14:textId="77777777" w:rsidTr="00D85C90">
        <w:trPr>
          <w:jc w:val="center"/>
        </w:trPr>
        <w:tc>
          <w:tcPr>
            <w:tcW w:w="0" w:type="auto"/>
          </w:tcPr>
          <w:p w14:paraId="3EB546A5" w14:textId="77777777" w:rsidR="007830E3" w:rsidRPr="0034527B" w:rsidRDefault="007830E3" w:rsidP="007830E3">
            <w:pPr>
              <w:pStyle w:val="ExhibitText"/>
              <w:rPr>
                <w:rFonts w:eastAsia="Calibri"/>
                <w:lang w:val="en-GB"/>
              </w:rPr>
            </w:pPr>
            <w:r w:rsidRPr="0034527B">
              <w:rPr>
                <w:rFonts w:eastAsia="Calibri"/>
                <w:lang w:val="en-GB"/>
              </w:rPr>
              <w:t>Investment Income</w:t>
            </w:r>
          </w:p>
        </w:tc>
        <w:tc>
          <w:tcPr>
            <w:tcW w:w="0" w:type="auto"/>
          </w:tcPr>
          <w:p w14:paraId="4B63F9B0" w14:textId="77777777" w:rsidR="007830E3" w:rsidRPr="0034527B" w:rsidRDefault="007830E3" w:rsidP="007830E3">
            <w:pPr>
              <w:pStyle w:val="ExhibitText"/>
              <w:jc w:val="right"/>
              <w:rPr>
                <w:rFonts w:eastAsia="Calibri"/>
                <w:lang w:val="en-GB"/>
              </w:rPr>
            </w:pPr>
            <w:r w:rsidRPr="0034527B">
              <w:rPr>
                <w:rFonts w:eastAsia="Calibri"/>
                <w:lang w:val="en-GB"/>
              </w:rPr>
              <w:t>1,739,681,517</w:t>
            </w:r>
          </w:p>
        </w:tc>
      </w:tr>
      <w:tr w:rsidR="007830E3" w:rsidRPr="0034527B" w14:paraId="7AD65F20" w14:textId="77777777" w:rsidTr="00D85C90">
        <w:trPr>
          <w:jc w:val="center"/>
        </w:trPr>
        <w:tc>
          <w:tcPr>
            <w:tcW w:w="0" w:type="auto"/>
          </w:tcPr>
          <w:p w14:paraId="132DEEB7" w14:textId="77777777" w:rsidR="007830E3" w:rsidRPr="0034527B" w:rsidRDefault="007830E3" w:rsidP="007830E3">
            <w:pPr>
              <w:pStyle w:val="ExhibitText"/>
              <w:rPr>
                <w:rFonts w:eastAsia="Calibri"/>
                <w:lang w:val="en-GB"/>
              </w:rPr>
            </w:pPr>
            <w:r w:rsidRPr="0034527B">
              <w:rPr>
                <w:rFonts w:eastAsia="Calibri"/>
                <w:lang w:val="en-GB"/>
              </w:rPr>
              <w:t>House Property</w:t>
            </w:r>
          </w:p>
        </w:tc>
        <w:tc>
          <w:tcPr>
            <w:tcW w:w="0" w:type="auto"/>
          </w:tcPr>
          <w:p w14:paraId="642BAE9B" w14:textId="77777777" w:rsidR="007830E3" w:rsidRPr="0034527B" w:rsidRDefault="007830E3" w:rsidP="007830E3">
            <w:pPr>
              <w:pStyle w:val="ExhibitText"/>
              <w:jc w:val="right"/>
              <w:rPr>
                <w:rFonts w:eastAsia="Calibri"/>
                <w:lang w:val="en-GB"/>
              </w:rPr>
            </w:pPr>
            <w:r w:rsidRPr="0034527B">
              <w:rPr>
                <w:rFonts w:eastAsia="Calibri"/>
                <w:lang w:val="en-GB"/>
              </w:rPr>
              <w:t>92,370,223</w:t>
            </w:r>
          </w:p>
        </w:tc>
      </w:tr>
      <w:tr w:rsidR="007830E3" w:rsidRPr="0034527B" w14:paraId="2719D6DC" w14:textId="77777777" w:rsidTr="00D85C90">
        <w:trPr>
          <w:jc w:val="center"/>
        </w:trPr>
        <w:tc>
          <w:tcPr>
            <w:tcW w:w="0" w:type="auto"/>
          </w:tcPr>
          <w:p w14:paraId="0D0C4145" w14:textId="16A88DFB" w:rsidR="007830E3" w:rsidRPr="0034527B" w:rsidRDefault="007830E3" w:rsidP="00B11D40">
            <w:pPr>
              <w:pStyle w:val="ExhibitText"/>
              <w:rPr>
                <w:rFonts w:eastAsia="Calibri"/>
                <w:b/>
                <w:lang w:val="en-GB"/>
              </w:rPr>
            </w:pPr>
            <w:r w:rsidRPr="0034527B">
              <w:rPr>
                <w:rFonts w:eastAsia="Calibri"/>
                <w:b/>
                <w:lang w:val="en-GB"/>
              </w:rPr>
              <w:t xml:space="preserve">Total </w:t>
            </w:r>
            <w:r w:rsidR="00B11D40" w:rsidRPr="0034527B">
              <w:rPr>
                <w:rFonts w:eastAsia="Calibri"/>
                <w:b/>
                <w:lang w:val="en-GB"/>
              </w:rPr>
              <w:t>I</w:t>
            </w:r>
            <w:r w:rsidRPr="0034527B">
              <w:rPr>
                <w:rFonts w:eastAsia="Calibri"/>
                <w:b/>
                <w:lang w:val="en-GB"/>
              </w:rPr>
              <w:t>ncome</w:t>
            </w:r>
          </w:p>
        </w:tc>
        <w:tc>
          <w:tcPr>
            <w:tcW w:w="0" w:type="auto"/>
          </w:tcPr>
          <w:p w14:paraId="2A30A43F" w14:textId="77777777" w:rsidR="007830E3" w:rsidRPr="0034527B" w:rsidRDefault="007830E3" w:rsidP="007830E3">
            <w:pPr>
              <w:pStyle w:val="ExhibitText"/>
              <w:jc w:val="right"/>
              <w:rPr>
                <w:rFonts w:eastAsia="Calibri"/>
                <w:b/>
                <w:lang w:val="en-GB"/>
              </w:rPr>
            </w:pPr>
            <w:r w:rsidRPr="0034527B">
              <w:rPr>
                <w:rFonts w:eastAsia="Calibri"/>
                <w:b/>
                <w:lang w:val="en-GB"/>
              </w:rPr>
              <w:t>56,701,716,843</w:t>
            </w:r>
          </w:p>
        </w:tc>
      </w:tr>
      <w:tr w:rsidR="007830E3" w:rsidRPr="0034527B" w14:paraId="36785065" w14:textId="77777777" w:rsidTr="00D85C90">
        <w:trPr>
          <w:jc w:val="center"/>
        </w:trPr>
        <w:tc>
          <w:tcPr>
            <w:tcW w:w="0" w:type="auto"/>
            <w:gridSpan w:val="2"/>
          </w:tcPr>
          <w:p w14:paraId="255484D3" w14:textId="77777777" w:rsidR="007830E3" w:rsidRPr="0034527B" w:rsidRDefault="007830E3" w:rsidP="007830E3">
            <w:pPr>
              <w:pStyle w:val="ExhibitText"/>
              <w:rPr>
                <w:rFonts w:eastAsia="Calibri"/>
                <w:b/>
                <w:lang w:val="en-GB"/>
              </w:rPr>
            </w:pPr>
            <w:r w:rsidRPr="0034527B">
              <w:rPr>
                <w:rFonts w:eastAsia="Calibri"/>
                <w:b/>
                <w:lang w:val="en-GB"/>
              </w:rPr>
              <w:t>Expenditure</w:t>
            </w:r>
          </w:p>
        </w:tc>
      </w:tr>
      <w:tr w:rsidR="007830E3" w:rsidRPr="0034527B" w14:paraId="7A5A4E05" w14:textId="77777777" w:rsidTr="00D85C90">
        <w:trPr>
          <w:jc w:val="center"/>
        </w:trPr>
        <w:tc>
          <w:tcPr>
            <w:tcW w:w="0" w:type="auto"/>
          </w:tcPr>
          <w:p w14:paraId="40B0FFF1" w14:textId="77777777" w:rsidR="007830E3" w:rsidRPr="0034527B" w:rsidRDefault="007830E3" w:rsidP="007830E3">
            <w:pPr>
              <w:pStyle w:val="ExhibitText"/>
              <w:rPr>
                <w:rFonts w:eastAsia="Calibri"/>
                <w:lang w:val="en-GB"/>
              </w:rPr>
            </w:pPr>
            <w:r w:rsidRPr="0034527B">
              <w:rPr>
                <w:rFonts w:eastAsia="Calibri"/>
                <w:lang w:val="en-GB"/>
              </w:rPr>
              <w:t>Social Enterprises</w:t>
            </w:r>
          </w:p>
        </w:tc>
        <w:tc>
          <w:tcPr>
            <w:tcW w:w="0" w:type="auto"/>
          </w:tcPr>
          <w:p w14:paraId="6157A4CE" w14:textId="77777777" w:rsidR="007830E3" w:rsidRPr="0034527B" w:rsidRDefault="007830E3" w:rsidP="007830E3">
            <w:pPr>
              <w:pStyle w:val="ExhibitText"/>
              <w:jc w:val="right"/>
              <w:rPr>
                <w:rFonts w:eastAsia="Calibri"/>
                <w:lang w:val="en-GB"/>
              </w:rPr>
            </w:pPr>
            <w:r w:rsidRPr="0034527B">
              <w:rPr>
                <w:rFonts w:eastAsia="Calibri"/>
                <w:lang w:val="en-GB"/>
              </w:rPr>
              <w:t>11,747,263,079</w:t>
            </w:r>
          </w:p>
        </w:tc>
      </w:tr>
      <w:tr w:rsidR="007830E3" w:rsidRPr="0034527B" w14:paraId="4FCC86B4" w14:textId="77777777" w:rsidTr="00D85C90">
        <w:trPr>
          <w:jc w:val="center"/>
        </w:trPr>
        <w:tc>
          <w:tcPr>
            <w:tcW w:w="0" w:type="auto"/>
          </w:tcPr>
          <w:p w14:paraId="75701830" w14:textId="5B5BA6CE" w:rsidR="007830E3" w:rsidRPr="0034527B" w:rsidRDefault="007830E3" w:rsidP="00B11D40">
            <w:pPr>
              <w:pStyle w:val="ExhibitText"/>
              <w:rPr>
                <w:rFonts w:eastAsia="Calibri"/>
                <w:lang w:val="en-GB"/>
              </w:rPr>
            </w:pPr>
            <w:r w:rsidRPr="0034527B">
              <w:rPr>
                <w:rFonts w:eastAsia="Calibri"/>
                <w:lang w:val="en-GB"/>
              </w:rPr>
              <w:t>Micro</w:t>
            </w:r>
            <w:r w:rsidR="00B11D40" w:rsidRPr="0034527B">
              <w:rPr>
                <w:rFonts w:eastAsia="Calibri"/>
                <w:lang w:val="en-GB"/>
              </w:rPr>
              <w:t>f</w:t>
            </w:r>
            <w:r w:rsidRPr="0034527B">
              <w:rPr>
                <w:rFonts w:eastAsia="Calibri"/>
                <w:lang w:val="en-GB"/>
              </w:rPr>
              <w:t>inance Programme</w:t>
            </w:r>
          </w:p>
        </w:tc>
        <w:tc>
          <w:tcPr>
            <w:tcW w:w="0" w:type="auto"/>
          </w:tcPr>
          <w:p w14:paraId="685CEBBC" w14:textId="77777777" w:rsidR="007830E3" w:rsidRPr="0034527B" w:rsidRDefault="007830E3" w:rsidP="007830E3">
            <w:pPr>
              <w:pStyle w:val="ExhibitText"/>
              <w:jc w:val="right"/>
              <w:rPr>
                <w:rFonts w:eastAsia="Calibri"/>
                <w:lang w:val="en-GB"/>
              </w:rPr>
            </w:pPr>
            <w:r w:rsidRPr="0034527B">
              <w:rPr>
                <w:rFonts w:eastAsia="Calibri"/>
                <w:lang w:val="en-GB"/>
              </w:rPr>
              <w:t>15,244,367,848</w:t>
            </w:r>
          </w:p>
        </w:tc>
      </w:tr>
      <w:tr w:rsidR="007830E3" w:rsidRPr="0034527B" w14:paraId="5993E832" w14:textId="77777777" w:rsidTr="00D85C90">
        <w:trPr>
          <w:jc w:val="center"/>
        </w:trPr>
        <w:tc>
          <w:tcPr>
            <w:tcW w:w="0" w:type="auto"/>
          </w:tcPr>
          <w:p w14:paraId="74588772" w14:textId="77777777" w:rsidR="007830E3" w:rsidRPr="0034527B" w:rsidRDefault="007830E3" w:rsidP="007830E3">
            <w:pPr>
              <w:pStyle w:val="ExhibitText"/>
              <w:rPr>
                <w:rFonts w:eastAsia="Calibri"/>
                <w:lang w:val="en-GB"/>
              </w:rPr>
            </w:pPr>
            <w:r w:rsidRPr="0034527B">
              <w:rPr>
                <w:rFonts w:eastAsia="Calibri"/>
                <w:lang w:val="en-GB"/>
              </w:rPr>
              <w:t>House Property</w:t>
            </w:r>
          </w:p>
        </w:tc>
        <w:tc>
          <w:tcPr>
            <w:tcW w:w="0" w:type="auto"/>
          </w:tcPr>
          <w:p w14:paraId="03511B60" w14:textId="77777777" w:rsidR="007830E3" w:rsidRPr="0034527B" w:rsidRDefault="007830E3" w:rsidP="007830E3">
            <w:pPr>
              <w:pStyle w:val="ExhibitText"/>
              <w:jc w:val="right"/>
              <w:rPr>
                <w:rFonts w:eastAsia="Calibri"/>
                <w:lang w:val="en-GB"/>
              </w:rPr>
            </w:pPr>
            <w:r w:rsidRPr="0034527B">
              <w:rPr>
                <w:rFonts w:eastAsia="Calibri"/>
                <w:lang w:val="en-GB"/>
              </w:rPr>
              <w:t>99,443,136</w:t>
            </w:r>
          </w:p>
        </w:tc>
      </w:tr>
      <w:tr w:rsidR="007830E3" w:rsidRPr="0034527B" w14:paraId="6333665C" w14:textId="77777777" w:rsidTr="00D85C90">
        <w:trPr>
          <w:jc w:val="center"/>
        </w:trPr>
        <w:tc>
          <w:tcPr>
            <w:tcW w:w="0" w:type="auto"/>
          </w:tcPr>
          <w:p w14:paraId="1A3FBA75" w14:textId="77777777" w:rsidR="007830E3" w:rsidRPr="0034527B" w:rsidRDefault="007830E3" w:rsidP="007830E3">
            <w:pPr>
              <w:pStyle w:val="ExhibitText"/>
              <w:rPr>
                <w:rFonts w:eastAsia="Calibri"/>
                <w:lang w:val="en-GB"/>
              </w:rPr>
            </w:pPr>
            <w:r w:rsidRPr="0034527B">
              <w:rPr>
                <w:rFonts w:eastAsia="Calibri"/>
                <w:lang w:val="en-GB"/>
              </w:rPr>
              <w:t>Agriculture and Food Security</w:t>
            </w:r>
          </w:p>
        </w:tc>
        <w:tc>
          <w:tcPr>
            <w:tcW w:w="0" w:type="auto"/>
          </w:tcPr>
          <w:p w14:paraId="19E0E164" w14:textId="77777777" w:rsidR="007830E3" w:rsidRPr="0034527B" w:rsidRDefault="007830E3" w:rsidP="007830E3">
            <w:pPr>
              <w:pStyle w:val="ExhibitText"/>
              <w:jc w:val="right"/>
              <w:rPr>
                <w:rFonts w:eastAsia="Calibri"/>
                <w:lang w:val="en-GB"/>
              </w:rPr>
            </w:pPr>
            <w:r w:rsidRPr="0034527B">
              <w:rPr>
                <w:rFonts w:eastAsia="Calibri"/>
                <w:lang w:val="en-GB"/>
              </w:rPr>
              <w:t>334,185,896</w:t>
            </w:r>
          </w:p>
        </w:tc>
      </w:tr>
      <w:tr w:rsidR="007830E3" w:rsidRPr="0034527B" w14:paraId="2D565A30" w14:textId="77777777" w:rsidTr="00D85C90">
        <w:trPr>
          <w:jc w:val="center"/>
        </w:trPr>
        <w:tc>
          <w:tcPr>
            <w:tcW w:w="0" w:type="auto"/>
          </w:tcPr>
          <w:p w14:paraId="45EAB7A1" w14:textId="7553C097" w:rsidR="007830E3" w:rsidRPr="0034527B" w:rsidRDefault="007830E3" w:rsidP="00B11D40">
            <w:pPr>
              <w:pStyle w:val="ExhibitText"/>
              <w:rPr>
                <w:rFonts w:eastAsia="Calibri"/>
                <w:lang w:val="en-GB"/>
              </w:rPr>
            </w:pPr>
            <w:r w:rsidRPr="0034527B">
              <w:rPr>
                <w:rFonts w:eastAsia="Calibri"/>
                <w:lang w:val="en-GB"/>
              </w:rPr>
              <w:t>Community Empowerment Programme</w:t>
            </w:r>
          </w:p>
        </w:tc>
        <w:tc>
          <w:tcPr>
            <w:tcW w:w="0" w:type="auto"/>
          </w:tcPr>
          <w:p w14:paraId="58937E05" w14:textId="77777777" w:rsidR="007830E3" w:rsidRPr="0034527B" w:rsidRDefault="007830E3" w:rsidP="007830E3">
            <w:pPr>
              <w:pStyle w:val="ExhibitText"/>
              <w:jc w:val="right"/>
              <w:rPr>
                <w:rFonts w:eastAsia="Calibri"/>
                <w:lang w:val="en-GB"/>
              </w:rPr>
            </w:pPr>
            <w:r w:rsidRPr="0034527B">
              <w:rPr>
                <w:rFonts w:eastAsia="Calibri"/>
                <w:lang w:val="en-GB"/>
              </w:rPr>
              <w:t>364,919,588</w:t>
            </w:r>
          </w:p>
        </w:tc>
      </w:tr>
      <w:tr w:rsidR="007830E3" w:rsidRPr="0034527B" w14:paraId="7A4D7B14" w14:textId="77777777" w:rsidTr="00D85C90">
        <w:trPr>
          <w:jc w:val="center"/>
        </w:trPr>
        <w:tc>
          <w:tcPr>
            <w:tcW w:w="0" w:type="auto"/>
          </w:tcPr>
          <w:p w14:paraId="64CEAB24" w14:textId="742ED0C8" w:rsidR="007830E3" w:rsidRPr="0034527B" w:rsidRDefault="007830E3" w:rsidP="00B11D40">
            <w:pPr>
              <w:pStyle w:val="ExhibitText"/>
              <w:rPr>
                <w:rFonts w:eastAsia="Calibri"/>
                <w:lang w:val="en-GB"/>
              </w:rPr>
            </w:pPr>
            <w:r w:rsidRPr="0034527B">
              <w:rPr>
                <w:rFonts w:eastAsia="Calibri"/>
                <w:lang w:val="en-GB"/>
              </w:rPr>
              <w:t>Education Programme</w:t>
            </w:r>
          </w:p>
        </w:tc>
        <w:tc>
          <w:tcPr>
            <w:tcW w:w="0" w:type="auto"/>
          </w:tcPr>
          <w:p w14:paraId="67887DC2" w14:textId="77777777" w:rsidR="007830E3" w:rsidRPr="0034527B" w:rsidRDefault="007830E3" w:rsidP="007830E3">
            <w:pPr>
              <w:pStyle w:val="ExhibitText"/>
              <w:jc w:val="right"/>
              <w:rPr>
                <w:rFonts w:eastAsia="Calibri"/>
                <w:lang w:val="en-GB"/>
              </w:rPr>
            </w:pPr>
            <w:r w:rsidRPr="0034527B">
              <w:rPr>
                <w:rFonts w:eastAsia="Calibri"/>
                <w:lang w:val="en-GB"/>
              </w:rPr>
              <w:t>5,569,214,047</w:t>
            </w:r>
          </w:p>
        </w:tc>
      </w:tr>
      <w:tr w:rsidR="007830E3" w:rsidRPr="0034527B" w14:paraId="405DD41E" w14:textId="77777777" w:rsidTr="00D85C90">
        <w:trPr>
          <w:jc w:val="center"/>
        </w:trPr>
        <w:tc>
          <w:tcPr>
            <w:tcW w:w="0" w:type="auto"/>
          </w:tcPr>
          <w:p w14:paraId="097794EC" w14:textId="77777777" w:rsidR="007830E3" w:rsidRPr="0034527B" w:rsidRDefault="007830E3" w:rsidP="007830E3">
            <w:pPr>
              <w:pStyle w:val="ExhibitText"/>
              <w:rPr>
                <w:rFonts w:eastAsia="Calibri"/>
                <w:lang w:val="en-GB"/>
              </w:rPr>
            </w:pPr>
            <w:r w:rsidRPr="0034527B">
              <w:rPr>
                <w:rFonts w:eastAsia="Calibri"/>
                <w:lang w:val="en-GB"/>
              </w:rPr>
              <w:t>Gender, Justice and Diversity</w:t>
            </w:r>
          </w:p>
        </w:tc>
        <w:tc>
          <w:tcPr>
            <w:tcW w:w="0" w:type="auto"/>
          </w:tcPr>
          <w:p w14:paraId="4B98CF84" w14:textId="77777777" w:rsidR="007830E3" w:rsidRPr="0034527B" w:rsidRDefault="007830E3" w:rsidP="007830E3">
            <w:pPr>
              <w:pStyle w:val="ExhibitText"/>
              <w:jc w:val="right"/>
              <w:rPr>
                <w:rFonts w:eastAsia="Calibri"/>
                <w:lang w:val="en-GB"/>
              </w:rPr>
            </w:pPr>
            <w:r w:rsidRPr="0034527B">
              <w:rPr>
                <w:rFonts w:eastAsia="Calibri"/>
                <w:lang w:val="en-GB"/>
              </w:rPr>
              <w:t>402,633,544</w:t>
            </w:r>
          </w:p>
        </w:tc>
      </w:tr>
      <w:tr w:rsidR="007830E3" w:rsidRPr="0034527B" w14:paraId="2FE329BE" w14:textId="77777777" w:rsidTr="00D85C90">
        <w:trPr>
          <w:jc w:val="center"/>
        </w:trPr>
        <w:tc>
          <w:tcPr>
            <w:tcW w:w="0" w:type="auto"/>
          </w:tcPr>
          <w:p w14:paraId="6A9F6294" w14:textId="4EFFFEE1" w:rsidR="007830E3" w:rsidRPr="0034527B" w:rsidRDefault="007830E3" w:rsidP="00B11D40">
            <w:pPr>
              <w:pStyle w:val="ExhibitText"/>
              <w:rPr>
                <w:rFonts w:eastAsia="Calibri"/>
                <w:lang w:val="en-GB"/>
              </w:rPr>
            </w:pPr>
            <w:r w:rsidRPr="0034527B">
              <w:rPr>
                <w:rFonts w:eastAsia="Calibri"/>
                <w:lang w:val="en-GB"/>
              </w:rPr>
              <w:t>Health Programme</w:t>
            </w:r>
          </w:p>
        </w:tc>
        <w:tc>
          <w:tcPr>
            <w:tcW w:w="0" w:type="auto"/>
          </w:tcPr>
          <w:p w14:paraId="7F95C63E" w14:textId="77777777" w:rsidR="007830E3" w:rsidRPr="0034527B" w:rsidRDefault="007830E3" w:rsidP="007830E3">
            <w:pPr>
              <w:pStyle w:val="ExhibitText"/>
              <w:jc w:val="right"/>
              <w:rPr>
                <w:rFonts w:eastAsia="Calibri"/>
                <w:lang w:val="en-GB"/>
              </w:rPr>
            </w:pPr>
            <w:r w:rsidRPr="0034527B">
              <w:rPr>
                <w:rFonts w:eastAsia="Calibri"/>
                <w:lang w:val="en-GB"/>
              </w:rPr>
              <w:t>4,578,956,175</w:t>
            </w:r>
          </w:p>
        </w:tc>
      </w:tr>
      <w:tr w:rsidR="007830E3" w:rsidRPr="0034527B" w14:paraId="1DE46893" w14:textId="77777777" w:rsidTr="00D85C90">
        <w:trPr>
          <w:jc w:val="center"/>
        </w:trPr>
        <w:tc>
          <w:tcPr>
            <w:tcW w:w="0" w:type="auto"/>
          </w:tcPr>
          <w:p w14:paraId="38C5232F" w14:textId="77777777" w:rsidR="007830E3" w:rsidRPr="0034527B" w:rsidRDefault="007830E3" w:rsidP="007830E3">
            <w:pPr>
              <w:pStyle w:val="ExhibitText"/>
              <w:rPr>
                <w:rFonts w:eastAsia="Calibri"/>
                <w:lang w:val="en-GB"/>
              </w:rPr>
            </w:pPr>
            <w:r w:rsidRPr="0034527B">
              <w:rPr>
                <w:rFonts w:eastAsia="Calibri"/>
                <w:lang w:val="en-GB"/>
              </w:rPr>
              <w:t>Human Rights and Legal Aids Services</w:t>
            </w:r>
          </w:p>
        </w:tc>
        <w:tc>
          <w:tcPr>
            <w:tcW w:w="0" w:type="auto"/>
          </w:tcPr>
          <w:p w14:paraId="7DE38EA6" w14:textId="77777777" w:rsidR="007830E3" w:rsidRPr="0034527B" w:rsidRDefault="007830E3" w:rsidP="007830E3">
            <w:pPr>
              <w:pStyle w:val="ExhibitText"/>
              <w:jc w:val="right"/>
              <w:rPr>
                <w:rFonts w:eastAsia="Calibri"/>
                <w:lang w:val="en-GB"/>
              </w:rPr>
            </w:pPr>
            <w:r w:rsidRPr="0034527B">
              <w:rPr>
                <w:rFonts w:eastAsia="Calibri"/>
                <w:lang w:val="en-GB"/>
              </w:rPr>
              <w:t>271,203,344</w:t>
            </w:r>
          </w:p>
        </w:tc>
      </w:tr>
      <w:tr w:rsidR="007830E3" w:rsidRPr="0034527B" w14:paraId="36334051" w14:textId="77777777" w:rsidTr="00D85C90">
        <w:trPr>
          <w:jc w:val="center"/>
        </w:trPr>
        <w:tc>
          <w:tcPr>
            <w:tcW w:w="0" w:type="auto"/>
          </w:tcPr>
          <w:p w14:paraId="5E8C8307" w14:textId="77777777" w:rsidR="007830E3" w:rsidRPr="0034527B" w:rsidRDefault="007830E3" w:rsidP="007830E3">
            <w:pPr>
              <w:pStyle w:val="ExhibitText"/>
              <w:rPr>
                <w:rFonts w:eastAsia="Calibri"/>
                <w:lang w:val="en-GB"/>
              </w:rPr>
            </w:pPr>
            <w:r w:rsidRPr="0034527B">
              <w:rPr>
                <w:rFonts w:eastAsia="Calibri"/>
                <w:lang w:val="en-GB"/>
              </w:rPr>
              <w:t>Policy Advocacy</w:t>
            </w:r>
          </w:p>
        </w:tc>
        <w:tc>
          <w:tcPr>
            <w:tcW w:w="0" w:type="auto"/>
          </w:tcPr>
          <w:p w14:paraId="4F8B8327" w14:textId="77777777" w:rsidR="007830E3" w:rsidRPr="0034527B" w:rsidRDefault="007830E3" w:rsidP="007830E3">
            <w:pPr>
              <w:pStyle w:val="ExhibitText"/>
              <w:jc w:val="right"/>
              <w:rPr>
                <w:rFonts w:eastAsia="Calibri"/>
                <w:lang w:val="en-GB"/>
              </w:rPr>
            </w:pPr>
            <w:r w:rsidRPr="0034527B">
              <w:rPr>
                <w:rFonts w:eastAsia="Calibri"/>
                <w:lang w:val="en-GB"/>
              </w:rPr>
              <w:t>170,883,319</w:t>
            </w:r>
          </w:p>
        </w:tc>
      </w:tr>
      <w:tr w:rsidR="007830E3" w:rsidRPr="0034527B" w14:paraId="3C48E11E" w14:textId="77777777" w:rsidTr="00D85C90">
        <w:trPr>
          <w:jc w:val="center"/>
        </w:trPr>
        <w:tc>
          <w:tcPr>
            <w:tcW w:w="0" w:type="auto"/>
          </w:tcPr>
          <w:p w14:paraId="67373266" w14:textId="51521244" w:rsidR="007830E3" w:rsidRPr="0034527B" w:rsidRDefault="007830E3" w:rsidP="00B11D40">
            <w:pPr>
              <w:pStyle w:val="ExhibitText"/>
              <w:rPr>
                <w:rFonts w:eastAsia="Calibri"/>
                <w:lang w:val="en-GB"/>
              </w:rPr>
            </w:pPr>
            <w:r w:rsidRPr="0034527B">
              <w:rPr>
                <w:rFonts w:eastAsia="Calibri"/>
                <w:lang w:val="en-GB"/>
              </w:rPr>
              <w:t>Water, Sanitation and Hygiene Programme</w:t>
            </w:r>
          </w:p>
        </w:tc>
        <w:tc>
          <w:tcPr>
            <w:tcW w:w="0" w:type="auto"/>
          </w:tcPr>
          <w:p w14:paraId="4B955E20" w14:textId="77777777" w:rsidR="007830E3" w:rsidRPr="0034527B" w:rsidRDefault="007830E3" w:rsidP="007830E3">
            <w:pPr>
              <w:pStyle w:val="ExhibitText"/>
              <w:jc w:val="right"/>
              <w:rPr>
                <w:rFonts w:eastAsia="Calibri"/>
                <w:lang w:val="en-GB"/>
              </w:rPr>
            </w:pPr>
            <w:r w:rsidRPr="0034527B">
              <w:rPr>
                <w:rFonts w:eastAsia="Calibri"/>
                <w:lang w:val="en-GB"/>
              </w:rPr>
              <w:t>1,218,247,312</w:t>
            </w:r>
          </w:p>
        </w:tc>
      </w:tr>
      <w:tr w:rsidR="007830E3" w:rsidRPr="0034527B" w14:paraId="62C9B786" w14:textId="77777777" w:rsidTr="00D85C90">
        <w:trPr>
          <w:jc w:val="center"/>
        </w:trPr>
        <w:tc>
          <w:tcPr>
            <w:tcW w:w="0" w:type="auto"/>
          </w:tcPr>
          <w:p w14:paraId="52F12087" w14:textId="40A19D09" w:rsidR="007830E3" w:rsidRPr="0034527B" w:rsidRDefault="00576A16" w:rsidP="00B11D40">
            <w:pPr>
              <w:pStyle w:val="ExhibitText"/>
              <w:rPr>
                <w:rFonts w:eastAsia="Calibri"/>
                <w:lang w:val="en-GB"/>
              </w:rPr>
            </w:pPr>
            <w:r w:rsidRPr="0034527B">
              <w:rPr>
                <w:rFonts w:eastAsia="Calibri"/>
                <w:lang w:val="en-GB"/>
              </w:rPr>
              <w:t>Ultra-Poor</w:t>
            </w:r>
            <w:r w:rsidR="007830E3" w:rsidRPr="0034527B">
              <w:rPr>
                <w:rFonts w:eastAsia="Calibri"/>
                <w:lang w:val="en-GB"/>
              </w:rPr>
              <w:t xml:space="preserve"> Programme</w:t>
            </w:r>
          </w:p>
        </w:tc>
        <w:tc>
          <w:tcPr>
            <w:tcW w:w="0" w:type="auto"/>
          </w:tcPr>
          <w:p w14:paraId="0779B2B6" w14:textId="77777777" w:rsidR="007830E3" w:rsidRPr="0034527B" w:rsidRDefault="007830E3" w:rsidP="007830E3">
            <w:pPr>
              <w:pStyle w:val="ExhibitText"/>
              <w:jc w:val="right"/>
              <w:rPr>
                <w:rFonts w:eastAsia="Calibri"/>
                <w:lang w:val="en-GB"/>
              </w:rPr>
            </w:pPr>
            <w:r w:rsidRPr="0034527B">
              <w:rPr>
                <w:rFonts w:eastAsia="Calibri"/>
                <w:lang w:val="en-GB"/>
              </w:rPr>
              <w:t>2,779,602,037</w:t>
            </w:r>
          </w:p>
        </w:tc>
      </w:tr>
      <w:tr w:rsidR="007830E3" w:rsidRPr="0034527B" w14:paraId="2F7F8395" w14:textId="77777777" w:rsidTr="00D85C90">
        <w:trPr>
          <w:jc w:val="center"/>
        </w:trPr>
        <w:tc>
          <w:tcPr>
            <w:tcW w:w="0" w:type="auto"/>
          </w:tcPr>
          <w:p w14:paraId="6F926D7D" w14:textId="77777777" w:rsidR="007830E3" w:rsidRPr="0034527B" w:rsidRDefault="007830E3" w:rsidP="007830E3">
            <w:pPr>
              <w:pStyle w:val="ExhibitText"/>
              <w:rPr>
                <w:rFonts w:eastAsia="Calibri"/>
                <w:lang w:val="en-GB"/>
              </w:rPr>
            </w:pPr>
            <w:r w:rsidRPr="0034527B">
              <w:rPr>
                <w:rFonts w:eastAsia="Calibri"/>
                <w:lang w:val="en-GB"/>
              </w:rPr>
              <w:t>Other Development Projects</w:t>
            </w:r>
          </w:p>
        </w:tc>
        <w:tc>
          <w:tcPr>
            <w:tcW w:w="0" w:type="auto"/>
          </w:tcPr>
          <w:p w14:paraId="5F7F3E22" w14:textId="77777777" w:rsidR="007830E3" w:rsidRPr="0034527B" w:rsidRDefault="007830E3" w:rsidP="007830E3">
            <w:pPr>
              <w:pStyle w:val="ExhibitText"/>
              <w:jc w:val="right"/>
              <w:rPr>
                <w:rFonts w:eastAsia="Calibri"/>
                <w:lang w:val="en-GB"/>
              </w:rPr>
            </w:pPr>
            <w:r w:rsidRPr="0034527B">
              <w:rPr>
                <w:rFonts w:eastAsia="Calibri"/>
                <w:lang w:val="en-GB"/>
              </w:rPr>
              <w:t>851,311,420</w:t>
            </w:r>
          </w:p>
        </w:tc>
      </w:tr>
      <w:tr w:rsidR="007830E3" w:rsidRPr="0034527B" w14:paraId="2B437B61" w14:textId="77777777" w:rsidTr="00D85C90">
        <w:trPr>
          <w:jc w:val="center"/>
        </w:trPr>
        <w:tc>
          <w:tcPr>
            <w:tcW w:w="0" w:type="auto"/>
          </w:tcPr>
          <w:p w14:paraId="49E7ADD1" w14:textId="661B17C2" w:rsidR="007830E3" w:rsidRPr="0034527B" w:rsidRDefault="007830E3" w:rsidP="00B11D40">
            <w:pPr>
              <w:pStyle w:val="ExhibitText"/>
              <w:rPr>
                <w:rFonts w:eastAsia="Calibri"/>
                <w:b/>
                <w:lang w:val="en-GB"/>
              </w:rPr>
            </w:pPr>
            <w:r w:rsidRPr="0034527B">
              <w:rPr>
                <w:rFonts w:eastAsia="Calibri"/>
                <w:b/>
                <w:lang w:val="en-GB"/>
              </w:rPr>
              <w:t xml:space="preserve">Total </w:t>
            </w:r>
            <w:r w:rsidR="00B11D40" w:rsidRPr="0034527B">
              <w:rPr>
                <w:rFonts w:eastAsia="Calibri"/>
                <w:b/>
                <w:lang w:val="en-GB"/>
              </w:rPr>
              <w:t>E</w:t>
            </w:r>
            <w:r w:rsidRPr="0034527B">
              <w:rPr>
                <w:rFonts w:eastAsia="Calibri"/>
                <w:b/>
                <w:lang w:val="en-GB"/>
              </w:rPr>
              <w:t>xpenditure</w:t>
            </w:r>
          </w:p>
        </w:tc>
        <w:tc>
          <w:tcPr>
            <w:tcW w:w="0" w:type="auto"/>
          </w:tcPr>
          <w:p w14:paraId="5803F7BA" w14:textId="77777777" w:rsidR="007830E3" w:rsidRPr="0034527B" w:rsidRDefault="007830E3" w:rsidP="007830E3">
            <w:pPr>
              <w:pStyle w:val="ExhibitText"/>
              <w:jc w:val="right"/>
              <w:rPr>
                <w:rFonts w:eastAsia="Calibri"/>
                <w:b/>
                <w:lang w:val="en-GB"/>
              </w:rPr>
            </w:pPr>
            <w:r w:rsidRPr="0034527B">
              <w:rPr>
                <w:rFonts w:eastAsia="Calibri"/>
                <w:b/>
                <w:lang w:val="en-GB"/>
              </w:rPr>
              <w:t>43,632,230,745</w:t>
            </w:r>
          </w:p>
        </w:tc>
      </w:tr>
      <w:tr w:rsidR="007830E3" w:rsidRPr="0034527B" w14:paraId="72B4AC81" w14:textId="77777777" w:rsidTr="00D85C90">
        <w:trPr>
          <w:jc w:val="center"/>
        </w:trPr>
        <w:tc>
          <w:tcPr>
            <w:tcW w:w="0" w:type="auto"/>
          </w:tcPr>
          <w:p w14:paraId="56E105CA" w14:textId="7E79F335" w:rsidR="007830E3" w:rsidRPr="0034527B" w:rsidRDefault="007830E3" w:rsidP="00B11D40">
            <w:pPr>
              <w:pStyle w:val="ExhibitText"/>
              <w:rPr>
                <w:rFonts w:eastAsia="Calibri"/>
                <w:lang w:val="en-GB"/>
              </w:rPr>
            </w:pPr>
            <w:r w:rsidRPr="0034527B">
              <w:rPr>
                <w:rFonts w:eastAsia="Calibri"/>
                <w:lang w:val="en-GB"/>
              </w:rPr>
              <w:t xml:space="preserve">Surplus of </w:t>
            </w:r>
            <w:r w:rsidR="00B11D40" w:rsidRPr="0034527B">
              <w:rPr>
                <w:rFonts w:eastAsia="Calibri"/>
                <w:lang w:val="en-GB"/>
              </w:rPr>
              <w:t>I</w:t>
            </w:r>
            <w:r w:rsidRPr="0034527B">
              <w:rPr>
                <w:rFonts w:eastAsia="Calibri"/>
                <w:lang w:val="en-GB"/>
              </w:rPr>
              <w:t xml:space="preserve">ncome over </w:t>
            </w:r>
            <w:r w:rsidR="00B11D40" w:rsidRPr="0034527B">
              <w:rPr>
                <w:rFonts w:eastAsia="Calibri"/>
                <w:lang w:val="en-GB"/>
              </w:rPr>
              <w:t>E</w:t>
            </w:r>
            <w:r w:rsidRPr="0034527B">
              <w:rPr>
                <w:rFonts w:eastAsia="Calibri"/>
                <w:lang w:val="en-GB"/>
              </w:rPr>
              <w:t xml:space="preserve">xpenditure before </w:t>
            </w:r>
            <w:r w:rsidR="00B11D40" w:rsidRPr="0034527B">
              <w:rPr>
                <w:rFonts w:eastAsia="Calibri"/>
                <w:lang w:val="en-GB"/>
              </w:rPr>
              <w:t>T</w:t>
            </w:r>
            <w:r w:rsidRPr="0034527B">
              <w:rPr>
                <w:rFonts w:eastAsia="Calibri"/>
                <w:lang w:val="en-GB"/>
              </w:rPr>
              <w:t>axation</w:t>
            </w:r>
          </w:p>
        </w:tc>
        <w:tc>
          <w:tcPr>
            <w:tcW w:w="0" w:type="auto"/>
          </w:tcPr>
          <w:p w14:paraId="11A7F026" w14:textId="77777777" w:rsidR="007830E3" w:rsidRPr="0034527B" w:rsidRDefault="007830E3" w:rsidP="007830E3">
            <w:pPr>
              <w:pStyle w:val="ExhibitText"/>
              <w:jc w:val="right"/>
              <w:rPr>
                <w:rFonts w:eastAsia="Calibri"/>
                <w:lang w:val="en-GB"/>
              </w:rPr>
            </w:pPr>
            <w:r w:rsidRPr="0034527B">
              <w:rPr>
                <w:rFonts w:eastAsia="Calibri"/>
                <w:lang w:val="en-GB"/>
              </w:rPr>
              <w:t>13,069,486,098</w:t>
            </w:r>
          </w:p>
        </w:tc>
      </w:tr>
      <w:tr w:rsidR="007830E3" w:rsidRPr="0034527B" w14:paraId="111584DE" w14:textId="77777777" w:rsidTr="00D85C90">
        <w:trPr>
          <w:jc w:val="center"/>
        </w:trPr>
        <w:tc>
          <w:tcPr>
            <w:tcW w:w="0" w:type="auto"/>
          </w:tcPr>
          <w:p w14:paraId="184AD4BD" w14:textId="77777777" w:rsidR="007830E3" w:rsidRPr="0034527B" w:rsidRDefault="007830E3" w:rsidP="007830E3">
            <w:pPr>
              <w:pStyle w:val="ExhibitText"/>
              <w:rPr>
                <w:rFonts w:eastAsia="Calibri"/>
                <w:lang w:val="en-GB"/>
              </w:rPr>
            </w:pPr>
            <w:r w:rsidRPr="0034527B">
              <w:rPr>
                <w:rFonts w:eastAsia="Calibri"/>
                <w:lang w:val="en-GB"/>
              </w:rPr>
              <w:t>Taxation</w:t>
            </w:r>
          </w:p>
        </w:tc>
        <w:tc>
          <w:tcPr>
            <w:tcW w:w="0" w:type="auto"/>
          </w:tcPr>
          <w:p w14:paraId="09D02484" w14:textId="5BD942E9" w:rsidR="007830E3" w:rsidRPr="0034527B" w:rsidRDefault="00B11D40" w:rsidP="00B11D40">
            <w:pPr>
              <w:pStyle w:val="ExhibitText"/>
              <w:jc w:val="right"/>
              <w:rPr>
                <w:rFonts w:eastAsia="Calibri"/>
                <w:lang w:val="en-GB"/>
              </w:rPr>
            </w:pPr>
            <w:r w:rsidRPr="0034527B">
              <w:rPr>
                <w:rFonts w:eastAsia="Calibri"/>
                <w:lang w:val="en-GB"/>
              </w:rPr>
              <w:t>−</w:t>
            </w:r>
            <w:r w:rsidR="007830E3" w:rsidRPr="0034527B">
              <w:rPr>
                <w:rFonts w:eastAsia="Calibri"/>
                <w:lang w:val="en-GB"/>
              </w:rPr>
              <w:t>165,000,000</w:t>
            </w:r>
          </w:p>
        </w:tc>
      </w:tr>
      <w:tr w:rsidR="007830E3" w:rsidRPr="0034527B" w14:paraId="1248CC2A" w14:textId="77777777" w:rsidTr="00D85C90">
        <w:trPr>
          <w:jc w:val="center"/>
        </w:trPr>
        <w:tc>
          <w:tcPr>
            <w:tcW w:w="0" w:type="auto"/>
          </w:tcPr>
          <w:p w14:paraId="0196F2DF" w14:textId="552DDDB7" w:rsidR="007830E3" w:rsidRPr="0034527B" w:rsidRDefault="007830E3" w:rsidP="00B11D40">
            <w:pPr>
              <w:pStyle w:val="ExhibitText"/>
              <w:rPr>
                <w:rFonts w:eastAsia="Calibri"/>
                <w:b/>
                <w:lang w:val="en-GB"/>
              </w:rPr>
            </w:pPr>
            <w:r w:rsidRPr="0034527B">
              <w:rPr>
                <w:rFonts w:eastAsia="Calibri"/>
                <w:b/>
                <w:lang w:val="en-GB"/>
              </w:rPr>
              <w:t xml:space="preserve">Net </w:t>
            </w:r>
            <w:r w:rsidR="00B11D40" w:rsidRPr="0034527B">
              <w:rPr>
                <w:rFonts w:eastAsia="Calibri"/>
                <w:b/>
                <w:lang w:val="en-GB"/>
              </w:rPr>
              <w:t>S</w:t>
            </w:r>
            <w:r w:rsidRPr="0034527B">
              <w:rPr>
                <w:rFonts w:eastAsia="Calibri"/>
                <w:b/>
                <w:lang w:val="en-GB"/>
              </w:rPr>
              <w:t xml:space="preserve">urplus for the </w:t>
            </w:r>
            <w:r w:rsidR="00B11D40" w:rsidRPr="0034527B">
              <w:rPr>
                <w:rFonts w:eastAsia="Calibri"/>
                <w:b/>
                <w:lang w:val="en-GB"/>
              </w:rPr>
              <w:t>Y</w:t>
            </w:r>
            <w:r w:rsidRPr="0034527B">
              <w:rPr>
                <w:rFonts w:eastAsia="Calibri"/>
                <w:b/>
                <w:lang w:val="en-GB"/>
              </w:rPr>
              <w:t>ear</w:t>
            </w:r>
          </w:p>
        </w:tc>
        <w:tc>
          <w:tcPr>
            <w:tcW w:w="0" w:type="auto"/>
          </w:tcPr>
          <w:p w14:paraId="16F00DA9" w14:textId="77777777" w:rsidR="007830E3" w:rsidRPr="0034527B" w:rsidRDefault="007830E3" w:rsidP="007830E3">
            <w:pPr>
              <w:pStyle w:val="ExhibitText"/>
              <w:jc w:val="right"/>
              <w:rPr>
                <w:rFonts w:eastAsia="Calibri"/>
                <w:b/>
                <w:lang w:val="en-GB"/>
              </w:rPr>
            </w:pPr>
            <w:r w:rsidRPr="0034527B">
              <w:rPr>
                <w:rFonts w:eastAsia="Calibri"/>
                <w:b/>
                <w:lang w:val="en-GB"/>
              </w:rPr>
              <w:t>12,904,486,098</w:t>
            </w:r>
          </w:p>
        </w:tc>
      </w:tr>
    </w:tbl>
    <w:p w14:paraId="0DCD15FB" w14:textId="77777777" w:rsidR="007830E3" w:rsidRPr="0034527B" w:rsidRDefault="007830E3" w:rsidP="007830E3">
      <w:pPr>
        <w:pStyle w:val="BodyTextMain"/>
        <w:rPr>
          <w:rFonts w:eastAsia="Calibri"/>
          <w:shd w:val="clear" w:color="auto" w:fill="F9F9F9"/>
          <w:lang w:val="en-GB"/>
        </w:rPr>
      </w:pPr>
    </w:p>
    <w:p w14:paraId="0FD0E82F" w14:textId="0F06429F" w:rsidR="007830E3" w:rsidRPr="0034527B" w:rsidRDefault="002D27AE" w:rsidP="007830E3">
      <w:pPr>
        <w:pStyle w:val="Footnote"/>
        <w:rPr>
          <w:rFonts w:eastAsia="Calibri"/>
          <w:lang w:val="en-GB"/>
        </w:rPr>
      </w:pPr>
      <w:r w:rsidRPr="0034527B">
        <w:rPr>
          <w:rFonts w:eastAsia="Calibri"/>
          <w:lang w:val="en-GB"/>
        </w:rPr>
        <w:t xml:space="preserve">Note: Taka = </w:t>
      </w:r>
      <w:r w:rsidRPr="0034527B">
        <w:rPr>
          <w:lang w:val="en-GB"/>
        </w:rPr>
        <w:t xml:space="preserve">BDT = Bangladeshi taka; </w:t>
      </w:r>
      <w:r w:rsidR="00AD1850" w:rsidRPr="0034527B">
        <w:rPr>
          <w:rFonts w:eastAsia="Calibri"/>
          <w:lang w:val="en-GB"/>
        </w:rPr>
        <w:t>1</w:t>
      </w:r>
      <w:r w:rsidR="007830E3" w:rsidRPr="0034527B">
        <w:rPr>
          <w:rFonts w:eastAsia="Calibri"/>
          <w:lang w:val="en-GB"/>
        </w:rPr>
        <w:t xml:space="preserve"> </w:t>
      </w:r>
      <w:r w:rsidR="00B11D40" w:rsidRPr="0034527B">
        <w:rPr>
          <w:rFonts w:eastAsia="Calibri"/>
          <w:lang w:val="en-GB"/>
        </w:rPr>
        <w:t>t</w:t>
      </w:r>
      <w:r w:rsidR="007830E3" w:rsidRPr="0034527B">
        <w:rPr>
          <w:rFonts w:eastAsia="Calibri"/>
          <w:lang w:val="en-GB"/>
        </w:rPr>
        <w:t>aka</w:t>
      </w:r>
      <w:r w:rsidR="00AD1850" w:rsidRPr="0034527B">
        <w:rPr>
          <w:rFonts w:eastAsia="Calibri"/>
          <w:lang w:val="en-GB"/>
        </w:rPr>
        <w:t xml:space="preserve"> = US$0.0126</w:t>
      </w:r>
      <w:r w:rsidR="007830E3" w:rsidRPr="0034527B">
        <w:rPr>
          <w:rFonts w:eastAsia="Calibri"/>
          <w:lang w:val="en-GB"/>
        </w:rPr>
        <w:t xml:space="preserve"> on December 31, 2015.</w:t>
      </w:r>
    </w:p>
    <w:p w14:paraId="5C68126D" w14:textId="77777777" w:rsidR="007830E3" w:rsidRPr="0034527B" w:rsidRDefault="007830E3" w:rsidP="007830E3">
      <w:pPr>
        <w:pStyle w:val="Footnote"/>
        <w:rPr>
          <w:rFonts w:eastAsia="Calibri"/>
          <w:lang w:val="en-GB"/>
        </w:rPr>
      </w:pPr>
      <w:r w:rsidRPr="0034527B">
        <w:rPr>
          <w:rFonts w:eastAsia="Calibri"/>
          <w:lang w:val="en-GB"/>
        </w:rPr>
        <w:t>Source: Company files.</w:t>
      </w:r>
    </w:p>
    <w:p w14:paraId="1F97BC66" w14:textId="77777777" w:rsidR="001E7664" w:rsidRPr="0034527B" w:rsidRDefault="001E7664" w:rsidP="001E7664">
      <w:pPr>
        <w:pStyle w:val="BodyTextMain"/>
        <w:rPr>
          <w:lang w:val="en-GB"/>
        </w:rPr>
      </w:pPr>
    </w:p>
    <w:p w14:paraId="1B235A4A" w14:textId="77777777" w:rsidR="001E7664" w:rsidRPr="0034527B" w:rsidRDefault="001E7664" w:rsidP="001E7664">
      <w:pPr>
        <w:pStyle w:val="BodyTextMain"/>
        <w:rPr>
          <w:lang w:val="en-GB"/>
        </w:rPr>
      </w:pPr>
    </w:p>
    <w:p w14:paraId="364B9C6E" w14:textId="77777777" w:rsidR="00FA1E6A" w:rsidRPr="0034527B" w:rsidRDefault="00FA1E6A">
      <w:pPr>
        <w:spacing w:after="200" w:line="276" w:lineRule="auto"/>
        <w:rPr>
          <w:rFonts w:ascii="Arial" w:eastAsia="Calibri" w:hAnsi="Arial" w:cs="Arial"/>
          <w:b/>
          <w:caps/>
          <w:lang w:val="en-GB"/>
        </w:rPr>
      </w:pPr>
      <w:r w:rsidRPr="0034527B">
        <w:rPr>
          <w:rFonts w:eastAsia="Calibri"/>
          <w:lang w:val="en-GB"/>
        </w:rPr>
        <w:br w:type="page"/>
      </w:r>
    </w:p>
    <w:p w14:paraId="0DBCEFBF" w14:textId="2922FE89" w:rsidR="001E7664" w:rsidRPr="0034527B" w:rsidRDefault="001E7664" w:rsidP="001E7664">
      <w:pPr>
        <w:pStyle w:val="ExhibitHeading"/>
        <w:rPr>
          <w:rFonts w:eastAsia="Calibri"/>
          <w:lang w:val="en-GB"/>
        </w:rPr>
      </w:pPr>
      <w:r w:rsidRPr="0034527B">
        <w:rPr>
          <w:rFonts w:eastAsia="Calibri"/>
          <w:lang w:val="en-GB"/>
        </w:rPr>
        <w:lastRenderedPageBreak/>
        <w:t xml:space="preserve">Exhibit 3: </w:t>
      </w:r>
      <w:r w:rsidR="00943752" w:rsidRPr="0034527B">
        <w:rPr>
          <w:rFonts w:eastAsia="Calibri"/>
          <w:lang w:val="en-GB"/>
        </w:rPr>
        <w:t xml:space="preserve">BRAC’s </w:t>
      </w:r>
      <w:r w:rsidRPr="0034527B">
        <w:rPr>
          <w:rFonts w:eastAsia="Calibri"/>
          <w:lang w:val="en-GB"/>
        </w:rPr>
        <w:t>Development Programs</w:t>
      </w:r>
    </w:p>
    <w:p w14:paraId="4165EBBD" w14:textId="77777777" w:rsidR="00FA1E6A" w:rsidRPr="0034527B" w:rsidRDefault="00FA1E6A" w:rsidP="001E7664">
      <w:pPr>
        <w:pStyle w:val="ExhibitText"/>
        <w:rPr>
          <w:rFonts w:eastAsia="Calibri"/>
          <w:lang w:val="en-GB"/>
        </w:rPr>
      </w:pPr>
    </w:p>
    <w:p w14:paraId="7E118221" w14:textId="3B55AEF3" w:rsidR="001E7664" w:rsidRPr="0034527B" w:rsidRDefault="001E7664" w:rsidP="00FA1E6A">
      <w:pPr>
        <w:pStyle w:val="ExhibitText"/>
        <w:numPr>
          <w:ilvl w:val="0"/>
          <w:numId w:val="29"/>
        </w:numPr>
        <w:rPr>
          <w:rFonts w:eastAsia="Calibri"/>
          <w:lang w:val="en-GB"/>
        </w:rPr>
      </w:pPr>
      <w:r w:rsidRPr="0034527B">
        <w:rPr>
          <w:rFonts w:eastAsia="Calibri"/>
          <w:lang w:val="en-GB"/>
        </w:rPr>
        <w:t>The Disaster Management and Climate Change programs included predicting disasters</w:t>
      </w:r>
      <w:r w:rsidR="00943752" w:rsidRPr="0034527B">
        <w:rPr>
          <w:rFonts w:eastAsia="Calibri"/>
          <w:lang w:val="en-GB"/>
        </w:rPr>
        <w:t>,</w:t>
      </w:r>
      <w:r w:rsidRPr="0034527B">
        <w:rPr>
          <w:rFonts w:eastAsia="Calibri"/>
          <w:lang w:val="en-GB"/>
        </w:rPr>
        <w:t xml:space="preserve"> and developing community</w:t>
      </w:r>
      <w:r w:rsidR="00943752" w:rsidRPr="0034527B">
        <w:rPr>
          <w:rFonts w:eastAsia="Calibri"/>
          <w:lang w:val="en-GB"/>
        </w:rPr>
        <w:t>-</w:t>
      </w:r>
      <w:r w:rsidRPr="0034527B">
        <w:rPr>
          <w:rFonts w:eastAsia="Calibri"/>
          <w:lang w:val="en-GB"/>
        </w:rPr>
        <w:t>level preparedness and coping abilities for these disasters.</w:t>
      </w:r>
    </w:p>
    <w:p w14:paraId="00BA2F57" w14:textId="78441954"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The Health, </w:t>
      </w:r>
      <w:r w:rsidR="00943752" w:rsidRPr="0034527B">
        <w:rPr>
          <w:rFonts w:eastAsia="Calibri"/>
          <w:lang w:val="en-GB"/>
        </w:rPr>
        <w:t>N</w:t>
      </w:r>
      <w:r w:rsidRPr="0034527B">
        <w:rPr>
          <w:rFonts w:eastAsia="Calibri"/>
          <w:lang w:val="en-GB"/>
        </w:rPr>
        <w:t xml:space="preserve">utrition and </w:t>
      </w:r>
      <w:r w:rsidR="00943752" w:rsidRPr="0034527B">
        <w:rPr>
          <w:rFonts w:eastAsia="Calibri"/>
          <w:lang w:val="en-GB"/>
        </w:rPr>
        <w:t>P</w:t>
      </w:r>
      <w:r w:rsidRPr="0034527B">
        <w:rPr>
          <w:rFonts w:eastAsia="Calibri"/>
          <w:lang w:val="en-GB"/>
        </w:rPr>
        <w:t xml:space="preserve">opulation program focused on improving maternal health, reducing neonatal mortality, eliminating communicable diseases </w:t>
      </w:r>
      <w:r w:rsidR="00943752" w:rsidRPr="0034527B">
        <w:rPr>
          <w:rFonts w:eastAsia="Calibri"/>
          <w:lang w:val="en-GB"/>
        </w:rPr>
        <w:t>such as</w:t>
      </w:r>
      <w:r w:rsidRPr="0034527B">
        <w:rPr>
          <w:rFonts w:eastAsia="Calibri"/>
          <w:lang w:val="en-GB"/>
        </w:rPr>
        <w:t xml:space="preserve"> tuberculosis</w:t>
      </w:r>
      <w:r w:rsidR="00943752" w:rsidRPr="0034527B">
        <w:rPr>
          <w:rFonts w:eastAsia="Calibri"/>
          <w:lang w:val="en-GB"/>
        </w:rPr>
        <w:t>,</w:t>
      </w:r>
      <w:r w:rsidRPr="0034527B">
        <w:rPr>
          <w:rFonts w:eastAsia="Calibri"/>
          <w:lang w:val="en-GB"/>
        </w:rPr>
        <w:t xml:space="preserve"> and combating non</w:t>
      </w:r>
      <w:r w:rsidR="00F02E08" w:rsidRPr="0034527B">
        <w:rPr>
          <w:rFonts w:eastAsia="Calibri"/>
          <w:lang w:val="en-GB"/>
        </w:rPr>
        <w:t>-</w:t>
      </w:r>
      <w:r w:rsidRPr="0034527B">
        <w:rPr>
          <w:rFonts w:eastAsia="Calibri"/>
          <w:lang w:val="en-GB"/>
        </w:rPr>
        <w:t xml:space="preserve">communicable diseases. </w:t>
      </w:r>
      <w:r w:rsidR="00943752" w:rsidRPr="0034527B">
        <w:rPr>
          <w:rFonts w:eastAsia="Calibri"/>
          <w:lang w:val="en-GB"/>
        </w:rPr>
        <w:t>The program</w:t>
      </w:r>
      <w:r w:rsidRPr="0034527B">
        <w:rPr>
          <w:rFonts w:eastAsia="Calibri"/>
          <w:lang w:val="en-GB"/>
        </w:rPr>
        <w:t xml:space="preserve"> reached the under-privileged community through its community health workers</w:t>
      </w:r>
      <w:r w:rsidR="00943752" w:rsidRPr="0034527B">
        <w:rPr>
          <w:rFonts w:eastAsia="Calibri"/>
          <w:lang w:val="en-GB"/>
        </w:rPr>
        <w:t>,</w:t>
      </w:r>
      <w:r w:rsidRPr="0034527B">
        <w:rPr>
          <w:rFonts w:eastAsia="Calibri"/>
          <w:lang w:val="en-GB"/>
        </w:rPr>
        <w:t xml:space="preserve"> and adopted a door</w:t>
      </w:r>
      <w:r w:rsidR="00943752" w:rsidRPr="0034527B">
        <w:rPr>
          <w:rFonts w:eastAsia="Calibri"/>
          <w:lang w:val="en-GB"/>
        </w:rPr>
        <w:t>-</w:t>
      </w:r>
      <w:r w:rsidRPr="0034527B">
        <w:rPr>
          <w:rFonts w:eastAsia="Calibri"/>
          <w:lang w:val="en-GB"/>
        </w:rPr>
        <w:t>to</w:t>
      </w:r>
      <w:r w:rsidR="00943752" w:rsidRPr="0034527B">
        <w:rPr>
          <w:rFonts w:eastAsia="Calibri"/>
          <w:lang w:val="en-GB"/>
        </w:rPr>
        <w:t>-</w:t>
      </w:r>
      <w:r w:rsidRPr="0034527B">
        <w:rPr>
          <w:rFonts w:eastAsia="Calibri"/>
          <w:lang w:val="en-GB"/>
        </w:rPr>
        <w:t xml:space="preserve">door service delivery approach. </w:t>
      </w:r>
    </w:p>
    <w:p w14:paraId="01B6E01F" w14:textId="182C200C"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The Water, </w:t>
      </w:r>
      <w:r w:rsidR="00943752" w:rsidRPr="0034527B">
        <w:rPr>
          <w:rFonts w:eastAsia="Calibri"/>
          <w:lang w:val="en-GB"/>
        </w:rPr>
        <w:t>S</w:t>
      </w:r>
      <w:r w:rsidRPr="0034527B">
        <w:rPr>
          <w:rFonts w:eastAsia="Calibri"/>
          <w:lang w:val="en-GB"/>
        </w:rPr>
        <w:t xml:space="preserve">anitation and </w:t>
      </w:r>
      <w:r w:rsidR="00943752" w:rsidRPr="0034527B">
        <w:rPr>
          <w:rFonts w:eastAsia="Calibri"/>
          <w:lang w:val="en-GB"/>
        </w:rPr>
        <w:t>H</w:t>
      </w:r>
      <w:r w:rsidRPr="0034527B">
        <w:rPr>
          <w:rFonts w:eastAsia="Calibri"/>
          <w:lang w:val="en-GB"/>
        </w:rPr>
        <w:t>ygiene program included efforts to increase access to safe drinking water, improve basic sanitation</w:t>
      </w:r>
      <w:r w:rsidR="00943752" w:rsidRPr="0034527B">
        <w:rPr>
          <w:rFonts w:eastAsia="Calibri"/>
          <w:lang w:val="en-GB"/>
        </w:rPr>
        <w:t>,</w:t>
      </w:r>
      <w:r w:rsidRPr="0034527B">
        <w:rPr>
          <w:rFonts w:eastAsia="Calibri"/>
          <w:lang w:val="en-GB"/>
        </w:rPr>
        <w:t xml:space="preserve"> and provide hygiene education. </w:t>
      </w:r>
    </w:p>
    <w:p w14:paraId="5FC0ABA0" w14:textId="126080C7" w:rsidR="001E7664" w:rsidRPr="0034527B" w:rsidRDefault="00943752" w:rsidP="00FA1E6A">
      <w:pPr>
        <w:pStyle w:val="ExhibitText"/>
        <w:numPr>
          <w:ilvl w:val="0"/>
          <w:numId w:val="29"/>
        </w:numPr>
        <w:rPr>
          <w:rFonts w:eastAsia="Calibri"/>
          <w:lang w:val="en-GB"/>
        </w:rPr>
      </w:pPr>
      <w:r w:rsidRPr="0034527B">
        <w:rPr>
          <w:rFonts w:eastAsia="Calibri"/>
          <w:lang w:val="en-GB"/>
        </w:rPr>
        <w:t>BRAC’s</w:t>
      </w:r>
      <w:r w:rsidR="001E7664" w:rsidRPr="0034527B">
        <w:rPr>
          <w:rFonts w:eastAsia="Calibri"/>
          <w:lang w:val="en-GB"/>
        </w:rPr>
        <w:t xml:space="preserve"> </w:t>
      </w:r>
      <w:r w:rsidRPr="0034527B">
        <w:rPr>
          <w:rFonts w:eastAsia="Calibri"/>
          <w:lang w:val="en-GB"/>
        </w:rPr>
        <w:t>E</w:t>
      </w:r>
      <w:r w:rsidR="001E7664" w:rsidRPr="0034527B">
        <w:rPr>
          <w:rFonts w:eastAsia="Calibri"/>
          <w:lang w:val="en-GB"/>
        </w:rPr>
        <w:t xml:space="preserve">ducation program included setting up non-formal primary schools in communities not reached by the formal education system, livelihood and skills development training </w:t>
      </w:r>
      <w:r w:rsidRPr="0034527B">
        <w:rPr>
          <w:rFonts w:eastAsia="Calibri"/>
          <w:lang w:val="en-GB"/>
        </w:rPr>
        <w:t>for</w:t>
      </w:r>
      <w:r w:rsidR="001E7664" w:rsidRPr="0034527B">
        <w:rPr>
          <w:rFonts w:eastAsia="Calibri"/>
          <w:lang w:val="en-GB"/>
        </w:rPr>
        <w:t xml:space="preserve"> youth, and community learning centres to promote reading. </w:t>
      </w:r>
    </w:p>
    <w:p w14:paraId="7D84FE76" w14:textId="77777777"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The Migration program provided access to information and services for migrants. </w:t>
      </w:r>
    </w:p>
    <w:p w14:paraId="7222E495" w14:textId="1B390BEA"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BRAC’s Agriculture and Food Security program included developing and diffusing better crop varieties and improved production technologies for higher agricultural productivity. </w:t>
      </w:r>
    </w:p>
    <w:p w14:paraId="3FA821BD" w14:textId="7DDC23A8"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The Integrated Development </w:t>
      </w:r>
      <w:r w:rsidR="00900FBA" w:rsidRPr="0034527B">
        <w:rPr>
          <w:rFonts w:eastAsia="Calibri"/>
          <w:lang w:val="en-GB"/>
        </w:rPr>
        <w:t>p</w:t>
      </w:r>
      <w:r w:rsidRPr="0034527B">
        <w:rPr>
          <w:rFonts w:eastAsia="Calibri"/>
          <w:lang w:val="en-GB"/>
        </w:rPr>
        <w:t xml:space="preserve">rogram was launched in a couple of regions where poverty was acute and where there was </w:t>
      </w:r>
      <w:r w:rsidR="00900FBA" w:rsidRPr="0034527B">
        <w:rPr>
          <w:rFonts w:eastAsia="Calibri"/>
          <w:lang w:val="en-GB"/>
        </w:rPr>
        <w:t xml:space="preserve">a </w:t>
      </w:r>
      <w:r w:rsidRPr="0034527B">
        <w:rPr>
          <w:rFonts w:eastAsia="Calibri"/>
          <w:lang w:val="en-GB"/>
        </w:rPr>
        <w:t>high prevalence of malnutrition and diseases</w:t>
      </w:r>
      <w:r w:rsidR="00900FBA" w:rsidRPr="0034527B">
        <w:rPr>
          <w:rFonts w:eastAsia="Calibri"/>
          <w:lang w:val="en-GB"/>
        </w:rPr>
        <w:t>,</w:t>
      </w:r>
      <w:r w:rsidRPr="0034527B">
        <w:rPr>
          <w:rFonts w:eastAsia="Calibri"/>
          <w:lang w:val="en-GB"/>
        </w:rPr>
        <w:t xml:space="preserve"> to ensure that all necessary services were delivered in an efficient and timely manner. </w:t>
      </w:r>
    </w:p>
    <w:p w14:paraId="30232202" w14:textId="77777777"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Microfinance activities included loan and savings products designed to meet the needs of the people living in poverty. </w:t>
      </w:r>
    </w:p>
    <w:p w14:paraId="4EDC721B" w14:textId="0150D0C2"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Programs for the extremely poor included </w:t>
      </w:r>
      <w:r w:rsidR="00900FBA" w:rsidRPr="0034527B">
        <w:rPr>
          <w:rFonts w:eastAsia="Calibri"/>
          <w:lang w:val="en-GB"/>
        </w:rPr>
        <w:t xml:space="preserve">granting </w:t>
      </w:r>
      <w:r w:rsidRPr="0034527B">
        <w:rPr>
          <w:rFonts w:eastAsia="Calibri"/>
          <w:lang w:val="en-GB"/>
        </w:rPr>
        <w:t xml:space="preserve">asset grants or soft loans, </w:t>
      </w:r>
      <w:r w:rsidR="00900FBA" w:rsidRPr="0034527B">
        <w:rPr>
          <w:rFonts w:eastAsia="Calibri"/>
          <w:lang w:val="en-GB"/>
        </w:rPr>
        <w:t xml:space="preserve">offering </w:t>
      </w:r>
      <w:r w:rsidRPr="0034527B">
        <w:rPr>
          <w:rFonts w:eastAsia="Calibri"/>
          <w:lang w:val="en-GB"/>
        </w:rPr>
        <w:t>skill development, health</w:t>
      </w:r>
      <w:r w:rsidR="00900FBA" w:rsidRPr="0034527B">
        <w:rPr>
          <w:rFonts w:eastAsia="Calibri"/>
          <w:lang w:val="en-GB"/>
        </w:rPr>
        <w:t xml:space="preserve"> </w:t>
      </w:r>
      <w:r w:rsidRPr="0034527B">
        <w:rPr>
          <w:rFonts w:eastAsia="Calibri"/>
          <w:lang w:val="en-GB"/>
        </w:rPr>
        <w:t>care facilities</w:t>
      </w:r>
      <w:r w:rsidR="00900FBA" w:rsidRPr="0034527B">
        <w:rPr>
          <w:rFonts w:eastAsia="Calibri"/>
          <w:lang w:val="en-GB"/>
        </w:rPr>
        <w:t>,</w:t>
      </w:r>
      <w:r w:rsidRPr="0034527B">
        <w:rPr>
          <w:rFonts w:eastAsia="Calibri"/>
          <w:lang w:val="en-GB"/>
        </w:rPr>
        <w:t xml:space="preserve"> and ensuring social security through community mobili</w:t>
      </w:r>
      <w:r w:rsidR="00900FBA" w:rsidRPr="0034527B">
        <w:rPr>
          <w:rFonts w:eastAsia="Calibri"/>
          <w:lang w:val="en-GB"/>
        </w:rPr>
        <w:t>z</w:t>
      </w:r>
      <w:r w:rsidRPr="0034527B">
        <w:rPr>
          <w:rFonts w:eastAsia="Calibri"/>
          <w:lang w:val="en-GB"/>
        </w:rPr>
        <w:t xml:space="preserve">ation. </w:t>
      </w:r>
    </w:p>
    <w:p w14:paraId="7A12454E" w14:textId="0C1B6049" w:rsidR="001E7664" w:rsidRPr="0034527B" w:rsidRDefault="001E7664" w:rsidP="00FA1E6A">
      <w:pPr>
        <w:pStyle w:val="ExhibitText"/>
        <w:numPr>
          <w:ilvl w:val="0"/>
          <w:numId w:val="29"/>
        </w:numPr>
        <w:rPr>
          <w:rFonts w:eastAsia="Calibri"/>
          <w:lang w:val="en-GB"/>
        </w:rPr>
      </w:pPr>
      <w:r w:rsidRPr="0034527B">
        <w:rPr>
          <w:rFonts w:eastAsia="Calibri"/>
          <w:lang w:val="en-GB"/>
        </w:rPr>
        <w:t xml:space="preserve">The Community </w:t>
      </w:r>
      <w:r w:rsidR="00900FBA" w:rsidRPr="0034527B">
        <w:rPr>
          <w:rFonts w:eastAsia="Calibri"/>
          <w:lang w:val="en-GB"/>
        </w:rPr>
        <w:t>E</w:t>
      </w:r>
      <w:r w:rsidRPr="0034527B">
        <w:rPr>
          <w:rFonts w:eastAsia="Calibri"/>
          <w:lang w:val="en-GB"/>
        </w:rPr>
        <w:t xml:space="preserve">mpowerment program involved capacity building </w:t>
      </w:r>
      <w:r w:rsidR="00900FBA" w:rsidRPr="0034527B">
        <w:rPr>
          <w:rFonts w:eastAsia="Calibri"/>
          <w:lang w:val="en-GB"/>
        </w:rPr>
        <w:t>for</w:t>
      </w:r>
      <w:r w:rsidRPr="0034527B">
        <w:rPr>
          <w:rFonts w:eastAsia="Calibri"/>
          <w:lang w:val="en-GB"/>
        </w:rPr>
        <w:t xml:space="preserve"> the poor in order to motivate them to raise their voice</w:t>
      </w:r>
      <w:r w:rsidR="00900FBA" w:rsidRPr="0034527B">
        <w:rPr>
          <w:rFonts w:eastAsia="Calibri"/>
          <w:lang w:val="en-GB"/>
        </w:rPr>
        <w:t>s</w:t>
      </w:r>
      <w:r w:rsidRPr="0034527B">
        <w:rPr>
          <w:rFonts w:eastAsia="Calibri"/>
          <w:lang w:val="en-GB"/>
        </w:rPr>
        <w:t xml:space="preserve"> and take collective action.</w:t>
      </w:r>
    </w:p>
    <w:p w14:paraId="29F9B6D3" w14:textId="77A0B276" w:rsidR="001E7664" w:rsidRPr="0034527B" w:rsidRDefault="001E7664" w:rsidP="00FA1E6A">
      <w:pPr>
        <w:pStyle w:val="ExhibitText"/>
        <w:numPr>
          <w:ilvl w:val="0"/>
          <w:numId w:val="29"/>
        </w:numPr>
        <w:rPr>
          <w:rFonts w:eastAsia="Calibri"/>
          <w:lang w:val="en-GB"/>
        </w:rPr>
      </w:pPr>
      <w:r w:rsidRPr="0034527B">
        <w:rPr>
          <w:rFonts w:eastAsia="Calibri"/>
          <w:lang w:val="en-GB"/>
        </w:rPr>
        <w:t>The Gender</w:t>
      </w:r>
      <w:r w:rsidR="00900FBA" w:rsidRPr="0034527B">
        <w:rPr>
          <w:rFonts w:eastAsia="Calibri"/>
          <w:lang w:val="en-GB"/>
        </w:rPr>
        <w:t>,</w:t>
      </w:r>
      <w:r w:rsidRPr="0034527B">
        <w:rPr>
          <w:rFonts w:eastAsia="Calibri"/>
          <w:lang w:val="en-GB"/>
        </w:rPr>
        <w:t xml:space="preserve"> </w:t>
      </w:r>
      <w:r w:rsidR="00900FBA" w:rsidRPr="0034527B">
        <w:rPr>
          <w:rFonts w:eastAsia="Calibri"/>
          <w:lang w:val="en-GB"/>
        </w:rPr>
        <w:t>J</w:t>
      </w:r>
      <w:r w:rsidRPr="0034527B">
        <w:rPr>
          <w:rFonts w:eastAsia="Calibri"/>
          <w:lang w:val="en-GB"/>
        </w:rPr>
        <w:t xml:space="preserve">ustice and </w:t>
      </w:r>
      <w:r w:rsidR="00900FBA" w:rsidRPr="0034527B">
        <w:rPr>
          <w:rFonts w:eastAsia="Calibri"/>
          <w:lang w:val="en-GB"/>
        </w:rPr>
        <w:t>D</w:t>
      </w:r>
      <w:r w:rsidRPr="0034527B">
        <w:rPr>
          <w:rFonts w:eastAsia="Calibri"/>
          <w:lang w:val="en-GB"/>
        </w:rPr>
        <w:t>iversity program empowered women at the household level</w:t>
      </w:r>
      <w:r w:rsidR="00900FBA" w:rsidRPr="0034527B">
        <w:rPr>
          <w:rFonts w:eastAsia="Calibri"/>
          <w:lang w:val="en-GB"/>
        </w:rPr>
        <w:t>,</w:t>
      </w:r>
      <w:r w:rsidRPr="0034527B">
        <w:rPr>
          <w:rFonts w:eastAsia="Calibri"/>
          <w:lang w:val="en-GB"/>
        </w:rPr>
        <w:t xml:space="preserve"> and worked to ensure that girls and boys </w:t>
      </w:r>
      <w:r w:rsidR="00900FBA" w:rsidRPr="0034527B">
        <w:rPr>
          <w:rFonts w:eastAsia="Calibri"/>
          <w:lang w:val="en-GB"/>
        </w:rPr>
        <w:t>were</w:t>
      </w:r>
      <w:r w:rsidRPr="0034527B">
        <w:rPr>
          <w:rFonts w:eastAsia="Calibri"/>
          <w:lang w:val="en-GB"/>
        </w:rPr>
        <w:t xml:space="preserve"> equitably nurtured to their full potential</w:t>
      </w:r>
      <w:r w:rsidR="00900FBA" w:rsidRPr="0034527B">
        <w:rPr>
          <w:rFonts w:eastAsia="Calibri"/>
          <w:lang w:val="en-GB"/>
        </w:rPr>
        <w:t>,</w:t>
      </w:r>
      <w:r w:rsidRPr="0034527B">
        <w:rPr>
          <w:rFonts w:eastAsia="Calibri"/>
          <w:lang w:val="en-GB"/>
        </w:rPr>
        <w:t xml:space="preserve"> from pre-primary through secondary school. </w:t>
      </w:r>
    </w:p>
    <w:p w14:paraId="6BE78F4C" w14:textId="49FDB3A0" w:rsidR="001E7664" w:rsidRPr="0034527B" w:rsidRDefault="001E7664" w:rsidP="00FA1E6A">
      <w:pPr>
        <w:pStyle w:val="ExhibitText"/>
        <w:numPr>
          <w:ilvl w:val="0"/>
          <w:numId w:val="29"/>
        </w:numPr>
        <w:rPr>
          <w:lang w:val="en-GB"/>
        </w:rPr>
      </w:pPr>
      <w:r w:rsidRPr="0034527B">
        <w:rPr>
          <w:rFonts w:eastAsia="Calibri"/>
          <w:lang w:val="en-GB"/>
        </w:rPr>
        <w:t xml:space="preserve">The Human Rights and Legal Aid Services program operated over 400 </w:t>
      </w:r>
      <w:r w:rsidR="00F6530B" w:rsidRPr="0034527B">
        <w:rPr>
          <w:rFonts w:eastAsia="Calibri"/>
          <w:lang w:val="en-GB"/>
        </w:rPr>
        <w:t>l</w:t>
      </w:r>
      <w:r w:rsidRPr="0034527B">
        <w:rPr>
          <w:rFonts w:eastAsia="Calibri"/>
          <w:lang w:val="en-GB"/>
        </w:rPr>
        <w:t xml:space="preserve">egal </w:t>
      </w:r>
      <w:r w:rsidR="00F6530B" w:rsidRPr="0034527B">
        <w:rPr>
          <w:rFonts w:eastAsia="Calibri"/>
          <w:lang w:val="en-GB"/>
        </w:rPr>
        <w:t>a</w:t>
      </w:r>
      <w:r w:rsidRPr="0034527B">
        <w:rPr>
          <w:rFonts w:eastAsia="Calibri"/>
          <w:lang w:val="en-GB"/>
        </w:rPr>
        <w:t xml:space="preserve">id </w:t>
      </w:r>
      <w:r w:rsidR="00900FBA" w:rsidRPr="0034527B">
        <w:rPr>
          <w:rFonts w:eastAsia="Calibri"/>
          <w:lang w:val="en-GB"/>
        </w:rPr>
        <w:t>c</w:t>
      </w:r>
      <w:r w:rsidRPr="0034527B">
        <w:rPr>
          <w:rFonts w:eastAsia="Calibri"/>
          <w:lang w:val="en-GB"/>
        </w:rPr>
        <w:t>linics in districts across Bangladesh.</w:t>
      </w:r>
    </w:p>
    <w:p w14:paraId="2D713DDD" w14:textId="77777777" w:rsidR="00FA1E6A" w:rsidRPr="0034527B" w:rsidRDefault="00FA1E6A" w:rsidP="00FA1E6A">
      <w:pPr>
        <w:pStyle w:val="ExhibitText"/>
        <w:rPr>
          <w:rFonts w:eastAsia="Calibri"/>
          <w:lang w:val="en-GB"/>
        </w:rPr>
      </w:pPr>
    </w:p>
    <w:p w14:paraId="6C5F0673" w14:textId="79C9DA41" w:rsidR="00FA1E6A" w:rsidRPr="0034527B" w:rsidRDefault="00FA1E6A" w:rsidP="00FA1E6A">
      <w:pPr>
        <w:pStyle w:val="Footnote"/>
        <w:rPr>
          <w:lang w:val="en-GB"/>
        </w:rPr>
      </w:pPr>
      <w:r w:rsidRPr="0034527B">
        <w:rPr>
          <w:lang w:val="en-GB"/>
        </w:rPr>
        <w:t>Source:</w:t>
      </w:r>
      <w:r w:rsidR="00C13EDD" w:rsidRPr="0034527B">
        <w:rPr>
          <w:lang w:val="en-GB"/>
        </w:rPr>
        <w:t xml:space="preserve"> </w:t>
      </w:r>
      <w:r w:rsidR="00C647A8" w:rsidRPr="0034527B">
        <w:rPr>
          <w:lang w:val="en-GB"/>
        </w:rPr>
        <w:t>Company files</w:t>
      </w:r>
      <w:r w:rsidR="00C13EDD" w:rsidRPr="0034527B">
        <w:rPr>
          <w:lang w:val="en-GB"/>
        </w:rPr>
        <w:t>.</w:t>
      </w:r>
    </w:p>
    <w:p w14:paraId="14874857" w14:textId="77777777" w:rsidR="00FA1E6A" w:rsidRPr="0034527B" w:rsidRDefault="00FA1E6A" w:rsidP="00FA1E6A">
      <w:pPr>
        <w:pStyle w:val="Footnote"/>
        <w:rPr>
          <w:lang w:val="en-GB"/>
        </w:rPr>
      </w:pPr>
    </w:p>
    <w:p w14:paraId="24EEEE13" w14:textId="77777777" w:rsidR="00FA1E6A" w:rsidRPr="0034527B" w:rsidRDefault="00FA1E6A" w:rsidP="00FA1E6A">
      <w:pPr>
        <w:pStyle w:val="Footnote"/>
        <w:rPr>
          <w:lang w:val="en-GB"/>
        </w:rPr>
      </w:pPr>
    </w:p>
    <w:p w14:paraId="7D3018C7" w14:textId="77777777" w:rsidR="00FA1E6A" w:rsidRPr="0034527B" w:rsidRDefault="00FA1E6A">
      <w:pPr>
        <w:spacing w:after="200" w:line="276" w:lineRule="auto"/>
        <w:rPr>
          <w:rFonts w:ascii="Arial" w:eastAsia="Calibri" w:hAnsi="Arial" w:cs="Arial"/>
          <w:b/>
          <w:caps/>
          <w:lang w:val="en-GB"/>
        </w:rPr>
      </w:pPr>
      <w:r w:rsidRPr="0034527B">
        <w:rPr>
          <w:rFonts w:eastAsia="Calibri"/>
          <w:lang w:val="en-GB"/>
        </w:rPr>
        <w:br w:type="page"/>
      </w:r>
    </w:p>
    <w:p w14:paraId="5CF57384" w14:textId="77777777" w:rsidR="00F6530B" w:rsidRPr="0034527B" w:rsidRDefault="00FA1E6A" w:rsidP="00FA1E6A">
      <w:pPr>
        <w:pStyle w:val="ExhibitHeading"/>
        <w:rPr>
          <w:rFonts w:eastAsia="Calibri"/>
          <w:lang w:val="en-GB"/>
        </w:rPr>
      </w:pPr>
      <w:r w:rsidRPr="0034527B">
        <w:rPr>
          <w:rFonts w:eastAsia="Calibri"/>
          <w:lang w:val="en-GB"/>
        </w:rPr>
        <w:lastRenderedPageBreak/>
        <w:t xml:space="preserve">Exhibit 4: Select Features of Some of BRAC’s Health Programs </w:t>
      </w:r>
    </w:p>
    <w:p w14:paraId="39338E3E" w14:textId="24E0E801" w:rsidR="00FA1E6A" w:rsidRPr="0034527B" w:rsidRDefault="00FA1E6A" w:rsidP="00FA1E6A">
      <w:pPr>
        <w:pStyle w:val="ExhibitHeading"/>
        <w:rPr>
          <w:rFonts w:eastAsia="Calibri"/>
          <w:lang w:val="en-GB"/>
        </w:rPr>
      </w:pPr>
      <w:r w:rsidRPr="0034527B">
        <w:rPr>
          <w:rFonts w:eastAsia="Calibri"/>
          <w:lang w:val="en-GB"/>
        </w:rPr>
        <w:t>(Jan</w:t>
      </w:r>
      <w:r w:rsidR="00F6530B" w:rsidRPr="0034527B">
        <w:rPr>
          <w:rFonts w:eastAsia="Calibri"/>
          <w:lang w:val="en-GB"/>
        </w:rPr>
        <w:t>uary–</w:t>
      </w:r>
      <w:r w:rsidRPr="0034527B">
        <w:rPr>
          <w:rFonts w:eastAsia="Calibri"/>
          <w:lang w:val="en-GB"/>
        </w:rPr>
        <w:t>Dec</w:t>
      </w:r>
      <w:r w:rsidR="00F6530B" w:rsidRPr="0034527B">
        <w:rPr>
          <w:rFonts w:eastAsia="Calibri"/>
          <w:lang w:val="en-GB"/>
        </w:rPr>
        <w:t>ember</w:t>
      </w:r>
      <w:r w:rsidRPr="0034527B">
        <w:rPr>
          <w:rFonts w:eastAsia="Calibri"/>
          <w:lang w:val="en-GB"/>
        </w:rPr>
        <w:t xml:space="preserve"> 2014)</w:t>
      </w:r>
    </w:p>
    <w:p w14:paraId="09E4B56C" w14:textId="77777777" w:rsidR="00FA1E6A" w:rsidRPr="0034527B" w:rsidRDefault="00FA1E6A" w:rsidP="00FA1E6A">
      <w:pPr>
        <w:pStyle w:val="ExhibitHeading"/>
        <w:rPr>
          <w:rFonts w:eastAsia="Calibri"/>
          <w:lang w:val="en-GB"/>
        </w:rPr>
      </w:pP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6210"/>
        <w:gridCol w:w="1049"/>
      </w:tblGrid>
      <w:tr w:rsidR="00FA1E6A" w:rsidRPr="0034527B" w14:paraId="37B45945" w14:textId="77777777" w:rsidTr="00FA1E6A">
        <w:trPr>
          <w:trHeight w:val="20"/>
          <w:jc w:val="center"/>
        </w:trPr>
        <w:tc>
          <w:tcPr>
            <w:tcW w:w="2039" w:type="dxa"/>
            <w:shd w:val="clear" w:color="auto" w:fill="auto"/>
          </w:tcPr>
          <w:p w14:paraId="26109BFF" w14:textId="77777777" w:rsidR="00FA1E6A" w:rsidRPr="0034527B" w:rsidRDefault="00FA1E6A" w:rsidP="002A44A4">
            <w:pPr>
              <w:pStyle w:val="ExhibitText"/>
              <w:jc w:val="center"/>
              <w:rPr>
                <w:rFonts w:eastAsia="Calibri"/>
                <w:b/>
                <w:lang w:val="en-GB"/>
              </w:rPr>
            </w:pPr>
            <w:r w:rsidRPr="0034527B">
              <w:rPr>
                <w:rFonts w:eastAsia="Calibri"/>
                <w:b/>
                <w:lang w:val="en-GB"/>
              </w:rPr>
              <w:t>Program</w:t>
            </w:r>
          </w:p>
        </w:tc>
        <w:tc>
          <w:tcPr>
            <w:tcW w:w="6210" w:type="dxa"/>
            <w:shd w:val="clear" w:color="auto" w:fill="auto"/>
          </w:tcPr>
          <w:p w14:paraId="663D3C1C" w14:textId="77777777" w:rsidR="00FA1E6A" w:rsidRPr="0034527B" w:rsidRDefault="00FA1E6A" w:rsidP="002A44A4">
            <w:pPr>
              <w:pStyle w:val="ExhibitText"/>
              <w:jc w:val="center"/>
              <w:rPr>
                <w:rFonts w:eastAsia="Calibri"/>
                <w:b/>
                <w:lang w:val="en-GB"/>
              </w:rPr>
            </w:pPr>
            <w:r w:rsidRPr="0034527B">
              <w:rPr>
                <w:rFonts w:eastAsia="Calibri"/>
                <w:b/>
                <w:lang w:val="en-GB"/>
              </w:rPr>
              <w:t>Brief Description</w:t>
            </w:r>
          </w:p>
        </w:tc>
        <w:tc>
          <w:tcPr>
            <w:tcW w:w="1049" w:type="dxa"/>
            <w:shd w:val="clear" w:color="auto" w:fill="auto"/>
          </w:tcPr>
          <w:p w14:paraId="5637DA08" w14:textId="77777777" w:rsidR="00FA1E6A" w:rsidRPr="0034527B" w:rsidRDefault="00FA1E6A" w:rsidP="00FA1E6A">
            <w:pPr>
              <w:pStyle w:val="ExhibitText"/>
              <w:rPr>
                <w:rFonts w:eastAsia="Calibri"/>
                <w:b/>
                <w:lang w:val="en-GB"/>
              </w:rPr>
            </w:pPr>
            <w:r w:rsidRPr="0034527B">
              <w:rPr>
                <w:rFonts w:eastAsia="Calibri"/>
                <w:b/>
                <w:lang w:val="en-GB"/>
              </w:rPr>
              <w:t>Districts Covered</w:t>
            </w:r>
          </w:p>
        </w:tc>
      </w:tr>
      <w:tr w:rsidR="00FA1E6A" w:rsidRPr="0034527B" w14:paraId="69843241" w14:textId="77777777" w:rsidTr="00FA1E6A">
        <w:trPr>
          <w:trHeight w:val="20"/>
          <w:jc w:val="center"/>
        </w:trPr>
        <w:tc>
          <w:tcPr>
            <w:tcW w:w="2039" w:type="dxa"/>
            <w:shd w:val="clear" w:color="auto" w:fill="auto"/>
          </w:tcPr>
          <w:p w14:paraId="1CD18948" w14:textId="77777777" w:rsidR="00FA1E6A" w:rsidRPr="0034527B" w:rsidRDefault="00FA1E6A" w:rsidP="00FA1E6A">
            <w:pPr>
              <w:pStyle w:val="ExhibitText"/>
              <w:jc w:val="left"/>
              <w:rPr>
                <w:rFonts w:eastAsia="Calibri"/>
                <w:lang w:val="en-GB"/>
              </w:rPr>
            </w:pPr>
            <w:r w:rsidRPr="0034527B">
              <w:rPr>
                <w:rFonts w:eastAsia="Calibri"/>
                <w:lang w:val="en-GB"/>
              </w:rPr>
              <w:t xml:space="preserve">Essential Health Care </w:t>
            </w:r>
          </w:p>
        </w:tc>
        <w:tc>
          <w:tcPr>
            <w:tcW w:w="6210" w:type="dxa"/>
            <w:shd w:val="clear" w:color="auto" w:fill="auto"/>
          </w:tcPr>
          <w:p w14:paraId="2D8C4123" w14:textId="37B2D5B5" w:rsidR="00FA1E6A" w:rsidRPr="0034527B" w:rsidRDefault="00FA1E6A" w:rsidP="00F6530B">
            <w:pPr>
              <w:pStyle w:val="ExhibitText"/>
              <w:rPr>
                <w:rFonts w:eastAsia="Calibri"/>
                <w:lang w:val="en-GB"/>
              </w:rPr>
            </w:pPr>
            <w:r w:rsidRPr="0034527B">
              <w:rPr>
                <w:rFonts w:eastAsia="Calibri"/>
                <w:lang w:val="en-GB"/>
              </w:rPr>
              <w:t>BRAC's basic health program included promotive, preventive</w:t>
            </w:r>
            <w:r w:rsidR="00F6530B" w:rsidRPr="0034527B">
              <w:rPr>
                <w:rFonts w:eastAsia="Calibri"/>
                <w:lang w:val="en-GB"/>
              </w:rPr>
              <w:t>,</w:t>
            </w:r>
            <w:r w:rsidRPr="0034527B">
              <w:rPr>
                <w:rFonts w:eastAsia="Calibri"/>
                <w:lang w:val="en-GB"/>
              </w:rPr>
              <w:t xml:space="preserve"> and basic curative services. It aimed to improve reproductive, maternal, neonatal</w:t>
            </w:r>
            <w:r w:rsidR="00F6530B" w:rsidRPr="0034527B">
              <w:rPr>
                <w:rFonts w:eastAsia="Calibri"/>
                <w:lang w:val="en-GB"/>
              </w:rPr>
              <w:t>,</w:t>
            </w:r>
            <w:r w:rsidRPr="0034527B">
              <w:rPr>
                <w:rFonts w:eastAsia="Calibri"/>
                <w:lang w:val="en-GB"/>
              </w:rPr>
              <w:t xml:space="preserve"> and child health along with the nutritional status of women and children. The program further aimed to reduce vulnerability to communicable diseases and non-communicable diseases.</w:t>
            </w:r>
          </w:p>
        </w:tc>
        <w:tc>
          <w:tcPr>
            <w:tcW w:w="1049" w:type="dxa"/>
            <w:shd w:val="clear" w:color="auto" w:fill="auto"/>
          </w:tcPr>
          <w:p w14:paraId="78AB951B" w14:textId="77777777" w:rsidR="00FA1E6A" w:rsidRPr="0034527B" w:rsidRDefault="00FA1E6A" w:rsidP="00FA1E6A">
            <w:pPr>
              <w:pStyle w:val="ExhibitText"/>
              <w:rPr>
                <w:rFonts w:eastAsia="Calibri"/>
                <w:lang w:val="en-GB"/>
              </w:rPr>
            </w:pPr>
            <w:r w:rsidRPr="0034527B">
              <w:rPr>
                <w:rFonts w:eastAsia="Calibri"/>
                <w:lang w:val="en-GB"/>
              </w:rPr>
              <w:t>47</w:t>
            </w:r>
          </w:p>
        </w:tc>
      </w:tr>
      <w:tr w:rsidR="00FA1E6A" w:rsidRPr="0034527B" w14:paraId="3080772E" w14:textId="77777777" w:rsidTr="00FA1E6A">
        <w:trPr>
          <w:trHeight w:val="20"/>
          <w:jc w:val="center"/>
        </w:trPr>
        <w:tc>
          <w:tcPr>
            <w:tcW w:w="2039" w:type="dxa"/>
            <w:shd w:val="clear" w:color="auto" w:fill="auto"/>
          </w:tcPr>
          <w:p w14:paraId="0F88D4C9" w14:textId="21149BC7" w:rsidR="00FA1E6A" w:rsidRPr="0034527B" w:rsidRDefault="00FA1E6A" w:rsidP="003658DE">
            <w:pPr>
              <w:pStyle w:val="ExhibitText"/>
              <w:jc w:val="left"/>
              <w:rPr>
                <w:rFonts w:eastAsia="Calibri"/>
                <w:lang w:val="en-GB"/>
              </w:rPr>
            </w:pPr>
            <w:r w:rsidRPr="0034527B">
              <w:rPr>
                <w:rFonts w:eastAsia="Calibri"/>
                <w:lang w:val="en-GB"/>
              </w:rPr>
              <w:t xml:space="preserve">Improving Maternal, Neonatal </w:t>
            </w:r>
            <w:r w:rsidR="00F6530B" w:rsidRPr="0034527B">
              <w:rPr>
                <w:rFonts w:eastAsia="Calibri"/>
                <w:lang w:val="en-GB"/>
              </w:rPr>
              <w:t>and</w:t>
            </w:r>
            <w:r w:rsidRPr="0034527B">
              <w:rPr>
                <w:rFonts w:eastAsia="Calibri"/>
                <w:lang w:val="en-GB"/>
              </w:rPr>
              <w:t xml:space="preserve"> Child Survival</w:t>
            </w:r>
          </w:p>
        </w:tc>
        <w:tc>
          <w:tcPr>
            <w:tcW w:w="6210" w:type="dxa"/>
            <w:shd w:val="clear" w:color="auto" w:fill="auto"/>
          </w:tcPr>
          <w:p w14:paraId="0F57EF73" w14:textId="42FA67D1" w:rsidR="00FA1E6A" w:rsidRPr="0034527B" w:rsidRDefault="00FA1E6A" w:rsidP="00BA665F">
            <w:pPr>
              <w:pStyle w:val="ExhibitText"/>
              <w:rPr>
                <w:rFonts w:eastAsia="Calibri"/>
                <w:lang w:val="en-GB"/>
              </w:rPr>
            </w:pPr>
            <w:r w:rsidRPr="0034527B">
              <w:rPr>
                <w:rFonts w:eastAsia="Calibri"/>
                <w:lang w:val="en-GB"/>
              </w:rPr>
              <w:t>Th</w:t>
            </w:r>
            <w:r w:rsidR="00BA665F" w:rsidRPr="0034527B">
              <w:rPr>
                <w:rFonts w:eastAsia="Calibri"/>
                <w:lang w:val="en-GB"/>
              </w:rPr>
              <w:t>is</w:t>
            </w:r>
            <w:r w:rsidRPr="0034527B">
              <w:rPr>
                <w:rFonts w:eastAsia="Calibri"/>
                <w:lang w:val="en-GB"/>
              </w:rPr>
              <w:t xml:space="preserve"> program addressed issues </w:t>
            </w:r>
            <w:r w:rsidR="00F6530B" w:rsidRPr="0034527B">
              <w:rPr>
                <w:rFonts w:eastAsia="Calibri"/>
                <w:lang w:val="en-GB"/>
              </w:rPr>
              <w:t>related to</w:t>
            </w:r>
            <w:r w:rsidRPr="0034527B">
              <w:rPr>
                <w:rFonts w:eastAsia="Calibri"/>
                <w:lang w:val="en-GB"/>
              </w:rPr>
              <w:t xml:space="preserve"> pregnancy, newborn</w:t>
            </w:r>
            <w:r w:rsidR="00F6530B" w:rsidRPr="0034527B">
              <w:rPr>
                <w:rFonts w:eastAsia="Calibri"/>
                <w:lang w:val="en-GB"/>
              </w:rPr>
              <w:t>,</w:t>
            </w:r>
            <w:r w:rsidRPr="0034527B">
              <w:rPr>
                <w:rFonts w:eastAsia="Calibri"/>
                <w:lang w:val="en-GB"/>
              </w:rPr>
              <w:t xml:space="preserve"> and child health, and facilitated access to obstetric</w:t>
            </w:r>
            <w:r w:rsidR="00F6530B" w:rsidRPr="0034527B">
              <w:rPr>
                <w:rFonts w:eastAsia="Calibri"/>
                <w:lang w:val="en-GB"/>
              </w:rPr>
              <w:t>s</w:t>
            </w:r>
            <w:r w:rsidRPr="0034527B">
              <w:rPr>
                <w:rFonts w:eastAsia="Calibri"/>
                <w:lang w:val="en-GB"/>
              </w:rPr>
              <w:t xml:space="preserve"> and newborn care at public and private facilities in the rural areas.</w:t>
            </w:r>
          </w:p>
        </w:tc>
        <w:tc>
          <w:tcPr>
            <w:tcW w:w="1049" w:type="dxa"/>
            <w:shd w:val="clear" w:color="auto" w:fill="auto"/>
          </w:tcPr>
          <w:p w14:paraId="3B89CCBE" w14:textId="77777777" w:rsidR="00FA1E6A" w:rsidRPr="0034527B" w:rsidRDefault="00FA1E6A" w:rsidP="00FA1E6A">
            <w:pPr>
              <w:pStyle w:val="ExhibitText"/>
              <w:rPr>
                <w:rFonts w:eastAsia="Calibri"/>
                <w:lang w:val="en-GB"/>
              </w:rPr>
            </w:pPr>
            <w:r w:rsidRPr="0034527B">
              <w:rPr>
                <w:rFonts w:eastAsia="Calibri"/>
                <w:lang w:val="en-GB"/>
              </w:rPr>
              <w:t>14</w:t>
            </w:r>
          </w:p>
        </w:tc>
      </w:tr>
      <w:tr w:rsidR="00FA1E6A" w:rsidRPr="0034527B" w14:paraId="47A71E15" w14:textId="77777777" w:rsidTr="00FA1E6A">
        <w:trPr>
          <w:trHeight w:val="20"/>
          <w:jc w:val="center"/>
        </w:trPr>
        <w:tc>
          <w:tcPr>
            <w:tcW w:w="2039" w:type="dxa"/>
            <w:shd w:val="clear" w:color="auto" w:fill="auto"/>
          </w:tcPr>
          <w:p w14:paraId="4B68F79A" w14:textId="77777777" w:rsidR="00FA1E6A" w:rsidRPr="0034527B" w:rsidRDefault="00FA1E6A" w:rsidP="00FA1E6A">
            <w:pPr>
              <w:pStyle w:val="ExhibitText"/>
              <w:jc w:val="left"/>
              <w:rPr>
                <w:rFonts w:eastAsia="Calibri"/>
                <w:lang w:val="en-GB"/>
              </w:rPr>
            </w:pPr>
            <w:r w:rsidRPr="0034527B">
              <w:rPr>
                <w:rFonts w:eastAsia="Calibri"/>
                <w:lang w:val="en-GB"/>
              </w:rPr>
              <w:t>Nutrition</w:t>
            </w:r>
          </w:p>
        </w:tc>
        <w:tc>
          <w:tcPr>
            <w:tcW w:w="6210" w:type="dxa"/>
            <w:shd w:val="clear" w:color="auto" w:fill="auto"/>
          </w:tcPr>
          <w:p w14:paraId="14EFAB43" w14:textId="08F213D7" w:rsidR="00FA1E6A" w:rsidRPr="0034527B" w:rsidRDefault="00FA1E6A" w:rsidP="00AD1850">
            <w:pPr>
              <w:pStyle w:val="ExhibitText"/>
              <w:rPr>
                <w:rFonts w:eastAsia="Calibri"/>
                <w:lang w:val="en-GB"/>
              </w:rPr>
            </w:pPr>
            <w:r w:rsidRPr="0034527B">
              <w:rPr>
                <w:rFonts w:eastAsia="Calibri"/>
                <w:lang w:val="en-GB"/>
              </w:rPr>
              <w:t xml:space="preserve">The Shasthya Shebikas and the nutrition promoters visited households </w:t>
            </w:r>
            <w:r w:rsidR="00F6530B" w:rsidRPr="0034527B">
              <w:rPr>
                <w:rFonts w:eastAsia="Calibri"/>
                <w:lang w:val="en-GB"/>
              </w:rPr>
              <w:t>with</w:t>
            </w:r>
            <w:r w:rsidRPr="0034527B">
              <w:rPr>
                <w:rFonts w:eastAsia="Calibri"/>
                <w:lang w:val="en-GB"/>
              </w:rPr>
              <w:t xml:space="preserve"> children below the age of two and pregnant women. They provided counselling, coaching</w:t>
            </w:r>
            <w:r w:rsidR="00F6530B" w:rsidRPr="0034527B">
              <w:rPr>
                <w:rFonts w:eastAsia="Calibri"/>
                <w:lang w:val="en-GB"/>
              </w:rPr>
              <w:t>,</w:t>
            </w:r>
            <w:r w:rsidRPr="0034527B">
              <w:rPr>
                <w:rFonts w:eastAsia="Calibri"/>
                <w:lang w:val="en-GB"/>
              </w:rPr>
              <w:t xml:space="preserve"> and demonstration</w:t>
            </w:r>
            <w:r w:rsidR="00F6530B" w:rsidRPr="0034527B">
              <w:rPr>
                <w:rFonts w:eastAsia="Calibri"/>
                <w:lang w:val="en-GB"/>
              </w:rPr>
              <w:t>s</w:t>
            </w:r>
            <w:r w:rsidRPr="0034527B">
              <w:rPr>
                <w:rFonts w:eastAsia="Calibri"/>
                <w:lang w:val="en-GB"/>
              </w:rPr>
              <w:t xml:space="preserve">. The </w:t>
            </w:r>
            <w:r w:rsidR="00F6530B" w:rsidRPr="0034527B">
              <w:rPr>
                <w:rFonts w:eastAsia="Calibri"/>
                <w:lang w:val="en-GB"/>
              </w:rPr>
              <w:t>p</w:t>
            </w:r>
            <w:r w:rsidRPr="0034527B">
              <w:rPr>
                <w:rFonts w:eastAsia="Calibri"/>
                <w:lang w:val="en-GB"/>
              </w:rPr>
              <w:t xml:space="preserve">rogram organizer and the </w:t>
            </w:r>
            <w:r w:rsidR="00F6530B" w:rsidRPr="0034527B">
              <w:rPr>
                <w:rFonts w:eastAsia="Calibri"/>
                <w:lang w:val="en-GB"/>
              </w:rPr>
              <w:t>n</w:t>
            </w:r>
            <w:r w:rsidRPr="0034527B">
              <w:rPr>
                <w:rFonts w:eastAsia="Calibri"/>
                <w:lang w:val="en-GB"/>
              </w:rPr>
              <w:t>utrition promoters also</w:t>
            </w:r>
            <w:r w:rsidR="00AD1850" w:rsidRPr="0034527B">
              <w:rPr>
                <w:rFonts w:eastAsia="Calibri"/>
                <w:lang w:val="en-GB"/>
              </w:rPr>
              <w:t xml:space="preserve"> taught nutrition</w:t>
            </w:r>
            <w:r w:rsidRPr="0034527B">
              <w:rPr>
                <w:rFonts w:eastAsia="Calibri"/>
                <w:lang w:val="en-GB"/>
              </w:rPr>
              <w:t xml:space="preserve"> to the adolescents through school meetings and courtyard meetings. </w:t>
            </w:r>
          </w:p>
        </w:tc>
        <w:tc>
          <w:tcPr>
            <w:tcW w:w="1049" w:type="dxa"/>
            <w:shd w:val="clear" w:color="auto" w:fill="auto"/>
          </w:tcPr>
          <w:p w14:paraId="4989D46C" w14:textId="77777777" w:rsidR="00FA1E6A" w:rsidRPr="0034527B" w:rsidRDefault="00FA1E6A" w:rsidP="00FA1E6A">
            <w:pPr>
              <w:pStyle w:val="ExhibitText"/>
              <w:rPr>
                <w:rFonts w:eastAsia="Calibri"/>
                <w:lang w:val="en-GB"/>
              </w:rPr>
            </w:pPr>
            <w:r w:rsidRPr="0034527B">
              <w:rPr>
                <w:rFonts w:eastAsia="Calibri"/>
                <w:lang w:val="en-GB"/>
              </w:rPr>
              <w:t>140</w:t>
            </w:r>
          </w:p>
        </w:tc>
      </w:tr>
      <w:tr w:rsidR="00FA1E6A" w:rsidRPr="0034527B" w14:paraId="2A7798F9" w14:textId="77777777" w:rsidTr="00FA1E6A">
        <w:trPr>
          <w:trHeight w:val="20"/>
          <w:jc w:val="center"/>
        </w:trPr>
        <w:tc>
          <w:tcPr>
            <w:tcW w:w="2039" w:type="dxa"/>
            <w:shd w:val="clear" w:color="auto" w:fill="auto"/>
          </w:tcPr>
          <w:p w14:paraId="7139E637" w14:textId="77777777" w:rsidR="00FA1E6A" w:rsidRPr="0034527B" w:rsidRDefault="00FA1E6A" w:rsidP="00FA1E6A">
            <w:pPr>
              <w:pStyle w:val="ExhibitText"/>
              <w:jc w:val="left"/>
              <w:rPr>
                <w:rFonts w:eastAsia="Calibri"/>
                <w:lang w:val="en-GB"/>
              </w:rPr>
            </w:pPr>
            <w:r w:rsidRPr="0034527B">
              <w:rPr>
                <w:rFonts w:eastAsia="Calibri"/>
                <w:lang w:val="en-GB"/>
              </w:rPr>
              <w:t>Reading Glasses</w:t>
            </w:r>
          </w:p>
        </w:tc>
        <w:tc>
          <w:tcPr>
            <w:tcW w:w="6210" w:type="dxa"/>
            <w:shd w:val="clear" w:color="auto" w:fill="auto"/>
          </w:tcPr>
          <w:p w14:paraId="5541BCF9" w14:textId="60AEB740" w:rsidR="00FA1E6A" w:rsidRPr="0034527B" w:rsidRDefault="00333165" w:rsidP="00333165">
            <w:pPr>
              <w:pStyle w:val="ExhibitText"/>
              <w:rPr>
                <w:rFonts w:eastAsia="Calibri"/>
                <w:lang w:val="en-GB"/>
              </w:rPr>
            </w:pPr>
            <w:r w:rsidRPr="0034527B">
              <w:rPr>
                <w:rFonts w:eastAsia="Calibri"/>
                <w:lang w:val="en-GB"/>
              </w:rPr>
              <w:t>This a</w:t>
            </w:r>
            <w:r w:rsidR="00FA1E6A" w:rsidRPr="0034527B">
              <w:rPr>
                <w:rFonts w:eastAsia="Calibri"/>
                <w:lang w:val="en-GB"/>
              </w:rPr>
              <w:t>imed to combat presbyopia</w:t>
            </w:r>
            <w:r w:rsidRPr="0034527B">
              <w:rPr>
                <w:rFonts w:eastAsia="Calibri"/>
                <w:lang w:val="en-GB"/>
              </w:rPr>
              <w:t>,</w:t>
            </w:r>
            <w:r w:rsidR="00FA1E6A" w:rsidRPr="0034527B">
              <w:rPr>
                <w:rFonts w:eastAsia="Calibri"/>
                <w:lang w:val="en-GB"/>
              </w:rPr>
              <w:t xml:space="preserve"> a chronic eye problem </w:t>
            </w:r>
            <w:r w:rsidRPr="0034527B">
              <w:rPr>
                <w:rFonts w:eastAsia="Calibri"/>
                <w:lang w:val="en-GB"/>
              </w:rPr>
              <w:t>that</w:t>
            </w:r>
            <w:r w:rsidR="00FA1E6A" w:rsidRPr="0034527B">
              <w:rPr>
                <w:rFonts w:eastAsia="Calibri"/>
                <w:lang w:val="en-GB"/>
              </w:rPr>
              <w:t xml:space="preserve"> created difficulty in near vision. </w:t>
            </w:r>
            <w:r w:rsidRPr="0034527B">
              <w:rPr>
                <w:rFonts w:eastAsia="Calibri"/>
                <w:lang w:val="en-GB"/>
              </w:rPr>
              <w:t>It was i</w:t>
            </w:r>
            <w:r w:rsidR="00FA1E6A" w:rsidRPr="0034527B">
              <w:rPr>
                <w:rFonts w:eastAsia="Calibri"/>
                <w:lang w:val="en-GB"/>
              </w:rPr>
              <w:t xml:space="preserve">mplemented in partnership with </w:t>
            </w:r>
            <w:r w:rsidRPr="0034527B">
              <w:rPr>
                <w:rFonts w:eastAsia="Calibri"/>
                <w:lang w:val="en-GB"/>
              </w:rPr>
              <w:t xml:space="preserve">social enterprise </w:t>
            </w:r>
            <w:r w:rsidR="00FA1E6A" w:rsidRPr="0034527B">
              <w:rPr>
                <w:rFonts w:eastAsia="Calibri"/>
                <w:lang w:val="en-GB"/>
              </w:rPr>
              <w:t>VisionSpring</w:t>
            </w:r>
            <w:r w:rsidRPr="0034527B">
              <w:rPr>
                <w:rFonts w:eastAsia="Calibri"/>
                <w:lang w:val="en-GB"/>
              </w:rPr>
              <w:t>.</w:t>
            </w:r>
          </w:p>
        </w:tc>
        <w:tc>
          <w:tcPr>
            <w:tcW w:w="1049" w:type="dxa"/>
            <w:shd w:val="clear" w:color="auto" w:fill="auto"/>
          </w:tcPr>
          <w:p w14:paraId="55FB7300" w14:textId="77777777" w:rsidR="00FA1E6A" w:rsidRPr="0034527B" w:rsidRDefault="00FA1E6A" w:rsidP="00FA1E6A">
            <w:pPr>
              <w:pStyle w:val="ExhibitText"/>
              <w:rPr>
                <w:rFonts w:eastAsia="Calibri"/>
                <w:lang w:val="en-GB"/>
              </w:rPr>
            </w:pPr>
            <w:r w:rsidRPr="0034527B">
              <w:rPr>
                <w:rFonts w:eastAsia="Calibri"/>
                <w:lang w:val="en-GB"/>
              </w:rPr>
              <w:t>61</w:t>
            </w:r>
          </w:p>
        </w:tc>
      </w:tr>
      <w:tr w:rsidR="00FA1E6A" w:rsidRPr="0034527B" w14:paraId="641CC98E" w14:textId="77777777" w:rsidTr="00FA1E6A">
        <w:trPr>
          <w:trHeight w:val="20"/>
          <w:jc w:val="center"/>
        </w:trPr>
        <w:tc>
          <w:tcPr>
            <w:tcW w:w="2039" w:type="dxa"/>
            <w:shd w:val="clear" w:color="auto" w:fill="auto"/>
          </w:tcPr>
          <w:p w14:paraId="4934575B" w14:textId="77777777" w:rsidR="00FA1E6A" w:rsidRPr="0034527B" w:rsidRDefault="00FA1E6A" w:rsidP="00FA1E6A">
            <w:pPr>
              <w:pStyle w:val="ExhibitText"/>
              <w:jc w:val="left"/>
              <w:rPr>
                <w:rFonts w:eastAsia="Calibri"/>
                <w:lang w:val="en-GB"/>
              </w:rPr>
            </w:pPr>
            <w:r w:rsidRPr="0034527B">
              <w:rPr>
                <w:rFonts w:eastAsia="Calibri"/>
                <w:lang w:val="en-GB"/>
              </w:rPr>
              <w:t>Tuberculosis Control</w:t>
            </w:r>
          </w:p>
        </w:tc>
        <w:tc>
          <w:tcPr>
            <w:tcW w:w="6210" w:type="dxa"/>
            <w:shd w:val="clear" w:color="auto" w:fill="auto"/>
          </w:tcPr>
          <w:p w14:paraId="78082229" w14:textId="29B8F934" w:rsidR="00FA1E6A" w:rsidRPr="0034527B" w:rsidRDefault="00FA1E6A" w:rsidP="00333165">
            <w:pPr>
              <w:pStyle w:val="ExhibitText"/>
              <w:rPr>
                <w:rFonts w:eastAsia="Calibri"/>
                <w:lang w:val="en-GB"/>
              </w:rPr>
            </w:pPr>
            <w:r w:rsidRPr="0034527B">
              <w:rPr>
                <w:rFonts w:eastAsia="Calibri"/>
                <w:lang w:val="en-GB"/>
              </w:rPr>
              <w:t>The Shasthya Shebikas disseminated tuberculosis-specific messages to the community, identified presumptive tuberculosis patients</w:t>
            </w:r>
            <w:r w:rsidR="00333165" w:rsidRPr="0034527B">
              <w:rPr>
                <w:rFonts w:eastAsia="Calibri"/>
                <w:lang w:val="en-GB"/>
              </w:rPr>
              <w:t>,</w:t>
            </w:r>
            <w:r w:rsidRPr="0034527B">
              <w:rPr>
                <w:rFonts w:eastAsia="Calibri"/>
                <w:lang w:val="en-GB"/>
              </w:rPr>
              <w:t xml:space="preserve"> and referred the</w:t>
            </w:r>
            <w:r w:rsidR="00333165" w:rsidRPr="0034527B">
              <w:rPr>
                <w:rFonts w:eastAsia="Calibri"/>
                <w:lang w:val="en-GB"/>
              </w:rPr>
              <w:t>se patients</w:t>
            </w:r>
            <w:r w:rsidRPr="0034527B">
              <w:rPr>
                <w:rFonts w:eastAsia="Calibri"/>
                <w:lang w:val="en-GB"/>
              </w:rPr>
              <w:t xml:space="preserve"> for sputum examination.</w:t>
            </w:r>
          </w:p>
        </w:tc>
        <w:tc>
          <w:tcPr>
            <w:tcW w:w="1049" w:type="dxa"/>
            <w:shd w:val="clear" w:color="auto" w:fill="auto"/>
          </w:tcPr>
          <w:p w14:paraId="6B137282" w14:textId="77777777" w:rsidR="00FA1E6A" w:rsidRPr="0034527B" w:rsidRDefault="00FA1E6A" w:rsidP="00FA1E6A">
            <w:pPr>
              <w:pStyle w:val="ExhibitText"/>
              <w:rPr>
                <w:rFonts w:eastAsia="Calibri"/>
                <w:lang w:val="en-GB"/>
              </w:rPr>
            </w:pPr>
            <w:r w:rsidRPr="0034527B">
              <w:rPr>
                <w:rFonts w:eastAsia="Calibri"/>
                <w:lang w:val="en-GB"/>
              </w:rPr>
              <w:t>42</w:t>
            </w:r>
          </w:p>
        </w:tc>
      </w:tr>
      <w:tr w:rsidR="00FA1E6A" w:rsidRPr="0034527B" w14:paraId="128E3A71" w14:textId="77777777" w:rsidTr="00FA1E6A">
        <w:trPr>
          <w:trHeight w:val="20"/>
          <w:jc w:val="center"/>
        </w:trPr>
        <w:tc>
          <w:tcPr>
            <w:tcW w:w="2039" w:type="dxa"/>
            <w:shd w:val="clear" w:color="auto" w:fill="auto"/>
          </w:tcPr>
          <w:p w14:paraId="3F6D2ED1" w14:textId="77777777" w:rsidR="00FA1E6A" w:rsidRPr="0034527B" w:rsidRDefault="00FA1E6A" w:rsidP="00FA1E6A">
            <w:pPr>
              <w:pStyle w:val="ExhibitText"/>
              <w:jc w:val="left"/>
              <w:rPr>
                <w:rFonts w:eastAsia="Calibri"/>
                <w:lang w:val="en-GB"/>
              </w:rPr>
            </w:pPr>
            <w:r w:rsidRPr="0034527B">
              <w:rPr>
                <w:rFonts w:eastAsia="Calibri"/>
                <w:lang w:val="en-GB"/>
              </w:rPr>
              <w:t>Malaria Control</w:t>
            </w:r>
          </w:p>
        </w:tc>
        <w:tc>
          <w:tcPr>
            <w:tcW w:w="6210" w:type="dxa"/>
            <w:shd w:val="clear" w:color="auto" w:fill="auto"/>
          </w:tcPr>
          <w:p w14:paraId="5AA9E6C9" w14:textId="189E48CD" w:rsidR="00FA1E6A" w:rsidRPr="0034527B" w:rsidRDefault="00FA1E6A" w:rsidP="00333165">
            <w:pPr>
              <w:pStyle w:val="ExhibitText"/>
              <w:rPr>
                <w:rFonts w:eastAsia="Calibri"/>
                <w:lang w:val="en-GB"/>
              </w:rPr>
            </w:pPr>
            <w:r w:rsidRPr="0034527B">
              <w:rPr>
                <w:rFonts w:eastAsia="Calibri"/>
                <w:lang w:val="en-GB"/>
              </w:rPr>
              <w:t xml:space="preserve">The Shasthya Shebikas diagnosed malaria patients using a Rapid Diagnostic Test kit, therefore providing treatment at a household level. In </w:t>
            </w:r>
            <w:r w:rsidR="00333165" w:rsidRPr="0034527B">
              <w:rPr>
                <w:rFonts w:eastAsia="Calibri"/>
                <w:lang w:val="en-GB"/>
              </w:rPr>
              <w:t xml:space="preserve">the </w:t>
            </w:r>
            <w:r w:rsidRPr="0034527B">
              <w:rPr>
                <w:rFonts w:eastAsia="Calibri"/>
                <w:lang w:val="en-GB"/>
              </w:rPr>
              <w:t xml:space="preserve">case of pregnant women, children </w:t>
            </w:r>
            <w:r w:rsidR="00333165" w:rsidRPr="0034527B">
              <w:rPr>
                <w:rFonts w:eastAsia="Calibri"/>
                <w:lang w:val="en-GB"/>
              </w:rPr>
              <w:t>weighing less than</w:t>
            </w:r>
            <w:r w:rsidRPr="0034527B">
              <w:rPr>
                <w:rFonts w:eastAsia="Calibri"/>
                <w:lang w:val="en-GB"/>
              </w:rPr>
              <w:t xml:space="preserve"> five kilograms</w:t>
            </w:r>
            <w:r w:rsidR="00333165" w:rsidRPr="0034527B">
              <w:rPr>
                <w:rFonts w:eastAsia="Calibri"/>
                <w:lang w:val="en-GB"/>
              </w:rPr>
              <w:t>,</w:t>
            </w:r>
            <w:r w:rsidRPr="0034527B">
              <w:rPr>
                <w:rFonts w:eastAsia="Calibri"/>
                <w:lang w:val="en-GB"/>
              </w:rPr>
              <w:t xml:space="preserve"> and severe malaria patients, the Shasthya Shebikas referred them to the nearest government health facilities.</w:t>
            </w:r>
          </w:p>
        </w:tc>
        <w:tc>
          <w:tcPr>
            <w:tcW w:w="1049" w:type="dxa"/>
            <w:shd w:val="clear" w:color="auto" w:fill="auto"/>
          </w:tcPr>
          <w:p w14:paraId="43078536" w14:textId="77777777" w:rsidR="00FA1E6A" w:rsidRPr="0034527B" w:rsidRDefault="00FA1E6A" w:rsidP="00FA1E6A">
            <w:pPr>
              <w:pStyle w:val="ExhibitText"/>
              <w:rPr>
                <w:rFonts w:eastAsia="Calibri"/>
                <w:lang w:val="en-GB"/>
              </w:rPr>
            </w:pPr>
            <w:r w:rsidRPr="0034527B">
              <w:rPr>
                <w:rFonts w:eastAsia="Calibri"/>
                <w:lang w:val="en-GB"/>
              </w:rPr>
              <w:t>13</w:t>
            </w:r>
          </w:p>
        </w:tc>
      </w:tr>
      <w:tr w:rsidR="00FA1E6A" w:rsidRPr="0034527B" w14:paraId="3F215E7A" w14:textId="77777777" w:rsidTr="00FA1E6A">
        <w:trPr>
          <w:trHeight w:val="20"/>
          <w:jc w:val="center"/>
        </w:trPr>
        <w:tc>
          <w:tcPr>
            <w:tcW w:w="2039" w:type="dxa"/>
            <w:shd w:val="clear" w:color="auto" w:fill="auto"/>
          </w:tcPr>
          <w:p w14:paraId="7564C203" w14:textId="77777777" w:rsidR="00FA1E6A" w:rsidRPr="0034527B" w:rsidRDefault="00FA1E6A" w:rsidP="00FA1E6A">
            <w:pPr>
              <w:pStyle w:val="ExhibitText"/>
              <w:jc w:val="left"/>
              <w:rPr>
                <w:rFonts w:eastAsia="Calibri"/>
                <w:lang w:val="en-GB"/>
              </w:rPr>
            </w:pPr>
            <w:r w:rsidRPr="0034527B">
              <w:rPr>
                <w:rFonts w:eastAsia="Calibri"/>
                <w:lang w:val="en-GB"/>
              </w:rPr>
              <w:t>Marketing Innovation for Health</w:t>
            </w:r>
          </w:p>
        </w:tc>
        <w:tc>
          <w:tcPr>
            <w:tcW w:w="6210" w:type="dxa"/>
            <w:shd w:val="clear" w:color="auto" w:fill="auto"/>
          </w:tcPr>
          <w:p w14:paraId="3573D970" w14:textId="559D880C" w:rsidR="00FA1E6A" w:rsidRPr="0034527B" w:rsidRDefault="00333165" w:rsidP="00333165">
            <w:pPr>
              <w:pStyle w:val="ExhibitText"/>
              <w:rPr>
                <w:rFonts w:eastAsia="Calibri"/>
                <w:lang w:val="en-GB"/>
              </w:rPr>
            </w:pPr>
            <w:r w:rsidRPr="0034527B">
              <w:rPr>
                <w:rFonts w:eastAsia="Calibri"/>
                <w:lang w:val="en-GB"/>
              </w:rPr>
              <w:t>This a</w:t>
            </w:r>
            <w:r w:rsidR="00FA1E6A" w:rsidRPr="0034527B">
              <w:rPr>
                <w:rFonts w:eastAsia="Calibri"/>
                <w:lang w:val="en-GB"/>
              </w:rPr>
              <w:t xml:space="preserve">imed to increase access to and demand for essential health products and services through the private sector. </w:t>
            </w:r>
            <w:r w:rsidRPr="0034527B">
              <w:rPr>
                <w:rFonts w:eastAsia="Calibri"/>
                <w:lang w:val="en-GB"/>
              </w:rPr>
              <w:t>It u</w:t>
            </w:r>
            <w:r w:rsidR="00FA1E6A" w:rsidRPr="0034527B">
              <w:rPr>
                <w:rFonts w:eastAsia="Calibri"/>
                <w:lang w:val="en-GB"/>
              </w:rPr>
              <w:t>sed extensive marketing and behavioural change communication campaigns</w:t>
            </w:r>
            <w:r w:rsidRPr="0034527B">
              <w:rPr>
                <w:rFonts w:eastAsia="Calibri"/>
                <w:lang w:val="en-GB"/>
              </w:rPr>
              <w:t>.</w:t>
            </w:r>
          </w:p>
        </w:tc>
        <w:tc>
          <w:tcPr>
            <w:tcW w:w="1049" w:type="dxa"/>
            <w:shd w:val="clear" w:color="auto" w:fill="auto"/>
          </w:tcPr>
          <w:p w14:paraId="38696A57" w14:textId="77777777" w:rsidR="00FA1E6A" w:rsidRPr="0034527B" w:rsidRDefault="00FA1E6A" w:rsidP="00FA1E6A">
            <w:pPr>
              <w:pStyle w:val="ExhibitText"/>
              <w:rPr>
                <w:rFonts w:eastAsia="Calibri"/>
                <w:lang w:val="en-GB"/>
              </w:rPr>
            </w:pPr>
            <w:r w:rsidRPr="0034527B">
              <w:rPr>
                <w:rFonts w:eastAsia="Calibri"/>
                <w:lang w:val="en-GB"/>
              </w:rPr>
              <w:t>7</w:t>
            </w:r>
          </w:p>
        </w:tc>
      </w:tr>
      <w:tr w:rsidR="00FA1E6A" w:rsidRPr="0034527B" w14:paraId="493AC174" w14:textId="77777777" w:rsidTr="00FA1E6A">
        <w:trPr>
          <w:trHeight w:val="20"/>
          <w:jc w:val="center"/>
        </w:trPr>
        <w:tc>
          <w:tcPr>
            <w:tcW w:w="2039" w:type="dxa"/>
            <w:shd w:val="clear" w:color="auto" w:fill="auto"/>
          </w:tcPr>
          <w:p w14:paraId="7E32441C" w14:textId="177926ED" w:rsidR="00FA1E6A" w:rsidRPr="0034527B" w:rsidRDefault="00FA1E6A" w:rsidP="00F6530B">
            <w:pPr>
              <w:pStyle w:val="ExhibitText"/>
              <w:jc w:val="left"/>
              <w:rPr>
                <w:rFonts w:eastAsia="Calibri"/>
                <w:lang w:val="en-GB"/>
              </w:rPr>
            </w:pPr>
            <w:r w:rsidRPr="0034527B">
              <w:rPr>
                <w:rFonts w:eastAsia="Calibri"/>
                <w:lang w:val="en-GB"/>
              </w:rPr>
              <w:t>Non-communicable Diseases</w:t>
            </w:r>
            <w:r w:rsidR="00F6530B" w:rsidRPr="0034527B">
              <w:rPr>
                <w:rFonts w:eastAsia="Calibri"/>
                <w:lang w:val="en-GB"/>
              </w:rPr>
              <w:t xml:space="preserve"> </w:t>
            </w:r>
            <w:r w:rsidRPr="0034527B">
              <w:rPr>
                <w:rFonts w:eastAsia="Calibri"/>
                <w:lang w:val="en-GB"/>
              </w:rPr>
              <w:t xml:space="preserve">(Integrated through the Essential Health </w:t>
            </w:r>
            <w:r w:rsidR="00F6530B" w:rsidRPr="0034527B">
              <w:rPr>
                <w:rFonts w:eastAsia="Calibri"/>
                <w:lang w:val="en-GB"/>
              </w:rPr>
              <w:t>C</w:t>
            </w:r>
            <w:r w:rsidRPr="0034527B">
              <w:rPr>
                <w:rFonts w:eastAsia="Calibri"/>
                <w:lang w:val="en-GB"/>
              </w:rPr>
              <w:t>are platform)</w:t>
            </w:r>
          </w:p>
        </w:tc>
        <w:tc>
          <w:tcPr>
            <w:tcW w:w="6210" w:type="dxa"/>
            <w:shd w:val="clear" w:color="auto" w:fill="auto"/>
          </w:tcPr>
          <w:p w14:paraId="696BE58C" w14:textId="612DD9D5" w:rsidR="00FA1E6A" w:rsidRPr="0034527B" w:rsidRDefault="00FA1E6A" w:rsidP="00FB297A">
            <w:pPr>
              <w:pStyle w:val="ExhibitText"/>
              <w:rPr>
                <w:rFonts w:eastAsia="Calibri"/>
                <w:lang w:val="en-GB"/>
              </w:rPr>
            </w:pPr>
            <w:r w:rsidRPr="0034527B">
              <w:rPr>
                <w:rFonts w:eastAsia="Calibri"/>
                <w:lang w:val="en-GB"/>
              </w:rPr>
              <w:t xml:space="preserve">The Shasthya Shebikas measured </w:t>
            </w:r>
            <w:r w:rsidR="00333165" w:rsidRPr="0034527B">
              <w:rPr>
                <w:rFonts w:eastAsia="Calibri"/>
                <w:lang w:val="en-GB"/>
              </w:rPr>
              <w:t xml:space="preserve">both </w:t>
            </w:r>
            <w:r w:rsidRPr="0034527B">
              <w:rPr>
                <w:rFonts w:eastAsia="Calibri"/>
                <w:lang w:val="en-GB"/>
              </w:rPr>
              <w:t>blood glucose</w:t>
            </w:r>
            <w:r w:rsidR="00FB297A" w:rsidRPr="0034527B">
              <w:rPr>
                <w:rFonts w:eastAsia="Calibri"/>
                <w:lang w:val="en-GB"/>
              </w:rPr>
              <w:t>,</w:t>
            </w:r>
            <w:r w:rsidRPr="0034527B">
              <w:rPr>
                <w:rFonts w:eastAsia="Calibri"/>
                <w:lang w:val="en-GB"/>
              </w:rPr>
              <w:t xml:space="preserve"> using a glucometer</w:t>
            </w:r>
            <w:r w:rsidR="00FB297A" w:rsidRPr="0034527B">
              <w:rPr>
                <w:rFonts w:eastAsia="Calibri"/>
                <w:lang w:val="en-GB"/>
              </w:rPr>
              <w:t>,</w:t>
            </w:r>
            <w:r w:rsidRPr="0034527B">
              <w:rPr>
                <w:rFonts w:eastAsia="Calibri"/>
                <w:lang w:val="en-GB"/>
              </w:rPr>
              <w:t xml:space="preserve"> and blood pressure. They performed primary screening for diabetes and hypertension among people at risk</w:t>
            </w:r>
            <w:r w:rsidR="00333165" w:rsidRPr="0034527B">
              <w:rPr>
                <w:rFonts w:eastAsia="Calibri"/>
                <w:lang w:val="en-GB"/>
              </w:rPr>
              <w:t>,</w:t>
            </w:r>
            <w:r w:rsidRPr="0034527B">
              <w:rPr>
                <w:rFonts w:eastAsia="Calibri"/>
                <w:lang w:val="en-GB"/>
              </w:rPr>
              <w:t xml:space="preserve"> and referred </w:t>
            </w:r>
            <w:r w:rsidR="00FB297A" w:rsidRPr="0034527B">
              <w:rPr>
                <w:rFonts w:eastAsia="Calibri"/>
                <w:lang w:val="en-GB"/>
              </w:rPr>
              <w:t>patients</w:t>
            </w:r>
            <w:r w:rsidRPr="0034527B">
              <w:rPr>
                <w:rFonts w:eastAsia="Calibri"/>
                <w:lang w:val="en-GB"/>
              </w:rPr>
              <w:t xml:space="preserve"> with positive results to partner clinics/hospitals.</w:t>
            </w:r>
          </w:p>
        </w:tc>
        <w:tc>
          <w:tcPr>
            <w:tcW w:w="1049" w:type="dxa"/>
            <w:shd w:val="clear" w:color="auto" w:fill="auto"/>
          </w:tcPr>
          <w:p w14:paraId="6B5223F8" w14:textId="77777777" w:rsidR="00FA1E6A" w:rsidRPr="0034527B" w:rsidRDefault="00FA1E6A" w:rsidP="00FA1E6A">
            <w:pPr>
              <w:pStyle w:val="ExhibitText"/>
              <w:rPr>
                <w:rFonts w:eastAsia="Calibri"/>
                <w:lang w:val="en-GB"/>
              </w:rPr>
            </w:pPr>
            <w:r w:rsidRPr="0034527B">
              <w:rPr>
                <w:rFonts w:eastAsia="Calibri"/>
                <w:lang w:val="en-GB"/>
              </w:rPr>
              <w:t>42</w:t>
            </w:r>
          </w:p>
        </w:tc>
      </w:tr>
    </w:tbl>
    <w:p w14:paraId="6E1C4964" w14:textId="77777777" w:rsidR="00FA1E6A" w:rsidRPr="0034527B" w:rsidRDefault="00FA1E6A" w:rsidP="00FA1E6A">
      <w:pPr>
        <w:pStyle w:val="Footnote"/>
        <w:rPr>
          <w:rFonts w:ascii="Times New Roman" w:eastAsia="Calibri" w:hAnsi="Times New Roman" w:cs="Times New Roman"/>
          <w:sz w:val="22"/>
          <w:szCs w:val="22"/>
          <w:lang w:val="en-GB"/>
        </w:rPr>
      </w:pPr>
    </w:p>
    <w:p w14:paraId="4E3881C1" w14:textId="77777777" w:rsidR="00FA1E6A" w:rsidRPr="0034527B" w:rsidRDefault="00FA1E6A" w:rsidP="00FA1E6A">
      <w:pPr>
        <w:pStyle w:val="Footnote"/>
        <w:rPr>
          <w:lang w:val="en-GB"/>
        </w:rPr>
      </w:pPr>
      <w:r w:rsidRPr="0034527B">
        <w:rPr>
          <w:lang w:val="en-GB"/>
        </w:rPr>
        <w:t>Source: Company files.</w:t>
      </w:r>
    </w:p>
    <w:p w14:paraId="68D6AFD6" w14:textId="77777777" w:rsidR="00FA1E6A" w:rsidRPr="0034527B" w:rsidRDefault="00FA1E6A">
      <w:pPr>
        <w:spacing w:after="200" w:line="276" w:lineRule="auto"/>
        <w:rPr>
          <w:lang w:val="en-GB"/>
        </w:rPr>
      </w:pPr>
      <w:r w:rsidRPr="0034527B">
        <w:rPr>
          <w:lang w:val="en-GB"/>
        </w:rPr>
        <w:br w:type="page"/>
      </w:r>
    </w:p>
    <w:p w14:paraId="0F24A612" w14:textId="11F39B99" w:rsidR="00FA1E6A" w:rsidRPr="0034527B" w:rsidRDefault="00FA1E6A" w:rsidP="00FA1E6A">
      <w:pPr>
        <w:pStyle w:val="ExhibitHeading"/>
        <w:rPr>
          <w:rFonts w:eastAsia="Calibri"/>
          <w:lang w:val="en-GB"/>
        </w:rPr>
      </w:pPr>
      <w:r w:rsidRPr="0034527B">
        <w:rPr>
          <w:rFonts w:eastAsia="Calibri"/>
          <w:lang w:val="en-GB"/>
        </w:rPr>
        <w:lastRenderedPageBreak/>
        <w:t>Exhibit 5: Shasthya Shebikas’ Involvement in Programs (Dec</w:t>
      </w:r>
      <w:r w:rsidR="00FB297A" w:rsidRPr="0034527B">
        <w:rPr>
          <w:rFonts w:eastAsia="Calibri"/>
          <w:lang w:val="en-GB"/>
        </w:rPr>
        <w:t>ember</w:t>
      </w:r>
      <w:r w:rsidRPr="0034527B">
        <w:rPr>
          <w:rFonts w:eastAsia="Calibri"/>
          <w:lang w:val="en-GB"/>
        </w:rPr>
        <w:t xml:space="preserve"> 2014)</w:t>
      </w:r>
    </w:p>
    <w:p w14:paraId="0C03C7A6" w14:textId="77777777" w:rsidR="00FA1E6A" w:rsidRPr="0034527B" w:rsidRDefault="00FA1E6A" w:rsidP="00FA1E6A">
      <w:pPr>
        <w:pStyle w:val="BodyTextMain"/>
        <w:jc w:val="center"/>
        <w:rPr>
          <w:rFonts w:eastAsia="Calibr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1134"/>
        <w:gridCol w:w="1134"/>
        <w:gridCol w:w="1371"/>
      </w:tblGrid>
      <w:tr w:rsidR="00FA1E6A" w:rsidRPr="0034527B" w14:paraId="2C5D0632" w14:textId="77777777" w:rsidTr="002A44A4">
        <w:trPr>
          <w:jc w:val="center"/>
        </w:trPr>
        <w:tc>
          <w:tcPr>
            <w:tcW w:w="4531" w:type="dxa"/>
            <w:shd w:val="clear" w:color="auto" w:fill="auto"/>
          </w:tcPr>
          <w:p w14:paraId="080EED3F" w14:textId="77777777" w:rsidR="00FA1E6A" w:rsidRPr="0034527B" w:rsidRDefault="00FA1E6A" w:rsidP="002A44A4">
            <w:pPr>
              <w:pStyle w:val="ExhibitText"/>
              <w:jc w:val="center"/>
              <w:rPr>
                <w:rFonts w:eastAsia="Calibri"/>
                <w:b/>
                <w:lang w:val="en-GB"/>
              </w:rPr>
            </w:pPr>
            <w:r w:rsidRPr="0034527B">
              <w:rPr>
                <w:rFonts w:eastAsia="Calibri"/>
                <w:b/>
                <w:lang w:val="en-GB"/>
              </w:rPr>
              <w:t>Program</w:t>
            </w:r>
          </w:p>
        </w:tc>
        <w:tc>
          <w:tcPr>
            <w:tcW w:w="1134" w:type="dxa"/>
            <w:shd w:val="clear" w:color="auto" w:fill="auto"/>
          </w:tcPr>
          <w:p w14:paraId="3FB0375E" w14:textId="370ABD83" w:rsidR="00FA1E6A" w:rsidRPr="0034527B" w:rsidRDefault="00FA1E6A" w:rsidP="002A44A4">
            <w:pPr>
              <w:pStyle w:val="ExhibitText"/>
              <w:jc w:val="center"/>
              <w:rPr>
                <w:rFonts w:eastAsia="Calibri"/>
                <w:b/>
                <w:lang w:val="en-GB"/>
              </w:rPr>
            </w:pPr>
            <w:r w:rsidRPr="0034527B">
              <w:rPr>
                <w:rFonts w:eastAsia="Calibri"/>
                <w:b/>
                <w:lang w:val="en-GB"/>
              </w:rPr>
              <w:t xml:space="preserve">Districts </w:t>
            </w:r>
            <w:r w:rsidR="006B2245" w:rsidRPr="0034527B">
              <w:rPr>
                <w:rFonts w:eastAsia="Calibri"/>
                <w:b/>
                <w:lang w:val="en-GB"/>
              </w:rPr>
              <w:t>C</w:t>
            </w:r>
            <w:r w:rsidRPr="0034527B">
              <w:rPr>
                <w:rFonts w:eastAsia="Calibri"/>
                <w:b/>
                <w:lang w:val="en-GB"/>
              </w:rPr>
              <w:t>overed</w:t>
            </w:r>
          </w:p>
        </w:tc>
        <w:tc>
          <w:tcPr>
            <w:tcW w:w="1134" w:type="dxa"/>
            <w:shd w:val="clear" w:color="auto" w:fill="auto"/>
          </w:tcPr>
          <w:p w14:paraId="6648F4CD" w14:textId="71F56D29" w:rsidR="00FA1E6A" w:rsidRPr="0034527B" w:rsidRDefault="00FA1E6A" w:rsidP="002A44A4">
            <w:pPr>
              <w:pStyle w:val="ExhibitText"/>
              <w:jc w:val="center"/>
              <w:rPr>
                <w:rFonts w:eastAsia="Calibri"/>
                <w:b/>
                <w:lang w:val="en-GB"/>
              </w:rPr>
            </w:pPr>
            <w:r w:rsidRPr="0034527B">
              <w:rPr>
                <w:rFonts w:eastAsia="Calibri"/>
                <w:b/>
                <w:lang w:val="en-GB"/>
              </w:rPr>
              <w:t>Shasthya</w:t>
            </w:r>
            <w:r w:rsidR="00BA665F" w:rsidRPr="0034527B">
              <w:rPr>
                <w:rFonts w:eastAsia="Calibri"/>
                <w:b/>
                <w:lang w:val="en-GB"/>
              </w:rPr>
              <w:t xml:space="preserve"> </w:t>
            </w:r>
            <w:r w:rsidRPr="0034527B">
              <w:rPr>
                <w:rFonts w:eastAsia="Calibri"/>
                <w:b/>
                <w:lang w:val="en-GB"/>
              </w:rPr>
              <w:t>Kormi</w:t>
            </w:r>
            <w:r w:rsidR="00BA665F" w:rsidRPr="0034527B">
              <w:rPr>
                <w:rFonts w:eastAsia="Calibri"/>
                <w:b/>
                <w:lang w:val="en-GB"/>
              </w:rPr>
              <w:t>s</w:t>
            </w:r>
          </w:p>
        </w:tc>
        <w:tc>
          <w:tcPr>
            <w:tcW w:w="1371" w:type="dxa"/>
            <w:shd w:val="clear" w:color="auto" w:fill="auto"/>
          </w:tcPr>
          <w:p w14:paraId="17E44CA5" w14:textId="32150B1B" w:rsidR="00FA1E6A" w:rsidRPr="0034527B" w:rsidRDefault="00FA1E6A" w:rsidP="002A44A4">
            <w:pPr>
              <w:pStyle w:val="ExhibitText"/>
              <w:jc w:val="center"/>
              <w:rPr>
                <w:rFonts w:eastAsia="Calibri"/>
                <w:b/>
                <w:lang w:val="en-GB"/>
              </w:rPr>
            </w:pPr>
            <w:r w:rsidRPr="0034527B">
              <w:rPr>
                <w:rFonts w:eastAsia="Calibri"/>
                <w:b/>
                <w:lang w:val="en-GB"/>
              </w:rPr>
              <w:t>Shasthya Shebika</w:t>
            </w:r>
            <w:r w:rsidR="00BA665F" w:rsidRPr="0034527B">
              <w:rPr>
                <w:rFonts w:eastAsia="Calibri"/>
                <w:b/>
                <w:lang w:val="en-GB"/>
              </w:rPr>
              <w:t>s</w:t>
            </w:r>
          </w:p>
        </w:tc>
      </w:tr>
      <w:tr w:rsidR="00FA1E6A" w:rsidRPr="0034527B" w14:paraId="2AF7E3F5" w14:textId="77777777" w:rsidTr="002A44A4">
        <w:trPr>
          <w:trHeight w:val="60"/>
          <w:jc w:val="center"/>
        </w:trPr>
        <w:tc>
          <w:tcPr>
            <w:tcW w:w="4531" w:type="dxa"/>
            <w:shd w:val="clear" w:color="auto" w:fill="auto"/>
          </w:tcPr>
          <w:p w14:paraId="07C3851C" w14:textId="77777777" w:rsidR="00FA1E6A" w:rsidRPr="0034527B" w:rsidRDefault="00FA1E6A" w:rsidP="00FA1E6A">
            <w:pPr>
              <w:pStyle w:val="ExhibitText"/>
              <w:rPr>
                <w:rFonts w:eastAsia="Calibri"/>
                <w:lang w:val="en-GB"/>
              </w:rPr>
            </w:pPr>
            <w:r w:rsidRPr="0034527B">
              <w:rPr>
                <w:rFonts w:eastAsia="Calibri"/>
                <w:lang w:val="en-GB"/>
              </w:rPr>
              <w:t xml:space="preserve">Essential Health Care </w:t>
            </w:r>
          </w:p>
        </w:tc>
        <w:tc>
          <w:tcPr>
            <w:tcW w:w="1134" w:type="dxa"/>
            <w:shd w:val="clear" w:color="auto" w:fill="auto"/>
          </w:tcPr>
          <w:p w14:paraId="72D62796" w14:textId="77777777" w:rsidR="00FA1E6A" w:rsidRPr="0034527B" w:rsidRDefault="00FA1E6A" w:rsidP="00FA1E6A">
            <w:pPr>
              <w:pStyle w:val="ExhibitText"/>
              <w:jc w:val="right"/>
              <w:rPr>
                <w:rFonts w:eastAsia="Calibri"/>
                <w:lang w:val="en-GB"/>
              </w:rPr>
            </w:pPr>
            <w:r w:rsidRPr="0034527B">
              <w:rPr>
                <w:rFonts w:eastAsia="Calibri"/>
                <w:lang w:val="en-GB"/>
              </w:rPr>
              <w:t>47</w:t>
            </w:r>
          </w:p>
        </w:tc>
        <w:tc>
          <w:tcPr>
            <w:tcW w:w="1134" w:type="dxa"/>
            <w:shd w:val="clear" w:color="auto" w:fill="auto"/>
          </w:tcPr>
          <w:p w14:paraId="1CB989F9" w14:textId="77777777" w:rsidR="00FA1E6A" w:rsidRPr="0034527B" w:rsidRDefault="00FA1E6A" w:rsidP="00FA1E6A">
            <w:pPr>
              <w:pStyle w:val="ExhibitText"/>
              <w:jc w:val="right"/>
              <w:rPr>
                <w:rFonts w:eastAsia="Calibri"/>
                <w:lang w:val="en-GB"/>
              </w:rPr>
            </w:pPr>
            <w:r w:rsidRPr="0034527B">
              <w:rPr>
                <w:rFonts w:eastAsia="Calibri"/>
                <w:lang w:val="en-GB"/>
              </w:rPr>
              <w:t>4,792</w:t>
            </w:r>
          </w:p>
        </w:tc>
        <w:tc>
          <w:tcPr>
            <w:tcW w:w="1371" w:type="dxa"/>
            <w:shd w:val="clear" w:color="auto" w:fill="auto"/>
          </w:tcPr>
          <w:p w14:paraId="14EEDF44" w14:textId="77777777" w:rsidR="00FA1E6A" w:rsidRPr="0034527B" w:rsidRDefault="00FA1E6A" w:rsidP="00FA1E6A">
            <w:pPr>
              <w:pStyle w:val="ExhibitText"/>
              <w:jc w:val="right"/>
              <w:rPr>
                <w:rFonts w:eastAsia="Calibri"/>
                <w:lang w:val="en-GB"/>
              </w:rPr>
            </w:pPr>
            <w:r w:rsidRPr="0034527B">
              <w:rPr>
                <w:rFonts w:eastAsia="Calibri"/>
                <w:lang w:val="en-GB"/>
              </w:rPr>
              <w:t>48,713</w:t>
            </w:r>
          </w:p>
        </w:tc>
      </w:tr>
      <w:tr w:rsidR="00FA1E6A" w:rsidRPr="0034527B" w14:paraId="5C2BFDFC" w14:textId="77777777" w:rsidTr="002A44A4">
        <w:trPr>
          <w:jc w:val="center"/>
        </w:trPr>
        <w:tc>
          <w:tcPr>
            <w:tcW w:w="4531" w:type="dxa"/>
            <w:shd w:val="clear" w:color="auto" w:fill="auto"/>
          </w:tcPr>
          <w:p w14:paraId="02F106F3" w14:textId="4F842ED5" w:rsidR="00FA1E6A" w:rsidRPr="0034527B" w:rsidRDefault="00FA1E6A" w:rsidP="00FA1E6A">
            <w:pPr>
              <w:pStyle w:val="ExhibitText"/>
              <w:rPr>
                <w:rFonts w:eastAsia="Calibri"/>
                <w:lang w:val="en-GB"/>
              </w:rPr>
            </w:pPr>
            <w:r w:rsidRPr="0034527B">
              <w:rPr>
                <w:rFonts w:eastAsia="Calibri"/>
                <w:lang w:val="en-GB"/>
              </w:rPr>
              <w:t>E</w:t>
            </w:r>
            <w:r w:rsidR="00BA665F" w:rsidRPr="0034527B">
              <w:rPr>
                <w:rFonts w:eastAsia="Calibri"/>
                <w:lang w:val="en-GB"/>
              </w:rPr>
              <w:t xml:space="preserve">ssential </w:t>
            </w:r>
            <w:r w:rsidRPr="0034527B">
              <w:rPr>
                <w:rFonts w:eastAsia="Calibri"/>
                <w:lang w:val="en-GB"/>
              </w:rPr>
              <w:t>H</w:t>
            </w:r>
            <w:r w:rsidR="00BA665F" w:rsidRPr="0034527B">
              <w:rPr>
                <w:rFonts w:eastAsia="Calibri"/>
                <w:lang w:val="en-GB"/>
              </w:rPr>
              <w:t xml:space="preserve">ealth </w:t>
            </w:r>
            <w:r w:rsidRPr="0034527B">
              <w:rPr>
                <w:rFonts w:eastAsia="Calibri"/>
                <w:lang w:val="en-GB"/>
              </w:rPr>
              <w:t>C</w:t>
            </w:r>
            <w:r w:rsidR="00BA665F" w:rsidRPr="0034527B">
              <w:rPr>
                <w:rFonts w:eastAsia="Calibri"/>
                <w:lang w:val="en-GB"/>
              </w:rPr>
              <w:t>are</w:t>
            </w:r>
            <w:r w:rsidRPr="0034527B">
              <w:rPr>
                <w:rFonts w:eastAsia="Calibri"/>
                <w:lang w:val="en-GB"/>
              </w:rPr>
              <w:t xml:space="preserve"> for </w:t>
            </w:r>
            <w:r w:rsidR="00BA665F" w:rsidRPr="0034527B">
              <w:rPr>
                <w:rFonts w:eastAsia="Calibri"/>
                <w:lang w:val="en-GB"/>
              </w:rPr>
              <w:t xml:space="preserve">the </w:t>
            </w:r>
            <w:r w:rsidRPr="0034527B">
              <w:rPr>
                <w:rFonts w:eastAsia="Calibri"/>
                <w:lang w:val="en-GB"/>
              </w:rPr>
              <w:t>Ultra-Poor</w:t>
            </w:r>
          </w:p>
        </w:tc>
        <w:tc>
          <w:tcPr>
            <w:tcW w:w="1134" w:type="dxa"/>
            <w:shd w:val="clear" w:color="auto" w:fill="auto"/>
          </w:tcPr>
          <w:p w14:paraId="73A43CB1" w14:textId="77777777" w:rsidR="00FA1E6A" w:rsidRPr="0034527B" w:rsidRDefault="00FA1E6A" w:rsidP="00FA1E6A">
            <w:pPr>
              <w:pStyle w:val="ExhibitText"/>
              <w:jc w:val="right"/>
              <w:rPr>
                <w:rFonts w:eastAsia="Calibri"/>
                <w:lang w:val="en-GB"/>
              </w:rPr>
            </w:pPr>
            <w:r w:rsidRPr="0034527B">
              <w:rPr>
                <w:rFonts w:eastAsia="Calibri"/>
                <w:lang w:val="en-GB"/>
              </w:rPr>
              <w:t>44</w:t>
            </w:r>
          </w:p>
        </w:tc>
        <w:tc>
          <w:tcPr>
            <w:tcW w:w="1134" w:type="dxa"/>
            <w:shd w:val="clear" w:color="auto" w:fill="auto"/>
          </w:tcPr>
          <w:p w14:paraId="7EB936C7" w14:textId="77777777" w:rsidR="00FA1E6A" w:rsidRPr="0034527B" w:rsidRDefault="00FA1E6A" w:rsidP="00FA1E6A">
            <w:pPr>
              <w:pStyle w:val="ExhibitText"/>
              <w:jc w:val="right"/>
              <w:rPr>
                <w:rFonts w:eastAsia="Calibri"/>
                <w:lang w:val="en-GB"/>
              </w:rPr>
            </w:pPr>
            <w:r w:rsidRPr="0034527B">
              <w:rPr>
                <w:rFonts w:eastAsia="Calibri"/>
                <w:lang w:val="en-GB"/>
              </w:rPr>
              <w:t>nil</w:t>
            </w:r>
          </w:p>
        </w:tc>
        <w:tc>
          <w:tcPr>
            <w:tcW w:w="1371" w:type="dxa"/>
            <w:shd w:val="clear" w:color="auto" w:fill="auto"/>
          </w:tcPr>
          <w:p w14:paraId="22777764" w14:textId="77777777" w:rsidR="00FA1E6A" w:rsidRPr="0034527B" w:rsidRDefault="00FA1E6A" w:rsidP="00FA1E6A">
            <w:pPr>
              <w:pStyle w:val="ExhibitText"/>
              <w:jc w:val="right"/>
              <w:rPr>
                <w:rFonts w:eastAsia="Calibri"/>
                <w:lang w:val="en-GB"/>
              </w:rPr>
            </w:pPr>
            <w:r w:rsidRPr="0034527B">
              <w:rPr>
                <w:rFonts w:eastAsia="Calibri"/>
                <w:lang w:val="en-GB"/>
              </w:rPr>
              <w:t>nil</w:t>
            </w:r>
          </w:p>
        </w:tc>
      </w:tr>
      <w:tr w:rsidR="00FA1E6A" w:rsidRPr="0034527B" w14:paraId="3EBA85D7" w14:textId="77777777" w:rsidTr="002A44A4">
        <w:trPr>
          <w:jc w:val="center"/>
        </w:trPr>
        <w:tc>
          <w:tcPr>
            <w:tcW w:w="4531" w:type="dxa"/>
            <w:shd w:val="clear" w:color="auto" w:fill="auto"/>
          </w:tcPr>
          <w:p w14:paraId="1EBB9167" w14:textId="7F6D8E31" w:rsidR="00FA1E6A" w:rsidRPr="0034527B" w:rsidRDefault="00FA1E6A" w:rsidP="00BA665F">
            <w:pPr>
              <w:pStyle w:val="ExhibitText"/>
              <w:rPr>
                <w:rFonts w:eastAsia="Calibri"/>
                <w:lang w:val="en-GB"/>
              </w:rPr>
            </w:pPr>
            <w:r w:rsidRPr="0034527B">
              <w:rPr>
                <w:rFonts w:eastAsia="Calibri"/>
                <w:lang w:val="en-GB"/>
              </w:rPr>
              <w:t xml:space="preserve">Improving Maternal, Neonatal </w:t>
            </w:r>
            <w:r w:rsidR="00BA665F" w:rsidRPr="0034527B">
              <w:rPr>
                <w:rFonts w:eastAsia="Calibri"/>
                <w:lang w:val="en-GB"/>
              </w:rPr>
              <w:t>and</w:t>
            </w:r>
            <w:r w:rsidRPr="0034527B">
              <w:rPr>
                <w:rFonts w:eastAsia="Calibri"/>
                <w:lang w:val="en-GB"/>
              </w:rPr>
              <w:t xml:space="preserve"> Child Survival</w:t>
            </w:r>
          </w:p>
        </w:tc>
        <w:tc>
          <w:tcPr>
            <w:tcW w:w="1134" w:type="dxa"/>
            <w:shd w:val="clear" w:color="auto" w:fill="auto"/>
          </w:tcPr>
          <w:p w14:paraId="1CC5E2A1" w14:textId="77777777" w:rsidR="00FA1E6A" w:rsidRPr="0034527B" w:rsidRDefault="00FA1E6A" w:rsidP="00FA1E6A">
            <w:pPr>
              <w:pStyle w:val="ExhibitText"/>
              <w:jc w:val="right"/>
              <w:rPr>
                <w:rFonts w:eastAsia="Calibri"/>
                <w:lang w:val="en-GB"/>
              </w:rPr>
            </w:pPr>
            <w:r w:rsidRPr="0034527B">
              <w:rPr>
                <w:rFonts w:eastAsia="Calibri"/>
                <w:lang w:val="en-GB"/>
              </w:rPr>
              <w:t>14</w:t>
            </w:r>
          </w:p>
        </w:tc>
        <w:tc>
          <w:tcPr>
            <w:tcW w:w="1134" w:type="dxa"/>
            <w:shd w:val="clear" w:color="auto" w:fill="auto"/>
          </w:tcPr>
          <w:p w14:paraId="6E93F587" w14:textId="77777777" w:rsidR="00FA1E6A" w:rsidRPr="0034527B" w:rsidRDefault="00FA1E6A" w:rsidP="00FA1E6A">
            <w:pPr>
              <w:pStyle w:val="ExhibitText"/>
              <w:jc w:val="right"/>
              <w:rPr>
                <w:rFonts w:eastAsia="Calibri"/>
                <w:lang w:val="en-GB"/>
              </w:rPr>
            </w:pPr>
            <w:r w:rsidRPr="0034527B">
              <w:rPr>
                <w:rFonts w:eastAsia="Calibri"/>
                <w:lang w:val="en-GB"/>
              </w:rPr>
              <w:t>4,421</w:t>
            </w:r>
          </w:p>
        </w:tc>
        <w:tc>
          <w:tcPr>
            <w:tcW w:w="1371" w:type="dxa"/>
            <w:shd w:val="clear" w:color="auto" w:fill="auto"/>
          </w:tcPr>
          <w:p w14:paraId="3D3F4157" w14:textId="77777777" w:rsidR="00FA1E6A" w:rsidRPr="0034527B" w:rsidRDefault="00FA1E6A" w:rsidP="00FA1E6A">
            <w:pPr>
              <w:pStyle w:val="ExhibitText"/>
              <w:jc w:val="right"/>
              <w:rPr>
                <w:rFonts w:eastAsia="Calibri"/>
                <w:lang w:val="en-GB"/>
              </w:rPr>
            </w:pPr>
            <w:r w:rsidRPr="0034527B">
              <w:rPr>
                <w:rFonts w:eastAsia="Calibri"/>
                <w:lang w:val="en-GB"/>
              </w:rPr>
              <w:t>36,050</w:t>
            </w:r>
          </w:p>
        </w:tc>
      </w:tr>
      <w:tr w:rsidR="00FA1E6A" w:rsidRPr="0034527B" w14:paraId="029767D0" w14:textId="77777777" w:rsidTr="002A44A4">
        <w:trPr>
          <w:jc w:val="center"/>
        </w:trPr>
        <w:tc>
          <w:tcPr>
            <w:tcW w:w="4531" w:type="dxa"/>
            <w:shd w:val="clear" w:color="auto" w:fill="auto"/>
          </w:tcPr>
          <w:p w14:paraId="14AD5DC7" w14:textId="77777777" w:rsidR="00FA1E6A" w:rsidRPr="0034527B" w:rsidRDefault="00FA1E6A" w:rsidP="00FA1E6A">
            <w:pPr>
              <w:pStyle w:val="ExhibitText"/>
              <w:rPr>
                <w:rFonts w:eastAsia="Calibri"/>
                <w:lang w:val="en-GB"/>
              </w:rPr>
            </w:pPr>
            <w:r w:rsidRPr="0034527B">
              <w:rPr>
                <w:rFonts w:eastAsia="Calibri"/>
                <w:lang w:val="en-GB"/>
              </w:rPr>
              <w:t>Nutrition</w:t>
            </w:r>
          </w:p>
        </w:tc>
        <w:tc>
          <w:tcPr>
            <w:tcW w:w="1134" w:type="dxa"/>
            <w:shd w:val="clear" w:color="auto" w:fill="auto"/>
          </w:tcPr>
          <w:p w14:paraId="59F35882" w14:textId="77777777" w:rsidR="00FA1E6A" w:rsidRPr="0034527B" w:rsidRDefault="00FA1E6A" w:rsidP="00FA1E6A">
            <w:pPr>
              <w:pStyle w:val="ExhibitText"/>
              <w:jc w:val="right"/>
              <w:rPr>
                <w:rFonts w:eastAsia="Calibri"/>
                <w:lang w:val="en-GB"/>
              </w:rPr>
            </w:pPr>
          </w:p>
        </w:tc>
        <w:tc>
          <w:tcPr>
            <w:tcW w:w="1134" w:type="dxa"/>
            <w:shd w:val="clear" w:color="auto" w:fill="auto"/>
          </w:tcPr>
          <w:p w14:paraId="67975C6C" w14:textId="77777777" w:rsidR="00FA1E6A" w:rsidRPr="0034527B" w:rsidRDefault="00FA1E6A" w:rsidP="00FA1E6A">
            <w:pPr>
              <w:pStyle w:val="ExhibitText"/>
              <w:jc w:val="right"/>
              <w:rPr>
                <w:rFonts w:eastAsia="Calibri"/>
                <w:lang w:val="en-GB"/>
              </w:rPr>
            </w:pPr>
            <w:r w:rsidRPr="0034527B">
              <w:rPr>
                <w:rFonts w:eastAsia="Calibri"/>
                <w:lang w:val="en-GB"/>
              </w:rPr>
              <w:t>3,408</w:t>
            </w:r>
          </w:p>
        </w:tc>
        <w:tc>
          <w:tcPr>
            <w:tcW w:w="1371" w:type="dxa"/>
            <w:shd w:val="clear" w:color="auto" w:fill="auto"/>
          </w:tcPr>
          <w:p w14:paraId="34C19C56" w14:textId="77777777" w:rsidR="00FA1E6A" w:rsidRPr="0034527B" w:rsidRDefault="00FA1E6A" w:rsidP="00FA1E6A">
            <w:pPr>
              <w:pStyle w:val="ExhibitText"/>
              <w:jc w:val="right"/>
              <w:rPr>
                <w:rFonts w:eastAsia="Calibri"/>
                <w:lang w:val="en-GB"/>
              </w:rPr>
            </w:pPr>
            <w:r w:rsidRPr="0034527B">
              <w:rPr>
                <w:rFonts w:eastAsia="Calibri"/>
                <w:lang w:val="en-GB"/>
              </w:rPr>
              <w:t>28,816</w:t>
            </w:r>
          </w:p>
        </w:tc>
      </w:tr>
      <w:tr w:rsidR="00FA1E6A" w:rsidRPr="0034527B" w14:paraId="17D7C338" w14:textId="77777777" w:rsidTr="002A44A4">
        <w:trPr>
          <w:jc w:val="center"/>
        </w:trPr>
        <w:tc>
          <w:tcPr>
            <w:tcW w:w="4531" w:type="dxa"/>
            <w:shd w:val="clear" w:color="auto" w:fill="auto"/>
          </w:tcPr>
          <w:p w14:paraId="05763E81" w14:textId="77777777" w:rsidR="00FA1E6A" w:rsidRPr="0034527B" w:rsidRDefault="00FA1E6A" w:rsidP="00FA1E6A">
            <w:pPr>
              <w:pStyle w:val="ExhibitText"/>
              <w:rPr>
                <w:rFonts w:eastAsia="Calibri"/>
                <w:lang w:val="en-GB"/>
              </w:rPr>
            </w:pPr>
            <w:r w:rsidRPr="0034527B">
              <w:rPr>
                <w:rFonts w:eastAsia="Calibri"/>
                <w:lang w:val="en-GB"/>
              </w:rPr>
              <w:t>Reading Glasses</w:t>
            </w:r>
          </w:p>
        </w:tc>
        <w:tc>
          <w:tcPr>
            <w:tcW w:w="1134" w:type="dxa"/>
            <w:shd w:val="clear" w:color="auto" w:fill="auto"/>
          </w:tcPr>
          <w:p w14:paraId="2448873A" w14:textId="77777777" w:rsidR="00FA1E6A" w:rsidRPr="0034527B" w:rsidRDefault="00FA1E6A" w:rsidP="00FA1E6A">
            <w:pPr>
              <w:pStyle w:val="ExhibitText"/>
              <w:jc w:val="right"/>
              <w:rPr>
                <w:rFonts w:eastAsia="Calibri"/>
                <w:lang w:val="en-GB"/>
              </w:rPr>
            </w:pPr>
            <w:r w:rsidRPr="0034527B">
              <w:rPr>
                <w:rFonts w:eastAsia="Calibri"/>
                <w:lang w:val="en-GB"/>
              </w:rPr>
              <w:t>61</w:t>
            </w:r>
          </w:p>
        </w:tc>
        <w:tc>
          <w:tcPr>
            <w:tcW w:w="1134" w:type="dxa"/>
            <w:shd w:val="clear" w:color="auto" w:fill="auto"/>
          </w:tcPr>
          <w:p w14:paraId="0D78748F" w14:textId="77777777" w:rsidR="00FA1E6A" w:rsidRPr="0034527B" w:rsidRDefault="00FA1E6A" w:rsidP="00FA1E6A">
            <w:pPr>
              <w:pStyle w:val="ExhibitText"/>
              <w:jc w:val="right"/>
              <w:rPr>
                <w:rFonts w:eastAsia="Calibri"/>
                <w:lang w:val="en-GB"/>
              </w:rPr>
            </w:pPr>
            <w:r w:rsidRPr="0034527B">
              <w:rPr>
                <w:rFonts w:eastAsia="Calibri"/>
                <w:lang w:val="en-GB"/>
              </w:rPr>
              <w:t>2,788</w:t>
            </w:r>
          </w:p>
        </w:tc>
        <w:tc>
          <w:tcPr>
            <w:tcW w:w="1371" w:type="dxa"/>
            <w:shd w:val="clear" w:color="auto" w:fill="auto"/>
          </w:tcPr>
          <w:p w14:paraId="611C5AE4" w14:textId="77777777" w:rsidR="00FA1E6A" w:rsidRPr="0034527B" w:rsidRDefault="00FA1E6A" w:rsidP="00FA1E6A">
            <w:pPr>
              <w:pStyle w:val="ExhibitText"/>
              <w:jc w:val="right"/>
              <w:rPr>
                <w:rFonts w:eastAsia="Calibri"/>
                <w:lang w:val="en-GB"/>
              </w:rPr>
            </w:pPr>
            <w:r w:rsidRPr="0034527B">
              <w:rPr>
                <w:rFonts w:eastAsia="Calibri"/>
                <w:lang w:val="en-GB"/>
              </w:rPr>
              <w:t>22,557</w:t>
            </w:r>
          </w:p>
        </w:tc>
      </w:tr>
      <w:tr w:rsidR="00FA1E6A" w:rsidRPr="0034527B" w14:paraId="4FA8D7D3" w14:textId="77777777" w:rsidTr="002A44A4">
        <w:trPr>
          <w:jc w:val="center"/>
        </w:trPr>
        <w:tc>
          <w:tcPr>
            <w:tcW w:w="4531" w:type="dxa"/>
            <w:shd w:val="clear" w:color="auto" w:fill="auto"/>
          </w:tcPr>
          <w:p w14:paraId="4B690A2B" w14:textId="59A5D3BA" w:rsidR="00FA1E6A" w:rsidRPr="0034527B" w:rsidRDefault="00BA665F" w:rsidP="00BA665F">
            <w:pPr>
              <w:pStyle w:val="ExhibitText"/>
              <w:rPr>
                <w:rFonts w:eastAsia="Calibri"/>
                <w:lang w:val="en-GB"/>
              </w:rPr>
            </w:pPr>
            <w:r w:rsidRPr="0034527B">
              <w:rPr>
                <w:rFonts w:eastAsia="Calibri"/>
                <w:lang w:val="en-GB"/>
              </w:rPr>
              <w:t>Tuberculosis</w:t>
            </w:r>
            <w:r w:rsidR="00FA1E6A" w:rsidRPr="0034527B">
              <w:rPr>
                <w:rFonts w:eastAsia="Calibri"/>
                <w:lang w:val="en-GB"/>
              </w:rPr>
              <w:t xml:space="preserve"> Control</w:t>
            </w:r>
          </w:p>
        </w:tc>
        <w:tc>
          <w:tcPr>
            <w:tcW w:w="1134" w:type="dxa"/>
            <w:shd w:val="clear" w:color="auto" w:fill="auto"/>
          </w:tcPr>
          <w:p w14:paraId="17B7F0C2" w14:textId="77777777" w:rsidR="00FA1E6A" w:rsidRPr="0034527B" w:rsidRDefault="00FA1E6A" w:rsidP="00FA1E6A">
            <w:pPr>
              <w:pStyle w:val="ExhibitText"/>
              <w:jc w:val="right"/>
              <w:rPr>
                <w:rFonts w:eastAsia="Calibri"/>
                <w:lang w:val="en-GB"/>
              </w:rPr>
            </w:pPr>
            <w:r w:rsidRPr="0034527B">
              <w:rPr>
                <w:rFonts w:eastAsia="Calibri"/>
                <w:lang w:val="en-GB"/>
              </w:rPr>
              <w:t>42</w:t>
            </w:r>
          </w:p>
        </w:tc>
        <w:tc>
          <w:tcPr>
            <w:tcW w:w="1134" w:type="dxa"/>
            <w:shd w:val="clear" w:color="auto" w:fill="auto"/>
          </w:tcPr>
          <w:p w14:paraId="069C13DA" w14:textId="77777777" w:rsidR="00FA1E6A" w:rsidRPr="0034527B" w:rsidRDefault="00FA1E6A" w:rsidP="00FA1E6A">
            <w:pPr>
              <w:pStyle w:val="ExhibitText"/>
              <w:jc w:val="right"/>
              <w:rPr>
                <w:rFonts w:eastAsia="Calibri"/>
                <w:lang w:val="en-GB"/>
              </w:rPr>
            </w:pPr>
          </w:p>
        </w:tc>
        <w:tc>
          <w:tcPr>
            <w:tcW w:w="1371" w:type="dxa"/>
            <w:shd w:val="clear" w:color="auto" w:fill="auto"/>
          </w:tcPr>
          <w:p w14:paraId="2CB24FB7" w14:textId="77777777" w:rsidR="00FA1E6A" w:rsidRPr="0034527B" w:rsidRDefault="00FA1E6A" w:rsidP="00FA1E6A">
            <w:pPr>
              <w:pStyle w:val="ExhibitText"/>
              <w:jc w:val="right"/>
              <w:rPr>
                <w:rFonts w:eastAsia="Calibri"/>
                <w:lang w:val="en-GB"/>
              </w:rPr>
            </w:pPr>
            <w:r w:rsidRPr="0034527B">
              <w:rPr>
                <w:rFonts w:eastAsia="Calibri"/>
                <w:lang w:val="en-GB"/>
              </w:rPr>
              <w:t>63,810</w:t>
            </w:r>
          </w:p>
        </w:tc>
      </w:tr>
      <w:tr w:rsidR="00FA1E6A" w:rsidRPr="0034527B" w14:paraId="11102ABE" w14:textId="77777777" w:rsidTr="002A44A4">
        <w:trPr>
          <w:jc w:val="center"/>
        </w:trPr>
        <w:tc>
          <w:tcPr>
            <w:tcW w:w="4531" w:type="dxa"/>
            <w:shd w:val="clear" w:color="auto" w:fill="auto"/>
          </w:tcPr>
          <w:p w14:paraId="1B6CAA46" w14:textId="77777777" w:rsidR="00FA1E6A" w:rsidRPr="0034527B" w:rsidRDefault="00FA1E6A" w:rsidP="00FA1E6A">
            <w:pPr>
              <w:pStyle w:val="ExhibitText"/>
              <w:rPr>
                <w:rFonts w:eastAsia="Calibri"/>
                <w:lang w:val="en-GB"/>
              </w:rPr>
            </w:pPr>
            <w:r w:rsidRPr="0034527B">
              <w:rPr>
                <w:rFonts w:eastAsia="Calibri"/>
                <w:lang w:val="en-GB"/>
              </w:rPr>
              <w:t>Malaria Control</w:t>
            </w:r>
          </w:p>
        </w:tc>
        <w:tc>
          <w:tcPr>
            <w:tcW w:w="1134" w:type="dxa"/>
            <w:shd w:val="clear" w:color="auto" w:fill="auto"/>
          </w:tcPr>
          <w:p w14:paraId="32CCF322" w14:textId="77777777" w:rsidR="00FA1E6A" w:rsidRPr="0034527B" w:rsidRDefault="00FA1E6A" w:rsidP="00FA1E6A">
            <w:pPr>
              <w:pStyle w:val="ExhibitText"/>
              <w:jc w:val="right"/>
              <w:rPr>
                <w:rFonts w:eastAsia="Calibri"/>
                <w:lang w:val="en-GB"/>
              </w:rPr>
            </w:pPr>
            <w:r w:rsidRPr="0034527B">
              <w:rPr>
                <w:rFonts w:eastAsia="Calibri"/>
                <w:lang w:val="en-GB"/>
              </w:rPr>
              <w:t>13</w:t>
            </w:r>
          </w:p>
        </w:tc>
        <w:tc>
          <w:tcPr>
            <w:tcW w:w="1134" w:type="dxa"/>
            <w:shd w:val="clear" w:color="auto" w:fill="auto"/>
          </w:tcPr>
          <w:p w14:paraId="7B981F90" w14:textId="77777777" w:rsidR="00FA1E6A" w:rsidRPr="0034527B" w:rsidRDefault="00FA1E6A" w:rsidP="00FA1E6A">
            <w:pPr>
              <w:pStyle w:val="ExhibitText"/>
              <w:jc w:val="right"/>
              <w:rPr>
                <w:rFonts w:eastAsia="Calibri"/>
                <w:lang w:val="en-GB"/>
              </w:rPr>
            </w:pPr>
            <w:r w:rsidRPr="0034527B">
              <w:rPr>
                <w:rFonts w:eastAsia="Calibri"/>
                <w:lang w:val="en-GB"/>
              </w:rPr>
              <w:t>686</w:t>
            </w:r>
          </w:p>
        </w:tc>
        <w:tc>
          <w:tcPr>
            <w:tcW w:w="1371" w:type="dxa"/>
            <w:shd w:val="clear" w:color="auto" w:fill="auto"/>
          </w:tcPr>
          <w:p w14:paraId="15FFCAB4" w14:textId="77777777" w:rsidR="00FA1E6A" w:rsidRPr="0034527B" w:rsidRDefault="00FA1E6A" w:rsidP="00FA1E6A">
            <w:pPr>
              <w:pStyle w:val="ExhibitText"/>
              <w:jc w:val="right"/>
              <w:rPr>
                <w:rFonts w:eastAsia="Calibri"/>
                <w:lang w:val="en-GB"/>
              </w:rPr>
            </w:pPr>
            <w:r w:rsidRPr="0034527B">
              <w:rPr>
                <w:rFonts w:eastAsia="Calibri"/>
                <w:lang w:val="en-GB"/>
              </w:rPr>
              <w:t>3,372</w:t>
            </w:r>
          </w:p>
        </w:tc>
      </w:tr>
      <w:tr w:rsidR="00FA1E6A" w:rsidRPr="0034527B" w14:paraId="21A1F9BA" w14:textId="77777777" w:rsidTr="002A44A4">
        <w:trPr>
          <w:jc w:val="center"/>
        </w:trPr>
        <w:tc>
          <w:tcPr>
            <w:tcW w:w="4531" w:type="dxa"/>
            <w:shd w:val="clear" w:color="auto" w:fill="auto"/>
          </w:tcPr>
          <w:p w14:paraId="34447C36" w14:textId="77777777" w:rsidR="00FA1E6A" w:rsidRPr="0034527B" w:rsidRDefault="00FA1E6A" w:rsidP="00FA1E6A">
            <w:pPr>
              <w:pStyle w:val="ExhibitText"/>
              <w:rPr>
                <w:rFonts w:eastAsia="Calibri"/>
                <w:lang w:val="en-GB"/>
              </w:rPr>
            </w:pPr>
            <w:r w:rsidRPr="0034527B">
              <w:rPr>
                <w:rFonts w:eastAsia="Calibri"/>
                <w:lang w:val="en-GB"/>
              </w:rPr>
              <w:t>Marketing Innovation for Health</w:t>
            </w:r>
          </w:p>
        </w:tc>
        <w:tc>
          <w:tcPr>
            <w:tcW w:w="1134" w:type="dxa"/>
            <w:shd w:val="clear" w:color="auto" w:fill="auto"/>
          </w:tcPr>
          <w:p w14:paraId="425DFE81" w14:textId="77777777" w:rsidR="00FA1E6A" w:rsidRPr="0034527B" w:rsidRDefault="00FA1E6A" w:rsidP="00FA1E6A">
            <w:pPr>
              <w:pStyle w:val="ExhibitText"/>
              <w:jc w:val="right"/>
              <w:rPr>
                <w:rFonts w:eastAsia="Calibri"/>
                <w:lang w:val="en-GB"/>
              </w:rPr>
            </w:pPr>
            <w:r w:rsidRPr="0034527B">
              <w:rPr>
                <w:rFonts w:eastAsia="Calibri"/>
                <w:lang w:val="en-GB"/>
              </w:rPr>
              <w:t>7</w:t>
            </w:r>
          </w:p>
        </w:tc>
        <w:tc>
          <w:tcPr>
            <w:tcW w:w="1134" w:type="dxa"/>
            <w:shd w:val="clear" w:color="auto" w:fill="auto"/>
          </w:tcPr>
          <w:p w14:paraId="2AF9815E" w14:textId="77777777" w:rsidR="00FA1E6A" w:rsidRPr="0034527B" w:rsidRDefault="00FA1E6A" w:rsidP="00FA1E6A">
            <w:pPr>
              <w:pStyle w:val="ExhibitText"/>
              <w:jc w:val="right"/>
              <w:rPr>
                <w:rFonts w:eastAsia="Calibri"/>
                <w:lang w:val="en-GB"/>
              </w:rPr>
            </w:pPr>
            <w:r w:rsidRPr="0034527B">
              <w:rPr>
                <w:rFonts w:eastAsia="Calibri"/>
                <w:lang w:val="en-GB"/>
              </w:rPr>
              <w:t>1,019</w:t>
            </w:r>
          </w:p>
        </w:tc>
        <w:tc>
          <w:tcPr>
            <w:tcW w:w="1371" w:type="dxa"/>
            <w:shd w:val="clear" w:color="auto" w:fill="auto"/>
          </w:tcPr>
          <w:p w14:paraId="40E4B935" w14:textId="77777777" w:rsidR="00FA1E6A" w:rsidRPr="0034527B" w:rsidRDefault="00FA1E6A" w:rsidP="00FA1E6A">
            <w:pPr>
              <w:pStyle w:val="ExhibitText"/>
              <w:jc w:val="right"/>
              <w:rPr>
                <w:rFonts w:eastAsia="Calibri"/>
                <w:lang w:val="en-GB"/>
              </w:rPr>
            </w:pPr>
            <w:r w:rsidRPr="0034527B">
              <w:rPr>
                <w:rFonts w:eastAsia="Calibri"/>
                <w:lang w:val="en-GB"/>
              </w:rPr>
              <w:t>9,679</w:t>
            </w:r>
          </w:p>
        </w:tc>
      </w:tr>
      <w:tr w:rsidR="00FA1E6A" w:rsidRPr="0034527B" w14:paraId="16C3742E" w14:textId="77777777" w:rsidTr="002A44A4">
        <w:trPr>
          <w:jc w:val="center"/>
        </w:trPr>
        <w:tc>
          <w:tcPr>
            <w:tcW w:w="4531" w:type="dxa"/>
            <w:shd w:val="clear" w:color="auto" w:fill="auto"/>
          </w:tcPr>
          <w:p w14:paraId="5DF61562" w14:textId="77777777" w:rsidR="00FA1E6A" w:rsidRPr="0034527B" w:rsidRDefault="00FA1E6A" w:rsidP="00FA1E6A">
            <w:pPr>
              <w:pStyle w:val="ExhibitText"/>
              <w:rPr>
                <w:rFonts w:eastAsia="Calibri"/>
                <w:lang w:val="en-GB"/>
              </w:rPr>
            </w:pPr>
            <w:r w:rsidRPr="0034527B">
              <w:rPr>
                <w:rFonts w:eastAsia="Calibri"/>
                <w:lang w:val="en-GB"/>
              </w:rPr>
              <w:t>Non-communicable Diseases</w:t>
            </w:r>
          </w:p>
        </w:tc>
        <w:tc>
          <w:tcPr>
            <w:tcW w:w="1134" w:type="dxa"/>
            <w:shd w:val="clear" w:color="auto" w:fill="auto"/>
          </w:tcPr>
          <w:p w14:paraId="449F2F03" w14:textId="77777777" w:rsidR="00FA1E6A" w:rsidRPr="0034527B" w:rsidRDefault="00FA1E6A" w:rsidP="00FA1E6A">
            <w:pPr>
              <w:pStyle w:val="ExhibitText"/>
              <w:jc w:val="right"/>
              <w:rPr>
                <w:rFonts w:eastAsia="Calibri"/>
                <w:lang w:val="en-GB"/>
              </w:rPr>
            </w:pPr>
            <w:r w:rsidRPr="0034527B">
              <w:rPr>
                <w:rFonts w:eastAsia="Calibri"/>
                <w:lang w:val="en-GB"/>
              </w:rPr>
              <w:t>42</w:t>
            </w:r>
          </w:p>
        </w:tc>
        <w:tc>
          <w:tcPr>
            <w:tcW w:w="1134" w:type="dxa"/>
            <w:shd w:val="clear" w:color="auto" w:fill="auto"/>
          </w:tcPr>
          <w:p w14:paraId="29DB5AD6" w14:textId="77777777" w:rsidR="00FA1E6A" w:rsidRPr="0034527B" w:rsidRDefault="00FA1E6A" w:rsidP="00FA1E6A">
            <w:pPr>
              <w:pStyle w:val="ExhibitText"/>
              <w:jc w:val="right"/>
              <w:rPr>
                <w:rFonts w:eastAsia="Calibri"/>
                <w:lang w:val="en-GB"/>
              </w:rPr>
            </w:pPr>
          </w:p>
        </w:tc>
        <w:tc>
          <w:tcPr>
            <w:tcW w:w="1371" w:type="dxa"/>
            <w:shd w:val="clear" w:color="auto" w:fill="auto"/>
          </w:tcPr>
          <w:p w14:paraId="5F3887ED" w14:textId="77777777" w:rsidR="00FA1E6A" w:rsidRPr="0034527B" w:rsidRDefault="00FA1E6A" w:rsidP="00FA1E6A">
            <w:pPr>
              <w:pStyle w:val="ExhibitText"/>
              <w:jc w:val="right"/>
              <w:rPr>
                <w:rFonts w:eastAsia="Calibri"/>
                <w:lang w:val="en-GB"/>
              </w:rPr>
            </w:pPr>
            <w:r w:rsidRPr="0034527B">
              <w:rPr>
                <w:rFonts w:eastAsia="Calibri"/>
                <w:lang w:val="en-GB"/>
              </w:rPr>
              <w:t>3,422</w:t>
            </w:r>
          </w:p>
        </w:tc>
      </w:tr>
    </w:tbl>
    <w:p w14:paraId="634CBD75" w14:textId="77777777" w:rsidR="00FA1E6A" w:rsidRPr="0034527B" w:rsidRDefault="00FA1E6A" w:rsidP="00FA1E6A">
      <w:pPr>
        <w:pStyle w:val="BodyTextMain"/>
        <w:rPr>
          <w:lang w:val="en-GB"/>
        </w:rPr>
      </w:pPr>
    </w:p>
    <w:p w14:paraId="120D2CEA" w14:textId="59F5B8A7" w:rsidR="00FA1E6A" w:rsidRPr="0034527B" w:rsidRDefault="00BA665F" w:rsidP="00FA1E6A">
      <w:pPr>
        <w:pStyle w:val="Footnote"/>
        <w:rPr>
          <w:lang w:val="en-GB"/>
        </w:rPr>
      </w:pPr>
      <w:r w:rsidRPr="0034527B">
        <w:rPr>
          <w:lang w:val="en-GB"/>
        </w:rPr>
        <w:t xml:space="preserve">Note: </w:t>
      </w:r>
      <w:r w:rsidR="00FA1E6A" w:rsidRPr="0034527B">
        <w:rPr>
          <w:lang w:val="en-GB"/>
        </w:rPr>
        <w:t xml:space="preserve">The total number of Shasthya Shebikas was lower than the total in the table because a Shasthya Shebika performed multiple services across programs. </w:t>
      </w:r>
      <w:r w:rsidR="00AD1850" w:rsidRPr="0034527B">
        <w:rPr>
          <w:lang w:val="en-GB"/>
        </w:rPr>
        <w:t>I</w:t>
      </w:r>
      <w:r w:rsidRPr="0034527B">
        <w:rPr>
          <w:lang w:val="en-GB"/>
        </w:rPr>
        <w:t>n addition to Shasthya Shebikas and Shasthya Kormis</w:t>
      </w:r>
      <w:r w:rsidR="00AD1850" w:rsidRPr="0034527B">
        <w:rPr>
          <w:lang w:val="en-GB"/>
        </w:rPr>
        <w:t>, BRAC’s health care workers</w:t>
      </w:r>
      <w:r w:rsidRPr="0034527B">
        <w:rPr>
          <w:lang w:val="en-GB"/>
        </w:rPr>
        <w:t xml:space="preserve"> </w:t>
      </w:r>
      <w:r w:rsidR="00FA1E6A" w:rsidRPr="0034527B">
        <w:rPr>
          <w:lang w:val="en-GB"/>
        </w:rPr>
        <w:t xml:space="preserve">included </w:t>
      </w:r>
      <w:r w:rsidRPr="0034527B">
        <w:rPr>
          <w:lang w:val="en-GB"/>
        </w:rPr>
        <w:t>n</w:t>
      </w:r>
      <w:r w:rsidR="00FA1E6A" w:rsidRPr="0034527B">
        <w:rPr>
          <w:lang w:val="en-GB"/>
        </w:rPr>
        <w:t xml:space="preserve">ewborn </w:t>
      </w:r>
      <w:r w:rsidRPr="0034527B">
        <w:rPr>
          <w:lang w:val="en-GB"/>
        </w:rPr>
        <w:t>h</w:t>
      </w:r>
      <w:r w:rsidR="00FA1E6A" w:rsidRPr="0034527B">
        <w:rPr>
          <w:lang w:val="en-GB"/>
        </w:rPr>
        <w:t xml:space="preserve">ealth </w:t>
      </w:r>
      <w:r w:rsidRPr="0034527B">
        <w:rPr>
          <w:lang w:val="en-GB"/>
        </w:rPr>
        <w:t>w</w:t>
      </w:r>
      <w:r w:rsidR="00FA1E6A" w:rsidRPr="0034527B">
        <w:rPr>
          <w:lang w:val="en-GB"/>
        </w:rPr>
        <w:t xml:space="preserve">orkers, </w:t>
      </w:r>
      <w:r w:rsidRPr="0034527B">
        <w:rPr>
          <w:lang w:val="en-GB"/>
        </w:rPr>
        <w:t>c</w:t>
      </w:r>
      <w:r w:rsidR="00FA1E6A" w:rsidRPr="0034527B">
        <w:rPr>
          <w:lang w:val="en-GB"/>
        </w:rPr>
        <w:t xml:space="preserve">ommunity </w:t>
      </w:r>
      <w:r w:rsidRPr="0034527B">
        <w:rPr>
          <w:lang w:val="en-GB"/>
        </w:rPr>
        <w:t>s</w:t>
      </w:r>
      <w:r w:rsidR="00FA1E6A" w:rsidRPr="0034527B">
        <w:rPr>
          <w:lang w:val="en-GB"/>
        </w:rPr>
        <w:t xml:space="preserve">killed </w:t>
      </w:r>
      <w:r w:rsidRPr="0034527B">
        <w:rPr>
          <w:lang w:val="en-GB"/>
        </w:rPr>
        <w:t>b</w:t>
      </w:r>
      <w:r w:rsidR="00FA1E6A" w:rsidRPr="0034527B">
        <w:rPr>
          <w:lang w:val="en-GB"/>
        </w:rPr>
        <w:t xml:space="preserve">irth </w:t>
      </w:r>
      <w:r w:rsidRPr="0034527B">
        <w:rPr>
          <w:lang w:val="en-GB"/>
        </w:rPr>
        <w:t>a</w:t>
      </w:r>
      <w:r w:rsidR="00FA1E6A" w:rsidRPr="0034527B">
        <w:rPr>
          <w:lang w:val="en-GB"/>
        </w:rPr>
        <w:t>ttendants</w:t>
      </w:r>
      <w:r w:rsidRPr="0034527B">
        <w:rPr>
          <w:lang w:val="en-GB"/>
        </w:rPr>
        <w:t>,</w:t>
      </w:r>
      <w:r w:rsidR="00FA1E6A" w:rsidRPr="0034527B">
        <w:rPr>
          <w:lang w:val="en-GB"/>
        </w:rPr>
        <w:t xml:space="preserve"> and </w:t>
      </w:r>
      <w:r w:rsidRPr="0034527B">
        <w:rPr>
          <w:lang w:val="en-GB"/>
        </w:rPr>
        <w:t>u</w:t>
      </w:r>
      <w:r w:rsidR="00FA1E6A" w:rsidRPr="0034527B">
        <w:rPr>
          <w:lang w:val="en-GB"/>
        </w:rPr>
        <w:t xml:space="preserve">rban </w:t>
      </w:r>
      <w:r w:rsidRPr="0034527B">
        <w:rPr>
          <w:lang w:val="en-GB"/>
        </w:rPr>
        <w:t>b</w:t>
      </w:r>
      <w:r w:rsidR="00FA1E6A" w:rsidRPr="0034527B">
        <w:rPr>
          <w:lang w:val="en-GB"/>
        </w:rPr>
        <w:t xml:space="preserve">irth </w:t>
      </w:r>
      <w:r w:rsidRPr="0034527B">
        <w:rPr>
          <w:lang w:val="en-GB"/>
        </w:rPr>
        <w:t>a</w:t>
      </w:r>
      <w:r w:rsidR="00FA1E6A" w:rsidRPr="0034527B">
        <w:rPr>
          <w:lang w:val="en-GB"/>
        </w:rPr>
        <w:t>ttendants.</w:t>
      </w:r>
    </w:p>
    <w:p w14:paraId="1E80C6B4" w14:textId="77777777" w:rsidR="00FA1E6A" w:rsidRPr="0034527B" w:rsidRDefault="00FA1E6A" w:rsidP="00FA1E6A">
      <w:pPr>
        <w:pStyle w:val="Footnote"/>
        <w:rPr>
          <w:lang w:val="en-GB"/>
        </w:rPr>
      </w:pPr>
      <w:r w:rsidRPr="0034527B">
        <w:rPr>
          <w:lang w:val="en-GB"/>
        </w:rPr>
        <w:t>Source: Company files.</w:t>
      </w:r>
    </w:p>
    <w:p w14:paraId="4D53BBFC" w14:textId="77777777" w:rsidR="00FA1E6A" w:rsidRPr="0034527B" w:rsidRDefault="00FA1E6A" w:rsidP="00FA1E6A">
      <w:pPr>
        <w:pStyle w:val="Footnote"/>
        <w:rPr>
          <w:lang w:val="en-GB"/>
        </w:rPr>
      </w:pPr>
    </w:p>
    <w:p w14:paraId="205F8F29" w14:textId="77777777" w:rsidR="00FA1E6A" w:rsidRPr="0034527B" w:rsidRDefault="00FA1E6A" w:rsidP="00FA1E6A">
      <w:pPr>
        <w:pStyle w:val="BodyTextMain"/>
        <w:rPr>
          <w:lang w:val="en-GB"/>
        </w:rPr>
      </w:pPr>
    </w:p>
    <w:p w14:paraId="0D03DEDB" w14:textId="39835ED3" w:rsidR="00FA1E6A" w:rsidRPr="0034527B" w:rsidRDefault="00FA1E6A" w:rsidP="00FA1E6A">
      <w:pPr>
        <w:pStyle w:val="ExhibitHeading"/>
        <w:rPr>
          <w:rFonts w:eastAsia="Calibri"/>
          <w:lang w:val="en-GB"/>
        </w:rPr>
      </w:pPr>
      <w:r w:rsidRPr="0034527B">
        <w:rPr>
          <w:rFonts w:eastAsia="Calibri"/>
          <w:lang w:val="en-GB"/>
        </w:rPr>
        <w:t>Exhibit 6: Select Health</w:t>
      </w:r>
      <w:r w:rsidR="00BA665F" w:rsidRPr="0034527B">
        <w:rPr>
          <w:rFonts w:eastAsia="Calibri"/>
          <w:lang w:val="en-GB"/>
        </w:rPr>
        <w:t xml:space="preserve"> </w:t>
      </w:r>
      <w:r w:rsidRPr="0034527B">
        <w:rPr>
          <w:rFonts w:eastAsia="Calibri"/>
          <w:lang w:val="en-GB"/>
        </w:rPr>
        <w:t xml:space="preserve">care Services </w:t>
      </w:r>
      <w:r w:rsidR="00BA665F" w:rsidRPr="0034527B">
        <w:rPr>
          <w:rFonts w:eastAsia="Calibri"/>
          <w:lang w:val="en-GB"/>
        </w:rPr>
        <w:t>for</w:t>
      </w:r>
      <w:r w:rsidRPr="0034527B">
        <w:rPr>
          <w:rFonts w:eastAsia="Calibri"/>
          <w:lang w:val="en-GB"/>
        </w:rPr>
        <w:t xml:space="preserve"> which a Shasthya Shebika earned Income</w:t>
      </w:r>
    </w:p>
    <w:p w14:paraId="68892B8F" w14:textId="77777777" w:rsidR="00FA1E6A" w:rsidRPr="0034527B" w:rsidRDefault="00FA1E6A" w:rsidP="00FA1E6A">
      <w:pPr>
        <w:pStyle w:val="ExhibitHeading"/>
        <w:rPr>
          <w:rFonts w:eastAsia="Calibr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3509"/>
      </w:tblGrid>
      <w:tr w:rsidR="00FA1E6A" w:rsidRPr="0034527B" w14:paraId="05FB4C33" w14:textId="77777777" w:rsidTr="00576A16">
        <w:trPr>
          <w:jc w:val="center"/>
        </w:trPr>
        <w:tc>
          <w:tcPr>
            <w:tcW w:w="4111" w:type="dxa"/>
            <w:shd w:val="clear" w:color="auto" w:fill="auto"/>
          </w:tcPr>
          <w:p w14:paraId="7158E909" w14:textId="77777777" w:rsidR="00FA1E6A" w:rsidRPr="0034527B" w:rsidRDefault="00FA1E6A" w:rsidP="002A44A4">
            <w:pPr>
              <w:pStyle w:val="ExhibitText"/>
              <w:jc w:val="center"/>
              <w:rPr>
                <w:rFonts w:eastAsia="Calibri"/>
                <w:b/>
                <w:lang w:val="en-GB"/>
              </w:rPr>
            </w:pPr>
            <w:r w:rsidRPr="0034527B">
              <w:rPr>
                <w:rFonts w:eastAsia="Calibri"/>
                <w:b/>
                <w:lang w:val="en-GB"/>
              </w:rPr>
              <w:t>Treatment Service</w:t>
            </w:r>
          </w:p>
        </w:tc>
        <w:tc>
          <w:tcPr>
            <w:tcW w:w="3509" w:type="dxa"/>
            <w:shd w:val="clear" w:color="auto" w:fill="auto"/>
          </w:tcPr>
          <w:p w14:paraId="7AF0E12C" w14:textId="0B7BD6F1" w:rsidR="00FA1E6A" w:rsidRPr="0034527B" w:rsidRDefault="009E61DC" w:rsidP="002A44A4">
            <w:pPr>
              <w:pStyle w:val="ExhibitText"/>
              <w:jc w:val="center"/>
              <w:rPr>
                <w:rFonts w:eastAsia="Calibri"/>
                <w:b/>
                <w:lang w:val="en-GB"/>
              </w:rPr>
            </w:pPr>
            <w:r w:rsidRPr="0034527B">
              <w:rPr>
                <w:rFonts w:eastAsia="Calibri"/>
                <w:b/>
                <w:lang w:val="en-GB"/>
              </w:rPr>
              <w:t>Percentage</w:t>
            </w:r>
            <w:r w:rsidR="00FA1E6A" w:rsidRPr="0034527B">
              <w:rPr>
                <w:rFonts w:eastAsia="Calibri"/>
                <w:b/>
                <w:lang w:val="en-GB"/>
              </w:rPr>
              <w:t xml:space="preserve"> of </w:t>
            </w:r>
            <w:r w:rsidR="00C647A8" w:rsidRPr="0034527B">
              <w:rPr>
                <w:rFonts w:eastAsia="Calibri"/>
                <w:b/>
                <w:lang w:val="en-GB"/>
              </w:rPr>
              <w:t>Shasthya</w:t>
            </w:r>
            <w:r w:rsidR="00FB297A" w:rsidRPr="0034527B">
              <w:rPr>
                <w:rFonts w:eastAsia="Calibri"/>
                <w:b/>
                <w:lang w:val="en-GB"/>
              </w:rPr>
              <w:t xml:space="preserve"> </w:t>
            </w:r>
            <w:r w:rsidR="00C647A8" w:rsidRPr="0034527B">
              <w:rPr>
                <w:rFonts w:eastAsia="Calibri"/>
                <w:b/>
                <w:lang w:val="en-GB"/>
              </w:rPr>
              <w:t>Shebikas</w:t>
            </w:r>
            <w:r w:rsidR="00FA1E6A" w:rsidRPr="0034527B">
              <w:rPr>
                <w:rFonts w:eastAsia="Calibri"/>
                <w:b/>
                <w:lang w:val="en-GB"/>
              </w:rPr>
              <w:t xml:space="preserve"> </w:t>
            </w:r>
            <w:r w:rsidR="00BA665F" w:rsidRPr="0034527B">
              <w:rPr>
                <w:rFonts w:eastAsia="Calibri"/>
                <w:b/>
                <w:lang w:val="en-GB"/>
              </w:rPr>
              <w:t xml:space="preserve">Providing </w:t>
            </w:r>
            <w:r w:rsidR="00FA1E6A" w:rsidRPr="0034527B">
              <w:rPr>
                <w:rFonts w:eastAsia="Calibri"/>
                <w:b/>
                <w:lang w:val="en-GB"/>
              </w:rPr>
              <w:t xml:space="preserve">this </w:t>
            </w:r>
            <w:r w:rsidR="00BA665F" w:rsidRPr="0034527B">
              <w:rPr>
                <w:rFonts w:eastAsia="Calibri"/>
                <w:b/>
                <w:lang w:val="en-GB"/>
              </w:rPr>
              <w:t>S</w:t>
            </w:r>
            <w:r w:rsidR="00FA1E6A" w:rsidRPr="0034527B">
              <w:rPr>
                <w:rFonts w:eastAsia="Calibri"/>
                <w:b/>
                <w:lang w:val="en-GB"/>
              </w:rPr>
              <w:t>ervice</w:t>
            </w:r>
          </w:p>
        </w:tc>
      </w:tr>
      <w:tr w:rsidR="00FA1E6A" w:rsidRPr="0034527B" w14:paraId="27B43719" w14:textId="77777777" w:rsidTr="00576A16">
        <w:trPr>
          <w:jc w:val="center"/>
        </w:trPr>
        <w:tc>
          <w:tcPr>
            <w:tcW w:w="4111" w:type="dxa"/>
            <w:shd w:val="clear" w:color="auto" w:fill="auto"/>
          </w:tcPr>
          <w:p w14:paraId="14A6F3B5" w14:textId="77777777" w:rsidR="00FA1E6A" w:rsidRPr="0034527B" w:rsidRDefault="00FA1E6A" w:rsidP="00FA1E6A">
            <w:pPr>
              <w:pStyle w:val="ExhibitText"/>
              <w:rPr>
                <w:rFonts w:eastAsia="Calibri"/>
                <w:lang w:val="en-GB"/>
              </w:rPr>
            </w:pPr>
            <w:r w:rsidRPr="0034527B">
              <w:rPr>
                <w:rFonts w:eastAsia="Calibri"/>
                <w:lang w:val="en-GB"/>
              </w:rPr>
              <w:t>Referring patients to other health facilities</w:t>
            </w:r>
          </w:p>
        </w:tc>
        <w:tc>
          <w:tcPr>
            <w:tcW w:w="3509" w:type="dxa"/>
            <w:shd w:val="clear" w:color="auto" w:fill="auto"/>
          </w:tcPr>
          <w:p w14:paraId="63E01C8D" w14:textId="77777777" w:rsidR="00FA1E6A" w:rsidRPr="0034527B" w:rsidRDefault="00FA1E6A" w:rsidP="00576A16">
            <w:pPr>
              <w:pStyle w:val="ExhibitText"/>
              <w:jc w:val="center"/>
              <w:rPr>
                <w:rFonts w:eastAsia="Calibri"/>
                <w:lang w:val="en-GB"/>
              </w:rPr>
            </w:pPr>
            <w:r w:rsidRPr="0034527B">
              <w:rPr>
                <w:rFonts w:eastAsia="Calibri"/>
                <w:lang w:val="en-GB"/>
              </w:rPr>
              <w:t>30</w:t>
            </w:r>
          </w:p>
        </w:tc>
      </w:tr>
      <w:tr w:rsidR="00FA1E6A" w:rsidRPr="0034527B" w14:paraId="0F318A4F" w14:textId="77777777" w:rsidTr="00576A16">
        <w:trPr>
          <w:jc w:val="center"/>
        </w:trPr>
        <w:tc>
          <w:tcPr>
            <w:tcW w:w="4111" w:type="dxa"/>
            <w:shd w:val="clear" w:color="auto" w:fill="auto"/>
          </w:tcPr>
          <w:p w14:paraId="47B286CF" w14:textId="49EFD966" w:rsidR="00FA1E6A" w:rsidRPr="0034527B" w:rsidRDefault="00985104" w:rsidP="00985104">
            <w:pPr>
              <w:pStyle w:val="ExhibitText"/>
              <w:rPr>
                <w:rFonts w:eastAsia="Calibri"/>
                <w:lang w:val="en-GB"/>
              </w:rPr>
            </w:pPr>
            <w:r w:rsidRPr="0034527B">
              <w:rPr>
                <w:rFonts w:eastAsia="Calibri"/>
                <w:lang w:val="en-GB"/>
              </w:rPr>
              <w:t xml:space="preserve">Pregnancy </w:t>
            </w:r>
            <w:r w:rsidR="003F43E7">
              <w:rPr>
                <w:rFonts w:eastAsia="Calibri"/>
                <w:lang w:val="en-GB"/>
              </w:rPr>
              <w:t>t</w:t>
            </w:r>
            <w:r w:rsidRPr="0034527B">
              <w:rPr>
                <w:rFonts w:eastAsia="Calibri"/>
                <w:lang w:val="en-GB"/>
              </w:rPr>
              <w:t>esting</w:t>
            </w:r>
          </w:p>
        </w:tc>
        <w:tc>
          <w:tcPr>
            <w:tcW w:w="3509" w:type="dxa"/>
            <w:shd w:val="clear" w:color="auto" w:fill="auto"/>
          </w:tcPr>
          <w:p w14:paraId="26EA8D0A" w14:textId="77777777" w:rsidR="00FA1E6A" w:rsidRPr="0034527B" w:rsidRDefault="00FA1E6A" w:rsidP="00576A16">
            <w:pPr>
              <w:pStyle w:val="ExhibitText"/>
              <w:jc w:val="center"/>
              <w:rPr>
                <w:rFonts w:eastAsia="Calibri"/>
                <w:lang w:val="en-GB"/>
              </w:rPr>
            </w:pPr>
            <w:r w:rsidRPr="0034527B">
              <w:rPr>
                <w:rFonts w:eastAsia="Calibri"/>
                <w:lang w:val="en-GB"/>
              </w:rPr>
              <w:t>91</w:t>
            </w:r>
          </w:p>
        </w:tc>
      </w:tr>
      <w:tr w:rsidR="00FA1E6A" w:rsidRPr="0034527B" w14:paraId="5AD079DC" w14:textId="77777777" w:rsidTr="00576A16">
        <w:trPr>
          <w:jc w:val="center"/>
        </w:trPr>
        <w:tc>
          <w:tcPr>
            <w:tcW w:w="4111" w:type="dxa"/>
            <w:shd w:val="clear" w:color="auto" w:fill="auto"/>
          </w:tcPr>
          <w:p w14:paraId="7A93ABB9" w14:textId="77777777" w:rsidR="00FA1E6A" w:rsidRPr="0034527B" w:rsidRDefault="00FA1E6A" w:rsidP="00FA1E6A">
            <w:pPr>
              <w:pStyle w:val="ExhibitText"/>
              <w:rPr>
                <w:rFonts w:eastAsia="Calibri"/>
                <w:lang w:val="en-GB"/>
              </w:rPr>
            </w:pPr>
            <w:r w:rsidRPr="0034527B">
              <w:rPr>
                <w:rFonts w:eastAsia="Calibri"/>
                <w:lang w:val="en-GB"/>
              </w:rPr>
              <w:t>Infant care during delivery</w:t>
            </w:r>
          </w:p>
        </w:tc>
        <w:tc>
          <w:tcPr>
            <w:tcW w:w="3509" w:type="dxa"/>
            <w:shd w:val="clear" w:color="auto" w:fill="auto"/>
          </w:tcPr>
          <w:p w14:paraId="0E2FCCCC" w14:textId="77777777" w:rsidR="00FA1E6A" w:rsidRPr="0034527B" w:rsidRDefault="00FA1E6A" w:rsidP="00576A16">
            <w:pPr>
              <w:pStyle w:val="ExhibitText"/>
              <w:jc w:val="center"/>
              <w:rPr>
                <w:rFonts w:eastAsia="Calibri"/>
                <w:lang w:val="en-GB"/>
              </w:rPr>
            </w:pPr>
            <w:r w:rsidRPr="0034527B">
              <w:rPr>
                <w:rFonts w:eastAsia="Calibri"/>
                <w:lang w:val="en-GB"/>
              </w:rPr>
              <w:t>83</w:t>
            </w:r>
          </w:p>
        </w:tc>
      </w:tr>
      <w:tr w:rsidR="00FA1E6A" w:rsidRPr="0034527B" w14:paraId="0BB3D53B" w14:textId="77777777" w:rsidTr="00576A16">
        <w:trPr>
          <w:jc w:val="center"/>
        </w:trPr>
        <w:tc>
          <w:tcPr>
            <w:tcW w:w="4111" w:type="dxa"/>
            <w:shd w:val="clear" w:color="auto" w:fill="auto"/>
          </w:tcPr>
          <w:p w14:paraId="0ADFDF44" w14:textId="77777777" w:rsidR="00FA1E6A" w:rsidRPr="0034527B" w:rsidRDefault="00FA1E6A" w:rsidP="00FA1E6A">
            <w:pPr>
              <w:pStyle w:val="ExhibitText"/>
              <w:rPr>
                <w:rFonts w:eastAsia="Calibri"/>
                <w:lang w:val="en-GB"/>
              </w:rPr>
            </w:pPr>
            <w:r w:rsidRPr="0034527B">
              <w:rPr>
                <w:rFonts w:eastAsia="Calibri"/>
                <w:lang w:val="en-GB"/>
              </w:rPr>
              <w:t>Weighing a baby</w:t>
            </w:r>
          </w:p>
        </w:tc>
        <w:tc>
          <w:tcPr>
            <w:tcW w:w="3509" w:type="dxa"/>
            <w:shd w:val="clear" w:color="auto" w:fill="auto"/>
          </w:tcPr>
          <w:p w14:paraId="4984EE39" w14:textId="77777777" w:rsidR="00FA1E6A" w:rsidRPr="0034527B" w:rsidRDefault="00FA1E6A" w:rsidP="00576A16">
            <w:pPr>
              <w:pStyle w:val="ExhibitText"/>
              <w:jc w:val="center"/>
              <w:rPr>
                <w:rFonts w:eastAsia="Calibri"/>
                <w:lang w:val="en-GB"/>
              </w:rPr>
            </w:pPr>
            <w:r w:rsidRPr="0034527B">
              <w:rPr>
                <w:rFonts w:eastAsia="Calibri"/>
                <w:lang w:val="en-GB"/>
              </w:rPr>
              <w:t>84</w:t>
            </w:r>
          </w:p>
        </w:tc>
      </w:tr>
    </w:tbl>
    <w:p w14:paraId="0D07E7B7" w14:textId="77777777" w:rsidR="00FA1E6A" w:rsidRPr="0034527B" w:rsidRDefault="00FA1E6A" w:rsidP="00FA1E6A">
      <w:pPr>
        <w:pStyle w:val="BodyTextMain"/>
        <w:rPr>
          <w:rFonts w:eastAsia="Calibri"/>
          <w:lang w:val="en-GB"/>
        </w:rPr>
      </w:pPr>
    </w:p>
    <w:p w14:paraId="03512290" w14:textId="657274BA" w:rsidR="00FA1E6A" w:rsidRPr="0034527B" w:rsidRDefault="00BA665F" w:rsidP="00FA1E6A">
      <w:pPr>
        <w:pStyle w:val="Footnote"/>
        <w:rPr>
          <w:lang w:val="en-GB"/>
        </w:rPr>
      </w:pPr>
      <w:r w:rsidRPr="0034527B">
        <w:rPr>
          <w:lang w:val="en-GB"/>
        </w:rPr>
        <w:t xml:space="preserve">Mahjabeen </w:t>
      </w:r>
      <w:r w:rsidR="00FA1E6A" w:rsidRPr="0034527B">
        <w:rPr>
          <w:lang w:val="en-GB"/>
        </w:rPr>
        <w:t xml:space="preserve">Rahman and </w:t>
      </w:r>
      <w:r w:rsidRPr="0034527B">
        <w:rPr>
          <w:lang w:val="en-GB"/>
        </w:rPr>
        <w:t xml:space="preserve">Sakiba </w:t>
      </w:r>
      <w:r w:rsidR="00FA1E6A" w:rsidRPr="0034527B">
        <w:rPr>
          <w:lang w:val="en-GB"/>
        </w:rPr>
        <w:t xml:space="preserve">Tasneem, </w:t>
      </w:r>
      <w:r w:rsidRPr="0034527B">
        <w:rPr>
          <w:lang w:val="en-GB"/>
        </w:rPr>
        <w:t xml:space="preserve">“Issue 6 </w:t>
      </w:r>
      <w:r w:rsidR="00FA1E6A" w:rsidRPr="0034527B">
        <w:rPr>
          <w:lang w:val="en-GB"/>
        </w:rPr>
        <w:t xml:space="preserve">Determinants of Income of the Shasthya Shebikas: Evidences from a </w:t>
      </w:r>
      <w:r w:rsidRPr="0034527B">
        <w:rPr>
          <w:lang w:val="en-GB"/>
        </w:rPr>
        <w:t>P</w:t>
      </w:r>
      <w:r w:rsidR="00FA1E6A" w:rsidRPr="0034527B">
        <w:rPr>
          <w:lang w:val="en-GB"/>
        </w:rPr>
        <w:t xml:space="preserve">ilot MNCH Initiative in the Nilphamari </w:t>
      </w:r>
      <w:r w:rsidRPr="0034527B">
        <w:rPr>
          <w:lang w:val="en-GB"/>
        </w:rPr>
        <w:t>D</w:t>
      </w:r>
      <w:r w:rsidR="00FA1E6A" w:rsidRPr="0034527B">
        <w:rPr>
          <w:lang w:val="en-GB"/>
        </w:rPr>
        <w:t>istrict of Bangladesh,</w:t>
      </w:r>
      <w:r w:rsidRPr="0034527B">
        <w:rPr>
          <w:lang w:val="en-GB"/>
        </w:rPr>
        <w:t>”</w:t>
      </w:r>
      <w:r w:rsidR="00FA1E6A" w:rsidRPr="0034527B">
        <w:rPr>
          <w:lang w:val="en-GB"/>
        </w:rPr>
        <w:t xml:space="preserve"> BRAC, </w:t>
      </w:r>
      <w:r w:rsidRPr="0034527B">
        <w:rPr>
          <w:lang w:val="en-GB"/>
        </w:rPr>
        <w:t xml:space="preserve">December 1, 2008, </w:t>
      </w:r>
      <w:r w:rsidR="00FA1E6A" w:rsidRPr="0034527B">
        <w:rPr>
          <w:lang w:val="en-GB"/>
        </w:rPr>
        <w:t>accessed August 25</w:t>
      </w:r>
      <w:r w:rsidR="000A2EE9">
        <w:rPr>
          <w:lang w:val="en-GB"/>
        </w:rPr>
        <w:t>,</w:t>
      </w:r>
      <w:r w:rsidR="00FA1E6A" w:rsidRPr="0034527B">
        <w:rPr>
          <w:lang w:val="en-GB"/>
        </w:rPr>
        <w:t xml:space="preserve"> 2016, http://research.brac.net/new/component/k2/issue6.</w:t>
      </w:r>
    </w:p>
    <w:p w14:paraId="5AA7A1F0" w14:textId="77777777" w:rsidR="00FA1E6A" w:rsidRPr="0034527B" w:rsidRDefault="00FA1E6A" w:rsidP="00FA1E6A">
      <w:pPr>
        <w:pStyle w:val="BodyTextMain"/>
        <w:rPr>
          <w:sz w:val="20"/>
          <w:lang w:val="en-GB"/>
        </w:rPr>
      </w:pPr>
    </w:p>
    <w:p w14:paraId="6BFC53CC" w14:textId="77777777" w:rsidR="00FA1E6A" w:rsidRPr="0034527B" w:rsidRDefault="00FA1E6A" w:rsidP="00FA1E6A">
      <w:pPr>
        <w:pStyle w:val="BodyTextMain"/>
        <w:rPr>
          <w:sz w:val="20"/>
          <w:lang w:val="en-GB"/>
        </w:rPr>
      </w:pPr>
    </w:p>
    <w:p w14:paraId="206833E8" w14:textId="59662E2E" w:rsidR="00576A16" w:rsidRPr="0034527B" w:rsidRDefault="00576A16" w:rsidP="00576A16">
      <w:pPr>
        <w:pStyle w:val="ExhibitHeading"/>
        <w:rPr>
          <w:rFonts w:eastAsia="Calibri"/>
          <w:lang w:val="en-GB"/>
        </w:rPr>
      </w:pPr>
      <w:r w:rsidRPr="0034527B">
        <w:rPr>
          <w:rFonts w:eastAsia="Calibri"/>
          <w:lang w:val="en-GB"/>
        </w:rPr>
        <w:t>Exhibit</w:t>
      </w:r>
      <w:r w:rsidR="006169F5" w:rsidRPr="0034527B">
        <w:rPr>
          <w:rFonts w:eastAsia="Calibri"/>
          <w:lang w:val="en-GB"/>
        </w:rPr>
        <w:t xml:space="preserve"> 7</w:t>
      </w:r>
      <w:r w:rsidRPr="0034527B">
        <w:rPr>
          <w:rFonts w:eastAsia="Calibri"/>
          <w:lang w:val="en-GB"/>
        </w:rPr>
        <w:t>: Categories of informal health care providers</w:t>
      </w:r>
    </w:p>
    <w:p w14:paraId="589C008E" w14:textId="77777777" w:rsidR="00576A16" w:rsidRPr="0034527B" w:rsidRDefault="00576A16" w:rsidP="00576A16">
      <w:pPr>
        <w:pStyle w:val="BodyTextMain"/>
        <w:rPr>
          <w:rFonts w:eastAsia="Calibri"/>
          <w:lang w:val="en-GB"/>
        </w:rPr>
      </w:pPr>
    </w:p>
    <w:p w14:paraId="73CE270B" w14:textId="0A5AD122" w:rsidR="00576A16" w:rsidRPr="0034527B" w:rsidRDefault="00576A16" w:rsidP="00576A16">
      <w:pPr>
        <w:pStyle w:val="ExhibitText"/>
        <w:rPr>
          <w:rFonts w:eastAsia="Calibri"/>
          <w:lang w:val="en-GB"/>
        </w:rPr>
      </w:pPr>
      <w:r w:rsidRPr="0034527B">
        <w:rPr>
          <w:rFonts w:eastAsia="Calibri"/>
          <w:lang w:val="en-GB"/>
        </w:rPr>
        <w:t xml:space="preserve">The informal (not registered with any government regulatory body) health care providers </w:t>
      </w:r>
      <w:r w:rsidR="00985104" w:rsidRPr="0034527B">
        <w:rPr>
          <w:rFonts w:eastAsia="Calibri"/>
          <w:lang w:val="en-GB"/>
        </w:rPr>
        <w:t xml:space="preserve">in Bangladesh </w:t>
      </w:r>
      <w:r w:rsidRPr="0034527B">
        <w:rPr>
          <w:rFonts w:eastAsia="Calibri"/>
          <w:lang w:val="en-GB"/>
        </w:rPr>
        <w:t>were categorized into the following groups:</w:t>
      </w:r>
    </w:p>
    <w:p w14:paraId="46BCBA92" w14:textId="77777777" w:rsidR="00576A16" w:rsidRPr="0034527B" w:rsidRDefault="00576A16" w:rsidP="00576A16">
      <w:pPr>
        <w:pStyle w:val="ExhibitText"/>
        <w:rPr>
          <w:rFonts w:eastAsia="Calibri"/>
          <w:lang w:val="en-GB"/>
        </w:rPr>
      </w:pPr>
    </w:p>
    <w:p w14:paraId="514E4A54" w14:textId="70ED9737"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Allopathic </w:t>
      </w:r>
      <w:r w:rsidR="002D54B3" w:rsidRPr="0034527B">
        <w:rPr>
          <w:rFonts w:eastAsia="Calibri"/>
          <w:lang w:val="en-GB"/>
        </w:rPr>
        <w:t>P</w:t>
      </w:r>
      <w:r w:rsidRPr="0034527B">
        <w:rPr>
          <w:rFonts w:eastAsia="Calibri"/>
          <w:lang w:val="en-GB"/>
        </w:rPr>
        <w:t xml:space="preserve">araprofessionals: </w:t>
      </w:r>
      <w:r w:rsidR="002D54B3" w:rsidRPr="0034527B">
        <w:rPr>
          <w:rFonts w:eastAsia="Calibri"/>
          <w:lang w:val="en-GB"/>
        </w:rPr>
        <w:t>These included m</w:t>
      </w:r>
      <w:r w:rsidRPr="0034527B">
        <w:rPr>
          <w:rFonts w:eastAsia="Calibri"/>
          <w:lang w:val="en-GB"/>
        </w:rPr>
        <w:t xml:space="preserve">edical </w:t>
      </w:r>
      <w:r w:rsidR="002D54B3" w:rsidRPr="0034527B">
        <w:rPr>
          <w:rFonts w:eastAsia="Calibri"/>
          <w:lang w:val="en-GB"/>
        </w:rPr>
        <w:t>a</w:t>
      </w:r>
      <w:r w:rsidRPr="0034527B">
        <w:rPr>
          <w:rFonts w:eastAsia="Calibri"/>
          <w:lang w:val="en-GB"/>
        </w:rPr>
        <w:t>ssistants/</w:t>
      </w:r>
      <w:r w:rsidR="002D54B3" w:rsidRPr="0034527B">
        <w:rPr>
          <w:rFonts w:eastAsia="Calibri"/>
          <w:lang w:val="en-GB"/>
        </w:rPr>
        <w:t>s</w:t>
      </w:r>
      <w:r w:rsidRPr="0034527B">
        <w:rPr>
          <w:rFonts w:eastAsia="Calibri"/>
          <w:lang w:val="en-GB"/>
        </w:rPr>
        <w:t>ub</w:t>
      </w:r>
      <w:r w:rsidR="002D54B3" w:rsidRPr="0034527B">
        <w:rPr>
          <w:rFonts w:eastAsia="Calibri"/>
          <w:lang w:val="en-GB"/>
        </w:rPr>
        <w:t>-a</w:t>
      </w:r>
      <w:r w:rsidRPr="0034527B">
        <w:rPr>
          <w:rFonts w:eastAsia="Calibri"/>
          <w:lang w:val="en-GB"/>
        </w:rPr>
        <w:t xml:space="preserve">ssistant </w:t>
      </w:r>
      <w:r w:rsidR="002D54B3" w:rsidRPr="0034527B">
        <w:rPr>
          <w:rFonts w:eastAsia="Calibri"/>
          <w:lang w:val="en-GB"/>
        </w:rPr>
        <w:t>c</w:t>
      </w:r>
      <w:r w:rsidRPr="0034527B">
        <w:rPr>
          <w:rFonts w:eastAsia="Calibri"/>
          <w:lang w:val="en-GB"/>
        </w:rPr>
        <w:t xml:space="preserve">ommunity </w:t>
      </w:r>
      <w:r w:rsidR="002D54B3" w:rsidRPr="0034527B">
        <w:rPr>
          <w:rFonts w:eastAsia="Calibri"/>
          <w:lang w:val="en-GB"/>
        </w:rPr>
        <w:t>m</w:t>
      </w:r>
      <w:r w:rsidRPr="0034527B">
        <w:rPr>
          <w:rFonts w:eastAsia="Calibri"/>
          <w:lang w:val="en-GB"/>
        </w:rPr>
        <w:t xml:space="preserve">edical </w:t>
      </w:r>
      <w:r w:rsidR="002D54B3" w:rsidRPr="0034527B">
        <w:rPr>
          <w:rFonts w:eastAsia="Calibri"/>
          <w:lang w:val="en-GB"/>
        </w:rPr>
        <w:t>o</w:t>
      </w:r>
      <w:r w:rsidRPr="0034527B">
        <w:rPr>
          <w:rFonts w:eastAsia="Calibri"/>
          <w:lang w:val="en-GB"/>
        </w:rPr>
        <w:t xml:space="preserve">fficers, </w:t>
      </w:r>
      <w:r w:rsidR="002D54B3" w:rsidRPr="0034527B">
        <w:rPr>
          <w:rFonts w:eastAsia="Calibri"/>
          <w:lang w:val="en-GB"/>
        </w:rPr>
        <w:t>f</w:t>
      </w:r>
      <w:r w:rsidRPr="0034527B">
        <w:rPr>
          <w:rFonts w:eastAsia="Calibri"/>
          <w:lang w:val="en-GB"/>
        </w:rPr>
        <w:t xml:space="preserve">amily </w:t>
      </w:r>
      <w:r w:rsidR="002D54B3" w:rsidRPr="0034527B">
        <w:rPr>
          <w:rFonts w:eastAsia="Calibri"/>
          <w:lang w:val="en-GB"/>
        </w:rPr>
        <w:t>w</w:t>
      </w:r>
      <w:r w:rsidRPr="0034527B">
        <w:rPr>
          <w:rFonts w:eastAsia="Calibri"/>
          <w:lang w:val="en-GB"/>
        </w:rPr>
        <w:t xml:space="preserve">elfare </w:t>
      </w:r>
      <w:r w:rsidR="002D54B3" w:rsidRPr="0034527B">
        <w:rPr>
          <w:rFonts w:eastAsia="Calibri"/>
          <w:lang w:val="en-GB"/>
        </w:rPr>
        <w:t>v</w:t>
      </w:r>
      <w:r w:rsidRPr="0034527B">
        <w:rPr>
          <w:rFonts w:eastAsia="Calibri"/>
          <w:lang w:val="en-GB"/>
        </w:rPr>
        <w:t>isitor</w:t>
      </w:r>
      <w:r w:rsidR="002D54B3" w:rsidRPr="0034527B">
        <w:rPr>
          <w:rFonts w:eastAsia="Calibri"/>
          <w:lang w:val="en-GB"/>
        </w:rPr>
        <w:t>s,</w:t>
      </w:r>
      <w:r w:rsidRPr="0034527B">
        <w:rPr>
          <w:rFonts w:eastAsia="Calibri"/>
          <w:lang w:val="en-GB"/>
        </w:rPr>
        <w:t xml:space="preserve"> and </w:t>
      </w:r>
      <w:r w:rsidR="002D54B3" w:rsidRPr="0034527B">
        <w:rPr>
          <w:rFonts w:eastAsia="Calibri"/>
          <w:lang w:val="en-GB"/>
        </w:rPr>
        <w:t>l</w:t>
      </w:r>
      <w:r w:rsidRPr="0034527B">
        <w:rPr>
          <w:rFonts w:eastAsia="Calibri"/>
          <w:lang w:val="en-GB"/>
        </w:rPr>
        <w:t xml:space="preserve">ab </w:t>
      </w:r>
      <w:r w:rsidR="002D54B3" w:rsidRPr="0034527B">
        <w:rPr>
          <w:rFonts w:eastAsia="Calibri"/>
          <w:lang w:val="en-GB"/>
        </w:rPr>
        <w:t>t</w:t>
      </w:r>
      <w:r w:rsidRPr="0034527B">
        <w:rPr>
          <w:rFonts w:eastAsia="Calibri"/>
          <w:lang w:val="en-GB"/>
        </w:rPr>
        <w:t>echnicians/</w:t>
      </w:r>
      <w:r w:rsidR="002D54B3" w:rsidRPr="0034527B">
        <w:rPr>
          <w:rFonts w:eastAsia="Calibri"/>
          <w:lang w:val="en-GB"/>
        </w:rPr>
        <w:t>p</w:t>
      </w:r>
      <w:r w:rsidRPr="0034527B">
        <w:rPr>
          <w:rFonts w:eastAsia="Calibri"/>
          <w:lang w:val="en-GB"/>
        </w:rPr>
        <w:t>hysiotherapists</w:t>
      </w:r>
      <w:r w:rsidR="000A2EE9">
        <w:rPr>
          <w:rFonts w:eastAsia="Calibri"/>
          <w:lang w:val="en-GB"/>
        </w:rPr>
        <w:t>.</w:t>
      </w:r>
    </w:p>
    <w:p w14:paraId="438669CF" w14:textId="5EFF0E52"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Community </w:t>
      </w:r>
      <w:r w:rsidR="002D54B3" w:rsidRPr="0034527B">
        <w:rPr>
          <w:rFonts w:eastAsia="Calibri"/>
          <w:lang w:val="en-GB"/>
        </w:rPr>
        <w:t>H</w:t>
      </w:r>
      <w:r w:rsidRPr="0034527B">
        <w:rPr>
          <w:rFonts w:eastAsia="Calibri"/>
          <w:lang w:val="en-GB"/>
        </w:rPr>
        <w:t xml:space="preserve">ealth </w:t>
      </w:r>
      <w:r w:rsidR="002D54B3" w:rsidRPr="0034527B">
        <w:rPr>
          <w:rFonts w:eastAsia="Calibri"/>
          <w:lang w:val="en-GB"/>
        </w:rPr>
        <w:t>W</w:t>
      </w:r>
      <w:r w:rsidRPr="0034527B">
        <w:rPr>
          <w:rFonts w:eastAsia="Calibri"/>
          <w:lang w:val="en-GB"/>
        </w:rPr>
        <w:t xml:space="preserve">orkers </w:t>
      </w:r>
    </w:p>
    <w:p w14:paraId="1695F641" w14:textId="5D5042F6"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Unqualified </w:t>
      </w:r>
      <w:r w:rsidR="002D54B3" w:rsidRPr="0034527B">
        <w:rPr>
          <w:rFonts w:eastAsia="Calibri"/>
          <w:lang w:val="en-GB"/>
        </w:rPr>
        <w:t>A</w:t>
      </w:r>
      <w:r w:rsidRPr="0034527B">
        <w:rPr>
          <w:rFonts w:eastAsia="Calibri"/>
          <w:lang w:val="en-GB"/>
        </w:rPr>
        <w:t xml:space="preserve">llopathic </w:t>
      </w:r>
      <w:r w:rsidR="002D54B3" w:rsidRPr="0034527B">
        <w:rPr>
          <w:rFonts w:eastAsia="Calibri"/>
          <w:lang w:val="en-GB"/>
        </w:rPr>
        <w:t>P</w:t>
      </w:r>
      <w:r w:rsidRPr="0034527B">
        <w:rPr>
          <w:rFonts w:eastAsia="Calibri"/>
          <w:lang w:val="en-GB"/>
        </w:rPr>
        <w:t xml:space="preserve">roviders: </w:t>
      </w:r>
      <w:r w:rsidR="002D54B3" w:rsidRPr="0034527B">
        <w:rPr>
          <w:rFonts w:eastAsia="Calibri"/>
          <w:lang w:val="en-GB"/>
        </w:rPr>
        <w:t>These included v</w:t>
      </w:r>
      <w:r w:rsidRPr="0034527B">
        <w:rPr>
          <w:rFonts w:eastAsia="Calibri"/>
          <w:lang w:val="en-GB"/>
        </w:rPr>
        <w:t xml:space="preserve">illage </w:t>
      </w:r>
      <w:r w:rsidR="002D54B3" w:rsidRPr="0034527B">
        <w:rPr>
          <w:rFonts w:eastAsia="Calibri"/>
          <w:lang w:val="en-GB"/>
        </w:rPr>
        <w:t>d</w:t>
      </w:r>
      <w:r w:rsidRPr="0034527B">
        <w:rPr>
          <w:rFonts w:eastAsia="Calibri"/>
          <w:lang w:val="en-GB"/>
        </w:rPr>
        <w:t xml:space="preserve">octors, </w:t>
      </w:r>
      <w:r w:rsidR="002D54B3" w:rsidRPr="0034527B">
        <w:rPr>
          <w:rFonts w:eastAsia="Calibri"/>
          <w:lang w:val="en-GB"/>
        </w:rPr>
        <w:t xml:space="preserve">and </w:t>
      </w:r>
      <w:r w:rsidR="00C57F4D" w:rsidRPr="0034527B">
        <w:rPr>
          <w:rFonts w:eastAsia="Calibri"/>
          <w:lang w:val="en-GB"/>
        </w:rPr>
        <w:t xml:space="preserve">drugstore </w:t>
      </w:r>
      <w:r w:rsidR="002D54B3" w:rsidRPr="0034527B">
        <w:rPr>
          <w:rFonts w:eastAsia="Calibri"/>
          <w:lang w:val="en-GB"/>
        </w:rPr>
        <w:t>salespeople</w:t>
      </w:r>
      <w:r w:rsidR="000A2EE9">
        <w:rPr>
          <w:rFonts w:eastAsia="Calibri"/>
          <w:lang w:val="en-GB"/>
        </w:rPr>
        <w:t>. V</w:t>
      </w:r>
      <w:r w:rsidRPr="0034527B">
        <w:rPr>
          <w:rFonts w:eastAsia="Calibri"/>
          <w:lang w:val="en-GB"/>
        </w:rPr>
        <w:t>illage doctors/rural medical practitioners were trained for a short</w:t>
      </w:r>
      <w:r w:rsidR="002D54B3" w:rsidRPr="0034527B">
        <w:rPr>
          <w:rFonts w:eastAsia="Calibri"/>
          <w:lang w:val="en-GB"/>
        </w:rPr>
        <w:t xml:space="preserve"> </w:t>
      </w:r>
      <w:r w:rsidRPr="0034527B">
        <w:rPr>
          <w:rFonts w:eastAsia="Calibri"/>
          <w:lang w:val="en-GB"/>
        </w:rPr>
        <w:t>duration in mostly unrecognized institutions</w:t>
      </w:r>
      <w:r w:rsidR="000A2EE9">
        <w:rPr>
          <w:rFonts w:eastAsia="Calibri"/>
          <w:lang w:val="en-GB"/>
        </w:rPr>
        <w:t>.</w:t>
      </w:r>
    </w:p>
    <w:p w14:paraId="1214DD1B" w14:textId="18D59EE6"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Traditional </w:t>
      </w:r>
      <w:r w:rsidR="002D54B3" w:rsidRPr="0034527B">
        <w:rPr>
          <w:rFonts w:eastAsia="Calibri"/>
          <w:lang w:val="en-GB"/>
        </w:rPr>
        <w:t>H</w:t>
      </w:r>
      <w:r w:rsidRPr="0034527B">
        <w:rPr>
          <w:rFonts w:eastAsia="Calibri"/>
          <w:lang w:val="en-GB"/>
        </w:rPr>
        <w:t xml:space="preserve">ealers: Also called Kabiraj, </w:t>
      </w:r>
      <w:r w:rsidR="002D54B3" w:rsidRPr="0034527B">
        <w:rPr>
          <w:rFonts w:eastAsia="Calibri"/>
          <w:lang w:val="en-GB"/>
        </w:rPr>
        <w:t>they could</w:t>
      </w:r>
      <w:r w:rsidRPr="0034527B">
        <w:rPr>
          <w:rFonts w:eastAsia="Calibri"/>
          <w:lang w:val="en-GB"/>
        </w:rPr>
        <w:t xml:space="preserve"> be self-trained</w:t>
      </w:r>
      <w:r w:rsidR="000A2EE9">
        <w:rPr>
          <w:rFonts w:eastAsia="Calibri"/>
          <w:lang w:val="en-GB"/>
        </w:rPr>
        <w:t xml:space="preserve"> and</w:t>
      </w:r>
      <w:r w:rsidRPr="0034527B">
        <w:rPr>
          <w:rFonts w:eastAsia="Calibri"/>
          <w:lang w:val="en-GB"/>
        </w:rPr>
        <w:t xml:space="preserve"> prescribed diet</w:t>
      </w:r>
      <w:r w:rsidR="002D54B3" w:rsidRPr="0034527B">
        <w:rPr>
          <w:rFonts w:eastAsia="Calibri"/>
          <w:lang w:val="en-GB"/>
        </w:rPr>
        <w:t>s</w:t>
      </w:r>
      <w:r w:rsidRPr="0034527B">
        <w:rPr>
          <w:rFonts w:eastAsia="Calibri"/>
          <w:lang w:val="en-GB"/>
        </w:rPr>
        <w:t xml:space="preserve"> and herbs</w:t>
      </w:r>
      <w:r w:rsidR="000A2EE9">
        <w:rPr>
          <w:rFonts w:eastAsia="Calibri"/>
          <w:lang w:val="en-GB"/>
        </w:rPr>
        <w:t>.</w:t>
      </w:r>
    </w:p>
    <w:p w14:paraId="4572FED8" w14:textId="135EECAB"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Faith </w:t>
      </w:r>
      <w:r w:rsidR="000A2EE9">
        <w:rPr>
          <w:rFonts w:eastAsia="Calibri"/>
          <w:lang w:val="en-GB"/>
        </w:rPr>
        <w:t>H</w:t>
      </w:r>
      <w:r w:rsidRPr="0034527B">
        <w:rPr>
          <w:rFonts w:eastAsia="Calibri"/>
          <w:lang w:val="en-GB"/>
        </w:rPr>
        <w:t xml:space="preserve">ealers: </w:t>
      </w:r>
      <w:r w:rsidR="002D54B3" w:rsidRPr="0034527B">
        <w:rPr>
          <w:rFonts w:eastAsia="Calibri"/>
          <w:lang w:val="en-GB"/>
        </w:rPr>
        <w:t xml:space="preserve">They </w:t>
      </w:r>
      <w:r w:rsidRPr="0034527B">
        <w:rPr>
          <w:rFonts w:eastAsia="Calibri"/>
          <w:lang w:val="en-GB"/>
        </w:rPr>
        <w:t>largely chant</w:t>
      </w:r>
      <w:r w:rsidR="002D54B3" w:rsidRPr="0034527B">
        <w:rPr>
          <w:rFonts w:eastAsia="Calibri"/>
          <w:lang w:val="en-GB"/>
        </w:rPr>
        <w:t>ed</w:t>
      </w:r>
      <w:r w:rsidRPr="0034527B">
        <w:rPr>
          <w:rFonts w:eastAsia="Calibri"/>
          <w:lang w:val="en-GB"/>
        </w:rPr>
        <w:t xml:space="preserve"> prayers</w:t>
      </w:r>
      <w:r w:rsidR="000A2EE9">
        <w:rPr>
          <w:rFonts w:eastAsia="Calibri"/>
          <w:lang w:val="en-GB"/>
        </w:rPr>
        <w:t>.</w:t>
      </w:r>
    </w:p>
    <w:p w14:paraId="67A77A7C" w14:textId="03B8B4D6"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Traditional </w:t>
      </w:r>
      <w:r w:rsidR="002D54B3" w:rsidRPr="0034527B">
        <w:rPr>
          <w:rFonts w:eastAsia="Calibri"/>
          <w:lang w:val="en-GB"/>
        </w:rPr>
        <w:t>B</w:t>
      </w:r>
      <w:r w:rsidRPr="0034527B">
        <w:rPr>
          <w:rFonts w:eastAsia="Calibri"/>
          <w:lang w:val="en-GB"/>
        </w:rPr>
        <w:t xml:space="preserve">irth </w:t>
      </w:r>
      <w:r w:rsidR="002D54B3" w:rsidRPr="0034527B">
        <w:rPr>
          <w:rFonts w:eastAsia="Calibri"/>
          <w:lang w:val="en-GB"/>
        </w:rPr>
        <w:t>A</w:t>
      </w:r>
      <w:r w:rsidRPr="0034527B">
        <w:rPr>
          <w:rFonts w:eastAsia="Calibri"/>
          <w:lang w:val="en-GB"/>
        </w:rPr>
        <w:t xml:space="preserve">ttendants: </w:t>
      </w:r>
      <w:r w:rsidR="002D54B3" w:rsidRPr="0034527B">
        <w:rPr>
          <w:rFonts w:eastAsia="Calibri"/>
          <w:lang w:val="en-GB"/>
        </w:rPr>
        <w:t>S</w:t>
      </w:r>
      <w:r w:rsidRPr="0034527B">
        <w:rPr>
          <w:rFonts w:eastAsia="Calibri"/>
          <w:lang w:val="en-GB"/>
        </w:rPr>
        <w:t>ome of the</w:t>
      </w:r>
      <w:r w:rsidR="002D54B3" w:rsidRPr="0034527B">
        <w:rPr>
          <w:rFonts w:eastAsia="Calibri"/>
          <w:lang w:val="en-GB"/>
        </w:rPr>
        <w:t>se</w:t>
      </w:r>
      <w:r w:rsidRPr="0034527B">
        <w:rPr>
          <w:rFonts w:eastAsia="Calibri"/>
          <w:lang w:val="en-GB"/>
        </w:rPr>
        <w:t xml:space="preserve"> m</w:t>
      </w:r>
      <w:r w:rsidR="002D54B3" w:rsidRPr="0034527B">
        <w:rPr>
          <w:rFonts w:eastAsia="Calibri"/>
          <w:lang w:val="en-GB"/>
        </w:rPr>
        <w:t>ight</w:t>
      </w:r>
      <w:r w:rsidRPr="0034527B">
        <w:rPr>
          <w:rFonts w:eastAsia="Calibri"/>
          <w:lang w:val="en-GB"/>
        </w:rPr>
        <w:t xml:space="preserve"> have </w:t>
      </w:r>
      <w:r w:rsidR="002D54B3" w:rsidRPr="0034527B">
        <w:rPr>
          <w:rFonts w:eastAsia="Calibri"/>
          <w:lang w:val="en-GB"/>
        </w:rPr>
        <w:t xml:space="preserve">had </w:t>
      </w:r>
      <w:r w:rsidRPr="0034527B">
        <w:rPr>
          <w:rFonts w:eastAsia="Calibri"/>
          <w:lang w:val="en-GB"/>
        </w:rPr>
        <w:t>training in deliver</w:t>
      </w:r>
      <w:r w:rsidR="002D54B3" w:rsidRPr="0034527B">
        <w:rPr>
          <w:rFonts w:eastAsia="Calibri"/>
          <w:lang w:val="en-GB"/>
        </w:rPr>
        <w:t>ing</w:t>
      </w:r>
      <w:r w:rsidRPr="0034527B">
        <w:rPr>
          <w:rFonts w:eastAsia="Calibri"/>
          <w:lang w:val="en-GB"/>
        </w:rPr>
        <w:t xml:space="preserve"> bab</w:t>
      </w:r>
      <w:r w:rsidR="002D54B3" w:rsidRPr="0034527B">
        <w:rPr>
          <w:rFonts w:eastAsia="Calibri"/>
          <w:lang w:val="en-GB"/>
        </w:rPr>
        <w:t>ies</w:t>
      </w:r>
      <w:r w:rsidR="000A2EE9">
        <w:rPr>
          <w:rFonts w:eastAsia="Calibri"/>
          <w:lang w:val="en-GB"/>
        </w:rPr>
        <w:t>.</w:t>
      </w:r>
    </w:p>
    <w:p w14:paraId="1F12D4F8" w14:textId="2CDCD26A" w:rsidR="00576A16" w:rsidRPr="0034527B" w:rsidRDefault="00576A16" w:rsidP="00576A16">
      <w:pPr>
        <w:pStyle w:val="ExhibitText"/>
        <w:numPr>
          <w:ilvl w:val="0"/>
          <w:numId w:val="31"/>
        </w:numPr>
        <w:rPr>
          <w:rFonts w:eastAsia="Calibri"/>
          <w:lang w:val="en-GB"/>
        </w:rPr>
      </w:pPr>
      <w:r w:rsidRPr="0034527B">
        <w:rPr>
          <w:rFonts w:eastAsia="Calibri"/>
          <w:lang w:val="en-GB"/>
        </w:rPr>
        <w:t xml:space="preserve">Homeopaths: </w:t>
      </w:r>
      <w:r w:rsidR="002D54B3" w:rsidRPr="0034527B">
        <w:rPr>
          <w:rFonts w:eastAsia="Calibri"/>
          <w:lang w:val="en-GB"/>
        </w:rPr>
        <w:t>They were m</w:t>
      </w:r>
      <w:r w:rsidRPr="0034527B">
        <w:rPr>
          <w:rFonts w:eastAsia="Calibri"/>
          <w:lang w:val="en-GB"/>
        </w:rPr>
        <w:t>ostly self-trained</w:t>
      </w:r>
      <w:r w:rsidR="002D54B3" w:rsidRPr="0034527B">
        <w:rPr>
          <w:rFonts w:eastAsia="Calibri"/>
          <w:lang w:val="en-GB"/>
        </w:rPr>
        <w:t>,</w:t>
      </w:r>
      <w:r w:rsidRPr="0034527B">
        <w:rPr>
          <w:rFonts w:eastAsia="Calibri"/>
          <w:lang w:val="en-GB"/>
        </w:rPr>
        <w:t xml:space="preserve"> though some m</w:t>
      </w:r>
      <w:r w:rsidR="002D54B3" w:rsidRPr="0034527B">
        <w:rPr>
          <w:rFonts w:eastAsia="Calibri"/>
          <w:lang w:val="en-GB"/>
        </w:rPr>
        <w:t>ight have been</w:t>
      </w:r>
      <w:r w:rsidRPr="0034527B">
        <w:rPr>
          <w:rFonts w:eastAsia="Calibri"/>
          <w:lang w:val="en-GB"/>
        </w:rPr>
        <w:t xml:space="preserve"> trained in institutions</w:t>
      </w:r>
      <w:r w:rsidR="000A2EE9">
        <w:rPr>
          <w:rFonts w:eastAsia="Calibri"/>
          <w:lang w:val="en-GB"/>
        </w:rPr>
        <w:t>.</w:t>
      </w:r>
    </w:p>
    <w:p w14:paraId="3080F37B" w14:textId="77777777" w:rsidR="00576A16" w:rsidRPr="0034527B" w:rsidRDefault="00576A16" w:rsidP="00576A16">
      <w:pPr>
        <w:pStyle w:val="BodyTextMain"/>
        <w:rPr>
          <w:rFonts w:eastAsia="Calibri"/>
          <w:lang w:val="en-GB"/>
        </w:rPr>
      </w:pPr>
    </w:p>
    <w:p w14:paraId="5E0970CD" w14:textId="3BAA0C00" w:rsidR="00576A16" w:rsidRPr="0034527B" w:rsidRDefault="00576A16" w:rsidP="00576A16">
      <w:pPr>
        <w:pStyle w:val="Footnote"/>
        <w:rPr>
          <w:rFonts w:eastAsia="Calibri"/>
          <w:lang w:val="en-GB"/>
        </w:rPr>
      </w:pPr>
      <w:r w:rsidRPr="0034527B">
        <w:rPr>
          <w:rFonts w:eastAsia="Calibri"/>
          <w:lang w:val="en-GB"/>
        </w:rPr>
        <w:t xml:space="preserve">Source: </w:t>
      </w:r>
      <w:r w:rsidR="00057B09" w:rsidRPr="0034527B">
        <w:rPr>
          <w:rFonts w:eastAsia="Calibri"/>
          <w:lang w:val="en-GB"/>
        </w:rPr>
        <w:t xml:space="preserve">Syed Masud </w:t>
      </w:r>
      <w:r w:rsidR="00057B09" w:rsidRPr="0034527B">
        <w:rPr>
          <w:lang w:val="en-GB"/>
        </w:rPr>
        <w:t xml:space="preserve">Ahmed, </w:t>
      </w:r>
      <w:r w:rsidR="002D54B3" w:rsidRPr="0034527B">
        <w:rPr>
          <w:lang w:val="en-GB"/>
        </w:rPr>
        <w:t xml:space="preserve">Md. Awlad </w:t>
      </w:r>
      <w:r w:rsidR="00057B09" w:rsidRPr="0034527B">
        <w:rPr>
          <w:lang w:val="en-GB"/>
        </w:rPr>
        <w:t>Hossain</w:t>
      </w:r>
      <w:r w:rsidR="002D54B3" w:rsidRPr="0034527B">
        <w:rPr>
          <w:lang w:val="en-GB"/>
        </w:rPr>
        <w:t>,</w:t>
      </w:r>
      <w:r w:rsidR="00057B09" w:rsidRPr="0034527B">
        <w:rPr>
          <w:lang w:val="en-GB"/>
        </w:rPr>
        <w:t xml:space="preserve"> and </w:t>
      </w:r>
      <w:r w:rsidR="002D54B3" w:rsidRPr="0034527B">
        <w:rPr>
          <w:lang w:val="en-GB"/>
        </w:rPr>
        <w:t xml:space="preserve">Mushtaque Raja </w:t>
      </w:r>
      <w:r w:rsidR="00057B09" w:rsidRPr="0034527B">
        <w:rPr>
          <w:lang w:val="en-GB"/>
        </w:rPr>
        <w:t xml:space="preserve">Chowdhury, “Informal Sector Providers in Bangladesh: How Equipped </w:t>
      </w:r>
      <w:r w:rsidR="000A2EE9">
        <w:rPr>
          <w:lang w:val="en-GB"/>
        </w:rPr>
        <w:t>A</w:t>
      </w:r>
      <w:r w:rsidR="00057B09" w:rsidRPr="0034527B">
        <w:rPr>
          <w:lang w:val="en-GB"/>
        </w:rPr>
        <w:t xml:space="preserve">re They to Provide Rational Health Care?,” </w:t>
      </w:r>
      <w:r w:rsidR="00057B09" w:rsidRPr="0034527B">
        <w:rPr>
          <w:i/>
          <w:lang w:val="en-GB"/>
        </w:rPr>
        <w:t>Health Policy and Planning</w:t>
      </w:r>
      <w:r w:rsidR="00057B09" w:rsidRPr="0034527B">
        <w:rPr>
          <w:lang w:val="en-GB"/>
        </w:rPr>
        <w:t xml:space="preserve"> 24 (2009): 467–478</w:t>
      </w:r>
      <w:r w:rsidRPr="0034527B">
        <w:rPr>
          <w:rFonts w:eastAsia="Calibri"/>
          <w:lang w:val="en-GB"/>
        </w:rPr>
        <w:t>.</w:t>
      </w:r>
    </w:p>
    <w:p w14:paraId="2B394E60" w14:textId="77777777" w:rsidR="00576A16" w:rsidRPr="0034527B" w:rsidRDefault="00576A16" w:rsidP="00FA1E6A">
      <w:pPr>
        <w:pStyle w:val="BodyTextMain"/>
        <w:rPr>
          <w:lang w:val="en-GB"/>
        </w:rPr>
      </w:pPr>
    </w:p>
    <w:p w14:paraId="508093EA" w14:textId="77777777" w:rsidR="00576A16" w:rsidRPr="0034527B" w:rsidRDefault="00576A16" w:rsidP="00FA1E6A">
      <w:pPr>
        <w:pStyle w:val="BodyTextMain"/>
        <w:rPr>
          <w:lang w:val="en-GB"/>
        </w:rPr>
      </w:pPr>
    </w:p>
    <w:p w14:paraId="6FB74615" w14:textId="3F62E248" w:rsidR="00576A16" w:rsidRPr="0034527B" w:rsidRDefault="00576A16" w:rsidP="00576A16">
      <w:pPr>
        <w:pStyle w:val="ExhibitHeading"/>
        <w:rPr>
          <w:rFonts w:eastAsia="Calibri"/>
          <w:lang w:val="en-GB"/>
        </w:rPr>
      </w:pPr>
      <w:r w:rsidRPr="0034527B">
        <w:rPr>
          <w:rFonts w:eastAsia="Calibri"/>
          <w:w w:val="105"/>
          <w:lang w:val="en-GB"/>
        </w:rPr>
        <w:lastRenderedPageBreak/>
        <w:t xml:space="preserve">Exhibit </w:t>
      </w:r>
      <w:r w:rsidR="00D509B5" w:rsidRPr="0034527B">
        <w:rPr>
          <w:rFonts w:eastAsia="Calibri"/>
          <w:w w:val="105"/>
          <w:lang w:val="en-GB"/>
        </w:rPr>
        <w:t>8</w:t>
      </w:r>
      <w:r w:rsidRPr="0034527B">
        <w:rPr>
          <w:rFonts w:eastAsia="Calibri"/>
          <w:w w:val="105"/>
          <w:lang w:val="en-GB"/>
        </w:rPr>
        <w:t xml:space="preserve">: </w:t>
      </w:r>
      <w:r w:rsidRPr="0034527B">
        <w:rPr>
          <w:rFonts w:eastAsia="Calibri"/>
          <w:lang w:val="en-GB"/>
        </w:rPr>
        <w:t>Presence and Accessibility of Health Service Providers in Rural Areas</w:t>
      </w:r>
      <w:r w:rsidR="002D54B3" w:rsidRPr="0034527B">
        <w:rPr>
          <w:rFonts w:eastAsia="Calibri"/>
          <w:lang w:val="en-GB"/>
        </w:rPr>
        <w:t xml:space="preserve"> of bangladesh</w:t>
      </w:r>
    </w:p>
    <w:p w14:paraId="650877CE" w14:textId="77777777" w:rsidR="00576A16" w:rsidRPr="0034527B" w:rsidRDefault="00576A16" w:rsidP="00576A16">
      <w:pPr>
        <w:pStyle w:val="ExhibitHeading"/>
        <w:rPr>
          <w:rFonts w:eastAsia="Calibr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2957"/>
        <w:gridCol w:w="2539"/>
      </w:tblGrid>
      <w:tr w:rsidR="00576A16" w:rsidRPr="0034527B" w14:paraId="03DE55B6" w14:textId="77777777" w:rsidTr="0046766F">
        <w:trPr>
          <w:jc w:val="center"/>
        </w:trPr>
        <w:tc>
          <w:tcPr>
            <w:tcW w:w="2959" w:type="dxa"/>
            <w:shd w:val="clear" w:color="auto" w:fill="auto"/>
          </w:tcPr>
          <w:p w14:paraId="10E9147F" w14:textId="2C0D8794" w:rsidR="00576A16" w:rsidRPr="0034527B" w:rsidRDefault="00576A16" w:rsidP="002A44A4">
            <w:pPr>
              <w:pStyle w:val="ExhibitText"/>
              <w:jc w:val="center"/>
              <w:rPr>
                <w:rFonts w:eastAsia="Calibri"/>
                <w:b/>
                <w:lang w:val="en-GB"/>
              </w:rPr>
            </w:pPr>
            <w:r w:rsidRPr="0034527B">
              <w:rPr>
                <w:rFonts w:eastAsia="Calibri"/>
                <w:b/>
                <w:lang w:val="en-GB"/>
              </w:rPr>
              <w:t xml:space="preserve">Health </w:t>
            </w:r>
            <w:r w:rsidR="002D54B3" w:rsidRPr="0034527B">
              <w:rPr>
                <w:rFonts w:eastAsia="Calibri"/>
                <w:b/>
                <w:lang w:val="en-GB"/>
              </w:rPr>
              <w:t>S</w:t>
            </w:r>
            <w:r w:rsidRPr="0034527B">
              <w:rPr>
                <w:rFonts w:eastAsia="Calibri"/>
                <w:b/>
                <w:lang w:val="en-GB"/>
              </w:rPr>
              <w:t>ervice Provider</w:t>
            </w:r>
          </w:p>
        </w:tc>
        <w:tc>
          <w:tcPr>
            <w:tcW w:w="2957" w:type="dxa"/>
            <w:shd w:val="clear" w:color="auto" w:fill="auto"/>
          </w:tcPr>
          <w:p w14:paraId="58C40CE0" w14:textId="72EC47EC" w:rsidR="00576A16" w:rsidRPr="0034527B" w:rsidRDefault="00576A16" w:rsidP="002A44A4">
            <w:pPr>
              <w:pStyle w:val="ExhibitText"/>
              <w:jc w:val="center"/>
              <w:rPr>
                <w:rFonts w:eastAsia="Calibri"/>
                <w:b/>
                <w:lang w:val="en-GB"/>
              </w:rPr>
            </w:pPr>
            <w:r w:rsidRPr="0034527B">
              <w:rPr>
                <w:rFonts w:eastAsia="Calibri"/>
                <w:b/>
                <w:lang w:val="en-GB"/>
              </w:rPr>
              <w:t xml:space="preserve">Presence in </w:t>
            </w:r>
            <w:r w:rsidR="002D54B3" w:rsidRPr="0034527B">
              <w:rPr>
                <w:rFonts w:eastAsia="Calibri"/>
                <w:b/>
                <w:lang w:val="en-GB"/>
              </w:rPr>
              <w:t>R</w:t>
            </w:r>
            <w:r w:rsidRPr="0034527B">
              <w:rPr>
                <w:rFonts w:eastAsia="Calibri"/>
                <w:b/>
                <w:lang w:val="en-GB"/>
              </w:rPr>
              <w:t xml:space="preserve">ural </w:t>
            </w:r>
            <w:r w:rsidR="002D54B3" w:rsidRPr="0034527B">
              <w:rPr>
                <w:rFonts w:eastAsia="Calibri"/>
                <w:b/>
                <w:lang w:val="en-GB"/>
              </w:rPr>
              <w:t>L</w:t>
            </w:r>
            <w:r w:rsidRPr="0034527B">
              <w:rPr>
                <w:rFonts w:eastAsia="Calibri"/>
                <w:b/>
                <w:lang w:val="en-GB"/>
              </w:rPr>
              <w:t xml:space="preserve">ocation of the </w:t>
            </w:r>
            <w:r w:rsidR="002D54B3" w:rsidRPr="0034527B">
              <w:rPr>
                <w:rFonts w:eastAsia="Calibri"/>
                <w:b/>
                <w:lang w:val="en-GB"/>
              </w:rPr>
              <w:t>H</w:t>
            </w:r>
            <w:r w:rsidRPr="0034527B">
              <w:rPr>
                <w:rFonts w:eastAsia="Calibri"/>
                <w:b/>
                <w:lang w:val="en-GB"/>
              </w:rPr>
              <w:t xml:space="preserve">ealth </w:t>
            </w:r>
            <w:r w:rsidR="002D54B3" w:rsidRPr="0034527B">
              <w:rPr>
                <w:rFonts w:eastAsia="Calibri"/>
                <w:b/>
                <w:lang w:val="en-GB"/>
              </w:rPr>
              <w:t>C</w:t>
            </w:r>
            <w:r w:rsidRPr="0034527B">
              <w:rPr>
                <w:rFonts w:eastAsia="Calibri"/>
                <w:b/>
                <w:lang w:val="en-GB"/>
              </w:rPr>
              <w:t xml:space="preserve">are </w:t>
            </w:r>
            <w:r w:rsidR="002D54B3" w:rsidRPr="0034527B">
              <w:rPr>
                <w:rFonts w:eastAsia="Calibri"/>
                <w:b/>
                <w:lang w:val="en-GB"/>
              </w:rPr>
              <w:t>S</w:t>
            </w:r>
            <w:r w:rsidRPr="0034527B">
              <w:rPr>
                <w:rFonts w:eastAsia="Calibri"/>
                <w:b/>
                <w:lang w:val="en-GB"/>
              </w:rPr>
              <w:t xml:space="preserve">ervice </w:t>
            </w:r>
            <w:r w:rsidR="002D54B3" w:rsidRPr="0034527B">
              <w:rPr>
                <w:rFonts w:eastAsia="Calibri"/>
                <w:b/>
                <w:lang w:val="en-GB"/>
              </w:rPr>
              <w:t>P</w:t>
            </w:r>
            <w:r w:rsidRPr="0034527B">
              <w:rPr>
                <w:rFonts w:eastAsia="Calibri"/>
                <w:b/>
                <w:lang w:val="en-GB"/>
              </w:rPr>
              <w:t>rovider (%)</w:t>
            </w:r>
          </w:p>
        </w:tc>
        <w:tc>
          <w:tcPr>
            <w:tcW w:w="2539" w:type="dxa"/>
            <w:shd w:val="clear" w:color="auto" w:fill="auto"/>
          </w:tcPr>
          <w:p w14:paraId="742EC4D0" w14:textId="77777777" w:rsidR="00576A16" w:rsidRPr="0034527B" w:rsidRDefault="00576A16" w:rsidP="002A44A4">
            <w:pPr>
              <w:pStyle w:val="ExhibitText"/>
              <w:jc w:val="center"/>
              <w:rPr>
                <w:rFonts w:eastAsia="Calibri"/>
                <w:b/>
                <w:lang w:val="en-GB"/>
              </w:rPr>
            </w:pPr>
            <w:r w:rsidRPr="0034527B">
              <w:rPr>
                <w:rFonts w:eastAsia="Calibri"/>
                <w:b/>
                <w:lang w:val="en-GB"/>
              </w:rPr>
              <w:t>Accessibility</w:t>
            </w:r>
          </w:p>
          <w:p w14:paraId="41415ECA" w14:textId="552DE10A" w:rsidR="00576A16" w:rsidRPr="0034527B" w:rsidRDefault="00576A16" w:rsidP="003658DE">
            <w:pPr>
              <w:pStyle w:val="ExhibitText"/>
              <w:jc w:val="center"/>
              <w:rPr>
                <w:rFonts w:eastAsia="Calibri"/>
                <w:b/>
                <w:lang w:val="en-GB"/>
              </w:rPr>
            </w:pPr>
            <w:r w:rsidRPr="0034527B">
              <w:rPr>
                <w:rFonts w:eastAsia="Calibri"/>
                <w:b/>
                <w:lang w:val="en-GB"/>
              </w:rPr>
              <w:t>(Distance the</w:t>
            </w:r>
            <w:r w:rsidR="002D54B3" w:rsidRPr="0034527B">
              <w:rPr>
                <w:rFonts w:eastAsia="Calibri"/>
                <w:b/>
                <w:lang w:val="en-GB"/>
              </w:rPr>
              <w:t xml:space="preserve"> </w:t>
            </w:r>
            <w:r w:rsidR="003658DE" w:rsidRPr="0034527B">
              <w:rPr>
                <w:rFonts w:eastAsia="Calibri"/>
                <w:b/>
                <w:lang w:val="en-GB"/>
              </w:rPr>
              <w:t>P</w:t>
            </w:r>
            <w:r w:rsidR="00985104" w:rsidRPr="0034527B">
              <w:rPr>
                <w:rFonts w:eastAsia="Calibri"/>
                <w:b/>
                <w:lang w:val="en-GB"/>
              </w:rPr>
              <w:t xml:space="preserve">atient </w:t>
            </w:r>
            <w:r w:rsidR="002D54B3" w:rsidRPr="0034527B">
              <w:rPr>
                <w:rFonts w:eastAsia="Calibri"/>
                <w:b/>
                <w:lang w:val="en-GB"/>
              </w:rPr>
              <w:t>travel</w:t>
            </w:r>
            <w:r w:rsidR="00C57F4D" w:rsidRPr="0034527B">
              <w:rPr>
                <w:rFonts w:eastAsia="Calibri"/>
                <w:b/>
                <w:lang w:val="en-GB"/>
              </w:rPr>
              <w:t>led</w:t>
            </w:r>
            <w:r w:rsidR="002D54B3" w:rsidRPr="0034527B">
              <w:rPr>
                <w:rFonts w:eastAsia="Calibri"/>
                <w:b/>
                <w:lang w:val="en-GB"/>
              </w:rPr>
              <w:t>, in kilometres</w:t>
            </w:r>
            <w:r w:rsidR="00C32974">
              <w:rPr>
                <w:rFonts w:eastAsia="Calibri"/>
                <w:b/>
                <w:lang w:val="en-GB"/>
              </w:rPr>
              <w:t>)</w:t>
            </w:r>
            <w:bookmarkStart w:id="0" w:name="_GoBack"/>
            <w:bookmarkEnd w:id="0"/>
          </w:p>
        </w:tc>
      </w:tr>
      <w:tr w:rsidR="00576A16" w:rsidRPr="0034527B" w14:paraId="047DD66A" w14:textId="77777777" w:rsidTr="0046766F">
        <w:trPr>
          <w:jc w:val="center"/>
        </w:trPr>
        <w:tc>
          <w:tcPr>
            <w:tcW w:w="2959" w:type="dxa"/>
            <w:shd w:val="clear" w:color="auto" w:fill="auto"/>
          </w:tcPr>
          <w:p w14:paraId="038AD0EE" w14:textId="77777777" w:rsidR="00576A16" w:rsidRPr="0034527B" w:rsidRDefault="00576A16" w:rsidP="00576A16">
            <w:pPr>
              <w:pStyle w:val="ExhibitText"/>
              <w:rPr>
                <w:rFonts w:eastAsia="Calibri"/>
                <w:lang w:val="en-GB"/>
              </w:rPr>
            </w:pPr>
            <w:r w:rsidRPr="0034527B">
              <w:rPr>
                <w:rFonts w:eastAsia="Calibri"/>
                <w:lang w:val="en-GB"/>
              </w:rPr>
              <w:t xml:space="preserve">Physicians </w:t>
            </w:r>
          </w:p>
        </w:tc>
        <w:tc>
          <w:tcPr>
            <w:tcW w:w="2957" w:type="dxa"/>
            <w:shd w:val="clear" w:color="auto" w:fill="auto"/>
          </w:tcPr>
          <w:p w14:paraId="7F7DFB92" w14:textId="77777777" w:rsidR="00576A16" w:rsidRPr="0034527B" w:rsidRDefault="00576A16" w:rsidP="00576A16">
            <w:pPr>
              <w:pStyle w:val="ExhibitText"/>
              <w:jc w:val="right"/>
              <w:rPr>
                <w:rFonts w:eastAsia="Calibri"/>
                <w:lang w:val="en-GB"/>
              </w:rPr>
            </w:pPr>
            <w:r w:rsidRPr="0034527B">
              <w:rPr>
                <w:rFonts w:eastAsia="Calibri"/>
                <w:lang w:val="en-GB"/>
              </w:rPr>
              <w:t>0.7</w:t>
            </w:r>
          </w:p>
        </w:tc>
        <w:tc>
          <w:tcPr>
            <w:tcW w:w="2539" w:type="dxa"/>
            <w:shd w:val="clear" w:color="auto" w:fill="auto"/>
          </w:tcPr>
          <w:p w14:paraId="1F290A53" w14:textId="77777777" w:rsidR="00576A16" w:rsidRPr="0034527B" w:rsidRDefault="00576A16" w:rsidP="00576A16">
            <w:pPr>
              <w:pStyle w:val="ExhibitText"/>
              <w:jc w:val="right"/>
              <w:rPr>
                <w:rFonts w:eastAsia="Calibri"/>
                <w:lang w:val="en-GB"/>
              </w:rPr>
            </w:pPr>
            <w:r w:rsidRPr="0034527B">
              <w:rPr>
                <w:rFonts w:eastAsia="Calibri"/>
                <w:lang w:val="en-GB"/>
              </w:rPr>
              <w:t>&gt;= 5</w:t>
            </w:r>
          </w:p>
        </w:tc>
      </w:tr>
      <w:tr w:rsidR="00576A16" w:rsidRPr="0034527B" w14:paraId="4EE2E0CB" w14:textId="77777777" w:rsidTr="0046766F">
        <w:trPr>
          <w:jc w:val="center"/>
        </w:trPr>
        <w:tc>
          <w:tcPr>
            <w:tcW w:w="2959" w:type="dxa"/>
            <w:shd w:val="clear" w:color="auto" w:fill="auto"/>
          </w:tcPr>
          <w:p w14:paraId="6A976630" w14:textId="2F6FB03F" w:rsidR="00576A16" w:rsidRPr="0034527B" w:rsidRDefault="00576A16" w:rsidP="002D54B3">
            <w:pPr>
              <w:pStyle w:val="ExhibitText"/>
              <w:rPr>
                <w:rFonts w:eastAsia="Calibri"/>
                <w:lang w:val="en-GB"/>
              </w:rPr>
            </w:pPr>
            <w:r w:rsidRPr="0034527B">
              <w:rPr>
                <w:rFonts w:eastAsia="Calibri"/>
                <w:lang w:val="en-GB"/>
              </w:rPr>
              <w:t xml:space="preserve">Allopathic </w:t>
            </w:r>
            <w:r w:rsidR="002D54B3" w:rsidRPr="0034527B">
              <w:rPr>
                <w:rFonts w:eastAsia="Calibri"/>
                <w:lang w:val="en-GB"/>
              </w:rPr>
              <w:t>P</w:t>
            </w:r>
            <w:r w:rsidRPr="0034527B">
              <w:rPr>
                <w:rFonts w:eastAsia="Calibri"/>
                <w:lang w:val="en-GB"/>
              </w:rPr>
              <w:t>ara</w:t>
            </w:r>
            <w:r w:rsidR="002D54B3" w:rsidRPr="0034527B">
              <w:rPr>
                <w:rFonts w:eastAsia="Calibri"/>
                <w:lang w:val="en-GB"/>
              </w:rPr>
              <w:t>p</w:t>
            </w:r>
            <w:r w:rsidRPr="0034527B">
              <w:rPr>
                <w:rFonts w:eastAsia="Calibri"/>
                <w:lang w:val="en-GB"/>
              </w:rPr>
              <w:t>rofessionals</w:t>
            </w:r>
          </w:p>
        </w:tc>
        <w:tc>
          <w:tcPr>
            <w:tcW w:w="2957" w:type="dxa"/>
            <w:shd w:val="clear" w:color="auto" w:fill="auto"/>
          </w:tcPr>
          <w:p w14:paraId="4D383CCB" w14:textId="77777777" w:rsidR="00576A16" w:rsidRPr="0034527B" w:rsidRDefault="00576A16" w:rsidP="00576A16">
            <w:pPr>
              <w:pStyle w:val="ExhibitText"/>
              <w:jc w:val="right"/>
              <w:rPr>
                <w:rFonts w:eastAsia="Calibri"/>
                <w:lang w:val="en-GB"/>
              </w:rPr>
            </w:pPr>
            <w:r w:rsidRPr="0034527B">
              <w:rPr>
                <w:rFonts w:eastAsia="Calibri"/>
                <w:lang w:val="en-GB"/>
              </w:rPr>
              <w:t>0.6</w:t>
            </w:r>
          </w:p>
        </w:tc>
        <w:tc>
          <w:tcPr>
            <w:tcW w:w="2539" w:type="dxa"/>
            <w:shd w:val="clear" w:color="auto" w:fill="auto"/>
          </w:tcPr>
          <w:p w14:paraId="01810D2B" w14:textId="77777777" w:rsidR="00576A16" w:rsidRPr="0034527B" w:rsidRDefault="00576A16" w:rsidP="00576A16">
            <w:pPr>
              <w:pStyle w:val="ExhibitText"/>
              <w:jc w:val="right"/>
              <w:rPr>
                <w:rFonts w:eastAsia="Calibri"/>
                <w:lang w:val="en-GB"/>
              </w:rPr>
            </w:pPr>
            <w:r w:rsidRPr="0034527B">
              <w:rPr>
                <w:rFonts w:eastAsia="Calibri"/>
                <w:lang w:val="en-GB"/>
              </w:rPr>
              <w:t>&gt;= 5</w:t>
            </w:r>
          </w:p>
        </w:tc>
      </w:tr>
      <w:tr w:rsidR="00576A16" w:rsidRPr="0034527B" w14:paraId="4D41027B" w14:textId="77777777" w:rsidTr="0046766F">
        <w:trPr>
          <w:jc w:val="center"/>
        </w:trPr>
        <w:tc>
          <w:tcPr>
            <w:tcW w:w="2959" w:type="dxa"/>
            <w:shd w:val="clear" w:color="auto" w:fill="auto"/>
          </w:tcPr>
          <w:p w14:paraId="70D6B219" w14:textId="77777777" w:rsidR="00576A16" w:rsidRPr="0034527B" w:rsidRDefault="00576A16" w:rsidP="00576A16">
            <w:pPr>
              <w:pStyle w:val="ExhibitText"/>
              <w:rPr>
                <w:rFonts w:eastAsia="Calibri"/>
                <w:lang w:val="en-GB"/>
              </w:rPr>
            </w:pPr>
            <w:r w:rsidRPr="0034527B">
              <w:rPr>
                <w:rFonts w:eastAsia="Calibri"/>
                <w:lang w:val="en-GB"/>
              </w:rPr>
              <w:t>Village Doctors</w:t>
            </w:r>
          </w:p>
        </w:tc>
        <w:tc>
          <w:tcPr>
            <w:tcW w:w="2957" w:type="dxa"/>
            <w:shd w:val="clear" w:color="auto" w:fill="auto"/>
          </w:tcPr>
          <w:p w14:paraId="777B5307" w14:textId="77777777" w:rsidR="00576A16" w:rsidRPr="0034527B" w:rsidRDefault="00576A16" w:rsidP="00576A16">
            <w:pPr>
              <w:pStyle w:val="ExhibitText"/>
              <w:jc w:val="right"/>
              <w:rPr>
                <w:rFonts w:eastAsia="Calibri"/>
                <w:lang w:val="en-GB"/>
              </w:rPr>
            </w:pPr>
            <w:r w:rsidRPr="0034527B">
              <w:rPr>
                <w:rFonts w:eastAsia="Calibri"/>
                <w:lang w:val="en-GB"/>
              </w:rPr>
              <w:t>8.1</w:t>
            </w:r>
          </w:p>
        </w:tc>
        <w:tc>
          <w:tcPr>
            <w:tcW w:w="2539" w:type="dxa"/>
            <w:shd w:val="clear" w:color="auto" w:fill="auto"/>
          </w:tcPr>
          <w:p w14:paraId="512D2DC0" w14:textId="77777777" w:rsidR="00576A16" w:rsidRPr="0034527B" w:rsidRDefault="00576A16" w:rsidP="00576A16">
            <w:pPr>
              <w:pStyle w:val="ExhibitText"/>
              <w:jc w:val="right"/>
              <w:rPr>
                <w:rFonts w:eastAsia="Calibri"/>
                <w:lang w:val="en-GB"/>
              </w:rPr>
            </w:pPr>
            <w:r w:rsidRPr="0034527B">
              <w:rPr>
                <w:rFonts w:eastAsia="Calibri"/>
                <w:lang w:val="en-GB"/>
              </w:rPr>
              <w:t>2-5</w:t>
            </w:r>
          </w:p>
        </w:tc>
      </w:tr>
      <w:tr w:rsidR="00576A16" w:rsidRPr="0034527B" w14:paraId="47B30FAF" w14:textId="77777777" w:rsidTr="0046766F">
        <w:trPr>
          <w:jc w:val="center"/>
        </w:trPr>
        <w:tc>
          <w:tcPr>
            <w:tcW w:w="2959" w:type="dxa"/>
            <w:shd w:val="clear" w:color="auto" w:fill="auto"/>
          </w:tcPr>
          <w:p w14:paraId="5208F975" w14:textId="2ED1E641" w:rsidR="00576A16" w:rsidRPr="0034527B" w:rsidRDefault="00576A16" w:rsidP="008F21C4">
            <w:pPr>
              <w:pStyle w:val="ExhibitText"/>
              <w:rPr>
                <w:rFonts w:eastAsia="Calibri"/>
                <w:lang w:val="en-GB"/>
              </w:rPr>
            </w:pPr>
            <w:r w:rsidRPr="0034527B">
              <w:rPr>
                <w:rFonts w:eastAsia="Calibri"/>
                <w:lang w:val="en-GB"/>
              </w:rPr>
              <w:t>Drug</w:t>
            </w:r>
            <w:r w:rsidR="00B96E14">
              <w:rPr>
                <w:rFonts w:eastAsia="Calibri"/>
                <w:lang w:val="en-GB"/>
              </w:rPr>
              <w:t>s</w:t>
            </w:r>
            <w:r w:rsidRPr="0034527B">
              <w:rPr>
                <w:rFonts w:eastAsia="Calibri"/>
                <w:lang w:val="en-GB"/>
              </w:rPr>
              <w:t xml:space="preserve">tore </w:t>
            </w:r>
            <w:r w:rsidR="00C57F4D" w:rsidRPr="0034527B">
              <w:rPr>
                <w:rFonts w:eastAsia="Calibri"/>
                <w:lang w:val="en-GB"/>
              </w:rPr>
              <w:t>S</w:t>
            </w:r>
            <w:r w:rsidRPr="0034527B">
              <w:rPr>
                <w:rFonts w:eastAsia="Calibri"/>
                <w:lang w:val="en-GB"/>
              </w:rPr>
              <w:t>alespeople</w:t>
            </w:r>
          </w:p>
        </w:tc>
        <w:tc>
          <w:tcPr>
            <w:tcW w:w="2957" w:type="dxa"/>
            <w:shd w:val="clear" w:color="auto" w:fill="auto"/>
          </w:tcPr>
          <w:p w14:paraId="3D56D000" w14:textId="77777777" w:rsidR="00576A16" w:rsidRPr="0034527B" w:rsidRDefault="00576A16" w:rsidP="00576A16">
            <w:pPr>
              <w:pStyle w:val="ExhibitText"/>
              <w:jc w:val="right"/>
              <w:rPr>
                <w:rFonts w:eastAsia="Calibri"/>
                <w:lang w:val="en-GB"/>
              </w:rPr>
            </w:pPr>
            <w:r w:rsidRPr="0034527B">
              <w:rPr>
                <w:rFonts w:eastAsia="Calibri"/>
                <w:lang w:val="en-GB"/>
              </w:rPr>
              <w:t>6.4</w:t>
            </w:r>
          </w:p>
        </w:tc>
        <w:tc>
          <w:tcPr>
            <w:tcW w:w="2539" w:type="dxa"/>
            <w:shd w:val="clear" w:color="auto" w:fill="auto"/>
          </w:tcPr>
          <w:p w14:paraId="46766951" w14:textId="77777777" w:rsidR="00576A16" w:rsidRPr="0034527B" w:rsidRDefault="00576A16" w:rsidP="00576A16">
            <w:pPr>
              <w:pStyle w:val="ExhibitText"/>
              <w:jc w:val="right"/>
              <w:rPr>
                <w:rFonts w:eastAsia="Calibri"/>
                <w:lang w:val="en-GB"/>
              </w:rPr>
            </w:pPr>
            <w:r w:rsidRPr="0034527B">
              <w:rPr>
                <w:rFonts w:eastAsia="Calibri"/>
                <w:lang w:val="en-GB"/>
              </w:rPr>
              <w:t>&lt;2</w:t>
            </w:r>
          </w:p>
        </w:tc>
      </w:tr>
      <w:tr w:rsidR="00576A16" w:rsidRPr="0034527B" w14:paraId="1B0C00B5" w14:textId="77777777" w:rsidTr="0046766F">
        <w:trPr>
          <w:jc w:val="center"/>
        </w:trPr>
        <w:tc>
          <w:tcPr>
            <w:tcW w:w="2959" w:type="dxa"/>
            <w:shd w:val="clear" w:color="auto" w:fill="auto"/>
          </w:tcPr>
          <w:p w14:paraId="3B6D7C73" w14:textId="3D381F1F" w:rsidR="00576A16" w:rsidRPr="0034527B" w:rsidRDefault="00576A16" w:rsidP="008F21C4">
            <w:pPr>
              <w:pStyle w:val="ExhibitText"/>
              <w:rPr>
                <w:rFonts w:eastAsia="Calibri"/>
                <w:lang w:val="en-GB"/>
              </w:rPr>
            </w:pPr>
            <w:r w:rsidRPr="0034527B">
              <w:rPr>
                <w:rFonts w:eastAsia="Calibri"/>
                <w:lang w:val="en-GB"/>
              </w:rPr>
              <w:t xml:space="preserve">Traditional Birth </w:t>
            </w:r>
            <w:r w:rsidR="00C57F4D" w:rsidRPr="0034527B">
              <w:rPr>
                <w:rFonts w:eastAsia="Calibri"/>
                <w:lang w:val="en-GB"/>
              </w:rPr>
              <w:t>A</w:t>
            </w:r>
            <w:r w:rsidRPr="0034527B">
              <w:rPr>
                <w:rFonts w:eastAsia="Calibri"/>
                <w:lang w:val="en-GB"/>
              </w:rPr>
              <w:t xml:space="preserve">ttendants </w:t>
            </w:r>
          </w:p>
        </w:tc>
        <w:tc>
          <w:tcPr>
            <w:tcW w:w="2957" w:type="dxa"/>
            <w:shd w:val="clear" w:color="auto" w:fill="auto"/>
          </w:tcPr>
          <w:p w14:paraId="724C1361" w14:textId="77777777" w:rsidR="00576A16" w:rsidRPr="0034527B" w:rsidRDefault="00576A16" w:rsidP="00576A16">
            <w:pPr>
              <w:pStyle w:val="ExhibitText"/>
              <w:jc w:val="right"/>
              <w:rPr>
                <w:rFonts w:eastAsia="Calibri"/>
                <w:lang w:val="en-GB"/>
              </w:rPr>
            </w:pPr>
            <w:r w:rsidRPr="0034527B">
              <w:rPr>
                <w:rFonts w:eastAsia="Calibri"/>
                <w:lang w:val="en-GB"/>
              </w:rPr>
              <w:t>24.8</w:t>
            </w:r>
          </w:p>
        </w:tc>
        <w:tc>
          <w:tcPr>
            <w:tcW w:w="2539" w:type="dxa"/>
            <w:shd w:val="clear" w:color="auto" w:fill="auto"/>
          </w:tcPr>
          <w:p w14:paraId="6B9054A4" w14:textId="77777777" w:rsidR="00576A16" w:rsidRPr="0034527B" w:rsidRDefault="00576A16" w:rsidP="00576A16">
            <w:pPr>
              <w:pStyle w:val="ExhibitText"/>
              <w:jc w:val="right"/>
              <w:rPr>
                <w:rFonts w:eastAsia="Calibri"/>
                <w:lang w:val="en-GB"/>
              </w:rPr>
            </w:pPr>
            <w:r w:rsidRPr="0034527B">
              <w:rPr>
                <w:rFonts w:eastAsia="Calibri"/>
                <w:lang w:val="en-GB"/>
              </w:rPr>
              <w:t>&lt;2</w:t>
            </w:r>
          </w:p>
        </w:tc>
      </w:tr>
      <w:tr w:rsidR="00576A16" w:rsidRPr="0034527B" w14:paraId="398E639B" w14:textId="77777777" w:rsidTr="0046766F">
        <w:trPr>
          <w:jc w:val="center"/>
        </w:trPr>
        <w:tc>
          <w:tcPr>
            <w:tcW w:w="2959" w:type="dxa"/>
            <w:shd w:val="clear" w:color="auto" w:fill="auto"/>
          </w:tcPr>
          <w:p w14:paraId="3683CD3C" w14:textId="2D0EB0A5" w:rsidR="00576A16" w:rsidRPr="0034527B" w:rsidRDefault="00576A16" w:rsidP="008F21C4">
            <w:pPr>
              <w:pStyle w:val="ExhibitText"/>
              <w:rPr>
                <w:rFonts w:eastAsia="Calibri"/>
                <w:lang w:val="en-GB"/>
              </w:rPr>
            </w:pPr>
            <w:r w:rsidRPr="0034527B">
              <w:rPr>
                <w:rFonts w:eastAsia="Calibri"/>
                <w:lang w:val="en-GB"/>
              </w:rPr>
              <w:t xml:space="preserve">Traditional </w:t>
            </w:r>
            <w:r w:rsidR="00C57F4D" w:rsidRPr="0034527B">
              <w:rPr>
                <w:rFonts w:eastAsia="Calibri"/>
                <w:lang w:val="en-GB"/>
              </w:rPr>
              <w:t>H</w:t>
            </w:r>
            <w:r w:rsidRPr="0034527B">
              <w:rPr>
                <w:rFonts w:eastAsia="Calibri"/>
                <w:lang w:val="en-GB"/>
              </w:rPr>
              <w:t>ealers</w:t>
            </w:r>
          </w:p>
        </w:tc>
        <w:tc>
          <w:tcPr>
            <w:tcW w:w="2957" w:type="dxa"/>
            <w:shd w:val="clear" w:color="auto" w:fill="auto"/>
          </w:tcPr>
          <w:p w14:paraId="79655A73" w14:textId="77777777" w:rsidR="00576A16" w:rsidRPr="0034527B" w:rsidRDefault="00576A16" w:rsidP="00576A16">
            <w:pPr>
              <w:pStyle w:val="ExhibitText"/>
              <w:jc w:val="right"/>
              <w:rPr>
                <w:rFonts w:eastAsia="Calibri"/>
                <w:lang w:val="en-GB"/>
              </w:rPr>
            </w:pPr>
            <w:r w:rsidRPr="0034527B">
              <w:rPr>
                <w:rFonts w:eastAsia="Calibri"/>
                <w:lang w:val="en-GB"/>
              </w:rPr>
              <w:t>48.6</w:t>
            </w:r>
          </w:p>
        </w:tc>
        <w:tc>
          <w:tcPr>
            <w:tcW w:w="2539" w:type="dxa"/>
            <w:shd w:val="clear" w:color="auto" w:fill="auto"/>
          </w:tcPr>
          <w:p w14:paraId="404BDDF2" w14:textId="77777777" w:rsidR="00576A16" w:rsidRPr="0034527B" w:rsidRDefault="00576A16" w:rsidP="00576A16">
            <w:pPr>
              <w:pStyle w:val="ExhibitText"/>
              <w:jc w:val="right"/>
              <w:rPr>
                <w:rFonts w:eastAsia="Calibri"/>
                <w:lang w:val="en-GB"/>
              </w:rPr>
            </w:pPr>
            <w:r w:rsidRPr="0034527B">
              <w:rPr>
                <w:rFonts w:eastAsia="Calibri"/>
                <w:lang w:val="en-GB"/>
              </w:rPr>
              <w:t>&lt;2</w:t>
            </w:r>
          </w:p>
        </w:tc>
      </w:tr>
      <w:tr w:rsidR="00576A16" w:rsidRPr="0034527B" w14:paraId="232A83EB" w14:textId="77777777" w:rsidTr="0046766F">
        <w:trPr>
          <w:jc w:val="center"/>
        </w:trPr>
        <w:tc>
          <w:tcPr>
            <w:tcW w:w="2959" w:type="dxa"/>
            <w:shd w:val="clear" w:color="auto" w:fill="auto"/>
          </w:tcPr>
          <w:p w14:paraId="26901138" w14:textId="77777777" w:rsidR="00576A16" w:rsidRPr="0034527B" w:rsidRDefault="00576A16" w:rsidP="00576A16">
            <w:pPr>
              <w:pStyle w:val="ExhibitText"/>
              <w:rPr>
                <w:rFonts w:eastAsia="Calibri"/>
                <w:lang w:val="en-GB"/>
              </w:rPr>
            </w:pPr>
            <w:r w:rsidRPr="0034527B">
              <w:rPr>
                <w:rFonts w:eastAsia="Calibri"/>
                <w:lang w:val="en-GB"/>
              </w:rPr>
              <w:t>Homeopaths</w:t>
            </w:r>
          </w:p>
        </w:tc>
        <w:tc>
          <w:tcPr>
            <w:tcW w:w="2957" w:type="dxa"/>
            <w:shd w:val="clear" w:color="auto" w:fill="auto"/>
          </w:tcPr>
          <w:p w14:paraId="7FF157FF" w14:textId="77777777" w:rsidR="00576A16" w:rsidRPr="0034527B" w:rsidRDefault="00576A16" w:rsidP="00576A16">
            <w:pPr>
              <w:pStyle w:val="ExhibitText"/>
              <w:jc w:val="right"/>
              <w:rPr>
                <w:rFonts w:eastAsia="Calibri"/>
                <w:lang w:val="en-GB"/>
              </w:rPr>
            </w:pPr>
            <w:r w:rsidRPr="0034527B">
              <w:rPr>
                <w:rFonts w:eastAsia="Calibri"/>
                <w:lang w:val="en-GB"/>
              </w:rPr>
              <w:t>3.3</w:t>
            </w:r>
          </w:p>
        </w:tc>
        <w:tc>
          <w:tcPr>
            <w:tcW w:w="2539" w:type="dxa"/>
            <w:shd w:val="clear" w:color="auto" w:fill="auto"/>
          </w:tcPr>
          <w:p w14:paraId="68C9DCDA" w14:textId="77777777" w:rsidR="00576A16" w:rsidRPr="0034527B" w:rsidRDefault="00576A16" w:rsidP="00576A16">
            <w:pPr>
              <w:pStyle w:val="ExhibitText"/>
              <w:jc w:val="right"/>
              <w:rPr>
                <w:rFonts w:eastAsia="Calibri"/>
                <w:lang w:val="en-GB"/>
              </w:rPr>
            </w:pPr>
            <w:r w:rsidRPr="0034527B">
              <w:rPr>
                <w:rFonts w:eastAsia="Calibri"/>
                <w:lang w:val="en-GB"/>
              </w:rPr>
              <w:t>2-5</w:t>
            </w:r>
          </w:p>
        </w:tc>
      </w:tr>
      <w:tr w:rsidR="00576A16" w:rsidRPr="0034527B" w14:paraId="6D693708" w14:textId="77777777" w:rsidTr="0046766F">
        <w:trPr>
          <w:jc w:val="center"/>
        </w:trPr>
        <w:tc>
          <w:tcPr>
            <w:tcW w:w="2959" w:type="dxa"/>
            <w:shd w:val="clear" w:color="auto" w:fill="auto"/>
          </w:tcPr>
          <w:p w14:paraId="3113975A" w14:textId="279B6F40" w:rsidR="00576A16" w:rsidRPr="0034527B" w:rsidRDefault="00576A16" w:rsidP="008F21C4">
            <w:pPr>
              <w:pStyle w:val="ExhibitText"/>
              <w:rPr>
                <w:rFonts w:eastAsia="Calibri"/>
                <w:lang w:val="en-GB"/>
              </w:rPr>
            </w:pPr>
            <w:r w:rsidRPr="0034527B">
              <w:rPr>
                <w:rFonts w:eastAsia="Calibri"/>
                <w:lang w:val="en-GB"/>
              </w:rPr>
              <w:t>C</w:t>
            </w:r>
            <w:r w:rsidR="00C57F4D" w:rsidRPr="0034527B">
              <w:rPr>
                <w:rFonts w:eastAsia="Calibri"/>
                <w:lang w:val="en-GB"/>
              </w:rPr>
              <w:t xml:space="preserve">ommunity </w:t>
            </w:r>
            <w:r w:rsidRPr="0034527B">
              <w:rPr>
                <w:rFonts w:eastAsia="Calibri"/>
                <w:lang w:val="en-GB"/>
              </w:rPr>
              <w:t>H</w:t>
            </w:r>
            <w:r w:rsidR="00C57F4D" w:rsidRPr="0034527B">
              <w:rPr>
                <w:rFonts w:eastAsia="Calibri"/>
                <w:lang w:val="en-GB"/>
              </w:rPr>
              <w:t xml:space="preserve">ealth </w:t>
            </w:r>
            <w:r w:rsidRPr="0034527B">
              <w:rPr>
                <w:rFonts w:eastAsia="Calibri"/>
                <w:lang w:val="en-GB"/>
              </w:rPr>
              <w:t>W</w:t>
            </w:r>
            <w:r w:rsidR="00C57F4D" w:rsidRPr="0034527B">
              <w:rPr>
                <w:rFonts w:eastAsia="Calibri"/>
                <w:lang w:val="en-GB"/>
              </w:rPr>
              <w:t>orkers</w:t>
            </w:r>
          </w:p>
        </w:tc>
        <w:tc>
          <w:tcPr>
            <w:tcW w:w="2957" w:type="dxa"/>
            <w:shd w:val="clear" w:color="auto" w:fill="auto"/>
          </w:tcPr>
          <w:p w14:paraId="57A22E63" w14:textId="77777777" w:rsidR="00576A16" w:rsidRPr="0034527B" w:rsidRDefault="00576A16" w:rsidP="00576A16">
            <w:pPr>
              <w:pStyle w:val="ExhibitText"/>
              <w:jc w:val="right"/>
              <w:rPr>
                <w:rFonts w:eastAsia="Calibri"/>
                <w:lang w:val="en-GB"/>
              </w:rPr>
            </w:pPr>
            <w:r w:rsidRPr="0034527B">
              <w:rPr>
                <w:rFonts w:eastAsia="Calibri"/>
                <w:lang w:val="en-GB"/>
              </w:rPr>
              <w:t>6.5</w:t>
            </w:r>
          </w:p>
        </w:tc>
        <w:tc>
          <w:tcPr>
            <w:tcW w:w="2539" w:type="dxa"/>
            <w:shd w:val="clear" w:color="auto" w:fill="auto"/>
          </w:tcPr>
          <w:p w14:paraId="03DA6BE1" w14:textId="77777777" w:rsidR="00576A16" w:rsidRPr="0034527B" w:rsidRDefault="00576A16" w:rsidP="00576A16">
            <w:pPr>
              <w:pStyle w:val="ExhibitText"/>
              <w:jc w:val="right"/>
              <w:rPr>
                <w:rFonts w:eastAsia="Calibri"/>
                <w:lang w:val="en-GB"/>
              </w:rPr>
            </w:pPr>
            <w:r w:rsidRPr="0034527B">
              <w:rPr>
                <w:rFonts w:eastAsia="Calibri"/>
                <w:lang w:val="en-GB"/>
              </w:rPr>
              <w:t>&lt;2</w:t>
            </w:r>
          </w:p>
        </w:tc>
      </w:tr>
      <w:tr w:rsidR="00576A16" w:rsidRPr="0034527B" w14:paraId="163E5BCB" w14:textId="77777777" w:rsidTr="0046766F">
        <w:trPr>
          <w:jc w:val="center"/>
        </w:trPr>
        <w:tc>
          <w:tcPr>
            <w:tcW w:w="2959" w:type="dxa"/>
            <w:shd w:val="clear" w:color="auto" w:fill="auto"/>
          </w:tcPr>
          <w:p w14:paraId="787112C2" w14:textId="77777777" w:rsidR="00576A16" w:rsidRPr="0034527B" w:rsidRDefault="00576A16" w:rsidP="00576A16">
            <w:pPr>
              <w:pStyle w:val="ExhibitText"/>
              <w:rPr>
                <w:rFonts w:eastAsia="Calibri"/>
                <w:lang w:val="en-GB"/>
              </w:rPr>
            </w:pPr>
            <w:r w:rsidRPr="0034527B">
              <w:rPr>
                <w:rFonts w:eastAsia="Calibri"/>
                <w:lang w:val="en-GB"/>
              </w:rPr>
              <w:t>Total*</w:t>
            </w:r>
          </w:p>
        </w:tc>
        <w:tc>
          <w:tcPr>
            <w:tcW w:w="2957" w:type="dxa"/>
            <w:shd w:val="clear" w:color="auto" w:fill="auto"/>
          </w:tcPr>
          <w:p w14:paraId="24E98933" w14:textId="77777777" w:rsidR="00576A16" w:rsidRPr="0034527B" w:rsidRDefault="00576A16" w:rsidP="00576A16">
            <w:pPr>
              <w:pStyle w:val="ExhibitText"/>
              <w:jc w:val="right"/>
              <w:rPr>
                <w:rFonts w:eastAsia="Calibri"/>
                <w:lang w:val="en-GB"/>
              </w:rPr>
            </w:pPr>
            <w:r w:rsidRPr="0034527B">
              <w:rPr>
                <w:rFonts w:eastAsia="Calibri"/>
                <w:lang w:val="en-GB"/>
              </w:rPr>
              <w:t>100</w:t>
            </w:r>
          </w:p>
        </w:tc>
        <w:tc>
          <w:tcPr>
            <w:tcW w:w="2539" w:type="dxa"/>
            <w:shd w:val="clear" w:color="auto" w:fill="auto"/>
          </w:tcPr>
          <w:p w14:paraId="2E413295" w14:textId="77777777" w:rsidR="00576A16" w:rsidRPr="0034527B" w:rsidRDefault="00576A16" w:rsidP="00576A16">
            <w:pPr>
              <w:pStyle w:val="ExhibitText"/>
              <w:jc w:val="right"/>
              <w:rPr>
                <w:rFonts w:eastAsia="Calibri"/>
                <w:lang w:val="en-GB"/>
              </w:rPr>
            </w:pPr>
          </w:p>
        </w:tc>
      </w:tr>
    </w:tbl>
    <w:p w14:paraId="7154302B" w14:textId="77777777" w:rsidR="00576A16" w:rsidRPr="0034527B" w:rsidRDefault="00576A16" w:rsidP="00576A16">
      <w:pPr>
        <w:pStyle w:val="BodyTextMain"/>
        <w:rPr>
          <w:rFonts w:eastAsia="Calibri"/>
          <w:lang w:val="en-GB"/>
        </w:rPr>
      </w:pPr>
    </w:p>
    <w:p w14:paraId="45C8CF04" w14:textId="115536F4" w:rsidR="00576A16" w:rsidRPr="0034527B" w:rsidRDefault="00C57F4D" w:rsidP="00576A16">
      <w:pPr>
        <w:pStyle w:val="Footnote"/>
        <w:rPr>
          <w:rFonts w:eastAsia="Calibri"/>
          <w:w w:val="105"/>
          <w:lang w:val="en-GB"/>
        </w:rPr>
      </w:pPr>
      <w:r w:rsidRPr="0034527B">
        <w:rPr>
          <w:rFonts w:eastAsia="Calibri"/>
          <w:w w:val="105"/>
          <w:lang w:val="en-GB"/>
        </w:rPr>
        <w:t xml:space="preserve">Note: </w:t>
      </w:r>
      <w:r w:rsidR="00576A16" w:rsidRPr="0034527B">
        <w:rPr>
          <w:rFonts w:eastAsia="Calibri"/>
          <w:w w:val="105"/>
          <w:lang w:val="en-GB"/>
        </w:rPr>
        <w:t>*Some health</w:t>
      </w:r>
      <w:r w:rsidRPr="0034527B">
        <w:rPr>
          <w:rFonts w:eastAsia="Calibri"/>
          <w:w w:val="105"/>
          <w:lang w:val="en-GB"/>
        </w:rPr>
        <w:t xml:space="preserve"> </w:t>
      </w:r>
      <w:r w:rsidR="00576A16" w:rsidRPr="0034527B">
        <w:rPr>
          <w:rFonts w:eastAsia="Calibri"/>
          <w:w w:val="105"/>
          <w:lang w:val="en-GB"/>
        </w:rPr>
        <w:t xml:space="preserve">care service providers </w:t>
      </w:r>
      <w:r w:rsidRPr="0034527B">
        <w:rPr>
          <w:rFonts w:eastAsia="Calibri"/>
          <w:w w:val="105"/>
          <w:lang w:val="en-GB"/>
        </w:rPr>
        <w:t>have</w:t>
      </w:r>
      <w:r w:rsidR="00576A16" w:rsidRPr="0034527B">
        <w:rPr>
          <w:rFonts w:eastAsia="Calibri"/>
          <w:w w:val="105"/>
          <w:lang w:val="en-GB"/>
        </w:rPr>
        <w:t xml:space="preserve"> not</w:t>
      </w:r>
      <w:r w:rsidRPr="0034527B">
        <w:rPr>
          <w:rFonts w:eastAsia="Calibri"/>
          <w:w w:val="105"/>
          <w:lang w:val="en-GB"/>
        </w:rPr>
        <w:t xml:space="preserve"> been</w:t>
      </w:r>
      <w:r w:rsidR="00576A16" w:rsidRPr="0034527B">
        <w:rPr>
          <w:rFonts w:eastAsia="Calibri"/>
          <w:w w:val="105"/>
          <w:lang w:val="en-GB"/>
        </w:rPr>
        <w:t xml:space="preserve"> included and so </w:t>
      </w:r>
      <w:r w:rsidRPr="0034527B">
        <w:rPr>
          <w:rFonts w:eastAsia="Calibri"/>
          <w:w w:val="105"/>
          <w:lang w:val="en-GB"/>
        </w:rPr>
        <w:t xml:space="preserve">the </w:t>
      </w:r>
      <w:r w:rsidR="00576A16" w:rsidRPr="0034527B">
        <w:rPr>
          <w:rFonts w:eastAsia="Calibri"/>
          <w:w w:val="105"/>
          <w:lang w:val="en-GB"/>
        </w:rPr>
        <w:t xml:space="preserve">total does not </w:t>
      </w:r>
      <w:r w:rsidRPr="0034527B">
        <w:rPr>
          <w:rFonts w:eastAsia="Calibri"/>
          <w:w w:val="105"/>
          <w:lang w:val="en-GB"/>
        </w:rPr>
        <w:t>add up</w:t>
      </w:r>
      <w:r w:rsidR="00576A16" w:rsidRPr="0034527B">
        <w:rPr>
          <w:rFonts w:eastAsia="Calibri"/>
          <w:w w:val="105"/>
          <w:lang w:val="en-GB"/>
        </w:rPr>
        <w:t xml:space="preserve"> to 100.</w:t>
      </w:r>
    </w:p>
    <w:p w14:paraId="43BAADC9" w14:textId="74433FA5" w:rsidR="00576A16" w:rsidRPr="0034527B" w:rsidRDefault="003658DE" w:rsidP="00576A16">
      <w:pPr>
        <w:pStyle w:val="Footnote"/>
        <w:rPr>
          <w:lang w:val="en-GB"/>
        </w:rPr>
      </w:pPr>
      <w:r w:rsidRPr="0034527B">
        <w:rPr>
          <w:rFonts w:eastAsia="Calibri"/>
          <w:w w:val="105"/>
          <w:lang w:val="en-GB"/>
        </w:rPr>
        <w:t>Source: Bangladesh Health Watch</w:t>
      </w:r>
      <w:r w:rsidR="00DC2F7E">
        <w:t>, Department for International Development, “</w:t>
      </w:r>
      <w:r w:rsidRPr="00AB2A6D">
        <w:rPr>
          <w:lang w:val="en-GB"/>
        </w:rPr>
        <w:t>The State of Health in Bangladesh 2007: Health Workforce in Bangladesh, Who Constitutes the Health Care System?</w:t>
      </w:r>
      <w:r w:rsidR="00DC2F7E">
        <w:rPr>
          <w:lang w:val="en-GB"/>
        </w:rPr>
        <w:t>,”</w:t>
      </w:r>
      <w:r w:rsidRPr="0034527B">
        <w:rPr>
          <w:i/>
          <w:lang w:val="en-GB"/>
        </w:rPr>
        <w:t xml:space="preserve"> </w:t>
      </w:r>
      <w:r w:rsidRPr="0034527B">
        <w:rPr>
          <w:lang w:val="en-GB"/>
        </w:rPr>
        <w:t>James P. Grant School of Public Health, BRAC University, 2008</w:t>
      </w:r>
      <w:r w:rsidR="00B96E14">
        <w:rPr>
          <w:lang w:val="en-GB"/>
        </w:rPr>
        <w:t>,</w:t>
      </w:r>
      <w:r w:rsidRPr="0034527B">
        <w:rPr>
          <w:rFonts w:eastAsia="Calibri"/>
          <w:w w:val="105"/>
          <w:lang w:val="en-GB"/>
        </w:rPr>
        <w:t xml:space="preserve"> 8–9.</w:t>
      </w:r>
    </w:p>
    <w:p w14:paraId="6BA9CFFC" w14:textId="77777777" w:rsidR="00576A16" w:rsidRPr="0034527B" w:rsidRDefault="00576A16" w:rsidP="00FA1E6A">
      <w:pPr>
        <w:pStyle w:val="BodyTextMain"/>
        <w:rPr>
          <w:lang w:val="en-GB"/>
        </w:rPr>
      </w:pPr>
    </w:p>
    <w:p w14:paraId="5C4B37C3" w14:textId="77777777" w:rsidR="00D509B5" w:rsidRPr="0034527B" w:rsidRDefault="00D509B5" w:rsidP="00FA1E6A">
      <w:pPr>
        <w:pStyle w:val="BodyTextMain"/>
        <w:rPr>
          <w:lang w:val="en-GB"/>
        </w:rPr>
      </w:pPr>
    </w:p>
    <w:p w14:paraId="1A5D89F8" w14:textId="5667C91A" w:rsidR="00D509B5" w:rsidRPr="0034527B" w:rsidRDefault="00D509B5" w:rsidP="00D509B5">
      <w:pPr>
        <w:pStyle w:val="ExhibitHeading"/>
        <w:rPr>
          <w:rFonts w:eastAsia="Calibri"/>
          <w:w w:val="105"/>
          <w:lang w:val="en-GB"/>
        </w:rPr>
      </w:pPr>
      <w:r w:rsidRPr="0034527B">
        <w:rPr>
          <w:rFonts w:eastAsia="Calibri"/>
          <w:lang w:val="en-GB"/>
        </w:rPr>
        <w:t xml:space="preserve">Exhibit 9: </w:t>
      </w:r>
      <w:r w:rsidRPr="0034527B">
        <w:rPr>
          <w:rFonts w:eastAsia="Calibri"/>
          <w:w w:val="105"/>
          <w:lang w:val="en-GB"/>
        </w:rPr>
        <w:t>Health care service providers’ household income (%)</w:t>
      </w:r>
    </w:p>
    <w:p w14:paraId="1182A9FE" w14:textId="77777777" w:rsidR="00D509B5" w:rsidRPr="0034527B" w:rsidRDefault="00D509B5" w:rsidP="00D509B5">
      <w:pPr>
        <w:pStyle w:val="BodyTextMain"/>
        <w:rPr>
          <w:rFonts w:eastAsia="Calibri"/>
          <w:w w:val="105"/>
          <w:sz w:val="20"/>
          <w:lang w:val="en-GB"/>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021"/>
        <w:gridCol w:w="1105"/>
        <w:gridCol w:w="1559"/>
        <w:gridCol w:w="992"/>
        <w:gridCol w:w="851"/>
        <w:gridCol w:w="1006"/>
        <w:gridCol w:w="1021"/>
      </w:tblGrid>
      <w:tr w:rsidR="00D509B5" w:rsidRPr="0034527B" w14:paraId="075A6439" w14:textId="77777777" w:rsidTr="00AD2C8E">
        <w:trPr>
          <w:cantSplit/>
          <w:trHeight w:val="1385"/>
          <w:jc w:val="center"/>
        </w:trPr>
        <w:tc>
          <w:tcPr>
            <w:tcW w:w="1418" w:type="dxa"/>
            <w:shd w:val="clear" w:color="auto" w:fill="auto"/>
            <w:textDirection w:val="tbRl"/>
          </w:tcPr>
          <w:p w14:paraId="5CC01FE8"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Monthly household income (taka)</w:t>
            </w:r>
          </w:p>
        </w:tc>
        <w:tc>
          <w:tcPr>
            <w:tcW w:w="1021" w:type="dxa"/>
            <w:shd w:val="clear" w:color="auto" w:fill="auto"/>
            <w:textDirection w:val="tbRl"/>
          </w:tcPr>
          <w:p w14:paraId="5194EEAE"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Allopathic para-</w:t>
            </w:r>
          </w:p>
          <w:p w14:paraId="59957C86"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professional</w:t>
            </w:r>
          </w:p>
        </w:tc>
        <w:tc>
          <w:tcPr>
            <w:tcW w:w="1105" w:type="dxa"/>
            <w:shd w:val="clear" w:color="auto" w:fill="auto"/>
            <w:textDirection w:val="tbRl"/>
          </w:tcPr>
          <w:p w14:paraId="56D70F6C"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Community health workers</w:t>
            </w:r>
          </w:p>
        </w:tc>
        <w:tc>
          <w:tcPr>
            <w:tcW w:w="1559" w:type="dxa"/>
            <w:shd w:val="clear" w:color="auto" w:fill="auto"/>
            <w:textDirection w:val="tbRl"/>
          </w:tcPr>
          <w:p w14:paraId="13778DE9"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Rural medical practitioners (village doctors)</w:t>
            </w:r>
          </w:p>
        </w:tc>
        <w:tc>
          <w:tcPr>
            <w:tcW w:w="992" w:type="dxa"/>
            <w:textDirection w:val="tbRl"/>
          </w:tcPr>
          <w:p w14:paraId="6C8BD7CB"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Homeopaths</w:t>
            </w:r>
          </w:p>
        </w:tc>
        <w:tc>
          <w:tcPr>
            <w:tcW w:w="851" w:type="dxa"/>
            <w:shd w:val="clear" w:color="auto" w:fill="auto"/>
            <w:textDirection w:val="tbRl"/>
          </w:tcPr>
          <w:p w14:paraId="4BE270C5"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Birth attendants</w:t>
            </w:r>
          </w:p>
        </w:tc>
        <w:tc>
          <w:tcPr>
            <w:tcW w:w="1006" w:type="dxa"/>
            <w:shd w:val="clear" w:color="auto" w:fill="auto"/>
            <w:textDirection w:val="tbRl"/>
          </w:tcPr>
          <w:p w14:paraId="490D104E" w14:textId="77777777"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Herbalists and faith healers</w:t>
            </w:r>
          </w:p>
        </w:tc>
        <w:tc>
          <w:tcPr>
            <w:tcW w:w="1021" w:type="dxa"/>
            <w:textDirection w:val="tbRl"/>
          </w:tcPr>
          <w:p w14:paraId="153758E7" w14:textId="52ED955A" w:rsidR="00D509B5" w:rsidRPr="0034527B" w:rsidRDefault="00D509B5" w:rsidP="00AD2C8E">
            <w:pPr>
              <w:pStyle w:val="ExhibitText"/>
              <w:ind w:left="113" w:right="113"/>
              <w:rPr>
                <w:rFonts w:eastAsia="Calibri"/>
                <w:b/>
                <w:w w:val="105"/>
                <w:sz w:val="18"/>
                <w:szCs w:val="18"/>
                <w:lang w:val="en-GB"/>
              </w:rPr>
            </w:pPr>
            <w:r w:rsidRPr="0034527B">
              <w:rPr>
                <w:rFonts w:eastAsia="Calibri"/>
                <w:b/>
                <w:w w:val="105"/>
                <w:sz w:val="18"/>
                <w:szCs w:val="18"/>
                <w:lang w:val="en-GB"/>
              </w:rPr>
              <w:t>Drugstore salespeople</w:t>
            </w:r>
          </w:p>
        </w:tc>
      </w:tr>
      <w:tr w:rsidR="00D509B5" w:rsidRPr="0034527B" w14:paraId="3644D4EE" w14:textId="77777777" w:rsidTr="00AD2C8E">
        <w:trPr>
          <w:trHeight w:val="425"/>
          <w:jc w:val="center"/>
        </w:trPr>
        <w:tc>
          <w:tcPr>
            <w:tcW w:w="1418" w:type="dxa"/>
            <w:shd w:val="clear" w:color="auto" w:fill="auto"/>
          </w:tcPr>
          <w:p w14:paraId="31C38B11" w14:textId="77777777" w:rsidR="00D509B5" w:rsidRPr="0034527B" w:rsidRDefault="00D509B5" w:rsidP="00AD2C8E">
            <w:pPr>
              <w:pStyle w:val="ExhibitText"/>
              <w:jc w:val="left"/>
              <w:rPr>
                <w:rFonts w:eastAsia="Calibri"/>
                <w:b/>
                <w:w w:val="105"/>
                <w:sz w:val="18"/>
                <w:szCs w:val="18"/>
                <w:lang w:val="en-GB"/>
              </w:rPr>
            </w:pPr>
            <w:r w:rsidRPr="0034527B">
              <w:rPr>
                <w:rFonts w:eastAsia="Calibri"/>
                <w:b/>
                <w:w w:val="105"/>
                <w:sz w:val="18"/>
                <w:szCs w:val="18"/>
                <w:lang w:val="en-GB"/>
              </w:rPr>
              <w:t>Less than 5,000</w:t>
            </w:r>
          </w:p>
        </w:tc>
        <w:tc>
          <w:tcPr>
            <w:tcW w:w="1021" w:type="dxa"/>
            <w:shd w:val="clear" w:color="auto" w:fill="auto"/>
          </w:tcPr>
          <w:p w14:paraId="35BAD308"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11.1</w:t>
            </w:r>
          </w:p>
        </w:tc>
        <w:tc>
          <w:tcPr>
            <w:tcW w:w="1105" w:type="dxa"/>
            <w:shd w:val="clear" w:color="auto" w:fill="auto"/>
          </w:tcPr>
          <w:p w14:paraId="5B3EBB29"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30</w:t>
            </w:r>
          </w:p>
        </w:tc>
        <w:tc>
          <w:tcPr>
            <w:tcW w:w="1559" w:type="dxa"/>
            <w:shd w:val="clear" w:color="auto" w:fill="auto"/>
          </w:tcPr>
          <w:p w14:paraId="109F0B42"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24.1</w:t>
            </w:r>
          </w:p>
        </w:tc>
        <w:tc>
          <w:tcPr>
            <w:tcW w:w="992" w:type="dxa"/>
          </w:tcPr>
          <w:p w14:paraId="407FA404"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31.4</w:t>
            </w:r>
          </w:p>
        </w:tc>
        <w:tc>
          <w:tcPr>
            <w:tcW w:w="851" w:type="dxa"/>
            <w:shd w:val="clear" w:color="auto" w:fill="auto"/>
          </w:tcPr>
          <w:p w14:paraId="7BC3FA67"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65.4</w:t>
            </w:r>
          </w:p>
        </w:tc>
        <w:tc>
          <w:tcPr>
            <w:tcW w:w="1006" w:type="dxa"/>
            <w:shd w:val="clear" w:color="auto" w:fill="auto"/>
          </w:tcPr>
          <w:p w14:paraId="286A302A"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57.7</w:t>
            </w:r>
          </w:p>
        </w:tc>
        <w:tc>
          <w:tcPr>
            <w:tcW w:w="1021" w:type="dxa"/>
          </w:tcPr>
          <w:p w14:paraId="0CC680B8"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29.7</w:t>
            </w:r>
          </w:p>
        </w:tc>
      </w:tr>
      <w:tr w:rsidR="00D509B5" w:rsidRPr="0034527B" w14:paraId="662B2A07" w14:textId="77777777" w:rsidTr="00AD2C8E">
        <w:trPr>
          <w:trHeight w:val="359"/>
          <w:jc w:val="center"/>
        </w:trPr>
        <w:tc>
          <w:tcPr>
            <w:tcW w:w="1418" w:type="dxa"/>
            <w:shd w:val="clear" w:color="auto" w:fill="auto"/>
          </w:tcPr>
          <w:p w14:paraId="09A9903F" w14:textId="77777777" w:rsidR="00D509B5" w:rsidRPr="0034527B" w:rsidRDefault="00D509B5" w:rsidP="00AD2C8E">
            <w:pPr>
              <w:pStyle w:val="ExhibitText"/>
              <w:jc w:val="left"/>
              <w:rPr>
                <w:rFonts w:eastAsia="Calibri"/>
                <w:b/>
                <w:w w:val="105"/>
                <w:sz w:val="18"/>
                <w:szCs w:val="18"/>
                <w:lang w:val="en-GB"/>
              </w:rPr>
            </w:pPr>
            <w:r w:rsidRPr="0034527B">
              <w:rPr>
                <w:rFonts w:eastAsia="Calibri"/>
                <w:b/>
                <w:w w:val="105"/>
                <w:sz w:val="18"/>
                <w:szCs w:val="18"/>
                <w:lang w:val="en-GB"/>
              </w:rPr>
              <w:t>Between 5,000 and 10,000</w:t>
            </w:r>
          </w:p>
        </w:tc>
        <w:tc>
          <w:tcPr>
            <w:tcW w:w="1021" w:type="dxa"/>
            <w:shd w:val="clear" w:color="auto" w:fill="auto"/>
          </w:tcPr>
          <w:p w14:paraId="490F75F0"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7.4</w:t>
            </w:r>
          </w:p>
        </w:tc>
        <w:tc>
          <w:tcPr>
            <w:tcW w:w="1105" w:type="dxa"/>
            <w:shd w:val="clear" w:color="auto" w:fill="auto"/>
          </w:tcPr>
          <w:p w14:paraId="712C42BD"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35</w:t>
            </w:r>
          </w:p>
        </w:tc>
        <w:tc>
          <w:tcPr>
            <w:tcW w:w="1559" w:type="dxa"/>
            <w:shd w:val="clear" w:color="auto" w:fill="auto"/>
          </w:tcPr>
          <w:p w14:paraId="4A094299"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44.5</w:t>
            </w:r>
          </w:p>
        </w:tc>
        <w:tc>
          <w:tcPr>
            <w:tcW w:w="992" w:type="dxa"/>
          </w:tcPr>
          <w:p w14:paraId="604CBDD3"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38</w:t>
            </w:r>
          </w:p>
        </w:tc>
        <w:tc>
          <w:tcPr>
            <w:tcW w:w="851" w:type="dxa"/>
            <w:shd w:val="clear" w:color="auto" w:fill="auto"/>
          </w:tcPr>
          <w:p w14:paraId="7B1B241C"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25.3</w:t>
            </w:r>
          </w:p>
        </w:tc>
        <w:tc>
          <w:tcPr>
            <w:tcW w:w="1006" w:type="dxa"/>
            <w:shd w:val="clear" w:color="auto" w:fill="auto"/>
          </w:tcPr>
          <w:p w14:paraId="5B454BEB"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28.4</w:t>
            </w:r>
          </w:p>
        </w:tc>
        <w:tc>
          <w:tcPr>
            <w:tcW w:w="1021" w:type="dxa"/>
          </w:tcPr>
          <w:p w14:paraId="0C7E590E"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40.1</w:t>
            </w:r>
          </w:p>
        </w:tc>
      </w:tr>
      <w:tr w:rsidR="00D509B5" w:rsidRPr="0034527B" w14:paraId="64FD2681" w14:textId="77777777" w:rsidTr="00AD2C8E">
        <w:trPr>
          <w:trHeight w:val="278"/>
          <w:jc w:val="center"/>
        </w:trPr>
        <w:tc>
          <w:tcPr>
            <w:tcW w:w="1418" w:type="dxa"/>
            <w:shd w:val="clear" w:color="auto" w:fill="auto"/>
          </w:tcPr>
          <w:p w14:paraId="20F8345F" w14:textId="77777777" w:rsidR="00D509B5" w:rsidRPr="0034527B" w:rsidRDefault="00D509B5" w:rsidP="00AD2C8E">
            <w:pPr>
              <w:pStyle w:val="ExhibitText"/>
              <w:jc w:val="left"/>
              <w:rPr>
                <w:rFonts w:eastAsia="Calibri"/>
                <w:b/>
                <w:w w:val="105"/>
                <w:sz w:val="18"/>
                <w:szCs w:val="18"/>
                <w:lang w:val="en-GB"/>
              </w:rPr>
            </w:pPr>
            <w:r w:rsidRPr="0034527B">
              <w:rPr>
                <w:rFonts w:eastAsia="Calibri"/>
                <w:b/>
                <w:w w:val="105"/>
                <w:sz w:val="18"/>
                <w:szCs w:val="18"/>
                <w:lang w:val="en-GB"/>
              </w:rPr>
              <w:t>More than 10,000</w:t>
            </w:r>
          </w:p>
        </w:tc>
        <w:tc>
          <w:tcPr>
            <w:tcW w:w="1021" w:type="dxa"/>
            <w:shd w:val="clear" w:color="auto" w:fill="auto"/>
          </w:tcPr>
          <w:p w14:paraId="6CFDF494"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84.5</w:t>
            </w:r>
          </w:p>
        </w:tc>
        <w:tc>
          <w:tcPr>
            <w:tcW w:w="1105" w:type="dxa"/>
            <w:shd w:val="clear" w:color="auto" w:fill="auto"/>
          </w:tcPr>
          <w:p w14:paraId="659CCA53"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35</w:t>
            </w:r>
          </w:p>
        </w:tc>
        <w:tc>
          <w:tcPr>
            <w:tcW w:w="1559" w:type="dxa"/>
            <w:shd w:val="clear" w:color="auto" w:fill="auto"/>
          </w:tcPr>
          <w:p w14:paraId="4B0AB608"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31.4</w:t>
            </w:r>
          </w:p>
        </w:tc>
        <w:tc>
          <w:tcPr>
            <w:tcW w:w="992" w:type="dxa"/>
          </w:tcPr>
          <w:p w14:paraId="74F62F9D"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30.6</w:t>
            </w:r>
          </w:p>
        </w:tc>
        <w:tc>
          <w:tcPr>
            <w:tcW w:w="851" w:type="dxa"/>
            <w:shd w:val="clear" w:color="auto" w:fill="auto"/>
          </w:tcPr>
          <w:p w14:paraId="238D8AA8"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9.4</w:t>
            </w:r>
          </w:p>
        </w:tc>
        <w:tc>
          <w:tcPr>
            <w:tcW w:w="1006" w:type="dxa"/>
            <w:shd w:val="clear" w:color="auto" w:fill="auto"/>
          </w:tcPr>
          <w:p w14:paraId="080D02CF"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13.9</w:t>
            </w:r>
          </w:p>
        </w:tc>
        <w:tc>
          <w:tcPr>
            <w:tcW w:w="1021" w:type="dxa"/>
          </w:tcPr>
          <w:p w14:paraId="76318661" w14:textId="77777777" w:rsidR="00D509B5" w:rsidRPr="0034527B" w:rsidRDefault="00D509B5" w:rsidP="00AD2C8E">
            <w:pPr>
              <w:pStyle w:val="ExhibitText"/>
              <w:jc w:val="right"/>
              <w:rPr>
                <w:rFonts w:eastAsia="Calibri"/>
                <w:w w:val="105"/>
                <w:sz w:val="18"/>
                <w:szCs w:val="18"/>
                <w:lang w:val="en-GB"/>
              </w:rPr>
            </w:pPr>
            <w:r w:rsidRPr="0034527B">
              <w:rPr>
                <w:rFonts w:eastAsia="Calibri"/>
                <w:w w:val="105"/>
                <w:sz w:val="18"/>
                <w:szCs w:val="18"/>
                <w:lang w:val="en-GB"/>
              </w:rPr>
              <w:t>30.2</w:t>
            </w:r>
          </w:p>
        </w:tc>
      </w:tr>
    </w:tbl>
    <w:p w14:paraId="5EBB1906" w14:textId="77777777" w:rsidR="00D509B5" w:rsidRPr="0034527B" w:rsidRDefault="00D509B5" w:rsidP="00D509B5">
      <w:pPr>
        <w:pStyle w:val="Footnote"/>
        <w:jc w:val="right"/>
        <w:rPr>
          <w:rFonts w:eastAsia="Calibri"/>
          <w:w w:val="105"/>
          <w:lang w:val="en-GB"/>
        </w:rPr>
      </w:pPr>
    </w:p>
    <w:p w14:paraId="4ABBE62D" w14:textId="77777777" w:rsidR="00D509B5" w:rsidRPr="0034527B" w:rsidRDefault="00D509B5" w:rsidP="00D509B5">
      <w:pPr>
        <w:pStyle w:val="Footnote"/>
        <w:rPr>
          <w:rFonts w:eastAsia="Calibri"/>
          <w:lang w:val="en-GB"/>
        </w:rPr>
      </w:pPr>
      <w:r w:rsidRPr="0034527B">
        <w:rPr>
          <w:rFonts w:eastAsia="Calibri"/>
          <w:w w:val="105"/>
          <w:lang w:val="en-GB"/>
        </w:rPr>
        <w:t xml:space="preserve">Note: Many of the homeopaths and almost half of village doctors were also engaged in farming as a source of additional income; some of the service providers were engaged in trading; </w:t>
      </w:r>
      <w:r w:rsidRPr="0034527B">
        <w:rPr>
          <w:rFonts w:eastAsia="Calibri"/>
          <w:lang w:val="en-GB"/>
        </w:rPr>
        <w:t>Taka = BDT = Bangladeshi taka; US$1 = 78.9031 taka on December 31, 2015.</w:t>
      </w:r>
    </w:p>
    <w:p w14:paraId="257A34E0" w14:textId="5086194A" w:rsidR="00D509B5" w:rsidRPr="0034527B" w:rsidRDefault="00D509B5" w:rsidP="00D509B5">
      <w:pPr>
        <w:pStyle w:val="Footnote"/>
        <w:rPr>
          <w:lang w:val="en-GB"/>
        </w:rPr>
      </w:pPr>
      <w:r w:rsidRPr="0034527B">
        <w:rPr>
          <w:rFonts w:eastAsia="Calibri"/>
          <w:w w:val="105"/>
          <w:lang w:val="en-GB"/>
        </w:rPr>
        <w:t>Source: Bangladesh Health Watch</w:t>
      </w:r>
      <w:r w:rsidR="00DC2F7E">
        <w:t>, Department for International Development, “</w:t>
      </w:r>
      <w:r w:rsidRPr="00AB2A6D">
        <w:rPr>
          <w:lang w:val="en-GB"/>
        </w:rPr>
        <w:t>The State of Health in Bangladesh 2007: Health Workforce in Bangladesh, Who Constitutes the Health Care System?</w:t>
      </w:r>
      <w:r w:rsidR="00DC2F7E">
        <w:rPr>
          <w:i/>
          <w:lang w:val="en-GB"/>
        </w:rPr>
        <w:t>,</w:t>
      </w:r>
      <w:r w:rsidR="00DC2F7E">
        <w:rPr>
          <w:lang w:val="en-GB"/>
        </w:rPr>
        <w:t>”</w:t>
      </w:r>
      <w:r w:rsidRPr="0034527B">
        <w:rPr>
          <w:lang w:val="en-GB"/>
        </w:rPr>
        <w:t xml:space="preserve"> James P. Grant School of Public Health, BRAC University, 2008</w:t>
      </w:r>
      <w:r w:rsidR="00DC2F7E">
        <w:rPr>
          <w:lang w:val="en-GB"/>
        </w:rPr>
        <w:t>,</w:t>
      </w:r>
      <w:r w:rsidRPr="0034527B">
        <w:rPr>
          <w:rFonts w:eastAsia="Calibri"/>
          <w:w w:val="105"/>
          <w:lang w:val="en-GB"/>
        </w:rPr>
        <w:t xml:space="preserve"> 85.</w:t>
      </w:r>
    </w:p>
    <w:p w14:paraId="585D676A" w14:textId="2EA8D465" w:rsidR="001010E5" w:rsidRPr="0034527B" w:rsidRDefault="001010E5">
      <w:pPr>
        <w:spacing w:after="200" w:line="276" w:lineRule="auto"/>
        <w:rPr>
          <w:sz w:val="22"/>
          <w:szCs w:val="22"/>
          <w:lang w:val="en-GB"/>
        </w:rPr>
      </w:pPr>
    </w:p>
    <w:sectPr w:rsidR="001010E5" w:rsidRPr="0034527B"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30500" w16cid:durableId="1DC3ED2E"/>
  <w16cid:commentId w16cid:paraId="5905EBFC" w16cid:durableId="1DC3F1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28B87" w14:textId="77777777" w:rsidR="00EB5816" w:rsidRDefault="00EB5816" w:rsidP="00D75295">
      <w:r>
        <w:separator/>
      </w:r>
    </w:p>
  </w:endnote>
  <w:endnote w:type="continuationSeparator" w:id="0">
    <w:p w14:paraId="28512F9B" w14:textId="77777777" w:rsidR="00EB5816" w:rsidRDefault="00EB581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12CF9" w14:textId="77777777" w:rsidR="00EB5816" w:rsidRDefault="00EB5816" w:rsidP="00D75295">
      <w:r>
        <w:separator/>
      </w:r>
    </w:p>
  </w:footnote>
  <w:footnote w:type="continuationSeparator" w:id="0">
    <w:p w14:paraId="12C1DED9" w14:textId="77777777" w:rsidR="00EB5816" w:rsidRDefault="00EB5816" w:rsidP="00D75295">
      <w:r>
        <w:continuationSeparator/>
      </w:r>
    </w:p>
  </w:footnote>
  <w:footnote w:id="1">
    <w:p w14:paraId="5222602F" w14:textId="23A63C02" w:rsidR="003F43E7" w:rsidRDefault="003F43E7" w:rsidP="007039A5">
      <w:pPr>
        <w:pStyle w:val="Footnote"/>
      </w:pPr>
      <w:r>
        <w:rPr>
          <w:rStyle w:val="FootnoteReference"/>
        </w:rPr>
        <w:footnoteRef/>
      </w:r>
      <w:r>
        <w:t xml:space="preserve"> BRAC rules specified the recruitment of young women as community health workers in the rural areas of Bangladesh.</w:t>
      </w:r>
    </w:p>
  </w:footnote>
  <w:footnote w:id="2">
    <w:p w14:paraId="25F79496" w14:textId="71FE8252" w:rsidR="003F43E7" w:rsidRPr="002A44A4" w:rsidRDefault="003F43E7" w:rsidP="002A44A4">
      <w:pPr>
        <w:pStyle w:val="Footnote"/>
        <w:rPr>
          <w:lang w:val="en-CA"/>
        </w:rPr>
      </w:pPr>
      <w:r>
        <w:rPr>
          <w:rStyle w:val="FootnoteReference"/>
        </w:rPr>
        <w:footnoteRef/>
      </w:r>
      <w:r>
        <w:t xml:space="preserve"> </w:t>
      </w:r>
      <w:r>
        <w:rPr>
          <w:lang w:val="en-CA"/>
        </w:rPr>
        <w:t>All dollar amounts in the case are in U.S. dollars.</w:t>
      </w:r>
    </w:p>
  </w:footnote>
  <w:footnote w:id="3">
    <w:p w14:paraId="0BD0D075" w14:textId="10B44485" w:rsidR="003F43E7" w:rsidRPr="000427DC" w:rsidRDefault="003F43E7" w:rsidP="000427DC">
      <w:pPr>
        <w:pStyle w:val="Footnote"/>
      </w:pPr>
      <w:r w:rsidRPr="000427DC">
        <w:rPr>
          <w:rStyle w:val="FootnoteReference"/>
        </w:rPr>
        <w:footnoteRef/>
      </w:r>
      <w:r w:rsidRPr="000427DC">
        <w:t xml:space="preserve"> </w:t>
      </w:r>
      <w:r>
        <w:t xml:space="preserve">Antora Mahmud </w:t>
      </w:r>
      <w:r w:rsidRPr="000427DC">
        <w:t xml:space="preserve">Khan and </w:t>
      </w:r>
      <w:r>
        <w:t xml:space="preserve">Syed Masud </w:t>
      </w:r>
      <w:r w:rsidRPr="000427DC">
        <w:t>Ahmed,</w:t>
      </w:r>
      <w:r>
        <w:t xml:space="preserve"> “</w:t>
      </w:r>
      <w:r w:rsidRPr="000427DC">
        <w:t xml:space="preserve">Current </w:t>
      </w:r>
      <w:r>
        <w:t>S</w:t>
      </w:r>
      <w:r w:rsidRPr="000427DC">
        <w:t xml:space="preserve">tate of the </w:t>
      </w:r>
      <w:r>
        <w:t>M</w:t>
      </w:r>
      <w:r w:rsidRPr="000427DC">
        <w:t xml:space="preserve">odel </w:t>
      </w:r>
      <w:r w:rsidRPr="002A44A4">
        <w:rPr>
          <w:i/>
        </w:rPr>
        <w:t>Shasthya Shebikas</w:t>
      </w:r>
      <w:r w:rsidRPr="000427DC">
        <w:t xml:space="preserve"> of BRAC: A </w:t>
      </w:r>
      <w:r>
        <w:t>Q</w:t>
      </w:r>
      <w:r w:rsidRPr="000427DC">
        <w:t xml:space="preserve">uick </w:t>
      </w:r>
      <w:r>
        <w:t>E</w:t>
      </w:r>
      <w:r w:rsidRPr="000427DC">
        <w:t xml:space="preserve">xploration of the </w:t>
      </w:r>
      <w:r>
        <w:t>‘</w:t>
      </w:r>
      <w:r w:rsidRPr="000427DC">
        <w:t>Pilot Project for SS Sustainability</w:t>
      </w:r>
      <w:r>
        <w:t xml:space="preserve">,’” </w:t>
      </w:r>
      <w:r w:rsidRPr="000427DC">
        <w:t xml:space="preserve">BRAC Research </w:t>
      </w:r>
      <w:r>
        <w:t>Portal,</w:t>
      </w:r>
      <w:r w:rsidRPr="000427DC">
        <w:t xml:space="preserve"> </w:t>
      </w:r>
      <w:r>
        <w:t xml:space="preserve">2011, </w:t>
      </w:r>
      <w:r w:rsidRPr="000427DC">
        <w:t xml:space="preserve">accessed August 25 2016, </w:t>
      </w:r>
      <w:hyperlink r:id="rId1" w:history="1">
        <w:r w:rsidRPr="000427DC">
          <w:rPr>
            <w:rStyle w:val="Hyperlink"/>
            <w:color w:val="auto"/>
            <w:u w:val="none"/>
          </w:rPr>
          <w:t>http://research.brac.net/new/component/k2/shasthyashebikas</w:t>
        </w:r>
      </w:hyperlink>
      <w:r>
        <w:rPr>
          <w:rStyle w:val="Hyperlink"/>
          <w:color w:val="auto"/>
          <w:u w:val="none"/>
        </w:rPr>
        <w:t>.</w:t>
      </w:r>
    </w:p>
  </w:footnote>
  <w:footnote w:id="4">
    <w:p w14:paraId="64D9C2C3" w14:textId="1A17EB50" w:rsidR="003F43E7" w:rsidRPr="00721C14" w:rsidRDefault="003F43E7" w:rsidP="000427DC">
      <w:pPr>
        <w:pStyle w:val="Footnote"/>
        <w:rPr>
          <w:lang w:val="en-IN"/>
        </w:rPr>
      </w:pPr>
      <w:r>
        <w:rPr>
          <w:rStyle w:val="FootnoteReference"/>
        </w:rPr>
        <w:footnoteRef/>
      </w:r>
      <w:r>
        <w:t xml:space="preserve"> Syed Masud </w:t>
      </w:r>
      <w:r w:rsidRPr="00DB7FF7">
        <w:t>Ahmed,</w:t>
      </w:r>
      <w:r>
        <w:t xml:space="preserve"> </w:t>
      </w:r>
      <w:r w:rsidRPr="00DB7FF7">
        <w:t xml:space="preserve">“Taking </w:t>
      </w:r>
      <w:r>
        <w:t>H</w:t>
      </w:r>
      <w:r w:rsidRPr="00DB7FF7">
        <w:t xml:space="preserve">ealthcare </w:t>
      </w:r>
      <w:r>
        <w:t>W</w:t>
      </w:r>
      <w:r w:rsidRPr="00DB7FF7">
        <w:t xml:space="preserve">here the </w:t>
      </w:r>
      <w:r>
        <w:t>C</w:t>
      </w:r>
      <w:r w:rsidRPr="00DB7FF7">
        <w:t xml:space="preserve">ommunity </w:t>
      </w:r>
      <w:r>
        <w:t>I</w:t>
      </w:r>
      <w:r w:rsidRPr="00DB7FF7">
        <w:t xml:space="preserve">s: The </w:t>
      </w:r>
      <w:r>
        <w:t>S</w:t>
      </w:r>
      <w:r w:rsidRPr="00DB7FF7">
        <w:t>tory of the Shasthya Shebikas of BRAC,”</w:t>
      </w:r>
      <w:r>
        <w:t xml:space="preserve"> </w:t>
      </w:r>
      <w:r w:rsidRPr="00DB7FF7">
        <w:rPr>
          <w:i/>
        </w:rPr>
        <w:t>BRAC University Journal</w:t>
      </w:r>
      <w:r>
        <w:rPr>
          <w:i/>
        </w:rPr>
        <w:t xml:space="preserve"> </w:t>
      </w:r>
      <w:r w:rsidRPr="00DB7FF7">
        <w:t>5, no. 1 (2008):37</w:t>
      </w:r>
      <w:r>
        <w:t>–</w:t>
      </w:r>
      <w:r w:rsidRPr="00DB7FF7">
        <w:t>43</w:t>
      </w:r>
      <w:r>
        <w:t>.</w:t>
      </w:r>
    </w:p>
  </w:footnote>
  <w:footnote w:id="5">
    <w:p w14:paraId="6BDE2365" w14:textId="77777777" w:rsidR="003F43E7" w:rsidRPr="00F86D82" w:rsidRDefault="003F43E7" w:rsidP="000427DC">
      <w:pPr>
        <w:pStyle w:val="Footnote"/>
        <w:rPr>
          <w:lang w:val="en-IN"/>
        </w:rPr>
      </w:pPr>
      <w:r>
        <w:rPr>
          <w:rStyle w:val="FootnoteReference"/>
        </w:rPr>
        <w:footnoteRef/>
      </w:r>
      <w:r>
        <w:t xml:space="preserve"> </w:t>
      </w:r>
      <w:r w:rsidRPr="00544D66">
        <w:rPr>
          <w:lang w:val="en-IN"/>
        </w:rPr>
        <w:t>Ibid</w:t>
      </w:r>
      <w:r>
        <w:rPr>
          <w:lang w:val="en-IN"/>
        </w:rPr>
        <w:t>.</w:t>
      </w:r>
    </w:p>
  </w:footnote>
  <w:footnote w:id="6">
    <w:p w14:paraId="4400C690" w14:textId="02868439" w:rsidR="003F43E7" w:rsidRPr="00F86D82" w:rsidRDefault="003F43E7" w:rsidP="000427DC">
      <w:pPr>
        <w:pStyle w:val="Footnote"/>
        <w:rPr>
          <w:lang w:val="en-IN"/>
        </w:rPr>
      </w:pPr>
      <w:r>
        <w:rPr>
          <w:rStyle w:val="FootnoteReference"/>
        </w:rPr>
        <w:footnoteRef/>
      </w:r>
      <w:r>
        <w:t xml:space="preserve"> Tina </w:t>
      </w:r>
      <w:r w:rsidRPr="00DB7FF7">
        <w:t>Rosenberg,</w:t>
      </w:r>
      <w:r>
        <w:t xml:space="preserve"> </w:t>
      </w:r>
      <w:r w:rsidRPr="00DB7FF7">
        <w:t xml:space="preserve">“What </w:t>
      </w:r>
      <w:r>
        <w:t>M</w:t>
      </w:r>
      <w:r w:rsidRPr="00DB7FF7">
        <w:t xml:space="preserve">akes </w:t>
      </w:r>
      <w:r>
        <w:t>C</w:t>
      </w:r>
      <w:r w:rsidRPr="00DB7FF7">
        <w:t xml:space="preserve">ommunity </w:t>
      </w:r>
      <w:r>
        <w:t>H</w:t>
      </w:r>
      <w:r w:rsidRPr="00DB7FF7">
        <w:t xml:space="preserve">ealth </w:t>
      </w:r>
      <w:r>
        <w:t>C</w:t>
      </w:r>
      <w:r w:rsidRPr="00DB7FF7">
        <w:t xml:space="preserve">are </w:t>
      </w:r>
      <w:r>
        <w:t>W</w:t>
      </w:r>
      <w:r w:rsidRPr="00DB7FF7">
        <w:t>ork,”</w:t>
      </w:r>
      <w:r>
        <w:t xml:space="preserve"> </w:t>
      </w:r>
      <w:r w:rsidRPr="00DB7FF7">
        <w:rPr>
          <w:i/>
        </w:rPr>
        <w:t>The New York Times</w:t>
      </w:r>
      <w:r w:rsidRPr="00DB7FF7">
        <w:t>, February 18</w:t>
      </w:r>
      <w:r>
        <w:t>,</w:t>
      </w:r>
      <w:r w:rsidRPr="00DB7FF7">
        <w:t xml:space="preserve"> 2011,</w:t>
      </w:r>
      <w:r>
        <w:t xml:space="preserve"> </w:t>
      </w:r>
      <w:r w:rsidRPr="00DB7FF7">
        <w:t>accessed April 6, 2016, http://opinionator.blogs.nytimes.com/2011/02/18/what-makes-community-health-care-work/</w:t>
      </w:r>
      <w:r>
        <w:t>.</w:t>
      </w:r>
    </w:p>
  </w:footnote>
  <w:footnote w:id="7">
    <w:p w14:paraId="5F369AF3" w14:textId="30F0CDD1" w:rsidR="003F43E7" w:rsidRPr="002A44A4" w:rsidRDefault="003F43E7" w:rsidP="002A44A4">
      <w:pPr>
        <w:pStyle w:val="Footnote"/>
        <w:rPr>
          <w:lang w:val="en-CA"/>
        </w:rPr>
      </w:pPr>
      <w:r>
        <w:rPr>
          <w:rStyle w:val="FootnoteReference"/>
        </w:rPr>
        <w:footnoteRef/>
      </w:r>
      <w:r>
        <w:t xml:space="preserve"> </w:t>
      </w:r>
      <w:r>
        <w:rPr>
          <w:lang w:val="en-CA"/>
        </w:rPr>
        <w:t>Taka = BDT = Bangladeshi taka; 1 taka = US$0.0129 on January 1, 2017.</w:t>
      </w:r>
    </w:p>
  </w:footnote>
  <w:footnote w:id="8">
    <w:p w14:paraId="0780F002" w14:textId="2D02A7D3" w:rsidR="003F43E7" w:rsidRPr="00F86D82" w:rsidRDefault="003F43E7" w:rsidP="009817B5">
      <w:pPr>
        <w:pStyle w:val="Footnote"/>
        <w:rPr>
          <w:lang w:val="en-IN"/>
        </w:rPr>
      </w:pPr>
      <w:r>
        <w:rPr>
          <w:rStyle w:val="FootnoteReference"/>
        </w:rPr>
        <w:footnoteRef/>
      </w:r>
      <w:r>
        <w:t xml:space="preserve"> Mahjabeen Rahman</w:t>
      </w:r>
      <w:r w:rsidRPr="00DB7FF7">
        <w:t xml:space="preserve"> and </w:t>
      </w:r>
      <w:r>
        <w:t xml:space="preserve">Sakiba </w:t>
      </w:r>
      <w:r w:rsidRPr="00DB7FF7">
        <w:t xml:space="preserve">Tasneem, </w:t>
      </w:r>
      <w:r>
        <w:t>“</w:t>
      </w:r>
      <w:r w:rsidRPr="00DB7FF7">
        <w:t xml:space="preserve">Determinants of Income of the Shasthya Shebikas: Evidences from a </w:t>
      </w:r>
      <w:r>
        <w:t>P</w:t>
      </w:r>
      <w:r w:rsidRPr="00DB7FF7">
        <w:t xml:space="preserve">ilot MNCH Initiative in the Nilphamari </w:t>
      </w:r>
      <w:r>
        <w:t>D</w:t>
      </w:r>
      <w:r w:rsidRPr="00DB7FF7">
        <w:t>istrict of Bangladesh,</w:t>
      </w:r>
      <w:r>
        <w:t xml:space="preserve">” </w:t>
      </w:r>
      <w:r w:rsidRPr="00DB7FF7">
        <w:t>BRAC Research</w:t>
      </w:r>
      <w:r>
        <w:t xml:space="preserve"> Portal</w:t>
      </w:r>
      <w:r w:rsidRPr="00DB7FF7">
        <w:t>, 2008</w:t>
      </w:r>
      <w:r>
        <w:t xml:space="preserve">, </w:t>
      </w:r>
      <w:r w:rsidRPr="00DB7FF7">
        <w:t>accessed</w:t>
      </w:r>
      <w:r>
        <w:t xml:space="preserve"> </w:t>
      </w:r>
      <w:r w:rsidRPr="00DB7FF7">
        <w:t>August 25</w:t>
      </w:r>
      <w:r>
        <w:t>,</w:t>
      </w:r>
      <w:r w:rsidRPr="00DB7FF7">
        <w:t xml:space="preserve"> 2016, http://research.brac.net/new/component/k2/issue6</w:t>
      </w:r>
      <w:r>
        <w:t>.</w:t>
      </w:r>
    </w:p>
  </w:footnote>
  <w:footnote w:id="9">
    <w:p w14:paraId="4344DAC1" w14:textId="77777777" w:rsidR="003F43E7" w:rsidRPr="00844D59" w:rsidRDefault="003F43E7" w:rsidP="000427DC">
      <w:pPr>
        <w:pStyle w:val="Footnote"/>
        <w:rPr>
          <w:lang w:val="en-IN"/>
        </w:rPr>
      </w:pPr>
      <w:r>
        <w:rPr>
          <w:rStyle w:val="FootnoteReference"/>
        </w:rPr>
        <w:footnoteRef/>
      </w:r>
      <w:r>
        <w:t xml:space="preserve"> </w:t>
      </w:r>
      <w:r w:rsidRPr="00544D66">
        <w:rPr>
          <w:lang w:val="en-IN"/>
        </w:rPr>
        <w:t>Ibid</w:t>
      </w:r>
      <w:r>
        <w:rPr>
          <w:lang w:val="en-IN"/>
        </w:rPr>
        <w:t>.</w:t>
      </w:r>
    </w:p>
  </w:footnote>
  <w:footnote w:id="10">
    <w:p w14:paraId="4388FAA6" w14:textId="77777777" w:rsidR="003F43E7" w:rsidRPr="000427DC" w:rsidRDefault="003F43E7" w:rsidP="000427DC">
      <w:pPr>
        <w:pStyle w:val="Footnote"/>
      </w:pPr>
      <w:r w:rsidRPr="000427DC">
        <w:rPr>
          <w:rStyle w:val="FootnoteReference"/>
        </w:rPr>
        <w:footnoteRef/>
      </w:r>
      <w:r w:rsidRPr="000427DC">
        <w:t xml:space="preserve"> Ibid</w:t>
      </w:r>
      <w:r>
        <w:t>.</w:t>
      </w:r>
    </w:p>
  </w:footnote>
  <w:footnote w:id="11">
    <w:p w14:paraId="41058F68" w14:textId="77777777" w:rsidR="003F43E7" w:rsidRPr="000427DC" w:rsidRDefault="003F43E7" w:rsidP="00D54EFC">
      <w:pPr>
        <w:pStyle w:val="Footnote"/>
      </w:pPr>
      <w:r w:rsidRPr="000427DC">
        <w:rPr>
          <w:rStyle w:val="FootnoteReference"/>
        </w:rPr>
        <w:footnoteRef/>
      </w:r>
      <w:r w:rsidRPr="000427DC">
        <w:t xml:space="preserve"> Ibid</w:t>
      </w:r>
      <w:r>
        <w:t>.</w:t>
      </w:r>
    </w:p>
  </w:footnote>
  <w:footnote w:id="12">
    <w:p w14:paraId="6E67FABD" w14:textId="77777777" w:rsidR="003F43E7" w:rsidRPr="000427DC" w:rsidRDefault="003F43E7" w:rsidP="000427DC">
      <w:pPr>
        <w:pStyle w:val="Footnote"/>
      </w:pPr>
      <w:r w:rsidRPr="000427DC">
        <w:rPr>
          <w:rStyle w:val="FootnoteReference"/>
        </w:rPr>
        <w:footnoteRef/>
      </w:r>
      <w:r w:rsidRPr="000427DC">
        <w:t xml:space="preserve"> Ahmed, op. cit. </w:t>
      </w:r>
    </w:p>
  </w:footnote>
  <w:footnote w:id="13">
    <w:p w14:paraId="260B120F" w14:textId="77777777" w:rsidR="003F43E7" w:rsidRPr="001010E5" w:rsidRDefault="003F43E7" w:rsidP="001010E5">
      <w:pPr>
        <w:pStyle w:val="Footnote"/>
      </w:pPr>
      <w:r w:rsidRPr="001010E5">
        <w:rPr>
          <w:rStyle w:val="FootnoteReference"/>
        </w:rPr>
        <w:footnoteRef/>
      </w:r>
      <w:r w:rsidRPr="001010E5">
        <w:t xml:space="preserve"> Khan and Ahmed, op. cit.</w:t>
      </w:r>
    </w:p>
  </w:footnote>
  <w:footnote w:id="14">
    <w:p w14:paraId="11C0846C" w14:textId="50F80448" w:rsidR="003F43E7" w:rsidRPr="001010E5" w:rsidRDefault="003F43E7" w:rsidP="001010E5">
      <w:pPr>
        <w:pStyle w:val="Footnote"/>
      </w:pPr>
      <w:r w:rsidRPr="001010E5">
        <w:rPr>
          <w:rStyle w:val="FootnoteReference"/>
        </w:rPr>
        <w:footnoteRef/>
      </w:r>
      <w:r w:rsidRPr="001010E5">
        <w:t xml:space="preserve"> Rosenberg, op.</w:t>
      </w:r>
      <w:r>
        <w:t xml:space="preserve"> </w:t>
      </w:r>
      <w:r w:rsidRPr="001010E5">
        <w:t>cit.</w:t>
      </w:r>
    </w:p>
  </w:footnote>
  <w:footnote w:id="15">
    <w:p w14:paraId="21A4D4D7" w14:textId="55C91659" w:rsidR="003F43E7" w:rsidRPr="001010E5" w:rsidRDefault="003F43E7" w:rsidP="001010E5">
      <w:pPr>
        <w:pStyle w:val="Footnote"/>
      </w:pPr>
      <w:r w:rsidRPr="001010E5">
        <w:rPr>
          <w:rStyle w:val="FootnoteReference"/>
        </w:rPr>
        <w:footnoteRef/>
      </w:r>
      <w:r w:rsidRPr="001010E5">
        <w:t xml:space="preserve"> Rahman and Tasneem, op.</w:t>
      </w:r>
      <w:r>
        <w:t xml:space="preserve"> </w:t>
      </w:r>
      <w:r w:rsidRPr="001010E5">
        <w:t>cit.</w:t>
      </w:r>
    </w:p>
  </w:footnote>
  <w:footnote w:id="16">
    <w:p w14:paraId="4B85F906" w14:textId="77777777" w:rsidR="003F43E7" w:rsidRPr="001010E5" w:rsidRDefault="003F43E7" w:rsidP="001010E5">
      <w:pPr>
        <w:pStyle w:val="Footnote"/>
      </w:pPr>
      <w:r w:rsidRPr="001010E5">
        <w:rPr>
          <w:rStyle w:val="FootnoteReference"/>
        </w:rPr>
        <w:footnoteRef/>
      </w:r>
      <w:r w:rsidRPr="001010E5">
        <w:t xml:space="preserve"> Ibid.</w:t>
      </w:r>
    </w:p>
  </w:footnote>
  <w:footnote w:id="17">
    <w:p w14:paraId="6DAF2881" w14:textId="53B2F941" w:rsidR="003F43E7" w:rsidRPr="001010E5" w:rsidRDefault="003F43E7" w:rsidP="001010E5">
      <w:pPr>
        <w:pStyle w:val="Footnote"/>
      </w:pPr>
      <w:r w:rsidRPr="001010E5">
        <w:rPr>
          <w:rStyle w:val="FootnoteReference"/>
        </w:rPr>
        <w:footnoteRef/>
      </w:r>
      <w:r w:rsidRPr="001010E5">
        <w:t xml:space="preserve"> </w:t>
      </w:r>
      <w:r>
        <w:t>Bangladesh Health Watch, Department for International Development, “</w:t>
      </w:r>
      <w:r w:rsidRPr="001010E5">
        <w:t xml:space="preserve">The </w:t>
      </w:r>
      <w:r>
        <w:t>S</w:t>
      </w:r>
      <w:r w:rsidRPr="001010E5">
        <w:t xml:space="preserve">tate of </w:t>
      </w:r>
      <w:r>
        <w:t>H</w:t>
      </w:r>
      <w:r w:rsidRPr="001010E5">
        <w:t>ealth in Bangladesh 2007</w:t>
      </w:r>
      <w:r>
        <w:t xml:space="preserve">: Health Workforce in Bangladesh: </w:t>
      </w:r>
      <w:r w:rsidRPr="001010E5">
        <w:t xml:space="preserve">Who </w:t>
      </w:r>
      <w:r>
        <w:t>C</w:t>
      </w:r>
      <w:r w:rsidRPr="001010E5">
        <w:t xml:space="preserve">onstitutes the </w:t>
      </w:r>
      <w:r>
        <w:t>H</w:t>
      </w:r>
      <w:r w:rsidRPr="001010E5">
        <w:t xml:space="preserve">ealthcare </w:t>
      </w:r>
      <w:r>
        <w:t>S</w:t>
      </w:r>
      <w:r w:rsidRPr="001010E5">
        <w:t>ystem?</w:t>
      </w:r>
      <w:r>
        <w:t>,”</w:t>
      </w:r>
      <w:r w:rsidRPr="001010E5">
        <w:t xml:space="preserve"> James P. Grant School of Public Health, BRAC University, 2008, 19.</w:t>
      </w:r>
    </w:p>
  </w:footnote>
  <w:footnote w:id="18">
    <w:p w14:paraId="73B1C815" w14:textId="77777777" w:rsidR="003F43E7" w:rsidRPr="001010E5" w:rsidRDefault="003F43E7" w:rsidP="001010E5">
      <w:pPr>
        <w:pStyle w:val="Footnote"/>
      </w:pPr>
      <w:r w:rsidRPr="001010E5">
        <w:rPr>
          <w:rStyle w:val="FootnoteReference"/>
        </w:rPr>
        <w:footnoteRef/>
      </w:r>
      <w:r w:rsidRPr="001010E5">
        <w:t xml:space="preserve"> Rosenberg, op. cit. </w:t>
      </w:r>
    </w:p>
  </w:footnote>
  <w:footnote w:id="19">
    <w:p w14:paraId="0655CB23" w14:textId="77777777" w:rsidR="003F43E7" w:rsidRPr="001010E5" w:rsidRDefault="003F43E7" w:rsidP="001010E5">
      <w:pPr>
        <w:pStyle w:val="Footnote"/>
      </w:pPr>
      <w:r w:rsidRPr="001010E5">
        <w:rPr>
          <w:rStyle w:val="FootnoteReference"/>
        </w:rPr>
        <w:footnoteRef/>
      </w:r>
      <w:r w:rsidRPr="001010E5">
        <w:t xml:space="preserve"> Bangladesh Health Watch, op. cit.</w:t>
      </w:r>
    </w:p>
  </w:footnote>
  <w:footnote w:id="20">
    <w:p w14:paraId="245EBAC9" w14:textId="60F45EFB" w:rsidR="003F43E7" w:rsidRPr="001010E5" w:rsidRDefault="003F43E7" w:rsidP="001010E5">
      <w:pPr>
        <w:pStyle w:val="Footnote"/>
      </w:pPr>
      <w:r w:rsidRPr="001010E5">
        <w:rPr>
          <w:rStyle w:val="FootnoteReference"/>
        </w:rPr>
        <w:footnoteRef/>
      </w:r>
      <w:r w:rsidRPr="001010E5">
        <w:t xml:space="preserve"> </w:t>
      </w:r>
      <w:r>
        <w:rPr>
          <w:rFonts w:eastAsia="Calibri"/>
          <w:lang w:val="en-IN"/>
        </w:rPr>
        <w:t xml:space="preserve">Syed Masud </w:t>
      </w:r>
      <w:r w:rsidRPr="001010E5">
        <w:t xml:space="preserve">Ahmed, </w:t>
      </w:r>
      <w:r>
        <w:t xml:space="preserve">Md. Awlad </w:t>
      </w:r>
      <w:r w:rsidRPr="001010E5">
        <w:t>Hossain</w:t>
      </w:r>
      <w:r>
        <w:t>,</w:t>
      </w:r>
      <w:r w:rsidRPr="001010E5">
        <w:t xml:space="preserve"> and </w:t>
      </w:r>
      <w:r>
        <w:t xml:space="preserve">Mushtaque Raja </w:t>
      </w:r>
      <w:r w:rsidRPr="001010E5">
        <w:t>Chowdhury,</w:t>
      </w:r>
      <w:r>
        <w:t xml:space="preserve"> </w:t>
      </w:r>
      <w:r w:rsidRPr="001010E5">
        <w:t xml:space="preserve">“Informal </w:t>
      </w:r>
      <w:r>
        <w:t>S</w:t>
      </w:r>
      <w:r w:rsidRPr="001010E5">
        <w:t xml:space="preserve">ector </w:t>
      </w:r>
      <w:r>
        <w:t>P</w:t>
      </w:r>
      <w:r w:rsidRPr="001010E5">
        <w:t xml:space="preserve">roviders in Bangladesh: How </w:t>
      </w:r>
      <w:r>
        <w:t>E</w:t>
      </w:r>
      <w:r w:rsidRPr="001010E5">
        <w:t xml:space="preserve">quipped </w:t>
      </w:r>
      <w:r>
        <w:t>A</w:t>
      </w:r>
      <w:r w:rsidRPr="001010E5">
        <w:t xml:space="preserve">re </w:t>
      </w:r>
      <w:r>
        <w:t>T</w:t>
      </w:r>
      <w:r w:rsidRPr="001010E5">
        <w:t xml:space="preserve">hey to </w:t>
      </w:r>
      <w:r>
        <w:t>P</w:t>
      </w:r>
      <w:r w:rsidRPr="001010E5">
        <w:t xml:space="preserve">rovide </w:t>
      </w:r>
      <w:r>
        <w:t>R</w:t>
      </w:r>
      <w:r w:rsidRPr="001010E5">
        <w:t xml:space="preserve">ational </w:t>
      </w:r>
      <w:r>
        <w:t>H</w:t>
      </w:r>
      <w:r w:rsidRPr="001010E5">
        <w:t xml:space="preserve">ealth </w:t>
      </w:r>
      <w:r>
        <w:t>C</w:t>
      </w:r>
      <w:r w:rsidRPr="001010E5">
        <w:t>are?,”</w:t>
      </w:r>
      <w:r>
        <w:t xml:space="preserve"> </w:t>
      </w:r>
      <w:r w:rsidRPr="00215852">
        <w:rPr>
          <w:i/>
        </w:rPr>
        <w:t>Health Policy and Planning</w:t>
      </w:r>
      <w:r w:rsidRPr="001010E5">
        <w:t xml:space="preserve"> 24</w:t>
      </w:r>
      <w:r>
        <w:t xml:space="preserve"> </w:t>
      </w:r>
      <w:r w:rsidRPr="001010E5">
        <w:t>(2009): 467</w:t>
      </w:r>
      <w:r>
        <w:t>–</w:t>
      </w:r>
      <w:r w:rsidRPr="001010E5">
        <w:t>478; Bangladesh Health Watch, op. cit.</w:t>
      </w:r>
    </w:p>
  </w:footnote>
  <w:footnote w:id="21">
    <w:p w14:paraId="613065EB" w14:textId="27120F1B" w:rsidR="003F43E7" w:rsidRPr="001010E5" w:rsidRDefault="003F43E7" w:rsidP="001010E5">
      <w:pPr>
        <w:pStyle w:val="Footnote"/>
      </w:pPr>
      <w:r w:rsidRPr="001010E5">
        <w:rPr>
          <w:rStyle w:val="FootnoteReference"/>
        </w:rPr>
        <w:footnoteRef/>
      </w:r>
      <w:r w:rsidRPr="001010E5">
        <w:t xml:space="preserve"> Ibid</w:t>
      </w:r>
      <w:r>
        <w:t>.</w:t>
      </w:r>
      <w:r w:rsidRPr="001010E5">
        <w:t>, 13</w:t>
      </w:r>
      <w:r>
        <w:t>.</w:t>
      </w:r>
    </w:p>
  </w:footnote>
  <w:footnote w:id="22">
    <w:p w14:paraId="18C2CB5B" w14:textId="71AE6413" w:rsidR="003F43E7" w:rsidRPr="001010E5" w:rsidRDefault="003F43E7" w:rsidP="001010E5">
      <w:pPr>
        <w:pStyle w:val="Footnote"/>
      </w:pPr>
      <w:r w:rsidRPr="001010E5">
        <w:rPr>
          <w:rStyle w:val="FootnoteReference"/>
        </w:rPr>
        <w:footnoteRef/>
      </w:r>
      <w:r w:rsidRPr="001010E5">
        <w:t xml:space="preserve"> Khan and Ahmed</w:t>
      </w:r>
      <w:r>
        <w:t>,</w:t>
      </w:r>
      <w:r w:rsidRPr="001010E5">
        <w:t xml:space="preserve"> op.</w:t>
      </w:r>
      <w:r>
        <w:t xml:space="preserve"> </w:t>
      </w:r>
      <w:r w:rsidRPr="001010E5">
        <w:t>cit.</w:t>
      </w:r>
    </w:p>
  </w:footnote>
  <w:footnote w:id="23">
    <w:p w14:paraId="04001384" w14:textId="4A42102F" w:rsidR="003F43E7" w:rsidRPr="001010E5" w:rsidRDefault="003F43E7" w:rsidP="001010E5">
      <w:pPr>
        <w:pStyle w:val="Footnote"/>
      </w:pPr>
      <w:r w:rsidRPr="001010E5">
        <w:rPr>
          <w:rStyle w:val="FootnoteReference"/>
        </w:rPr>
        <w:footnoteRef/>
      </w:r>
      <w:r w:rsidRPr="001010E5">
        <w:t xml:space="preserve"> Bangladesh Health Watch, op.</w:t>
      </w:r>
      <w:r>
        <w:t xml:space="preserve"> </w:t>
      </w:r>
      <w:r w:rsidRPr="001010E5">
        <w:t>cit.</w:t>
      </w:r>
    </w:p>
  </w:footnote>
  <w:footnote w:id="24">
    <w:p w14:paraId="11F95DF0" w14:textId="28925B59" w:rsidR="003F43E7" w:rsidRPr="001010E5" w:rsidRDefault="003F43E7" w:rsidP="001010E5">
      <w:pPr>
        <w:pStyle w:val="Footnote"/>
      </w:pPr>
      <w:r w:rsidRPr="001010E5">
        <w:rPr>
          <w:rStyle w:val="FootnoteReference"/>
        </w:rPr>
        <w:footnoteRef/>
      </w:r>
      <w:r w:rsidRPr="001010E5">
        <w:t xml:space="preserve"> </w:t>
      </w:r>
      <w:r>
        <w:t xml:space="preserve">Anne </w:t>
      </w:r>
      <w:hyperlink r:id="rId2" w:history="1">
        <w:r w:rsidRPr="001010E5">
          <w:rPr>
            <w:rStyle w:val="Hyperlink"/>
            <w:color w:val="auto"/>
            <w:u w:val="none"/>
          </w:rPr>
          <w:t>Cockcroft</w:t>
        </w:r>
      </w:hyperlink>
      <w:r>
        <w:t>,</w:t>
      </w:r>
      <w:r w:rsidRPr="001010E5">
        <w:t xml:space="preserve"> </w:t>
      </w:r>
      <w:r>
        <w:t xml:space="preserve">Neil </w:t>
      </w:r>
      <w:hyperlink r:id="rId3" w:history="1">
        <w:r w:rsidRPr="001010E5">
          <w:rPr>
            <w:rStyle w:val="Hyperlink"/>
            <w:color w:val="auto"/>
            <w:u w:val="none"/>
          </w:rPr>
          <w:t>Ander</w:t>
        </w:r>
        <w:r>
          <w:rPr>
            <w:rStyle w:val="Hyperlink"/>
            <w:color w:val="auto"/>
            <w:u w:val="none"/>
          </w:rPr>
          <w:t>s</w:t>
        </w:r>
        <w:r w:rsidRPr="001010E5">
          <w:rPr>
            <w:rStyle w:val="Hyperlink"/>
            <w:color w:val="auto"/>
            <w:u w:val="none"/>
          </w:rPr>
          <w:t>son</w:t>
        </w:r>
      </w:hyperlink>
      <w:r w:rsidRPr="001010E5">
        <w:t>,</w:t>
      </w:r>
      <w:hyperlink r:id="rId4" w:history="1">
        <w:r w:rsidRPr="001010E5">
          <w:rPr>
            <w:rStyle w:val="Hyperlink"/>
            <w:color w:val="auto"/>
            <w:u w:val="none"/>
          </w:rPr>
          <w:t xml:space="preserve"> </w:t>
        </w:r>
        <w:r>
          <w:rPr>
            <w:rStyle w:val="Hyperlink"/>
            <w:color w:val="auto"/>
            <w:u w:val="none"/>
          </w:rPr>
          <w:t xml:space="preserve">Deborah </w:t>
        </w:r>
        <w:r w:rsidRPr="001010E5">
          <w:rPr>
            <w:rStyle w:val="Hyperlink"/>
            <w:color w:val="auto"/>
            <w:u w:val="none"/>
          </w:rPr>
          <w:t>Milne</w:t>
        </w:r>
      </w:hyperlink>
      <w:r>
        <w:rPr>
          <w:rStyle w:val="Hyperlink"/>
          <w:color w:val="auto"/>
          <w:u w:val="none"/>
        </w:rPr>
        <w:t>,</w:t>
      </w:r>
      <w:r w:rsidRPr="001010E5">
        <w:rPr>
          <w:rStyle w:val="apple-converted-space"/>
        </w:rPr>
        <w:t> </w:t>
      </w:r>
      <w:r>
        <w:rPr>
          <w:rStyle w:val="apple-converted-space"/>
        </w:rPr>
        <w:t xml:space="preserve">Md Zakir </w:t>
      </w:r>
      <w:hyperlink r:id="rId5" w:history="1">
        <w:r w:rsidRPr="001010E5">
          <w:rPr>
            <w:rStyle w:val="Hyperlink"/>
            <w:color w:val="auto"/>
            <w:u w:val="none"/>
          </w:rPr>
          <w:t>Hossain</w:t>
        </w:r>
      </w:hyperlink>
      <w:r w:rsidRPr="001010E5">
        <w:t>,</w:t>
      </w:r>
      <w:r w:rsidRPr="001010E5">
        <w:rPr>
          <w:rStyle w:val="apple-converted-space"/>
        </w:rPr>
        <w:t> </w:t>
      </w:r>
      <w:r w:rsidRPr="001010E5">
        <w:t>and</w:t>
      </w:r>
      <w:hyperlink r:id="rId6" w:history="1">
        <w:r w:rsidRPr="001010E5">
          <w:rPr>
            <w:rStyle w:val="Hyperlink"/>
            <w:color w:val="auto"/>
            <w:u w:val="none"/>
          </w:rPr>
          <w:t xml:space="preserve"> </w:t>
        </w:r>
        <w:r>
          <w:rPr>
            <w:rStyle w:val="Hyperlink"/>
            <w:color w:val="auto"/>
            <w:u w:val="none"/>
          </w:rPr>
          <w:t xml:space="preserve">Enamul </w:t>
        </w:r>
        <w:r w:rsidRPr="001010E5">
          <w:rPr>
            <w:rStyle w:val="Hyperlink"/>
            <w:color w:val="auto"/>
            <w:u w:val="none"/>
          </w:rPr>
          <w:t>Karim</w:t>
        </w:r>
      </w:hyperlink>
      <w:r w:rsidRPr="001010E5">
        <w:t xml:space="preserve">, “What </w:t>
      </w:r>
      <w:r>
        <w:t>D</w:t>
      </w:r>
      <w:r w:rsidRPr="001010E5">
        <w:t xml:space="preserve">id the </w:t>
      </w:r>
      <w:r>
        <w:t>P</w:t>
      </w:r>
      <w:r w:rsidRPr="001010E5">
        <w:t xml:space="preserve">ublic </w:t>
      </w:r>
      <w:r>
        <w:t>T</w:t>
      </w:r>
      <w:r w:rsidRPr="001010E5">
        <w:t xml:space="preserve">hink of </w:t>
      </w:r>
      <w:r>
        <w:t>H</w:t>
      </w:r>
      <w:r w:rsidRPr="001010E5">
        <w:t xml:space="preserve">ealth </w:t>
      </w:r>
      <w:r>
        <w:t>S</w:t>
      </w:r>
      <w:r w:rsidRPr="001010E5">
        <w:t xml:space="preserve">ervices </w:t>
      </w:r>
      <w:r>
        <w:t>R</w:t>
      </w:r>
      <w:r w:rsidRPr="001010E5">
        <w:t xml:space="preserve">eform in Bangladesh? Three </w:t>
      </w:r>
      <w:r>
        <w:t>N</w:t>
      </w:r>
      <w:r w:rsidRPr="001010E5">
        <w:t xml:space="preserve">ational </w:t>
      </w:r>
      <w:r>
        <w:t>C</w:t>
      </w:r>
      <w:r w:rsidRPr="001010E5">
        <w:t>ommunity-</w:t>
      </w:r>
      <w:r>
        <w:t>B</w:t>
      </w:r>
      <w:r w:rsidRPr="001010E5">
        <w:t xml:space="preserve">ased </w:t>
      </w:r>
      <w:r>
        <w:t>S</w:t>
      </w:r>
      <w:r w:rsidRPr="001010E5">
        <w:t>urveys 1999–2003,”</w:t>
      </w:r>
      <w:r>
        <w:t xml:space="preserve"> </w:t>
      </w:r>
      <w:r w:rsidRPr="002A44A4">
        <w:rPr>
          <w:i/>
        </w:rPr>
        <w:t>Health Research Policy and Systems</w:t>
      </w:r>
      <w:r w:rsidRPr="001010E5">
        <w:t xml:space="preserve"> 5, no. 1</w:t>
      </w:r>
      <w:r>
        <w:t xml:space="preserve"> </w:t>
      </w:r>
      <w:r w:rsidRPr="001010E5">
        <w:t>(2007)</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5D640" w14:textId="5A617C05" w:rsidR="003F43E7" w:rsidRDefault="003F43E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2974">
      <w:rPr>
        <w:rFonts w:ascii="Arial" w:hAnsi="Arial"/>
        <w:b/>
        <w:noProof/>
      </w:rPr>
      <w:t>14</w:t>
    </w:r>
    <w:r>
      <w:rPr>
        <w:rFonts w:ascii="Arial" w:hAnsi="Arial"/>
        <w:b/>
      </w:rPr>
      <w:fldChar w:fldCharType="end"/>
    </w:r>
    <w:r>
      <w:rPr>
        <w:rFonts w:ascii="Arial" w:hAnsi="Arial"/>
        <w:b/>
      </w:rPr>
      <w:tab/>
    </w:r>
    <w:r w:rsidR="00362630">
      <w:rPr>
        <w:rFonts w:ascii="Arial" w:hAnsi="Arial"/>
        <w:b/>
      </w:rPr>
      <w:t>9B17A065</w:t>
    </w:r>
  </w:p>
  <w:p w14:paraId="1A9946FE" w14:textId="77777777" w:rsidR="003F43E7" w:rsidRPr="00C92CC4" w:rsidRDefault="003F43E7">
    <w:pPr>
      <w:pStyle w:val="Header"/>
      <w:rPr>
        <w:sz w:val="18"/>
        <w:szCs w:val="18"/>
      </w:rPr>
    </w:pPr>
  </w:p>
  <w:p w14:paraId="05454DC7" w14:textId="77777777" w:rsidR="003F43E7" w:rsidRPr="00C92CC4" w:rsidRDefault="003F43E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E1E1E"/>
    <w:multiLevelType w:val="hybridMultilevel"/>
    <w:tmpl w:val="443AD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A2D6B"/>
    <w:multiLevelType w:val="hybridMultilevel"/>
    <w:tmpl w:val="382A0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5711F6"/>
    <w:multiLevelType w:val="hybridMultilevel"/>
    <w:tmpl w:val="985A5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4EAE3836"/>
    <w:multiLevelType w:val="hybridMultilevel"/>
    <w:tmpl w:val="61626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3"/>
  </w:num>
  <w:num w:numId="14">
    <w:abstractNumId w:val="23"/>
  </w:num>
  <w:num w:numId="15">
    <w:abstractNumId w:val="24"/>
  </w:num>
  <w:num w:numId="16">
    <w:abstractNumId w:val="25"/>
  </w:num>
  <w:num w:numId="17">
    <w:abstractNumId w:val="17"/>
  </w:num>
  <w:num w:numId="18">
    <w:abstractNumId w:val="26"/>
  </w:num>
  <w:num w:numId="19">
    <w:abstractNumId w:val="12"/>
  </w:num>
  <w:num w:numId="20">
    <w:abstractNumId w:val="11"/>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2"/>
  </w:num>
  <w:num w:numId="29">
    <w:abstractNumId w:val="10"/>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BED"/>
    <w:rsid w:val="00002FE2"/>
    <w:rsid w:val="00013360"/>
    <w:rsid w:val="00020165"/>
    <w:rsid w:val="000216CE"/>
    <w:rsid w:val="00025DC7"/>
    <w:rsid w:val="00026486"/>
    <w:rsid w:val="000427DC"/>
    <w:rsid w:val="00044ECC"/>
    <w:rsid w:val="000531D3"/>
    <w:rsid w:val="0005646B"/>
    <w:rsid w:val="00057B09"/>
    <w:rsid w:val="0008102D"/>
    <w:rsid w:val="00094C0E"/>
    <w:rsid w:val="000A2DFD"/>
    <w:rsid w:val="000A2EE9"/>
    <w:rsid w:val="000F0C22"/>
    <w:rsid w:val="000F29BB"/>
    <w:rsid w:val="000F6B09"/>
    <w:rsid w:val="000F6FDC"/>
    <w:rsid w:val="001010E5"/>
    <w:rsid w:val="00104567"/>
    <w:rsid w:val="00104D38"/>
    <w:rsid w:val="00122BE7"/>
    <w:rsid w:val="0012732D"/>
    <w:rsid w:val="00127E19"/>
    <w:rsid w:val="00130603"/>
    <w:rsid w:val="00144A22"/>
    <w:rsid w:val="00154FC9"/>
    <w:rsid w:val="001740D0"/>
    <w:rsid w:val="00175C15"/>
    <w:rsid w:val="0019241A"/>
    <w:rsid w:val="001A10F7"/>
    <w:rsid w:val="001A5335"/>
    <w:rsid w:val="001A752D"/>
    <w:rsid w:val="001E7664"/>
    <w:rsid w:val="002030F2"/>
    <w:rsid w:val="00203AA1"/>
    <w:rsid w:val="00213E98"/>
    <w:rsid w:val="00223EF4"/>
    <w:rsid w:val="00240F18"/>
    <w:rsid w:val="0024357D"/>
    <w:rsid w:val="00253B30"/>
    <w:rsid w:val="0027290F"/>
    <w:rsid w:val="002A29D5"/>
    <w:rsid w:val="002A44A4"/>
    <w:rsid w:val="002B5093"/>
    <w:rsid w:val="002B7904"/>
    <w:rsid w:val="002D27AE"/>
    <w:rsid w:val="002D54B3"/>
    <w:rsid w:val="002D5A6C"/>
    <w:rsid w:val="002E32F0"/>
    <w:rsid w:val="002E665F"/>
    <w:rsid w:val="002F460C"/>
    <w:rsid w:val="002F48D6"/>
    <w:rsid w:val="003049B3"/>
    <w:rsid w:val="00324DAE"/>
    <w:rsid w:val="00333165"/>
    <w:rsid w:val="00343565"/>
    <w:rsid w:val="0034527B"/>
    <w:rsid w:val="00354899"/>
    <w:rsid w:val="00355FD6"/>
    <w:rsid w:val="00361C8E"/>
    <w:rsid w:val="00362630"/>
    <w:rsid w:val="00364A5C"/>
    <w:rsid w:val="003658DE"/>
    <w:rsid w:val="00373613"/>
    <w:rsid w:val="00373FB1"/>
    <w:rsid w:val="003A38FA"/>
    <w:rsid w:val="003B30D8"/>
    <w:rsid w:val="003B7EF2"/>
    <w:rsid w:val="003C3FA4"/>
    <w:rsid w:val="003F2B0C"/>
    <w:rsid w:val="003F43E7"/>
    <w:rsid w:val="00412B4C"/>
    <w:rsid w:val="00417C0C"/>
    <w:rsid w:val="004221E4"/>
    <w:rsid w:val="0042687F"/>
    <w:rsid w:val="00431BEB"/>
    <w:rsid w:val="0043553E"/>
    <w:rsid w:val="00461C1F"/>
    <w:rsid w:val="0046766F"/>
    <w:rsid w:val="00471088"/>
    <w:rsid w:val="00481CFD"/>
    <w:rsid w:val="00483AF9"/>
    <w:rsid w:val="0049141C"/>
    <w:rsid w:val="004A1994"/>
    <w:rsid w:val="004A33F8"/>
    <w:rsid w:val="004B1CCB"/>
    <w:rsid w:val="004B28C6"/>
    <w:rsid w:val="004D6F83"/>
    <w:rsid w:val="004D73A5"/>
    <w:rsid w:val="004E7DD5"/>
    <w:rsid w:val="0051110B"/>
    <w:rsid w:val="005141E5"/>
    <w:rsid w:val="00525B72"/>
    <w:rsid w:val="00532CF5"/>
    <w:rsid w:val="005528CB"/>
    <w:rsid w:val="00566771"/>
    <w:rsid w:val="00576A16"/>
    <w:rsid w:val="0057767F"/>
    <w:rsid w:val="00581E2E"/>
    <w:rsid w:val="00584F15"/>
    <w:rsid w:val="005A03ED"/>
    <w:rsid w:val="005A51F4"/>
    <w:rsid w:val="005A6CA4"/>
    <w:rsid w:val="005C3C8D"/>
    <w:rsid w:val="005E36C4"/>
    <w:rsid w:val="005F4F89"/>
    <w:rsid w:val="00614FEB"/>
    <w:rsid w:val="00615AE6"/>
    <w:rsid w:val="006163F7"/>
    <w:rsid w:val="006169F5"/>
    <w:rsid w:val="006223EB"/>
    <w:rsid w:val="0064199B"/>
    <w:rsid w:val="00652606"/>
    <w:rsid w:val="00665FFC"/>
    <w:rsid w:val="00672697"/>
    <w:rsid w:val="00682754"/>
    <w:rsid w:val="00686604"/>
    <w:rsid w:val="00694C70"/>
    <w:rsid w:val="0069624B"/>
    <w:rsid w:val="0069766E"/>
    <w:rsid w:val="006A1DA2"/>
    <w:rsid w:val="006A433C"/>
    <w:rsid w:val="006A58A9"/>
    <w:rsid w:val="006A606D"/>
    <w:rsid w:val="006B2245"/>
    <w:rsid w:val="006B7F7A"/>
    <w:rsid w:val="006C0371"/>
    <w:rsid w:val="006C08B6"/>
    <w:rsid w:val="006C0B1A"/>
    <w:rsid w:val="006C4384"/>
    <w:rsid w:val="006C5996"/>
    <w:rsid w:val="006C6065"/>
    <w:rsid w:val="006C7F9F"/>
    <w:rsid w:val="006E2F6D"/>
    <w:rsid w:val="006E58F6"/>
    <w:rsid w:val="006E77E1"/>
    <w:rsid w:val="006F131D"/>
    <w:rsid w:val="007039A5"/>
    <w:rsid w:val="00716D30"/>
    <w:rsid w:val="00730877"/>
    <w:rsid w:val="00734A87"/>
    <w:rsid w:val="00752BCD"/>
    <w:rsid w:val="00766DA1"/>
    <w:rsid w:val="0077102D"/>
    <w:rsid w:val="007830E3"/>
    <w:rsid w:val="007866A6"/>
    <w:rsid w:val="007A130D"/>
    <w:rsid w:val="007C471F"/>
    <w:rsid w:val="007D4102"/>
    <w:rsid w:val="007E5921"/>
    <w:rsid w:val="007E7108"/>
    <w:rsid w:val="007F51FC"/>
    <w:rsid w:val="00821FFC"/>
    <w:rsid w:val="008271CA"/>
    <w:rsid w:val="00837506"/>
    <w:rsid w:val="008467D5"/>
    <w:rsid w:val="00856D9F"/>
    <w:rsid w:val="008575B3"/>
    <w:rsid w:val="00866F6D"/>
    <w:rsid w:val="00896886"/>
    <w:rsid w:val="008A4DC4"/>
    <w:rsid w:val="008F21C4"/>
    <w:rsid w:val="00900FBA"/>
    <w:rsid w:val="009067A4"/>
    <w:rsid w:val="0090722E"/>
    <w:rsid w:val="009340DB"/>
    <w:rsid w:val="00943752"/>
    <w:rsid w:val="00956053"/>
    <w:rsid w:val="009572EF"/>
    <w:rsid w:val="00972498"/>
    <w:rsid w:val="00974CC6"/>
    <w:rsid w:val="00976AD4"/>
    <w:rsid w:val="009817B5"/>
    <w:rsid w:val="00985104"/>
    <w:rsid w:val="009960D5"/>
    <w:rsid w:val="00997DE6"/>
    <w:rsid w:val="009A312F"/>
    <w:rsid w:val="009A5348"/>
    <w:rsid w:val="009A67BB"/>
    <w:rsid w:val="009B1F6E"/>
    <w:rsid w:val="009C76D5"/>
    <w:rsid w:val="009E61DC"/>
    <w:rsid w:val="009F7AA4"/>
    <w:rsid w:val="009F7DBE"/>
    <w:rsid w:val="00A129B4"/>
    <w:rsid w:val="00A17687"/>
    <w:rsid w:val="00A559DB"/>
    <w:rsid w:val="00A62EB4"/>
    <w:rsid w:val="00A82063"/>
    <w:rsid w:val="00A905FD"/>
    <w:rsid w:val="00AA728C"/>
    <w:rsid w:val="00AB2A6D"/>
    <w:rsid w:val="00AD1850"/>
    <w:rsid w:val="00AD2C8E"/>
    <w:rsid w:val="00AF35FC"/>
    <w:rsid w:val="00B03639"/>
    <w:rsid w:val="00B0652A"/>
    <w:rsid w:val="00B11D40"/>
    <w:rsid w:val="00B2204C"/>
    <w:rsid w:val="00B3757D"/>
    <w:rsid w:val="00B40937"/>
    <w:rsid w:val="00B423EF"/>
    <w:rsid w:val="00B441B3"/>
    <w:rsid w:val="00B4457E"/>
    <w:rsid w:val="00B453DE"/>
    <w:rsid w:val="00B4742F"/>
    <w:rsid w:val="00B64810"/>
    <w:rsid w:val="00B733AA"/>
    <w:rsid w:val="00B82978"/>
    <w:rsid w:val="00B901F9"/>
    <w:rsid w:val="00B96E14"/>
    <w:rsid w:val="00BA665F"/>
    <w:rsid w:val="00BA7BD6"/>
    <w:rsid w:val="00BB418F"/>
    <w:rsid w:val="00BD6EFB"/>
    <w:rsid w:val="00C13EDD"/>
    <w:rsid w:val="00C15BE2"/>
    <w:rsid w:val="00C22219"/>
    <w:rsid w:val="00C32974"/>
    <w:rsid w:val="00C3447F"/>
    <w:rsid w:val="00C35726"/>
    <w:rsid w:val="00C57F4D"/>
    <w:rsid w:val="00C647A8"/>
    <w:rsid w:val="00C81491"/>
    <w:rsid w:val="00C81676"/>
    <w:rsid w:val="00C92CC4"/>
    <w:rsid w:val="00CA0AFB"/>
    <w:rsid w:val="00CA274F"/>
    <w:rsid w:val="00CA2CE1"/>
    <w:rsid w:val="00CA3976"/>
    <w:rsid w:val="00CA757B"/>
    <w:rsid w:val="00CC1787"/>
    <w:rsid w:val="00CC182C"/>
    <w:rsid w:val="00CC6D11"/>
    <w:rsid w:val="00CC72B0"/>
    <w:rsid w:val="00CD0824"/>
    <w:rsid w:val="00CD2908"/>
    <w:rsid w:val="00CE3E72"/>
    <w:rsid w:val="00CF24B6"/>
    <w:rsid w:val="00D03A82"/>
    <w:rsid w:val="00D15344"/>
    <w:rsid w:val="00D171C4"/>
    <w:rsid w:val="00D31BEC"/>
    <w:rsid w:val="00D509B5"/>
    <w:rsid w:val="00D537F3"/>
    <w:rsid w:val="00D54EFC"/>
    <w:rsid w:val="00D63150"/>
    <w:rsid w:val="00D64A32"/>
    <w:rsid w:val="00D64EFC"/>
    <w:rsid w:val="00D73E0C"/>
    <w:rsid w:val="00D741BB"/>
    <w:rsid w:val="00D75295"/>
    <w:rsid w:val="00D76CE9"/>
    <w:rsid w:val="00D84531"/>
    <w:rsid w:val="00D85C90"/>
    <w:rsid w:val="00D97F12"/>
    <w:rsid w:val="00DA5D63"/>
    <w:rsid w:val="00DB42E7"/>
    <w:rsid w:val="00DC2F7E"/>
    <w:rsid w:val="00DF32C2"/>
    <w:rsid w:val="00E21B51"/>
    <w:rsid w:val="00E4288A"/>
    <w:rsid w:val="00E471A7"/>
    <w:rsid w:val="00E505E0"/>
    <w:rsid w:val="00E61D19"/>
    <w:rsid w:val="00E635CF"/>
    <w:rsid w:val="00E725F6"/>
    <w:rsid w:val="00EA2001"/>
    <w:rsid w:val="00EA32A0"/>
    <w:rsid w:val="00EB5410"/>
    <w:rsid w:val="00EB5816"/>
    <w:rsid w:val="00EC6E0A"/>
    <w:rsid w:val="00ED4E18"/>
    <w:rsid w:val="00ED5236"/>
    <w:rsid w:val="00EE1F37"/>
    <w:rsid w:val="00EF15F0"/>
    <w:rsid w:val="00F0159C"/>
    <w:rsid w:val="00F02E08"/>
    <w:rsid w:val="00F105B7"/>
    <w:rsid w:val="00F16515"/>
    <w:rsid w:val="00F17A21"/>
    <w:rsid w:val="00F30982"/>
    <w:rsid w:val="00F50E91"/>
    <w:rsid w:val="00F57D29"/>
    <w:rsid w:val="00F649B2"/>
    <w:rsid w:val="00F6530B"/>
    <w:rsid w:val="00F756BD"/>
    <w:rsid w:val="00F86176"/>
    <w:rsid w:val="00F90C66"/>
    <w:rsid w:val="00F92A99"/>
    <w:rsid w:val="00F96201"/>
    <w:rsid w:val="00FA1E6A"/>
    <w:rsid w:val="00FA2E99"/>
    <w:rsid w:val="00FA5FE8"/>
    <w:rsid w:val="00FB297A"/>
    <w:rsid w:val="00FB7E24"/>
    <w:rsid w:val="00FC0462"/>
    <w:rsid w:val="00FC30E9"/>
    <w:rsid w:val="00FD0B18"/>
    <w:rsid w:val="00FD0F82"/>
    <w:rsid w:val="00FD3173"/>
    <w:rsid w:val="00FE5FA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512E75"/>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7830E3"/>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ta.worldbank.org/indicator/NY.GDP.PCAP.C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ubmed/?term=Andersson%20N%5Bauth%5D" TargetMode="External"/><Relationship Id="rId2" Type="http://schemas.openxmlformats.org/officeDocument/2006/relationships/hyperlink" Target="http://www.ncbi.nlm.nih.gov/pubmed/?term=Cockcroft%20A%5Bauth%5D" TargetMode="External"/><Relationship Id="rId1" Type="http://schemas.openxmlformats.org/officeDocument/2006/relationships/hyperlink" Target="http://research.brac.net/new/component/k2/shasthyashebikas" TargetMode="External"/><Relationship Id="rId6" Type="http://schemas.openxmlformats.org/officeDocument/2006/relationships/hyperlink" Target="http://www.ncbi.nlm.nih.gov/pubmed/?term=Karim%20E%5Bauth%5D" TargetMode="External"/><Relationship Id="rId5" Type="http://schemas.openxmlformats.org/officeDocument/2006/relationships/hyperlink" Target="http://www.ncbi.nlm.nih.gov/pubmed/?term=Hossain%20MZ%5Bauth%5D" TargetMode="External"/><Relationship Id="rId4" Type="http://schemas.openxmlformats.org/officeDocument/2006/relationships/hyperlink" Target="http://www.ncbi.nlm.nih.gov/pubmed/?term=Milne%20D%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BFD62-5B65-4D95-AB8B-71652E37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6020</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2011-06-23T13:34:00Z</cp:lastPrinted>
  <dcterms:created xsi:type="dcterms:W3CDTF">2017-12-07T21:37:00Z</dcterms:created>
  <dcterms:modified xsi:type="dcterms:W3CDTF">2017-12-07T21:37:00Z</dcterms:modified>
</cp:coreProperties>
</file>