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DC128A" w14:textId="77777777" w:rsidR="00142B66" w:rsidRDefault="00142B66"/>
    <w:tbl>
      <w:tblPr>
        <w:tblW w:w="0" w:type="auto"/>
        <w:tblInd w:w="108" w:type="dxa"/>
        <w:tblLook w:val="04A0" w:firstRow="1" w:lastRow="0" w:firstColumn="1" w:lastColumn="0" w:noHBand="0" w:noVBand="1"/>
      </w:tblPr>
      <w:tblGrid>
        <w:gridCol w:w="4664"/>
        <w:gridCol w:w="4588"/>
      </w:tblGrid>
      <w:tr w:rsidR="00142B66" w14:paraId="765C1392" w14:textId="77777777" w:rsidTr="005340DC">
        <w:tc>
          <w:tcPr>
            <w:tcW w:w="4680" w:type="dxa"/>
            <w:shd w:val="clear" w:color="auto" w:fill="auto"/>
          </w:tcPr>
          <w:p w14:paraId="70BFF319" w14:textId="77777777" w:rsidR="00142B66" w:rsidRPr="00183661" w:rsidRDefault="00142B66" w:rsidP="005340DC">
            <w:pPr>
              <w:pStyle w:val="Casehead2"/>
            </w:pPr>
            <w:r>
              <w:rPr>
                <w:noProof/>
                <w:lang w:val="en-CA" w:eastAsia="en-CA"/>
              </w:rPr>
              <w:drawing>
                <wp:inline distT="0" distB="0" distL="0" distR="0" wp14:anchorId="4567C9AA" wp14:editId="39B061E3">
                  <wp:extent cx="2609850" cy="552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609850" cy="552450"/>
                          </a:xfrm>
                          <a:prstGeom prst="rect">
                            <a:avLst/>
                          </a:prstGeom>
                          <a:noFill/>
                          <a:ln>
                            <a:noFill/>
                          </a:ln>
                        </pic:spPr>
                      </pic:pic>
                    </a:graphicData>
                  </a:graphic>
                </wp:inline>
              </w:drawing>
            </w:r>
          </w:p>
        </w:tc>
        <w:tc>
          <w:tcPr>
            <w:tcW w:w="4788" w:type="dxa"/>
            <w:shd w:val="clear" w:color="auto" w:fill="auto"/>
          </w:tcPr>
          <w:p w14:paraId="0EDE046A" w14:textId="78BD7864" w:rsidR="00142B66" w:rsidRPr="00183661" w:rsidRDefault="00142B66" w:rsidP="005340DC">
            <w:pPr>
              <w:tabs>
                <w:tab w:val="left" w:pos="-1440"/>
                <w:tab w:val="left" w:pos="-720"/>
                <w:tab w:val="left" w:pos="1"/>
              </w:tabs>
              <w:jc w:val="right"/>
              <w:rPr>
                <w:rFonts w:ascii="Arial" w:hAnsi="Arial" w:cs="Calibri"/>
                <w:b/>
                <w:sz w:val="24"/>
              </w:rPr>
            </w:pPr>
            <w:bookmarkStart w:id="0" w:name="_GoBack"/>
            <w:bookmarkEnd w:id="0"/>
          </w:p>
        </w:tc>
      </w:tr>
    </w:tbl>
    <w:p w14:paraId="15E44247" w14:textId="77777777" w:rsidR="00856D9F" w:rsidRPr="00B0605C" w:rsidRDefault="00856D9F" w:rsidP="008467D5">
      <w:pPr>
        <w:pBdr>
          <w:bottom w:val="single" w:sz="18" w:space="1" w:color="auto"/>
        </w:pBdr>
        <w:tabs>
          <w:tab w:val="left" w:pos="-1440"/>
          <w:tab w:val="left" w:pos="-720"/>
          <w:tab w:val="left" w:pos="1"/>
        </w:tabs>
        <w:jc w:val="both"/>
        <w:rPr>
          <w:rFonts w:ascii="Arial" w:hAnsi="Arial"/>
          <w:b/>
          <w:sz w:val="24"/>
          <w:lang w:val="en-GB"/>
        </w:rPr>
      </w:pPr>
    </w:p>
    <w:p w14:paraId="70CF595C" w14:textId="1FEFBA58" w:rsidR="00D75295" w:rsidRPr="00B0605C" w:rsidRDefault="00617FC5" w:rsidP="00F105B7">
      <w:pPr>
        <w:pStyle w:val="ProductNumber"/>
        <w:rPr>
          <w:lang w:val="en-GB"/>
        </w:rPr>
      </w:pPr>
      <w:r>
        <w:rPr>
          <w:lang w:val="en-GB"/>
        </w:rPr>
        <w:t>9B17A067</w:t>
      </w:r>
    </w:p>
    <w:p w14:paraId="5DA407C5" w14:textId="77777777" w:rsidR="00D75295" w:rsidRPr="00B0605C" w:rsidRDefault="00D75295" w:rsidP="00D75295">
      <w:pPr>
        <w:jc w:val="right"/>
        <w:rPr>
          <w:rFonts w:ascii="Arial" w:hAnsi="Arial"/>
          <w:b/>
          <w:sz w:val="28"/>
          <w:szCs w:val="28"/>
          <w:lang w:val="en-GB"/>
        </w:rPr>
      </w:pPr>
    </w:p>
    <w:p w14:paraId="78CAF963" w14:textId="77777777" w:rsidR="00866F6D" w:rsidRPr="00B0605C" w:rsidRDefault="00866F6D" w:rsidP="00D75295">
      <w:pPr>
        <w:jc w:val="right"/>
        <w:rPr>
          <w:rFonts w:ascii="Arial" w:hAnsi="Arial"/>
          <w:b/>
          <w:sz w:val="28"/>
          <w:szCs w:val="28"/>
          <w:lang w:val="en-GB"/>
        </w:rPr>
      </w:pPr>
    </w:p>
    <w:p w14:paraId="1DCE4F97" w14:textId="5956FAAE" w:rsidR="00013360" w:rsidRPr="00B0605C" w:rsidRDefault="0072069B" w:rsidP="00013360">
      <w:pPr>
        <w:pStyle w:val="CaseTitle"/>
        <w:spacing w:after="0" w:line="240" w:lineRule="auto"/>
        <w:rPr>
          <w:lang w:val="en-GB"/>
        </w:rPr>
      </w:pPr>
      <w:r w:rsidRPr="00B0605C">
        <w:rPr>
          <w:lang w:val="en-GB"/>
        </w:rPr>
        <w:t>LAS VEGAS</w:t>
      </w:r>
      <w:r w:rsidR="00CD62B5" w:rsidRPr="00B0605C">
        <w:rPr>
          <w:lang w:val="en-GB"/>
        </w:rPr>
        <w:t xml:space="preserve"> sands corp</w:t>
      </w:r>
      <w:r w:rsidR="003A2839">
        <w:rPr>
          <w:lang w:val="en-GB"/>
        </w:rPr>
        <w:t>.</w:t>
      </w:r>
      <w:r w:rsidR="00CD62B5" w:rsidRPr="00B0605C">
        <w:rPr>
          <w:lang w:val="en-GB"/>
        </w:rPr>
        <w:t>: pricing</w:t>
      </w:r>
      <w:r w:rsidR="005A5ABD" w:rsidRPr="00B0605C">
        <w:rPr>
          <w:lang w:val="en-GB"/>
        </w:rPr>
        <w:t xml:space="preserve"> game</w:t>
      </w:r>
      <w:r w:rsidR="00BD6651" w:rsidRPr="00B0605C">
        <w:rPr>
          <w:lang w:val="en-GB"/>
        </w:rPr>
        <w:t xml:space="preserve"> in vegas</w:t>
      </w:r>
      <w:r w:rsidR="00B0605C" w:rsidRPr="00B0605C">
        <w:rPr>
          <w:lang w:val="en-GB"/>
        </w:rPr>
        <w:t xml:space="preserve"> </w:t>
      </w:r>
    </w:p>
    <w:p w14:paraId="0ED01AD1" w14:textId="77777777" w:rsidR="00013360" w:rsidRPr="00B0605C" w:rsidRDefault="00013360" w:rsidP="00013360">
      <w:pPr>
        <w:pStyle w:val="CaseTitle"/>
        <w:spacing w:after="0" w:line="240" w:lineRule="auto"/>
        <w:rPr>
          <w:sz w:val="20"/>
          <w:szCs w:val="20"/>
          <w:lang w:val="en-GB"/>
        </w:rPr>
      </w:pPr>
    </w:p>
    <w:p w14:paraId="60A177ED" w14:textId="77777777" w:rsidR="00CA3976" w:rsidRPr="00B0605C" w:rsidRDefault="00CA3976" w:rsidP="00013360">
      <w:pPr>
        <w:pStyle w:val="CaseTitle"/>
        <w:spacing w:after="0" w:line="240" w:lineRule="auto"/>
        <w:rPr>
          <w:sz w:val="20"/>
          <w:szCs w:val="20"/>
          <w:lang w:val="en-GB"/>
        </w:rPr>
      </w:pPr>
    </w:p>
    <w:p w14:paraId="2D829B30" w14:textId="77777777" w:rsidR="00013360" w:rsidRPr="00B0605C" w:rsidRDefault="00013360" w:rsidP="00013360">
      <w:pPr>
        <w:pStyle w:val="CaseTitle"/>
        <w:spacing w:after="0" w:line="240" w:lineRule="auto"/>
        <w:rPr>
          <w:sz w:val="20"/>
          <w:szCs w:val="20"/>
          <w:lang w:val="en-GB"/>
        </w:rPr>
      </w:pPr>
    </w:p>
    <w:p w14:paraId="06883CFC" w14:textId="61B0B316" w:rsidR="00013360" w:rsidRPr="00B0605C" w:rsidRDefault="00C17632" w:rsidP="00104567">
      <w:pPr>
        <w:pStyle w:val="StyleCopyrightStatementAfter0ptBottomSinglesolidline1"/>
        <w:rPr>
          <w:lang w:val="en-GB"/>
        </w:rPr>
      </w:pPr>
      <w:r w:rsidRPr="00B0605C">
        <w:rPr>
          <w:lang w:val="en-GB"/>
        </w:rPr>
        <w:t>Seok-Woo Kwon</w:t>
      </w:r>
      <w:r w:rsidR="00201E95" w:rsidRPr="00B0605C">
        <w:rPr>
          <w:lang w:val="en-GB"/>
        </w:rPr>
        <w:t xml:space="preserve">, </w:t>
      </w:r>
      <w:r w:rsidRPr="00B0605C">
        <w:rPr>
          <w:lang w:val="en-GB"/>
        </w:rPr>
        <w:t>Won-Yong Oh</w:t>
      </w:r>
      <w:r w:rsidR="00344605">
        <w:rPr>
          <w:lang w:val="en-GB"/>
        </w:rPr>
        <w:t>,</w:t>
      </w:r>
      <w:r w:rsidR="00201E95" w:rsidRPr="00B0605C">
        <w:rPr>
          <w:lang w:val="en-GB"/>
        </w:rPr>
        <w:t xml:space="preserve"> and Brooke Miskiman </w:t>
      </w:r>
      <w:r w:rsidR="0072069B" w:rsidRPr="00B0605C">
        <w:rPr>
          <w:lang w:val="en-GB"/>
        </w:rPr>
        <w:t>w</w:t>
      </w:r>
      <w:r w:rsidR="007E5921" w:rsidRPr="00B0605C">
        <w:rPr>
          <w:lang w:val="en-GB"/>
        </w:rPr>
        <w:t>rote this case sol</w:t>
      </w:r>
      <w:r w:rsidR="00D75295" w:rsidRPr="00B0605C">
        <w:rPr>
          <w:lang w:val="en-GB"/>
        </w:rPr>
        <w:t>ely to provide material for class discussion. The authors do not intend to illustrate either effective or ineffective handling of a managerial situation. The authors may have disguised certain names and other identifying information to protect confidentiality.</w:t>
      </w:r>
      <w:r w:rsidR="00201E95" w:rsidRPr="00B0605C">
        <w:rPr>
          <w:lang w:val="en-GB"/>
        </w:rPr>
        <w:t xml:space="preserve"> </w:t>
      </w:r>
    </w:p>
    <w:p w14:paraId="33983A08" w14:textId="77777777" w:rsidR="00013360" w:rsidRPr="00B0605C" w:rsidRDefault="00013360" w:rsidP="00104567">
      <w:pPr>
        <w:pStyle w:val="StyleCopyrightStatementAfter0ptBottomSinglesolidline1"/>
        <w:rPr>
          <w:lang w:val="en-GB"/>
        </w:rPr>
      </w:pPr>
    </w:p>
    <w:p w14:paraId="632050FA" w14:textId="6381106D" w:rsidR="0007655E" w:rsidRPr="00E23AB7" w:rsidRDefault="0007655E" w:rsidP="00617FC5">
      <w:pP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0" w:history="1">
        <w:r w:rsidRPr="00E23AB7">
          <w:rPr>
            <w:rFonts w:ascii="Arial" w:hAnsi="Arial"/>
            <w:i/>
            <w:iCs/>
            <w:color w:val="000000"/>
            <w:sz w:val="16"/>
          </w:rPr>
          <w:t>www.iveycases.com</w:t>
        </w:r>
      </w:hyperlink>
      <w:r w:rsidRPr="00E23AB7">
        <w:rPr>
          <w:rFonts w:ascii="Arial" w:hAnsi="Arial"/>
          <w:i/>
          <w:iCs/>
          <w:color w:val="000000"/>
          <w:sz w:val="16"/>
        </w:rPr>
        <w:t>.</w:t>
      </w:r>
    </w:p>
    <w:p w14:paraId="69CF6D2C" w14:textId="77777777" w:rsidR="0007655E" w:rsidRPr="00E23AB7" w:rsidRDefault="0007655E" w:rsidP="00617FC5">
      <w:pPr>
        <w:tabs>
          <w:tab w:val="right" w:pos="9360"/>
        </w:tabs>
        <w:autoSpaceDE w:val="0"/>
        <w:autoSpaceDN w:val="0"/>
        <w:adjustRightInd w:val="0"/>
        <w:jc w:val="both"/>
        <w:textAlignment w:val="center"/>
        <w:rPr>
          <w:rFonts w:ascii="Arial" w:hAnsi="Arial"/>
          <w:i/>
          <w:iCs/>
          <w:color w:val="000000"/>
          <w:sz w:val="16"/>
        </w:rPr>
      </w:pPr>
    </w:p>
    <w:p w14:paraId="57D6B180" w14:textId="2DF3228C" w:rsidR="003B7EF2" w:rsidRPr="0007655E" w:rsidRDefault="0007655E" w:rsidP="0007655E">
      <w:pPr>
        <w:tabs>
          <w:tab w:val="right" w:pos="9360"/>
        </w:tabs>
        <w:autoSpaceDE w:val="0"/>
        <w:autoSpaceDN w:val="0"/>
        <w:adjustRightInd w:val="0"/>
        <w:jc w:val="both"/>
        <w:textAlignment w:val="center"/>
        <w:rPr>
          <w:rFonts w:ascii="Arial" w:hAnsi="Arial" w:cs="Arial"/>
          <w:i/>
          <w:iCs/>
          <w:color w:val="000000"/>
          <w:sz w:val="12"/>
        </w:rPr>
      </w:pPr>
      <w:r w:rsidRPr="00B65245">
        <w:rPr>
          <w:rFonts w:ascii="Arial" w:hAnsi="Arial"/>
          <w:i/>
          <w:iCs/>
          <w:color w:val="000000"/>
          <w:sz w:val="16"/>
        </w:rPr>
        <w:t>Copyright © 201</w:t>
      </w:r>
      <w:r>
        <w:rPr>
          <w:rFonts w:ascii="Arial" w:hAnsi="Arial"/>
          <w:i/>
          <w:iCs/>
          <w:color w:val="000000"/>
          <w:sz w:val="16"/>
        </w:rPr>
        <w:t>7</w:t>
      </w:r>
      <w:r w:rsidRPr="00B65245">
        <w:rPr>
          <w:rFonts w:ascii="Arial" w:hAnsi="Arial"/>
          <w:i/>
          <w:iCs/>
          <w:color w:val="000000"/>
          <w:sz w:val="16"/>
        </w:rPr>
        <w:t>, Richard Ivey School of Business Foundation</w:t>
      </w:r>
      <w:r w:rsidR="003B7EF2" w:rsidRPr="00B0605C">
        <w:rPr>
          <w:lang w:val="en-GB"/>
        </w:rPr>
        <w:tab/>
      </w:r>
      <w:r w:rsidR="003B7EF2" w:rsidRPr="0007655E">
        <w:rPr>
          <w:rFonts w:ascii="Arial" w:hAnsi="Arial" w:cs="Arial"/>
          <w:i/>
          <w:sz w:val="16"/>
          <w:lang w:val="en-GB"/>
        </w:rPr>
        <w:t xml:space="preserve">Version: </w:t>
      </w:r>
      <w:r w:rsidR="00361C8E" w:rsidRPr="0007655E">
        <w:rPr>
          <w:rFonts w:ascii="Arial" w:hAnsi="Arial" w:cs="Arial"/>
          <w:i/>
          <w:sz w:val="16"/>
          <w:lang w:val="en-GB"/>
        </w:rPr>
        <w:t>201</w:t>
      </w:r>
      <w:r w:rsidR="00805291" w:rsidRPr="0007655E">
        <w:rPr>
          <w:rFonts w:ascii="Arial" w:hAnsi="Arial" w:cs="Arial"/>
          <w:i/>
          <w:sz w:val="16"/>
          <w:lang w:val="en-GB"/>
        </w:rPr>
        <w:t>7</w:t>
      </w:r>
      <w:r w:rsidR="00361C8E" w:rsidRPr="0007655E">
        <w:rPr>
          <w:rFonts w:ascii="Arial" w:hAnsi="Arial" w:cs="Arial"/>
          <w:i/>
          <w:sz w:val="16"/>
          <w:lang w:val="en-GB"/>
        </w:rPr>
        <w:t>-</w:t>
      </w:r>
      <w:r w:rsidR="008A46AE" w:rsidRPr="0007655E">
        <w:rPr>
          <w:rFonts w:ascii="Arial" w:hAnsi="Arial" w:cs="Arial"/>
          <w:i/>
          <w:sz w:val="16"/>
          <w:lang w:val="en-GB"/>
        </w:rPr>
        <w:t>12</w:t>
      </w:r>
      <w:r w:rsidR="00361C8E" w:rsidRPr="0007655E">
        <w:rPr>
          <w:rFonts w:ascii="Arial" w:hAnsi="Arial" w:cs="Arial"/>
          <w:i/>
          <w:sz w:val="16"/>
          <w:lang w:val="en-GB"/>
        </w:rPr>
        <w:t>-</w:t>
      </w:r>
      <w:r w:rsidR="008A46AE" w:rsidRPr="0007655E">
        <w:rPr>
          <w:rFonts w:ascii="Arial" w:hAnsi="Arial" w:cs="Arial"/>
          <w:i/>
          <w:sz w:val="16"/>
          <w:lang w:val="en-GB"/>
        </w:rPr>
        <w:t>11</w:t>
      </w:r>
    </w:p>
    <w:p w14:paraId="62644F7E" w14:textId="77777777" w:rsidR="003B7EF2" w:rsidRPr="00B0605C" w:rsidRDefault="003B7EF2" w:rsidP="00104567">
      <w:pPr>
        <w:pStyle w:val="StyleCopyrightStatementAfter0ptBottomSinglesolidline1"/>
        <w:rPr>
          <w:rFonts w:ascii="Times New Roman" w:hAnsi="Times New Roman"/>
          <w:sz w:val="20"/>
          <w:lang w:val="en-GB"/>
        </w:rPr>
      </w:pPr>
    </w:p>
    <w:p w14:paraId="47F8261E" w14:textId="77777777" w:rsidR="00865D71" w:rsidRPr="00B0605C" w:rsidRDefault="00865D71" w:rsidP="00104567">
      <w:pPr>
        <w:pStyle w:val="StyleCopyrightStatementAfter0ptBottomSinglesolidline1"/>
        <w:rPr>
          <w:rFonts w:ascii="Times New Roman" w:hAnsi="Times New Roman"/>
          <w:sz w:val="20"/>
          <w:lang w:val="en-GB"/>
        </w:rPr>
      </w:pPr>
    </w:p>
    <w:p w14:paraId="64F29DE2" w14:textId="31036399" w:rsidR="00805291" w:rsidRPr="00B0605C" w:rsidRDefault="008C54BD" w:rsidP="008C54BD">
      <w:pPr>
        <w:pStyle w:val="StyleCopyrightStatementAfter0ptBottomSinglesolidline1"/>
        <w:rPr>
          <w:rFonts w:ascii="Times New Roman" w:hAnsi="Times New Roman"/>
          <w:i w:val="0"/>
          <w:sz w:val="22"/>
          <w:szCs w:val="22"/>
          <w:lang w:val="en-GB"/>
        </w:rPr>
      </w:pPr>
      <w:r w:rsidRPr="00B0605C">
        <w:rPr>
          <w:rFonts w:ascii="Times New Roman" w:hAnsi="Times New Roman"/>
          <w:i w:val="0"/>
          <w:sz w:val="22"/>
          <w:szCs w:val="22"/>
          <w:lang w:val="en-GB"/>
        </w:rPr>
        <w:t>In 2016, MGM Resorts International</w:t>
      </w:r>
      <w:r w:rsidR="00805291" w:rsidRPr="00B0605C">
        <w:rPr>
          <w:rFonts w:ascii="Times New Roman" w:hAnsi="Times New Roman"/>
          <w:i w:val="0"/>
          <w:sz w:val="22"/>
          <w:szCs w:val="22"/>
          <w:lang w:val="en-GB"/>
        </w:rPr>
        <w:t xml:space="preserve"> </w:t>
      </w:r>
      <w:r w:rsidR="009D45BA">
        <w:rPr>
          <w:rFonts w:ascii="Times New Roman" w:hAnsi="Times New Roman"/>
          <w:i w:val="0"/>
          <w:sz w:val="22"/>
          <w:szCs w:val="22"/>
          <w:lang w:val="en-GB"/>
        </w:rPr>
        <w:t xml:space="preserve">(MGM Resorts) </w:t>
      </w:r>
      <w:r w:rsidRPr="00B0605C">
        <w:rPr>
          <w:rFonts w:ascii="Times New Roman" w:hAnsi="Times New Roman"/>
          <w:i w:val="0"/>
          <w:sz w:val="22"/>
          <w:szCs w:val="22"/>
          <w:lang w:val="en-GB"/>
        </w:rPr>
        <w:t xml:space="preserve">announced it would </w:t>
      </w:r>
      <w:r w:rsidR="007D5097" w:rsidRPr="00B0605C">
        <w:rPr>
          <w:rFonts w:ascii="Times New Roman" w:hAnsi="Times New Roman"/>
          <w:i w:val="0"/>
          <w:sz w:val="22"/>
          <w:szCs w:val="22"/>
          <w:lang w:val="en-GB"/>
        </w:rPr>
        <w:t>end its</w:t>
      </w:r>
      <w:r w:rsidRPr="00B0605C">
        <w:rPr>
          <w:rFonts w:ascii="Times New Roman" w:hAnsi="Times New Roman"/>
          <w:i w:val="0"/>
          <w:sz w:val="22"/>
          <w:szCs w:val="22"/>
          <w:lang w:val="en-GB"/>
        </w:rPr>
        <w:t xml:space="preserve"> long</w:t>
      </w:r>
      <w:r w:rsidR="003A2839">
        <w:rPr>
          <w:rFonts w:ascii="Times New Roman" w:hAnsi="Times New Roman"/>
          <w:i w:val="0"/>
          <w:sz w:val="22"/>
          <w:szCs w:val="22"/>
          <w:lang w:val="en-GB"/>
        </w:rPr>
        <w:t>-</w:t>
      </w:r>
      <w:r w:rsidRPr="00B0605C">
        <w:rPr>
          <w:rFonts w:ascii="Times New Roman" w:hAnsi="Times New Roman"/>
          <w:i w:val="0"/>
          <w:sz w:val="22"/>
          <w:szCs w:val="22"/>
          <w:lang w:val="en-GB"/>
        </w:rPr>
        <w:t xml:space="preserve">standing </w:t>
      </w:r>
      <w:r w:rsidR="00F002DE" w:rsidRPr="00B0605C">
        <w:rPr>
          <w:rFonts w:ascii="Times New Roman" w:hAnsi="Times New Roman"/>
          <w:i w:val="0"/>
          <w:sz w:val="22"/>
          <w:szCs w:val="22"/>
          <w:lang w:val="en-GB"/>
        </w:rPr>
        <w:t>practice</w:t>
      </w:r>
      <w:r w:rsidRPr="00B0605C">
        <w:rPr>
          <w:rFonts w:ascii="Times New Roman" w:hAnsi="Times New Roman"/>
          <w:i w:val="0"/>
          <w:sz w:val="22"/>
          <w:szCs w:val="22"/>
          <w:lang w:val="en-GB"/>
        </w:rPr>
        <w:t xml:space="preserve"> of </w:t>
      </w:r>
      <w:r w:rsidR="00F002DE" w:rsidRPr="00B0605C">
        <w:rPr>
          <w:rFonts w:ascii="Times New Roman" w:hAnsi="Times New Roman"/>
          <w:i w:val="0"/>
          <w:sz w:val="22"/>
          <w:szCs w:val="22"/>
          <w:lang w:val="en-GB"/>
        </w:rPr>
        <w:t xml:space="preserve">providing </w:t>
      </w:r>
      <w:r w:rsidRPr="00B0605C">
        <w:rPr>
          <w:rFonts w:ascii="Times New Roman" w:hAnsi="Times New Roman"/>
          <w:i w:val="0"/>
          <w:sz w:val="22"/>
          <w:szCs w:val="22"/>
          <w:lang w:val="en-GB"/>
        </w:rPr>
        <w:t xml:space="preserve">free </w:t>
      </w:r>
      <w:r w:rsidR="007363EA" w:rsidRPr="00B0605C">
        <w:rPr>
          <w:rFonts w:ascii="Times New Roman" w:hAnsi="Times New Roman"/>
          <w:i w:val="0"/>
          <w:sz w:val="22"/>
          <w:szCs w:val="22"/>
          <w:lang w:val="en-GB"/>
        </w:rPr>
        <w:t>parking</w:t>
      </w:r>
      <w:r w:rsidR="001E680F">
        <w:rPr>
          <w:rFonts w:ascii="Times New Roman" w:hAnsi="Times New Roman"/>
          <w:i w:val="0"/>
          <w:sz w:val="22"/>
          <w:szCs w:val="22"/>
          <w:lang w:val="en-GB"/>
        </w:rPr>
        <w:t xml:space="preserve"> at its properties on the Las Vegas Strip</w:t>
      </w:r>
      <w:r w:rsidR="007363EA" w:rsidRPr="00B0605C">
        <w:rPr>
          <w:rFonts w:ascii="Times New Roman" w:hAnsi="Times New Roman"/>
          <w:i w:val="0"/>
          <w:sz w:val="22"/>
          <w:szCs w:val="22"/>
          <w:lang w:val="en-GB"/>
        </w:rPr>
        <w:t>.</w:t>
      </w:r>
      <w:r w:rsidRPr="00B0605C">
        <w:rPr>
          <w:rFonts w:ascii="Times New Roman" w:hAnsi="Times New Roman"/>
          <w:i w:val="0"/>
          <w:sz w:val="22"/>
          <w:szCs w:val="22"/>
          <w:lang w:val="en-GB"/>
        </w:rPr>
        <w:t xml:space="preserve"> </w:t>
      </w:r>
      <w:r w:rsidR="007363EA" w:rsidRPr="00B0605C">
        <w:rPr>
          <w:rFonts w:ascii="Times New Roman" w:hAnsi="Times New Roman"/>
          <w:i w:val="0"/>
          <w:sz w:val="22"/>
          <w:szCs w:val="22"/>
          <w:lang w:val="en-GB"/>
        </w:rPr>
        <w:t xml:space="preserve">Caesars Entertainment also </w:t>
      </w:r>
      <w:r w:rsidRPr="00B0605C">
        <w:rPr>
          <w:rFonts w:ascii="Times New Roman" w:hAnsi="Times New Roman"/>
          <w:i w:val="0"/>
          <w:sz w:val="22"/>
          <w:szCs w:val="22"/>
          <w:lang w:val="en-GB"/>
        </w:rPr>
        <w:t xml:space="preserve">began charging for valet </w:t>
      </w:r>
      <w:r w:rsidR="004A4A82">
        <w:rPr>
          <w:rFonts w:ascii="Times New Roman" w:hAnsi="Times New Roman"/>
          <w:i w:val="0"/>
          <w:sz w:val="22"/>
          <w:szCs w:val="22"/>
          <w:lang w:val="en-GB"/>
        </w:rPr>
        <w:t xml:space="preserve">parking </w:t>
      </w:r>
      <w:r w:rsidRPr="00B0605C">
        <w:rPr>
          <w:rFonts w:ascii="Times New Roman" w:hAnsi="Times New Roman"/>
          <w:i w:val="0"/>
          <w:sz w:val="22"/>
          <w:szCs w:val="22"/>
          <w:lang w:val="en-GB"/>
        </w:rPr>
        <w:t xml:space="preserve">and self-parking at its Las Vegas resorts, and the Cosmopolitan </w:t>
      </w:r>
      <w:r w:rsidR="00F002DE" w:rsidRPr="00B0605C">
        <w:rPr>
          <w:rFonts w:ascii="Times New Roman" w:hAnsi="Times New Roman"/>
          <w:i w:val="0"/>
          <w:sz w:val="22"/>
          <w:szCs w:val="22"/>
          <w:lang w:val="en-GB"/>
        </w:rPr>
        <w:t>H</w:t>
      </w:r>
      <w:r w:rsidRPr="00B0605C">
        <w:rPr>
          <w:rFonts w:ascii="Times New Roman" w:hAnsi="Times New Roman"/>
          <w:i w:val="0"/>
          <w:sz w:val="22"/>
          <w:szCs w:val="22"/>
          <w:lang w:val="en-GB"/>
        </w:rPr>
        <w:t xml:space="preserve">otel announced it would start charging for parking in May 2017. </w:t>
      </w:r>
      <w:r w:rsidR="00805291" w:rsidRPr="00B0605C">
        <w:rPr>
          <w:rFonts w:ascii="Times New Roman" w:hAnsi="Times New Roman"/>
          <w:i w:val="0"/>
          <w:sz w:val="22"/>
          <w:szCs w:val="22"/>
          <w:lang w:val="en-GB"/>
        </w:rPr>
        <w:t xml:space="preserve">In </w:t>
      </w:r>
      <w:r w:rsidR="0046096B" w:rsidRPr="00B0605C">
        <w:rPr>
          <w:rFonts w:ascii="Times New Roman" w:hAnsi="Times New Roman"/>
          <w:i w:val="0"/>
          <w:sz w:val="22"/>
          <w:szCs w:val="22"/>
          <w:lang w:val="en-GB"/>
        </w:rPr>
        <w:t xml:space="preserve">August </w:t>
      </w:r>
      <w:r w:rsidR="00805291" w:rsidRPr="00B0605C">
        <w:rPr>
          <w:rFonts w:ascii="Times New Roman" w:hAnsi="Times New Roman"/>
          <w:i w:val="0"/>
          <w:sz w:val="22"/>
          <w:szCs w:val="22"/>
          <w:lang w:val="en-GB"/>
        </w:rPr>
        <w:t xml:space="preserve">2017, Wynn Resorts, </w:t>
      </w:r>
      <w:r w:rsidR="007363EA" w:rsidRPr="00B0605C">
        <w:rPr>
          <w:rFonts w:ascii="Times New Roman" w:hAnsi="Times New Roman"/>
          <w:i w:val="0"/>
          <w:sz w:val="22"/>
          <w:szCs w:val="22"/>
          <w:lang w:val="en-GB"/>
        </w:rPr>
        <w:t xml:space="preserve">following the trend, </w:t>
      </w:r>
      <w:r w:rsidR="00805291" w:rsidRPr="00B0605C">
        <w:rPr>
          <w:rFonts w:ascii="Times New Roman" w:hAnsi="Times New Roman"/>
          <w:i w:val="0"/>
          <w:sz w:val="22"/>
          <w:szCs w:val="22"/>
          <w:lang w:val="en-GB"/>
        </w:rPr>
        <w:t xml:space="preserve">announced it would begin to charge for parking at both </w:t>
      </w:r>
      <w:r w:rsidR="00F002DE" w:rsidRPr="00B0605C">
        <w:rPr>
          <w:rFonts w:ascii="Times New Roman" w:hAnsi="Times New Roman"/>
          <w:i w:val="0"/>
          <w:sz w:val="22"/>
          <w:szCs w:val="22"/>
          <w:lang w:val="en-GB"/>
        </w:rPr>
        <w:t xml:space="preserve">its </w:t>
      </w:r>
      <w:r w:rsidR="00805291" w:rsidRPr="00B0605C">
        <w:rPr>
          <w:rFonts w:ascii="Times New Roman" w:hAnsi="Times New Roman"/>
          <w:i w:val="0"/>
          <w:sz w:val="22"/>
          <w:szCs w:val="22"/>
          <w:lang w:val="en-GB"/>
        </w:rPr>
        <w:t>Wynn and Encore</w:t>
      </w:r>
      <w:r w:rsidR="00F002DE" w:rsidRPr="00B0605C">
        <w:rPr>
          <w:rFonts w:ascii="Times New Roman" w:hAnsi="Times New Roman"/>
          <w:i w:val="0"/>
          <w:sz w:val="22"/>
          <w:szCs w:val="22"/>
          <w:lang w:val="en-GB"/>
        </w:rPr>
        <w:t xml:space="preserve"> </w:t>
      </w:r>
      <w:r w:rsidR="00BF7D0A" w:rsidRPr="00B0605C">
        <w:rPr>
          <w:rFonts w:ascii="Times New Roman" w:hAnsi="Times New Roman"/>
          <w:i w:val="0"/>
          <w:sz w:val="22"/>
          <w:szCs w:val="22"/>
          <w:lang w:val="en-GB"/>
        </w:rPr>
        <w:t>resorts</w:t>
      </w:r>
      <w:r w:rsidR="007363EA" w:rsidRPr="00B0605C">
        <w:rPr>
          <w:rFonts w:ascii="Times New Roman" w:hAnsi="Times New Roman"/>
          <w:i w:val="0"/>
          <w:sz w:val="22"/>
          <w:szCs w:val="22"/>
          <w:lang w:val="en-GB"/>
        </w:rPr>
        <w:t>.</w:t>
      </w:r>
      <w:r w:rsidR="00B0605C" w:rsidRPr="00B0605C">
        <w:rPr>
          <w:rFonts w:ascii="Times New Roman" w:hAnsi="Times New Roman"/>
          <w:i w:val="0"/>
          <w:sz w:val="22"/>
          <w:szCs w:val="22"/>
          <w:lang w:val="en-GB"/>
        </w:rPr>
        <w:t xml:space="preserve"> </w:t>
      </w:r>
    </w:p>
    <w:p w14:paraId="6EB3C3F8" w14:textId="77777777" w:rsidR="00805291" w:rsidRPr="00B0605C" w:rsidRDefault="00805291" w:rsidP="008C54BD">
      <w:pPr>
        <w:pStyle w:val="StyleCopyrightStatementAfter0ptBottomSinglesolidline1"/>
        <w:rPr>
          <w:rFonts w:ascii="Times New Roman" w:hAnsi="Times New Roman"/>
          <w:i w:val="0"/>
          <w:sz w:val="22"/>
          <w:szCs w:val="22"/>
          <w:lang w:val="en-GB"/>
        </w:rPr>
      </w:pPr>
    </w:p>
    <w:p w14:paraId="4EEDA82E" w14:textId="416943A0" w:rsidR="007363EA" w:rsidRPr="00B0605C" w:rsidRDefault="007363EA" w:rsidP="008C54BD">
      <w:pPr>
        <w:pStyle w:val="StyleCopyrightStatementAfter0ptBottomSinglesolidline1"/>
        <w:rPr>
          <w:rFonts w:ascii="Times New Roman" w:hAnsi="Times New Roman"/>
          <w:i w:val="0"/>
          <w:sz w:val="22"/>
          <w:szCs w:val="22"/>
          <w:lang w:val="en-GB"/>
        </w:rPr>
      </w:pPr>
      <w:r w:rsidRPr="00B0605C">
        <w:rPr>
          <w:rFonts w:ascii="Times New Roman" w:hAnsi="Times New Roman"/>
          <w:i w:val="0"/>
          <w:sz w:val="22"/>
          <w:szCs w:val="22"/>
          <w:lang w:val="en-GB"/>
        </w:rPr>
        <w:t xml:space="preserve">In September 2017, </w:t>
      </w:r>
      <w:r w:rsidR="006C3C2B">
        <w:rPr>
          <w:rFonts w:ascii="Times New Roman" w:hAnsi="Times New Roman"/>
          <w:i w:val="0"/>
          <w:sz w:val="22"/>
          <w:szCs w:val="22"/>
          <w:lang w:val="en-GB"/>
        </w:rPr>
        <w:t>Las Vegas Sands Corp.</w:t>
      </w:r>
      <w:r w:rsidRPr="00B0605C">
        <w:rPr>
          <w:rFonts w:ascii="Times New Roman" w:hAnsi="Times New Roman"/>
          <w:i w:val="0"/>
          <w:sz w:val="22"/>
          <w:szCs w:val="22"/>
          <w:lang w:val="en-GB"/>
        </w:rPr>
        <w:t xml:space="preserve"> </w:t>
      </w:r>
      <w:r w:rsidR="001D4EAC">
        <w:rPr>
          <w:rFonts w:ascii="Times New Roman" w:hAnsi="Times New Roman"/>
          <w:i w:val="0"/>
          <w:sz w:val="22"/>
          <w:szCs w:val="22"/>
          <w:lang w:val="en-GB"/>
        </w:rPr>
        <w:t xml:space="preserve">(Las Vegas Sands) </w:t>
      </w:r>
      <w:r w:rsidRPr="00B0605C">
        <w:rPr>
          <w:rFonts w:ascii="Times New Roman" w:hAnsi="Times New Roman"/>
          <w:i w:val="0"/>
          <w:sz w:val="22"/>
          <w:szCs w:val="22"/>
          <w:lang w:val="en-GB"/>
        </w:rPr>
        <w:t xml:space="preserve">announced </w:t>
      </w:r>
      <w:r w:rsidR="008C54BD" w:rsidRPr="00B0605C">
        <w:rPr>
          <w:rFonts w:ascii="Times New Roman" w:hAnsi="Times New Roman"/>
          <w:i w:val="0"/>
          <w:sz w:val="22"/>
          <w:szCs w:val="22"/>
          <w:lang w:val="en-GB"/>
        </w:rPr>
        <w:t>it had</w:t>
      </w:r>
      <w:r w:rsidR="00804ED4" w:rsidRPr="00B0605C">
        <w:rPr>
          <w:rFonts w:ascii="Times New Roman" w:hAnsi="Times New Roman"/>
          <w:i w:val="0"/>
          <w:sz w:val="22"/>
          <w:szCs w:val="22"/>
          <w:lang w:val="en-GB"/>
        </w:rPr>
        <w:t xml:space="preserve"> no plans to</w:t>
      </w:r>
      <w:r w:rsidRPr="00B0605C">
        <w:rPr>
          <w:rFonts w:ascii="Times New Roman" w:hAnsi="Times New Roman"/>
          <w:i w:val="0"/>
          <w:sz w:val="22"/>
          <w:szCs w:val="22"/>
          <w:lang w:val="en-GB"/>
        </w:rPr>
        <w:t xml:space="preserve"> </w:t>
      </w:r>
      <w:r w:rsidR="00804ED4" w:rsidRPr="00B0605C">
        <w:rPr>
          <w:rFonts w:ascii="Times New Roman" w:hAnsi="Times New Roman"/>
          <w:i w:val="0"/>
          <w:sz w:val="22"/>
          <w:szCs w:val="22"/>
          <w:lang w:val="en-GB"/>
        </w:rPr>
        <w:t>char</w:t>
      </w:r>
      <w:r w:rsidR="008C54BD" w:rsidRPr="00B0605C">
        <w:rPr>
          <w:rFonts w:ascii="Times New Roman" w:hAnsi="Times New Roman"/>
          <w:i w:val="0"/>
          <w:sz w:val="22"/>
          <w:szCs w:val="22"/>
          <w:lang w:val="en-GB"/>
        </w:rPr>
        <w:t xml:space="preserve">ge for </w:t>
      </w:r>
      <w:r w:rsidR="006C3C2B">
        <w:rPr>
          <w:rFonts w:ascii="Times New Roman" w:hAnsi="Times New Roman"/>
          <w:i w:val="0"/>
          <w:sz w:val="22"/>
          <w:szCs w:val="22"/>
          <w:lang w:val="en-GB"/>
        </w:rPr>
        <w:t xml:space="preserve">either </w:t>
      </w:r>
      <w:r w:rsidR="008C54BD" w:rsidRPr="00B0605C">
        <w:rPr>
          <w:rFonts w:ascii="Times New Roman" w:hAnsi="Times New Roman"/>
          <w:i w:val="0"/>
          <w:sz w:val="22"/>
          <w:szCs w:val="22"/>
          <w:lang w:val="en-GB"/>
        </w:rPr>
        <w:t xml:space="preserve">valet </w:t>
      </w:r>
      <w:r w:rsidR="003A2839">
        <w:rPr>
          <w:rFonts w:ascii="Times New Roman" w:hAnsi="Times New Roman"/>
          <w:i w:val="0"/>
          <w:sz w:val="22"/>
          <w:szCs w:val="22"/>
          <w:lang w:val="en-GB"/>
        </w:rPr>
        <w:t xml:space="preserve">parking </w:t>
      </w:r>
      <w:r w:rsidR="006C3C2B">
        <w:rPr>
          <w:rFonts w:ascii="Times New Roman" w:hAnsi="Times New Roman"/>
          <w:i w:val="0"/>
          <w:sz w:val="22"/>
          <w:szCs w:val="22"/>
          <w:lang w:val="en-GB"/>
        </w:rPr>
        <w:t>or</w:t>
      </w:r>
      <w:r w:rsidR="006C3C2B" w:rsidRPr="00B0605C">
        <w:rPr>
          <w:rFonts w:ascii="Times New Roman" w:hAnsi="Times New Roman"/>
          <w:i w:val="0"/>
          <w:sz w:val="22"/>
          <w:szCs w:val="22"/>
          <w:lang w:val="en-GB"/>
        </w:rPr>
        <w:t xml:space="preserve"> </w:t>
      </w:r>
      <w:r w:rsidR="008C54BD" w:rsidRPr="00B0605C">
        <w:rPr>
          <w:rFonts w:ascii="Times New Roman" w:hAnsi="Times New Roman"/>
          <w:i w:val="0"/>
          <w:sz w:val="22"/>
          <w:szCs w:val="22"/>
          <w:lang w:val="en-GB"/>
        </w:rPr>
        <w:t>self-parking</w:t>
      </w:r>
      <w:r w:rsidR="006C3C2B">
        <w:rPr>
          <w:rFonts w:ascii="Times New Roman" w:hAnsi="Times New Roman"/>
          <w:i w:val="0"/>
          <w:sz w:val="22"/>
          <w:szCs w:val="22"/>
          <w:lang w:val="en-GB"/>
        </w:rPr>
        <w:t xml:space="preserve"> at its</w:t>
      </w:r>
      <w:r w:rsidR="001E680F">
        <w:rPr>
          <w:rFonts w:ascii="Times New Roman" w:hAnsi="Times New Roman"/>
          <w:i w:val="0"/>
          <w:sz w:val="22"/>
          <w:szCs w:val="22"/>
          <w:lang w:val="en-GB"/>
        </w:rPr>
        <w:t xml:space="preserve"> Las Vegas properties—the Palazzo, the Venetian Resort Hotel Casino, and the Sands Expo and Convention Center</w:t>
      </w:r>
      <w:r w:rsidR="008C54BD" w:rsidRPr="00B0605C">
        <w:rPr>
          <w:rFonts w:ascii="Times New Roman" w:hAnsi="Times New Roman"/>
          <w:i w:val="0"/>
          <w:sz w:val="22"/>
          <w:szCs w:val="22"/>
          <w:lang w:val="en-GB"/>
        </w:rPr>
        <w:t xml:space="preserve">. </w:t>
      </w:r>
      <w:r w:rsidRPr="00B0605C">
        <w:rPr>
          <w:rFonts w:ascii="Times New Roman" w:hAnsi="Times New Roman"/>
          <w:i w:val="0"/>
          <w:sz w:val="22"/>
          <w:szCs w:val="22"/>
          <w:lang w:val="en-GB"/>
        </w:rPr>
        <w:t xml:space="preserve">Should </w:t>
      </w:r>
      <w:r w:rsidR="00EC1B47">
        <w:rPr>
          <w:rFonts w:ascii="Times New Roman" w:hAnsi="Times New Roman"/>
          <w:i w:val="0"/>
          <w:sz w:val="22"/>
          <w:szCs w:val="22"/>
          <w:lang w:val="en-GB"/>
        </w:rPr>
        <w:t>the company</w:t>
      </w:r>
      <w:r w:rsidR="00EC1B47" w:rsidRPr="00B0605C">
        <w:rPr>
          <w:rFonts w:ascii="Times New Roman" w:hAnsi="Times New Roman"/>
          <w:i w:val="0"/>
          <w:sz w:val="22"/>
          <w:szCs w:val="22"/>
          <w:lang w:val="en-GB"/>
        </w:rPr>
        <w:t xml:space="preserve"> </w:t>
      </w:r>
      <w:r w:rsidRPr="00B0605C">
        <w:rPr>
          <w:rFonts w:ascii="Times New Roman" w:hAnsi="Times New Roman"/>
          <w:i w:val="0"/>
          <w:sz w:val="22"/>
          <w:szCs w:val="22"/>
          <w:lang w:val="en-GB"/>
        </w:rPr>
        <w:t xml:space="preserve">follow </w:t>
      </w:r>
      <w:r w:rsidR="00F002DE" w:rsidRPr="00B0605C">
        <w:rPr>
          <w:rFonts w:ascii="Times New Roman" w:hAnsi="Times New Roman"/>
          <w:i w:val="0"/>
          <w:sz w:val="22"/>
          <w:szCs w:val="22"/>
          <w:lang w:val="en-GB"/>
        </w:rPr>
        <w:t xml:space="preserve">the precedent set by </w:t>
      </w:r>
      <w:r w:rsidR="00EC1B47">
        <w:rPr>
          <w:rFonts w:ascii="Times New Roman" w:hAnsi="Times New Roman"/>
          <w:i w:val="0"/>
          <w:sz w:val="22"/>
          <w:szCs w:val="22"/>
          <w:lang w:val="en-GB"/>
        </w:rPr>
        <w:t>its</w:t>
      </w:r>
      <w:r w:rsidR="00EC1B47" w:rsidRPr="00B0605C">
        <w:rPr>
          <w:rFonts w:ascii="Times New Roman" w:hAnsi="Times New Roman"/>
          <w:i w:val="0"/>
          <w:sz w:val="22"/>
          <w:szCs w:val="22"/>
          <w:lang w:val="en-GB"/>
        </w:rPr>
        <w:t xml:space="preserve"> </w:t>
      </w:r>
      <w:r w:rsidR="00F002DE" w:rsidRPr="00B0605C">
        <w:rPr>
          <w:rFonts w:ascii="Times New Roman" w:hAnsi="Times New Roman"/>
          <w:i w:val="0"/>
          <w:sz w:val="22"/>
          <w:szCs w:val="22"/>
          <w:lang w:val="en-GB"/>
        </w:rPr>
        <w:t>competitors</w:t>
      </w:r>
      <w:r w:rsidRPr="00B0605C">
        <w:rPr>
          <w:rFonts w:ascii="Times New Roman" w:hAnsi="Times New Roman"/>
          <w:i w:val="0"/>
          <w:sz w:val="22"/>
          <w:szCs w:val="22"/>
          <w:lang w:val="en-GB"/>
        </w:rPr>
        <w:t xml:space="preserve"> and </w:t>
      </w:r>
      <w:r w:rsidR="00F002DE" w:rsidRPr="00B0605C">
        <w:rPr>
          <w:rFonts w:ascii="Times New Roman" w:hAnsi="Times New Roman"/>
          <w:i w:val="0"/>
          <w:sz w:val="22"/>
          <w:szCs w:val="22"/>
          <w:lang w:val="en-GB"/>
        </w:rPr>
        <w:t xml:space="preserve">begin to </w:t>
      </w:r>
      <w:r w:rsidRPr="00B0605C">
        <w:rPr>
          <w:rFonts w:ascii="Times New Roman" w:hAnsi="Times New Roman"/>
          <w:i w:val="0"/>
          <w:sz w:val="22"/>
          <w:szCs w:val="22"/>
          <w:lang w:val="en-GB"/>
        </w:rPr>
        <w:t xml:space="preserve">charge for parking, or </w:t>
      </w:r>
      <w:r w:rsidR="001E680F">
        <w:rPr>
          <w:rFonts w:ascii="Times New Roman" w:hAnsi="Times New Roman"/>
          <w:i w:val="0"/>
          <w:sz w:val="22"/>
          <w:szCs w:val="22"/>
          <w:lang w:val="en-GB"/>
        </w:rPr>
        <w:t>sh</w:t>
      </w:r>
      <w:r w:rsidR="001E680F" w:rsidRPr="00B0605C">
        <w:rPr>
          <w:rFonts w:ascii="Times New Roman" w:hAnsi="Times New Roman"/>
          <w:i w:val="0"/>
          <w:sz w:val="22"/>
          <w:szCs w:val="22"/>
          <w:lang w:val="en-GB"/>
        </w:rPr>
        <w:t xml:space="preserve">ould </w:t>
      </w:r>
      <w:r w:rsidRPr="00B0605C">
        <w:rPr>
          <w:rFonts w:ascii="Times New Roman" w:hAnsi="Times New Roman"/>
          <w:i w:val="0"/>
          <w:sz w:val="22"/>
          <w:szCs w:val="22"/>
          <w:lang w:val="en-GB"/>
        </w:rPr>
        <w:t>the Las Vegas Sands remain an outlier, uphold</w:t>
      </w:r>
      <w:r w:rsidR="007D5097" w:rsidRPr="00B0605C">
        <w:rPr>
          <w:rFonts w:ascii="Times New Roman" w:hAnsi="Times New Roman"/>
          <w:i w:val="0"/>
          <w:sz w:val="22"/>
          <w:szCs w:val="22"/>
          <w:lang w:val="en-GB"/>
        </w:rPr>
        <w:t>ing</w:t>
      </w:r>
      <w:r w:rsidRPr="00B0605C">
        <w:rPr>
          <w:rFonts w:ascii="Times New Roman" w:hAnsi="Times New Roman"/>
          <w:i w:val="0"/>
          <w:sz w:val="22"/>
          <w:szCs w:val="22"/>
          <w:lang w:val="en-GB"/>
        </w:rPr>
        <w:t xml:space="preserve"> the Las Vegas tradition of </w:t>
      </w:r>
      <w:r w:rsidR="00F002DE" w:rsidRPr="00B0605C">
        <w:rPr>
          <w:rFonts w:ascii="Times New Roman" w:hAnsi="Times New Roman"/>
          <w:i w:val="0"/>
          <w:sz w:val="22"/>
          <w:szCs w:val="22"/>
          <w:lang w:val="en-GB"/>
        </w:rPr>
        <w:t xml:space="preserve">providing </w:t>
      </w:r>
      <w:r w:rsidRPr="00B0605C">
        <w:rPr>
          <w:rFonts w:ascii="Times New Roman" w:hAnsi="Times New Roman"/>
          <w:i w:val="0"/>
          <w:sz w:val="22"/>
          <w:szCs w:val="22"/>
          <w:lang w:val="en-GB"/>
        </w:rPr>
        <w:t>free parking?</w:t>
      </w:r>
    </w:p>
    <w:p w14:paraId="2BEA3797" w14:textId="77777777" w:rsidR="00D96FEC" w:rsidRPr="00B0605C" w:rsidRDefault="00D96FEC" w:rsidP="009C2BEB">
      <w:pPr>
        <w:pStyle w:val="BodyTextMain"/>
        <w:rPr>
          <w:rFonts w:eastAsiaTheme="minorEastAsia"/>
          <w:lang w:val="en-GB" w:eastAsia="ko-KR"/>
        </w:rPr>
      </w:pPr>
    </w:p>
    <w:p w14:paraId="53635579" w14:textId="77777777" w:rsidR="00AB45FC" w:rsidRPr="00B0605C" w:rsidRDefault="00AB45FC" w:rsidP="009C2BEB">
      <w:pPr>
        <w:pStyle w:val="BodyTextMain"/>
        <w:rPr>
          <w:rFonts w:eastAsiaTheme="minorEastAsia"/>
          <w:lang w:val="en-GB" w:eastAsia="ko-KR"/>
        </w:rPr>
      </w:pPr>
    </w:p>
    <w:p w14:paraId="24D2F6F3" w14:textId="5279DDAE" w:rsidR="009C2BEB" w:rsidRPr="00B0605C" w:rsidRDefault="00F002DE" w:rsidP="009C2BEB">
      <w:pPr>
        <w:pStyle w:val="Casehead1"/>
        <w:rPr>
          <w:rFonts w:eastAsiaTheme="minorEastAsia"/>
          <w:lang w:val="en-GB" w:eastAsia="ko-KR"/>
        </w:rPr>
      </w:pPr>
      <w:bookmarkStart w:id="1" w:name="_Hlk485823209"/>
      <w:r w:rsidRPr="00B0605C">
        <w:rPr>
          <w:rFonts w:eastAsiaTheme="minorEastAsia"/>
          <w:lang w:val="en-GB" w:eastAsia="ko-KR"/>
        </w:rPr>
        <w:t xml:space="preserve">THE </w:t>
      </w:r>
      <w:r w:rsidR="00AB45FC" w:rsidRPr="00B0605C">
        <w:rPr>
          <w:rFonts w:eastAsiaTheme="minorEastAsia"/>
          <w:lang w:val="en-GB" w:eastAsia="ko-KR"/>
        </w:rPr>
        <w:t>hotel</w:t>
      </w:r>
      <w:r w:rsidR="00D472FE" w:rsidRPr="00B0605C">
        <w:rPr>
          <w:rFonts w:eastAsiaTheme="minorEastAsia"/>
          <w:lang w:val="en-GB" w:eastAsia="ko-KR"/>
        </w:rPr>
        <w:t xml:space="preserve"> </w:t>
      </w:r>
      <w:r w:rsidR="003A2839">
        <w:rPr>
          <w:rFonts w:eastAsiaTheme="minorEastAsia"/>
          <w:lang w:val="en-GB" w:eastAsia="ko-KR"/>
        </w:rPr>
        <w:t>and</w:t>
      </w:r>
      <w:r w:rsidR="00D472FE" w:rsidRPr="00B0605C">
        <w:rPr>
          <w:rFonts w:eastAsiaTheme="minorEastAsia"/>
          <w:lang w:val="en-GB" w:eastAsia="ko-KR"/>
        </w:rPr>
        <w:t xml:space="preserve"> casino</w:t>
      </w:r>
      <w:r w:rsidR="00AB45FC" w:rsidRPr="00B0605C">
        <w:rPr>
          <w:rFonts w:eastAsiaTheme="minorEastAsia"/>
          <w:lang w:val="en-GB" w:eastAsia="ko-KR"/>
        </w:rPr>
        <w:t xml:space="preserve"> industry </w:t>
      </w:r>
      <w:bookmarkEnd w:id="1"/>
      <w:r w:rsidR="00310453" w:rsidRPr="00B0605C">
        <w:rPr>
          <w:rFonts w:eastAsiaTheme="minorEastAsia"/>
          <w:lang w:val="en-GB" w:eastAsia="ko-KR"/>
        </w:rPr>
        <w:t>in las vegas</w:t>
      </w:r>
    </w:p>
    <w:p w14:paraId="4C5882A5" w14:textId="77777777" w:rsidR="009C2BEB" w:rsidRPr="00B0605C" w:rsidRDefault="009C2BEB" w:rsidP="009C2BEB">
      <w:pPr>
        <w:rPr>
          <w:sz w:val="22"/>
          <w:szCs w:val="22"/>
          <w:lang w:val="en-GB"/>
        </w:rPr>
      </w:pPr>
    </w:p>
    <w:p w14:paraId="79D4BAA4" w14:textId="2FDD1E43" w:rsidR="0046096B" w:rsidRPr="00B0605C" w:rsidRDefault="00EC411A" w:rsidP="00EC411A">
      <w:pPr>
        <w:jc w:val="both"/>
        <w:rPr>
          <w:sz w:val="22"/>
          <w:szCs w:val="22"/>
          <w:lang w:val="en-GB"/>
        </w:rPr>
      </w:pPr>
      <w:r w:rsidRPr="00B0605C">
        <w:rPr>
          <w:sz w:val="22"/>
          <w:szCs w:val="22"/>
          <w:lang w:val="en-GB"/>
        </w:rPr>
        <w:t>Las Vegas was a city that thrived on reputation</w:t>
      </w:r>
      <w:r w:rsidR="00D507A2">
        <w:rPr>
          <w:sz w:val="22"/>
          <w:szCs w:val="22"/>
          <w:lang w:val="en-GB"/>
        </w:rPr>
        <w:t>.</w:t>
      </w:r>
      <w:r w:rsidRPr="00B0605C">
        <w:rPr>
          <w:sz w:val="22"/>
          <w:szCs w:val="22"/>
          <w:lang w:val="en-GB"/>
        </w:rPr>
        <w:t xml:space="preserve"> </w:t>
      </w:r>
      <w:r w:rsidR="00D507A2">
        <w:rPr>
          <w:sz w:val="22"/>
          <w:szCs w:val="22"/>
          <w:lang w:val="en-GB"/>
        </w:rPr>
        <w:t>I</w:t>
      </w:r>
      <w:r w:rsidRPr="00B0605C">
        <w:rPr>
          <w:sz w:val="22"/>
          <w:szCs w:val="22"/>
          <w:lang w:val="en-GB"/>
        </w:rPr>
        <w:t xml:space="preserve">n 2015, the city’s famed Las Vegas </w:t>
      </w:r>
      <w:r w:rsidR="00A008A8" w:rsidRPr="00B0605C">
        <w:rPr>
          <w:sz w:val="22"/>
          <w:szCs w:val="22"/>
          <w:lang w:val="en-GB"/>
        </w:rPr>
        <w:t>S</w:t>
      </w:r>
      <w:r w:rsidRPr="00B0605C">
        <w:rPr>
          <w:sz w:val="22"/>
          <w:szCs w:val="22"/>
          <w:lang w:val="en-GB"/>
        </w:rPr>
        <w:t>trip</w:t>
      </w:r>
      <w:r w:rsidR="00D507A2">
        <w:rPr>
          <w:sz w:val="22"/>
          <w:szCs w:val="22"/>
          <w:lang w:val="en-GB"/>
        </w:rPr>
        <w:t>,</w:t>
      </w:r>
      <w:r w:rsidRPr="00B0605C">
        <w:rPr>
          <w:sz w:val="22"/>
          <w:szCs w:val="22"/>
          <w:lang w:val="en-GB"/>
        </w:rPr>
        <w:t xml:space="preserve"> its resort properties, </w:t>
      </w:r>
      <w:r w:rsidR="00D507A2">
        <w:rPr>
          <w:sz w:val="22"/>
          <w:szCs w:val="22"/>
          <w:lang w:val="en-GB"/>
        </w:rPr>
        <w:t xml:space="preserve">and its </w:t>
      </w:r>
      <w:r w:rsidRPr="00B0605C">
        <w:rPr>
          <w:sz w:val="22"/>
          <w:szCs w:val="22"/>
          <w:lang w:val="en-GB"/>
        </w:rPr>
        <w:t>gambling, dining</w:t>
      </w:r>
      <w:r w:rsidR="007D5097" w:rsidRPr="00B0605C">
        <w:rPr>
          <w:sz w:val="22"/>
          <w:szCs w:val="22"/>
          <w:lang w:val="en-GB"/>
        </w:rPr>
        <w:t>,</w:t>
      </w:r>
      <w:r w:rsidRPr="00B0605C">
        <w:rPr>
          <w:sz w:val="22"/>
          <w:szCs w:val="22"/>
          <w:lang w:val="en-GB"/>
        </w:rPr>
        <w:t xml:space="preserve"> and entertainment experiences</w:t>
      </w:r>
      <w:r w:rsidR="00D507A2">
        <w:rPr>
          <w:sz w:val="22"/>
          <w:szCs w:val="22"/>
          <w:lang w:val="en-GB"/>
        </w:rPr>
        <w:t xml:space="preserve"> drew in </w:t>
      </w:r>
      <w:r w:rsidR="00D507A2" w:rsidRPr="00B0605C">
        <w:rPr>
          <w:sz w:val="22"/>
          <w:szCs w:val="22"/>
          <w:lang w:val="en-GB"/>
        </w:rPr>
        <w:t>more than 42.3 million visitors</w:t>
      </w:r>
      <w:r w:rsidRPr="00B0605C">
        <w:rPr>
          <w:sz w:val="22"/>
          <w:szCs w:val="22"/>
          <w:lang w:val="en-GB"/>
        </w:rPr>
        <w:t>.</w:t>
      </w:r>
      <w:r w:rsidRPr="00B0605C">
        <w:rPr>
          <w:rStyle w:val="EndnoteReference"/>
          <w:sz w:val="22"/>
          <w:szCs w:val="22"/>
          <w:lang w:val="en-GB"/>
        </w:rPr>
        <w:endnoteReference w:id="1"/>
      </w:r>
      <w:r w:rsidRPr="00B0605C">
        <w:rPr>
          <w:sz w:val="22"/>
          <w:szCs w:val="22"/>
          <w:lang w:val="en-GB"/>
        </w:rPr>
        <w:t xml:space="preserve"> </w:t>
      </w:r>
      <w:r w:rsidR="00344605">
        <w:rPr>
          <w:sz w:val="22"/>
          <w:szCs w:val="22"/>
          <w:lang w:val="en-GB"/>
        </w:rPr>
        <w:t>This</w:t>
      </w:r>
      <w:r w:rsidR="00D507A2">
        <w:rPr>
          <w:sz w:val="22"/>
          <w:szCs w:val="22"/>
          <w:lang w:val="en-GB"/>
        </w:rPr>
        <w:t xml:space="preserve"> was a record</w:t>
      </w:r>
      <w:r w:rsidR="007D5097" w:rsidRPr="00B0605C">
        <w:rPr>
          <w:sz w:val="22"/>
          <w:szCs w:val="22"/>
          <w:lang w:val="en-GB"/>
        </w:rPr>
        <w:t xml:space="preserve"> number of visitors to </w:t>
      </w:r>
      <w:r w:rsidRPr="00B0605C">
        <w:rPr>
          <w:sz w:val="22"/>
          <w:szCs w:val="22"/>
          <w:lang w:val="en-GB"/>
        </w:rPr>
        <w:t>Las Vegas, and projections showed that these numbers were expected to continue to increase over the coming years.</w:t>
      </w:r>
      <w:r w:rsidRPr="00B0605C">
        <w:rPr>
          <w:rStyle w:val="EndnoteReference"/>
          <w:sz w:val="22"/>
          <w:szCs w:val="22"/>
          <w:lang w:val="en-GB"/>
        </w:rPr>
        <w:endnoteReference w:id="2"/>
      </w:r>
      <w:r w:rsidRPr="00B0605C">
        <w:rPr>
          <w:sz w:val="22"/>
          <w:szCs w:val="22"/>
          <w:lang w:val="en-GB"/>
        </w:rPr>
        <w:t xml:space="preserve"> However, </w:t>
      </w:r>
      <w:r w:rsidR="007D5097" w:rsidRPr="00B0605C">
        <w:rPr>
          <w:sz w:val="22"/>
          <w:szCs w:val="22"/>
          <w:lang w:val="en-GB"/>
        </w:rPr>
        <w:t xml:space="preserve">there had also been </w:t>
      </w:r>
      <w:r w:rsidRPr="00B0605C">
        <w:rPr>
          <w:sz w:val="22"/>
          <w:szCs w:val="22"/>
          <w:lang w:val="en-GB"/>
        </w:rPr>
        <w:t>notable change</w:t>
      </w:r>
      <w:r w:rsidR="007D5097" w:rsidRPr="00B0605C">
        <w:rPr>
          <w:sz w:val="22"/>
          <w:szCs w:val="22"/>
          <w:lang w:val="en-GB"/>
        </w:rPr>
        <w:t>s</w:t>
      </w:r>
      <w:r w:rsidRPr="00B0605C">
        <w:rPr>
          <w:sz w:val="22"/>
          <w:szCs w:val="22"/>
          <w:lang w:val="en-GB"/>
        </w:rPr>
        <w:t xml:space="preserve"> </w:t>
      </w:r>
      <w:r w:rsidR="00E12603">
        <w:rPr>
          <w:sz w:val="22"/>
          <w:szCs w:val="22"/>
          <w:lang w:val="en-GB"/>
        </w:rPr>
        <w:t>in</w:t>
      </w:r>
      <w:r w:rsidRPr="00B0605C">
        <w:rPr>
          <w:sz w:val="22"/>
          <w:szCs w:val="22"/>
          <w:lang w:val="en-GB"/>
        </w:rPr>
        <w:t xml:space="preserve"> visitor spend</w:t>
      </w:r>
      <w:r w:rsidR="00E575C6" w:rsidRPr="00B0605C">
        <w:rPr>
          <w:sz w:val="22"/>
          <w:szCs w:val="22"/>
          <w:lang w:val="en-GB"/>
        </w:rPr>
        <w:t xml:space="preserve">ing in the city. </w:t>
      </w:r>
    </w:p>
    <w:p w14:paraId="7D7CBFD2" w14:textId="77777777" w:rsidR="0046096B" w:rsidRPr="00B0605C" w:rsidRDefault="0046096B" w:rsidP="00EC411A">
      <w:pPr>
        <w:jc w:val="both"/>
        <w:rPr>
          <w:sz w:val="22"/>
          <w:szCs w:val="22"/>
          <w:lang w:val="en-GB"/>
        </w:rPr>
      </w:pPr>
    </w:p>
    <w:p w14:paraId="3E6E6828" w14:textId="4F9A6BE2" w:rsidR="00EC411A" w:rsidRPr="00B0605C" w:rsidRDefault="00E575C6" w:rsidP="00EC411A">
      <w:pPr>
        <w:jc w:val="both"/>
        <w:rPr>
          <w:sz w:val="22"/>
          <w:szCs w:val="22"/>
          <w:lang w:val="en-GB"/>
        </w:rPr>
      </w:pPr>
      <w:r w:rsidRPr="00B0605C">
        <w:rPr>
          <w:sz w:val="22"/>
          <w:szCs w:val="22"/>
          <w:lang w:val="en-GB"/>
        </w:rPr>
        <w:t>The Las Vegas S</w:t>
      </w:r>
      <w:r w:rsidR="00EC411A" w:rsidRPr="00B0605C">
        <w:rPr>
          <w:sz w:val="22"/>
          <w:szCs w:val="22"/>
          <w:lang w:val="en-GB"/>
        </w:rPr>
        <w:t xml:space="preserve">trip, flanked </w:t>
      </w:r>
      <w:r w:rsidR="00CC06EA" w:rsidRPr="00B0605C">
        <w:rPr>
          <w:sz w:val="22"/>
          <w:szCs w:val="22"/>
          <w:lang w:val="en-GB"/>
        </w:rPr>
        <w:t>by</w:t>
      </w:r>
      <w:r w:rsidR="00EC411A" w:rsidRPr="00B0605C">
        <w:rPr>
          <w:sz w:val="22"/>
          <w:szCs w:val="22"/>
          <w:lang w:val="en-GB"/>
        </w:rPr>
        <w:t xml:space="preserve"> hotels and casinos</w:t>
      </w:r>
      <w:r w:rsidR="007D5097" w:rsidRPr="00B0605C">
        <w:rPr>
          <w:sz w:val="22"/>
          <w:szCs w:val="22"/>
          <w:lang w:val="en-GB"/>
        </w:rPr>
        <w:t>,</w:t>
      </w:r>
      <w:r w:rsidR="00EC411A" w:rsidRPr="00B0605C">
        <w:rPr>
          <w:sz w:val="22"/>
          <w:szCs w:val="22"/>
          <w:lang w:val="en-GB"/>
        </w:rPr>
        <w:t xml:space="preserve"> relied heavily on the gaming sector; however, the increasingly diversified nature of the </w:t>
      </w:r>
      <w:r w:rsidR="00CC06EA" w:rsidRPr="00B0605C">
        <w:rPr>
          <w:sz w:val="22"/>
          <w:szCs w:val="22"/>
          <w:lang w:val="en-GB"/>
        </w:rPr>
        <w:t>S</w:t>
      </w:r>
      <w:r w:rsidR="00EC411A" w:rsidRPr="00B0605C">
        <w:rPr>
          <w:sz w:val="22"/>
          <w:szCs w:val="22"/>
          <w:lang w:val="en-GB"/>
        </w:rPr>
        <w:t>trip’s attractions created an environment that was transitioning away from gambling. The gaming sector</w:t>
      </w:r>
      <w:r w:rsidR="00D507A2">
        <w:rPr>
          <w:sz w:val="22"/>
          <w:szCs w:val="22"/>
          <w:lang w:val="en-GB"/>
        </w:rPr>
        <w:t>—</w:t>
      </w:r>
      <w:r w:rsidR="00EC411A" w:rsidRPr="00B0605C">
        <w:rPr>
          <w:sz w:val="22"/>
          <w:szCs w:val="22"/>
          <w:lang w:val="en-GB"/>
        </w:rPr>
        <w:t>both the number of visitors who came to Las Vegas to gamble and the gaming wins per visitor</w:t>
      </w:r>
      <w:r w:rsidR="00D507A2">
        <w:rPr>
          <w:sz w:val="22"/>
          <w:szCs w:val="22"/>
          <w:lang w:val="en-GB"/>
        </w:rPr>
        <w:t>—</w:t>
      </w:r>
      <w:r w:rsidR="00F002DE" w:rsidRPr="00B0605C">
        <w:rPr>
          <w:sz w:val="22"/>
          <w:szCs w:val="22"/>
          <w:lang w:val="en-GB"/>
        </w:rPr>
        <w:t>had been</w:t>
      </w:r>
      <w:r w:rsidR="00EC411A" w:rsidRPr="00B0605C">
        <w:rPr>
          <w:sz w:val="22"/>
          <w:szCs w:val="22"/>
          <w:lang w:val="en-GB"/>
        </w:rPr>
        <w:t xml:space="preserve"> in a state of decline</w:t>
      </w:r>
      <w:r w:rsidR="004C08E4" w:rsidRPr="00B0605C">
        <w:rPr>
          <w:sz w:val="22"/>
          <w:szCs w:val="22"/>
          <w:lang w:val="en-GB"/>
        </w:rPr>
        <w:t xml:space="preserve"> in recent years</w:t>
      </w:r>
      <w:r w:rsidR="00C13F27" w:rsidRPr="00B0605C">
        <w:rPr>
          <w:sz w:val="22"/>
          <w:szCs w:val="22"/>
          <w:lang w:val="en-GB"/>
        </w:rPr>
        <w:t xml:space="preserve">, even though it was still the cash cow that </w:t>
      </w:r>
      <w:r w:rsidR="00CC06EA" w:rsidRPr="00B0605C">
        <w:rPr>
          <w:sz w:val="22"/>
          <w:szCs w:val="22"/>
          <w:lang w:val="en-GB"/>
        </w:rPr>
        <w:t>fed</w:t>
      </w:r>
      <w:r w:rsidR="00C13F27" w:rsidRPr="00B0605C">
        <w:rPr>
          <w:sz w:val="22"/>
          <w:szCs w:val="22"/>
          <w:lang w:val="en-GB"/>
        </w:rPr>
        <w:t xml:space="preserve"> the </w:t>
      </w:r>
      <w:r w:rsidR="00346768" w:rsidRPr="00B0605C">
        <w:rPr>
          <w:sz w:val="22"/>
          <w:szCs w:val="22"/>
          <w:lang w:val="en-GB"/>
        </w:rPr>
        <w:t>city’s</w:t>
      </w:r>
      <w:r w:rsidR="00C13F27" w:rsidRPr="00B0605C">
        <w:rPr>
          <w:sz w:val="22"/>
          <w:szCs w:val="22"/>
          <w:lang w:val="en-GB"/>
        </w:rPr>
        <w:t xml:space="preserve"> </w:t>
      </w:r>
      <w:r w:rsidR="00CC06EA" w:rsidRPr="00B0605C">
        <w:rPr>
          <w:sz w:val="22"/>
          <w:szCs w:val="22"/>
          <w:lang w:val="en-GB"/>
        </w:rPr>
        <w:t>economy</w:t>
      </w:r>
      <w:r w:rsidR="00EC411A" w:rsidRPr="00B0605C">
        <w:rPr>
          <w:sz w:val="22"/>
          <w:szCs w:val="22"/>
          <w:lang w:val="en-GB"/>
        </w:rPr>
        <w:t>.</w:t>
      </w:r>
      <w:r w:rsidR="00EC411A" w:rsidRPr="00B0605C">
        <w:rPr>
          <w:rStyle w:val="EndnoteReference"/>
          <w:sz w:val="22"/>
          <w:szCs w:val="22"/>
          <w:lang w:val="en-GB"/>
        </w:rPr>
        <w:endnoteReference w:id="3"/>
      </w:r>
    </w:p>
    <w:p w14:paraId="2C9E9B20" w14:textId="77777777" w:rsidR="00EC411A" w:rsidRPr="00B0605C" w:rsidRDefault="00EC411A" w:rsidP="00EC411A">
      <w:pPr>
        <w:pStyle w:val="BodyTextMain"/>
        <w:rPr>
          <w:rFonts w:eastAsiaTheme="minorEastAsia"/>
          <w:lang w:val="en-GB" w:eastAsia="ko-KR"/>
        </w:rPr>
      </w:pPr>
    </w:p>
    <w:p w14:paraId="3CE3F2ED" w14:textId="50DEB666" w:rsidR="00693F7F" w:rsidRPr="00B0605C" w:rsidRDefault="00693F7F" w:rsidP="00693F7F">
      <w:pPr>
        <w:pStyle w:val="BodyTextMain"/>
        <w:rPr>
          <w:rFonts w:eastAsiaTheme="minorEastAsia"/>
          <w:lang w:val="en-GB" w:eastAsia="ko-KR"/>
        </w:rPr>
      </w:pPr>
      <w:r w:rsidRPr="00B0605C">
        <w:rPr>
          <w:rFonts w:eastAsiaTheme="minorEastAsia"/>
          <w:lang w:val="en-GB" w:eastAsia="ko-KR"/>
        </w:rPr>
        <w:t>Las Vegas</w:t>
      </w:r>
      <w:r w:rsidR="00346768" w:rsidRPr="00B0605C">
        <w:rPr>
          <w:rFonts w:eastAsiaTheme="minorEastAsia"/>
          <w:lang w:val="en-GB" w:eastAsia="ko-KR"/>
        </w:rPr>
        <w:t>’</w:t>
      </w:r>
      <w:r w:rsidR="00D507A2">
        <w:rPr>
          <w:rFonts w:eastAsiaTheme="minorEastAsia"/>
          <w:lang w:val="en-GB" w:eastAsia="ko-KR"/>
        </w:rPr>
        <w:t>s</w:t>
      </w:r>
      <w:r w:rsidRPr="00B0605C">
        <w:rPr>
          <w:rFonts w:eastAsiaTheme="minorEastAsia"/>
          <w:lang w:val="en-GB" w:eastAsia="ko-KR"/>
        </w:rPr>
        <w:t xml:space="preserve"> visitation levels were steadily increasing; visit</w:t>
      </w:r>
      <w:r w:rsidR="00346768" w:rsidRPr="00B0605C">
        <w:rPr>
          <w:rFonts w:eastAsiaTheme="minorEastAsia"/>
          <w:lang w:val="en-GB" w:eastAsia="ko-KR"/>
        </w:rPr>
        <w:t>s</w:t>
      </w:r>
      <w:r w:rsidRPr="00B0605C">
        <w:rPr>
          <w:rFonts w:eastAsiaTheme="minorEastAsia"/>
          <w:lang w:val="en-GB" w:eastAsia="ko-KR"/>
        </w:rPr>
        <w:t xml:space="preserve"> to Las Vegas from 2010 to 2015 increased at a compound annual growth rate of 2.5</w:t>
      </w:r>
      <w:r w:rsidR="00D507A2">
        <w:rPr>
          <w:rFonts w:eastAsiaTheme="minorEastAsia"/>
          <w:lang w:val="en-GB" w:eastAsia="ko-KR"/>
        </w:rPr>
        <w:t xml:space="preserve"> per cent</w:t>
      </w:r>
      <w:r w:rsidRPr="00B0605C">
        <w:rPr>
          <w:rFonts w:eastAsiaTheme="minorEastAsia"/>
          <w:lang w:val="en-GB" w:eastAsia="ko-KR"/>
        </w:rPr>
        <w:t xml:space="preserve"> (see Exhibit 1).</w:t>
      </w:r>
      <w:r w:rsidRPr="00B0605C">
        <w:rPr>
          <w:rStyle w:val="EndnoteReference"/>
          <w:rFonts w:eastAsiaTheme="minorEastAsia"/>
          <w:lang w:val="en-GB" w:eastAsia="ko-KR"/>
        </w:rPr>
        <w:endnoteReference w:id="4"/>
      </w:r>
      <w:r w:rsidRPr="00B0605C">
        <w:rPr>
          <w:rFonts w:eastAsiaTheme="minorEastAsia"/>
          <w:lang w:val="en-GB" w:eastAsia="ko-KR"/>
        </w:rPr>
        <w:t xml:space="preserve"> The year</w:t>
      </w:r>
      <w:r w:rsidR="00CC06EA" w:rsidRPr="00B0605C">
        <w:rPr>
          <w:rFonts w:eastAsiaTheme="minorEastAsia"/>
          <w:lang w:val="en-GB" w:eastAsia="ko-KR"/>
        </w:rPr>
        <w:t>-</w:t>
      </w:r>
      <w:r w:rsidRPr="00B0605C">
        <w:rPr>
          <w:rFonts w:eastAsiaTheme="minorEastAsia"/>
          <w:lang w:val="en-GB" w:eastAsia="ko-KR"/>
        </w:rPr>
        <w:t>over</w:t>
      </w:r>
      <w:r w:rsidR="00CC06EA" w:rsidRPr="00B0605C">
        <w:rPr>
          <w:rFonts w:eastAsiaTheme="minorEastAsia"/>
          <w:lang w:val="en-GB" w:eastAsia="ko-KR"/>
        </w:rPr>
        <w:t>-</w:t>
      </w:r>
      <w:r w:rsidRPr="00B0605C">
        <w:rPr>
          <w:rFonts w:eastAsiaTheme="minorEastAsia"/>
          <w:lang w:val="en-GB" w:eastAsia="ko-KR"/>
        </w:rPr>
        <w:t xml:space="preserve">year increase from 2015 to </w:t>
      </w:r>
      <w:r w:rsidRPr="00B0605C">
        <w:rPr>
          <w:rFonts w:eastAsiaTheme="minorEastAsia"/>
          <w:lang w:val="en-GB" w:eastAsia="ko-KR"/>
        </w:rPr>
        <w:lastRenderedPageBreak/>
        <w:t xml:space="preserve">2016 </w:t>
      </w:r>
      <w:r w:rsidR="00346768" w:rsidRPr="00B0605C">
        <w:rPr>
          <w:rFonts w:eastAsiaTheme="minorEastAsia"/>
          <w:lang w:val="en-GB" w:eastAsia="ko-KR"/>
        </w:rPr>
        <w:t>was</w:t>
      </w:r>
      <w:r w:rsidRPr="00B0605C">
        <w:rPr>
          <w:rFonts w:eastAsiaTheme="minorEastAsia"/>
          <w:lang w:val="en-GB" w:eastAsia="ko-KR"/>
        </w:rPr>
        <w:t xml:space="preserve"> 1.8</w:t>
      </w:r>
      <w:r w:rsidR="00D507A2">
        <w:rPr>
          <w:rFonts w:eastAsiaTheme="minorEastAsia"/>
          <w:lang w:val="en-GB" w:eastAsia="ko-KR"/>
        </w:rPr>
        <w:t xml:space="preserve"> per cent</w:t>
      </w:r>
      <w:r w:rsidRPr="00B0605C">
        <w:rPr>
          <w:rFonts w:eastAsiaTheme="minorEastAsia"/>
          <w:lang w:val="en-GB" w:eastAsia="ko-KR"/>
        </w:rPr>
        <w:t>, and projections showed that these growth rates were expected to continue.</w:t>
      </w:r>
      <w:r w:rsidRPr="00B0605C">
        <w:rPr>
          <w:rStyle w:val="EndnoteReference"/>
          <w:rFonts w:eastAsiaTheme="minorEastAsia"/>
          <w:lang w:val="en-GB" w:eastAsia="ko-KR"/>
        </w:rPr>
        <w:endnoteReference w:id="5"/>
      </w:r>
      <w:r w:rsidRPr="00B0605C">
        <w:rPr>
          <w:rFonts w:eastAsiaTheme="minorEastAsia"/>
          <w:lang w:val="en-GB" w:eastAsia="ko-KR"/>
        </w:rPr>
        <w:t xml:space="preserve"> According to a report by the Las Vegas Convention and Visitors Authority, 46</w:t>
      </w:r>
      <w:r w:rsidR="00D507A2">
        <w:rPr>
          <w:rFonts w:eastAsiaTheme="minorEastAsia"/>
          <w:lang w:val="en-GB" w:eastAsia="ko-KR"/>
        </w:rPr>
        <w:t xml:space="preserve"> per cent</w:t>
      </w:r>
      <w:r w:rsidRPr="00B0605C">
        <w:rPr>
          <w:rFonts w:eastAsiaTheme="minorEastAsia"/>
          <w:lang w:val="en-GB" w:eastAsia="ko-KR"/>
        </w:rPr>
        <w:t xml:space="preserve"> of visitors to Las Vegas arrived via air, and 54</w:t>
      </w:r>
      <w:r w:rsidR="00D507A2">
        <w:rPr>
          <w:rFonts w:eastAsiaTheme="minorEastAsia"/>
          <w:lang w:val="en-GB" w:eastAsia="ko-KR"/>
        </w:rPr>
        <w:t xml:space="preserve"> per cent</w:t>
      </w:r>
      <w:r w:rsidRPr="00B0605C">
        <w:rPr>
          <w:rFonts w:eastAsiaTheme="minorEastAsia"/>
          <w:lang w:val="en-GB" w:eastAsia="ko-KR"/>
        </w:rPr>
        <w:t xml:space="preserve"> arrived via ground transportation.</w:t>
      </w:r>
      <w:r w:rsidRPr="00B0605C">
        <w:rPr>
          <w:rStyle w:val="EndnoteReference"/>
          <w:rFonts w:eastAsiaTheme="minorEastAsia"/>
          <w:lang w:val="en-GB" w:eastAsia="ko-KR"/>
        </w:rPr>
        <w:endnoteReference w:id="6"/>
      </w:r>
      <w:r w:rsidRPr="00B0605C">
        <w:rPr>
          <w:rFonts w:eastAsiaTheme="minorEastAsia"/>
          <w:lang w:val="en-GB" w:eastAsia="ko-KR"/>
        </w:rPr>
        <w:t xml:space="preserve"> </w:t>
      </w:r>
      <w:r w:rsidR="001E680F">
        <w:rPr>
          <w:rFonts w:eastAsiaTheme="minorEastAsia"/>
          <w:lang w:val="en-GB" w:eastAsia="ko-KR"/>
        </w:rPr>
        <w:t>A</w:t>
      </w:r>
      <w:r w:rsidR="00A827E1" w:rsidRPr="00B0605C">
        <w:rPr>
          <w:rFonts w:eastAsiaTheme="minorEastAsia"/>
          <w:lang w:val="en-GB" w:eastAsia="ko-KR"/>
        </w:rPr>
        <w:t>t Las Vegas’</w:t>
      </w:r>
      <w:r w:rsidR="00464BB0">
        <w:rPr>
          <w:rFonts w:eastAsiaTheme="minorEastAsia"/>
          <w:lang w:val="en-GB" w:eastAsia="ko-KR"/>
        </w:rPr>
        <w:t>s</w:t>
      </w:r>
      <w:r w:rsidR="00A827E1" w:rsidRPr="00B0605C">
        <w:rPr>
          <w:rFonts w:eastAsiaTheme="minorEastAsia"/>
          <w:lang w:val="en-GB" w:eastAsia="ko-KR"/>
        </w:rPr>
        <w:t xml:space="preserve"> McCarran </w:t>
      </w:r>
      <w:r w:rsidR="00464BB0">
        <w:rPr>
          <w:rFonts w:eastAsiaTheme="minorEastAsia"/>
          <w:lang w:val="en-GB" w:eastAsia="ko-KR"/>
        </w:rPr>
        <w:t xml:space="preserve">International </w:t>
      </w:r>
      <w:r w:rsidR="00A827E1" w:rsidRPr="00B0605C">
        <w:rPr>
          <w:rFonts w:eastAsiaTheme="minorEastAsia"/>
          <w:lang w:val="en-GB" w:eastAsia="ko-KR"/>
        </w:rPr>
        <w:t>Airport</w:t>
      </w:r>
      <w:r w:rsidR="001E680F">
        <w:rPr>
          <w:rFonts w:eastAsiaTheme="minorEastAsia"/>
          <w:lang w:val="en-GB" w:eastAsia="ko-KR"/>
        </w:rPr>
        <w:t>,</w:t>
      </w:r>
      <w:r w:rsidR="00A827E1" w:rsidRPr="00B0605C">
        <w:rPr>
          <w:rFonts w:eastAsiaTheme="minorEastAsia"/>
          <w:lang w:val="en-GB" w:eastAsia="ko-KR"/>
        </w:rPr>
        <w:t xml:space="preserve"> </w:t>
      </w:r>
      <w:r w:rsidR="001E680F">
        <w:rPr>
          <w:rFonts w:eastAsiaTheme="minorEastAsia"/>
          <w:lang w:val="en-GB" w:eastAsia="ko-KR"/>
        </w:rPr>
        <w:t>passenger traffic increased</w:t>
      </w:r>
      <w:r w:rsidRPr="00B0605C">
        <w:rPr>
          <w:rFonts w:eastAsiaTheme="minorEastAsia"/>
          <w:lang w:val="en-GB" w:eastAsia="ko-KR"/>
        </w:rPr>
        <w:t xml:space="preserve"> nearly 5 per cent year over year from 2015 to 2016 (see Exhibit 2).</w:t>
      </w:r>
      <w:r w:rsidRPr="00B0605C">
        <w:rPr>
          <w:rStyle w:val="EndnoteReference"/>
          <w:rFonts w:eastAsiaTheme="minorEastAsia"/>
          <w:lang w:val="en-GB" w:eastAsia="ko-KR"/>
        </w:rPr>
        <w:endnoteReference w:id="7"/>
      </w:r>
      <w:r w:rsidRPr="00B0605C">
        <w:rPr>
          <w:rFonts w:eastAsiaTheme="minorEastAsia"/>
          <w:lang w:val="en-GB" w:eastAsia="ko-KR"/>
        </w:rPr>
        <w:t xml:space="preserve"> The general trend among visitors to Las Vegas was a decrease in age, and an increase in diversity</w:t>
      </w:r>
      <w:r w:rsidR="00CC06EA" w:rsidRPr="00B0605C">
        <w:rPr>
          <w:rFonts w:eastAsiaTheme="minorEastAsia"/>
          <w:lang w:val="en-GB" w:eastAsia="ko-KR"/>
        </w:rPr>
        <w:t>;</w:t>
      </w:r>
      <w:r w:rsidRPr="00B0605C">
        <w:rPr>
          <w:rFonts w:eastAsiaTheme="minorEastAsia"/>
          <w:lang w:val="en-GB" w:eastAsia="ko-KR"/>
        </w:rPr>
        <w:t xml:space="preserve"> visitors were younger and more diverse than in previous years</w:t>
      </w:r>
      <w:r w:rsidR="00CC06EA" w:rsidRPr="00B0605C">
        <w:rPr>
          <w:rFonts w:eastAsiaTheme="minorEastAsia"/>
          <w:lang w:val="en-GB" w:eastAsia="ko-KR"/>
        </w:rPr>
        <w:t>,</w:t>
      </w:r>
      <w:r w:rsidRPr="00B0605C">
        <w:rPr>
          <w:rFonts w:eastAsiaTheme="minorEastAsia"/>
          <w:lang w:val="en-GB" w:eastAsia="ko-KR"/>
        </w:rPr>
        <w:t xml:space="preserve"> and the city also saw an increase </w:t>
      </w:r>
      <w:r w:rsidR="00CC06EA" w:rsidRPr="00B0605C">
        <w:rPr>
          <w:rFonts w:eastAsiaTheme="minorEastAsia"/>
          <w:lang w:val="en-GB" w:eastAsia="ko-KR"/>
        </w:rPr>
        <w:t xml:space="preserve">in the </w:t>
      </w:r>
      <w:r w:rsidRPr="00B0605C">
        <w:rPr>
          <w:rFonts w:eastAsiaTheme="minorEastAsia"/>
          <w:lang w:val="en-GB" w:eastAsia="ko-KR"/>
        </w:rPr>
        <w:t xml:space="preserve">number of foreign visitors in 2016 </w:t>
      </w:r>
      <w:r w:rsidR="00CC06EA" w:rsidRPr="00B0605C">
        <w:rPr>
          <w:rFonts w:eastAsiaTheme="minorEastAsia"/>
          <w:lang w:val="en-GB" w:eastAsia="ko-KR"/>
        </w:rPr>
        <w:t>over</w:t>
      </w:r>
      <w:r w:rsidRPr="00B0605C">
        <w:rPr>
          <w:rFonts w:eastAsiaTheme="minorEastAsia"/>
          <w:lang w:val="en-GB" w:eastAsia="ko-KR"/>
        </w:rPr>
        <w:t xml:space="preserve"> previous years.</w:t>
      </w:r>
      <w:r w:rsidRPr="00B0605C">
        <w:rPr>
          <w:rStyle w:val="EndnoteReference"/>
          <w:rFonts w:eastAsiaTheme="minorEastAsia"/>
          <w:lang w:val="en-GB" w:eastAsia="ko-KR"/>
        </w:rPr>
        <w:endnoteReference w:id="8"/>
      </w:r>
    </w:p>
    <w:p w14:paraId="08FD491D" w14:textId="77777777" w:rsidR="00AB45FC" w:rsidRPr="00B0605C" w:rsidRDefault="00AB45FC" w:rsidP="001339EF">
      <w:pPr>
        <w:jc w:val="both"/>
        <w:rPr>
          <w:sz w:val="22"/>
          <w:szCs w:val="22"/>
          <w:lang w:val="en-GB"/>
        </w:rPr>
      </w:pPr>
    </w:p>
    <w:p w14:paraId="4C3FFA01" w14:textId="5A59FDF6" w:rsidR="00837EB5" w:rsidRPr="00B0605C" w:rsidRDefault="00837EB5" w:rsidP="005F5BE7">
      <w:pPr>
        <w:pStyle w:val="BodyTextMain"/>
        <w:rPr>
          <w:rFonts w:eastAsiaTheme="minorEastAsia"/>
          <w:lang w:val="en-GB" w:eastAsia="ko-KR"/>
        </w:rPr>
      </w:pPr>
      <w:r w:rsidRPr="00B0605C">
        <w:rPr>
          <w:rFonts w:eastAsiaTheme="minorEastAsia"/>
          <w:lang w:val="en-GB" w:eastAsia="ko-KR"/>
        </w:rPr>
        <w:t>Las Vegas was a major gaming destination on both a domestic and</w:t>
      </w:r>
      <w:r w:rsidR="00344605">
        <w:rPr>
          <w:rFonts w:eastAsiaTheme="minorEastAsia"/>
          <w:lang w:val="en-GB" w:eastAsia="ko-KR"/>
        </w:rPr>
        <w:t xml:space="preserve"> an</w:t>
      </w:r>
      <w:r w:rsidRPr="00B0605C">
        <w:rPr>
          <w:rFonts w:eastAsiaTheme="minorEastAsia"/>
          <w:lang w:val="en-GB" w:eastAsia="ko-KR"/>
        </w:rPr>
        <w:t xml:space="preserve"> international scale. Diversification of the Las Vegas market resulted in increased competitiveness, and as the visitor demograp</w:t>
      </w:r>
      <w:r w:rsidR="004136DB" w:rsidRPr="00B0605C">
        <w:rPr>
          <w:rFonts w:eastAsiaTheme="minorEastAsia"/>
          <w:lang w:val="en-GB" w:eastAsia="ko-KR"/>
        </w:rPr>
        <w:t>hics and revenue trends</w:t>
      </w:r>
      <w:r w:rsidRPr="00B0605C">
        <w:rPr>
          <w:rFonts w:eastAsiaTheme="minorEastAsia"/>
          <w:lang w:val="en-GB" w:eastAsia="ko-KR"/>
        </w:rPr>
        <w:t xml:space="preserve"> changed, so did the industry. In 2016, </w:t>
      </w:r>
      <w:r w:rsidR="004C08E4" w:rsidRPr="00B0605C">
        <w:rPr>
          <w:rFonts w:eastAsiaTheme="minorEastAsia"/>
          <w:lang w:val="en-GB" w:eastAsia="ko-KR"/>
        </w:rPr>
        <w:t>t</w:t>
      </w:r>
      <w:r w:rsidRPr="00B0605C">
        <w:rPr>
          <w:rFonts w:eastAsiaTheme="minorEastAsia"/>
          <w:lang w:val="en-GB" w:eastAsia="ko-KR"/>
        </w:rPr>
        <w:t xml:space="preserve">otal </w:t>
      </w:r>
      <w:r w:rsidR="004C08E4" w:rsidRPr="00B0605C">
        <w:rPr>
          <w:rFonts w:eastAsiaTheme="minorEastAsia"/>
          <w:lang w:val="en-GB" w:eastAsia="ko-KR"/>
        </w:rPr>
        <w:t>g</w:t>
      </w:r>
      <w:r w:rsidRPr="00B0605C">
        <w:rPr>
          <w:rFonts w:eastAsiaTheme="minorEastAsia"/>
          <w:lang w:val="en-GB" w:eastAsia="ko-KR"/>
        </w:rPr>
        <w:t xml:space="preserve">aming </w:t>
      </w:r>
      <w:r w:rsidR="004C08E4" w:rsidRPr="00B0605C">
        <w:rPr>
          <w:rFonts w:eastAsiaTheme="minorEastAsia"/>
          <w:lang w:val="en-GB" w:eastAsia="ko-KR"/>
        </w:rPr>
        <w:t>r</w:t>
      </w:r>
      <w:r w:rsidRPr="00B0605C">
        <w:rPr>
          <w:rFonts w:eastAsiaTheme="minorEastAsia"/>
          <w:lang w:val="en-GB" w:eastAsia="ko-KR"/>
        </w:rPr>
        <w:t>ev</w:t>
      </w:r>
      <w:r w:rsidR="0013606B" w:rsidRPr="00B0605C">
        <w:rPr>
          <w:rFonts w:eastAsiaTheme="minorEastAsia"/>
          <w:lang w:val="en-GB" w:eastAsia="ko-KR"/>
        </w:rPr>
        <w:t>enue was $6,346,059,000</w:t>
      </w:r>
      <w:r w:rsidR="00016759">
        <w:rPr>
          <w:rFonts w:eastAsiaTheme="minorEastAsia"/>
          <w:lang w:val="en-GB" w:eastAsia="ko-KR"/>
        </w:rPr>
        <w:t>,</w:t>
      </w:r>
      <w:r w:rsidR="00EE7591" w:rsidRPr="00B0605C">
        <w:rPr>
          <w:rStyle w:val="EndnoteReference"/>
          <w:rFonts w:eastAsiaTheme="minorEastAsia"/>
          <w:lang w:val="en-GB" w:eastAsia="ko-KR"/>
        </w:rPr>
        <w:endnoteReference w:id="9"/>
      </w:r>
      <w:r w:rsidR="0013606B" w:rsidRPr="00B0605C">
        <w:rPr>
          <w:rFonts w:eastAsiaTheme="minorEastAsia"/>
          <w:lang w:val="en-GB" w:eastAsia="ko-KR"/>
        </w:rPr>
        <w:t xml:space="preserve"> </w:t>
      </w:r>
      <w:r w:rsidRPr="00B0605C">
        <w:rPr>
          <w:rFonts w:eastAsiaTheme="minorEastAsia"/>
          <w:lang w:val="en-GB" w:eastAsia="ko-KR"/>
        </w:rPr>
        <w:t>down 0.4</w:t>
      </w:r>
      <w:r w:rsidR="00016759">
        <w:rPr>
          <w:rFonts w:eastAsiaTheme="minorEastAsia"/>
          <w:lang w:val="en-GB" w:eastAsia="ko-KR"/>
        </w:rPr>
        <w:t xml:space="preserve"> per cent</w:t>
      </w:r>
      <w:r w:rsidRPr="00B0605C">
        <w:rPr>
          <w:rFonts w:eastAsiaTheme="minorEastAsia"/>
          <w:lang w:val="en-GB" w:eastAsia="ko-KR"/>
        </w:rPr>
        <w:t xml:space="preserve"> from the previous year.</w:t>
      </w:r>
      <w:r w:rsidRPr="00B0605C">
        <w:rPr>
          <w:rStyle w:val="EndnoteReference"/>
          <w:rFonts w:eastAsiaTheme="minorEastAsia"/>
          <w:lang w:val="en-GB" w:eastAsia="ko-KR"/>
        </w:rPr>
        <w:endnoteReference w:id="10"/>
      </w:r>
      <w:r w:rsidRPr="00B0605C">
        <w:rPr>
          <w:rFonts w:eastAsiaTheme="minorEastAsia"/>
          <w:lang w:val="en-GB" w:eastAsia="ko-KR"/>
        </w:rPr>
        <w:t xml:space="preserve"> </w:t>
      </w:r>
      <w:r w:rsidR="005F5BE7" w:rsidRPr="005F5BE7">
        <w:rPr>
          <w:rFonts w:eastAsiaTheme="minorEastAsia"/>
          <w:lang w:val="en-GB" w:eastAsia="ko-KR"/>
        </w:rPr>
        <w:t xml:space="preserve">According to HVS Global Hospitality Services (Exhibit 3), a consulting </w:t>
      </w:r>
      <w:r w:rsidR="005F5BE7">
        <w:rPr>
          <w:rFonts w:eastAsiaTheme="minorEastAsia"/>
          <w:lang w:val="en-GB" w:eastAsia="ko-KR"/>
        </w:rPr>
        <w:t>company</w:t>
      </w:r>
      <w:r w:rsidR="005F5BE7" w:rsidRPr="005F5BE7">
        <w:rPr>
          <w:rFonts w:eastAsiaTheme="minorEastAsia"/>
          <w:lang w:val="en-GB" w:eastAsia="ko-KR"/>
        </w:rPr>
        <w:t xml:space="preserve"> </w:t>
      </w:r>
      <w:r w:rsidR="00CF1524">
        <w:rPr>
          <w:rFonts w:eastAsiaTheme="minorEastAsia"/>
          <w:lang w:val="en-GB" w:eastAsia="ko-KR"/>
        </w:rPr>
        <w:t xml:space="preserve">that </w:t>
      </w:r>
      <w:r w:rsidR="005F5BE7" w:rsidRPr="005F5BE7">
        <w:rPr>
          <w:rFonts w:eastAsiaTheme="minorEastAsia"/>
          <w:lang w:val="en-GB" w:eastAsia="ko-KR"/>
        </w:rPr>
        <w:t xml:space="preserve">specialized in the hospitality industry, gaming revenue for Las Vegas Strip properties </w:t>
      </w:r>
      <w:r w:rsidR="001732EE">
        <w:rPr>
          <w:rFonts w:eastAsiaTheme="minorEastAsia"/>
          <w:lang w:val="en-GB" w:eastAsia="ko-KR"/>
        </w:rPr>
        <w:t xml:space="preserve">continued to </w:t>
      </w:r>
      <w:r w:rsidR="00CF1524">
        <w:rPr>
          <w:rFonts w:eastAsiaTheme="minorEastAsia"/>
          <w:lang w:val="en-GB" w:eastAsia="ko-KR"/>
        </w:rPr>
        <w:t>be generated</w:t>
      </w:r>
      <w:r w:rsidR="001732EE">
        <w:rPr>
          <w:rFonts w:eastAsiaTheme="minorEastAsia"/>
          <w:lang w:val="en-GB" w:eastAsia="ko-KR"/>
        </w:rPr>
        <w:t xml:space="preserve"> largely </w:t>
      </w:r>
      <w:r w:rsidR="005F5BE7">
        <w:rPr>
          <w:rFonts w:eastAsiaTheme="minorEastAsia"/>
          <w:lang w:val="en-GB" w:eastAsia="ko-KR"/>
        </w:rPr>
        <w:t xml:space="preserve">by </w:t>
      </w:r>
      <w:r w:rsidR="005F5BE7" w:rsidRPr="005F5BE7">
        <w:rPr>
          <w:rFonts w:eastAsiaTheme="minorEastAsia"/>
          <w:lang w:val="en-GB" w:eastAsia="ko-KR"/>
        </w:rPr>
        <w:t>slot machines (48.2</w:t>
      </w:r>
      <w:r w:rsidR="00CF1524">
        <w:rPr>
          <w:rFonts w:eastAsiaTheme="minorEastAsia"/>
          <w:lang w:val="en-GB" w:eastAsia="ko-KR"/>
        </w:rPr>
        <w:t xml:space="preserve"> per cent</w:t>
      </w:r>
      <w:r w:rsidR="005F5BE7" w:rsidRPr="005F5BE7">
        <w:rPr>
          <w:rFonts w:eastAsiaTheme="minorEastAsia"/>
          <w:lang w:val="en-GB" w:eastAsia="ko-KR"/>
        </w:rPr>
        <w:t>) and table games (48.5</w:t>
      </w:r>
      <w:r w:rsidR="00CF1524">
        <w:rPr>
          <w:rFonts w:eastAsiaTheme="minorEastAsia"/>
          <w:lang w:val="en-GB" w:eastAsia="ko-KR"/>
        </w:rPr>
        <w:t xml:space="preserve"> per cent</w:t>
      </w:r>
      <w:r w:rsidR="005F5BE7" w:rsidRPr="005F5BE7">
        <w:rPr>
          <w:rFonts w:eastAsiaTheme="minorEastAsia"/>
          <w:lang w:val="en-GB" w:eastAsia="ko-KR"/>
        </w:rPr>
        <w:t>).</w:t>
      </w:r>
      <w:r w:rsidR="005F5BE7">
        <w:rPr>
          <w:rStyle w:val="EndnoteReference"/>
          <w:rFonts w:eastAsiaTheme="minorEastAsia"/>
          <w:lang w:val="en-GB" w:eastAsia="ko-KR"/>
        </w:rPr>
        <w:endnoteReference w:id="11"/>
      </w:r>
      <w:r w:rsidR="005F5BE7" w:rsidRPr="005F5BE7">
        <w:rPr>
          <w:rFonts w:eastAsiaTheme="minorEastAsia"/>
          <w:lang w:val="en-GB" w:eastAsia="ko-KR"/>
        </w:rPr>
        <w:t xml:space="preserve"> </w:t>
      </w:r>
      <w:r w:rsidRPr="00B0605C">
        <w:rPr>
          <w:rFonts w:eastAsiaTheme="minorEastAsia"/>
          <w:lang w:val="en-GB" w:eastAsia="ko-KR"/>
        </w:rPr>
        <w:t xml:space="preserve">The general revenue trend for the Las Vegas </w:t>
      </w:r>
      <w:r w:rsidR="00CC06EA" w:rsidRPr="00B0605C">
        <w:rPr>
          <w:rFonts w:eastAsiaTheme="minorEastAsia"/>
          <w:lang w:val="en-GB" w:eastAsia="ko-KR"/>
        </w:rPr>
        <w:t>S</w:t>
      </w:r>
      <w:r w:rsidRPr="00B0605C">
        <w:rPr>
          <w:rFonts w:eastAsiaTheme="minorEastAsia"/>
          <w:lang w:val="en-GB" w:eastAsia="ko-KR"/>
        </w:rPr>
        <w:t xml:space="preserve">trip was changing. In 2016, visitors were increasingly likely to visit </w:t>
      </w:r>
      <w:r w:rsidR="00CF1524">
        <w:rPr>
          <w:rFonts w:eastAsiaTheme="minorEastAsia"/>
          <w:lang w:val="en-GB" w:eastAsia="ko-KR"/>
        </w:rPr>
        <w:t xml:space="preserve">the city </w:t>
      </w:r>
      <w:r w:rsidRPr="00B0605C">
        <w:rPr>
          <w:rFonts w:eastAsiaTheme="minorEastAsia"/>
          <w:lang w:val="en-GB" w:eastAsia="ko-KR"/>
        </w:rPr>
        <w:t xml:space="preserve">for </w:t>
      </w:r>
      <w:r w:rsidR="00CF1524">
        <w:rPr>
          <w:rFonts w:eastAsiaTheme="minorEastAsia"/>
          <w:lang w:val="en-GB" w:eastAsia="ko-KR"/>
        </w:rPr>
        <w:t xml:space="preserve">a </w:t>
      </w:r>
      <w:r w:rsidRPr="00B0605C">
        <w:rPr>
          <w:rFonts w:eastAsiaTheme="minorEastAsia"/>
          <w:lang w:val="en-GB" w:eastAsia="ko-KR"/>
        </w:rPr>
        <w:t>vacation or pleasure</w:t>
      </w:r>
      <w:r w:rsidR="00400F34">
        <w:rPr>
          <w:rFonts w:eastAsiaTheme="minorEastAsia"/>
          <w:lang w:val="en-GB" w:eastAsia="ko-KR"/>
        </w:rPr>
        <w:t>,</w:t>
      </w:r>
      <w:r w:rsidRPr="00B0605C">
        <w:rPr>
          <w:rFonts w:eastAsiaTheme="minorEastAsia"/>
          <w:lang w:val="en-GB" w:eastAsia="ko-KR"/>
        </w:rPr>
        <w:t xml:space="preserve"> and were more likely to “take part in a variety of activities in Las Vegas, and to explore the areas in and around Las Vegas</w:t>
      </w:r>
      <w:r w:rsidR="00346768" w:rsidRPr="00B0605C">
        <w:rPr>
          <w:rFonts w:eastAsiaTheme="minorEastAsia"/>
          <w:lang w:val="en-GB" w:eastAsia="ko-KR"/>
        </w:rPr>
        <w:t>.</w:t>
      </w:r>
      <w:r w:rsidRPr="00B0605C">
        <w:rPr>
          <w:rFonts w:eastAsiaTheme="minorEastAsia"/>
          <w:lang w:val="en-GB" w:eastAsia="ko-KR"/>
        </w:rPr>
        <w:t>”</w:t>
      </w:r>
      <w:r w:rsidRPr="00B0605C">
        <w:rPr>
          <w:rStyle w:val="EndnoteReference"/>
          <w:rFonts w:eastAsiaTheme="minorEastAsia"/>
          <w:lang w:val="en-GB" w:eastAsia="ko-KR"/>
        </w:rPr>
        <w:endnoteReference w:id="12"/>
      </w:r>
      <w:r w:rsidRPr="00B0605C">
        <w:rPr>
          <w:rFonts w:eastAsiaTheme="minorEastAsia"/>
          <w:lang w:val="en-GB" w:eastAsia="ko-KR"/>
        </w:rPr>
        <w:t xml:space="preserve"> </w:t>
      </w:r>
    </w:p>
    <w:p w14:paraId="77EA95CE" w14:textId="499D59C7" w:rsidR="00E903BA" w:rsidRPr="00B0605C" w:rsidRDefault="00E903BA" w:rsidP="00E903BA">
      <w:pPr>
        <w:pStyle w:val="BodyTextMain"/>
        <w:rPr>
          <w:rFonts w:eastAsiaTheme="minorEastAsia"/>
          <w:lang w:val="en-GB" w:eastAsia="ko-KR"/>
        </w:rPr>
      </w:pPr>
    </w:p>
    <w:p w14:paraId="6A5D7119" w14:textId="1D20154F" w:rsidR="00310453" w:rsidRPr="00B0605C" w:rsidRDefault="008E24A8" w:rsidP="008E24A8">
      <w:pPr>
        <w:pStyle w:val="BodyTextMain"/>
        <w:rPr>
          <w:rFonts w:eastAsiaTheme="minorEastAsia"/>
          <w:lang w:val="en-GB" w:eastAsia="ko-KR"/>
        </w:rPr>
      </w:pPr>
      <w:r w:rsidRPr="00B0605C">
        <w:rPr>
          <w:rFonts w:eastAsiaTheme="minorEastAsia"/>
          <w:lang w:val="en-GB" w:eastAsia="ko-KR"/>
        </w:rPr>
        <w:t xml:space="preserve">Gaming </w:t>
      </w:r>
      <w:r w:rsidR="00346768" w:rsidRPr="00B0605C">
        <w:rPr>
          <w:rFonts w:eastAsiaTheme="minorEastAsia"/>
          <w:lang w:val="en-GB" w:eastAsia="ko-KR"/>
        </w:rPr>
        <w:t>activity</w:t>
      </w:r>
      <w:r w:rsidR="00400F34">
        <w:rPr>
          <w:rFonts w:eastAsiaTheme="minorEastAsia"/>
          <w:lang w:val="en-GB" w:eastAsia="ko-KR"/>
        </w:rPr>
        <w:t>—</w:t>
      </w:r>
      <w:r w:rsidRPr="00B0605C">
        <w:rPr>
          <w:rFonts w:eastAsiaTheme="minorEastAsia"/>
          <w:lang w:val="en-GB" w:eastAsia="ko-KR"/>
        </w:rPr>
        <w:t>specifically</w:t>
      </w:r>
      <w:r w:rsidR="00CC06EA" w:rsidRPr="00B0605C">
        <w:rPr>
          <w:rFonts w:eastAsiaTheme="minorEastAsia"/>
          <w:lang w:val="en-GB" w:eastAsia="ko-KR"/>
        </w:rPr>
        <w:t>,</w:t>
      </w:r>
      <w:r w:rsidRPr="00B0605C">
        <w:rPr>
          <w:rFonts w:eastAsiaTheme="minorEastAsia"/>
          <w:lang w:val="en-GB" w:eastAsia="ko-KR"/>
        </w:rPr>
        <w:t xml:space="preserve"> </w:t>
      </w:r>
      <w:r w:rsidR="00400F34">
        <w:rPr>
          <w:rFonts w:eastAsiaTheme="minorEastAsia"/>
          <w:lang w:val="en-GB" w:eastAsia="ko-KR"/>
        </w:rPr>
        <w:t>visitors</w:t>
      </w:r>
      <w:r w:rsidR="00400F34" w:rsidRPr="00B0605C">
        <w:rPr>
          <w:rFonts w:eastAsiaTheme="minorEastAsia"/>
          <w:lang w:val="en-GB" w:eastAsia="ko-KR"/>
        </w:rPr>
        <w:t xml:space="preserve"> </w:t>
      </w:r>
      <w:r w:rsidRPr="00B0605C">
        <w:rPr>
          <w:rFonts w:eastAsiaTheme="minorEastAsia"/>
          <w:lang w:val="en-GB" w:eastAsia="ko-KR"/>
        </w:rPr>
        <w:t>who came to gamble and gambling wins per visitor</w:t>
      </w:r>
      <w:r w:rsidR="00400F34">
        <w:rPr>
          <w:rFonts w:eastAsiaTheme="minorEastAsia"/>
          <w:lang w:val="en-GB" w:eastAsia="ko-KR"/>
        </w:rPr>
        <w:t>—</w:t>
      </w:r>
      <w:r w:rsidR="00400F34" w:rsidRPr="00B0605C">
        <w:rPr>
          <w:rFonts w:eastAsiaTheme="minorEastAsia"/>
          <w:lang w:val="en-GB" w:eastAsia="ko-KR"/>
        </w:rPr>
        <w:t>w</w:t>
      </w:r>
      <w:r w:rsidR="00CF1524">
        <w:rPr>
          <w:rFonts w:eastAsiaTheme="minorEastAsia"/>
          <w:lang w:val="en-GB" w:eastAsia="ko-KR"/>
        </w:rPr>
        <w:t>as</w:t>
      </w:r>
      <w:r w:rsidR="00400F34" w:rsidRPr="00B0605C">
        <w:rPr>
          <w:rFonts w:eastAsiaTheme="minorEastAsia"/>
          <w:lang w:val="en-GB" w:eastAsia="ko-KR"/>
        </w:rPr>
        <w:t xml:space="preserve"> </w:t>
      </w:r>
      <w:r w:rsidR="004D20B5" w:rsidRPr="00B0605C">
        <w:rPr>
          <w:rFonts w:eastAsiaTheme="minorEastAsia"/>
          <w:lang w:val="en-GB" w:eastAsia="ko-KR"/>
        </w:rPr>
        <w:t>declining</w:t>
      </w:r>
      <w:r w:rsidRPr="00B0605C">
        <w:rPr>
          <w:rFonts w:eastAsiaTheme="minorEastAsia"/>
          <w:lang w:val="en-GB" w:eastAsia="ko-KR"/>
        </w:rPr>
        <w:t xml:space="preserve"> </w:t>
      </w:r>
      <w:r w:rsidR="000F2FA2" w:rsidRPr="00B0605C">
        <w:rPr>
          <w:rFonts w:eastAsiaTheme="minorEastAsia"/>
          <w:lang w:val="en-GB" w:eastAsia="ko-KR"/>
        </w:rPr>
        <w:t>slightly. F</w:t>
      </w:r>
      <w:r w:rsidRPr="00B0605C">
        <w:rPr>
          <w:rFonts w:eastAsiaTheme="minorEastAsia"/>
          <w:lang w:val="en-GB" w:eastAsia="ko-KR"/>
        </w:rPr>
        <w:t>ewer visitors stat</w:t>
      </w:r>
      <w:r w:rsidR="00E12603">
        <w:rPr>
          <w:rFonts w:eastAsiaTheme="minorEastAsia"/>
          <w:lang w:val="en-GB" w:eastAsia="ko-KR"/>
        </w:rPr>
        <w:t>ed</w:t>
      </w:r>
      <w:r w:rsidRPr="00B0605C">
        <w:rPr>
          <w:rFonts w:eastAsiaTheme="minorEastAsia"/>
          <w:lang w:val="en-GB" w:eastAsia="ko-KR"/>
        </w:rPr>
        <w:t xml:space="preserve"> they gambled while in Las Vegas, and those who</w:t>
      </w:r>
      <w:r w:rsidR="0013606B" w:rsidRPr="00B0605C">
        <w:rPr>
          <w:rFonts w:eastAsiaTheme="minorEastAsia"/>
          <w:lang w:val="en-GB" w:eastAsia="ko-KR"/>
        </w:rPr>
        <w:t xml:space="preserve"> did gamble spent less time </w:t>
      </w:r>
      <w:r w:rsidR="00E12603">
        <w:rPr>
          <w:rFonts w:eastAsiaTheme="minorEastAsia"/>
          <w:lang w:val="en-GB" w:eastAsia="ko-KR"/>
        </w:rPr>
        <w:t>doing so</w:t>
      </w:r>
      <w:r w:rsidR="00F47503">
        <w:rPr>
          <w:rFonts w:eastAsiaTheme="minorEastAsia"/>
          <w:lang w:val="en-GB" w:eastAsia="ko-KR"/>
        </w:rPr>
        <w:t xml:space="preserve"> </w:t>
      </w:r>
      <w:r w:rsidR="0013606B" w:rsidRPr="00B0605C">
        <w:rPr>
          <w:rFonts w:eastAsiaTheme="minorEastAsia"/>
          <w:lang w:val="en-GB" w:eastAsia="ko-KR"/>
        </w:rPr>
        <w:t>tha</w:t>
      </w:r>
      <w:r w:rsidRPr="00B0605C">
        <w:rPr>
          <w:rFonts w:eastAsiaTheme="minorEastAsia"/>
          <w:lang w:val="en-GB" w:eastAsia="ko-KR"/>
        </w:rPr>
        <w:t xml:space="preserve">n </w:t>
      </w:r>
      <w:r w:rsidR="00CF1524">
        <w:rPr>
          <w:rFonts w:eastAsiaTheme="minorEastAsia"/>
          <w:lang w:val="en-GB" w:eastAsia="ko-KR"/>
        </w:rPr>
        <w:t xml:space="preserve">they had </w:t>
      </w:r>
      <w:r w:rsidRPr="00B0605C">
        <w:rPr>
          <w:rFonts w:eastAsiaTheme="minorEastAsia"/>
          <w:lang w:val="en-GB" w:eastAsia="ko-KR"/>
        </w:rPr>
        <w:t>in previous years.</w:t>
      </w:r>
      <w:r w:rsidRPr="00B0605C">
        <w:rPr>
          <w:rStyle w:val="EndnoteReference"/>
          <w:rFonts w:eastAsiaTheme="minorEastAsia"/>
          <w:lang w:val="en-GB" w:eastAsia="ko-KR"/>
        </w:rPr>
        <w:endnoteReference w:id="13"/>
      </w:r>
      <w:r w:rsidR="00B0605C" w:rsidRPr="00B0605C">
        <w:rPr>
          <w:rFonts w:eastAsiaTheme="minorEastAsia"/>
          <w:lang w:val="en-GB" w:eastAsia="ko-KR"/>
        </w:rPr>
        <w:t xml:space="preserve"> </w:t>
      </w:r>
      <w:r w:rsidRPr="00B0605C">
        <w:rPr>
          <w:rFonts w:eastAsiaTheme="minorEastAsia"/>
          <w:lang w:val="en-GB" w:eastAsia="ko-KR"/>
        </w:rPr>
        <w:t>Approximately 70</w:t>
      </w:r>
      <w:r w:rsidR="00400F34">
        <w:rPr>
          <w:rFonts w:eastAsiaTheme="minorEastAsia"/>
          <w:lang w:val="en-GB" w:eastAsia="ko-KR"/>
        </w:rPr>
        <w:t xml:space="preserve"> per cent</w:t>
      </w:r>
      <w:r w:rsidRPr="00B0605C">
        <w:rPr>
          <w:rFonts w:eastAsiaTheme="minorEastAsia"/>
          <w:lang w:val="en-GB" w:eastAsia="ko-KR"/>
        </w:rPr>
        <w:t xml:space="preserve"> of Las Vegas visitors gambled, and the amount of time these visitors spent gambling was at the lowest </w:t>
      </w:r>
      <w:r w:rsidR="000F2FA2" w:rsidRPr="00B0605C">
        <w:rPr>
          <w:rFonts w:eastAsiaTheme="minorEastAsia"/>
          <w:lang w:val="en-GB" w:eastAsia="ko-KR"/>
        </w:rPr>
        <w:t xml:space="preserve">point </w:t>
      </w:r>
      <w:r w:rsidRPr="00B0605C">
        <w:rPr>
          <w:rFonts w:eastAsiaTheme="minorEastAsia"/>
          <w:lang w:val="en-GB" w:eastAsia="ko-KR"/>
        </w:rPr>
        <w:t>it had been over the past five years.</w:t>
      </w:r>
      <w:r w:rsidRPr="00B0605C">
        <w:rPr>
          <w:rStyle w:val="EndnoteReference"/>
          <w:rFonts w:eastAsiaTheme="minorEastAsia"/>
          <w:lang w:val="en-GB" w:eastAsia="ko-KR"/>
        </w:rPr>
        <w:endnoteReference w:id="14"/>
      </w:r>
      <w:r w:rsidRPr="00B0605C">
        <w:rPr>
          <w:rFonts w:eastAsiaTheme="minorEastAsia"/>
          <w:lang w:val="en-GB" w:eastAsia="ko-KR"/>
        </w:rPr>
        <w:t xml:space="preserve"> In 2016, visitors were attending casinos, </w:t>
      </w:r>
      <w:r w:rsidR="000F2FA2" w:rsidRPr="00B0605C">
        <w:rPr>
          <w:rFonts w:eastAsiaTheme="minorEastAsia"/>
          <w:lang w:val="en-GB" w:eastAsia="ko-KR"/>
        </w:rPr>
        <w:t>but they</w:t>
      </w:r>
      <w:r w:rsidRPr="00B0605C">
        <w:rPr>
          <w:rFonts w:eastAsiaTheme="minorEastAsia"/>
          <w:lang w:val="en-GB" w:eastAsia="ko-KR"/>
        </w:rPr>
        <w:t xml:space="preserve"> were gambling at fewer </w:t>
      </w:r>
      <w:r w:rsidR="00CF1524">
        <w:rPr>
          <w:rFonts w:eastAsiaTheme="minorEastAsia"/>
          <w:lang w:val="en-GB" w:eastAsia="ko-KR"/>
        </w:rPr>
        <w:t>of them</w:t>
      </w:r>
      <w:r w:rsidR="000F2FA2" w:rsidRPr="00B0605C">
        <w:rPr>
          <w:rFonts w:eastAsiaTheme="minorEastAsia"/>
          <w:lang w:val="en-GB" w:eastAsia="ko-KR"/>
        </w:rPr>
        <w:t>.</w:t>
      </w:r>
      <w:r w:rsidRPr="00B0605C">
        <w:rPr>
          <w:rFonts w:eastAsiaTheme="minorEastAsia"/>
          <w:lang w:val="en-GB" w:eastAsia="ko-KR"/>
        </w:rPr>
        <w:t xml:space="preserve"> </w:t>
      </w:r>
      <w:r w:rsidR="000F2FA2" w:rsidRPr="00B0605C">
        <w:rPr>
          <w:rFonts w:eastAsiaTheme="minorEastAsia"/>
          <w:lang w:val="en-GB" w:eastAsia="ko-KR"/>
        </w:rPr>
        <w:t xml:space="preserve">In other words, </w:t>
      </w:r>
      <w:r w:rsidRPr="00B0605C">
        <w:rPr>
          <w:rFonts w:eastAsiaTheme="minorEastAsia"/>
          <w:lang w:val="en-GB" w:eastAsia="ko-KR"/>
        </w:rPr>
        <w:t>gamblin</w:t>
      </w:r>
      <w:r w:rsidR="00E279FA" w:rsidRPr="00B0605C">
        <w:rPr>
          <w:rFonts w:eastAsiaTheme="minorEastAsia"/>
          <w:lang w:val="en-GB" w:eastAsia="ko-KR"/>
        </w:rPr>
        <w:t xml:space="preserve">g </w:t>
      </w:r>
      <w:r w:rsidR="000F2FA2" w:rsidRPr="00B0605C">
        <w:rPr>
          <w:rFonts w:eastAsiaTheme="minorEastAsia"/>
          <w:lang w:val="en-GB" w:eastAsia="ko-KR"/>
        </w:rPr>
        <w:t xml:space="preserve">activity </w:t>
      </w:r>
      <w:r w:rsidR="00E279FA" w:rsidRPr="00B0605C">
        <w:rPr>
          <w:rFonts w:eastAsiaTheme="minorEastAsia"/>
          <w:lang w:val="en-GB" w:eastAsia="ko-KR"/>
        </w:rPr>
        <w:t xml:space="preserve">and the transfer of money </w:t>
      </w:r>
      <w:r w:rsidR="000F2FA2" w:rsidRPr="00B0605C">
        <w:rPr>
          <w:rFonts w:eastAsiaTheme="minorEastAsia"/>
          <w:lang w:val="en-GB" w:eastAsia="ko-KR"/>
        </w:rPr>
        <w:t xml:space="preserve">through gambling </w:t>
      </w:r>
      <w:r w:rsidR="00E279FA" w:rsidRPr="00B0605C">
        <w:rPr>
          <w:rFonts w:eastAsiaTheme="minorEastAsia"/>
          <w:lang w:val="en-GB" w:eastAsia="ko-KR"/>
        </w:rPr>
        <w:t>were</w:t>
      </w:r>
      <w:r w:rsidRPr="00B0605C">
        <w:rPr>
          <w:rFonts w:eastAsiaTheme="minorEastAsia"/>
          <w:lang w:val="en-GB" w:eastAsia="ko-KR"/>
        </w:rPr>
        <w:t xml:space="preserve"> occurring at fewer casinos.</w:t>
      </w:r>
      <w:r w:rsidRPr="00B0605C">
        <w:rPr>
          <w:rStyle w:val="EndnoteReference"/>
          <w:rFonts w:eastAsiaTheme="minorEastAsia"/>
          <w:lang w:val="en-GB" w:eastAsia="ko-KR"/>
        </w:rPr>
        <w:endnoteReference w:id="15"/>
      </w:r>
      <w:r w:rsidRPr="00B0605C">
        <w:rPr>
          <w:rFonts w:eastAsiaTheme="minorEastAsia"/>
          <w:lang w:val="en-GB" w:eastAsia="ko-KR"/>
        </w:rPr>
        <w:t xml:space="preserve"> </w:t>
      </w:r>
    </w:p>
    <w:p w14:paraId="4A025CF8" w14:textId="77777777" w:rsidR="00310453" w:rsidRPr="00B0605C" w:rsidRDefault="00310453" w:rsidP="008E24A8">
      <w:pPr>
        <w:pStyle w:val="BodyTextMain"/>
        <w:rPr>
          <w:rFonts w:eastAsiaTheme="minorEastAsia"/>
          <w:lang w:val="en-GB" w:eastAsia="ko-KR"/>
        </w:rPr>
      </w:pPr>
    </w:p>
    <w:p w14:paraId="160D89A4" w14:textId="23E2F5CF" w:rsidR="008E24A8" w:rsidRPr="00B0605C" w:rsidRDefault="00400F34" w:rsidP="008E24A8">
      <w:pPr>
        <w:pStyle w:val="BodyTextMain"/>
        <w:rPr>
          <w:rFonts w:eastAsiaTheme="minorEastAsia"/>
          <w:lang w:val="en-GB" w:eastAsia="ko-KR"/>
        </w:rPr>
      </w:pPr>
      <w:r>
        <w:rPr>
          <w:rFonts w:eastAsiaTheme="minorEastAsia"/>
          <w:lang w:val="en-GB" w:eastAsia="ko-KR"/>
        </w:rPr>
        <w:t>I</w:t>
      </w:r>
      <w:r w:rsidR="000F2FA2" w:rsidRPr="00B0605C">
        <w:rPr>
          <w:rFonts w:eastAsiaTheme="minorEastAsia"/>
          <w:lang w:val="en-GB" w:eastAsia="ko-KR"/>
        </w:rPr>
        <w:t>n 2016</w:t>
      </w:r>
      <w:r>
        <w:rPr>
          <w:rFonts w:eastAsiaTheme="minorEastAsia"/>
          <w:lang w:val="en-GB" w:eastAsia="ko-KR"/>
        </w:rPr>
        <w:t>,</w:t>
      </w:r>
      <w:r w:rsidR="000F2FA2" w:rsidRPr="00B0605C">
        <w:rPr>
          <w:rFonts w:eastAsiaTheme="minorEastAsia"/>
          <w:lang w:val="en-GB" w:eastAsia="ko-KR"/>
        </w:rPr>
        <w:t xml:space="preserve"> </w:t>
      </w:r>
      <w:r w:rsidR="008E24A8" w:rsidRPr="00B0605C">
        <w:rPr>
          <w:rFonts w:eastAsiaTheme="minorEastAsia"/>
          <w:lang w:val="en-GB" w:eastAsia="ko-KR"/>
        </w:rPr>
        <w:t xml:space="preserve">the number of visitors </w:t>
      </w:r>
      <w:r w:rsidR="000F2FA2" w:rsidRPr="00B0605C">
        <w:rPr>
          <w:rFonts w:eastAsiaTheme="minorEastAsia"/>
          <w:lang w:val="en-GB" w:eastAsia="ko-KR"/>
        </w:rPr>
        <w:t>who</w:t>
      </w:r>
      <w:r w:rsidR="008E24A8" w:rsidRPr="00B0605C">
        <w:rPr>
          <w:rFonts w:eastAsiaTheme="minorEastAsia"/>
          <w:lang w:val="en-GB" w:eastAsia="ko-KR"/>
        </w:rPr>
        <w:t xml:space="preserve"> attended shows during their stay</w:t>
      </w:r>
      <w:r>
        <w:rPr>
          <w:rFonts w:eastAsiaTheme="minorEastAsia"/>
          <w:lang w:val="en-GB" w:eastAsia="ko-KR"/>
        </w:rPr>
        <w:t xml:space="preserve"> </w:t>
      </w:r>
      <w:r w:rsidR="00CF1524">
        <w:rPr>
          <w:rFonts w:eastAsiaTheme="minorEastAsia"/>
          <w:lang w:val="en-GB" w:eastAsia="ko-KR"/>
        </w:rPr>
        <w:t xml:space="preserve">in the city </w:t>
      </w:r>
      <w:r>
        <w:rPr>
          <w:rFonts w:eastAsiaTheme="minorEastAsia"/>
          <w:lang w:val="en-GB" w:eastAsia="ko-KR"/>
        </w:rPr>
        <w:t>showed a slight decline</w:t>
      </w:r>
      <w:r w:rsidR="008E24A8" w:rsidRPr="00B0605C">
        <w:rPr>
          <w:rFonts w:eastAsiaTheme="minorEastAsia"/>
          <w:lang w:val="en-GB" w:eastAsia="ko-KR"/>
        </w:rPr>
        <w:t xml:space="preserve">, </w:t>
      </w:r>
      <w:r w:rsidR="000F2FA2" w:rsidRPr="00B0605C">
        <w:rPr>
          <w:rFonts w:eastAsiaTheme="minorEastAsia"/>
          <w:lang w:val="en-GB" w:eastAsia="ko-KR"/>
        </w:rPr>
        <w:t>with</w:t>
      </w:r>
      <w:r w:rsidR="008E24A8" w:rsidRPr="00B0605C">
        <w:rPr>
          <w:rFonts w:eastAsiaTheme="minorEastAsia"/>
          <w:lang w:val="en-GB" w:eastAsia="ko-KR"/>
        </w:rPr>
        <w:t xml:space="preserve"> just over 50</w:t>
      </w:r>
      <w:r>
        <w:rPr>
          <w:rFonts w:eastAsiaTheme="minorEastAsia"/>
          <w:lang w:val="en-GB" w:eastAsia="ko-KR"/>
        </w:rPr>
        <w:t xml:space="preserve"> per cent</w:t>
      </w:r>
      <w:r w:rsidR="008E24A8" w:rsidRPr="00B0605C">
        <w:rPr>
          <w:rFonts w:eastAsiaTheme="minorEastAsia"/>
          <w:lang w:val="en-GB" w:eastAsia="ko-KR"/>
        </w:rPr>
        <w:t xml:space="preserve"> of visitors attend</w:t>
      </w:r>
      <w:r w:rsidR="000F2FA2" w:rsidRPr="00B0605C">
        <w:rPr>
          <w:rFonts w:eastAsiaTheme="minorEastAsia"/>
          <w:lang w:val="en-GB" w:eastAsia="ko-KR"/>
        </w:rPr>
        <w:t>ing</w:t>
      </w:r>
      <w:r w:rsidR="008E24A8" w:rsidRPr="00B0605C">
        <w:rPr>
          <w:rFonts w:eastAsiaTheme="minorEastAsia"/>
          <w:lang w:val="en-GB" w:eastAsia="ko-KR"/>
        </w:rPr>
        <w:t xml:space="preserve"> shows.</w:t>
      </w:r>
      <w:r w:rsidR="008E24A8" w:rsidRPr="00B0605C">
        <w:rPr>
          <w:rStyle w:val="EndnoteReference"/>
          <w:rFonts w:eastAsiaTheme="minorEastAsia"/>
          <w:lang w:val="en-GB" w:eastAsia="ko-KR"/>
        </w:rPr>
        <w:endnoteReference w:id="16"/>
      </w:r>
      <w:r w:rsidR="008E24A8" w:rsidRPr="00B0605C">
        <w:rPr>
          <w:rFonts w:eastAsiaTheme="minorEastAsia"/>
          <w:lang w:val="en-GB" w:eastAsia="ko-KR"/>
        </w:rPr>
        <w:t xml:space="preserve"> The revenue trends on the </w:t>
      </w:r>
      <w:r w:rsidR="000F2FA2" w:rsidRPr="00B0605C">
        <w:rPr>
          <w:rFonts w:eastAsiaTheme="minorEastAsia"/>
          <w:lang w:val="en-GB" w:eastAsia="ko-KR"/>
        </w:rPr>
        <w:t>S</w:t>
      </w:r>
      <w:r w:rsidR="008E24A8" w:rsidRPr="00B0605C">
        <w:rPr>
          <w:rFonts w:eastAsiaTheme="minorEastAsia"/>
          <w:lang w:val="en-GB" w:eastAsia="ko-KR"/>
        </w:rPr>
        <w:t>trip were changing</w:t>
      </w:r>
      <w:r w:rsidR="000F2FA2" w:rsidRPr="00B0605C">
        <w:rPr>
          <w:rFonts w:eastAsiaTheme="minorEastAsia"/>
          <w:lang w:val="en-GB" w:eastAsia="ko-KR"/>
        </w:rPr>
        <w:t>:</w:t>
      </w:r>
      <w:r w:rsidR="008E24A8" w:rsidRPr="00B0605C">
        <w:rPr>
          <w:rFonts w:eastAsiaTheme="minorEastAsia"/>
          <w:lang w:val="en-GB" w:eastAsia="ko-KR"/>
        </w:rPr>
        <w:t xml:space="preserve"> visitors were spending more on lodging, food and drink, transportation, </w:t>
      </w:r>
      <w:r w:rsidR="00310453" w:rsidRPr="00B0605C">
        <w:rPr>
          <w:rFonts w:eastAsiaTheme="minorEastAsia"/>
          <w:lang w:val="en-GB" w:eastAsia="ko-KR"/>
        </w:rPr>
        <w:t>entertainment,</w:t>
      </w:r>
      <w:r w:rsidR="008E24A8" w:rsidRPr="00B0605C">
        <w:rPr>
          <w:rFonts w:eastAsiaTheme="minorEastAsia"/>
          <w:lang w:val="en-GB" w:eastAsia="ko-KR"/>
        </w:rPr>
        <w:t xml:space="preserve"> and sightseeing.</w:t>
      </w:r>
      <w:r w:rsidR="008E24A8" w:rsidRPr="00B0605C">
        <w:rPr>
          <w:rStyle w:val="EndnoteReference"/>
          <w:rFonts w:eastAsiaTheme="minorEastAsia"/>
          <w:lang w:val="en-GB" w:eastAsia="ko-KR"/>
        </w:rPr>
        <w:endnoteReference w:id="17"/>
      </w:r>
      <w:r w:rsidR="008E24A8" w:rsidRPr="00B0605C">
        <w:rPr>
          <w:rFonts w:eastAsiaTheme="minorEastAsia"/>
          <w:lang w:val="en-GB" w:eastAsia="ko-KR"/>
        </w:rPr>
        <w:t xml:space="preserve"> The shift to non-gambling and </w:t>
      </w:r>
      <w:r>
        <w:rPr>
          <w:rFonts w:eastAsiaTheme="minorEastAsia"/>
          <w:lang w:val="en-GB" w:eastAsia="ko-KR"/>
        </w:rPr>
        <w:t xml:space="preserve">the </w:t>
      </w:r>
      <w:r w:rsidR="008E24A8" w:rsidRPr="00B0605C">
        <w:rPr>
          <w:rFonts w:eastAsiaTheme="minorEastAsia"/>
          <w:lang w:val="en-GB" w:eastAsia="ko-KR"/>
        </w:rPr>
        <w:t xml:space="preserve">diversification of the market </w:t>
      </w:r>
      <w:r w:rsidR="005F7713" w:rsidRPr="00B0605C">
        <w:rPr>
          <w:rFonts w:eastAsiaTheme="minorEastAsia"/>
          <w:lang w:val="en-GB" w:eastAsia="ko-KR"/>
        </w:rPr>
        <w:t>w</w:t>
      </w:r>
      <w:r w:rsidR="004D20B5" w:rsidRPr="00B0605C">
        <w:rPr>
          <w:rFonts w:eastAsiaTheme="minorEastAsia"/>
          <w:lang w:val="en-GB" w:eastAsia="ko-KR"/>
        </w:rPr>
        <w:t>ere</w:t>
      </w:r>
      <w:r w:rsidR="005F7713" w:rsidRPr="00B0605C">
        <w:rPr>
          <w:rFonts w:eastAsiaTheme="minorEastAsia"/>
          <w:lang w:val="en-GB" w:eastAsia="ko-KR"/>
        </w:rPr>
        <w:t xml:space="preserve"> redefining </w:t>
      </w:r>
      <w:r w:rsidR="008E24A8" w:rsidRPr="00B0605C">
        <w:rPr>
          <w:rFonts w:eastAsiaTheme="minorEastAsia"/>
          <w:lang w:val="en-GB" w:eastAsia="ko-KR"/>
        </w:rPr>
        <w:t>Las Vegas as a world-renowned leisure destination.</w:t>
      </w:r>
    </w:p>
    <w:p w14:paraId="186F1AD0" w14:textId="77777777" w:rsidR="00310453" w:rsidRPr="00B0605C" w:rsidRDefault="00310453" w:rsidP="00310453">
      <w:pPr>
        <w:jc w:val="both"/>
        <w:rPr>
          <w:rFonts w:eastAsiaTheme="minorEastAsia"/>
          <w:sz w:val="22"/>
          <w:szCs w:val="22"/>
          <w:highlight w:val="yellow"/>
          <w:lang w:val="en-GB" w:eastAsia="ko-KR"/>
        </w:rPr>
      </w:pPr>
    </w:p>
    <w:p w14:paraId="79644D70" w14:textId="77777777" w:rsidR="00310453" w:rsidRPr="00B0605C" w:rsidRDefault="00310453" w:rsidP="00310453">
      <w:pPr>
        <w:jc w:val="both"/>
        <w:rPr>
          <w:rFonts w:ascii="Arial" w:eastAsiaTheme="minorEastAsia" w:hAnsi="Arial" w:cs="Arial"/>
          <w:b/>
          <w:lang w:val="en-GB" w:eastAsia="ko-KR"/>
        </w:rPr>
      </w:pPr>
    </w:p>
    <w:p w14:paraId="17FBC484" w14:textId="391F84B2" w:rsidR="00310453" w:rsidRPr="00B0605C" w:rsidRDefault="00310453" w:rsidP="00310453">
      <w:pPr>
        <w:jc w:val="both"/>
        <w:rPr>
          <w:rFonts w:ascii="Arial" w:eastAsiaTheme="minorEastAsia" w:hAnsi="Arial" w:cs="Arial"/>
          <w:b/>
          <w:lang w:val="en-GB" w:eastAsia="ko-KR"/>
        </w:rPr>
      </w:pPr>
      <w:r w:rsidRPr="00B0605C">
        <w:rPr>
          <w:rFonts w:ascii="Arial" w:eastAsiaTheme="minorEastAsia" w:hAnsi="Arial" w:cs="Arial"/>
          <w:b/>
          <w:lang w:val="en-GB" w:eastAsia="ko-KR"/>
        </w:rPr>
        <w:t>COMP</w:t>
      </w:r>
      <w:r w:rsidR="00346768" w:rsidRPr="00B0605C">
        <w:rPr>
          <w:rFonts w:ascii="Arial" w:eastAsiaTheme="minorEastAsia" w:hAnsi="Arial" w:cs="Arial"/>
          <w:b/>
          <w:lang w:val="en-GB" w:eastAsia="ko-KR"/>
        </w:rPr>
        <w:t>A</w:t>
      </w:r>
      <w:r w:rsidRPr="00B0605C">
        <w:rPr>
          <w:rFonts w:ascii="Arial" w:eastAsiaTheme="minorEastAsia" w:hAnsi="Arial" w:cs="Arial"/>
          <w:b/>
          <w:lang w:val="en-GB" w:eastAsia="ko-KR"/>
        </w:rPr>
        <w:t>NY: LAS VEGAS SAND</w:t>
      </w:r>
      <w:r w:rsidR="001F68B2" w:rsidRPr="00B0605C">
        <w:rPr>
          <w:rFonts w:ascii="Arial" w:eastAsiaTheme="minorEastAsia" w:hAnsi="Arial" w:cs="Arial"/>
          <w:b/>
          <w:lang w:val="en-GB" w:eastAsia="ko-KR"/>
        </w:rPr>
        <w:t>S</w:t>
      </w:r>
      <w:r w:rsidRPr="00B0605C">
        <w:rPr>
          <w:rFonts w:ascii="Arial" w:eastAsiaTheme="minorEastAsia" w:hAnsi="Arial" w:cs="Arial"/>
          <w:b/>
          <w:lang w:val="en-GB" w:eastAsia="ko-KR"/>
        </w:rPr>
        <w:t xml:space="preserve"> CORPORATION </w:t>
      </w:r>
    </w:p>
    <w:p w14:paraId="30AEB520" w14:textId="77777777" w:rsidR="00310453" w:rsidRPr="00B0605C" w:rsidRDefault="00310453" w:rsidP="00310453">
      <w:pPr>
        <w:jc w:val="both"/>
        <w:rPr>
          <w:rFonts w:ascii="Arial" w:eastAsiaTheme="minorEastAsia" w:hAnsi="Arial" w:cs="Arial"/>
          <w:b/>
          <w:lang w:val="en-GB" w:eastAsia="ko-KR"/>
        </w:rPr>
      </w:pPr>
    </w:p>
    <w:p w14:paraId="2CC4ACDD" w14:textId="43EF023A" w:rsidR="005F4893" w:rsidRPr="00B0605C" w:rsidRDefault="005F4893" w:rsidP="005F4893">
      <w:pPr>
        <w:pStyle w:val="BodyTextMain"/>
        <w:rPr>
          <w:rFonts w:eastAsiaTheme="minorEastAsia"/>
          <w:lang w:val="en-GB" w:eastAsia="ko-KR"/>
        </w:rPr>
      </w:pPr>
      <w:r w:rsidRPr="00B0605C">
        <w:rPr>
          <w:rFonts w:eastAsiaTheme="minorEastAsia"/>
          <w:lang w:val="en-GB" w:eastAsia="ko-KR"/>
        </w:rPr>
        <w:t>The Las Vegas Strip was flanked by hotels and casinos, and was dominated by four main resort companies</w:t>
      </w:r>
      <w:r w:rsidR="00400F34">
        <w:rPr>
          <w:rFonts w:eastAsiaTheme="minorEastAsia"/>
          <w:lang w:val="en-GB" w:eastAsia="ko-KR"/>
        </w:rPr>
        <w:t>—</w:t>
      </w:r>
      <w:r w:rsidRPr="00B0605C">
        <w:rPr>
          <w:rFonts w:eastAsiaTheme="minorEastAsia"/>
          <w:lang w:val="en-GB" w:eastAsia="ko-KR"/>
        </w:rPr>
        <w:t>MGM Resorts, Caesars Entertainment, Las Vegas Sands, and Wynn Resorts</w:t>
      </w:r>
      <w:r w:rsidR="00400F34">
        <w:rPr>
          <w:rFonts w:eastAsiaTheme="minorEastAsia"/>
          <w:lang w:val="en-GB" w:eastAsia="ko-KR"/>
        </w:rPr>
        <w:t>—</w:t>
      </w:r>
      <w:r w:rsidR="00486235" w:rsidRPr="00B0605C">
        <w:rPr>
          <w:rFonts w:eastAsiaTheme="minorEastAsia"/>
          <w:lang w:val="en-GB" w:eastAsia="ko-KR"/>
        </w:rPr>
        <w:t xml:space="preserve">and other </w:t>
      </w:r>
      <w:r w:rsidR="00ED752F" w:rsidRPr="00B0605C">
        <w:rPr>
          <w:rFonts w:eastAsiaTheme="minorEastAsia"/>
          <w:lang w:val="en-GB" w:eastAsia="ko-KR"/>
        </w:rPr>
        <w:t>privately</w:t>
      </w:r>
      <w:r w:rsidR="00400F34">
        <w:rPr>
          <w:rFonts w:eastAsiaTheme="minorEastAsia"/>
          <w:lang w:val="en-GB" w:eastAsia="ko-KR"/>
        </w:rPr>
        <w:t xml:space="preserve"> </w:t>
      </w:r>
      <w:r w:rsidR="00ED752F" w:rsidRPr="00B0605C">
        <w:rPr>
          <w:rFonts w:eastAsiaTheme="minorEastAsia"/>
          <w:lang w:val="en-GB" w:eastAsia="ko-KR"/>
        </w:rPr>
        <w:t xml:space="preserve">owned </w:t>
      </w:r>
      <w:r w:rsidR="00346768" w:rsidRPr="00B0605C">
        <w:rPr>
          <w:rFonts w:eastAsiaTheme="minorEastAsia"/>
          <w:lang w:val="en-GB" w:eastAsia="ko-KR"/>
        </w:rPr>
        <w:t>companies</w:t>
      </w:r>
      <w:r w:rsidR="000F2FA2" w:rsidRPr="00B0605C">
        <w:rPr>
          <w:rFonts w:eastAsiaTheme="minorEastAsia"/>
          <w:lang w:val="en-GB" w:eastAsia="ko-KR"/>
        </w:rPr>
        <w:t xml:space="preserve">, </w:t>
      </w:r>
      <w:r w:rsidR="004D20B5" w:rsidRPr="00B0605C">
        <w:rPr>
          <w:rFonts w:eastAsiaTheme="minorEastAsia"/>
          <w:lang w:val="en-GB" w:eastAsia="ko-KR"/>
        </w:rPr>
        <w:t xml:space="preserve">such as </w:t>
      </w:r>
      <w:r w:rsidR="00486235" w:rsidRPr="00B0605C">
        <w:rPr>
          <w:rFonts w:eastAsiaTheme="minorEastAsia"/>
          <w:lang w:val="en-GB" w:eastAsia="ko-KR"/>
        </w:rPr>
        <w:t>Treasure Island and</w:t>
      </w:r>
      <w:r w:rsidR="00ED752F" w:rsidRPr="00B0605C">
        <w:rPr>
          <w:rFonts w:eastAsiaTheme="minorEastAsia"/>
          <w:lang w:val="en-GB" w:eastAsia="ko-KR"/>
        </w:rPr>
        <w:t xml:space="preserve"> South Point</w:t>
      </w:r>
      <w:r w:rsidRPr="00B0605C">
        <w:rPr>
          <w:rFonts w:eastAsiaTheme="minorEastAsia"/>
          <w:lang w:val="en-GB" w:eastAsia="ko-KR"/>
        </w:rPr>
        <w:t xml:space="preserve"> (</w:t>
      </w:r>
      <w:r w:rsidR="000F2FA2" w:rsidRPr="00B0605C">
        <w:rPr>
          <w:rFonts w:eastAsiaTheme="minorEastAsia"/>
          <w:lang w:val="en-GB" w:eastAsia="ko-KR"/>
        </w:rPr>
        <w:t xml:space="preserve">see </w:t>
      </w:r>
      <w:r w:rsidRPr="00B0605C">
        <w:rPr>
          <w:rFonts w:eastAsiaTheme="minorEastAsia"/>
          <w:lang w:val="en-GB" w:eastAsia="ko-KR"/>
        </w:rPr>
        <w:t xml:space="preserve">Exhibit 4). </w:t>
      </w:r>
    </w:p>
    <w:p w14:paraId="11BDEB53" w14:textId="77777777" w:rsidR="005F4893" w:rsidRPr="00B0605C" w:rsidRDefault="005F4893" w:rsidP="005F4893">
      <w:pPr>
        <w:pStyle w:val="BodyTextMain"/>
        <w:rPr>
          <w:rFonts w:eastAsiaTheme="minorEastAsia"/>
          <w:lang w:val="en-GB" w:eastAsia="ko-KR"/>
        </w:rPr>
      </w:pPr>
    </w:p>
    <w:p w14:paraId="43883ADA" w14:textId="433537B9" w:rsidR="00310453" w:rsidRPr="00B0605C" w:rsidRDefault="00310453" w:rsidP="00310453">
      <w:pPr>
        <w:jc w:val="both"/>
        <w:rPr>
          <w:sz w:val="22"/>
          <w:szCs w:val="22"/>
          <w:lang w:val="en-GB"/>
        </w:rPr>
      </w:pPr>
      <w:r w:rsidRPr="00B0605C">
        <w:rPr>
          <w:sz w:val="22"/>
          <w:szCs w:val="22"/>
          <w:lang w:val="en-GB"/>
        </w:rPr>
        <w:t>Las Vegas Sands was a developer of destination properties, and was active worldwide</w:t>
      </w:r>
      <w:r w:rsidR="00BF4BAC" w:rsidRPr="00B0605C">
        <w:rPr>
          <w:rFonts w:eastAsiaTheme="minorEastAsia"/>
          <w:sz w:val="22"/>
          <w:szCs w:val="22"/>
          <w:lang w:val="en-GB" w:eastAsia="ko-KR"/>
        </w:rPr>
        <w:t xml:space="preserve"> (</w:t>
      </w:r>
      <w:r w:rsidR="00223D7B">
        <w:rPr>
          <w:rFonts w:eastAsiaTheme="minorEastAsia"/>
          <w:sz w:val="22"/>
          <w:szCs w:val="22"/>
          <w:lang w:val="en-GB" w:eastAsia="ko-KR"/>
        </w:rPr>
        <w:t xml:space="preserve">for financial data, </w:t>
      </w:r>
      <w:r w:rsidR="00BF4BAC" w:rsidRPr="00B0605C">
        <w:rPr>
          <w:rFonts w:eastAsiaTheme="minorEastAsia"/>
          <w:sz w:val="22"/>
          <w:szCs w:val="22"/>
          <w:lang w:val="en-GB" w:eastAsia="ko-KR"/>
        </w:rPr>
        <w:t>see Exhibit 5)</w:t>
      </w:r>
      <w:r w:rsidRPr="00B0605C">
        <w:rPr>
          <w:sz w:val="22"/>
          <w:szCs w:val="22"/>
          <w:lang w:val="en-GB"/>
        </w:rPr>
        <w:t>. The company’s properties included accommodations, gaming, entertainment</w:t>
      </w:r>
      <w:r w:rsidR="000F2FA2" w:rsidRPr="00B0605C">
        <w:rPr>
          <w:sz w:val="22"/>
          <w:szCs w:val="22"/>
          <w:lang w:val="en-GB"/>
        </w:rPr>
        <w:t>,</w:t>
      </w:r>
      <w:r w:rsidRPr="00B0605C">
        <w:rPr>
          <w:sz w:val="22"/>
          <w:szCs w:val="22"/>
          <w:lang w:val="en-GB"/>
        </w:rPr>
        <w:t xml:space="preserve"> and retail experiences, as well as convention facilities and restaurants. The company’s properties on the Las Vegas Strip included the Palazzo</w:t>
      </w:r>
      <w:r w:rsidR="00223D7B">
        <w:rPr>
          <w:sz w:val="22"/>
          <w:szCs w:val="22"/>
          <w:lang w:val="en-GB"/>
        </w:rPr>
        <w:t>;</w:t>
      </w:r>
      <w:r w:rsidRPr="00B0605C">
        <w:rPr>
          <w:sz w:val="22"/>
          <w:szCs w:val="22"/>
          <w:lang w:val="en-GB"/>
        </w:rPr>
        <w:t xml:space="preserve"> </w:t>
      </w:r>
      <w:r w:rsidR="00346768" w:rsidRPr="00B0605C">
        <w:rPr>
          <w:sz w:val="22"/>
          <w:szCs w:val="22"/>
          <w:lang w:val="en-GB"/>
        </w:rPr>
        <w:t>t</w:t>
      </w:r>
      <w:r w:rsidRPr="00B0605C">
        <w:rPr>
          <w:sz w:val="22"/>
          <w:szCs w:val="22"/>
          <w:lang w:val="en-GB"/>
        </w:rPr>
        <w:t>he Venetian Resort Hotel Casino</w:t>
      </w:r>
      <w:r w:rsidR="00223D7B">
        <w:rPr>
          <w:sz w:val="22"/>
          <w:szCs w:val="22"/>
          <w:lang w:val="en-GB"/>
        </w:rPr>
        <w:t>;</w:t>
      </w:r>
      <w:r w:rsidRPr="00B0605C">
        <w:rPr>
          <w:sz w:val="22"/>
          <w:szCs w:val="22"/>
          <w:lang w:val="en-GB"/>
        </w:rPr>
        <w:t xml:space="preserve"> and the Sands Expo </w:t>
      </w:r>
      <w:r w:rsidR="00223D7B">
        <w:rPr>
          <w:sz w:val="22"/>
          <w:szCs w:val="22"/>
          <w:lang w:val="en-GB"/>
        </w:rPr>
        <w:t xml:space="preserve">and Convention </w:t>
      </w:r>
      <w:r w:rsidR="00223D7B" w:rsidRPr="00B0605C">
        <w:rPr>
          <w:sz w:val="22"/>
          <w:szCs w:val="22"/>
          <w:lang w:val="en-GB"/>
        </w:rPr>
        <w:t>Cent</w:t>
      </w:r>
      <w:r w:rsidR="00223D7B">
        <w:rPr>
          <w:sz w:val="22"/>
          <w:szCs w:val="22"/>
          <w:lang w:val="en-GB"/>
        </w:rPr>
        <w:t>er</w:t>
      </w:r>
      <w:r w:rsidR="004D20B5" w:rsidRPr="00B0605C">
        <w:rPr>
          <w:sz w:val="22"/>
          <w:szCs w:val="22"/>
          <w:lang w:val="en-GB"/>
        </w:rPr>
        <w:t>, the second</w:t>
      </w:r>
      <w:r w:rsidR="00223D7B">
        <w:rPr>
          <w:sz w:val="22"/>
          <w:szCs w:val="22"/>
          <w:lang w:val="en-GB"/>
        </w:rPr>
        <w:t>-</w:t>
      </w:r>
      <w:r w:rsidR="004D20B5" w:rsidRPr="00B0605C">
        <w:rPr>
          <w:sz w:val="22"/>
          <w:szCs w:val="22"/>
          <w:lang w:val="en-GB"/>
        </w:rPr>
        <w:t>largest convention centre in the world when it opened in 1990.</w:t>
      </w:r>
      <w:r w:rsidRPr="00B0605C">
        <w:rPr>
          <w:sz w:val="22"/>
          <w:szCs w:val="22"/>
          <w:lang w:val="en-GB"/>
        </w:rPr>
        <w:t xml:space="preserve"> </w:t>
      </w:r>
    </w:p>
    <w:p w14:paraId="5E5A367E" w14:textId="77777777" w:rsidR="00310453" w:rsidRPr="00B0605C" w:rsidRDefault="00310453" w:rsidP="00310453">
      <w:pPr>
        <w:jc w:val="both"/>
        <w:rPr>
          <w:sz w:val="22"/>
          <w:szCs w:val="22"/>
          <w:lang w:val="en-GB"/>
        </w:rPr>
      </w:pPr>
    </w:p>
    <w:p w14:paraId="396756CE" w14:textId="14F5E010" w:rsidR="00310453" w:rsidRPr="00B0605C" w:rsidRDefault="00310453" w:rsidP="00310453">
      <w:pPr>
        <w:jc w:val="both"/>
        <w:rPr>
          <w:sz w:val="22"/>
          <w:szCs w:val="22"/>
          <w:lang w:val="en-GB"/>
        </w:rPr>
      </w:pPr>
      <w:r w:rsidRPr="00B0605C">
        <w:rPr>
          <w:sz w:val="22"/>
          <w:szCs w:val="22"/>
          <w:lang w:val="en-GB"/>
        </w:rPr>
        <w:t>At the company’s Las Vegas properties, the resort emphasi</w:t>
      </w:r>
      <w:r w:rsidR="00CC06EA" w:rsidRPr="00B0605C">
        <w:rPr>
          <w:sz w:val="22"/>
          <w:szCs w:val="22"/>
          <w:lang w:val="en-GB"/>
        </w:rPr>
        <w:t>zed</w:t>
      </w:r>
      <w:r w:rsidRPr="00B0605C">
        <w:rPr>
          <w:sz w:val="22"/>
          <w:szCs w:val="22"/>
          <w:lang w:val="en-GB"/>
        </w:rPr>
        <w:t xml:space="preserve"> its convention and trade show business segments</w:t>
      </w:r>
      <w:r w:rsidR="000F2FA2" w:rsidRPr="00B0605C">
        <w:rPr>
          <w:sz w:val="22"/>
          <w:szCs w:val="22"/>
          <w:lang w:val="en-GB"/>
        </w:rPr>
        <w:t>, which</w:t>
      </w:r>
      <w:r w:rsidRPr="00B0605C">
        <w:rPr>
          <w:sz w:val="22"/>
          <w:szCs w:val="22"/>
          <w:lang w:val="en-GB"/>
        </w:rPr>
        <w:t xml:space="preserve"> resulted in high occupancy rates throughout the week. Due to this focus, in 2015 approximately 71.6</w:t>
      </w:r>
      <w:r w:rsidR="00223D7B">
        <w:rPr>
          <w:sz w:val="22"/>
          <w:szCs w:val="22"/>
          <w:lang w:val="en-GB"/>
        </w:rPr>
        <w:t xml:space="preserve"> per cent</w:t>
      </w:r>
      <w:r w:rsidRPr="00B0605C">
        <w:rPr>
          <w:sz w:val="22"/>
          <w:szCs w:val="22"/>
          <w:lang w:val="en-GB"/>
        </w:rPr>
        <w:t xml:space="preserve"> of gross revenue at Las Vegas </w:t>
      </w:r>
      <w:r w:rsidR="00223D7B">
        <w:rPr>
          <w:sz w:val="22"/>
          <w:szCs w:val="22"/>
          <w:lang w:val="en-GB"/>
        </w:rPr>
        <w:t xml:space="preserve">Sands </w:t>
      </w:r>
      <w:r w:rsidRPr="00B0605C">
        <w:rPr>
          <w:sz w:val="22"/>
          <w:szCs w:val="22"/>
          <w:lang w:val="en-GB"/>
        </w:rPr>
        <w:t xml:space="preserve">properties was derived from room, food </w:t>
      </w:r>
      <w:r w:rsidR="000F2FA2" w:rsidRPr="00B0605C">
        <w:rPr>
          <w:sz w:val="22"/>
          <w:szCs w:val="22"/>
          <w:lang w:val="en-GB"/>
        </w:rPr>
        <w:t xml:space="preserve">and </w:t>
      </w:r>
      <w:r w:rsidRPr="00B0605C">
        <w:rPr>
          <w:sz w:val="22"/>
          <w:szCs w:val="22"/>
          <w:lang w:val="en-GB"/>
        </w:rPr>
        <w:t>beverage</w:t>
      </w:r>
      <w:r w:rsidR="000F2FA2" w:rsidRPr="00B0605C">
        <w:rPr>
          <w:sz w:val="22"/>
          <w:szCs w:val="22"/>
          <w:lang w:val="en-GB"/>
        </w:rPr>
        <w:t>,</w:t>
      </w:r>
      <w:r w:rsidRPr="00B0605C">
        <w:rPr>
          <w:sz w:val="22"/>
          <w:szCs w:val="22"/>
          <w:lang w:val="en-GB"/>
        </w:rPr>
        <w:t xml:space="preserve"> and other non-gaming sources.</w:t>
      </w:r>
      <w:r w:rsidRPr="00B0605C">
        <w:rPr>
          <w:rStyle w:val="EndnoteReference"/>
          <w:sz w:val="22"/>
          <w:szCs w:val="22"/>
          <w:lang w:val="en-GB"/>
        </w:rPr>
        <w:endnoteReference w:id="18"/>
      </w:r>
    </w:p>
    <w:p w14:paraId="4C79EFEE" w14:textId="77777777" w:rsidR="00310453" w:rsidRPr="00B0605C" w:rsidRDefault="00310453" w:rsidP="00310453">
      <w:pPr>
        <w:jc w:val="both"/>
        <w:rPr>
          <w:sz w:val="22"/>
          <w:szCs w:val="22"/>
          <w:highlight w:val="yellow"/>
          <w:lang w:val="en-GB"/>
        </w:rPr>
      </w:pPr>
    </w:p>
    <w:p w14:paraId="3F9FAD36" w14:textId="77777777" w:rsidR="006F32A7" w:rsidRDefault="006F32A7" w:rsidP="00E903BA">
      <w:pPr>
        <w:pStyle w:val="BodyTextMain"/>
        <w:rPr>
          <w:rFonts w:eastAsiaTheme="minorEastAsia"/>
          <w:lang w:val="en-GB" w:eastAsia="ko-KR"/>
        </w:rPr>
      </w:pPr>
    </w:p>
    <w:p w14:paraId="5933B901" w14:textId="61F613F8" w:rsidR="006633A1" w:rsidRDefault="00346768" w:rsidP="001B29C9">
      <w:pPr>
        <w:pStyle w:val="Casehead1"/>
        <w:rPr>
          <w:rFonts w:eastAsiaTheme="minorEastAsia"/>
          <w:lang w:val="en-GB" w:eastAsia="ko-KR"/>
        </w:rPr>
      </w:pPr>
      <w:r w:rsidRPr="00B0605C">
        <w:rPr>
          <w:rFonts w:eastAsiaTheme="minorEastAsia"/>
          <w:lang w:val="en-GB" w:eastAsia="ko-KR"/>
        </w:rPr>
        <w:lastRenderedPageBreak/>
        <w:t xml:space="preserve">THE </w:t>
      </w:r>
      <w:r w:rsidR="006F32A7" w:rsidRPr="00B0605C">
        <w:rPr>
          <w:rFonts w:eastAsiaTheme="minorEastAsia"/>
          <w:lang w:val="en-GB" w:eastAsia="ko-KR"/>
        </w:rPr>
        <w:t>competitors</w:t>
      </w:r>
      <w:r w:rsidR="00B0605C" w:rsidRPr="00B0605C">
        <w:rPr>
          <w:rFonts w:eastAsiaTheme="minorEastAsia"/>
          <w:lang w:val="en-GB" w:eastAsia="ko-KR"/>
        </w:rPr>
        <w:t xml:space="preserve"> </w:t>
      </w:r>
    </w:p>
    <w:p w14:paraId="2E512A3F" w14:textId="77777777" w:rsidR="001B29C9" w:rsidRPr="001B29C9" w:rsidRDefault="001B29C9" w:rsidP="001B29C9">
      <w:pPr>
        <w:pStyle w:val="BodyTextMain"/>
        <w:rPr>
          <w:rFonts w:eastAsiaTheme="minorEastAsia"/>
          <w:lang w:val="en-GB" w:eastAsia="ko-KR"/>
        </w:rPr>
      </w:pPr>
    </w:p>
    <w:p w14:paraId="17FCC293" w14:textId="62194804" w:rsidR="001F0E82" w:rsidRPr="00B0605C" w:rsidRDefault="001F68B2" w:rsidP="00E10B29">
      <w:pPr>
        <w:jc w:val="both"/>
        <w:rPr>
          <w:rFonts w:eastAsiaTheme="minorEastAsia"/>
          <w:sz w:val="22"/>
          <w:szCs w:val="22"/>
          <w:lang w:val="en-GB" w:eastAsia="ko-KR"/>
        </w:rPr>
      </w:pPr>
      <w:r w:rsidRPr="00B0605C">
        <w:rPr>
          <w:rFonts w:eastAsiaTheme="minorEastAsia"/>
          <w:sz w:val="22"/>
          <w:szCs w:val="22"/>
          <w:lang w:val="en-GB" w:eastAsia="ko-KR"/>
        </w:rPr>
        <w:t xml:space="preserve">Major competitors of the </w:t>
      </w:r>
      <w:r w:rsidR="001F0E82" w:rsidRPr="00B0605C">
        <w:rPr>
          <w:rFonts w:eastAsiaTheme="minorEastAsia" w:hint="eastAsia"/>
          <w:sz w:val="22"/>
          <w:szCs w:val="22"/>
          <w:lang w:val="en-GB" w:eastAsia="ko-KR"/>
        </w:rPr>
        <w:t xml:space="preserve">Las Vegas </w:t>
      </w:r>
      <w:r w:rsidR="001F0E82" w:rsidRPr="00B0605C">
        <w:rPr>
          <w:rFonts w:eastAsiaTheme="minorEastAsia"/>
          <w:sz w:val="22"/>
          <w:szCs w:val="22"/>
          <w:lang w:val="en-GB" w:eastAsia="ko-KR"/>
        </w:rPr>
        <w:t>Sand</w:t>
      </w:r>
      <w:r w:rsidRPr="00B0605C">
        <w:rPr>
          <w:rFonts w:eastAsiaTheme="minorEastAsia"/>
          <w:sz w:val="22"/>
          <w:szCs w:val="22"/>
          <w:lang w:val="en-GB" w:eastAsia="ko-KR"/>
        </w:rPr>
        <w:t>s</w:t>
      </w:r>
      <w:r w:rsidR="001F0E82" w:rsidRPr="00B0605C">
        <w:rPr>
          <w:rFonts w:eastAsiaTheme="minorEastAsia"/>
          <w:sz w:val="22"/>
          <w:szCs w:val="22"/>
          <w:lang w:val="en-GB" w:eastAsia="ko-KR"/>
        </w:rPr>
        <w:t xml:space="preserve"> </w:t>
      </w:r>
      <w:r w:rsidRPr="00B0605C">
        <w:rPr>
          <w:rFonts w:eastAsiaTheme="minorEastAsia"/>
          <w:sz w:val="22"/>
          <w:szCs w:val="22"/>
          <w:lang w:val="en-GB" w:eastAsia="ko-KR"/>
        </w:rPr>
        <w:t xml:space="preserve">included MGM Resorts, Caesars Entertainment, and Wynn Resorts </w:t>
      </w:r>
      <w:r w:rsidR="001F0E82" w:rsidRPr="00B0605C">
        <w:rPr>
          <w:rFonts w:eastAsiaTheme="minorEastAsia"/>
          <w:sz w:val="22"/>
          <w:szCs w:val="22"/>
          <w:lang w:val="en-GB" w:eastAsia="ko-KR"/>
        </w:rPr>
        <w:t>(</w:t>
      </w:r>
      <w:r w:rsidR="00CC06EA" w:rsidRPr="00B0605C">
        <w:rPr>
          <w:rFonts w:eastAsiaTheme="minorEastAsia"/>
          <w:sz w:val="22"/>
          <w:szCs w:val="22"/>
          <w:lang w:val="en-GB" w:eastAsia="ko-KR"/>
        </w:rPr>
        <w:t xml:space="preserve">see </w:t>
      </w:r>
      <w:r w:rsidR="001F0E82" w:rsidRPr="00B0605C">
        <w:rPr>
          <w:rFonts w:eastAsiaTheme="minorEastAsia"/>
          <w:sz w:val="22"/>
          <w:szCs w:val="22"/>
          <w:lang w:val="en-GB" w:eastAsia="ko-KR"/>
        </w:rPr>
        <w:t>Exhibit 6)</w:t>
      </w:r>
      <w:r w:rsidRPr="00B0605C">
        <w:rPr>
          <w:rFonts w:eastAsiaTheme="minorEastAsia"/>
          <w:sz w:val="22"/>
          <w:szCs w:val="22"/>
          <w:lang w:val="en-GB" w:eastAsia="ko-KR"/>
        </w:rPr>
        <w:t xml:space="preserve">. </w:t>
      </w:r>
    </w:p>
    <w:p w14:paraId="75C8D828" w14:textId="62D044E8" w:rsidR="001F0E82" w:rsidRPr="00B0605C" w:rsidRDefault="001F0E82" w:rsidP="00C96625">
      <w:pPr>
        <w:rPr>
          <w:rFonts w:ascii="Arial" w:eastAsiaTheme="minorEastAsia" w:hAnsi="Arial" w:cs="Arial"/>
          <w:b/>
          <w:lang w:val="en-GB" w:eastAsia="ko-KR"/>
        </w:rPr>
      </w:pPr>
    </w:p>
    <w:p w14:paraId="6AF06FF0" w14:textId="77777777" w:rsidR="001F68B2" w:rsidRPr="00B0605C" w:rsidRDefault="001F68B2" w:rsidP="00C96625">
      <w:pPr>
        <w:rPr>
          <w:rFonts w:ascii="Arial" w:eastAsiaTheme="minorEastAsia" w:hAnsi="Arial" w:cs="Arial"/>
          <w:b/>
          <w:lang w:val="en-GB" w:eastAsia="ko-KR"/>
        </w:rPr>
      </w:pPr>
    </w:p>
    <w:p w14:paraId="00349E3B" w14:textId="77777777" w:rsidR="00C96625" w:rsidRPr="00B0605C" w:rsidRDefault="00C96625" w:rsidP="00C96625">
      <w:pPr>
        <w:rPr>
          <w:rFonts w:ascii="Arial" w:eastAsiaTheme="minorEastAsia" w:hAnsi="Arial" w:cs="Arial"/>
          <w:b/>
          <w:lang w:val="en-GB" w:eastAsia="ko-KR"/>
        </w:rPr>
      </w:pPr>
      <w:r w:rsidRPr="00B0605C">
        <w:rPr>
          <w:rFonts w:ascii="Arial" w:eastAsiaTheme="minorEastAsia" w:hAnsi="Arial" w:cs="Arial"/>
          <w:b/>
          <w:lang w:val="en-GB" w:eastAsia="ko-KR"/>
        </w:rPr>
        <w:t xml:space="preserve">MGM Resorts International </w:t>
      </w:r>
    </w:p>
    <w:p w14:paraId="7DA6E298" w14:textId="77777777" w:rsidR="00C96625" w:rsidRPr="00B0605C" w:rsidRDefault="00C96625" w:rsidP="00C96625">
      <w:pPr>
        <w:rPr>
          <w:rFonts w:ascii="Arial" w:eastAsiaTheme="minorEastAsia" w:hAnsi="Arial" w:cs="Arial"/>
          <w:b/>
          <w:lang w:val="en-GB" w:eastAsia="ko-KR"/>
        </w:rPr>
      </w:pPr>
    </w:p>
    <w:p w14:paraId="064FE506" w14:textId="7EECB06B" w:rsidR="00C96625" w:rsidRPr="00B0605C" w:rsidRDefault="00C96625" w:rsidP="00C96625">
      <w:pPr>
        <w:jc w:val="both"/>
        <w:rPr>
          <w:sz w:val="22"/>
          <w:szCs w:val="22"/>
          <w:lang w:val="en-GB"/>
        </w:rPr>
      </w:pPr>
      <w:r w:rsidRPr="00B0605C">
        <w:rPr>
          <w:sz w:val="22"/>
          <w:szCs w:val="22"/>
          <w:lang w:val="en-GB"/>
        </w:rPr>
        <w:t>MGM Resorts was a major player in the Las Vegas resort industry; the company owned and operated both casino and non-casino resort properties worldwide. MGM Resort’s portfolio of properties in Las Vegas included Bellagio, MGM Grand, Mandalay Bay, The Mirage, Monte Carlo, Luxor, Excalibur, New York-New York</w:t>
      </w:r>
      <w:r w:rsidR="00346768" w:rsidRPr="00B0605C">
        <w:rPr>
          <w:sz w:val="22"/>
          <w:szCs w:val="22"/>
          <w:lang w:val="en-GB"/>
        </w:rPr>
        <w:t>,</w:t>
      </w:r>
      <w:r w:rsidRPr="00B0605C">
        <w:rPr>
          <w:sz w:val="22"/>
          <w:szCs w:val="22"/>
          <w:lang w:val="en-GB"/>
        </w:rPr>
        <w:t xml:space="preserve"> and Circus Circus. On the Las Vegas Strip, MGM Resorts was a market leader, </w:t>
      </w:r>
      <w:r w:rsidR="00C43D0E">
        <w:rPr>
          <w:sz w:val="22"/>
          <w:szCs w:val="22"/>
          <w:lang w:val="en-GB"/>
        </w:rPr>
        <w:t>with more than</w:t>
      </w:r>
      <w:r w:rsidRPr="00B0605C">
        <w:rPr>
          <w:sz w:val="22"/>
          <w:szCs w:val="22"/>
          <w:lang w:val="en-GB"/>
        </w:rPr>
        <w:t xml:space="preserve"> 40,000 hotel rooms and </w:t>
      </w:r>
      <w:r w:rsidR="00C43D0E">
        <w:rPr>
          <w:sz w:val="22"/>
          <w:szCs w:val="22"/>
          <w:lang w:val="en-GB"/>
        </w:rPr>
        <w:t>more than</w:t>
      </w:r>
      <w:r w:rsidR="00C43D0E" w:rsidRPr="00B0605C">
        <w:rPr>
          <w:sz w:val="22"/>
          <w:szCs w:val="22"/>
          <w:lang w:val="en-GB"/>
        </w:rPr>
        <w:t xml:space="preserve"> </w:t>
      </w:r>
      <w:r w:rsidR="00C43D0E">
        <w:rPr>
          <w:sz w:val="22"/>
          <w:szCs w:val="22"/>
          <w:lang w:val="en-GB"/>
        </w:rPr>
        <w:t xml:space="preserve">3 </w:t>
      </w:r>
      <w:r w:rsidRPr="00B0605C">
        <w:rPr>
          <w:sz w:val="22"/>
          <w:szCs w:val="22"/>
          <w:lang w:val="en-GB"/>
        </w:rPr>
        <w:t>million square feet of convention and meeting space.</w:t>
      </w:r>
      <w:r w:rsidRPr="00B0605C">
        <w:rPr>
          <w:rStyle w:val="EndnoteReference"/>
          <w:sz w:val="22"/>
          <w:szCs w:val="22"/>
          <w:lang w:val="en-GB"/>
        </w:rPr>
        <w:endnoteReference w:id="19"/>
      </w:r>
    </w:p>
    <w:p w14:paraId="4211C629" w14:textId="77777777" w:rsidR="00C96625" w:rsidRPr="00B0605C" w:rsidRDefault="00C96625" w:rsidP="00C96625">
      <w:pPr>
        <w:jc w:val="both"/>
        <w:rPr>
          <w:sz w:val="22"/>
          <w:szCs w:val="22"/>
          <w:lang w:val="en-GB"/>
        </w:rPr>
      </w:pPr>
    </w:p>
    <w:p w14:paraId="296EA4B8" w14:textId="77777777" w:rsidR="00C96625" w:rsidRPr="00B0605C" w:rsidRDefault="00C96625" w:rsidP="00C96625">
      <w:pPr>
        <w:rPr>
          <w:rFonts w:ascii="Arial" w:eastAsiaTheme="minorEastAsia" w:hAnsi="Arial" w:cs="Arial"/>
          <w:b/>
          <w:lang w:val="en-GB" w:eastAsia="ko-KR"/>
        </w:rPr>
      </w:pPr>
    </w:p>
    <w:p w14:paraId="14B1DFB8" w14:textId="37C8516A" w:rsidR="00C96625" w:rsidRPr="00B0605C" w:rsidRDefault="00C96625" w:rsidP="007D5159">
      <w:pPr>
        <w:jc w:val="both"/>
        <w:rPr>
          <w:rFonts w:ascii="Arial" w:eastAsiaTheme="minorEastAsia" w:hAnsi="Arial" w:cs="Arial"/>
          <w:b/>
          <w:lang w:val="en-GB" w:eastAsia="ko-KR"/>
        </w:rPr>
      </w:pPr>
      <w:r w:rsidRPr="00B0605C">
        <w:rPr>
          <w:rFonts w:ascii="Arial" w:eastAsiaTheme="minorEastAsia" w:hAnsi="Arial" w:cs="Arial"/>
          <w:b/>
          <w:lang w:val="en-GB" w:eastAsia="ko-KR"/>
        </w:rPr>
        <w:t>Caesars Entertainment</w:t>
      </w:r>
      <w:r w:rsidR="00B0605C" w:rsidRPr="00B0605C">
        <w:rPr>
          <w:rFonts w:ascii="Arial" w:eastAsiaTheme="minorEastAsia" w:hAnsi="Arial" w:cs="Arial"/>
          <w:b/>
          <w:lang w:val="en-GB" w:eastAsia="ko-KR"/>
        </w:rPr>
        <w:t xml:space="preserve"> </w:t>
      </w:r>
    </w:p>
    <w:p w14:paraId="06E04427" w14:textId="77777777" w:rsidR="00C96625" w:rsidRPr="00B0605C" w:rsidRDefault="00C96625" w:rsidP="007D5159">
      <w:pPr>
        <w:jc w:val="both"/>
        <w:rPr>
          <w:rFonts w:ascii="Arial" w:eastAsiaTheme="minorEastAsia" w:hAnsi="Arial" w:cs="Arial"/>
          <w:b/>
          <w:lang w:val="en-GB" w:eastAsia="ko-KR"/>
        </w:rPr>
      </w:pPr>
    </w:p>
    <w:p w14:paraId="64A34962" w14:textId="4C516558" w:rsidR="00C96625" w:rsidRPr="00B0605C" w:rsidRDefault="00C96625" w:rsidP="007D5159">
      <w:pPr>
        <w:jc w:val="both"/>
        <w:rPr>
          <w:sz w:val="22"/>
          <w:szCs w:val="22"/>
          <w:lang w:val="en-GB"/>
        </w:rPr>
      </w:pPr>
      <w:r w:rsidRPr="00B0605C">
        <w:rPr>
          <w:sz w:val="22"/>
          <w:szCs w:val="22"/>
          <w:lang w:val="en-GB"/>
        </w:rPr>
        <w:t xml:space="preserve">Caesars Entertainment </w:t>
      </w:r>
      <w:r w:rsidR="00D3248C" w:rsidRPr="00B0605C">
        <w:rPr>
          <w:sz w:val="22"/>
          <w:szCs w:val="22"/>
          <w:lang w:val="en-GB"/>
        </w:rPr>
        <w:t>was</w:t>
      </w:r>
      <w:r w:rsidRPr="00B0605C">
        <w:rPr>
          <w:sz w:val="22"/>
          <w:szCs w:val="22"/>
          <w:lang w:val="en-GB"/>
        </w:rPr>
        <w:t xml:space="preserve"> “one of the world’s most geographically diversified casino-entertainment companies</w:t>
      </w:r>
      <w:r w:rsidR="000F2FA2" w:rsidRPr="00B0605C">
        <w:rPr>
          <w:sz w:val="22"/>
          <w:szCs w:val="22"/>
          <w:lang w:val="en-GB"/>
        </w:rPr>
        <w:t>.</w:t>
      </w:r>
      <w:r w:rsidRPr="00B0605C">
        <w:rPr>
          <w:sz w:val="22"/>
          <w:szCs w:val="22"/>
          <w:lang w:val="en-GB"/>
        </w:rPr>
        <w:t>”</w:t>
      </w:r>
      <w:r w:rsidRPr="00B0605C">
        <w:rPr>
          <w:rStyle w:val="EndnoteReference"/>
          <w:sz w:val="22"/>
          <w:szCs w:val="22"/>
          <w:lang w:val="en-GB"/>
        </w:rPr>
        <w:endnoteReference w:id="20"/>
      </w:r>
      <w:r w:rsidR="00B0605C" w:rsidRPr="00B0605C">
        <w:rPr>
          <w:sz w:val="22"/>
          <w:szCs w:val="22"/>
          <w:lang w:val="en-GB"/>
        </w:rPr>
        <w:t xml:space="preserve"> </w:t>
      </w:r>
      <w:r w:rsidR="000F2FA2" w:rsidRPr="00B0605C">
        <w:rPr>
          <w:color w:val="000000"/>
          <w:sz w:val="22"/>
          <w:szCs w:val="22"/>
          <w:shd w:val="clear" w:color="auto" w:fill="FFFFFF"/>
          <w:lang w:val="en-GB"/>
        </w:rPr>
        <w:t>It</w:t>
      </w:r>
      <w:r w:rsidRPr="00B0605C">
        <w:rPr>
          <w:color w:val="000000"/>
          <w:sz w:val="22"/>
          <w:szCs w:val="22"/>
          <w:shd w:val="clear" w:color="auto" w:fill="FFFFFF"/>
          <w:lang w:val="en-GB"/>
        </w:rPr>
        <w:t xml:space="preserve"> operated more than 50 resorts and casinos located throughout the United States and five other countries</w:t>
      </w:r>
      <w:r w:rsidR="000F2FA2" w:rsidRPr="00B0605C">
        <w:rPr>
          <w:color w:val="000000"/>
          <w:sz w:val="22"/>
          <w:szCs w:val="22"/>
          <w:shd w:val="clear" w:color="auto" w:fill="FFFFFF"/>
          <w:lang w:val="en-GB"/>
        </w:rPr>
        <w:t>.</w:t>
      </w:r>
      <w:r w:rsidRPr="00B0605C">
        <w:rPr>
          <w:color w:val="000000"/>
          <w:sz w:val="22"/>
          <w:szCs w:val="22"/>
          <w:shd w:val="clear" w:color="auto" w:fill="FFFFFF"/>
          <w:lang w:val="en-GB"/>
        </w:rPr>
        <w:t xml:space="preserve"> </w:t>
      </w:r>
      <w:r w:rsidR="000F2FA2" w:rsidRPr="00B0605C">
        <w:rPr>
          <w:color w:val="000000"/>
          <w:sz w:val="22"/>
          <w:szCs w:val="22"/>
          <w:shd w:val="clear" w:color="auto" w:fill="FFFFFF"/>
          <w:lang w:val="en-GB"/>
        </w:rPr>
        <w:t>T</w:t>
      </w:r>
      <w:r w:rsidRPr="00B0605C">
        <w:rPr>
          <w:color w:val="000000"/>
          <w:sz w:val="22"/>
          <w:szCs w:val="22"/>
          <w:shd w:val="clear" w:color="auto" w:fill="FFFFFF"/>
          <w:lang w:val="en-GB"/>
        </w:rPr>
        <w:t>hese destinations included Las Vegas, Atlantic City, Lake Tahoe, Tunica</w:t>
      </w:r>
      <w:r w:rsidR="000F2FA2" w:rsidRPr="00B0605C">
        <w:rPr>
          <w:color w:val="000000"/>
          <w:sz w:val="22"/>
          <w:szCs w:val="22"/>
          <w:shd w:val="clear" w:color="auto" w:fill="FFFFFF"/>
          <w:lang w:val="en-GB"/>
        </w:rPr>
        <w:t>,</w:t>
      </w:r>
      <w:r w:rsidRPr="00B0605C">
        <w:rPr>
          <w:color w:val="000000"/>
          <w:sz w:val="22"/>
          <w:szCs w:val="22"/>
          <w:shd w:val="clear" w:color="auto" w:fill="FFFFFF"/>
          <w:lang w:val="en-GB"/>
        </w:rPr>
        <w:t xml:space="preserve"> and the Gulf Coast.</w:t>
      </w:r>
      <w:r w:rsidRPr="00B0605C">
        <w:rPr>
          <w:rStyle w:val="EndnoteReference"/>
          <w:color w:val="000000"/>
          <w:sz w:val="22"/>
          <w:szCs w:val="22"/>
          <w:shd w:val="clear" w:color="auto" w:fill="FFFFFF"/>
          <w:lang w:val="en-GB"/>
        </w:rPr>
        <w:endnoteReference w:id="21"/>
      </w:r>
      <w:r w:rsidRPr="00B0605C">
        <w:rPr>
          <w:color w:val="000000"/>
          <w:sz w:val="22"/>
          <w:szCs w:val="22"/>
          <w:shd w:val="clear" w:color="auto" w:fill="FFFFFF"/>
          <w:lang w:val="en-GB"/>
        </w:rPr>
        <w:t xml:space="preserve"> In Nevada, Caesars Entertainment properties include</w:t>
      </w:r>
      <w:r w:rsidR="00282C01" w:rsidRPr="00B0605C">
        <w:rPr>
          <w:color w:val="000000"/>
          <w:sz w:val="22"/>
          <w:szCs w:val="22"/>
          <w:shd w:val="clear" w:color="auto" w:fill="FFFFFF"/>
          <w:lang w:val="en-GB"/>
        </w:rPr>
        <w:t>d</w:t>
      </w:r>
      <w:r w:rsidRPr="00B0605C">
        <w:rPr>
          <w:color w:val="000000"/>
          <w:sz w:val="22"/>
          <w:szCs w:val="22"/>
          <w:shd w:val="clear" w:color="auto" w:fill="FFFFFF"/>
          <w:lang w:val="en-GB"/>
        </w:rPr>
        <w:t xml:space="preserve"> Caesars Palace, Flamingo</w:t>
      </w:r>
      <w:r w:rsidR="00C43D0E">
        <w:rPr>
          <w:color w:val="000000"/>
          <w:sz w:val="22"/>
          <w:szCs w:val="22"/>
          <w:shd w:val="clear" w:color="auto" w:fill="FFFFFF"/>
          <w:lang w:val="en-GB"/>
        </w:rPr>
        <w:t xml:space="preserve"> Las Vegas</w:t>
      </w:r>
      <w:r w:rsidRPr="00B0605C">
        <w:rPr>
          <w:color w:val="000000"/>
          <w:sz w:val="22"/>
          <w:szCs w:val="22"/>
          <w:shd w:val="clear" w:color="auto" w:fill="FFFFFF"/>
          <w:lang w:val="en-GB"/>
        </w:rPr>
        <w:t xml:space="preserve">, Harrah’s, The Cromwell, The LINQ Hotel </w:t>
      </w:r>
      <w:r w:rsidR="00C43D0E">
        <w:rPr>
          <w:color w:val="000000"/>
          <w:sz w:val="22"/>
          <w:szCs w:val="22"/>
          <w:shd w:val="clear" w:color="auto" w:fill="FFFFFF"/>
          <w:lang w:val="en-GB"/>
        </w:rPr>
        <w:t>&amp; Casino</w:t>
      </w:r>
      <w:r w:rsidRPr="00B0605C">
        <w:rPr>
          <w:color w:val="000000"/>
          <w:sz w:val="22"/>
          <w:szCs w:val="22"/>
          <w:shd w:val="clear" w:color="auto" w:fill="FFFFFF"/>
          <w:lang w:val="en-GB"/>
        </w:rPr>
        <w:t>, Paris, Planet Hollywood, and Rio.</w:t>
      </w:r>
    </w:p>
    <w:p w14:paraId="67431DCC" w14:textId="77777777" w:rsidR="00C96625" w:rsidRPr="00B0605C" w:rsidRDefault="00C96625" w:rsidP="007D5159">
      <w:pPr>
        <w:pStyle w:val="BodyTextMain"/>
        <w:rPr>
          <w:rFonts w:eastAsiaTheme="minorEastAsia"/>
          <w:lang w:val="en-GB" w:eastAsia="ko-KR"/>
        </w:rPr>
      </w:pPr>
    </w:p>
    <w:p w14:paraId="14DB1C37" w14:textId="79C67EED" w:rsidR="00C96625" w:rsidRPr="00B0605C" w:rsidRDefault="00C96625" w:rsidP="007D5159">
      <w:pPr>
        <w:jc w:val="both"/>
        <w:rPr>
          <w:rFonts w:eastAsiaTheme="minorEastAsia"/>
          <w:sz w:val="22"/>
          <w:szCs w:val="22"/>
          <w:lang w:val="en-GB" w:eastAsia="ko-KR"/>
        </w:rPr>
      </w:pPr>
      <w:r w:rsidRPr="00B0605C">
        <w:rPr>
          <w:rFonts w:eastAsiaTheme="minorEastAsia" w:hint="eastAsia"/>
          <w:sz w:val="22"/>
          <w:szCs w:val="22"/>
          <w:lang w:val="en-GB" w:eastAsia="ko-KR"/>
        </w:rPr>
        <w:t xml:space="preserve">In 2015, Caesars Entertainment filed Chapter 11 bankruptcy </w:t>
      </w:r>
      <w:r w:rsidR="000F2FA2" w:rsidRPr="00B0605C">
        <w:rPr>
          <w:rFonts w:eastAsiaTheme="minorEastAsia"/>
          <w:sz w:val="22"/>
          <w:szCs w:val="22"/>
          <w:lang w:val="en-GB" w:eastAsia="ko-KR"/>
        </w:rPr>
        <w:t>for</w:t>
      </w:r>
      <w:r w:rsidRPr="00B0605C">
        <w:rPr>
          <w:rFonts w:eastAsiaTheme="minorEastAsia" w:hint="eastAsia"/>
          <w:sz w:val="22"/>
          <w:szCs w:val="22"/>
          <w:lang w:val="en-GB" w:eastAsia="ko-KR"/>
        </w:rPr>
        <w:t xml:space="preserve"> its main operating unit</w:t>
      </w:r>
      <w:r w:rsidRPr="00B0605C">
        <w:rPr>
          <w:rFonts w:eastAsiaTheme="minorEastAsia"/>
          <w:sz w:val="22"/>
          <w:szCs w:val="22"/>
          <w:lang w:val="en-GB" w:eastAsia="ko-KR"/>
        </w:rPr>
        <w:t>, Caesars Entertainment Operating Company.</w:t>
      </w:r>
      <w:r w:rsidRPr="00B0605C">
        <w:rPr>
          <w:rStyle w:val="EndnoteReference"/>
          <w:rFonts w:eastAsiaTheme="minorEastAsia"/>
          <w:sz w:val="22"/>
          <w:szCs w:val="22"/>
          <w:lang w:val="en-GB" w:eastAsia="ko-KR"/>
        </w:rPr>
        <w:endnoteReference w:id="22"/>
      </w:r>
      <w:r w:rsidRPr="00B0605C">
        <w:rPr>
          <w:rFonts w:eastAsiaTheme="minorEastAsia"/>
          <w:sz w:val="22"/>
          <w:szCs w:val="22"/>
          <w:lang w:val="en-GB" w:eastAsia="ko-KR"/>
        </w:rPr>
        <w:t xml:space="preserve"> As of 2017, after two years of bankruptcy proceedings, the company exited its $18 billion bankruptcy and planned on focusing on the restoration of the Harrah’s and Caesars brands, among others.</w:t>
      </w:r>
      <w:r w:rsidRPr="00B0605C">
        <w:rPr>
          <w:rStyle w:val="EndnoteReference"/>
          <w:rFonts w:eastAsiaTheme="minorEastAsia"/>
          <w:sz w:val="22"/>
          <w:szCs w:val="22"/>
          <w:lang w:val="en-GB" w:eastAsia="ko-KR"/>
        </w:rPr>
        <w:endnoteReference w:id="23"/>
      </w:r>
      <w:r w:rsidRPr="00B0605C">
        <w:rPr>
          <w:rFonts w:eastAsiaTheme="minorEastAsia"/>
          <w:sz w:val="22"/>
          <w:szCs w:val="22"/>
          <w:lang w:val="en-GB" w:eastAsia="ko-KR"/>
        </w:rPr>
        <w:t xml:space="preserve"> Caesars </w:t>
      </w:r>
      <w:r w:rsidR="0070115D">
        <w:rPr>
          <w:rFonts w:eastAsiaTheme="minorEastAsia"/>
          <w:sz w:val="22"/>
          <w:szCs w:val="22"/>
          <w:lang w:val="en-GB" w:eastAsia="ko-KR"/>
        </w:rPr>
        <w:t xml:space="preserve">Entertainment </w:t>
      </w:r>
      <w:r w:rsidRPr="00B0605C">
        <w:rPr>
          <w:rFonts w:eastAsiaTheme="minorEastAsia"/>
          <w:sz w:val="22"/>
          <w:szCs w:val="22"/>
          <w:lang w:val="en-GB" w:eastAsia="ko-KR"/>
        </w:rPr>
        <w:t>had become a symbol of a leveraged company</w:t>
      </w:r>
      <w:r w:rsidR="000F2FA2" w:rsidRPr="00B0605C">
        <w:rPr>
          <w:rFonts w:eastAsiaTheme="minorEastAsia"/>
          <w:sz w:val="22"/>
          <w:szCs w:val="22"/>
          <w:lang w:val="en-GB" w:eastAsia="ko-KR"/>
        </w:rPr>
        <w:t>.</w:t>
      </w:r>
      <w:r w:rsidRPr="00B0605C">
        <w:rPr>
          <w:rFonts w:eastAsiaTheme="minorEastAsia"/>
          <w:sz w:val="22"/>
          <w:szCs w:val="22"/>
          <w:lang w:val="en-GB" w:eastAsia="ko-KR"/>
        </w:rPr>
        <w:t xml:space="preserve"> </w:t>
      </w:r>
      <w:r w:rsidR="000F2FA2" w:rsidRPr="00B0605C">
        <w:rPr>
          <w:rFonts w:eastAsiaTheme="minorEastAsia"/>
          <w:sz w:val="22"/>
          <w:szCs w:val="22"/>
          <w:lang w:val="en-GB" w:eastAsia="ko-KR"/>
        </w:rPr>
        <w:t>T</w:t>
      </w:r>
      <w:r w:rsidRPr="00B0605C">
        <w:rPr>
          <w:rFonts w:eastAsiaTheme="minorEastAsia"/>
          <w:sz w:val="22"/>
          <w:szCs w:val="22"/>
          <w:lang w:val="en-GB" w:eastAsia="ko-KR"/>
        </w:rPr>
        <w:t>he company took on high levels of debt and struggled due to a decrease in gambling</w:t>
      </w:r>
      <w:r w:rsidR="00EE7591" w:rsidRPr="00B0605C">
        <w:rPr>
          <w:rFonts w:eastAsiaTheme="minorEastAsia"/>
          <w:sz w:val="22"/>
          <w:szCs w:val="22"/>
          <w:lang w:val="en-GB" w:eastAsia="ko-KR"/>
        </w:rPr>
        <w:t xml:space="preserve"> revenue</w:t>
      </w:r>
      <w:r w:rsidR="00C43D0E">
        <w:rPr>
          <w:rFonts w:eastAsiaTheme="minorEastAsia"/>
          <w:sz w:val="22"/>
          <w:szCs w:val="22"/>
          <w:lang w:val="en-GB" w:eastAsia="ko-KR"/>
        </w:rPr>
        <w:t>, which</w:t>
      </w:r>
      <w:r w:rsidRPr="00B0605C">
        <w:rPr>
          <w:rFonts w:eastAsiaTheme="minorEastAsia"/>
          <w:sz w:val="22"/>
          <w:szCs w:val="22"/>
          <w:lang w:val="en-GB" w:eastAsia="ko-KR"/>
        </w:rPr>
        <w:t xml:space="preserve"> left </w:t>
      </w:r>
      <w:r w:rsidR="00CE6A81">
        <w:rPr>
          <w:rFonts w:eastAsiaTheme="minorEastAsia"/>
          <w:sz w:val="22"/>
          <w:szCs w:val="22"/>
          <w:lang w:val="en-GB" w:eastAsia="ko-KR"/>
        </w:rPr>
        <w:t>it</w:t>
      </w:r>
      <w:r w:rsidRPr="00B0605C">
        <w:rPr>
          <w:rFonts w:eastAsiaTheme="minorEastAsia"/>
          <w:sz w:val="22"/>
          <w:szCs w:val="22"/>
          <w:lang w:val="en-GB" w:eastAsia="ko-KR"/>
        </w:rPr>
        <w:t xml:space="preserve"> unable to </w:t>
      </w:r>
      <w:r w:rsidR="00EE7591" w:rsidRPr="00B0605C">
        <w:rPr>
          <w:rFonts w:eastAsiaTheme="minorEastAsia"/>
          <w:sz w:val="22"/>
          <w:szCs w:val="22"/>
          <w:lang w:val="en-GB" w:eastAsia="ko-KR"/>
        </w:rPr>
        <w:t>pay down</w:t>
      </w:r>
      <w:r w:rsidRPr="00B0605C">
        <w:rPr>
          <w:rFonts w:eastAsiaTheme="minorEastAsia"/>
          <w:sz w:val="22"/>
          <w:szCs w:val="22"/>
          <w:lang w:val="en-GB" w:eastAsia="ko-KR"/>
        </w:rPr>
        <w:t xml:space="preserve"> its significant debt.</w:t>
      </w:r>
      <w:r w:rsidRPr="00B0605C">
        <w:rPr>
          <w:rStyle w:val="EndnoteReference"/>
          <w:rFonts w:eastAsiaTheme="minorEastAsia"/>
          <w:sz w:val="22"/>
          <w:szCs w:val="22"/>
          <w:lang w:val="en-GB" w:eastAsia="ko-KR"/>
        </w:rPr>
        <w:endnoteReference w:id="24"/>
      </w:r>
    </w:p>
    <w:p w14:paraId="34D61C2F" w14:textId="77777777" w:rsidR="00C96625" w:rsidRPr="00B0605C" w:rsidRDefault="00C96625" w:rsidP="007D5159">
      <w:pPr>
        <w:jc w:val="both"/>
        <w:rPr>
          <w:rFonts w:eastAsiaTheme="minorEastAsia"/>
          <w:sz w:val="22"/>
          <w:szCs w:val="22"/>
          <w:lang w:val="en-GB" w:eastAsia="ko-KR"/>
        </w:rPr>
      </w:pPr>
    </w:p>
    <w:p w14:paraId="307B3BB6" w14:textId="77777777" w:rsidR="006F32A7" w:rsidRPr="00B0605C" w:rsidRDefault="006F32A7" w:rsidP="006F32A7">
      <w:pPr>
        <w:pStyle w:val="Casehead2"/>
        <w:rPr>
          <w:rFonts w:eastAsiaTheme="minorEastAsia"/>
          <w:lang w:val="en-GB" w:eastAsia="ko-KR"/>
        </w:rPr>
      </w:pPr>
    </w:p>
    <w:p w14:paraId="02AE879E" w14:textId="0D205095" w:rsidR="006F32A7" w:rsidRPr="00B0605C" w:rsidRDefault="006F32A7" w:rsidP="006F32A7">
      <w:pPr>
        <w:rPr>
          <w:rFonts w:ascii="Arial" w:eastAsiaTheme="minorEastAsia" w:hAnsi="Arial" w:cs="Arial"/>
          <w:b/>
          <w:lang w:val="en-GB" w:eastAsia="ko-KR"/>
        </w:rPr>
      </w:pPr>
      <w:r w:rsidRPr="00B0605C">
        <w:rPr>
          <w:rFonts w:ascii="Arial" w:eastAsiaTheme="minorEastAsia" w:hAnsi="Arial" w:cs="Arial"/>
          <w:b/>
          <w:lang w:val="en-GB" w:eastAsia="ko-KR"/>
        </w:rPr>
        <w:t>Wynn Resorts</w:t>
      </w:r>
      <w:r w:rsidR="00B0605C" w:rsidRPr="00B0605C">
        <w:rPr>
          <w:rFonts w:ascii="Arial" w:eastAsiaTheme="minorEastAsia" w:hAnsi="Arial" w:cs="Arial"/>
          <w:b/>
          <w:lang w:val="en-GB" w:eastAsia="ko-KR"/>
        </w:rPr>
        <w:t xml:space="preserve"> </w:t>
      </w:r>
    </w:p>
    <w:p w14:paraId="7C956B59" w14:textId="77777777" w:rsidR="006F32A7" w:rsidRPr="00B0605C" w:rsidRDefault="006F32A7" w:rsidP="006F32A7">
      <w:pPr>
        <w:pStyle w:val="BodyTextMain"/>
        <w:rPr>
          <w:rFonts w:eastAsiaTheme="minorEastAsia"/>
          <w:lang w:val="en-GB" w:eastAsia="ko-KR"/>
        </w:rPr>
      </w:pPr>
    </w:p>
    <w:p w14:paraId="0B4422F5" w14:textId="791840CB" w:rsidR="006F32A7" w:rsidRPr="00B0605C" w:rsidRDefault="006F32A7" w:rsidP="006F32A7">
      <w:pPr>
        <w:pStyle w:val="BodyTextMain"/>
        <w:rPr>
          <w:rFonts w:eastAsiaTheme="minorEastAsia"/>
          <w:lang w:val="en-GB" w:eastAsia="ko-KR"/>
        </w:rPr>
      </w:pPr>
      <w:r w:rsidRPr="00B0605C">
        <w:rPr>
          <w:rFonts w:eastAsiaTheme="minorEastAsia"/>
          <w:lang w:val="en-GB" w:eastAsia="ko-KR"/>
        </w:rPr>
        <w:t>Wynn Resorts developed, owned</w:t>
      </w:r>
      <w:r w:rsidR="000F2FA2" w:rsidRPr="00B0605C">
        <w:rPr>
          <w:rFonts w:eastAsiaTheme="minorEastAsia"/>
          <w:lang w:val="en-GB" w:eastAsia="ko-KR"/>
        </w:rPr>
        <w:t>,</w:t>
      </w:r>
      <w:r w:rsidRPr="00B0605C">
        <w:rPr>
          <w:rFonts w:eastAsiaTheme="minorEastAsia"/>
          <w:lang w:val="en-GB" w:eastAsia="ko-KR"/>
        </w:rPr>
        <w:t xml:space="preserve"> and operated casino resort properties</w:t>
      </w:r>
      <w:r w:rsidR="00745B93">
        <w:rPr>
          <w:rFonts w:eastAsiaTheme="minorEastAsia"/>
          <w:lang w:val="en-GB" w:eastAsia="ko-KR"/>
        </w:rPr>
        <w:t>;</w:t>
      </w:r>
      <w:r w:rsidR="002533B5" w:rsidRPr="00B0605C">
        <w:rPr>
          <w:rFonts w:eastAsiaTheme="minorEastAsia"/>
          <w:lang w:val="en-GB" w:eastAsia="ko-KR"/>
        </w:rPr>
        <w:t xml:space="preserve"> </w:t>
      </w:r>
      <w:r w:rsidR="00745B93">
        <w:rPr>
          <w:rFonts w:eastAsiaTheme="minorEastAsia"/>
          <w:lang w:val="en-GB" w:eastAsia="ko-KR"/>
        </w:rPr>
        <w:t>these</w:t>
      </w:r>
      <w:r w:rsidR="00C43D0E">
        <w:rPr>
          <w:rFonts w:eastAsiaTheme="minorEastAsia"/>
          <w:lang w:val="en-GB" w:eastAsia="ko-KR"/>
        </w:rPr>
        <w:t xml:space="preserve"> </w:t>
      </w:r>
      <w:r w:rsidR="00C43D0E" w:rsidRPr="00B0605C">
        <w:rPr>
          <w:rFonts w:eastAsiaTheme="minorEastAsia"/>
          <w:lang w:val="en-GB" w:eastAsia="ko-KR"/>
        </w:rPr>
        <w:t>include</w:t>
      </w:r>
      <w:r w:rsidR="00C43D0E">
        <w:rPr>
          <w:rFonts w:eastAsiaTheme="minorEastAsia"/>
          <w:lang w:val="en-GB" w:eastAsia="ko-KR"/>
        </w:rPr>
        <w:t>d</w:t>
      </w:r>
      <w:r w:rsidR="00C43D0E" w:rsidRPr="00B0605C">
        <w:rPr>
          <w:rFonts w:eastAsiaTheme="minorEastAsia"/>
          <w:lang w:val="en-GB" w:eastAsia="ko-KR"/>
        </w:rPr>
        <w:t xml:space="preserve"> </w:t>
      </w:r>
      <w:r w:rsidR="002533B5" w:rsidRPr="00B0605C">
        <w:rPr>
          <w:rFonts w:eastAsiaTheme="minorEastAsia"/>
          <w:lang w:val="en-GB" w:eastAsia="ko-KR"/>
        </w:rPr>
        <w:t>its</w:t>
      </w:r>
      <w:r w:rsidRPr="00B0605C">
        <w:rPr>
          <w:rFonts w:eastAsiaTheme="minorEastAsia"/>
          <w:lang w:val="en-GB" w:eastAsia="ko-KR"/>
        </w:rPr>
        <w:t xml:space="preserve"> two main resort properties</w:t>
      </w:r>
      <w:r w:rsidR="00745B93">
        <w:rPr>
          <w:rFonts w:eastAsiaTheme="minorEastAsia"/>
          <w:lang w:val="en-GB" w:eastAsia="ko-KR"/>
        </w:rPr>
        <w:t>,</w:t>
      </w:r>
      <w:r w:rsidRPr="00B0605C">
        <w:rPr>
          <w:rFonts w:eastAsiaTheme="minorEastAsia"/>
          <w:lang w:val="en-GB" w:eastAsia="ko-KR"/>
        </w:rPr>
        <w:t xml:space="preserve"> the Wynn Las Vegas and the Wynn Macau. </w:t>
      </w:r>
      <w:r w:rsidR="00F47503" w:rsidRPr="00B0605C">
        <w:rPr>
          <w:rFonts w:eastAsiaTheme="minorEastAsia"/>
          <w:lang w:val="en-GB" w:eastAsia="ko-KR"/>
        </w:rPr>
        <w:t xml:space="preserve">On the Las Vegas Strip, Wynn Resorts owned both the </w:t>
      </w:r>
      <w:r w:rsidRPr="00B0605C">
        <w:rPr>
          <w:rFonts w:eastAsiaTheme="minorEastAsia"/>
          <w:lang w:val="en-GB" w:eastAsia="ko-KR"/>
        </w:rPr>
        <w:t xml:space="preserve">Wynn Las Vegas, a hotel and casino resort, </w:t>
      </w:r>
      <w:r w:rsidR="00F47503">
        <w:rPr>
          <w:rFonts w:eastAsiaTheme="minorEastAsia"/>
          <w:lang w:val="en-GB" w:eastAsia="ko-KR"/>
        </w:rPr>
        <w:t>and</w:t>
      </w:r>
      <w:r w:rsidRPr="00B0605C">
        <w:rPr>
          <w:rFonts w:eastAsiaTheme="minorEastAsia"/>
          <w:lang w:val="en-GB" w:eastAsia="ko-KR"/>
        </w:rPr>
        <w:t xml:space="preserve"> the </w:t>
      </w:r>
      <w:r w:rsidR="00F47503">
        <w:rPr>
          <w:rFonts w:eastAsiaTheme="minorEastAsia"/>
          <w:lang w:val="en-GB" w:eastAsia="ko-KR"/>
        </w:rPr>
        <w:t xml:space="preserve">adjacent </w:t>
      </w:r>
      <w:r w:rsidRPr="00B0605C">
        <w:rPr>
          <w:rFonts w:eastAsiaTheme="minorEastAsia"/>
          <w:lang w:val="en-GB" w:eastAsia="ko-KR"/>
        </w:rPr>
        <w:t>Encore Las Vegas</w:t>
      </w:r>
      <w:r w:rsidR="00236DD4">
        <w:rPr>
          <w:rFonts w:eastAsiaTheme="minorEastAsia"/>
          <w:lang w:val="en-GB" w:eastAsia="ko-KR"/>
        </w:rPr>
        <w:t>;</w:t>
      </w:r>
      <w:r w:rsidRPr="00B0605C">
        <w:rPr>
          <w:rFonts w:eastAsiaTheme="minorEastAsia"/>
          <w:lang w:val="en-GB" w:eastAsia="ko-KR"/>
        </w:rPr>
        <w:t xml:space="preserve"> </w:t>
      </w:r>
      <w:r w:rsidR="00236DD4">
        <w:rPr>
          <w:rFonts w:eastAsiaTheme="minorEastAsia"/>
          <w:lang w:val="en-GB" w:eastAsia="ko-KR"/>
        </w:rPr>
        <w:t>both venues comprised</w:t>
      </w:r>
      <w:r w:rsidR="00236DD4" w:rsidRPr="00B0605C">
        <w:rPr>
          <w:rFonts w:eastAsiaTheme="minorEastAsia"/>
          <w:lang w:val="en-GB" w:eastAsia="ko-KR"/>
        </w:rPr>
        <w:t xml:space="preserve"> </w:t>
      </w:r>
      <w:r w:rsidRPr="00B0605C">
        <w:rPr>
          <w:rFonts w:eastAsiaTheme="minorEastAsia"/>
          <w:lang w:val="en-GB" w:eastAsia="ko-KR"/>
        </w:rPr>
        <w:t xml:space="preserve">a diversified resort property </w:t>
      </w:r>
      <w:r w:rsidR="002533B5" w:rsidRPr="00B0605C">
        <w:rPr>
          <w:rFonts w:eastAsiaTheme="minorEastAsia"/>
          <w:lang w:val="en-GB" w:eastAsia="ko-KR"/>
        </w:rPr>
        <w:t>that</w:t>
      </w:r>
      <w:r w:rsidRPr="00B0605C">
        <w:rPr>
          <w:rFonts w:eastAsiaTheme="minorEastAsia"/>
          <w:lang w:val="en-GB" w:eastAsia="ko-KR"/>
        </w:rPr>
        <w:t xml:space="preserve"> featured guest rooms and suites, meeting and convention space</w:t>
      </w:r>
      <w:r w:rsidR="002533B5" w:rsidRPr="00B0605C">
        <w:rPr>
          <w:rFonts w:eastAsiaTheme="minorEastAsia"/>
          <w:lang w:val="en-GB" w:eastAsia="ko-KR"/>
        </w:rPr>
        <w:t>s</w:t>
      </w:r>
      <w:r w:rsidRPr="00B0605C">
        <w:rPr>
          <w:rFonts w:eastAsiaTheme="minorEastAsia"/>
          <w:lang w:val="en-GB" w:eastAsia="ko-KR"/>
        </w:rPr>
        <w:t>, nightclubs, restaurants</w:t>
      </w:r>
      <w:r w:rsidR="002533B5" w:rsidRPr="00B0605C">
        <w:rPr>
          <w:rFonts w:eastAsiaTheme="minorEastAsia"/>
          <w:lang w:val="en-GB" w:eastAsia="ko-KR"/>
        </w:rPr>
        <w:t>,</w:t>
      </w:r>
      <w:r w:rsidRPr="00B0605C">
        <w:rPr>
          <w:rFonts w:eastAsiaTheme="minorEastAsia"/>
          <w:lang w:val="en-GB" w:eastAsia="ko-KR"/>
        </w:rPr>
        <w:t xml:space="preserve"> and a large casino.</w:t>
      </w:r>
    </w:p>
    <w:p w14:paraId="4FFDD184" w14:textId="77777777" w:rsidR="006F32A7" w:rsidRPr="00B0605C" w:rsidRDefault="006F32A7" w:rsidP="006F32A7">
      <w:pPr>
        <w:pStyle w:val="BodyTextMain"/>
        <w:rPr>
          <w:rFonts w:eastAsiaTheme="minorEastAsia"/>
          <w:lang w:val="en-GB" w:eastAsia="ko-KR"/>
        </w:rPr>
      </w:pPr>
    </w:p>
    <w:p w14:paraId="575B9DDA" w14:textId="567B042E" w:rsidR="006F32A7" w:rsidRPr="00B0605C" w:rsidRDefault="00236DD4" w:rsidP="006F32A7">
      <w:pPr>
        <w:pStyle w:val="BodyTextMain"/>
        <w:rPr>
          <w:rFonts w:eastAsiaTheme="minorEastAsia"/>
          <w:lang w:val="en-GB" w:eastAsia="ko-KR"/>
        </w:rPr>
      </w:pPr>
      <w:r>
        <w:rPr>
          <w:rFonts w:eastAsiaTheme="minorEastAsia"/>
          <w:lang w:val="en-GB" w:eastAsia="ko-KR"/>
        </w:rPr>
        <w:t>The two</w:t>
      </w:r>
      <w:r w:rsidR="006F32A7" w:rsidRPr="00B0605C">
        <w:rPr>
          <w:rFonts w:eastAsiaTheme="minorEastAsia"/>
          <w:lang w:val="en-GB" w:eastAsia="ko-KR"/>
        </w:rPr>
        <w:t xml:space="preserve"> Las Vegas properties </w:t>
      </w:r>
      <w:r w:rsidR="00C43D0E">
        <w:rPr>
          <w:rFonts w:eastAsiaTheme="minorEastAsia"/>
          <w:lang w:val="en-GB" w:eastAsia="ko-KR"/>
        </w:rPr>
        <w:t>comprised</w:t>
      </w:r>
      <w:r w:rsidR="00C43D0E" w:rsidRPr="00B0605C">
        <w:rPr>
          <w:rFonts w:eastAsiaTheme="minorEastAsia"/>
          <w:lang w:val="en-GB" w:eastAsia="ko-KR"/>
        </w:rPr>
        <w:t xml:space="preserve"> </w:t>
      </w:r>
      <w:r w:rsidR="006F32A7" w:rsidRPr="00B0605C">
        <w:rPr>
          <w:rFonts w:eastAsiaTheme="minorEastAsia"/>
          <w:lang w:val="en-GB" w:eastAsia="ko-KR"/>
        </w:rPr>
        <w:t>4,748 rooms, suites</w:t>
      </w:r>
      <w:r w:rsidR="002533B5" w:rsidRPr="00B0605C">
        <w:rPr>
          <w:rFonts w:eastAsiaTheme="minorEastAsia"/>
          <w:lang w:val="en-GB" w:eastAsia="ko-KR"/>
        </w:rPr>
        <w:t>,</w:t>
      </w:r>
      <w:r w:rsidR="006F32A7" w:rsidRPr="00B0605C">
        <w:rPr>
          <w:rFonts w:eastAsiaTheme="minorEastAsia"/>
          <w:lang w:val="en-GB" w:eastAsia="ko-KR"/>
        </w:rPr>
        <w:t xml:space="preserve"> and villas</w:t>
      </w:r>
      <w:r w:rsidR="002533B5" w:rsidRPr="00B0605C">
        <w:rPr>
          <w:rFonts w:eastAsiaTheme="minorEastAsia"/>
          <w:lang w:val="en-GB" w:eastAsia="ko-KR"/>
        </w:rPr>
        <w:t>;</w:t>
      </w:r>
      <w:r w:rsidR="006F32A7" w:rsidRPr="00B0605C">
        <w:rPr>
          <w:rFonts w:eastAsiaTheme="minorEastAsia"/>
          <w:lang w:val="en-GB" w:eastAsia="ko-KR"/>
        </w:rPr>
        <w:t xml:space="preserve"> 232 table games</w:t>
      </w:r>
      <w:r w:rsidR="002533B5" w:rsidRPr="00B0605C">
        <w:rPr>
          <w:rFonts w:eastAsiaTheme="minorEastAsia"/>
          <w:lang w:val="en-GB" w:eastAsia="ko-KR"/>
        </w:rPr>
        <w:t>;</w:t>
      </w:r>
      <w:r w:rsidR="006F32A7" w:rsidRPr="00B0605C">
        <w:rPr>
          <w:rFonts w:eastAsiaTheme="minorEastAsia"/>
          <w:lang w:val="en-GB" w:eastAsia="ko-KR"/>
        </w:rPr>
        <w:t xml:space="preserve"> and 1,866 slot machines. </w:t>
      </w:r>
      <w:r w:rsidR="00C43D0E">
        <w:rPr>
          <w:rFonts w:eastAsiaTheme="minorEastAsia"/>
          <w:lang w:val="en-GB" w:eastAsia="ko-KR"/>
        </w:rPr>
        <w:t>The amenities included</w:t>
      </w:r>
      <w:r w:rsidR="006F32A7" w:rsidRPr="00B0605C">
        <w:rPr>
          <w:rFonts w:eastAsiaTheme="minorEastAsia"/>
          <w:lang w:val="en-GB" w:eastAsia="ko-KR"/>
        </w:rPr>
        <w:t xml:space="preserve"> 34 restaurants, three nightclubs, a beach club, swimming pools, a wedding chapel</w:t>
      </w:r>
      <w:r w:rsidR="002533B5" w:rsidRPr="00B0605C">
        <w:rPr>
          <w:rFonts w:eastAsiaTheme="minorEastAsia"/>
          <w:lang w:val="en-GB" w:eastAsia="ko-KR"/>
        </w:rPr>
        <w:t>,</w:t>
      </w:r>
      <w:r w:rsidR="006F32A7" w:rsidRPr="00B0605C">
        <w:rPr>
          <w:rFonts w:eastAsiaTheme="minorEastAsia"/>
          <w:lang w:val="en-GB" w:eastAsia="ko-KR"/>
        </w:rPr>
        <w:t xml:space="preserve"> and an 18-hole golf course. The Wynn resort also featured significant retail space, with 99,000 sq</w:t>
      </w:r>
      <w:r w:rsidR="00C43D0E">
        <w:rPr>
          <w:rFonts w:eastAsiaTheme="minorEastAsia"/>
          <w:lang w:val="en-GB" w:eastAsia="ko-KR"/>
        </w:rPr>
        <w:t>uare</w:t>
      </w:r>
      <w:r w:rsidR="006F32A7" w:rsidRPr="00B0605C">
        <w:rPr>
          <w:rFonts w:eastAsiaTheme="minorEastAsia"/>
          <w:lang w:val="en-GB" w:eastAsia="ko-KR"/>
        </w:rPr>
        <w:t xml:space="preserve"> f</w:t>
      </w:r>
      <w:r w:rsidR="00C43D0E">
        <w:rPr>
          <w:rFonts w:eastAsiaTheme="minorEastAsia"/>
          <w:lang w:val="en-GB" w:eastAsia="ko-KR"/>
        </w:rPr>
        <w:t>ee</w:t>
      </w:r>
      <w:r w:rsidR="006F32A7" w:rsidRPr="00B0605C">
        <w:rPr>
          <w:rFonts w:eastAsiaTheme="minorEastAsia"/>
          <w:lang w:val="en-GB" w:eastAsia="ko-KR"/>
        </w:rPr>
        <w:t>t of retail shops</w:t>
      </w:r>
      <w:r w:rsidR="002533B5" w:rsidRPr="00B0605C">
        <w:rPr>
          <w:rFonts w:eastAsiaTheme="minorEastAsia"/>
          <w:lang w:val="en-GB" w:eastAsia="ko-KR"/>
        </w:rPr>
        <w:t>,</w:t>
      </w:r>
      <w:r w:rsidR="006F32A7" w:rsidRPr="00B0605C">
        <w:rPr>
          <w:rFonts w:eastAsiaTheme="minorEastAsia"/>
          <w:lang w:val="en-GB" w:eastAsia="ko-KR"/>
        </w:rPr>
        <w:t xml:space="preserve"> including Chanel, Dior, Hermes</w:t>
      </w:r>
      <w:r w:rsidR="002533B5" w:rsidRPr="00B0605C">
        <w:rPr>
          <w:rFonts w:eastAsiaTheme="minorEastAsia"/>
          <w:lang w:val="en-GB" w:eastAsia="ko-KR"/>
        </w:rPr>
        <w:t>,</w:t>
      </w:r>
      <w:r w:rsidR="006F32A7" w:rsidRPr="00B0605C">
        <w:rPr>
          <w:rFonts w:eastAsiaTheme="minorEastAsia"/>
          <w:lang w:val="en-GB" w:eastAsia="ko-KR"/>
        </w:rPr>
        <w:t xml:space="preserve"> and Louis Vuitton, among others.</w:t>
      </w:r>
      <w:r w:rsidR="008A46AE" w:rsidRPr="008A46AE">
        <w:rPr>
          <w:rStyle w:val="EndnoteReference"/>
          <w:rFonts w:eastAsiaTheme="minorEastAsia"/>
          <w:lang w:val="en-GB" w:eastAsia="ko-KR"/>
        </w:rPr>
        <w:t xml:space="preserve"> </w:t>
      </w:r>
      <w:r w:rsidR="008A46AE" w:rsidRPr="00B0605C">
        <w:rPr>
          <w:rStyle w:val="EndnoteReference"/>
          <w:rFonts w:eastAsiaTheme="minorEastAsia"/>
          <w:lang w:val="en-GB" w:eastAsia="ko-KR"/>
        </w:rPr>
        <w:endnoteReference w:id="25"/>
      </w:r>
    </w:p>
    <w:p w14:paraId="70C3996C" w14:textId="77777777" w:rsidR="006F32A7" w:rsidRPr="00B0605C" w:rsidRDefault="006F32A7" w:rsidP="006F32A7">
      <w:pPr>
        <w:pStyle w:val="BodyTextMain"/>
        <w:rPr>
          <w:rFonts w:eastAsiaTheme="minorEastAsia"/>
          <w:lang w:val="en-GB" w:eastAsia="ko-KR"/>
        </w:rPr>
      </w:pPr>
    </w:p>
    <w:p w14:paraId="2C723C47" w14:textId="77777777" w:rsidR="00310453" w:rsidRPr="00B0605C" w:rsidRDefault="00310453" w:rsidP="00C96625">
      <w:pPr>
        <w:rPr>
          <w:rFonts w:ascii="Arial" w:eastAsiaTheme="minorEastAsia" w:hAnsi="Arial" w:cs="Arial"/>
          <w:b/>
          <w:lang w:val="en-GB" w:eastAsia="ko-KR"/>
        </w:rPr>
      </w:pPr>
    </w:p>
    <w:p w14:paraId="1368CDDF" w14:textId="77777777" w:rsidR="00C96625" w:rsidRPr="00B0605C" w:rsidRDefault="00C96625" w:rsidP="00C96625">
      <w:pPr>
        <w:rPr>
          <w:rFonts w:ascii="Arial" w:eastAsiaTheme="minorEastAsia" w:hAnsi="Arial" w:cs="Arial"/>
          <w:b/>
          <w:lang w:val="en-GB" w:eastAsia="ko-KR"/>
        </w:rPr>
      </w:pPr>
      <w:r w:rsidRPr="00B0605C">
        <w:rPr>
          <w:rFonts w:ascii="Arial" w:eastAsiaTheme="minorEastAsia" w:hAnsi="Arial" w:cs="Arial" w:hint="eastAsia"/>
          <w:b/>
          <w:lang w:val="en-GB" w:eastAsia="ko-KR"/>
        </w:rPr>
        <w:t xml:space="preserve">Others </w:t>
      </w:r>
    </w:p>
    <w:p w14:paraId="36AE9850" w14:textId="77777777" w:rsidR="00C96625" w:rsidRPr="00B0605C" w:rsidRDefault="00C96625" w:rsidP="00C96625">
      <w:pPr>
        <w:pStyle w:val="BodyTextMain"/>
        <w:rPr>
          <w:rFonts w:eastAsiaTheme="minorEastAsia"/>
          <w:highlight w:val="yellow"/>
          <w:lang w:val="en-GB" w:eastAsia="ko-KR"/>
        </w:rPr>
      </w:pPr>
    </w:p>
    <w:p w14:paraId="631606A8" w14:textId="327AA1E9" w:rsidR="00C96625" w:rsidRPr="00B0605C" w:rsidRDefault="00AA35BF" w:rsidP="00C96625">
      <w:pPr>
        <w:pStyle w:val="BodyTextMain"/>
        <w:rPr>
          <w:lang w:val="en-GB"/>
        </w:rPr>
      </w:pPr>
      <w:r>
        <w:rPr>
          <w:lang w:val="en-GB"/>
        </w:rPr>
        <w:t>Although f</w:t>
      </w:r>
      <w:r w:rsidR="00C96625" w:rsidRPr="00B0605C">
        <w:rPr>
          <w:lang w:val="en-GB"/>
        </w:rPr>
        <w:t xml:space="preserve">our main players dominated the Las Vegas </w:t>
      </w:r>
      <w:r w:rsidR="002533B5" w:rsidRPr="00B0605C">
        <w:rPr>
          <w:lang w:val="en-GB"/>
        </w:rPr>
        <w:t>S</w:t>
      </w:r>
      <w:r w:rsidR="00C96625" w:rsidRPr="00B0605C">
        <w:rPr>
          <w:lang w:val="en-GB"/>
        </w:rPr>
        <w:t>trip, there were other gambling and resort properties both on and off the Strip. The Cosmopolitan</w:t>
      </w:r>
      <w:r w:rsidR="00EE6E9B">
        <w:rPr>
          <w:lang w:val="en-GB"/>
        </w:rPr>
        <w:t>,</w:t>
      </w:r>
      <w:r w:rsidR="00C96625" w:rsidRPr="00B0605C">
        <w:rPr>
          <w:lang w:val="en-GB"/>
        </w:rPr>
        <w:t xml:space="preserve"> a luxury hotel and casino located along the </w:t>
      </w:r>
      <w:r w:rsidR="002F30F0" w:rsidRPr="00B0605C">
        <w:rPr>
          <w:lang w:val="en-GB"/>
        </w:rPr>
        <w:t>S</w:t>
      </w:r>
      <w:r w:rsidR="00C96625" w:rsidRPr="00B0605C">
        <w:rPr>
          <w:lang w:val="en-GB"/>
        </w:rPr>
        <w:t>trip</w:t>
      </w:r>
      <w:r w:rsidR="00B93602" w:rsidRPr="00B0605C">
        <w:rPr>
          <w:lang w:val="en-GB"/>
        </w:rPr>
        <w:t>,</w:t>
      </w:r>
      <w:r w:rsidR="00C96625" w:rsidRPr="00B0605C">
        <w:rPr>
          <w:lang w:val="en-GB"/>
        </w:rPr>
        <w:t xml:space="preserve"> was acquired </w:t>
      </w:r>
      <w:r w:rsidR="00236DD4">
        <w:rPr>
          <w:lang w:val="en-GB"/>
        </w:rPr>
        <w:t xml:space="preserve">in May 2014 </w:t>
      </w:r>
      <w:r w:rsidR="00C96625" w:rsidRPr="00B0605C">
        <w:rPr>
          <w:lang w:val="en-GB"/>
        </w:rPr>
        <w:t xml:space="preserve">by the Blackstone Group. The Westgate Las Vegas Resort and Casino, located just a block </w:t>
      </w:r>
      <w:r w:rsidR="00BD6563">
        <w:rPr>
          <w:lang w:val="en-GB"/>
        </w:rPr>
        <w:lastRenderedPageBreak/>
        <w:t>from</w:t>
      </w:r>
      <w:r w:rsidR="00C96625" w:rsidRPr="00B0605C">
        <w:rPr>
          <w:lang w:val="en-GB"/>
        </w:rPr>
        <w:t xml:space="preserve"> the Strip</w:t>
      </w:r>
      <w:r w:rsidR="002F30F0" w:rsidRPr="00B0605C">
        <w:rPr>
          <w:lang w:val="en-GB"/>
        </w:rPr>
        <w:t>,</w:t>
      </w:r>
      <w:r w:rsidR="00C96625" w:rsidRPr="00B0605C">
        <w:rPr>
          <w:lang w:val="en-GB"/>
        </w:rPr>
        <w:t xml:space="preserve"> was owned by Westgate Resorts and operated by Navega</w:t>
      </w:r>
      <w:r w:rsidR="00EE6E9B">
        <w:rPr>
          <w:lang w:val="en-GB"/>
        </w:rPr>
        <w:t>n</w:t>
      </w:r>
      <w:r w:rsidR="00C96625" w:rsidRPr="00B0605C">
        <w:rPr>
          <w:lang w:val="en-GB"/>
        </w:rPr>
        <w:t>te Group. The Westgate had nearly 3,000 rooms and suites</w:t>
      </w:r>
      <w:r w:rsidR="00BD6563">
        <w:rPr>
          <w:lang w:val="en-GB"/>
        </w:rPr>
        <w:t>,</w:t>
      </w:r>
      <w:r w:rsidR="00C96625" w:rsidRPr="00B0605C">
        <w:rPr>
          <w:lang w:val="en-GB"/>
        </w:rPr>
        <w:t xml:space="preserve"> and approximately 95,000 square feet of gaming space.</w:t>
      </w:r>
      <w:r w:rsidR="00C96625" w:rsidRPr="00B0605C">
        <w:rPr>
          <w:rStyle w:val="EndnoteReference"/>
          <w:lang w:val="en-GB"/>
        </w:rPr>
        <w:endnoteReference w:id="26"/>
      </w:r>
      <w:r w:rsidR="00B0605C" w:rsidRPr="00B0605C">
        <w:rPr>
          <w:lang w:val="en-GB"/>
        </w:rPr>
        <w:t xml:space="preserve"> </w:t>
      </w:r>
      <w:r w:rsidR="00C96625" w:rsidRPr="00B0605C">
        <w:rPr>
          <w:lang w:val="en-GB"/>
        </w:rPr>
        <w:t>In addition, there w</w:t>
      </w:r>
      <w:r w:rsidR="005F4046" w:rsidRPr="00B0605C">
        <w:rPr>
          <w:lang w:val="en-GB"/>
        </w:rPr>
        <w:t>ere</w:t>
      </w:r>
      <w:r w:rsidR="00C96625" w:rsidRPr="00B0605C">
        <w:rPr>
          <w:lang w:val="en-GB"/>
        </w:rPr>
        <w:t xml:space="preserve"> also </w:t>
      </w:r>
      <w:r w:rsidR="005F4046" w:rsidRPr="00B0605C">
        <w:rPr>
          <w:rFonts w:eastAsiaTheme="minorEastAsia"/>
          <w:lang w:val="en-GB" w:eastAsia="ko-KR"/>
        </w:rPr>
        <w:t>Treasure Island</w:t>
      </w:r>
      <w:r>
        <w:rPr>
          <w:rFonts w:eastAsiaTheme="minorEastAsia"/>
          <w:lang w:val="en-GB" w:eastAsia="ko-KR"/>
        </w:rPr>
        <w:t xml:space="preserve"> Hotel and Casino</w:t>
      </w:r>
      <w:r w:rsidR="005F4046" w:rsidRPr="00B0605C">
        <w:rPr>
          <w:rFonts w:eastAsiaTheme="minorEastAsia"/>
          <w:lang w:val="en-GB" w:eastAsia="ko-KR"/>
        </w:rPr>
        <w:t>,</w:t>
      </w:r>
      <w:r w:rsidR="005F4046" w:rsidRPr="00B0605C">
        <w:rPr>
          <w:lang w:val="en-GB"/>
        </w:rPr>
        <w:t xml:space="preserve"> </w:t>
      </w:r>
      <w:r w:rsidR="00C96625" w:rsidRPr="00B0605C">
        <w:rPr>
          <w:lang w:val="en-GB"/>
        </w:rPr>
        <w:t>Tropicana</w:t>
      </w:r>
      <w:r w:rsidR="007A258B">
        <w:rPr>
          <w:lang w:val="en-GB"/>
        </w:rPr>
        <w:t xml:space="preserve"> Las Vegas</w:t>
      </w:r>
      <w:r>
        <w:rPr>
          <w:lang w:val="en-GB"/>
        </w:rPr>
        <w:t>,</w:t>
      </w:r>
      <w:r w:rsidR="00C96625" w:rsidRPr="00B0605C">
        <w:rPr>
          <w:lang w:val="en-GB"/>
        </w:rPr>
        <w:t xml:space="preserve"> and Hooters </w:t>
      </w:r>
      <w:r w:rsidR="007A258B">
        <w:rPr>
          <w:lang w:val="en-GB"/>
        </w:rPr>
        <w:t>C</w:t>
      </w:r>
      <w:r w:rsidR="00C96625" w:rsidRPr="00B0605C">
        <w:rPr>
          <w:lang w:val="en-GB"/>
        </w:rPr>
        <w:t>asino</w:t>
      </w:r>
      <w:r w:rsidR="007A258B">
        <w:rPr>
          <w:lang w:val="en-GB"/>
        </w:rPr>
        <w:t xml:space="preserve"> Hotel</w:t>
      </w:r>
      <w:r w:rsidR="00C96625" w:rsidRPr="00B0605C">
        <w:rPr>
          <w:lang w:val="en-GB"/>
        </w:rPr>
        <w:t>.</w:t>
      </w:r>
    </w:p>
    <w:p w14:paraId="45BB0169" w14:textId="77777777" w:rsidR="00AA35BF" w:rsidRDefault="00AA35BF" w:rsidP="00C96625">
      <w:pPr>
        <w:pStyle w:val="Casehead2"/>
        <w:rPr>
          <w:rFonts w:eastAsiaTheme="minorEastAsia"/>
          <w:lang w:val="en-GB" w:eastAsia="ko-KR"/>
        </w:rPr>
      </w:pPr>
    </w:p>
    <w:p w14:paraId="3231F9BA" w14:textId="77777777" w:rsidR="00AA35BF" w:rsidRDefault="00AA35BF" w:rsidP="00C96625">
      <w:pPr>
        <w:pStyle w:val="Casehead2"/>
        <w:rPr>
          <w:rFonts w:eastAsiaTheme="minorEastAsia"/>
          <w:lang w:val="en-GB" w:eastAsia="ko-KR"/>
        </w:rPr>
      </w:pPr>
    </w:p>
    <w:p w14:paraId="1F0C5E87" w14:textId="7CC4A2D6" w:rsidR="00C96625" w:rsidRPr="00B0605C" w:rsidRDefault="00C96625" w:rsidP="00C96625">
      <w:pPr>
        <w:pStyle w:val="Casehead2"/>
        <w:rPr>
          <w:rFonts w:eastAsiaTheme="minorEastAsia"/>
          <w:lang w:val="en-GB" w:eastAsia="ko-KR"/>
        </w:rPr>
      </w:pPr>
      <w:r w:rsidRPr="00B0605C">
        <w:rPr>
          <w:rFonts w:eastAsiaTheme="minorEastAsia"/>
          <w:lang w:val="en-GB" w:eastAsia="ko-KR"/>
        </w:rPr>
        <w:t xml:space="preserve">PRICING </w:t>
      </w:r>
      <w:r w:rsidR="00117571" w:rsidRPr="00B0605C">
        <w:rPr>
          <w:rFonts w:eastAsiaTheme="minorEastAsia"/>
          <w:lang w:val="en-GB" w:eastAsia="ko-KR"/>
        </w:rPr>
        <w:t xml:space="preserve">STRATEGY </w:t>
      </w:r>
      <w:r w:rsidRPr="00B0605C">
        <w:rPr>
          <w:rFonts w:eastAsiaTheme="minorEastAsia"/>
          <w:lang w:val="en-GB" w:eastAsia="ko-KR"/>
        </w:rPr>
        <w:t xml:space="preserve">IN CASINO </w:t>
      </w:r>
      <w:r w:rsidR="007A258B">
        <w:rPr>
          <w:rFonts w:eastAsiaTheme="minorEastAsia"/>
          <w:lang w:val="en-GB" w:eastAsia="ko-KR"/>
        </w:rPr>
        <w:t>AND</w:t>
      </w:r>
      <w:r w:rsidRPr="00B0605C">
        <w:rPr>
          <w:rFonts w:eastAsiaTheme="minorEastAsia"/>
          <w:lang w:val="en-GB" w:eastAsia="ko-KR"/>
        </w:rPr>
        <w:t xml:space="preserve"> HOTEL INDUSTRIES </w:t>
      </w:r>
    </w:p>
    <w:p w14:paraId="38931E09" w14:textId="77777777" w:rsidR="00C96625" w:rsidRPr="00B0605C" w:rsidRDefault="00C96625" w:rsidP="00C96625">
      <w:pPr>
        <w:pStyle w:val="Casehead2"/>
        <w:rPr>
          <w:rFonts w:eastAsiaTheme="minorEastAsia"/>
          <w:lang w:val="en-GB" w:eastAsia="ko-KR"/>
        </w:rPr>
      </w:pPr>
    </w:p>
    <w:p w14:paraId="7EF4138F" w14:textId="11FBDAE6" w:rsidR="00C96625" w:rsidRPr="00B0605C" w:rsidRDefault="00C96625" w:rsidP="00CB24E9">
      <w:pPr>
        <w:pStyle w:val="BodyTextMain"/>
        <w:rPr>
          <w:rFonts w:eastAsia="Malgun Gothic"/>
          <w:lang w:val="en-GB" w:eastAsia="ko-KR"/>
        </w:rPr>
      </w:pPr>
      <w:r w:rsidRPr="00B0605C">
        <w:rPr>
          <w:rFonts w:eastAsiaTheme="minorEastAsia"/>
          <w:lang w:val="en-GB" w:eastAsia="ko-KR"/>
        </w:rPr>
        <w:t>The hotel pricing structure in La</w:t>
      </w:r>
      <w:r w:rsidR="00E67A2E" w:rsidRPr="00B0605C">
        <w:rPr>
          <w:rFonts w:eastAsiaTheme="minorEastAsia"/>
          <w:lang w:val="en-GB" w:eastAsia="ko-KR"/>
        </w:rPr>
        <w:t>s</w:t>
      </w:r>
      <w:r w:rsidRPr="00B0605C">
        <w:rPr>
          <w:rFonts w:eastAsiaTheme="minorEastAsia"/>
          <w:lang w:val="en-GB" w:eastAsia="ko-KR"/>
        </w:rPr>
        <w:t xml:space="preserve"> Vegas had traditionally included a room charge and </w:t>
      </w:r>
      <w:r w:rsidR="00854ED1" w:rsidRPr="00B0605C">
        <w:rPr>
          <w:rFonts w:eastAsiaTheme="minorEastAsia"/>
          <w:lang w:val="en-GB" w:eastAsia="ko-KR"/>
        </w:rPr>
        <w:t xml:space="preserve">a </w:t>
      </w:r>
      <w:r w:rsidRPr="00B0605C">
        <w:rPr>
          <w:rFonts w:eastAsiaTheme="minorEastAsia"/>
          <w:lang w:val="en-GB" w:eastAsia="ko-KR"/>
        </w:rPr>
        <w:t xml:space="preserve">resort fee. </w:t>
      </w:r>
      <w:r w:rsidRPr="00B0605C">
        <w:rPr>
          <w:rFonts w:eastAsia="Malgun Gothic"/>
          <w:lang w:val="en-GB" w:eastAsia="ko-KR"/>
        </w:rPr>
        <w:t>The pricing in the hotel industry in Las Vegas ha</w:t>
      </w:r>
      <w:r w:rsidR="00854ED1" w:rsidRPr="00B0605C">
        <w:rPr>
          <w:rFonts w:eastAsia="Malgun Gothic"/>
          <w:lang w:val="en-GB" w:eastAsia="ko-KR"/>
        </w:rPr>
        <w:t>d</w:t>
      </w:r>
      <w:r w:rsidRPr="00B0605C">
        <w:rPr>
          <w:rFonts w:eastAsia="Malgun Gothic"/>
          <w:lang w:val="en-GB" w:eastAsia="ko-KR"/>
        </w:rPr>
        <w:t xml:space="preserve"> shifted toward a three-pronged structure: the published room charge, the resort fee, and the parking fee. </w:t>
      </w:r>
    </w:p>
    <w:p w14:paraId="749F6269" w14:textId="77777777" w:rsidR="00C96625" w:rsidRPr="00B0605C" w:rsidRDefault="00C96625" w:rsidP="00CB24E9">
      <w:pPr>
        <w:pStyle w:val="BodyTextMain"/>
        <w:rPr>
          <w:rFonts w:eastAsiaTheme="minorEastAsia"/>
          <w:lang w:val="en-GB" w:eastAsia="ko-KR"/>
        </w:rPr>
      </w:pPr>
    </w:p>
    <w:p w14:paraId="72B47BF5" w14:textId="25A22C5B" w:rsidR="00D472FE" w:rsidRPr="00B0605C" w:rsidRDefault="00C96625" w:rsidP="00CB24E9">
      <w:pPr>
        <w:pStyle w:val="BodyTextMain"/>
        <w:rPr>
          <w:rFonts w:eastAsiaTheme="minorEastAsia"/>
          <w:lang w:val="en-GB" w:eastAsia="ko-KR"/>
        </w:rPr>
      </w:pPr>
      <w:r w:rsidRPr="00B0605C">
        <w:rPr>
          <w:rFonts w:eastAsiaTheme="minorEastAsia"/>
          <w:lang w:val="en-GB" w:eastAsia="ko-KR"/>
        </w:rPr>
        <w:t>A resort fee was a mandatory, separate</w:t>
      </w:r>
      <w:r w:rsidR="007A258B">
        <w:rPr>
          <w:rFonts w:eastAsiaTheme="minorEastAsia"/>
          <w:lang w:val="en-GB" w:eastAsia="ko-KR"/>
        </w:rPr>
        <w:t>,</w:t>
      </w:r>
      <w:r w:rsidRPr="00B0605C">
        <w:rPr>
          <w:rFonts w:eastAsiaTheme="minorEastAsia"/>
          <w:lang w:val="en-GB" w:eastAsia="ko-KR"/>
        </w:rPr>
        <w:t xml:space="preserve"> and additional charge on top of the base room rate. Resort fees had been around since the 1990s; their traditional use was to pay for the “upkeep of high-end facilities at high</w:t>
      </w:r>
      <w:r w:rsidR="00854ED1" w:rsidRPr="00B0605C">
        <w:rPr>
          <w:rFonts w:eastAsiaTheme="minorEastAsia"/>
          <w:lang w:val="en-GB" w:eastAsia="ko-KR"/>
        </w:rPr>
        <w:t>-</w:t>
      </w:r>
      <w:r w:rsidRPr="00B0605C">
        <w:rPr>
          <w:rFonts w:eastAsiaTheme="minorEastAsia"/>
          <w:lang w:val="en-GB" w:eastAsia="ko-KR"/>
        </w:rPr>
        <w:t xml:space="preserve">end resorts” </w:t>
      </w:r>
      <w:r w:rsidR="002F30F0" w:rsidRPr="00B0605C">
        <w:rPr>
          <w:rFonts w:eastAsiaTheme="minorEastAsia"/>
          <w:lang w:val="en-GB" w:eastAsia="ko-KR"/>
        </w:rPr>
        <w:t>such as</w:t>
      </w:r>
      <w:r w:rsidRPr="00B0605C">
        <w:rPr>
          <w:rFonts w:eastAsiaTheme="minorEastAsia"/>
          <w:lang w:val="en-GB" w:eastAsia="ko-KR"/>
        </w:rPr>
        <w:t xml:space="preserve"> tennis courts and beach clubs</w:t>
      </w:r>
      <w:r w:rsidR="002F30F0" w:rsidRPr="00B0605C">
        <w:rPr>
          <w:rFonts w:eastAsiaTheme="minorEastAsia"/>
          <w:lang w:val="en-GB" w:eastAsia="ko-KR"/>
        </w:rPr>
        <w:t>.</w:t>
      </w:r>
      <w:r w:rsidRPr="00B0605C">
        <w:rPr>
          <w:rFonts w:eastAsiaTheme="minorEastAsia"/>
          <w:lang w:val="en-GB" w:eastAsia="ko-KR"/>
        </w:rPr>
        <w:t xml:space="preserve"> </w:t>
      </w:r>
      <w:r w:rsidR="002F30F0" w:rsidRPr="00B0605C">
        <w:rPr>
          <w:rFonts w:eastAsiaTheme="minorEastAsia"/>
          <w:lang w:val="en-GB" w:eastAsia="ko-KR"/>
        </w:rPr>
        <w:t>H</w:t>
      </w:r>
      <w:r w:rsidRPr="00B0605C">
        <w:rPr>
          <w:rFonts w:eastAsiaTheme="minorEastAsia"/>
          <w:lang w:val="en-GB" w:eastAsia="ko-KR"/>
        </w:rPr>
        <w:t>owever, their use had become more widespread in the past few years.</w:t>
      </w:r>
      <w:r w:rsidRPr="00B0605C">
        <w:rPr>
          <w:rStyle w:val="EndnoteReference"/>
          <w:rFonts w:eastAsiaTheme="minorEastAsia"/>
          <w:lang w:val="en-GB" w:eastAsia="ko-KR"/>
        </w:rPr>
        <w:endnoteReference w:id="27"/>
      </w:r>
      <w:r w:rsidRPr="00B0605C">
        <w:rPr>
          <w:rFonts w:eastAsiaTheme="minorEastAsia"/>
          <w:lang w:val="en-GB" w:eastAsia="ko-KR"/>
        </w:rPr>
        <w:t xml:space="preserve"> </w:t>
      </w:r>
    </w:p>
    <w:p w14:paraId="5D74B797" w14:textId="77777777" w:rsidR="00D472FE" w:rsidRPr="00B0605C" w:rsidRDefault="00D472FE" w:rsidP="00CB24E9">
      <w:pPr>
        <w:pStyle w:val="BodyTextMain"/>
        <w:rPr>
          <w:rFonts w:eastAsiaTheme="minorEastAsia"/>
          <w:lang w:val="en-GB" w:eastAsia="ko-KR"/>
        </w:rPr>
      </w:pPr>
    </w:p>
    <w:p w14:paraId="218F53F4" w14:textId="7A85DE10" w:rsidR="00C96625" w:rsidRPr="00B0605C" w:rsidRDefault="00C96625" w:rsidP="00CB24E9">
      <w:pPr>
        <w:pStyle w:val="BodyTextMain"/>
        <w:rPr>
          <w:rFonts w:eastAsiaTheme="minorEastAsia"/>
          <w:lang w:val="en-GB" w:eastAsia="ko-KR"/>
        </w:rPr>
      </w:pPr>
      <w:r w:rsidRPr="00B0605C">
        <w:rPr>
          <w:rFonts w:eastAsiaTheme="minorEastAsia"/>
          <w:lang w:val="en-GB" w:eastAsia="ko-KR"/>
        </w:rPr>
        <w:t>The resort fee was separate from the published or advertised room rate, and in many instances, hotels were booked in advance with a deposit</w:t>
      </w:r>
      <w:r w:rsidR="00A843B4" w:rsidRPr="00B0605C">
        <w:rPr>
          <w:rFonts w:eastAsiaTheme="minorEastAsia"/>
          <w:lang w:val="en-GB" w:eastAsia="ko-KR"/>
        </w:rPr>
        <w:t>.</w:t>
      </w:r>
      <w:r w:rsidRPr="00B0605C">
        <w:rPr>
          <w:rFonts w:eastAsiaTheme="minorEastAsia"/>
          <w:lang w:val="en-GB" w:eastAsia="ko-KR"/>
        </w:rPr>
        <w:t xml:space="preserve"> </w:t>
      </w:r>
      <w:r w:rsidR="00A843B4" w:rsidRPr="00B0605C">
        <w:rPr>
          <w:rFonts w:eastAsiaTheme="minorEastAsia"/>
          <w:lang w:val="en-GB" w:eastAsia="ko-KR"/>
        </w:rPr>
        <w:t>V</w:t>
      </w:r>
      <w:r w:rsidRPr="00B0605C">
        <w:rPr>
          <w:rFonts w:eastAsiaTheme="minorEastAsia"/>
          <w:lang w:val="en-GB" w:eastAsia="ko-KR"/>
        </w:rPr>
        <w:t>isitors and guests m</w:t>
      </w:r>
      <w:r w:rsidR="00BD6563">
        <w:rPr>
          <w:rFonts w:eastAsiaTheme="minorEastAsia"/>
          <w:lang w:val="en-GB" w:eastAsia="ko-KR"/>
        </w:rPr>
        <w:t>ight</w:t>
      </w:r>
      <w:r w:rsidRPr="00B0605C">
        <w:rPr>
          <w:rFonts w:eastAsiaTheme="minorEastAsia"/>
          <w:lang w:val="en-GB" w:eastAsia="ko-KR"/>
        </w:rPr>
        <w:t xml:space="preserve"> have assumed </w:t>
      </w:r>
      <w:r w:rsidR="00C36FA7">
        <w:rPr>
          <w:rFonts w:eastAsiaTheme="minorEastAsia"/>
          <w:lang w:val="en-GB" w:eastAsia="ko-KR"/>
        </w:rPr>
        <w:t>they were aware of</w:t>
      </w:r>
      <w:r w:rsidRPr="00B0605C">
        <w:rPr>
          <w:rFonts w:eastAsiaTheme="minorEastAsia"/>
          <w:lang w:val="en-GB" w:eastAsia="ko-KR"/>
        </w:rPr>
        <w:t xml:space="preserve"> the final price of the room, </w:t>
      </w:r>
      <w:r w:rsidR="00A843B4" w:rsidRPr="00B0605C">
        <w:rPr>
          <w:rFonts w:eastAsiaTheme="minorEastAsia"/>
          <w:lang w:val="en-GB" w:eastAsia="ko-KR"/>
        </w:rPr>
        <w:t>but</w:t>
      </w:r>
      <w:r w:rsidRPr="00B0605C">
        <w:rPr>
          <w:rFonts w:eastAsiaTheme="minorEastAsia"/>
          <w:lang w:val="en-GB" w:eastAsia="ko-KR"/>
        </w:rPr>
        <w:t xml:space="preserve"> upon arrival, </w:t>
      </w:r>
      <w:r w:rsidR="006D45DF" w:rsidRPr="00B0605C">
        <w:rPr>
          <w:rFonts w:eastAsiaTheme="minorEastAsia"/>
          <w:lang w:val="en-GB" w:eastAsia="ko-KR"/>
        </w:rPr>
        <w:t xml:space="preserve">they </w:t>
      </w:r>
      <w:r w:rsidR="00A843B4" w:rsidRPr="00B0605C">
        <w:rPr>
          <w:rFonts w:eastAsiaTheme="minorEastAsia"/>
          <w:lang w:val="en-GB" w:eastAsia="ko-KR"/>
        </w:rPr>
        <w:t>would be</w:t>
      </w:r>
      <w:r w:rsidRPr="00B0605C">
        <w:rPr>
          <w:rFonts w:eastAsiaTheme="minorEastAsia"/>
          <w:lang w:val="en-GB" w:eastAsia="ko-KR"/>
        </w:rPr>
        <w:t xml:space="preserve"> informed of the additional, mandatory resort fee. </w:t>
      </w:r>
      <w:r w:rsidRPr="00B0605C">
        <w:rPr>
          <w:rFonts w:eastAsiaTheme="minorEastAsia"/>
          <w:lang w:val="en-GB"/>
        </w:rPr>
        <w:t xml:space="preserve">Resort fees were illegal in many countries, </w:t>
      </w:r>
      <w:r w:rsidR="00854ED1" w:rsidRPr="00B0605C">
        <w:rPr>
          <w:rFonts w:eastAsiaTheme="minorEastAsia"/>
          <w:lang w:val="en-GB"/>
        </w:rPr>
        <w:t>but</w:t>
      </w:r>
      <w:r w:rsidRPr="00B0605C">
        <w:rPr>
          <w:rFonts w:eastAsiaTheme="minorEastAsia"/>
          <w:lang w:val="en-GB"/>
        </w:rPr>
        <w:t xml:space="preserve"> </w:t>
      </w:r>
      <w:r w:rsidR="00EE6E9B">
        <w:rPr>
          <w:rFonts w:eastAsiaTheme="minorEastAsia"/>
          <w:lang w:val="en-GB"/>
        </w:rPr>
        <w:t xml:space="preserve">as of 2017, </w:t>
      </w:r>
      <w:r w:rsidRPr="00B0605C">
        <w:rPr>
          <w:rFonts w:eastAsiaTheme="minorEastAsia"/>
          <w:lang w:val="en-GB"/>
        </w:rPr>
        <w:t>the United States lack</w:t>
      </w:r>
      <w:r w:rsidR="00EE6E9B">
        <w:rPr>
          <w:rFonts w:eastAsiaTheme="minorEastAsia"/>
          <w:lang w:val="en-GB"/>
        </w:rPr>
        <w:t>ed</w:t>
      </w:r>
      <w:r w:rsidRPr="00B0605C">
        <w:rPr>
          <w:rFonts w:eastAsiaTheme="minorEastAsia"/>
          <w:lang w:val="en-GB"/>
        </w:rPr>
        <w:t xml:space="preserve"> specifi</w:t>
      </w:r>
      <w:r w:rsidR="00EA6890" w:rsidRPr="00B0605C">
        <w:rPr>
          <w:rFonts w:eastAsiaTheme="minorEastAsia"/>
          <w:lang w:val="en-GB"/>
        </w:rPr>
        <w:t xml:space="preserve">c legislation that either allowed or outlawed </w:t>
      </w:r>
      <w:r w:rsidRPr="00B0605C">
        <w:rPr>
          <w:rFonts w:eastAsiaTheme="minorEastAsia"/>
          <w:lang w:val="en-GB"/>
        </w:rPr>
        <w:t>resort fees.</w:t>
      </w:r>
      <w:r w:rsidRPr="00B0605C">
        <w:rPr>
          <w:rStyle w:val="EndnoteReference"/>
          <w:rFonts w:eastAsiaTheme="minorEastAsia"/>
          <w:lang w:val="en-GB"/>
        </w:rPr>
        <w:endnoteReference w:id="28"/>
      </w:r>
      <w:r w:rsidRPr="00B0605C">
        <w:rPr>
          <w:rFonts w:eastAsiaTheme="minorEastAsia"/>
          <w:lang w:val="en-GB"/>
        </w:rPr>
        <w:t xml:space="preserve"> </w:t>
      </w:r>
      <w:r w:rsidR="00A843B4" w:rsidRPr="00B0605C">
        <w:rPr>
          <w:rFonts w:eastAsiaTheme="minorEastAsia"/>
          <w:lang w:val="en-GB"/>
        </w:rPr>
        <w:t>One</w:t>
      </w:r>
      <w:r w:rsidRPr="00B0605C">
        <w:rPr>
          <w:rFonts w:eastAsiaTheme="minorEastAsia"/>
          <w:lang w:val="en-GB"/>
        </w:rPr>
        <w:t xml:space="preserve"> </w:t>
      </w:r>
      <w:r w:rsidR="00A843B4" w:rsidRPr="00B0605C">
        <w:rPr>
          <w:rFonts w:eastAsiaTheme="minorEastAsia"/>
          <w:lang w:val="en-GB"/>
        </w:rPr>
        <w:t xml:space="preserve">common </w:t>
      </w:r>
      <w:r w:rsidRPr="00B0605C">
        <w:rPr>
          <w:rFonts w:eastAsiaTheme="minorEastAsia"/>
          <w:lang w:val="en-GB"/>
        </w:rPr>
        <w:t xml:space="preserve">criticism of resort fees was </w:t>
      </w:r>
      <w:r w:rsidR="00A843B4" w:rsidRPr="00B0605C">
        <w:rPr>
          <w:rFonts w:eastAsiaTheme="minorEastAsia"/>
          <w:lang w:val="en-GB"/>
        </w:rPr>
        <w:t>that they were</w:t>
      </w:r>
      <w:r w:rsidRPr="00B0605C">
        <w:rPr>
          <w:rFonts w:eastAsiaTheme="minorEastAsia"/>
          <w:lang w:val="en-GB"/>
        </w:rPr>
        <w:t xml:space="preserve"> usually unadvertised</w:t>
      </w:r>
      <w:r w:rsidR="00A843B4" w:rsidRPr="00B0605C">
        <w:rPr>
          <w:rFonts w:eastAsiaTheme="minorEastAsia"/>
          <w:lang w:val="en-GB"/>
        </w:rPr>
        <w:t>;</w:t>
      </w:r>
      <w:r w:rsidRPr="00B0605C">
        <w:rPr>
          <w:rFonts w:eastAsiaTheme="minorEastAsia"/>
          <w:lang w:val="en-GB"/>
        </w:rPr>
        <w:t xml:space="preserve"> guests </w:t>
      </w:r>
      <w:r w:rsidR="00870224">
        <w:rPr>
          <w:rFonts w:eastAsiaTheme="minorEastAsia"/>
          <w:lang w:val="en-GB"/>
        </w:rPr>
        <w:t>might</w:t>
      </w:r>
      <w:r w:rsidR="00870224" w:rsidRPr="00B0605C">
        <w:rPr>
          <w:rFonts w:eastAsiaTheme="minorEastAsia"/>
          <w:lang w:val="en-GB"/>
        </w:rPr>
        <w:t xml:space="preserve"> </w:t>
      </w:r>
      <w:r w:rsidR="00A843B4" w:rsidRPr="00B0605C">
        <w:rPr>
          <w:rFonts w:eastAsiaTheme="minorEastAsia"/>
          <w:lang w:val="en-GB"/>
        </w:rPr>
        <w:t xml:space="preserve">discover them by </w:t>
      </w:r>
      <w:r w:rsidRPr="00B0605C">
        <w:rPr>
          <w:rFonts w:eastAsiaTheme="minorEastAsia"/>
          <w:lang w:val="en-GB"/>
        </w:rPr>
        <w:t>read</w:t>
      </w:r>
      <w:r w:rsidR="00A843B4" w:rsidRPr="00B0605C">
        <w:rPr>
          <w:rFonts w:eastAsiaTheme="minorEastAsia"/>
          <w:lang w:val="en-GB"/>
        </w:rPr>
        <w:t>ing</w:t>
      </w:r>
      <w:r w:rsidRPr="00B0605C">
        <w:rPr>
          <w:rFonts w:eastAsiaTheme="minorEastAsia"/>
          <w:lang w:val="en-GB"/>
        </w:rPr>
        <w:t xml:space="preserve"> the fine print</w:t>
      </w:r>
      <w:r w:rsidR="00854ED1" w:rsidRPr="00B0605C">
        <w:rPr>
          <w:rFonts w:eastAsiaTheme="minorEastAsia"/>
          <w:lang w:val="en-GB"/>
        </w:rPr>
        <w:t>.</w:t>
      </w:r>
      <w:r w:rsidR="00870224">
        <w:rPr>
          <w:rFonts w:eastAsiaTheme="minorEastAsia"/>
          <w:lang w:val="en-GB"/>
        </w:rPr>
        <w:t xml:space="preserve"> Otherwise</w:t>
      </w:r>
      <w:r w:rsidR="00854ED1" w:rsidRPr="00B0605C">
        <w:rPr>
          <w:rFonts w:eastAsiaTheme="minorEastAsia"/>
          <w:lang w:val="en-GB"/>
        </w:rPr>
        <w:t>, they would</w:t>
      </w:r>
      <w:r w:rsidR="00A843B4" w:rsidRPr="00B0605C">
        <w:rPr>
          <w:rFonts w:eastAsiaTheme="minorEastAsia"/>
          <w:lang w:val="en-GB"/>
        </w:rPr>
        <w:t xml:space="preserve"> </w:t>
      </w:r>
      <w:r w:rsidRPr="00B0605C">
        <w:rPr>
          <w:rFonts w:eastAsiaTheme="minorEastAsia"/>
          <w:lang w:val="en-GB"/>
        </w:rPr>
        <w:t xml:space="preserve">be </w:t>
      </w:r>
      <w:r w:rsidR="00CA2C5C" w:rsidRPr="00B0605C">
        <w:rPr>
          <w:rFonts w:eastAsiaTheme="minorEastAsia"/>
          <w:lang w:val="en-GB"/>
        </w:rPr>
        <w:t xml:space="preserve">unpleasantly </w:t>
      </w:r>
      <w:r w:rsidRPr="00B0605C">
        <w:rPr>
          <w:rFonts w:eastAsiaTheme="minorEastAsia"/>
          <w:lang w:val="en-GB"/>
        </w:rPr>
        <w:t xml:space="preserve">surprised </w:t>
      </w:r>
      <w:r w:rsidR="00870224">
        <w:rPr>
          <w:rFonts w:eastAsiaTheme="minorEastAsia"/>
          <w:lang w:val="en-GB"/>
        </w:rPr>
        <w:t>to be</w:t>
      </w:r>
      <w:r w:rsidR="00EE6E9B">
        <w:rPr>
          <w:rFonts w:eastAsiaTheme="minorEastAsia"/>
          <w:lang w:val="en-GB"/>
        </w:rPr>
        <w:t xml:space="preserve"> informed of</w:t>
      </w:r>
      <w:r w:rsidR="00C36FA7" w:rsidRPr="00B0605C">
        <w:rPr>
          <w:rFonts w:eastAsiaTheme="minorEastAsia"/>
          <w:lang w:val="en-GB"/>
        </w:rPr>
        <w:t xml:space="preserve"> the additional fee </w:t>
      </w:r>
      <w:r w:rsidR="00EE6E9B">
        <w:rPr>
          <w:rFonts w:eastAsiaTheme="minorEastAsia"/>
          <w:lang w:val="en-GB"/>
        </w:rPr>
        <w:t xml:space="preserve">when </w:t>
      </w:r>
      <w:r w:rsidR="00854ED1" w:rsidRPr="00B0605C">
        <w:rPr>
          <w:rFonts w:eastAsiaTheme="minorEastAsia"/>
          <w:lang w:val="en-GB"/>
        </w:rPr>
        <w:t xml:space="preserve">they </w:t>
      </w:r>
      <w:r w:rsidR="00C36FA7">
        <w:rPr>
          <w:rFonts w:eastAsiaTheme="minorEastAsia"/>
          <w:lang w:val="en-GB"/>
        </w:rPr>
        <w:t>checked in</w:t>
      </w:r>
      <w:r w:rsidRPr="00B0605C">
        <w:rPr>
          <w:rFonts w:eastAsiaTheme="minorEastAsia"/>
          <w:lang w:val="en-GB"/>
        </w:rPr>
        <w:t>.</w:t>
      </w:r>
      <w:r w:rsidRPr="00B0605C">
        <w:rPr>
          <w:rStyle w:val="EndnoteReference"/>
          <w:rFonts w:eastAsiaTheme="minorEastAsia"/>
          <w:lang w:val="en-GB"/>
        </w:rPr>
        <w:endnoteReference w:id="29"/>
      </w:r>
    </w:p>
    <w:p w14:paraId="0314BC92" w14:textId="77777777" w:rsidR="00AB45FC" w:rsidRPr="00B0605C" w:rsidRDefault="00AB45FC" w:rsidP="00CB24E9">
      <w:pPr>
        <w:pStyle w:val="BodyTextMain"/>
        <w:rPr>
          <w:rFonts w:eastAsia="Malgun Gothic"/>
          <w:lang w:val="en-GB" w:eastAsia="ko-KR"/>
        </w:rPr>
      </w:pPr>
      <w:r w:rsidRPr="00B0605C">
        <w:rPr>
          <w:rFonts w:eastAsia="Malgun Gothic"/>
          <w:lang w:val="en-GB" w:eastAsia="ko-KR"/>
        </w:rPr>
        <w:t xml:space="preserve"> </w:t>
      </w:r>
    </w:p>
    <w:p w14:paraId="69D3A644" w14:textId="1A51B101" w:rsidR="008656ED" w:rsidRPr="00B0605C" w:rsidRDefault="008656ED" w:rsidP="00CB24E9">
      <w:pPr>
        <w:pStyle w:val="BodyTextMain"/>
        <w:rPr>
          <w:rFonts w:eastAsiaTheme="minorEastAsia"/>
          <w:lang w:val="en-GB" w:eastAsia="ko-KR"/>
        </w:rPr>
      </w:pPr>
      <w:r w:rsidRPr="00B0605C">
        <w:rPr>
          <w:rFonts w:eastAsiaTheme="minorEastAsia"/>
          <w:lang w:val="en-GB" w:eastAsia="ko-KR"/>
        </w:rPr>
        <w:t>Resort fees in Las Vegas, specifically on properties along the Strip</w:t>
      </w:r>
      <w:r w:rsidR="00A843B4" w:rsidRPr="00B0605C">
        <w:rPr>
          <w:rFonts w:eastAsiaTheme="minorEastAsia"/>
          <w:lang w:val="en-GB" w:eastAsia="ko-KR"/>
        </w:rPr>
        <w:t>,</w:t>
      </w:r>
      <w:r w:rsidRPr="00B0605C">
        <w:rPr>
          <w:rFonts w:eastAsiaTheme="minorEastAsia"/>
          <w:lang w:val="en-GB" w:eastAsia="ko-KR"/>
        </w:rPr>
        <w:t xml:space="preserve"> averaged </w:t>
      </w:r>
      <w:r w:rsidR="00C36FA7">
        <w:rPr>
          <w:rFonts w:eastAsiaTheme="minorEastAsia"/>
          <w:lang w:val="en-GB" w:eastAsia="ko-KR"/>
        </w:rPr>
        <w:t>between</w:t>
      </w:r>
      <w:r w:rsidR="00C36FA7" w:rsidRPr="00B0605C">
        <w:rPr>
          <w:rFonts w:eastAsiaTheme="minorEastAsia"/>
          <w:lang w:val="en-GB" w:eastAsia="ko-KR"/>
        </w:rPr>
        <w:t xml:space="preserve"> </w:t>
      </w:r>
      <w:r w:rsidRPr="00B0605C">
        <w:rPr>
          <w:rFonts w:eastAsiaTheme="minorEastAsia"/>
          <w:lang w:val="en-GB" w:eastAsia="ko-KR"/>
        </w:rPr>
        <w:t>$30</w:t>
      </w:r>
      <w:r w:rsidR="00C36FA7">
        <w:rPr>
          <w:rFonts w:eastAsiaTheme="minorEastAsia"/>
          <w:lang w:val="en-GB" w:eastAsia="ko-KR"/>
        </w:rPr>
        <w:t xml:space="preserve"> and $</w:t>
      </w:r>
      <w:r w:rsidRPr="00B0605C">
        <w:rPr>
          <w:rFonts w:eastAsiaTheme="minorEastAsia"/>
          <w:lang w:val="en-GB" w:eastAsia="ko-KR"/>
        </w:rPr>
        <w:t xml:space="preserve">35 </w:t>
      </w:r>
      <w:r w:rsidR="00C36FA7">
        <w:rPr>
          <w:rFonts w:eastAsiaTheme="minorEastAsia"/>
          <w:lang w:val="en-GB" w:eastAsia="ko-KR"/>
        </w:rPr>
        <w:t xml:space="preserve">per night </w:t>
      </w:r>
      <w:r w:rsidRPr="00B0605C">
        <w:rPr>
          <w:rFonts w:eastAsiaTheme="minorEastAsia"/>
          <w:lang w:val="en-GB" w:eastAsia="ko-KR"/>
        </w:rPr>
        <w:t xml:space="preserve">(see Exhibit </w:t>
      </w:r>
      <w:r w:rsidR="001F68B2" w:rsidRPr="00B0605C">
        <w:rPr>
          <w:rFonts w:eastAsiaTheme="minorEastAsia"/>
          <w:lang w:val="en-GB" w:eastAsia="ko-KR"/>
        </w:rPr>
        <w:t>7</w:t>
      </w:r>
      <w:r w:rsidRPr="00B0605C">
        <w:rPr>
          <w:rFonts w:eastAsiaTheme="minorEastAsia"/>
          <w:lang w:val="en-GB" w:eastAsia="ko-KR"/>
        </w:rPr>
        <w:t>). In the past, resort fees had increased several times; in 2016, two of the Strip’s biggest players, MGM Resorts and Caesars Entertainment</w:t>
      </w:r>
      <w:r w:rsidR="00A843B4" w:rsidRPr="00B0605C">
        <w:rPr>
          <w:rFonts w:eastAsiaTheme="minorEastAsia"/>
          <w:lang w:val="en-GB" w:eastAsia="ko-KR"/>
        </w:rPr>
        <w:t>,</w:t>
      </w:r>
      <w:r w:rsidRPr="00B0605C">
        <w:rPr>
          <w:rFonts w:eastAsiaTheme="minorEastAsia"/>
          <w:lang w:val="en-GB" w:eastAsia="ko-KR"/>
        </w:rPr>
        <w:t xml:space="preserve"> announced they would be increasing these resort fees.</w:t>
      </w:r>
      <w:r w:rsidRPr="00B0605C">
        <w:rPr>
          <w:rStyle w:val="EndnoteReference"/>
          <w:rFonts w:eastAsiaTheme="minorEastAsia"/>
          <w:lang w:val="en-GB" w:eastAsia="ko-KR"/>
        </w:rPr>
        <w:endnoteReference w:id="30"/>
      </w:r>
      <w:r w:rsidR="00B0605C" w:rsidRPr="00B0605C">
        <w:rPr>
          <w:rFonts w:eastAsiaTheme="minorEastAsia"/>
          <w:lang w:val="en-GB" w:eastAsia="ko-KR"/>
        </w:rPr>
        <w:t xml:space="preserve"> </w:t>
      </w:r>
      <w:r w:rsidRPr="00B0605C">
        <w:rPr>
          <w:rFonts w:eastAsiaTheme="minorEastAsia"/>
          <w:lang w:val="en-GB" w:eastAsia="ko-KR"/>
        </w:rPr>
        <w:t>Instead of raising the advertised price of the room, several Las Vegas properties opted to increase the resort fee instead. The increase in resort fees</w:t>
      </w:r>
      <w:r w:rsidR="00A843B4" w:rsidRPr="00B0605C">
        <w:rPr>
          <w:rFonts w:eastAsiaTheme="minorEastAsia"/>
          <w:lang w:val="en-GB" w:eastAsia="ko-KR"/>
        </w:rPr>
        <w:t>,</w:t>
      </w:r>
      <w:r w:rsidRPr="00B0605C">
        <w:rPr>
          <w:rFonts w:eastAsiaTheme="minorEastAsia"/>
          <w:lang w:val="en-GB" w:eastAsia="ko-KR"/>
        </w:rPr>
        <w:t xml:space="preserve"> which took place in March 2017, w</w:t>
      </w:r>
      <w:r w:rsidR="00BD6563">
        <w:rPr>
          <w:rFonts w:eastAsiaTheme="minorEastAsia"/>
          <w:lang w:val="en-GB" w:eastAsia="ko-KR"/>
        </w:rPr>
        <w:t>as</w:t>
      </w:r>
      <w:r w:rsidRPr="00B0605C">
        <w:rPr>
          <w:rFonts w:eastAsiaTheme="minorEastAsia"/>
          <w:lang w:val="en-GB" w:eastAsia="ko-KR"/>
        </w:rPr>
        <w:t xml:space="preserve"> in addition to a county-wide hotel room tax</w:t>
      </w:r>
      <w:r w:rsidR="00A843B4" w:rsidRPr="00B0605C">
        <w:rPr>
          <w:rFonts w:eastAsiaTheme="minorEastAsia"/>
          <w:lang w:val="en-GB" w:eastAsia="ko-KR"/>
        </w:rPr>
        <w:t>,</w:t>
      </w:r>
      <w:r w:rsidRPr="00B0605C">
        <w:rPr>
          <w:rFonts w:eastAsiaTheme="minorEastAsia"/>
          <w:lang w:val="en-GB" w:eastAsia="ko-KR"/>
        </w:rPr>
        <w:t xml:space="preserve"> </w:t>
      </w:r>
      <w:r w:rsidR="00A843B4" w:rsidRPr="00B0605C">
        <w:rPr>
          <w:rFonts w:eastAsiaTheme="minorEastAsia"/>
          <w:lang w:val="en-GB" w:eastAsia="ko-KR"/>
        </w:rPr>
        <w:t xml:space="preserve">nearly </w:t>
      </w:r>
      <w:r w:rsidRPr="00B0605C">
        <w:rPr>
          <w:rFonts w:eastAsiaTheme="minorEastAsia"/>
          <w:lang w:val="en-GB" w:eastAsia="ko-KR"/>
        </w:rPr>
        <w:t xml:space="preserve">an extra </w:t>
      </w:r>
      <w:r w:rsidR="00A843B4" w:rsidRPr="00B0605C">
        <w:rPr>
          <w:rFonts w:eastAsiaTheme="minorEastAsia"/>
          <w:lang w:val="en-GB" w:eastAsia="ko-KR"/>
        </w:rPr>
        <w:t>“</w:t>
      </w:r>
      <w:r w:rsidRPr="00B0605C">
        <w:rPr>
          <w:rFonts w:eastAsiaTheme="minorEastAsia"/>
          <w:lang w:val="en-GB" w:eastAsia="ko-KR"/>
        </w:rPr>
        <w:t>1</w:t>
      </w:r>
      <w:r w:rsidR="00BD6563">
        <w:rPr>
          <w:rFonts w:eastAsiaTheme="minorEastAsia"/>
          <w:lang w:val="en-GB" w:eastAsia="ko-KR"/>
        </w:rPr>
        <w:t xml:space="preserve"> per cent</w:t>
      </w:r>
      <w:r w:rsidRPr="00B0605C">
        <w:rPr>
          <w:rFonts w:eastAsiaTheme="minorEastAsia"/>
          <w:lang w:val="en-GB" w:eastAsia="ko-KR"/>
        </w:rPr>
        <w:t xml:space="preserve"> levy </w:t>
      </w:r>
      <w:r w:rsidR="00854ED1" w:rsidRPr="00B0605C">
        <w:rPr>
          <w:rFonts w:eastAsiaTheme="minorEastAsia"/>
          <w:lang w:val="en-GB" w:eastAsia="ko-KR"/>
        </w:rPr>
        <w:t>[that would]</w:t>
      </w:r>
      <w:r w:rsidRPr="00B0605C">
        <w:rPr>
          <w:rFonts w:eastAsiaTheme="minorEastAsia"/>
          <w:lang w:val="en-GB" w:eastAsia="ko-KR"/>
        </w:rPr>
        <w:t xml:space="preserve"> fund an NFL </w:t>
      </w:r>
      <w:r w:rsidR="00C36FA7">
        <w:rPr>
          <w:rFonts w:eastAsiaTheme="minorEastAsia"/>
          <w:lang w:val="en-GB" w:eastAsia="ko-KR"/>
        </w:rPr>
        <w:t xml:space="preserve">[National Football League] </w:t>
      </w:r>
      <w:r w:rsidRPr="00B0605C">
        <w:rPr>
          <w:rFonts w:eastAsiaTheme="minorEastAsia"/>
          <w:lang w:val="en-GB" w:eastAsia="ko-KR"/>
        </w:rPr>
        <w:t>stadium and an expansion of the Las Vegas Convention Center</w:t>
      </w:r>
      <w:r w:rsidR="00A843B4" w:rsidRPr="00B0605C">
        <w:rPr>
          <w:rFonts w:eastAsiaTheme="minorEastAsia"/>
          <w:lang w:val="en-GB" w:eastAsia="ko-KR"/>
        </w:rPr>
        <w:t>.</w:t>
      </w:r>
      <w:r w:rsidRPr="00B0605C">
        <w:rPr>
          <w:rFonts w:eastAsiaTheme="minorEastAsia"/>
          <w:lang w:val="en-GB" w:eastAsia="ko-KR"/>
        </w:rPr>
        <w:t>”</w:t>
      </w:r>
      <w:r w:rsidRPr="00B0605C">
        <w:rPr>
          <w:rStyle w:val="EndnoteReference"/>
          <w:rFonts w:eastAsiaTheme="minorEastAsia"/>
          <w:lang w:val="en-GB" w:eastAsia="ko-KR"/>
        </w:rPr>
        <w:endnoteReference w:id="31"/>
      </w:r>
      <w:r w:rsidRPr="00B0605C">
        <w:rPr>
          <w:rFonts w:eastAsiaTheme="minorEastAsia"/>
          <w:lang w:val="en-GB" w:eastAsia="ko-KR"/>
        </w:rPr>
        <w:t xml:space="preserve"> </w:t>
      </w:r>
    </w:p>
    <w:p w14:paraId="779E6B7F" w14:textId="77777777" w:rsidR="008656ED" w:rsidRPr="00B0605C" w:rsidRDefault="008656ED" w:rsidP="00CB24E9">
      <w:pPr>
        <w:pStyle w:val="BodyTextMain"/>
        <w:rPr>
          <w:rFonts w:eastAsiaTheme="minorEastAsia"/>
          <w:lang w:val="en-GB" w:eastAsia="ko-KR"/>
        </w:rPr>
      </w:pPr>
    </w:p>
    <w:p w14:paraId="138EDD74" w14:textId="73167474" w:rsidR="008656ED" w:rsidRPr="00B0605C" w:rsidRDefault="008656ED" w:rsidP="00CB24E9">
      <w:pPr>
        <w:pStyle w:val="BodyTextMain"/>
        <w:rPr>
          <w:rFonts w:eastAsiaTheme="minorEastAsia"/>
          <w:lang w:val="en-GB" w:eastAsia="ko-KR"/>
        </w:rPr>
      </w:pPr>
      <w:r w:rsidRPr="00B0605C">
        <w:rPr>
          <w:rFonts w:eastAsiaTheme="minorEastAsia"/>
          <w:lang w:val="en-GB" w:eastAsia="ko-KR"/>
        </w:rPr>
        <w:t xml:space="preserve">The </w:t>
      </w:r>
      <w:r w:rsidR="00A843B4" w:rsidRPr="00B0605C">
        <w:rPr>
          <w:rFonts w:eastAsiaTheme="minorEastAsia"/>
          <w:lang w:val="en-GB" w:eastAsia="ko-KR"/>
        </w:rPr>
        <w:t xml:space="preserve">growing </w:t>
      </w:r>
      <w:r w:rsidRPr="00B0605C">
        <w:rPr>
          <w:rFonts w:eastAsiaTheme="minorEastAsia"/>
          <w:lang w:val="en-GB" w:eastAsia="ko-KR"/>
        </w:rPr>
        <w:t xml:space="preserve">prevalence of resort fees in recent years </w:t>
      </w:r>
      <w:r w:rsidR="00BD6563">
        <w:rPr>
          <w:rFonts w:eastAsiaTheme="minorEastAsia"/>
          <w:lang w:val="en-GB" w:eastAsia="ko-KR"/>
        </w:rPr>
        <w:t xml:space="preserve">had </w:t>
      </w:r>
      <w:r w:rsidRPr="00B0605C">
        <w:rPr>
          <w:rFonts w:eastAsiaTheme="minorEastAsia"/>
          <w:lang w:val="en-GB" w:eastAsia="ko-KR"/>
        </w:rPr>
        <w:t xml:space="preserve">resulted in a drastic </w:t>
      </w:r>
      <w:r w:rsidR="00D472FE" w:rsidRPr="00B0605C">
        <w:rPr>
          <w:rFonts w:eastAsiaTheme="minorEastAsia"/>
          <w:lang w:val="en-GB" w:eastAsia="ko-KR"/>
        </w:rPr>
        <w:t xml:space="preserve">cost </w:t>
      </w:r>
      <w:r w:rsidRPr="00B0605C">
        <w:rPr>
          <w:rFonts w:eastAsiaTheme="minorEastAsia"/>
          <w:lang w:val="en-GB" w:eastAsia="ko-KR"/>
        </w:rPr>
        <w:t>increase to travel</w:t>
      </w:r>
      <w:r w:rsidR="001D2418" w:rsidRPr="00B0605C">
        <w:rPr>
          <w:rFonts w:eastAsiaTheme="minorEastAsia"/>
          <w:lang w:val="en-GB" w:eastAsia="ko-KR"/>
        </w:rPr>
        <w:t>lers,</w:t>
      </w:r>
      <w:r w:rsidR="00D472FE" w:rsidRPr="00B0605C">
        <w:rPr>
          <w:rFonts w:eastAsiaTheme="minorEastAsia"/>
          <w:lang w:val="en-GB" w:eastAsia="ko-KR"/>
        </w:rPr>
        <w:t xml:space="preserve"> but became important </w:t>
      </w:r>
      <w:r w:rsidR="00854ED1" w:rsidRPr="00B0605C">
        <w:rPr>
          <w:rFonts w:eastAsiaTheme="minorEastAsia"/>
          <w:lang w:val="en-GB" w:eastAsia="ko-KR"/>
        </w:rPr>
        <w:t xml:space="preserve">sources of </w:t>
      </w:r>
      <w:r w:rsidR="00D472FE" w:rsidRPr="00B0605C">
        <w:rPr>
          <w:rFonts w:eastAsiaTheme="minorEastAsia"/>
          <w:lang w:val="en-GB" w:eastAsia="ko-KR"/>
        </w:rPr>
        <w:t>revenue for hotel</w:t>
      </w:r>
      <w:r w:rsidR="00854ED1" w:rsidRPr="00B0605C">
        <w:rPr>
          <w:rFonts w:eastAsiaTheme="minorEastAsia"/>
          <w:lang w:val="en-GB" w:eastAsia="ko-KR"/>
        </w:rPr>
        <w:t>s</w:t>
      </w:r>
      <w:r w:rsidR="00D472FE" w:rsidRPr="00B0605C">
        <w:rPr>
          <w:rFonts w:eastAsiaTheme="minorEastAsia"/>
          <w:lang w:val="en-GB" w:eastAsia="ko-KR"/>
        </w:rPr>
        <w:t xml:space="preserve"> and casinos. </w:t>
      </w:r>
      <w:r w:rsidR="001D2418" w:rsidRPr="00B0605C">
        <w:rPr>
          <w:rFonts w:eastAsiaTheme="minorEastAsia"/>
          <w:lang w:val="en-GB" w:eastAsia="ko-KR"/>
        </w:rPr>
        <w:t>In</w:t>
      </w:r>
      <w:r w:rsidR="00317FDA" w:rsidRPr="00B0605C">
        <w:rPr>
          <w:rFonts w:eastAsiaTheme="minorEastAsia"/>
          <w:lang w:val="en-GB" w:eastAsia="ko-KR"/>
        </w:rPr>
        <w:t xml:space="preserve"> 2015, resort fees cost</w:t>
      </w:r>
      <w:r w:rsidRPr="00B0605C">
        <w:rPr>
          <w:rFonts w:eastAsiaTheme="minorEastAsia"/>
          <w:lang w:val="en-GB" w:eastAsia="ko-KR"/>
        </w:rPr>
        <w:t xml:space="preserve"> travellers </w:t>
      </w:r>
      <w:r w:rsidR="00C36FA7">
        <w:rPr>
          <w:rFonts w:eastAsiaTheme="minorEastAsia"/>
          <w:lang w:val="en-GB" w:eastAsia="ko-KR"/>
        </w:rPr>
        <w:t>more than</w:t>
      </w:r>
      <w:r w:rsidR="00C36FA7" w:rsidRPr="00B0605C">
        <w:rPr>
          <w:rFonts w:eastAsiaTheme="minorEastAsia"/>
          <w:lang w:val="en-GB" w:eastAsia="ko-KR"/>
        </w:rPr>
        <w:t xml:space="preserve"> </w:t>
      </w:r>
      <w:r w:rsidRPr="00B0605C">
        <w:rPr>
          <w:rFonts w:eastAsiaTheme="minorEastAsia"/>
          <w:lang w:val="en-GB" w:eastAsia="ko-KR"/>
        </w:rPr>
        <w:t>$2 billion, a $0.5 billion increase from the previous year.</w:t>
      </w:r>
      <w:r w:rsidRPr="00B0605C">
        <w:rPr>
          <w:rStyle w:val="EndnoteReference"/>
          <w:rFonts w:eastAsiaTheme="minorEastAsia"/>
          <w:lang w:val="en-GB" w:eastAsia="ko-KR"/>
        </w:rPr>
        <w:endnoteReference w:id="32"/>
      </w:r>
      <w:r w:rsidRPr="00B0605C">
        <w:rPr>
          <w:rFonts w:eastAsiaTheme="minorEastAsia"/>
          <w:lang w:val="en-GB" w:eastAsia="ko-KR"/>
        </w:rPr>
        <w:t xml:space="preserve"> As of 2017, resort fees accounted for 17</w:t>
      </w:r>
      <w:r w:rsidR="00C36FA7">
        <w:rPr>
          <w:rFonts w:eastAsiaTheme="minorEastAsia"/>
          <w:lang w:val="en-GB" w:eastAsia="ko-KR"/>
        </w:rPr>
        <w:t xml:space="preserve"> per cent</w:t>
      </w:r>
      <w:r w:rsidRPr="00B0605C">
        <w:rPr>
          <w:rFonts w:eastAsiaTheme="minorEastAsia"/>
          <w:lang w:val="en-GB" w:eastAsia="ko-KR"/>
        </w:rPr>
        <w:t xml:space="preserve"> of the revenue of </w:t>
      </w:r>
      <w:r w:rsidR="00D472FE" w:rsidRPr="00B0605C">
        <w:rPr>
          <w:rFonts w:eastAsiaTheme="minorEastAsia"/>
          <w:lang w:val="en-GB" w:eastAsia="ko-KR"/>
        </w:rPr>
        <w:t xml:space="preserve">U.S. </w:t>
      </w:r>
      <w:r w:rsidRPr="00B0605C">
        <w:rPr>
          <w:rFonts w:eastAsiaTheme="minorEastAsia"/>
          <w:lang w:val="en-GB" w:eastAsia="ko-KR"/>
        </w:rPr>
        <w:t>hotels.</w:t>
      </w:r>
      <w:r w:rsidRPr="00B0605C">
        <w:rPr>
          <w:rStyle w:val="EndnoteReference"/>
          <w:rFonts w:eastAsiaTheme="minorEastAsia"/>
          <w:lang w:val="en-GB" w:eastAsia="ko-KR"/>
        </w:rPr>
        <w:endnoteReference w:id="33"/>
      </w:r>
      <w:r w:rsidRPr="00B0605C">
        <w:rPr>
          <w:rFonts w:eastAsiaTheme="minorEastAsia"/>
          <w:lang w:val="en-GB" w:eastAsia="ko-KR"/>
        </w:rPr>
        <w:t xml:space="preserve"> </w:t>
      </w:r>
    </w:p>
    <w:p w14:paraId="6AD2576C" w14:textId="4B003573" w:rsidR="008656ED" w:rsidRPr="00B0605C" w:rsidRDefault="008656ED" w:rsidP="008656ED">
      <w:pPr>
        <w:jc w:val="both"/>
        <w:rPr>
          <w:rFonts w:eastAsia="Malgun Gothic"/>
          <w:sz w:val="22"/>
          <w:szCs w:val="22"/>
          <w:highlight w:val="yellow"/>
          <w:lang w:val="en-GB" w:eastAsia="ko-KR"/>
        </w:rPr>
      </w:pPr>
    </w:p>
    <w:p w14:paraId="3D8A3739" w14:textId="77777777" w:rsidR="00D472FE" w:rsidRPr="00B0605C" w:rsidRDefault="00D472FE" w:rsidP="006B6633">
      <w:pPr>
        <w:rPr>
          <w:rFonts w:ascii="Arial" w:eastAsiaTheme="minorEastAsia" w:hAnsi="Arial" w:cs="Arial"/>
          <w:b/>
          <w:lang w:val="en-GB" w:eastAsia="ko-KR"/>
        </w:rPr>
      </w:pPr>
    </w:p>
    <w:p w14:paraId="0041ACAA" w14:textId="0D765EC8" w:rsidR="006B6633" w:rsidRPr="00B0605C" w:rsidRDefault="006B6633" w:rsidP="006B6633">
      <w:pPr>
        <w:rPr>
          <w:rFonts w:ascii="Arial" w:eastAsiaTheme="minorEastAsia" w:hAnsi="Arial" w:cs="Arial"/>
          <w:b/>
          <w:lang w:val="en-GB" w:eastAsia="ko-KR"/>
        </w:rPr>
      </w:pPr>
      <w:r w:rsidRPr="00B0605C">
        <w:rPr>
          <w:rFonts w:ascii="Arial" w:eastAsiaTheme="minorEastAsia" w:hAnsi="Arial" w:cs="Arial" w:hint="eastAsia"/>
          <w:b/>
          <w:lang w:val="en-GB" w:eastAsia="ko-KR"/>
        </w:rPr>
        <w:t xml:space="preserve">Parking Charges </w:t>
      </w:r>
    </w:p>
    <w:p w14:paraId="111EE70A" w14:textId="77777777" w:rsidR="001F68B2" w:rsidRPr="00B0605C" w:rsidRDefault="001F68B2" w:rsidP="00CB24E9">
      <w:pPr>
        <w:pStyle w:val="BodyTextMain"/>
        <w:rPr>
          <w:rFonts w:eastAsiaTheme="minorEastAsia"/>
          <w:lang w:val="en-GB" w:eastAsia="ko-KR"/>
        </w:rPr>
      </w:pPr>
    </w:p>
    <w:p w14:paraId="75DA23AA" w14:textId="05DC0D58" w:rsidR="00D472FE" w:rsidRPr="00B0605C" w:rsidRDefault="006B6633" w:rsidP="00CB24E9">
      <w:pPr>
        <w:pStyle w:val="BodyTextMain"/>
        <w:rPr>
          <w:rFonts w:eastAsiaTheme="minorEastAsia"/>
          <w:lang w:val="en-GB" w:eastAsia="ko-KR"/>
        </w:rPr>
      </w:pPr>
      <w:r w:rsidRPr="00B0605C">
        <w:rPr>
          <w:rFonts w:eastAsiaTheme="minorEastAsia"/>
          <w:lang w:val="en-GB" w:eastAsia="ko-KR"/>
        </w:rPr>
        <w:t xml:space="preserve">In June 2016, MGM Resorts announced it would begin charging for valet parking at all resorts, and </w:t>
      </w:r>
      <w:r w:rsidR="00870224">
        <w:rPr>
          <w:rFonts w:eastAsiaTheme="minorEastAsia"/>
          <w:lang w:val="en-GB" w:eastAsia="ko-KR"/>
        </w:rPr>
        <w:t xml:space="preserve">for </w:t>
      </w:r>
      <w:r w:rsidRPr="00B0605C">
        <w:rPr>
          <w:rFonts w:eastAsiaTheme="minorEastAsia"/>
          <w:lang w:val="en-GB" w:eastAsia="ko-KR"/>
        </w:rPr>
        <w:t xml:space="preserve">self-parking at all of its resorts </w:t>
      </w:r>
      <w:r w:rsidR="00870224" w:rsidRPr="00B0605C">
        <w:rPr>
          <w:rFonts w:eastAsiaTheme="minorEastAsia"/>
          <w:lang w:val="en-GB" w:eastAsia="ko-KR"/>
        </w:rPr>
        <w:t xml:space="preserve">on the Las Vegas Strip </w:t>
      </w:r>
      <w:r w:rsidRPr="00B0605C">
        <w:rPr>
          <w:rFonts w:eastAsiaTheme="minorEastAsia"/>
          <w:lang w:val="en-GB" w:eastAsia="ko-KR"/>
        </w:rPr>
        <w:t xml:space="preserve">except </w:t>
      </w:r>
      <w:r w:rsidR="00870224">
        <w:rPr>
          <w:rFonts w:eastAsiaTheme="minorEastAsia"/>
          <w:lang w:val="en-GB" w:eastAsia="ko-KR"/>
        </w:rPr>
        <w:t xml:space="preserve">for </w:t>
      </w:r>
      <w:r w:rsidRPr="00B0605C">
        <w:rPr>
          <w:rFonts w:eastAsiaTheme="minorEastAsia"/>
          <w:lang w:val="en-GB" w:eastAsia="ko-KR"/>
        </w:rPr>
        <w:t>Circus Circus.</w:t>
      </w:r>
      <w:r w:rsidRPr="00B0605C">
        <w:rPr>
          <w:rStyle w:val="EndnoteReference"/>
          <w:rFonts w:eastAsiaTheme="minorEastAsia"/>
          <w:lang w:val="en-GB" w:eastAsia="ko-KR"/>
        </w:rPr>
        <w:endnoteReference w:id="34"/>
      </w:r>
      <w:r w:rsidRPr="00B0605C">
        <w:rPr>
          <w:rFonts w:eastAsiaTheme="minorEastAsia"/>
          <w:lang w:val="en-GB" w:eastAsia="ko-KR"/>
        </w:rPr>
        <w:t xml:space="preserve"> Then, in November 2016, Caesars Entertainment </w:t>
      </w:r>
      <w:r w:rsidR="00A843B4" w:rsidRPr="00B0605C">
        <w:rPr>
          <w:rFonts w:eastAsiaTheme="minorEastAsia"/>
          <w:lang w:val="en-GB" w:eastAsia="ko-KR"/>
        </w:rPr>
        <w:t xml:space="preserve">also </w:t>
      </w:r>
      <w:r w:rsidRPr="00B0605C">
        <w:rPr>
          <w:rFonts w:eastAsiaTheme="minorEastAsia"/>
          <w:lang w:val="en-GB" w:eastAsia="ko-KR"/>
        </w:rPr>
        <w:t>announced it would begin charging for parking; Caesars</w:t>
      </w:r>
      <w:r w:rsidR="00BD6563">
        <w:rPr>
          <w:rFonts w:eastAsiaTheme="minorEastAsia"/>
          <w:lang w:val="en-GB" w:eastAsia="ko-KR"/>
        </w:rPr>
        <w:t xml:space="preserve"> Entertainment</w:t>
      </w:r>
      <w:r w:rsidR="00854ED1" w:rsidRPr="00B0605C">
        <w:rPr>
          <w:rFonts w:eastAsiaTheme="minorEastAsia"/>
          <w:lang w:val="en-GB" w:eastAsia="ko-KR"/>
        </w:rPr>
        <w:t>-</w:t>
      </w:r>
      <w:r w:rsidRPr="00B0605C">
        <w:rPr>
          <w:rFonts w:eastAsiaTheme="minorEastAsia"/>
          <w:lang w:val="en-GB" w:eastAsia="ko-KR"/>
        </w:rPr>
        <w:t xml:space="preserve">owned and </w:t>
      </w:r>
      <w:r w:rsidR="00870224">
        <w:rPr>
          <w:rFonts w:eastAsiaTheme="minorEastAsia"/>
          <w:lang w:val="en-GB" w:eastAsia="ko-KR"/>
        </w:rPr>
        <w:t>-</w:t>
      </w:r>
      <w:r w:rsidRPr="00B0605C">
        <w:rPr>
          <w:rFonts w:eastAsiaTheme="minorEastAsia"/>
          <w:lang w:val="en-GB" w:eastAsia="ko-KR"/>
        </w:rPr>
        <w:t xml:space="preserve">operated resorts would follow a similar strategy as that of MGM at all of its resorts on the Las Vegas Strip, excluding </w:t>
      </w:r>
      <w:r w:rsidR="00870224">
        <w:rPr>
          <w:rFonts w:eastAsiaTheme="minorEastAsia"/>
          <w:lang w:val="en-GB" w:eastAsia="ko-KR"/>
        </w:rPr>
        <w:t>its</w:t>
      </w:r>
      <w:r w:rsidR="00870224" w:rsidRPr="00B0605C">
        <w:rPr>
          <w:rFonts w:eastAsiaTheme="minorEastAsia"/>
          <w:lang w:val="en-GB" w:eastAsia="ko-KR"/>
        </w:rPr>
        <w:t xml:space="preserve"> </w:t>
      </w:r>
      <w:r w:rsidR="00D472FE" w:rsidRPr="00B0605C">
        <w:rPr>
          <w:rFonts w:eastAsiaTheme="minorEastAsia"/>
          <w:lang w:val="en-GB" w:eastAsia="ko-KR"/>
        </w:rPr>
        <w:t xml:space="preserve">off-strip property, </w:t>
      </w:r>
      <w:r w:rsidRPr="00B0605C">
        <w:rPr>
          <w:rFonts w:eastAsiaTheme="minorEastAsia"/>
          <w:lang w:val="en-GB" w:eastAsia="ko-KR"/>
        </w:rPr>
        <w:t>Rio</w:t>
      </w:r>
      <w:r w:rsidR="00D472FE" w:rsidRPr="00B0605C">
        <w:rPr>
          <w:rFonts w:eastAsiaTheme="minorEastAsia"/>
          <w:lang w:val="en-GB" w:eastAsia="ko-KR"/>
        </w:rPr>
        <w:t xml:space="preserve"> Hotel and Casino</w:t>
      </w:r>
      <w:r w:rsidRPr="00B0605C">
        <w:rPr>
          <w:rFonts w:eastAsiaTheme="minorEastAsia"/>
          <w:lang w:val="en-GB" w:eastAsia="ko-KR"/>
        </w:rPr>
        <w:t>.</w:t>
      </w:r>
      <w:r w:rsidRPr="00B0605C">
        <w:rPr>
          <w:rStyle w:val="EndnoteReference"/>
          <w:rFonts w:eastAsiaTheme="minorEastAsia"/>
          <w:lang w:val="en-GB" w:eastAsia="ko-KR"/>
        </w:rPr>
        <w:endnoteReference w:id="35"/>
      </w:r>
      <w:r w:rsidR="00B0605C" w:rsidRPr="00B0605C">
        <w:rPr>
          <w:rFonts w:eastAsiaTheme="minorEastAsia"/>
          <w:lang w:val="en-GB" w:eastAsia="ko-KR"/>
        </w:rPr>
        <w:t xml:space="preserve"> </w:t>
      </w:r>
      <w:r w:rsidR="00870224">
        <w:rPr>
          <w:rFonts w:eastAsiaTheme="minorEastAsia"/>
          <w:lang w:val="en-GB" w:eastAsia="ko-KR"/>
        </w:rPr>
        <w:t>In terms of</w:t>
      </w:r>
      <w:r w:rsidRPr="00B0605C">
        <w:rPr>
          <w:rFonts w:eastAsiaTheme="minorEastAsia"/>
          <w:lang w:val="en-GB" w:eastAsia="ko-KR"/>
        </w:rPr>
        <w:t xml:space="preserve"> the implementation of parking charges, there was a cascading effect on the Las Vegas </w:t>
      </w:r>
      <w:r w:rsidR="00854ED1" w:rsidRPr="00B0605C">
        <w:rPr>
          <w:rFonts w:eastAsiaTheme="minorEastAsia"/>
          <w:lang w:val="en-GB" w:eastAsia="ko-KR"/>
        </w:rPr>
        <w:t>S</w:t>
      </w:r>
      <w:r w:rsidRPr="00B0605C">
        <w:rPr>
          <w:rFonts w:eastAsiaTheme="minorEastAsia"/>
          <w:lang w:val="en-GB" w:eastAsia="ko-KR"/>
        </w:rPr>
        <w:t>trip</w:t>
      </w:r>
      <w:r w:rsidR="001F68B2" w:rsidRPr="00B0605C">
        <w:rPr>
          <w:rFonts w:eastAsiaTheme="minorEastAsia"/>
          <w:lang w:val="en-GB" w:eastAsia="ko-KR"/>
        </w:rPr>
        <w:t xml:space="preserve"> (Exhibit 7)</w:t>
      </w:r>
      <w:r w:rsidRPr="00B0605C">
        <w:rPr>
          <w:rFonts w:eastAsiaTheme="minorEastAsia"/>
          <w:lang w:val="en-GB" w:eastAsia="ko-KR"/>
        </w:rPr>
        <w:t xml:space="preserve">. </w:t>
      </w:r>
    </w:p>
    <w:p w14:paraId="74A7F4B4" w14:textId="77777777" w:rsidR="00D472FE" w:rsidRPr="00B0605C" w:rsidRDefault="00D472FE" w:rsidP="00CB24E9">
      <w:pPr>
        <w:pStyle w:val="BodyTextMain"/>
        <w:rPr>
          <w:rFonts w:eastAsiaTheme="minorEastAsia"/>
          <w:lang w:val="en-GB" w:eastAsia="ko-KR"/>
        </w:rPr>
      </w:pPr>
    </w:p>
    <w:p w14:paraId="16FBCDF1" w14:textId="0C0CDBCD" w:rsidR="006B6633" w:rsidRDefault="006B6633" w:rsidP="00CB24E9">
      <w:pPr>
        <w:pStyle w:val="BodyTextMain"/>
        <w:rPr>
          <w:rFonts w:eastAsiaTheme="minorEastAsia"/>
          <w:lang w:val="en-GB" w:eastAsia="ko-KR"/>
        </w:rPr>
      </w:pPr>
      <w:r w:rsidRPr="00B0605C">
        <w:rPr>
          <w:rFonts w:eastAsiaTheme="minorEastAsia"/>
          <w:lang w:val="en-GB" w:eastAsia="ko-KR"/>
        </w:rPr>
        <w:t xml:space="preserve">Resorts faced </w:t>
      </w:r>
      <w:r w:rsidR="0035216F">
        <w:rPr>
          <w:rFonts w:eastAsiaTheme="minorEastAsia"/>
          <w:lang w:val="en-GB" w:eastAsia="ko-KR"/>
        </w:rPr>
        <w:t xml:space="preserve">the decision of </w:t>
      </w:r>
      <w:r w:rsidR="00A843B4" w:rsidRPr="00B0605C">
        <w:rPr>
          <w:rFonts w:eastAsiaTheme="minorEastAsia"/>
          <w:lang w:val="en-GB" w:eastAsia="ko-KR"/>
        </w:rPr>
        <w:t xml:space="preserve">either </w:t>
      </w:r>
      <w:r w:rsidRPr="00B0605C">
        <w:rPr>
          <w:rFonts w:eastAsiaTheme="minorEastAsia"/>
          <w:lang w:val="en-GB" w:eastAsia="ko-KR"/>
        </w:rPr>
        <w:t xml:space="preserve">charging for parking or honouring the tradition of free parking on the Las Vegas </w:t>
      </w:r>
      <w:r w:rsidR="00A843B4" w:rsidRPr="00B0605C">
        <w:rPr>
          <w:rFonts w:eastAsiaTheme="minorEastAsia"/>
          <w:lang w:val="en-GB" w:eastAsia="ko-KR"/>
        </w:rPr>
        <w:t>S</w:t>
      </w:r>
      <w:r w:rsidRPr="00B0605C">
        <w:rPr>
          <w:rFonts w:eastAsiaTheme="minorEastAsia"/>
          <w:lang w:val="en-GB" w:eastAsia="ko-KR"/>
        </w:rPr>
        <w:t xml:space="preserve">trip. The four main players on the </w:t>
      </w:r>
      <w:r w:rsidR="00854ED1" w:rsidRPr="00B0605C">
        <w:rPr>
          <w:rFonts w:eastAsiaTheme="minorEastAsia"/>
          <w:lang w:val="en-GB" w:eastAsia="ko-KR"/>
        </w:rPr>
        <w:t>S</w:t>
      </w:r>
      <w:r w:rsidRPr="00B0605C">
        <w:rPr>
          <w:rFonts w:eastAsiaTheme="minorEastAsia"/>
          <w:lang w:val="en-GB" w:eastAsia="ko-KR"/>
        </w:rPr>
        <w:t>trip</w:t>
      </w:r>
      <w:r w:rsidR="00A843B4" w:rsidRPr="00B0605C">
        <w:rPr>
          <w:rFonts w:eastAsiaTheme="minorEastAsia"/>
          <w:lang w:val="en-GB" w:eastAsia="ko-KR"/>
        </w:rPr>
        <w:t>,</w:t>
      </w:r>
      <w:r w:rsidRPr="00B0605C">
        <w:rPr>
          <w:rFonts w:eastAsiaTheme="minorEastAsia"/>
          <w:lang w:val="en-GB" w:eastAsia="ko-KR"/>
        </w:rPr>
        <w:t xml:space="preserve"> MGM Resorts, Caesars Entertainment, Las Vegas Sands</w:t>
      </w:r>
      <w:r w:rsidR="00A843B4" w:rsidRPr="00B0605C">
        <w:rPr>
          <w:rFonts w:eastAsiaTheme="minorEastAsia"/>
          <w:lang w:val="en-GB" w:eastAsia="ko-KR"/>
        </w:rPr>
        <w:t>,</w:t>
      </w:r>
      <w:r w:rsidRPr="00B0605C">
        <w:rPr>
          <w:rFonts w:eastAsiaTheme="minorEastAsia"/>
          <w:lang w:val="en-GB" w:eastAsia="ko-KR"/>
        </w:rPr>
        <w:t xml:space="preserve"> and Wynn Resorts,</w:t>
      </w:r>
      <w:r w:rsidR="001F68B2" w:rsidRPr="00B0605C">
        <w:rPr>
          <w:rFonts w:eastAsiaTheme="minorEastAsia"/>
          <w:lang w:val="en-GB" w:eastAsia="ko-KR"/>
        </w:rPr>
        <w:t xml:space="preserve"> each took a different approach</w:t>
      </w:r>
      <w:r w:rsidRPr="00B0605C">
        <w:rPr>
          <w:rFonts w:eastAsiaTheme="minorEastAsia"/>
          <w:lang w:val="en-GB" w:eastAsia="ko-KR"/>
        </w:rPr>
        <w:t>.</w:t>
      </w:r>
      <w:r w:rsidR="00B0605C" w:rsidRPr="00B0605C">
        <w:rPr>
          <w:rFonts w:eastAsiaTheme="minorEastAsia"/>
          <w:lang w:val="en-GB" w:eastAsia="ko-KR"/>
        </w:rPr>
        <w:t xml:space="preserve"> </w:t>
      </w:r>
      <w:r w:rsidRPr="00B0605C">
        <w:rPr>
          <w:rFonts w:eastAsiaTheme="minorEastAsia"/>
          <w:lang w:val="en-GB" w:eastAsia="ko-KR"/>
        </w:rPr>
        <w:t>The transition away from the time</w:t>
      </w:r>
      <w:r w:rsidR="00A843B4" w:rsidRPr="00B0605C">
        <w:rPr>
          <w:rFonts w:eastAsiaTheme="minorEastAsia"/>
          <w:lang w:val="en-GB" w:eastAsia="ko-KR"/>
        </w:rPr>
        <w:t>-</w:t>
      </w:r>
      <w:r w:rsidRPr="00B0605C">
        <w:rPr>
          <w:rFonts w:eastAsiaTheme="minorEastAsia"/>
          <w:lang w:val="en-GB" w:eastAsia="ko-KR"/>
        </w:rPr>
        <w:t xml:space="preserve">honoured </w:t>
      </w:r>
      <w:r w:rsidRPr="00B0605C">
        <w:rPr>
          <w:rFonts w:eastAsiaTheme="minorEastAsia"/>
          <w:lang w:val="en-GB" w:eastAsia="ko-KR"/>
        </w:rPr>
        <w:lastRenderedPageBreak/>
        <w:t xml:space="preserve">tradition of free parking on the Las Vegas </w:t>
      </w:r>
      <w:r w:rsidR="00A843B4" w:rsidRPr="00B0605C">
        <w:rPr>
          <w:rFonts w:eastAsiaTheme="minorEastAsia"/>
          <w:lang w:val="en-GB" w:eastAsia="ko-KR"/>
        </w:rPr>
        <w:t>S</w:t>
      </w:r>
      <w:r w:rsidRPr="00B0605C">
        <w:rPr>
          <w:rFonts w:eastAsiaTheme="minorEastAsia"/>
          <w:lang w:val="en-GB" w:eastAsia="ko-KR"/>
        </w:rPr>
        <w:t>trip was “</w:t>
      </w:r>
      <w:r w:rsidR="00E01F0D">
        <w:rPr>
          <w:rFonts w:eastAsiaTheme="minorEastAsia"/>
          <w:lang w:val="en-GB" w:eastAsia="ko-KR"/>
        </w:rPr>
        <w:t xml:space="preserve">just </w:t>
      </w:r>
      <w:r w:rsidRPr="00B0605C">
        <w:rPr>
          <w:rFonts w:eastAsiaTheme="minorEastAsia"/>
          <w:lang w:val="en-GB" w:eastAsia="ko-KR"/>
        </w:rPr>
        <w:t>a matter of time,” said Las Vegas observer Anthony Curtis.</w:t>
      </w:r>
      <w:r w:rsidRPr="00B0605C">
        <w:rPr>
          <w:rStyle w:val="EndnoteReference"/>
          <w:rFonts w:eastAsiaTheme="minorEastAsia"/>
          <w:lang w:val="en-GB" w:eastAsia="ko-KR"/>
        </w:rPr>
        <w:endnoteReference w:id="36"/>
      </w:r>
      <w:r w:rsidRPr="00B0605C">
        <w:rPr>
          <w:rFonts w:eastAsiaTheme="minorEastAsia"/>
          <w:lang w:val="en-GB" w:eastAsia="ko-KR"/>
        </w:rPr>
        <w:t xml:space="preserve"> </w:t>
      </w:r>
    </w:p>
    <w:p w14:paraId="3DAF3B3C" w14:textId="77777777" w:rsidR="0035216F" w:rsidRPr="00B0605C" w:rsidRDefault="0035216F" w:rsidP="00CB24E9">
      <w:pPr>
        <w:pStyle w:val="BodyTextMain"/>
        <w:rPr>
          <w:rFonts w:eastAsiaTheme="minorEastAsia"/>
          <w:lang w:val="en-GB" w:eastAsia="ko-KR"/>
        </w:rPr>
      </w:pPr>
    </w:p>
    <w:p w14:paraId="51AD3B92" w14:textId="6458FDA5" w:rsidR="000073A1" w:rsidRPr="00B0605C" w:rsidRDefault="006B6633" w:rsidP="00CB24E9">
      <w:pPr>
        <w:pStyle w:val="BodyTextMain"/>
        <w:rPr>
          <w:rFonts w:eastAsiaTheme="minorEastAsia"/>
          <w:lang w:val="en-GB" w:eastAsia="ko-KR"/>
        </w:rPr>
      </w:pPr>
      <w:r w:rsidRPr="00B0605C">
        <w:rPr>
          <w:rFonts w:eastAsiaTheme="minorEastAsia"/>
          <w:lang w:val="en-GB" w:eastAsia="ko-KR"/>
        </w:rPr>
        <w:t xml:space="preserve">When it came to parking on the Las Vegas </w:t>
      </w:r>
      <w:r w:rsidR="00A843B4" w:rsidRPr="00B0605C">
        <w:rPr>
          <w:rFonts w:eastAsiaTheme="minorEastAsia"/>
          <w:lang w:val="en-GB" w:eastAsia="ko-KR"/>
        </w:rPr>
        <w:t>S</w:t>
      </w:r>
      <w:r w:rsidRPr="00B0605C">
        <w:rPr>
          <w:rFonts w:eastAsiaTheme="minorEastAsia"/>
          <w:lang w:val="en-GB" w:eastAsia="ko-KR"/>
        </w:rPr>
        <w:t xml:space="preserve">trip, </w:t>
      </w:r>
      <w:r w:rsidR="00E01F0D">
        <w:rPr>
          <w:rFonts w:eastAsiaTheme="minorEastAsia"/>
          <w:lang w:val="en-GB" w:eastAsia="ko-KR"/>
        </w:rPr>
        <w:t>drivers had a few</w:t>
      </w:r>
      <w:r w:rsidR="007654F5" w:rsidRPr="00B0605C">
        <w:rPr>
          <w:rFonts w:eastAsiaTheme="minorEastAsia"/>
          <w:lang w:val="en-GB" w:eastAsia="ko-KR"/>
        </w:rPr>
        <w:t xml:space="preserve"> options</w:t>
      </w:r>
      <w:r w:rsidRPr="00B0605C">
        <w:rPr>
          <w:rFonts w:eastAsiaTheme="minorEastAsia"/>
          <w:lang w:val="en-GB" w:eastAsia="ko-KR"/>
        </w:rPr>
        <w:t xml:space="preserve">: </w:t>
      </w:r>
      <w:r w:rsidR="00E01F0D">
        <w:rPr>
          <w:rFonts w:eastAsiaTheme="minorEastAsia"/>
          <w:lang w:val="en-GB" w:eastAsia="ko-KR"/>
        </w:rPr>
        <w:t xml:space="preserve">using </w:t>
      </w:r>
      <w:r w:rsidRPr="00B0605C">
        <w:rPr>
          <w:rFonts w:eastAsiaTheme="minorEastAsia"/>
          <w:lang w:val="en-GB" w:eastAsia="ko-KR"/>
        </w:rPr>
        <w:t>free self</w:t>
      </w:r>
      <w:r w:rsidR="00854ED1" w:rsidRPr="00B0605C">
        <w:rPr>
          <w:rFonts w:eastAsiaTheme="minorEastAsia"/>
          <w:lang w:val="en-GB" w:eastAsia="ko-KR"/>
        </w:rPr>
        <w:t>-</w:t>
      </w:r>
      <w:r w:rsidR="00E01F0D">
        <w:rPr>
          <w:rFonts w:eastAsiaTheme="minorEastAsia"/>
          <w:lang w:val="en-GB" w:eastAsia="ko-KR"/>
        </w:rPr>
        <w:t>parking</w:t>
      </w:r>
      <w:r w:rsidRPr="00B0605C">
        <w:rPr>
          <w:rFonts w:eastAsiaTheme="minorEastAsia"/>
          <w:lang w:val="en-GB" w:eastAsia="ko-KR"/>
        </w:rPr>
        <w:t xml:space="preserve"> </w:t>
      </w:r>
      <w:r w:rsidR="00870224">
        <w:rPr>
          <w:rFonts w:eastAsiaTheme="minorEastAsia"/>
          <w:lang w:val="en-GB" w:eastAsia="ko-KR"/>
        </w:rPr>
        <w:t>or</w:t>
      </w:r>
      <w:r w:rsidR="00870224" w:rsidRPr="00B0605C">
        <w:rPr>
          <w:rFonts w:eastAsiaTheme="minorEastAsia"/>
          <w:lang w:val="en-GB" w:eastAsia="ko-KR"/>
        </w:rPr>
        <w:t xml:space="preserve"> </w:t>
      </w:r>
      <w:r w:rsidRPr="00B0605C">
        <w:rPr>
          <w:rFonts w:eastAsiaTheme="minorEastAsia"/>
          <w:lang w:val="en-GB" w:eastAsia="ko-KR"/>
        </w:rPr>
        <w:t xml:space="preserve">valet parking, </w:t>
      </w:r>
      <w:r w:rsidR="00E01F0D">
        <w:rPr>
          <w:rFonts w:eastAsiaTheme="minorEastAsia"/>
          <w:lang w:val="en-GB" w:eastAsia="ko-KR"/>
        </w:rPr>
        <w:t>or</w:t>
      </w:r>
      <w:r w:rsidR="00E01F0D" w:rsidRPr="00B0605C">
        <w:rPr>
          <w:rFonts w:eastAsiaTheme="minorEastAsia"/>
          <w:lang w:val="en-GB" w:eastAsia="ko-KR"/>
        </w:rPr>
        <w:t xml:space="preserve"> </w:t>
      </w:r>
      <w:r w:rsidRPr="00B0605C">
        <w:rPr>
          <w:rFonts w:eastAsiaTheme="minorEastAsia"/>
          <w:lang w:val="en-GB" w:eastAsia="ko-KR"/>
        </w:rPr>
        <w:t>pay</w:t>
      </w:r>
      <w:r w:rsidR="00E01F0D">
        <w:rPr>
          <w:rFonts w:eastAsiaTheme="minorEastAsia"/>
          <w:lang w:val="en-GB" w:eastAsia="ko-KR"/>
        </w:rPr>
        <w:t>ing</w:t>
      </w:r>
      <w:r w:rsidRPr="00B0605C">
        <w:rPr>
          <w:rFonts w:eastAsiaTheme="minorEastAsia"/>
          <w:lang w:val="en-GB" w:eastAsia="ko-KR"/>
        </w:rPr>
        <w:t xml:space="preserve"> to </w:t>
      </w:r>
      <w:r w:rsidR="00E01F0D">
        <w:rPr>
          <w:rFonts w:eastAsiaTheme="minorEastAsia"/>
          <w:lang w:val="en-GB" w:eastAsia="ko-KR"/>
        </w:rPr>
        <w:t xml:space="preserve">use </w:t>
      </w:r>
      <w:r w:rsidRPr="00B0605C">
        <w:rPr>
          <w:rFonts w:eastAsiaTheme="minorEastAsia"/>
          <w:lang w:val="en-GB" w:eastAsia="ko-KR"/>
        </w:rPr>
        <w:t>self</w:t>
      </w:r>
      <w:r w:rsidR="00854ED1" w:rsidRPr="00B0605C">
        <w:rPr>
          <w:rFonts w:eastAsiaTheme="minorEastAsia"/>
          <w:lang w:val="en-GB" w:eastAsia="ko-KR"/>
        </w:rPr>
        <w:t>-</w:t>
      </w:r>
      <w:r w:rsidR="00E01F0D">
        <w:rPr>
          <w:rFonts w:eastAsiaTheme="minorEastAsia"/>
          <w:lang w:val="en-GB" w:eastAsia="ko-KR"/>
        </w:rPr>
        <w:t>parking</w:t>
      </w:r>
      <w:r w:rsidRPr="00B0605C">
        <w:rPr>
          <w:rFonts w:eastAsiaTheme="minorEastAsia"/>
          <w:lang w:val="en-GB" w:eastAsia="ko-KR"/>
        </w:rPr>
        <w:t xml:space="preserve"> </w:t>
      </w:r>
      <w:r w:rsidR="00870224">
        <w:rPr>
          <w:rFonts w:eastAsiaTheme="minorEastAsia"/>
          <w:lang w:val="en-GB" w:eastAsia="ko-KR"/>
        </w:rPr>
        <w:t>or</w:t>
      </w:r>
      <w:r w:rsidR="00870224" w:rsidRPr="00B0605C">
        <w:rPr>
          <w:rFonts w:eastAsiaTheme="minorEastAsia"/>
          <w:lang w:val="en-GB" w:eastAsia="ko-KR"/>
        </w:rPr>
        <w:t xml:space="preserve"> </w:t>
      </w:r>
      <w:r w:rsidRPr="00B0605C">
        <w:rPr>
          <w:rFonts w:eastAsiaTheme="minorEastAsia"/>
          <w:lang w:val="en-GB" w:eastAsia="ko-KR"/>
        </w:rPr>
        <w:t>valet</w:t>
      </w:r>
      <w:r w:rsidR="00854ED1" w:rsidRPr="00B0605C">
        <w:rPr>
          <w:rFonts w:eastAsiaTheme="minorEastAsia"/>
          <w:lang w:val="en-GB" w:eastAsia="ko-KR"/>
        </w:rPr>
        <w:t xml:space="preserve"> parking</w:t>
      </w:r>
      <w:r w:rsidRPr="00B0605C">
        <w:rPr>
          <w:rFonts w:eastAsiaTheme="minorEastAsia"/>
          <w:lang w:val="en-GB" w:eastAsia="ko-KR"/>
        </w:rPr>
        <w:t>. MGM Resorts led the way by charging for both self-park</w:t>
      </w:r>
      <w:r w:rsidR="00854ED1" w:rsidRPr="00B0605C">
        <w:rPr>
          <w:rFonts w:eastAsiaTheme="minorEastAsia"/>
          <w:lang w:val="en-GB" w:eastAsia="ko-KR"/>
        </w:rPr>
        <w:t>ing</w:t>
      </w:r>
      <w:r w:rsidRPr="00B0605C">
        <w:rPr>
          <w:rFonts w:eastAsiaTheme="minorEastAsia"/>
          <w:lang w:val="en-GB" w:eastAsia="ko-KR"/>
        </w:rPr>
        <w:t xml:space="preserve"> and valet parking, </w:t>
      </w:r>
      <w:r w:rsidR="0035216F">
        <w:rPr>
          <w:rFonts w:eastAsiaTheme="minorEastAsia"/>
          <w:lang w:val="en-GB" w:eastAsia="ko-KR"/>
        </w:rPr>
        <w:t>and</w:t>
      </w:r>
      <w:r w:rsidRPr="00B0605C">
        <w:rPr>
          <w:rFonts w:eastAsiaTheme="minorEastAsia"/>
          <w:lang w:val="en-GB" w:eastAsia="ko-KR"/>
        </w:rPr>
        <w:t xml:space="preserve"> Caesars Entertainment</w:t>
      </w:r>
      <w:r w:rsidR="0035216F">
        <w:rPr>
          <w:rFonts w:eastAsiaTheme="minorEastAsia"/>
          <w:lang w:val="en-GB" w:eastAsia="ko-KR"/>
        </w:rPr>
        <w:t xml:space="preserve"> did the same</w:t>
      </w:r>
      <w:r w:rsidRPr="00B0605C">
        <w:rPr>
          <w:rFonts w:eastAsiaTheme="minorEastAsia"/>
          <w:lang w:val="en-GB" w:eastAsia="ko-KR"/>
        </w:rPr>
        <w:t xml:space="preserve">. MGM Resorts </w:t>
      </w:r>
      <w:r w:rsidR="00E01F0D" w:rsidRPr="00B0605C">
        <w:rPr>
          <w:rFonts w:eastAsiaTheme="minorEastAsia"/>
          <w:lang w:val="en-GB" w:eastAsia="ko-KR"/>
        </w:rPr>
        <w:t>charg</w:t>
      </w:r>
      <w:r w:rsidR="00E01F0D">
        <w:rPr>
          <w:rFonts w:eastAsiaTheme="minorEastAsia"/>
          <w:lang w:val="en-GB" w:eastAsia="ko-KR"/>
        </w:rPr>
        <w:t>ed</w:t>
      </w:r>
      <w:r w:rsidR="00E01F0D" w:rsidRPr="00B0605C">
        <w:rPr>
          <w:rFonts w:eastAsiaTheme="minorEastAsia"/>
          <w:lang w:val="en-GB" w:eastAsia="ko-KR"/>
        </w:rPr>
        <w:t xml:space="preserve"> </w:t>
      </w:r>
      <w:r w:rsidRPr="00B0605C">
        <w:rPr>
          <w:rFonts w:eastAsiaTheme="minorEastAsia"/>
          <w:lang w:val="en-GB" w:eastAsia="ko-KR"/>
        </w:rPr>
        <w:t xml:space="preserve">Las Vegas residents to park, while Caesars Entertainment </w:t>
      </w:r>
      <w:r w:rsidR="00E01F0D">
        <w:rPr>
          <w:rFonts w:eastAsiaTheme="minorEastAsia"/>
          <w:lang w:val="en-GB" w:eastAsia="ko-KR"/>
        </w:rPr>
        <w:t>offered</w:t>
      </w:r>
      <w:r w:rsidR="00E01F0D" w:rsidRPr="00B0605C">
        <w:rPr>
          <w:rFonts w:eastAsiaTheme="minorEastAsia"/>
          <w:lang w:val="en-GB" w:eastAsia="ko-KR"/>
        </w:rPr>
        <w:t xml:space="preserve"> </w:t>
      </w:r>
      <w:r w:rsidRPr="00B0605C">
        <w:rPr>
          <w:rFonts w:eastAsiaTheme="minorEastAsia"/>
          <w:lang w:val="en-GB" w:eastAsia="ko-KR"/>
        </w:rPr>
        <w:t>free self-park</w:t>
      </w:r>
      <w:r w:rsidR="00854ED1" w:rsidRPr="00B0605C">
        <w:rPr>
          <w:rFonts w:eastAsiaTheme="minorEastAsia"/>
          <w:lang w:val="en-GB" w:eastAsia="ko-KR"/>
        </w:rPr>
        <w:t>ing</w:t>
      </w:r>
      <w:r w:rsidRPr="00B0605C">
        <w:rPr>
          <w:rFonts w:eastAsiaTheme="minorEastAsia"/>
          <w:lang w:val="en-GB" w:eastAsia="ko-KR"/>
        </w:rPr>
        <w:t xml:space="preserve"> for Las Vegas locals. MGM Resorts had a two-tiered parking charge structure</w:t>
      </w:r>
      <w:r w:rsidR="00385718" w:rsidRPr="00B0605C">
        <w:rPr>
          <w:rFonts w:eastAsiaTheme="minorEastAsia"/>
          <w:lang w:val="en-GB" w:eastAsia="ko-KR"/>
        </w:rPr>
        <w:t>:</w:t>
      </w:r>
      <w:r w:rsidRPr="00B0605C">
        <w:rPr>
          <w:rFonts w:eastAsiaTheme="minorEastAsia"/>
          <w:lang w:val="en-GB" w:eastAsia="ko-KR"/>
        </w:rPr>
        <w:t xml:space="preserve"> its higher</w:t>
      </w:r>
      <w:r w:rsidR="00385718" w:rsidRPr="00B0605C">
        <w:rPr>
          <w:rFonts w:eastAsiaTheme="minorEastAsia"/>
          <w:lang w:val="en-GB" w:eastAsia="ko-KR"/>
        </w:rPr>
        <w:t>-</w:t>
      </w:r>
      <w:r w:rsidRPr="00B0605C">
        <w:rPr>
          <w:rFonts w:eastAsiaTheme="minorEastAsia"/>
          <w:lang w:val="en-GB" w:eastAsia="ko-KR"/>
        </w:rPr>
        <w:t>end hotels, such as the MGM Grand, Bellagio, Aria</w:t>
      </w:r>
      <w:r w:rsidR="00385718" w:rsidRPr="00B0605C">
        <w:rPr>
          <w:rFonts w:eastAsiaTheme="minorEastAsia"/>
          <w:lang w:val="en-GB" w:eastAsia="ko-KR"/>
        </w:rPr>
        <w:t>,</w:t>
      </w:r>
      <w:r w:rsidRPr="00B0605C">
        <w:rPr>
          <w:rFonts w:eastAsiaTheme="minorEastAsia"/>
          <w:lang w:val="en-GB" w:eastAsia="ko-KR"/>
        </w:rPr>
        <w:t xml:space="preserve"> and Mandalay Bay</w:t>
      </w:r>
      <w:r w:rsidR="00385718" w:rsidRPr="00B0605C">
        <w:rPr>
          <w:rFonts w:eastAsiaTheme="minorEastAsia"/>
          <w:lang w:val="en-GB" w:eastAsia="ko-KR"/>
        </w:rPr>
        <w:t>,</w:t>
      </w:r>
      <w:r w:rsidRPr="00B0605C">
        <w:rPr>
          <w:rFonts w:eastAsiaTheme="minorEastAsia"/>
          <w:lang w:val="en-GB" w:eastAsia="ko-KR"/>
        </w:rPr>
        <w:t xml:space="preserve"> charged a higher parking fee for both self</w:t>
      </w:r>
      <w:r w:rsidR="00854ED1" w:rsidRPr="00B0605C">
        <w:rPr>
          <w:rFonts w:eastAsiaTheme="minorEastAsia"/>
          <w:lang w:val="en-GB" w:eastAsia="ko-KR"/>
        </w:rPr>
        <w:t>-</w:t>
      </w:r>
      <w:r w:rsidR="00E01F0D">
        <w:rPr>
          <w:rFonts w:eastAsiaTheme="minorEastAsia"/>
          <w:lang w:val="en-GB" w:eastAsia="ko-KR"/>
        </w:rPr>
        <w:t>parking</w:t>
      </w:r>
      <w:r w:rsidRPr="00B0605C">
        <w:rPr>
          <w:rFonts w:eastAsiaTheme="minorEastAsia"/>
          <w:lang w:val="en-GB" w:eastAsia="ko-KR"/>
        </w:rPr>
        <w:t xml:space="preserve"> and valet parking. Caesars Entertainment took a similar approach with a two-tiered parking fee scheme</w:t>
      </w:r>
      <w:r w:rsidR="00385718" w:rsidRPr="00B0605C">
        <w:rPr>
          <w:rFonts w:eastAsiaTheme="minorEastAsia"/>
          <w:lang w:val="en-GB" w:eastAsia="ko-KR"/>
        </w:rPr>
        <w:t>.</w:t>
      </w:r>
      <w:r w:rsidRPr="00B0605C">
        <w:rPr>
          <w:rFonts w:eastAsiaTheme="minorEastAsia"/>
          <w:lang w:val="en-GB" w:eastAsia="ko-KR"/>
        </w:rPr>
        <w:t xml:space="preserve"> </w:t>
      </w:r>
      <w:r w:rsidR="00385718" w:rsidRPr="00B0605C">
        <w:rPr>
          <w:rFonts w:eastAsiaTheme="minorEastAsia"/>
          <w:lang w:val="en-GB" w:eastAsia="ko-KR"/>
        </w:rPr>
        <w:t>I</w:t>
      </w:r>
      <w:r w:rsidRPr="00B0605C">
        <w:rPr>
          <w:rFonts w:eastAsiaTheme="minorEastAsia"/>
          <w:lang w:val="en-GB" w:eastAsia="ko-KR"/>
        </w:rPr>
        <w:t>ts higher</w:t>
      </w:r>
      <w:r w:rsidR="00385718" w:rsidRPr="00B0605C">
        <w:rPr>
          <w:rFonts w:eastAsiaTheme="minorEastAsia"/>
          <w:lang w:val="en-GB" w:eastAsia="ko-KR"/>
        </w:rPr>
        <w:t>-</w:t>
      </w:r>
      <w:r w:rsidRPr="00B0605C">
        <w:rPr>
          <w:rFonts w:eastAsiaTheme="minorEastAsia"/>
          <w:lang w:val="en-GB" w:eastAsia="ko-KR"/>
        </w:rPr>
        <w:t>end resorts such as the Cromwell and Caesars also charged higher prices</w:t>
      </w:r>
      <w:r w:rsidR="000073A1" w:rsidRPr="00B0605C">
        <w:rPr>
          <w:rFonts w:eastAsiaTheme="minorEastAsia"/>
          <w:lang w:val="en-GB" w:eastAsia="ko-KR"/>
        </w:rPr>
        <w:t xml:space="preserve">. </w:t>
      </w:r>
    </w:p>
    <w:p w14:paraId="234CF34D" w14:textId="77777777" w:rsidR="000073A1" w:rsidRPr="00B0605C" w:rsidRDefault="000073A1" w:rsidP="00CB24E9">
      <w:pPr>
        <w:pStyle w:val="BodyTextMain"/>
        <w:rPr>
          <w:rFonts w:eastAsiaTheme="minorEastAsia"/>
          <w:lang w:val="en-GB" w:eastAsia="ko-KR"/>
        </w:rPr>
      </w:pPr>
    </w:p>
    <w:p w14:paraId="73CA6739" w14:textId="1D1B4D10" w:rsidR="000073A1" w:rsidRPr="00B0605C" w:rsidRDefault="000073A1" w:rsidP="00CB24E9">
      <w:pPr>
        <w:pStyle w:val="BodyTextMain"/>
        <w:rPr>
          <w:rFonts w:eastAsiaTheme="minorEastAsia"/>
          <w:lang w:val="en-GB" w:eastAsia="ko-KR"/>
        </w:rPr>
      </w:pPr>
      <w:r w:rsidRPr="00B0605C">
        <w:rPr>
          <w:rFonts w:eastAsiaTheme="minorEastAsia"/>
          <w:lang w:val="en-GB" w:eastAsia="ko-KR"/>
        </w:rPr>
        <w:t>Wynn Resorts, owner and operator of the Wynn and Encore, began charging guests to park in their garages in August 2017</w:t>
      </w:r>
      <w:r w:rsidR="00385718" w:rsidRPr="00B0605C">
        <w:rPr>
          <w:rFonts w:eastAsiaTheme="minorEastAsia"/>
          <w:lang w:val="en-GB" w:eastAsia="ko-KR"/>
        </w:rPr>
        <w:t>.</w:t>
      </w:r>
      <w:r w:rsidRPr="00B0605C">
        <w:rPr>
          <w:rStyle w:val="EndnoteReference"/>
          <w:rFonts w:eastAsiaTheme="minorEastAsia"/>
          <w:lang w:val="en-GB" w:eastAsia="ko-KR"/>
        </w:rPr>
        <w:endnoteReference w:id="37"/>
      </w:r>
      <w:r w:rsidRPr="00B0605C">
        <w:rPr>
          <w:rFonts w:eastAsiaTheme="minorEastAsia"/>
          <w:lang w:val="en-GB" w:eastAsia="ko-KR"/>
        </w:rPr>
        <w:t xml:space="preserve"> </w:t>
      </w:r>
      <w:r w:rsidR="00E01F0D">
        <w:rPr>
          <w:rFonts w:eastAsiaTheme="minorEastAsia"/>
          <w:lang w:val="en-GB" w:eastAsia="ko-KR"/>
        </w:rPr>
        <w:t>Its</w:t>
      </w:r>
      <w:r w:rsidRPr="00B0605C">
        <w:rPr>
          <w:rFonts w:eastAsiaTheme="minorEastAsia"/>
          <w:lang w:val="en-GB" w:eastAsia="ko-KR"/>
        </w:rPr>
        <w:t xml:space="preserve"> charge for parking remained competitive with </w:t>
      </w:r>
      <w:r w:rsidR="00870224">
        <w:rPr>
          <w:rFonts w:eastAsiaTheme="minorEastAsia"/>
          <w:lang w:val="en-GB" w:eastAsia="ko-KR"/>
        </w:rPr>
        <w:t xml:space="preserve">the </w:t>
      </w:r>
      <w:r w:rsidR="00645BB3">
        <w:rPr>
          <w:rFonts w:eastAsiaTheme="minorEastAsia"/>
          <w:lang w:val="en-GB" w:eastAsia="ko-KR"/>
        </w:rPr>
        <w:t xml:space="preserve">parking fees at </w:t>
      </w:r>
      <w:r w:rsidR="00870224">
        <w:rPr>
          <w:rFonts w:eastAsiaTheme="minorEastAsia"/>
          <w:lang w:val="en-GB" w:eastAsia="ko-KR"/>
        </w:rPr>
        <w:t xml:space="preserve">higher-end properties </w:t>
      </w:r>
      <w:r w:rsidR="00645BB3">
        <w:rPr>
          <w:rFonts w:eastAsiaTheme="minorEastAsia"/>
          <w:lang w:val="en-GB" w:eastAsia="ko-KR"/>
        </w:rPr>
        <w:t>owned by</w:t>
      </w:r>
      <w:r w:rsidR="00645BB3" w:rsidRPr="00B0605C">
        <w:rPr>
          <w:rFonts w:eastAsiaTheme="minorEastAsia"/>
          <w:lang w:val="en-GB" w:eastAsia="ko-KR"/>
        </w:rPr>
        <w:t xml:space="preserve"> </w:t>
      </w:r>
      <w:r w:rsidRPr="00B0605C">
        <w:rPr>
          <w:rFonts w:eastAsiaTheme="minorEastAsia"/>
          <w:lang w:val="en-GB" w:eastAsia="ko-KR"/>
        </w:rPr>
        <w:t>Caesars</w:t>
      </w:r>
      <w:r w:rsidR="0035216F">
        <w:rPr>
          <w:rFonts w:eastAsiaTheme="minorEastAsia"/>
          <w:lang w:val="en-GB" w:eastAsia="ko-KR"/>
        </w:rPr>
        <w:t xml:space="preserve"> Entertainment</w:t>
      </w:r>
      <w:r w:rsidRPr="00B0605C">
        <w:rPr>
          <w:rFonts w:eastAsiaTheme="minorEastAsia"/>
          <w:lang w:val="en-GB" w:eastAsia="ko-KR"/>
        </w:rPr>
        <w:t xml:space="preserve"> and MGM Resorts. </w:t>
      </w:r>
      <w:r w:rsidR="00E01F0D">
        <w:rPr>
          <w:rFonts w:eastAsiaTheme="minorEastAsia"/>
          <w:lang w:val="en-GB" w:eastAsia="ko-KR"/>
        </w:rPr>
        <w:t>At</w:t>
      </w:r>
      <w:r w:rsidRPr="00B0605C">
        <w:rPr>
          <w:rFonts w:eastAsiaTheme="minorEastAsia"/>
          <w:lang w:val="en-GB" w:eastAsia="ko-KR"/>
        </w:rPr>
        <w:t xml:space="preserve"> Treasure Island, both self-parking and valet parking </w:t>
      </w:r>
      <w:r w:rsidR="00385718" w:rsidRPr="00B0605C">
        <w:rPr>
          <w:rFonts w:eastAsiaTheme="minorEastAsia"/>
          <w:lang w:val="en-GB" w:eastAsia="ko-KR"/>
        </w:rPr>
        <w:t>were</w:t>
      </w:r>
      <w:r w:rsidRPr="00B0605C">
        <w:rPr>
          <w:rFonts w:eastAsiaTheme="minorEastAsia"/>
          <w:lang w:val="en-GB" w:eastAsia="ko-KR"/>
        </w:rPr>
        <w:t xml:space="preserve"> free. Treasure </w:t>
      </w:r>
      <w:r w:rsidR="00385718" w:rsidRPr="00B0605C">
        <w:rPr>
          <w:rFonts w:eastAsiaTheme="minorEastAsia"/>
          <w:lang w:val="en-GB" w:eastAsia="ko-KR"/>
        </w:rPr>
        <w:t>I</w:t>
      </w:r>
      <w:r w:rsidRPr="00B0605C">
        <w:rPr>
          <w:rFonts w:eastAsiaTheme="minorEastAsia"/>
          <w:lang w:val="en-GB" w:eastAsia="ko-KR"/>
        </w:rPr>
        <w:t xml:space="preserve">sland was trying to capitalize </w:t>
      </w:r>
      <w:r w:rsidR="00385718" w:rsidRPr="00B0605C">
        <w:rPr>
          <w:rFonts w:eastAsiaTheme="minorEastAsia"/>
          <w:lang w:val="en-GB" w:eastAsia="ko-KR"/>
        </w:rPr>
        <w:t xml:space="preserve">on </w:t>
      </w:r>
      <w:r w:rsidRPr="00B0605C">
        <w:rPr>
          <w:rFonts w:eastAsiaTheme="minorEastAsia"/>
          <w:lang w:val="en-GB" w:eastAsia="ko-KR"/>
        </w:rPr>
        <w:t>its complimentary parking as a marketing tactic to attract hotel guests and gambling</w:t>
      </w:r>
      <w:r w:rsidR="00385718" w:rsidRPr="00B0605C">
        <w:rPr>
          <w:rFonts w:eastAsiaTheme="minorEastAsia"/>
          <w:lang w:val="en-GB" w:eastAsia="ko-KR"/>
        </w:rPr>
        <w:t>.</w:t>
      </w:r>
      <w:r w:rsidRPr="00B0605C">
        <w:rPr>
          <w:rStyle w:val="EndnoteReference"/>
          <w:rFonts w:eastAsiaTheme="minorEastAsia"/>
          <w:lang w:val="en-GB" w:eastAsia="ko-KR"/>
        </w:rPr>
        <w:endnoteReference w:id="38"/>
      </w:r>
    </w:p>
    <w:p w14:paraId="70CFB77E" w14:textId="77777777" w:rsidR="000073A1" w:rsidRPr="00B0605C" w:rsidRDefault="000073A1" w:rsidP="00CB24E9">
      <w:pPr>
        <w:pStyle w:val="BodyTextMain"/>
        <w:rPr>
          <w:rFonts w:eastAsiaTheme="minorEastAsia"/>
          <w:lang w:val="en-GB" w:eastAsia="ko-KR"/>
        </w:rPr>
      </w:pPr>
    </w:p>
    <w:p w14:paraId="165920B3" w14:textId="22B6A796" w:rsidR="006B6633" w:rsidRPr="00B0605C" w:rsidRDefault="006B6633" w:rsidP="00CB24E9">
      <w:pPr>
        <w:pStyle w:val="BodyTextMain"/>
        <w:rPr>
          <w:rFonts w:eastAsiaTheme="minorEastAsia"/>
          <w:lang w:val="en-GB" w:eastAsia="ko-KR"/>
        </w:rPr>
      </w:pPr>
      <w:r w:rsidRPr="00B0605C">
        <w:rPr>
          <w:rFonts w:eastAsiaTheme="minorEastAsia"/>
          <w:lang w:val="en-GB" w:eastAsia="ko-KR"/>
        </w:rPr>
        <w:t>Las Vegas Sands, owner of the Venetian and Palazzo</w:t>
      </w:r>
      <w:r w:rsidR="00385718" w:rsidRPr="00B0605C">
        <w:rPr>
          <w:rFonts w:eastAsiaTheme="minorEastAsia"/>
          <w:lang w:val="en-GB" w:eastAsia="ko-KR"/>
        </w:rPr>
        <w:t>,</w:t>
      </w:r>
      <w:r w:rsidRPr="00B0605C">
        <w:rPr>
          <w:rFonts w:eastAsiaTheme="minorEastAsia"/>
          <w:lang w:val="en-GB" w:eastAsia="ko-KR"/>
        </w:rPr>
        <w:t xml:space="preserve"> stated that it would not, and </w:t>
      </w:r>
      <w:r w:rsidR="00645BB3">
        <w:rPr>
          <w:rFonts w:eastAsiaTheme="minorEastAsia"/>
          <w:lang w:val="en-GB" w:eastAsia="ko-KR"/>
        </w:rPr>
        <w:t xml:space="preserve">had </w:t>
      </w:r>
      <w:r w:rsidRPr="00B0605C">
        <w:rPr>
          <w:rFonts w:eastAsiaTheme="minorEastAsia"/>
          <w:lang w:val="en-GB" w:eastAsia="ko-KR"/>
        </w:rPr>
        <w:t>“no plans to charge for parking</w:t>
      </w:r>
      <w:r w:rsidR="00385718" w:rsidRPr="00B0605C">
        <w:rPr>
          <w:rFonts w:eastAsiaTheme="minorEastAsia"/>
          <w:lang w:val="en-GB" w:eastAsia="ko-KR"/>
        </w:rPr>
        <w:t>,</w:t>
      </w:r>
      <w:r w:rsidRPr="00B0605C">
        <w:rPr>
          <w:rFonts w:eastAsiaTheme="minorEastAsia"/>
          <w:lang w:val="en-GB" w:eastAsia="ko-KR"/>
        </w:rPr>
        <w:t xml:space="preserve">” both valet </w:t>
      </w:r>
      <w:r w:rsidR="00645BB3">
        <w:rPr>
          <w:rFonts w:eastAsiaTheme="minorEastAsia"/>
          <w:lang w:val="en-GB" w:eastAsia="ko-KR"/>
        </w:rPr>
        <w:t xml:space="preserve">parking </w:t>
      </w:r>
      <w:r w:rsidRPr="00B0605C">
        <w:rPr>
          <w:rFonts w:eastAsiaTheme="minorEastAsia"/>
          <w:lang w:val="en-GB" w:eastAsia="ko-KR"/>
        </w:rPr>
        <w:t>and self-park</w:t>
      </w:r>
      <w:r w:rsidR="00317FE1" w:rsidRPr="00B0605C">
        <w:rPr>
          <w:rFonts w:eastAsiaTheme="minorEastAsia"/>
          <w:lang w:val="en-GB" w:eastAsia="ko-KR"/>
        </w:rPr>
        <w:t>ing</w:t>
      </w:r>
      <w:r w:rsidRPr="00B0605C">
        <w:rPr>
          <w:rFonts w:eastAsiaTheme="minorEastAsia"/>
          <w:lang w:val="en-GB" w:eastAsia="ko-KR"/>
        </w:rPr>
        <w:t>.</w:t>
      </w:r>
      <w:r w:rsidRPr="00B0605C">
        <w:rPr>
          <w:rStyle w:val="EndnoteReference"/>
          <w:rFonts w:eastAsiaTheme="minorEastAsia"/>
          <w:lang w:val="en-GB" w:eastAsia="ko-KR"/>
        </w:rPr>
        <w:endnoteReference w:id="39"/>
      </w:r>
      <w:r w:rsidRPr="00B0605C">
        <w:rPr>
          <w:rFonts w:eastAsiaTheme="minorEastAsia"/>
          <w:lang w:val="en-GB" w:eastAsia="ko-KR"/>
        </w:rPr>
        <w:t xml:space="preserve"> As of </w:t>
      </w:r>
      <w:r w:rsidR="000073A1" w:rsidRPr="00B0605C">
        <w:rPr>
          <w:rFonts w:eastAsiaTheme="minorEastAsia"/>
          <w:lang w:val="en-GB" w:eastAsia="ko-KR"/>
        </w:rPr>
        <w:t>August</w:t>
      </w:r>
      <w:r w:rsidRPr="00B0605C">
        <w:rPr>
          <w:rFonts w:eastAsiaTheme="minorEastAsia"/>
          <w:lang w:val="en-GB" w:eastAsia="ko-KR"/>
        </w:rPr>
        <w:t xml:space="preserve"> 2017, </w:t>
      </w:r>
      <w:r w:rsidR="0074619C">
        <w:rPr>
          <w:rFonts w:eastAsiaTheme="minorEastAsia"/>
          <w:lang w:val="en-GB" w:eastAsia="ko-KR"/>
        </w:rPr>
        <w:t xml:space="preserve">at </w:t>
      </w:r>
      <w:r w:rsidRPr="00B0605C">
        <w:rPr>
          <w:rFonts w:eastAsiaTheme="minorEastAsia"/>
          <w:lang w:val="en-GB" w:eastAsia="ko-KR"/>
        </w:rPr>
        <w:t>both the Venetian and the Palazzo</w:t>
      </w:r>
      <w:r w:rsidR="0074619C">
        <w:rPr>
          <w:rFonts w:eastAsiaTheme="minorEastAsia"/>
          <w:lang w:val="en-GB" w:eastAsia="ko-KR"/>
        </w:rPr>
        <w:t>,</w:t>
      </w:r>
      <w:r w:rsidRPr="00B0605C">
        <w:rPr>
          <w:rFonts w:eastAsiaTheme="minorEastAsia"/>
          <w:lang w:val="en-GB" w:eastAsia="ko-KR"/>
        </w:rPr>
        <w:t xml:space="preserve"> self</w:t>
      </w:r>
      <w:r w:rsidR="00317FE1" w:rsidRPr="00B0605C">
        <w:rPr>
          <w:rFonts w:eastAsiaTheme="minorEastAsia"/>
          <w:lang w:val="en-GB" w:eastAsia="ko-KR"/>
        </w:rPr>
        <w:t>-</w:t>
      </w:r>
      <w:r w:rsidR="0074619C">
        <w:rPr>
          <w:rFonts w:eastAsiaTheme="minorEastAsia"/>
          <w:lang w:val="en-GB" w:eastAsia="ko-KR"/>
        </w:rPr>
        <w:t>parking</w:t>
      </w:r>
      <w:r w:rsidRPr="00B0605C">
        <w:rPr>
          <w:rFonts w:eastAsiaTheme="minorEastAsia"/>
          <w:lang w:val="en-GB" w:eastAsia="ko-KR"/>
        </w:rPr>
        <w:t xml:space="preserve"> and valet parking remained free. </w:t>
      </w:r>
    </w:p>
    <w:p w14:paraId="74482826" w14:textId="77777777" w:rsidR="006B6633" w:rsidRPr="00B0605C" w:rsidRDefault="006B6633" w:rsidP="006B6633">
      <w:pPr>
        <w:pStyle w:val="BodyTextMain"/>
        <w:rPr>
          <w:rFonts w:eastAsiaTheme="minorEastAsia"/>
          <w:lang w:val="en-GB" w:eastAsia="ko-KR"/>
        </w:rPr>
      </w:pPr>
    </w:p>
    <w:p w14:paraId="2FD31C3F" w14:textId="77777777" w:rsidR="005877B0" w:rsidRPr="00B0605C" w:rsidRDefault="005877B0" w:rsidP="009C2BEB">
      <w:pPr>
        <w:pStyle w:val="BodyTextMain"/>
        <w:rPr>
          <w:highlight w:val="yellow"/>
          <w:lang w:val="en-GB"/>
        </w:rPr>
      </w:pPr>
    </w:p>
    <w:p w14:paraId="74C338D1" w14:textId="5447EE66" w:rsidR="008221DD" w:rsidRPr="00B0605C" w:rsidRDefault="00EC1B47" w:rsidP="008221DD">
      <w:pPr>
        <w:rPr>
          <w:rFonts w:ascii="Arial" w:eastAsiaTheme="minorEastAsia" w:hAnsi="Arial" w:cs="Arial"/>
          <w:b/>
          <w:lang w:val="en-GB" w:eastAsia="ko-KR"/>
        </w:rPr>
      </w:pPr>
      <w:r>
        <w:rPr>
          <w:rFonts w:ascii="Arial" w:eastAsiaTheme="minorEastAsia" w:hAnsi="Arial" w:cs="Arial"/>
          <w:b/>
          <w:lang w:val="en-GB" w:eastAsia="ko-KR"/>
        </w:rPr>
        <w:t xml:space="preserve">The </w:t>
      </w:r>
      <w:r w:rsidR="001817CD" w:rsidRPr="00B0605C">
        <w:rPr>
          <w:rFonts w:ascii="Arial" w:eastAsiaTheme="minorEastAsia" w:hAnsi="Arial" w:cs="Arial"/>
          <w:b/>
          <w:lang w:val="en-GB" w:eastAsia="ko-KR"/>
        </w:rPr>
        <w:t>Decision Factors</w:t>
      </w:r>
      <w:r w:rsidR="00B0605C" w:rsidRPr="00B0605C">
        <w:rPr>
          <w:rFonts w:ascii="Arial" w:eastAsiaTheme="minorEastAsia" w:hAnsi="Arial" w:cs="Arial"/>
          <w:b/>
          <w:lang w:val="en-GB" w:eastAsia="ko-KR"/>
        </w:rPr>
        <w:t xml:space="preserve"> </w:t>
      </w:r>
    </w:p>
    <w:p w14:paraId="0067ADBB" w14:textId="77777777" w:rsidR="008221DD" w:rsidRPr="00B0605C" w:rsidRDefault="008221DD" w:rsidP="00CB24E9">
      <w:pPr>
        <w:pStyle w:val="BodyTextMain"/>
        <w:rPr>
          <w:lang w:val="en-GB"/>
        </w:rPr>
      </w:pPr>
    </w:p>
    <w:p w14:paraId="24807F88" w14:textId="19F8D4DA" w:rsidR="008221DD" w:rsidRPr="00B0605C" w:rsidRDefault="0074619C" w:rsidP="00CB24E9">
      <w:pPr>
        <w:pStyle w:val="BodyTextMain"/>
        <w:rPr>
          <w:rFonts w:eastAsiaTheme="minorEastAsia"/>
          <w:lang w:val="en-GB" w:eastAsia="ko-KR"/>
        </w:rPr>
      </w:pPr>
      <w:r>
        <w:rPr>
          <w:rFonts w:eastAsiaTheme="minorEastAsia"/>
          <w:lang w:val="en-GB" w:eastAsia="ko-KR"/>
        </w:rPr>
        <w:t>H</w:t>
      </w:r>
      <w:r w:rsidR="008221DD" w:rsidRPr="00B0605C">
        <w:rPr>
          <w:rFonts w:eastAsiaTheme="minorEastAsia"/>
          <w:lang w:val="en-GB" w:eastAsia="ko-KR"/>
        </w:rPr>
        <w:t xml:space="preserve">otels and casinos on the Las Vegas </w:t>
      </w:r>
      <w:r w:rsidR="00317FE1" w:rsidRPr="00B0605C">
        <w:rPr>
          <w:rFonts w:eastAsiaTheme="minorEastAsia"/>
          <w:lang w:val="en-GB" w:eastAsia="ko-KR"/>
        </w:rPr>
        <w:t>S</w:t>
      </w:r>
      <w:r w:rsidR="008221DD" w:rsidRPr="00B0605C">
        <w:rPr>
          <w:rFonts w:eastAsiaTheme="minorEastAsia"/>
          <w:lang w:val="en-GB" w:eastAsia="ko-KR"/>
        </w:rPr>
        <w:t>trip</w:t>
      </w:r>
      <w:r>
        <w:rPr>
          <w:rFonts w:eastAsiaTheme="minorEastAsia"/>
          <w:lang w:val="en-GB" w:eastAsia="ko-KR"/>
        </w:rPr>
        <w:t xml:space="preserve"> were beginning to transition away from their long-standing tradition of free parking</w:t>
      </w:r>
      <w:r w:rsidR="008221DD" w:rsidRPr="00B0605C">
        <w:rPr>
          <w:rFonts w:eastAsiaTheme="minorEastAsia"/>
          <w:lang w:val="en-GB" w:eastAsia="ko-KR"/>
        </w:rPr>
        <w:t xml:space="preserve">. MGM Resorts led the </w:t>
      </w:r>
      <w:r w:rsidR="00317FE1" w:rsidRPr="00B0605C">
        <w:rPr>
          <w:rFonts w:eastAsiaTheme="minorEastAsia"/>
          <w:lang w:val="en-GB" w:eastAsia="ko-KR"/>
        </w:rPr>
        <w:t>way;</w:t>
      </w:r>
      <w:r w:rsidR="008221DD" w:rsidRPr="00B0605C">
        <w:rPr>
          <w:rFonts w:eastAsiaTheme="minorEastAsia"/>
          <w:lang w:val="en-GB" w:eastAsia="ko-KR"/>
        </w:rPr>
        <w:t xml:space="preserve"> </w:t>
      </w:r>
      <w:r w:rsidR="00317FE1" w:rsidRPr="00B0605C">
        <w:rPr>
          <w:rFonts w:eastAsiaTheme="minorEastAsia"/>
          <w:lang w:val="en-GB" w:eastAsia="ko-KR"/>
        </w:rPr>
        <w:t>a</w:t>
      </w:r>
      <w:r w:rsidR="008221DD" w:rsidRPr="00B0605C">
        <w:rPr>
          <w:rFonts w:eastAsiaTheme="minorEastAsia"/>
          <w:lang w:val="en-GB" w:eastAsia="ko-KR"/>
        </w:rPr>
        <w:t xml:space="preserve">fter </w:t>
      </w:r>
      <w:r w:rsidR="008419F6" w:rsidRPr="00B0605C">
        <w:rPr>
          <w:rFonts w:eastAsiaTheme="minorEastAsia"/>
          <w:lang w:val="en-GB" w:eastAsia="ko-KR"/>
        </w:rPr>
        <w:t>announc</w:t>
      </w:r>
      <w:r w:rsidR="008419F6">
        <w:rPr>
          <w:rFonts w:eastAsiaTheme="minorEastAsia"/>
          <w:lang w:val="en-GB" w:eastAsia="ko-KR"/>
        </w:rPr>
        <w:t>ing</w:t>
      </w:r>
      <w:r w:rsidR="008419F6" w:rsidRPr="00B0605C">
        <w:rPr>
          <w:rFonts w:eastAsiaTheme="minorEastAsia"/>
          <w:lang w:val="en-GB" w:eastAsia="ko-KR"/>
        </w:rPr>
        <w:t xml:space="preserve"> </w:t>
      </w:r>
      <w:r w:rsidR="008221DD" w:rsidRPr="00B0605C">
        <w:rPr>
          <w:rFonts w:eastAsiaTheme="minorEastAsia"/>
          <w:lang w:val="en-GB" w:eastAsia="ko-KR"/>
        </w:rPr>
        <w:t>its intention to charge for parking, other Las Vegas resorts follow</w:t>
      </w:r>
      <w:r w:rsidR="00854ED1" w:rsidRPr="00B0605C">
        <w:rPr>
          <w:rFonts w:eastAsiaTheme="minorEastAsia"/>
          <w:lang w:val="en-GB" w:eastAsia="ko-KR"/>
        </w:rPr>
        <w:t>ed</w:t>
      </w:r>
      <w:r w:rsidR="008221DD" w:rsidRPr="00B0605C">
        <w:rPr>
          <w:rFonts w:eastAsiaTheme="minorEastAsia"/>
          <w:lang w:val="en-GB" w:eastAsia="ko-KR"/>
        </w:rPr>
        <w:t xml:space="preserve"> suit. </w:t>
      </w:r>
    </w:p>
    <w:p w14:paraId="70A93868" w14:textId="77777777" w:rsidR="008221DD" w:rsidRPr="00B0605C" w:rsidRDefault="008221DD" w:rsidP="00CB24E9">
      <w:pPr>
        <w:pStyle w:val="BodyTextMain"/>
        <w:rPr>
          <w:rFonts w:eastAsiaTheme="minorEastAsia"/>
          <w:lang w:val="en-GB" w:eastAsia="ko-KR"/>
        </w:rPr>
      </w:pPr>
    </w:p>
    <w:p w14:paraId="5697B991" w14:textId="686F3D5E" w:rsidR="005877B0" w:rsidRDefault="008221DD" w:rsidP="00CB24E9">
      <w:pPr>
        <w:pStyle w:val="BodyTextMain"/>
        <w:rPr>
          <w:rFonts w:eastAsiaTheme="minorEastAsia"/>
          <w:lang w:val="en-GB" w:eastAsia="ko-KR"/>
        </w:rPr>
      </w:pPr>
      <w:r w:rsidRPr="00B0605C">
        <w:rPr>
          <w:rFonts w:eastAsiaTheme="minorEastAsia"/>
          <w:lang w:val="en-GB" w:eastAsia="ko-KR"/>
        </w:rPr>
        <w:t>In the summer of 2016, MGM Resorts began charging visitors</w:t>
      </w:r>
      <w:r w:rsidR="005877B0" w:rsidRPr="00B0605C">
        <w:rPr>
          <w:rFonts w:eastAsiaTheme="minorEastAsia"/>
          <w:lang w:val="en-GB" w:eastAsia="ko-KR"/>
        </w:rPr>
        <w:t>, but not residents,</w:t>
      </w:r>
      <w:r w:rsidRPr="00B0605C">
        <w:rPr>
          <w:rFonts w:eastAsiaTheme="minorEastAsia"/>
          <w:lang w:val="en-GB" w:eastAsia="ko-KR"/>
        </w:rPr>
        <w:t xml:space="preserve"> for parking at 11 of its hotel and casino properties on the Las Vegas </w:t>
      </w:r>
      <w:r w:rsidR="00317FE1" w:rsidRPr="00B0605C">
        <w:rPr>
          <w:rFonts w:eastAsiaTheme="minorEastAsia"/>
          <w:lang w:val="en-GB" w:eastAsia="ko-KR"/>
        </w:rPr>
        <w:t>S</w:t>
      </w:r>
      <w:r w:rsidRPr="00B0605C">
        <w:rPr>
          <w:rFonts w:eastAsiaTheme="minorEastAsia"/>
          <w:lang w:val="en-GB" w:eastAsia="ko-KR"/>
        </w:rPr>
        <w:t>trip.</w:t>
      </w:r>
      <w:r w:rsidRPr="00B0605C">
        <w:rPr>
          <w:rStyle w:val="EndnoteReference"/>
          <w:rFonts w:eastAsiaTheme="minorEastAsia"/>
          <w:lang w:val="en-GB" w:eastAsia="ko-KR"/>
        </w:rPr>
        <w:endnoteReference w:id="40"/>
      </w:r>
      <w:r w:rsidRPr="00B0605C">
        <w:rPr>
          <w:rFonts w:eastAsiaTheme="minorEastAsia"/>
          <w:lang w:val="en-GB" w:eastAsia="ko-KR"/>
        </w:rPr>
        <w:t xml:space="preserve"> </w:t>
      </w:r>
      <w:r w:rsidR="005877B0" w:rsidRPr="00B0605C">
        <w:rPr>
          <w:rFonts w:eastAsiaTheme="minorEastAsia"/>
          <w:lang w:val="en-GB" w:eastAsia="ko-KR"/>
        </w:rPr>
        <w:t>However, a</w:t>
      </w:r>
      <w:r w:rsidRPr="00B0605C">
        <w:rPr>
          <w:rFonts w:eastAsiaTheme="minorEastAsia"/>
          <w:lang w:val="en-GB" w:eastAsia="ko-KR"/>
        </w:rPr>
        <w:t xml:space="preserve"> mere six months later, in December 2016, MGM Resorts announced it would </w:t>
      </w:r>
      <w:r w:rsidR="00317FE1" w:rsidRPr="00B0605C">
        <w:rPr>
          <w:rFonts w:eastAsiaTheme="minorEastAsia"/>
          <w:lang w:val="en-GB" w:eastAsia="ko-KR"/>
        </w:rPr>
        <w:t xml:space="preserve">in fact </w:t>
      </w:r>
      <w:r w:rsidRPr="00B0605C">
        <w:rPr>
          <w:rFonts w:eastAsiaTheme="minorEastAsia"/>
          <w:lang w:val="en-GB" w:eastAsia="ko-KR"/>
        </w:rPr>
        <w:t>begin to charge Las Vegas residents for parking. In November 2016, Caesars Entertainment announced it would begin charging for parking</w:t>
      </w:r>
      <w:r w:rsidR="00317FE1" w:rsidRPr="00B0605C">
        <w:rPr>
          <w:rFonts w:eastAsiaTheme="minorEastAsia"/>
          <w:lang w:val="en-GB" w:eastAsia="ko-KR"/>
        </w:rPr>
        <w:t>;</w:t>
      </w:r>
      <w:r w:rsidRPr="00B0605C">
        <w:rPr>
          <w:rFonts w:eastAsiaTheme="minorEastAsia"/>
          <w:lang w:val="en-GB" w:eastAsia="ko-KR"/>
        </w:rPr>
        <w:t xml:space="preserve"> however, parking would remain free for Las Vegas residents</w:t>
      </w:r>
      <w:r w:rsidR="005877B0" w:rsidRPr="00B0605C">
        <w:rPr>
          <w:rFonts w:eastAsiaTheme="minorEastAsia"/>
          <w:lang w:val="en-GB" w:eastAsia="ko-KR"/>
        </w:rPr>
        <w:t xml:space="preserve"> who </w:t>
      </w:r>
      <w:r w:rsidR="00317FE1" w:rsidRPr="00B0605C">
        <w:rPr>
          <w:rFonts w:eastAsiaTheme="minorEastAsia"/>
          <w:lang w:val="en-GB" w:eastAsia="ko-KR"/>
        </w:rPr>
        <w:t>had a</w:t>
      </w:r>
      <w:r w:rsidR="005877B0" w:rsidRPr="00B0605C">
        <w:rPr>
          <w:rFonts w:eastAsiaTheme="minorEastAsia"/>
          <w:lang w:val="en-GB" w:eastAsia="ko-KR"/>
        </w:rPr>
        <w:t xml:space="preserve"> valid Nevada driver</w:t>
      </w:r>
      <w:r w:rsidR="00854ED1" w:rsidRPr="00B0605C">
        <w:rPr>
          <w:rFonts w:eastAsiaTheme="minorEastAsia"/>
          <w:lang w:val="en-GB" w:eastAsia="ko-KR"/>
        </w:rPr>
        <w:t>’s</w:t>
      </w:r>
      <w:r w:rsidR="005877B0" w:rsidRPr="00B0605C">
        <w:rPr>
          <w:rFonts w:eastAsiaTheme="minorEastAsia"/>
          <w:lang w:val="en-GB" w:eastAsia="ko-KR"/>
        </w:rPr>
        <w:t xml:space="preserve"> licen</w:t>
      </w:r>
      <w:r w:rsidR="0074619C">
        <w:rPr>
          <w:rFonts w:eastAsiaTheme="minorEastAsia"/>
          <w:lang w:val="en-GB" w:eastAsia="ko-KR"/>
        </w:rPr>
        <w:t>c</w:t>
      </w:r>
      <w:r w:rsidR="005877B0" w:rsidRPr="00B0605C">
        <w:rPr>
          <w:rFonts w:eastAsiaTheme="minorEastAsia"/>
          <w:lang w:val="en-GB" w:eastAsia="ko-KR"/>
        </w:rPr>
        <w:t>e</w:t>
      </w:r>
      <w:r w:rsidRPr="00B0605C">
        <w:rPr>
          <w:rFonts w:eastAsiaTheme="minorEastAsia"/>
          <w:lang w:val="en-GB" w:eastAsia="ko-KR"/>
        </w:rPr>
        <w:t>.</w:t>
      </w:r>
      <w:r w:rsidRPr="00B0605C">
        <w:rPr>
          <w:rStyle w:val="EndnoteReference"/>
          <w:rFonts w:eastAsiaTheme="minorEastAsia"/>
          <w:lang w:val="en-GB" w:eastAsia="ko-KR"/>
        </w:rPr>
        <w:endnoteReference w:id="41"/>
      </w:r>
      <w:r w:rsidRPr="00B0605C">
        <w:rPr>
          <w:rFonts w:eastAsiaTheme="minorEastAsia"/>
          <w:lang w:val="en-GB" w:eastAsia="ko-KR"/>
        </w:rPr>
        <w:t xml:space="preserve"> </w:t>
      </w:r>
      <w:r w:rsidR="00D05259" w:rsidRPr="00B0605C">
        <w:rPr>
          <w:lang w:val="en-GB"/>
        </w:rPr>
        <w:t>George Markantonis</w:t>
      </w:r>
      <w:r w:rsidR="00EC1B47">
        <w:rPr>
          <w:lang w:val="en-GB"/>
        </w:rPr>
        <w:t>, the president and chief operating officer of the Palazzo, the Venetian Resort Hotel Casino, and the Sands Expo and Convention Center,</w:t>
      </w:r>
      <w:r w:rsidR="005877B0" w:rsidRPr="00B0605C">
        <w:rPr>
          <w:lang w:val="en-GB"/>
        </w:rPr>
        <w:t xml:space="preserve"> </w:t>
      </w:r>
      <w:r w:rsidRPr="00B0605C">
        <w:rPr>
          <w:rFonts w:eastAsiaTheme="minorEastAsia"/>
          <w:lang w:val="en-GB" w:eastAsia="ko-KR"/>
        </w:rPr>
        <w:t>had no plans to change for parking</w:t>
      </w:r>
      <w:r w:rsidR="00317FE1" w:rsidRPr="00B0605C">
        <w:rPr>
          <w:rFonts w:eastAsiaTheme="minorEastAsia"/>
          <w:lang w:val="en-GB" w:eastAsia="ko-KR"/>
        </w:rPr>
        <w:t>.</w:t>
      </w:r>
      <w:r w:rsidRPr="00B0605C">
        <w:rPr>
          <w:rFonts w:eastAsiaTheme="minorEastAsia"/>
          <w:lang w:val="en-GB" w:eastAsia="ko-KR"/>
        </w:rPr>
        <w:t xml:space="preserve"> </w:t>
      </w:r>
      <w:r w:rsidR="0030276C" w:rsidRPr="00B0605C">
        <w:rPr>
          <w:rFonts w:eastAsiaTheme="minorEastAsia"/>
          <w:lang w:val="en-GB" w:eastAsia="ko-KR"/>
        </w:rPr>
        <w:t>Both v</w:t>
      </w:r>
      <w:r w:rsidRPr="00B0605C">
        <w:rPr>
          <w:rFonts w:eastAsiaTheme="minorEastAsia"/>
          <w:lang w:val="en-GB" w:eastAsia="ko-KR"/>
        </w:rPr>
        <w:t xml:space="preserve">alet parking and self-parking remained free at </w:t>
      </w:r>
      <w:r w:rsidR="005877B0" w:rsidRPr="00B0605C">
        <w:rPr>
          <w:rFonts w:eastAsiaTheme="minorEastAsia"/>
          <w:lang w:val="en-GB" w:eastAsia="ko-KR"/>
        </w:rPr>
        <w:t>the Venetian</w:t>
      </w:r>
      <w:r w:rsidR="0035216F">
        <w:rPr>
          <w:rFonts w:eastAsiaTheme="minorEastAsia"/>
          <w:lang w:val="en-GB" w:eastAsia="ko-KR"/>
        </w:rPr>
        <w:t xml:space="preserve"> Resort Hotel</w:t>
      </w:r>
      <w:r w:rsidR="005877B0" w:rsidRPr="00B0605C">
        <w:rPr>
          <w:rFonts w:eastAsiaTheme="minorEastAsia"/>
          <w:lang w:val="en-GB" w:eastAsia="ko-KR"/>
        </w:rPr>
        <w:t xml:space="preserve"> and the Palazzo</w:t>
      </w:r>
      <w:r w:rsidRPr="00B0605C">
        <w:rPr>
          <w:rFonts w:eastAsiaTheme="minorEastAsia"/>
          <w:lang w:val="en-GB" w:eastAsia="ko-KR"/>
        </w:rPr>
        <w:t xml:space="preserve">. </w:t>
      </w:r>
    </w:p>
    <w:p w14:paraId="6ACCC05C" w14:textId="77777777" w:rsidR="005F5BE7" w:rsidRPr="00B0605C" w:rsidRDefault="005F5BE7" w:rsidP="00CB24E9">
      <w:pPr>
        <w:pStyle w:val="BodyTextMain"/>
        <w:rPr>
          <w:rFonts w:eastAsiaTheme="minorEastAsia"/>
          <w:lang w:val="en-GB" w:eastAsia="ko-KR"/>
        </w:rPr>
      </w:pPr>
    </w:p>
    <w:p w14:paraId="192BD10D" w14:textId="0E92249B" w:rsidR="00036EC7" w:rsidRPr="00B0605C" w:rsidRDefault="00D05259" w:rsidP="00CB24E9">
      <w:pPr>
        <w:pStyle w:val="BodyTextMain"/>
        <w:rPr>
          <w:rFonts w:eastAsiaTheme="minorEastAsia"/>
          <w:lang w:val="en-GB" w:eastAsia="ko-KR"/>
        </w:rPr>
      </w:pPr>
      <w:r w:rsidRPr="00B0605C">
        <w:rPr>
          <w:lang w:val="en-GB"/>
        </w:rPr>
        <w:t>Markantonis</w:t>
      </w:r>
      <w:r w:rsidR="001817CD" w:rsidRPr="00B0605C">
        <w:rPr>
          <w:rFonts w:eastAsiaTheme="minorEastAsia"/>
          <w:lang w:val="en-GB" w:eastAsia="ko-KR"/>
        </w:rPr>
        <w:t xml:space="preserve"> was contemplating several</w:t>
      </w:r>
      <w:r w:rsidR="008221DD" w:rsidRPr="00B0605C">
        <w:rPr>
          <w:rFonts w:eastAsiaTheme="minorEastAsia"/>
          <w:lang w:val="en-GB" w:eastAsia="ko-KR"/>
        </w:rPr>
        <w:t xml:space="preserve"> implications of hidden fees such as the resort </w:t>
      </w:r>
      <w:r w:rsidR="0074619C">
        <w:rPr>
          <w:rFonts w:eastAsiaTheme="minorEastAsia"/>
          <w:lang w:val="en-GB" w:eastAsia="ko-KR"/>
        </w:rPr>
        <w:t xml:space="preserve">fees </w:t>
      </w:r>
      <w:r w:rsidR="008221DD" w:rsidRPr="00B0605C">
        <w:rPr>
          <w:rFonts w:eastAsiaTheme="minorEastAsia"/>
          <w:lang w:val="en-GB" w:eastAsia="ko-KR"/>
        </w:rPr>
        <w:t xml:space="preserve">and parking fees. A consequence of parking fees was the rise of </w:t>
      </w:r>
      <w:r w:rsidR="0030276C" w:rsidRPr="00B0605C">
        <w:rPr>
          <w:rFonts w:eastAsiaTheme="minorEastAsia"/>
          <w:lang w:val="en-GB" w:eastAsia="ko-KR"/>
        </w:rPr>
        <w:t>pricing-</w:t>
      </w:r>
      <w:r w:rsidR="008221DD" w:rsidRPr="00B0605C">
        <w:rPr>
          <w:rFonts w:eastAsiaTheme="minorEastAsia"/>
          <w:lang w:val="en-GB" w:eastAsia="ko-KR"/>
        </w:rPr>
        <w:t xml:space="preserve">game situations. A report by the Obama Administration’s National Economic Council </w:t>
      </w:r>
      <w:r w:rsidR="0074619C">
        <w:rPr>
          <w:rFonts w:eastAsiaTheme="minorEastAsia"/>
          <w:lang w:val="en-GB" w:eastAsia="ko-KR"/>
        </w:rPr>
        <w:t xml:space="preserve">had </w:t>
      </w:r>
      <w:r w:rsidR="008221DD" w:rsidRPr="00B0605C">
        <w:rPr>
          <w:rFonts w:eastAsiaTheme="minorEastAsia"/>
          <w:lang w:val="en-GB" w:eastAsia="ko-KR"/>
        </w:rPr>
        <w:t xml:space="preserve">detailed the implications of hidden fees. The report </w:t>
      </w:r>
      <w:r w:rsidR="00854ED1" w:rsidRPr="00B0605C">
        <w:rPr>
          <w:rFonts w:eastAsiaTheme="minorEastAsia"/>
          <w:lang w:val="en-GB" w:eastAsia="ko-KR"/>
        </w:rPr>
        <w:t>pointed to</w:t>
      </w:r>
      <w:r w:rsidR="008221DD" w:rsidRPr="00B0605C">
        <w:rPr>
          <w:rFonts w:eastAsiaTheme="minorEastAsia"/>
          <w:lang w:val="en-GB" w:eastAsia="ko-KR"/>
        </w:rPr>
        <w:t xml:space="preserve"> a burdensome and negative consequence of hidden fees as “follow-the-leader pricing</w:t>
      </w:r>
      <w:r w:rsidR="00CF7AB9" w:rsidRPr="00B0605C">
        <w:rPr>
          <w:rFonts w:eastAsiaTheme="minorEastAsia"/>
          <w:lang w:val="en-GB" w:eastAsia="ko-KR"/>
        </w:rPr>
        <w:t>.</w:t>
      </w:r>
      <w:r w:rsidR="008221DD" w:rsidRPr="00B0605C">
        <w:rPr>
          <w:rFonts w:eastAsiaTheme="minorEastAsia"/>
          <w:lang w:val="en-GB" w:eastAsia="ko-KR"/>
        </w:rPr>
        <w:t>”</w:t>
      </w:r>
      <w:r w:rsidR="008221DD" w:rsidRPr="00B0605C">
        <w:rPr>
          <w:rStyle w:val="EndnoteReference"/>
          <w:rFonts w:eastAsiaTheme="minorEastAsia"/>
          <w:lang w:val="en-GB" w:eastAsia="ko-KR"/>
        </w:rPr>
        <w:endnoteReference w:id="42"/>
      </w:r>
      <w:r w:rsidR="008221DD" w:rsidRPr="00B0605C">
        <w:rPr>
          <w:rFonts w:eastAsiaTheme="minorEastAsia"/>
          <w:lang w:val="en-GB" w:eastAsia="ko-KR"/>
        </w:rPr>
        <w:t xml:space="preserve"> </w:t>
      </w:r>
      <w:r w:rsidR="001300E5" w:rsidRPr="00B0605C">
        <w:rPr>
          <w:rFonts w:eastAsiaTheme="minorEastAsia"/>
          <w:lang w:val="en-GB" w:eastAsia="ko-KR"/>
        </w:rPr>
        <w:t>H</w:t>
      </w:r>
      <w:r w:rsidR="008221DD" w:rsidRPr="00B0605C">
        <w:rPr>
          <w:rFonts w:eastAsiaTheme="minorEastAsia"/>
          <w:lang w:val="en-GB" w:eastAsia="ko-KR"/>
        </w:rPr>
        <w:t xml:space="preserve">otel companies were not allowed to coordinate prices </w:t>
      </w:r>
      <w:r w:rsidR="001300E5" w:rsidRPr="00B0605C">
        <w:rPr>
          <w:rFonts w:eastAsiaTheme="minorEastAsia"/>
          <w:lang w:val="en-GB" w:eastAsia="ko-KR"/>
        </w:rPr>
        <w:t>because</w:t>
      </w:r>
      <w:r w:rsidR="008221DD" w:rsidRPr="00B0605C">
        <w:rPr>
          <w:rFonts w:eastAsiaTheme="minorEastAsia"/>
          <w:lang w:val="en-GB" w:eastAsia="ko-KR"/>
        </w:rPr>
        <w:t xml:space="preserve"> </w:t>
      </w:r>
      <w:r w:rsidR="0074619C">
        <w:rPr>
          <w:rFonts w:eastAsiaTheme="minorEastAsia"/>
          <w:lang w:val="en-GB" w:eastAsia="ko-KR"/>
        </w:rPr>
        <w:t>doing so</w:t>
      </w:r>
      <w:r w:rsidR="008221DD" w:rsidRPr="00B0605C">
        <w:rPr>
          <w:rFonts w:eastAsiaTheme="minorEastAsia"/>
          <w:lang w:val="en-GB" w:eastAsia="ko-KR"/>
        </w:rPr>
        <w:t xml:space="preserve"> was </w:t>
      </w:r>
      <w:r w:rsidR="00854ED1" w:rsidRPr="00B0605C">
        <w:rPr>
          <w:rFonts w:eastAsiaTheme="minorEastAsia"/>
          <w:lang w:val="en-GB" w:eastAsia="ko-KR"/>
        </w:rPr>
        <w:t>in violation of</w:t>
      </w:r>
      <w:r w:rsidR="008221DD" w:rsidRPr="00B0605C">
        <w:rPr>
          <w:rFonts w:eastAsiaTheme="minorEastAsia"/>
          <w:lang w:val="en-GB" w:eastAsia="ko-KR"/>
        </w:rPr>
        <w:t xml:space="preserve"> antitrust law</w:t>
      </w:r>
      <w:r w:rsidR="001300E5" w:rsidRPr="00B0605C">
        <w:rPr>
          <w:rFonts w:eastAsiaTheme="minorEastAsia"/>
          <w:lang w:val="en-GB" w:eastAsia="ko-KR"/>
        </w:rPr>
        <w:t>.</w:t>
      </w:r>
      <w:r w:rsidR="008221DD" w:rsidRPr="00B0605C">
        <w:rPr>
          <w:rFonts w:eastAsiaTheme="minorEastAsia"/>
          <w:lang w:val="en-GB" w:eastAsia="ko-KR"/>
        </w:rPr>
        <w:t xml:space="preserve"> </w:t>
      </w:r>
      <w:r w:rsidR="001300E5" w:rsidRPr="00B0605C">
        <w:rPr>
          <w:rFonts w:eastAsiaTheme="minorEastAsia"/>
          <w:lang w:val="en-GB" w:eastAsia="ko-KR"/>
        </w:rPr>
        <w:t>H</w:t>
      </w:r>
      <w:r w:rsidR="008221DD" w:rsidRPr="00B0605C">
        <w:rPr>
          <w:rFonts w:eastAsiaTheme="minorEastAsia"/>
          <w:lang w:val="en-GB" w:eastAsia="ko-KR"/>
        </w:rPr>
        <w:t>owever, if some hotels set fees for parking and were able to maintain a lower published room cost, the introduction of parking fees</w:t>
      </w:r>
      <w:r w:rsidR="00CF7AB9" w:rsidRPr="00B0605C">
        <w:rPr>
          <w:rFonts w:eastAsiaTheme="minorEastAsia"/>
          <w:lang w:val="en-GB" w:eastAsia="ko-KR"/>
        </w:rPr>
        <w:t>, an additional revenue source,</w:t>
      </w:r>
      <w:r w:rsidR="008221DD" w:rsidRPr="00B0605C">
        <w:rPr>
          <w:rFonts w:eastAsiaTheme="minorEastAsia"/>
          <w:lang w:val="en-GB" w:eastAsia="ko-KR"/>
        </w:rPr>
        <w:t xml:space="preserve"> could become standard across the industry.</w:t>
      </w:r>
    </w:p>
    <w:p w14:paraId="5BD03A47" w14:textId="37C6A0D8" w:rsidR="001817CD" w:rsidRPr="00B0605C" w:rsidRDefault="008221DD" w:rsidP="00CB24E9">
      <w:pPr>
        <w:pStyle w:val="BodyTextMain"/>
        <w:rPr>
          <w:rFonts w:eastAsiaTheme="minorEastAsia"/>
          <w:lang w:val="en-GB" w:eastAsia="ko-KR"/>
        </w:rPr>
      </w:pPr>
      <w:r w:rsidRPr="00B0605C">
        <w:rPr>
          <w:rFonts w:eastAsiaTheme="minorEastAsia"/>
          <w:lang w:val="en-GB" w:eastAsia="ko-KR"/>
        </w:rPr>
        <w:br/>
      </w:r>
      <w:r w:rsidR="001300E5" w:rsidRPr="00B0605C">
        <w:rPr>
          <w:rFonts w:eastAsiaTheme="minorEastAsia"/>
          <w:lang w:val="en-GB" w:eastAsia="ko-KR"/>
        </w:rPr>
        <w:t>Nevertheless</w:t>
      </w:r>
      <w:r w:rsidRPr="00B0605C">
        <w:rPr>
          <w:rFonts w:eastAsiaTheme="minorEastAsia"/>
          <w:lang w:val="en-GB" w:eastAsia="ko-KR"/>
        </w:rPr>
        <w:t>,</w:t>
      </w:r>
      <w:r w:rsidR="0030276C" w:rsidRPr="00B0605C">
        <w:rPr>
          <w:rFonts w:eastAsiaTheme="minorEastAsia"/>
          <w:lang w:val="en-GB" w:eastAsia="ko-KR"/>
        </w:rPr>
        <w:t xml:space="preserve"> </w:t>
      </w:r>
      <w:r w:rsidR="0030276C" w:rsidRPr="00B0605C">
        <w:rPr>
          <w:lang w:val="en-GB"/>
        </w:rPr>
        <w:t>Markantonis</w:t>
      </w:r>
      <w:r w:rsidRPr="00B0605C">
        <w:rPr>
          <w:rFonts w:eastAsiaTheme="minorEastAsia"/>
          <w:lang w:val="en-GB" w:eastAsia="ko-KR"/>
        </w:rPr>
        <w:t xml:space="preserve"> </w:t>
      </w:r>
      <w:r w:rsidR="001817CD" w:rsidRPr="00B0605C">
        <w:rPr>
          <w:rFonts w:eastAsiaTheme="minorEastAsia"/>
          <w:lang w:val="en-GB" w:eastAsia="ko-KR"/>
        </w:rPr>
        <w:t>also saw the benefits of not following other players’ move</w:t>
      </w:r>
      <w:r w:rsidR="00CF7AB9" w:rsidRPr="00B0605C">
        <w:rPr>
          <w:rFonts w:eastAsiaTheme="minorEastAsia"/>
          <w:lang w:val="en-GB" w:eastAsia="ko-KR"/>
        </w:rPr>
        <w:t>s</w:t>
      </w:r>
      <w:r w:rsidR="001817CD" w:rsidRPr="00B0605C">
        <w:rPr>
          <w:rFonts w:eastAsiaTheme="minorEastAsia"/>
          <w:lang w:val="en-GB" w:eastAsia="ko-KR"/>
        </w:rPr>
        <w:t xml:space="preserve">, </w:t>
      </w:r>
      <w:r w:rsidR="001300E5" w:rsidRPr="00B0605C">
        <w:rPr>
          <w:rFonts w:eastAsiaTheme="minorEastAsia"/>
          <w:lang w:val="en-GB" w:eastAsia="ko-KR"/>
        </w:rPr>
        <w:t>which might have</w:t>
      </w:r>
      <w:r w:rsidR="001817CD" w:rsidRPr="00B0605C">
        <w:rPr>
          <w:rFonts w:eastAsiaTheme="minorEastAsia"/>
          <w:lang w:val="en-GB" w:eastAsia="ko-KR"/>
        </w:rPr>
        <w:t xml:space="preserve"> result</w:t>
      </w:r>
      <w:r w:rsidR="001300E5" w:rsidRPr="00B0605C">
        <w:rPr>
          <w:rFonts w:eastAsiaTheme="minorEastAsia"/>
          <w:lang w:val="en-GB" w:eastAsia="ko-KR"/>
        </w:rPr>
        <w:t>ed</w:t>
      </w:r>
      <w:r w:rsidR="001817CD" w:rsidRPr="00B0605C">
        <w:rPr>
          <w:rFonts w:eastAsiaTheme="minorEastAsia"/>
          <w:lang w:val="en-GB" w:eastAsia="ko-KR"/>
        </w:rPr>
        <w:t xml:space="preserve"> in </w:t>
      </w:r>
      <w:r w:rsidR="0035216F">
        <w:rPr>
          <w:rFonts w:eastAsiaTheme="minorEastAsia"/>
          <w:lang w:val="en-GB" w:eastAsia="ko-KR"/>
        </w:rPr>
        <w:t xml:space="preserve">the </w:t>
      </w:r>
      <w:r w:rsidR="001817CD" w:rsidRPr="00B0605C">
        <w:rPr>
          <w:rFonts w:eastAsiaTheme="minorEastAsia"/>
          <w:lang w:val="en-GB" w:eastAsia="ko-KR"/>
        </w:rPr>
        <w:t>increased attractiveness</w:t>
      </w:r>
      <w:r w:rsidR="001300E5" w:rsidRPr="00B0605C">
        <w:rPr>
          <w:rFonts w:eastAsiaTheme="minorEastAsia"/>
          <w:lang w:val="en-GB" w:eastAsia="ko-KR"/>
        </w:rPr>
        <w:t xml:space="preserve"> of his </w:t>
      </w:r>
      <w:r w:rsidR="0030276C" w:rsidRPr="00B0605C">
        <w:rPr>
          <w:rFonts w:eastAsiaTheme="minorEastAsia"/>
          <w:lang w:val="en-GB" w:eastAsia="ko-KR"/>
        </w:rPr>
        <w:t>hotels and casinos</w:t>
      </w:r>
      <w:r w:rsidR="001817CD" w:rsidRPr="00B0605C">
        <w:rPr>
          <w:rFonts w:eastAsiaTheme="minorEastAsia"/>
          <w:lang w:val="en-GB" w:eastAsia="ko-KR"/>
        </w:rPr>
        <w:t xml:space="preserve">. </w:t>
      </w:r>
    </w:p>
    <w:p w14:paraId="11DD442F" w14:textId="77777777" w:rsidR="00865D71" w:rsidRPr="00B0605C" w:rsidRDefault="00865D71" w:rsidP="009C2BEB">
      <w:pPr>
        <w:pStyle w:val="BodyTextMain"/>
        <w:rPr>
          <w:rFonts w:eastAsiaTheme="minorEastAsia"/>
          <w:highlight w:val="yellow"/>
          <w:lang w:val="en-GB" w:eastAsia="ko-KR"/>
        </w:rPr>
      </w:pPr>
    </w:p>
    <w:p w14:paraId="46A6DD32" w14:textId="77777777" w:rsidR="003F19AC" w:rsidRDefault="003F19AC" w:rsidP="000F637A">
      <w:pPr>
        <w:rPr>
          <w:rFonts w:ascii="Arial" w:eastAsiaTheme="minorEastAsia" w:hAnsi="Arial" w:cs="Arial"/>
          <w:b/>
          <w:lang w:val="en-GB" w:eastAsia="ko-KR"/>
        </w:rPr>
      </w:pPr>
    </w:p>
    <w:p w14:paraId="1E6D6A53" w14:textId="4D5C3177" w:rsidR="000F637A" w:rsidRPr="00B0605C" w:rsidRDefault="000F637A" w:rsidP="000F637A">
      <w:pPr>
        <w:rPr>
          <w:rFonts w:ascii="Arial" w:eastAsiaTheme="minorEastAsia" w:hAnsi="Arial" w:cs="Arial"/>
          <w:b/>
          <w:lang w:val="en-GB" w:eastAsia="ko-KR"/>
        </w:rPr>
      </w:pPr>
      <w:r w:rsidRPr="00B0605C">
        <w:rPr>
          <w:rFonts w:ascii="Arial" w:eastAsiaTheme="minorEastAsia" w:hAnsi="Arial" w:cs="Arial"/>
          <w:b/>
          <w:lang w:val="en-GB" w:eastAsia="ko-KR"/>
        </w:rPr>
        <w:lastRenderedPageBreak/>
        <w:t>Customer Reactions</w:t>
      </w:r>
      <w:r w:rsidR="00B0605C" w:rsidRPr="00B0605C">
        <w:rPr>
          <w:rFonts w:ascii="Arial" w:eastAsiaTheme="minorEastAsia" w:hAnsi="Arial" w:cs="Arial"/>
          <w:b/>
          <w:lang w:val="en-GB" w:eastAsia="ko-KR"/>
        </w:rPr>
        <w:t xml:space="preserve"> </w:t>
      </w:r>
    </w:p>
    <w:p w14:paraId="6694B24A" w14:textId="77777777" w:rsidR="000F637A" w:rsidRPr="00B0605C" w:rsidRDefault="000F637A" w:rsidP="00CB24E9">
      <w:pPr>
        <w:pStyle w:val="BodyTextMain"/>
        <w:rPr>
          <w:rFonts w:eastAsiaTheme="minorEastAsia"/>
          <w:lang w:val="en-GB" w:eastAsia="ko-KR"/>
        </w:rPr>
      </w:pPr>
    </w:p>
    <w:p w14:paraId="192E8B3E" w14:textId="1E5E393F" w:rsidR="001817CD" w:rsidRPr="00B0605C" w:rsidRDefault="000F637A" w:rsidP="00CB24E9">
      <w:pPr>
        <w:pStyle w:val="BodyTextMain"/>
        <w:rPr>
          <w:rFonts w:eastAsiaTheme="minorEastAsia"/>
          <w:lang w:val="en-GB" w:eastAsia="ko-KR"/>
        </w:rPr>
      </w:pPr>
      <w:r w:rsidRPr="00B0605C">
        <w:rPr>
          <w:lang w:val="en-GB"/>
        </w:rPr>
        <w:t xml:space="preserve">The </w:t>
      </w:r>
      <w:r w:rsidR="001817CD" w:rsidRPr="00B0605C">
        <w:rPr>
          <w:lang w:val="en-GB"/>
        </w:rPr>
        <w:t xml:space="preserve">paid parking policy </w:t>
      </w:r>
      <w:r w:rsidRPr="00B0605C">
        <w:rPr>
          <w:lang w:val="en-GB"/>
        </w:rPr>
        <w:t>on the Strip faced significant backlash.</w:t>
      </w:r>
      <w:r w:rsidR="00B0605C" w:rsidRPr="00B0605C">
        <w:rPr>
          <w:lang w:val="en-GB"/>
        </w:rPr>
        <w:t xml:space="preserve"> </w:t>
      </w:r>
      <w:r w:rsidRPr="00B0605C">
        <w:rPr>
          <w:lang w:val="en-GB"/>
        </w:rPr>
        <w:t xml:space="preserve">While parking charges </w:t>
      </w:r>
      <w:r w:rsidR="00AE3657">
        <w:rPr>
          <w:lang w:val="en-GB"/>
        </w:rPr>
        <w:t xml:space="preserve">were common </w:t>
      </w:r>
      <w:r w:rsidRPr="00B0605C">
        <w:rPr>
          <w:lang w:val="en-GB"/>
        </w:rPr>
        <w:t>at hotels across the</w:t>
      </w:r>
      <w:r w:rsidR="005376E9" w:rsidRPr="00B0605C">
        <w:rPr>
          <w:lang w:val="en-GB"/>
        </w:rPr>
        <w:t xml:space="preserve"> U</w:t>
      </w:r>
      <w:r w:rsidR="00AE3657">
        <w:rPr>
          <w:lang w:val="en-GB"/>
        </w:rPr>
        <w:t xml:space="preserve">nited </w:t>
      </w:r>
      <w:r w:rsidR="005376E9" w:rsidRPr="00B0605C">
        <w:rPr>
          <w:lang w:val="en-GB"/>
        </w:rPr>
        <w:t>S</w:t>
      </w:r>
      <w:r w:rsidR="00AE3657">
        <w:rPr>
          <w:lang w:val="en-GB"/>
        </w:rPr>
        <w:t>tates, especially</w:t>
      </w:r>
      <w:r w:rsidR="005376E9" w:rsidRPr="00B0605C">
        <w:rPr>
          <w:lang w:val="en-GB"/>
        </w:rPr>
        <w:t xml:space="preserve"> in major metropolitan</w:t>
      </w:r>
      <w:r w:rsidR="00AE3657">
        <w:rPr>
          <w:lang w:val="en-GB"/>
        </w:rPr>
        <w:t xml:space="preserve"> areas</w:t>
      </w:r>
      <w:r w:rsidRPr="00B0605C">
        <w:rPr>
          <w:lang w:val="en-GB"/>
        </w:rPr>
        <w:t>, in Las Vegas the move was met with intense criticism.</w:t>
      </w:r>
      <w:r w:rsidR="00B0605C" w:rsidRPr="00B0605C">
        <w:rPr>
          <w:lang w:val="en-GB"/>
        </w:rPr>
        <w:t xml:space="preserve"> </w:t>
      </w:r>
      <w:r w:rsidR="001817CD" w:rsidRPr="00B0605C">
        <w:rPr>
          <w:rFonts w:eastAsiaTheme="minorEastAsia"/>
          <w:lang w:val="en-GB" w:eastAsia="ko-KR"/>
        </w:rPr>
        <w:t xml:space="preserve">Steve Sebelius, a columnist for the </w:t>
      </w:r>
      <w:r w:rsidR="001817CD" w:rsidRPr="00B0605C">
        <w:rPr>
          <w:rFonts w:eastAsiaTheme="minorEastAsia"/>
          <w:i/>
          <w:lang w:val="en-GB" w:eastAsia="ko-KR"/>
        </w:rPr>
        <w:t>Las Vegas Review-Journal</w:t>
      </w:r>
      <w:r w:rsidR="001300E5" w:rsidRPr="00B0605C">
        <w:rPr>
          <w:rFonts w:eastAsiaTheme="minorEastAsia"/>
          <w:lang w:val="en-GB" w:eastAsia="ko-KR"/>
        </w:rPr>
        <w:t>,</w:t>
      </w:r>
      <w:r w:rsidR="001817CD" w:rsidRPr="00B0605C">
        <w:rPr>
          <w:rFonts w:eastAsiaTheme="minorEastAsia"/>
          <w:lang w:val="en-GB" w:eastAsia="ko-KR"/>
        </w:rPr>
        <w:t xml:space="preserve"> stated</w:t>
      </w:r>
      <w:r w:rsidR="0035216F">
        <w:rPr>
          <w:rFonts w:eastAsiaTheme="minorEastAsia"/>
          <w:lang w:val="en-GB" w:eastAsia="ko-KR"/>
        </w:rPr>
        <w:t>,</w:t>
      </w:r>
      <w:r w:rsidR="001817CD" w:rsidRPr="00B0605C">
        <w:rPr>
          <w:rFonts w:eastAsiaTheme="minorEastAsia"/>
          <w:lang w:val="en-GB" w:eastAsia="ko-KR"/>
        </w:rPr>
        <w:t xml:space="preserve"> “</w:t>
      </w:r>
      <w:r w:rsidR="0035216F">
        <w:rPr>
          <w:rFonts w:eastAsiaTheme="minorEastAsia"/>
          <w:lang w:val="en-GB" w:eastAsia="ko-KR"/>
        </w:rPr>
        <w:t>E</w:t>
      </w:r>
      <w:r w:rsidR="001817CD" w:rsidRPr="00B0605C">
        <w:rPr>
          <w:rFonts w:eastAsiaTheme="minorEastAsia"/>
          <w:lang w:val="en-GB" w:eastAsia="ko-KR"/>
        </w:rPr>
        <w:t>ven the mob didn’t dream of charging people for parking on the Strip</w:t>
      </w:r>
      <w:r w:rsidR="00CF7AB9" w:rsidRPr="00B0605C">
        <w:rPr>
          <w:rFonts w:eastAsiaTheme="minorEastAsia"/>
          <w:lang w:val="en-GB" w:eastAsia="ko-KR"/>
        </w:rPr>
        <w:t>.</w:t>
      </w:r>
      <w:r w:rsidR="001817CD" w:rsidRPr="00B0605C">
        <w:rPr>
          <w:rFonts w:eastAsiaTheme="minorEastAsia"/>
          <w:lang w:val="en-GB" w:eastAsia="ko-KR"/>
        </w:rPr>
        <w:t>”</w:t>
      </w:r>
      <w:r w:rsidR="001817CD" w:rsidRPr="00B0605C">
        <w:rPr>
          <w:rStyle w:val="EndnoteReference"/>
          <w:rFonts w:eastAsiaTheme="minorEastAsia"/>
          <w:lang w:val="en-GB" w:eastAsia="ko-KR"/>
        </w:rPr>
        <w:endnoteReference w:id="43"/>
      </w:r>
      <w:r w:rsidR="001817CD" w:rsidRPr="00B0605C">
        <w:rPr>
          <w:rFonts w:eastAsiaTheme="minorEastAsia"/>
          <w:lang w:val="en-GB" w:eastAsia="ko-KR"/>
        </w:rPr>
        <w:t xml:space="preserve"> However, </w:t>
      </w:r>
      <w:r w:rsidRPr="00B0605C">
        <w:rPr>
          <w:rFonts w:eastAsiaTheme="minorEastAsia"/>
          <w:lang w:val="en-GB" w:eastAsia="ko-KR"/>
        </w:rPr>
        <w:t xml:space="preserve">MGM </w:t>
      </w:r>
      <w:r w:rsidR="00AE3657">
        <w:rPr>
          <w:rFonts w:eastAsiaTheme="minorEastAsia"/>
          <w:lang w:val="en-GB" w:eastAsia="ko-KR"/>
        </w:rPr>
        <w:t>s</w:t>
      </w:r>
      <w:r w:rsidRPr="00B0605C">
        <w:rPr>
          <w:rFonts w:eastAsiaTheme="minorEastAsia"/>
          <w:lang w:val="en-GB" w:eastAsia="ko-KR"/>
        </w:rPr>
        <w:t>pokes</w:t>
      </w:r>
      <w:r w:rsidR="00AE3657">
        <w:rPr>
          <w:rFonts w:eastAsiaTheme="minorEastAsia"/>
          <w:lang w:val="en-GB" w:eastAsia="ko-KR"/>
        </w:rPr>
        <w:t>person</w:t>
      </w:r>
      <w:r w:rsidRPr="00B0605C">
        <w:rPr>
          <w:rFonts w:eastAsiaTheme="minorEastAsia"/>
          <w:lang w:val="en-GB" w:eastAsia="ko-KR"/>
        </w:rPr>
        <w:t xml:space="preserve"> Gordon Absher said although they were prepared for backlash, “the level of backlash exceeded our expectations</w:t>
      </w:r>
      <w:r w:rsidR="00CF7AB9" w:rsidRPr="00B0605C">
        <w:rPr>
          <w:rFonts w:eastAsiaTheme="minorEastAsia"/>
          <w:lang w:val="en-GB" w:eastAsia="ko-KR"/>
        </w:rPr>
        <w:t>.</w:t>
      </w:r>
      <w:r w:rsidRPr="00B0605C">
        <w:rPr>
          <w:rFonts w:eastAsiaTheme="minorEastAsia"/>
          <w:lang w:val="en-GB" w:eastAsia="ko-KR"/>
        </w:rPr>
        <w:t>”</w:t>
      </w:r>
      <w:r w:rsidRPr="00B0605C">
        <w:rPr>
          <w:rStyle w:val="EndnoteReference"/>
          <w:rFonts w:eastAsiaTheme="minorEastAsia"/>
          <w:lang w:val="en-GB" w:eastAsia="ko-KR"/>
        </w:rPr>
        <w:endnoteReference w:id="44"/>
      </w:r>
      <w:r w:rsidRPr="00B0605C">
        <w:rPr>
          <w:rFonts w:eastAsiaTheme="minorEastAsia"/>
          <w:lang w:val="en-GB" w:eastAsia="ko-KR"/>
        </w:rPr>
        <w:t xml:space="preserve"> </w:t>
      </w:r>
    </w:p>
    <w:p w14:paraId="60276A9B" w14:textId="77777777" w:rsidR="001817CD" w:rsidRPr="00B0605C" w:rsidRDefault="001817CD" w:rsidP="00CB24E9">
      <w:pPr>
        <w:pStyle w:val="BodyTextMain"/>
        <w:rPr>
          <w:rFonts w:eastAsiaTheme="minorEastAsia"/>
          <w:lang w:val="en-GB" w:eastAsia="ko-KR"/>
        </w:rPr>
      </w:pPr>
    </w:p>
    <w:p w14:paraId="7188AD4D" w14:textId="2706D7E0" w:rsidR="000F637A" w:rsidRPr="00B0605C" w:rsidRDefault="000F637A" w:rsidP="00CB24E9">
      <w:pPr>
        <w:pStyle w:val="BodyTextMain"/>
        <w:rPr>
          <w:lang w:val="en-GB"/>
        </w:rPr>
      </w:pPr>
      <w:r w:rsidRPr="00B0605C">
        <w:rPr>
          <w:rFonts w:eastAsiaTheme="minorEastAsia"/>
          <w:lang w:val="en-GB" w:eastAsia="ko-KR"/>
        </w:rPr>
        <w:t>The introduction of pa</w:t>
      </w:r>
      <w:r w:rsidR="0035216F">
        <w:rPr>
          <w:rFonts w:eastAsiaTheme="minorEastAsia"/>
          <w:lang w:val="en-GB" w:eastAsia="ko-KR"/>
        </w:rPr>
        <w:t>id</w:t>
      </w:r>
      <w:r w:rsidRPr="00B0605C">
        <w:rPr>
          <w:rFonts w:eastAsiaTheme="minorEastAsia"/>
          <w:lang w:val="en-GB" w:eastAsia="ko-KR"/>
        </w:rPr>
        <w:t xml:space="preserve"> parking at numerous hotels on the Strip drew immense criticism from visitors and residents alike. Visitors and residents saw the added parking charge as a money grab</w:t>
      </w:r>
      <w:r w:rsidR="00CF7AB9" w:rsidRPr="00B0605C">
        <w:rPr>
          <w:rFonts w:eastAsiaTheme="minorEastAsia"/>
          <w:lang w:val="en-GB" w:eastAsia="ko-KR"/>
        </w:rPr>
        <w:t>.</w:t>
      </w:r>
      <w:r w:rsidRPr="00B0605C">
        <w:rPr>
          <w:rFonts w:eastAsiaTheme="minorEastAsia"/>
          <w:lang w:val="en-GB" w:eastAsia="ko-KR"/>
        </w:rPr>
        <w:t xml:space="preserve"> </w:t>
      </w:r>
      <w:r w:rsidR="00CF7AB9" w:rsidRPr="00B0605C">
        <w:rPr>
          <w:rFonts w:eastAsiaTheme="minorEastAsia"/>
          <w:lang w:val="en-GB" w:eastAsia="ko-KR"/>
        </w:rPr>
        <w:t>F</w:t>
      </w:r>
      <w:r w:rsidRPr="00B0605C">
        <w:rPr>
          <w:rFonts w:eastAsiaTheme="minorEastAsia"/>
          <w:lang w:val="en-GB" w:eastAsia="ko-KR"/>
        </w:rPr>
        <w:t xml:space="preserve">or </w:t>
      </w:r>
      <w:r w:rsidR="0030276C" w:rsidRPr="00B0605C">
        <w:rPr>
          <w:rFonts w:eastAsiaTheme="minorEastAsia"/>
          <w:lang w:val="en-GB" w:eastAsia="ko-KR"/>
        </w:rPr>
        <w:t>visitors,</w:t>
      </w:r>
      <w:r w:rsidRPr="00B0605C">
        <w:rPr>
          <w:rFonts w:eastAsiaTheme="minorEastAsia"/>
          <w:lang w:val="en-GB" w:eastAsia="ko-KR"/>
        </w:rPr>
        <w:t xml:space="preserve"> </w:t>
      </w:r>
      <w:r w:rsidR="001300E5" w:rsidRPr="00B0605C">
        <w:rPr>
          <w:rFonts w:eastAsiaTheme="minorEastAsia"/>
          <w:lang w:val="en-GB" w:eastAsia="ko-KR"/>
        </w:rPr>
        <w:t>it</w:t>
      </w:r>
      <w:r w:rsidRPr="00B0605C">
        <w:rPr>
          <w:rFonts w:eastAsiaTheme="minorEastAsia"/>
          <w:lang w:val="en-GB" w:eastAsia="ko-KR"/>
        </w:rPr>
        <w:t xml:space="preserve"> represented a</w:t>
      </w:r>
      <w:r w:rsidR="0035216F">
        <w:rPr>
          <w:rFonts w:eastAsiaTheme="minorEastAsia"/>
          <w:lang w:val="en-GB" w:eastAsia="ko-KR"/>
        </w:rPr>
        <w:t xml:space="preserve"> significant</w:t>
      </w:r>
      <w:r w:rsidRPr="00B0605C">
        <w:rPr>
          <w:rFonts w:eastAsiaTheme="minorEastAsia"/>
          <w:lang w:val="en-GB" w:eastAsia="ko-KR"/>
        </w:rPr>
        <w:t xml:space="preserve"> additional charge on a per</w:t>
      </w:r>
      <w:r w:rsidR="00CF7AB9" w:rsidRPr="00B0605C">
        <w:rPr>
          <w:rFonts w:eastAsiaTheme="minorEastAsia"/>
          <w:lang w:val="en-GB" w:eastAsia="ko-KR"/>
        </w:rPr>
        <w:t>-</w:t>
      </w:r>
      <w:r w:rsidRPr="00B0605C">
        <w:rPr>
          <w:rFonts w:eastAsiaTheme="minorEastAsia"/>
          <w:lang w:val="en-GB" w:eastAsia="ko-KR"/>
        </w:rPr>
        <w:t>night stay</w:t>
      </w:r>
      <w:r w:rsidR="00CF7AB9" w:rsidRPr="00B0605C">
        <w:rPr>
          <w:rFonts w:eastAsiaTheme="minorEastAsia"/>
          <w:lang w:val="en-GB" w:eastAsia="ko-KR"/>
        </w:rPr>
        <w:t>,</w:t>
      </w:r>
      <w:r w:rsidR="006A4E50" w:rsidRPr="00B0605C">
        <w:rPr>
          <w:rFonts w:eastAsiaTheme="minorEastAsia"/>
          <w:lang w:val="en-GB" w:eastAsia="ko-KR"/>
        </w:rPr>
        <w:t xml:space="preserve"> </w:t>
      </w:r>
      <w:r w:rsidRPr="00B0605C">
        <w:rPr>
          <w:rFonts w:eastAsiaTheme="minorEastAsia"/>
          <w:lang w:val="en-GB" w:eastAsia="ko-KR"/>
        </w:rPr>
        <w:t xml:space="preserve">one that was already </w:t>
      </w:r>
      <w:r w:rsidR="0030276C" w:rsidRPr="00B0605C">
        <w:rPr>
          <w:rFonts w:eastAsiaTheme="minorEastAsia"/>
          <w:lang w:val="en-GB" w:eastAsia="ko-KR"/>
        </w:rPr>
        <w:t xml:space="preserve">inflated </w:t>
      </w:r>
      <w:r w:rsidRPr="00B0605C">
        <w:rPr>
          <w:rFonts w:eastAsiaTheme="minorEastAsia"/>
          <w:lang w:val="en-GB" w:eastAsia="ko-KR"/>
        </w:rPr>
        <w:t xml:space="preserve">by a resort free, while residents saw the parking fees as a removal of a long-standing tradition </w:t>
      </w:r>
      <w:r w:rsidR="001300E5" w:rsidRPr="00B0605C">
        <w:rPr>
          <w:rFonts w:eastAsiaTheme="minorEastAsia"/>
          <w:lang w:val="en-GB" w:eastAsia="ko-KR"/>
        </w:rPr>
        <w:t>to which</w:t>
      </w:r>
      <w:r w:rsidRPr="00B0605C">
        <w:rPr>
          <w:rFonts w:eastAsiaTheme="minorEastAsia"/>
          <w:lang w:val="en-GB" w:eastAsia="ko-KR"/>
        </w:rPr>
        <w:t xml:space="preserve"> locals had a “right</w:t>
      </w:r>
      <w:r w:rsidR="006A4E50" w:rsidRPr="00B0605C">
        <w:rPr>
          <w:rFonts w:eastAsiaTheme="minorEastAsia"/>
          <w:lang w:val="en-GB" w:eastAsia="ko-KR"/>
        </w:rPr>
        <w:t>.</w:t>
      </w:r>
      <w:r w:rsidRPr="00B0605C">
        <w:rPr>
          <w:rFonts w:eastAsiaTheme="minorEastAsia"/>
          <w:lang w:val="en-GB" w:eastAsia="ko-KR"/>
        </w:rPr>
        <w:t xml:space="preserve">” </w:t>
      </w:r>
    </w:p>
    <w:p w14:paraId="236D5CCF" w14:textId="77777777" w:rsidR="000F637A" w:rsidRPr="00B0605C" w:rsidRDefault="000F637A" w:rsidP="00CB24E9">
      <w:pPr>
        <w:pStyle w:val="BodyTextMain"/>
        <w:rPr>
          <w:rFonts w:eastAsiaTheme="minorEastAsia"/>
          <w:highlight w:val="yellow"/>
          <w:lang w:val="en-GB" w:eastAsia="ko-KR"/>
        </w:rPr>
      </w:pPr>
    </w:p>
    <w:p w14:paraId="358E322A" w14:textId="443E1580" w:rsidR="000F637A" w:rsidRPr="00B0605C" w:rsidRDefault="000F637A" w:rsidP="00CB24E9">
      <w:pPr>
        <w:pStyle w:val="BodyTextMain"/>
        <w:rPr>
          <w:rFonts w:eastAsiaTheme="minorEastAsia"/>
          <w:lang w:val="en-GB" w:eastAsia="ko-KR"/>
        </w:rPr>
      </w:pPr>
      <w:r w:rsidRPr="00B0605C">
        <w:rPr>
          <w:rFonts w:eastAsiaTheme="minorEastAsia"/>
          <w:lang w:val="en-GB" w:eastAsia="ko-KR"/>
        </w:rPr>
        <w:t>For example, for visitors, a hotel stay</w:t>
      </w:r>
      <w:r w:rsidR="00E74988" w:rsidRPr="00B0605C">
        <w:rPr>
          <w:rFonts w:eastAsiaTheme="minorEastAsia"/>
          <w:lang w:val="en-GB" w:eastAsia="ko-KR"/>
        </w:rPr>
        <w:t xml:space="preserve"> at the MGM Grand</w:t>
      </w:r>
      <w:r w:rsidRPr="00B0605C">
        <w:rPr>
          <w:rFonts w:eastAsiaTheme="minorEastAsia"/>
          <w:lang w:val="en-GB" w:eastAsia="ko-KR"/>
        </w:rPr>
        <w:t xml:space="preserve"> would cost </w:t>
      </w:r>
      <w:r w:rsidR="008E2D2A">
        <w:rPr>
          <w:rFonts w:eastAsiaTheme="minorEastAsia"/>
          <w:lang w:val="en-GB" w:eastAsia="ko-KR"/>
        </w:rPr>
        <w:t xml:space="preserve">an additional </w:t>
      </w:r>
      <w:r w:rsidRPr="00B0605C">
        <w:rPr>
          <w:rFonts w:eastAsiaTheme="minorEastAsia"/>
          <w:lang w:val="en-GB" w:eastAsia="ko-KR"/>
        </w:rPr>
        <w:t>$</w:t>
      </w:r>
      <w:r w:rsidR="005F5BE7">
        <w:rPr>
          <w:rFonts w:eastAsiaTheme="minorEastAsia"/>
          <w:lang w:val="en-GB" w:eastAsia="ko-KR"/>
        </w:rPr>
        <w:t>47 (for self-parking) or $55 (for valet)</w:t>
      </w:r>
      <w:r w:rsidR="0030276C" w:rsidRPr="00B0605C">
        <w:rPr>
          <w:rFonts w:eastAsiaTheme="minorEastAsia"/>
          <w:lang w:val="en-GB" w:eastAsia="ko-KR"/>
        </w:rPr>
        <w:t xml:space="preserve"> </w:t>
      </w:r>
      <w:r w:rsidR="008E2D2A">
        <w:rPr>
          <w:rFonts w:eastAsiaTheme="minorEastAsia"/>
          <w:lang w:val="en-GB" w:eastAsia="ko-KR"/>
        </w:rPr>
        <w:t xml:space="preserve">per night </w:t>
      </w:r>
      <w:r w:rsidR="0030276C" w:rsidRPr="00B0605C">
        <w:rPr>
          <w:rFonts w:eastAsiaTheme="minorEastAsia"/>
          <w:lang w:val="en-GB" w:eastAsia="ko-KR"/>
        </w:rPr>
        <w:t xml:space="preserve">(see Exhibit </w:t>
      </w:r>
      <w:r w:rsidR="008E2D2A">
        <w:rPr>
          <w:rFonts w:eastAsiaTheme="minorEastAsia"/>
          <w:lang w:val="en-GB" w:eastAsia="ko-KR"/>
        </w:rPr>
        <w:t>7</w:t>
      </w:r>
      <w:r w:rsidR="0030276C" w:rsidRPr="00B0605C">
        <w:rPr>
          <w:rFonts w:eastAsiaTheme="minorEastAsia"/>
          <w:lang w:val="en-GB" w:eastAsia="ko-KR"/>
        </w:rPr>
        <w:t>)</w:t>
      </w:r>
      <w:r w:rsidRPr="00B0605C">
        <w:rPr>
          <w:rFonts w:eastAsiaTheme="minorEastAsia"/>
          <w:lang w:val="en-GB" w:eastAsia="ko-KR"/>
        </w:rPr>
        <w:t xml:space="preserve"> </w:t>
      </w:r>
      <w:r w:rsidR="001300E5" w:rsidRPr="00B0605C">
        <w:rPr>
          <w:rFonts w:eastAsiaTheme="minorEastAsia"/>
          <w:lang w:val="en-GB" w:eastAsia="ko-KR"/>
        </w:rPr>
        <w:t>on top of</w:t>
      </w:r>
      <w:r w:rsidR="001817CD" w:rsidRPr="00B0605C">
        <w:rPr>
          <w:rFonts w:eastAsiaTheme="minorEastAsia"/>
          <w:lang w:val="en-GB" w:eastAsia="ko-KR"/>
        </w:rPr>
        <w:t xml:space="preserve"> the advertised price</w:t>
      </w:r>
      <w:r w:rsidR="008E2D2A">
        <w:rPr>
          <w:rFonts w:eastAsiaTheme="minorEastAsia"/>
          <w:lang w:val="en-GB" w:eastAsia="ko-KR"/>
        </w:rPr>
        <w:t>,</w:t>
      </w:r>
      <w:r w:rsidR="001817CD" w:rsidRPr="00B0605C">
        <w:rPr>
          <w:rFonts w:eastAsiaTheme="minorEastAsia"/>
          <w:lang w:val="en-GB" w:eastAsia="ko-KR"/>
        </w:rPr>
        <w:t xml:space="preserve"> </w:t>
      </w:r>
      <w:r w:rsidRPr="00B0605C">
        <w:rPr>
          <w:rFonts w:eastAsiaTheme="minorEastAsia"/>
          <w:lang w:val="en-GB" w:eastAsia="ko-KR"/>
        </w:rPr>
        <w:t>due to introduction of parking fees</w:t>
      </w:r>
      <w:r w:rsidR="001817CD" w:rsidRPr="00B0605C">
        <w:rPr>
          <w:rFonts w:eastAsiaTheme="minorEastAsia"/>
          <w:lang w:val="en-GB" w:eastAsia="ko-KR"/>
        </w:rPr>
        <w:t xml:space="preserve"> and </w:t>
      </w:r>
      <w:r w:rsidR="008E2D2A">
        <w:rPr>
          <w:rFonts w:eastAsiaTheme="minorEastAsia"/>
          <w:lang w:val="en-GB" w:eastAsia="ko-KR"/>
        </w:rPr>
        <w:t xml:space="preserve">the </w:t>
      </w:r>
      <w:r w:rsidR="001817CD" w:rsidRPr="00B0605C">
        <w:rPr>
          <w:rFonts w:eastAsiaTheme="minorEastAsia"/>
          <w:lang w:val="en-GB" w:eastAsia="ko-KR"/>
        </w:rPr>
        <w:t>existing resort fee</w:t>
      </w:r>
      <w:r w:rsidR="0030276C" w:rsidRPr="00B0605C">
        <w:rPr>
          <w:rFonts w:eastAsiaTheme="minorEastAsia"/>
          <w:lang w:val="en-GB" w:eastAsia="ko-KR"/>
        </w:rPr>
        <w:t>, which was $35 per night</w:t>
      </w:r>
      <w:r w:rsidRPr="00B0605C">
        <w:rPr>
          <w:rFonts w:eastAsiaTheme="minorEastAsia"/>
          <w:lang w:val="en-GB" w:eastAsia="ko-KR"/>
        </w:rPr>
        <w:t xml:space="preserve">. A destination once known for its considerably </w:t>
      </w:r>
      <w:r w:rsidR="0030276C" w:rsidRPr="00B0605C">
        <w:rPr>
          <w:rFonts w:eastAsiaTheme="minorEastAsia"/>
          <w:lang w:val="en-GB" w:eastAsia="ko-KR"/>
        </w:rPr>
        <w:t>affordable</w:t>
      </w:r>
      <w:r w:rsidRPr="00B0605C">
        <w:rPr>
          <w:rFonts w:eastAsiaTheme="minorEastAsia"/>
          <w:lang w:val="en-GB" w:eastAsia="ko-KR"/>
        </w:rPr>
        <w:t xml:space="preserve"> accommodations was changing</w:t>
      </w:r>
      <w:r w:rsidR="00E74988" w:rsidRPr="00B0605C">
        <w:rPr>
          <w:rFonts w:eastAsiaTheme="minorEastAsia"/>
          <w:lang w:val="en-GB" w:eastAsia="ko-KR"/>
        </w:rPr>
        <w:t>,</w:t>
      </w:r>
      <w:r w:rsidRPr="00B0605C">
        <w:rPr>
          <w:rFonts w:eastAsiaTheme="minorEastAsia"/>
          <w:lang w:val="en-GB" w:eastAsia="ko-KR"/>
        </w:rPr>
        <w:t xml:space="preserve"> with resort and parking fees often exceeding the published nightly cost of the rooms.</w:t>
      </w:r>
    </w:p>
    <w:p w14:paraId="76C438F6" w14:textId="02BEA224" w:rsidR="006847BF" w:rsidRPr="00B0605C" w:rsidRDefault="006847BF" w:rsidP="000F637A">
      <w:pPr>
        <w:pStyle w:val="BodyTextMain"/>
        <w:rPr>
          <w:rFonts w:eastAsiaTheme="minorEastAsia"/>
          <w:lang w:val="en-GB" w:eastAsia="ko-KR"/>
        </w:rPr>
      </w:pPr>
    </w:p>
    <w:p w14:paraId="665EE630" w14:textId="77777777" w:rsidR="006847BF" w:rsidRPr="00B0605C" w:rsidRDefault="006847BF" w:rsidP="000F637A">
      <w:pPr>
        <w:pStyle w:val="BodyTextMain"/>
        <w:rPr>
          <w:rFonts w:eastAsiaTheme="minorEastAsia"/>
          <w:lang w:val="en-GB" w:eastAsia="ko-KR"/>
        </w:rPr>
      </w:pPr>
    </w:p>
    <w:p w14:paraId="604113EC" w14:textId="7583E4F7" w:rsidR="006847BF" w:rsidRPr="00B0605C" w:rsidRDefault="006847BF" w:rsidP="006847BF">
      <w:pPr>
        <w:pStyle w:val="BodyTextMain"/>
        <w:rPr>
          <w:rFonts w:ascii="Arial" w:eastAsiaTheme="minorEastAsia" w:hAnsi="Arial" w:cs="Arial"/>
          <w:b/>
          <w:sz w:val="20"/>
          <w:szCs w:val="20"/>
          <w:lang w:val="en-GB" w:eastAsia="ko-KR"/>
        </w:rPr>
      </w:pPr>
      <w:r w:rsidRPr="00B0605C">
        <w:rPr>
          <w:rFonts w:ascii="Arial" w:eastAsiaTheme="minorEastAsia" w:hAnsi="Arial" w:cs="Arial"/>
          <w:b/>
          <w:sz w:val="20"/>
          <w:szCs w:val="20"/>
          <w:lang w:val="en-GB" w:eastAsia="ko-KR"/>
        </w:rPr>
        <w:t>WHAT NEXT</w:t>
      </w:r>
    </w:p>
    <w:p w14:paraId="16DA7F7B" w14:textId="77777777" w:rsidR="000F637A" w:rsidRPr="00B0605C" w:rsidRDefault="000F637A" w:rsidP="00CB24E9">
      <w:pPr>
        <w:pStyle w:val="BodyTextMain"/>
        <w:rPr>
          <w:rFonts w:eastAsiaTheme="minorEastAsia"/>
          <w:lang w:val="en-GB" w:eastAsia="ko-KR"/>
        </w:rPr>
      </w:pPr>
    </w:p>
    <w:p w14:paraId="5759495B" w14:textId="5FF3CA4B" w:rsidR="000F637A" w:rsidRPr="00B0605C" w:rsidRDefault="006847BF" w:rsidP="00CB24E9">
      <w:pPr>
        <w:pStyle w:val="BodyTextMain"/>
        <w:rPr>
          <w:rFonts w:eastAsiaTheme="minorEastAsia"/>
          <w:lang w:val="en-GB" w:eastAsia="ko-KR"/>
        </w:rPr>
      </w:pPr>
      <w:r w:rsidRPr="00B0605C">
        <w:rPr>
          <w:rFonts w:eastAsiaTheme="minorEastAsia"/>
          <w:lang w:val="en-GB" w:eastAsia="ko-KR"/>
        </w:rPr>
        <w:t>T</w:t>
      </w:r>
      <w:r w:rsidR="000F637A" w:rsidRPr="00B0605C">
        <w:rPr>
          <w:rFonts w:eastAsiaTheme="minorEastAsia"/>
          <w:lang w:val="en-GB" w:eastAsia="ko-KR"/>
        </w:rPr>
        <w:t>he Las Vegas Strip was changing</w:t>
      </w:r>
      <w:r w:rsidR="00E74988" w:rsidRPr="00B0605C">
        <w:rPr>
          <w:rFonts w:eastAsiaTheme="minorEastAsia"/>
          <w:lang w:val="en-GB" w:eastAsia="ko-KR"/>
        </w:rPr>
        <w:t>.</w:t>
      </w:r>
      <w:r w:rsidR="000F637A" w:rsidRPr="00B0605C">
        <w:rPr>
          <w:rFonts w:eastAsiaTheme="minorEastAsia"/>
          <w:lang w:val="en-GB" w:eastAsia="ko-KR"/>
        </w:rPr>
        <w:t xml:space="preserve"> </w:t>
      </w:r>
      <w:r w:rsidR="00E74988" w:rsidRPr="00B0605C">
        <w:rPr>
          <w:rFonts w:eastAsiaTheme="minorEastAsia"/>
          <w:lang w:val="en-GB" w:eastAsia="ko-KR"/>
        </w:rPr>
        <w:t>T</w:t>
      </w:r>
      <w:r w:rsidR="000F637A" w:rsidRPr="00B0605C">
        <w:rPr>
          <w:rFonts w:eastAsiaTheme="minorEastAsia"/>
          <w:lang w:val="en-GB" w:eastAsia="ko-KR"/>
        </w:rPr>
        <w:t>he gambling</w:t>
      </w:r>
      <w:r w:rsidR="00E74988" w:rsidRPr="00B0605C">
        <w:rPr>
          <w:rFonts w:eastAsiaTheme="minorEastAsia"/>
          <w:lang w:val="en-GB" w:eastAsia="ko-KR"/>
        </w:rPr>
        <w:t>-</w:t>
      </w:r>
      <w:r w:rsidR="000F637A" w:rsidRPr="00B0605C">
        <w:rPr>
          <w:rFonts w:eastAsiaTheme="minorEastAsia"/>
          <w:lang w:val="en-GB" w:eastAsia="ko-KR"/>
        </w:rPr>
        <w:t xml:space="preserve">centric business model that </w:t>
      </w:r>
      <w:r w:rsidR="008E2D2A">
        <w:rPr>
          <w:rFonts w:eastAsiaTheme="minorEastAsia"/>
          <w:lang w:val="en-GB" w:eastAsia="ko-KR"/>
        </w:rPr>
        <w:t>had been</w:t>
      </w:r>
      <w:r w:rsidR="008E2D2A" w:rsidRPr="00B0605C">
        <w:rPr>
          <w:rFonts w:eastAsiaTheme="minorEastAsia"/>
          <w:lang w:val="en-GB" w:eastAsia="ko-KR"/>
        </w:rPr>
        <w:t xml:space="preserve"> </w:t>
      </w:r>
      <w:r w:rsidR="000F637A" w:rsidRPr="00B0605C">
        <w:rPr>
          <w:rFonts w:eastAsiaTheme="minorEastAsia"/>
          <w:lang w:val="en-GB" w:eastAsia="ko-KR"/>
        </w:rPr>
        <w:t>in place for decades was shifting</w:t>
      </w:r>
      <w:r w:rsidR="00E74988" w:rsidRPr="00B0605C">
        <w:rPr>
          <w:rFonts w:eastAsiaTheme="minorEastAsia"/>
          <w:lang w:val="en-GB" w:eastAsia="ko-KR"/>
        </w:rPr>
        <w:t>,</w:t>
      </w:r>
      <w:r w:rsidR="000F637A" w:rsidRPr="00B0605C">
        <w:rPr>
          <w:rFonts w:eastAsiaTheme="minorEastAsia"/>
          <w:lang w:val="en-GB" w:eastAsia="ko-KR"/>
        </w:rPr>
        <w:t xml:space="preserve"> </w:t>
      </w:r>
      <w:r w:rsidR="00E74988" w:rsidRPr="00B0605C">
        <w:rPr>
          <w:rFonts w:eastAsiaTheme="minorEastAsia"/>
          <w:lang w:val="en-GB" w:eastAsia="ko-KR"/>
        </w:rPr>
        <w:t>and</w:t>
      </w:r>
      <w:r w:rsidR="000F637A" w:rsidRPr="00B0605C">
        <w:rPr>
          <w:rFonts w:eastAsiaTheme="minorEastAsia"/>
          <w:lang w:val="en-GB" w:eastAsia="ko-KR"/>
        </w:rPr>
        <w:t xml:space="preserve"> the Strip began to “market itself as a destination for fine dining, shows with high-profile stars, A-level DJs at dance clubs and upgraded rooms</w:t>
      </w:r>
      <w:r w:rsidR="00E74988" w:rsidRPr="00B0605C">
        <w:rPr>
          <w:rFonts w:eastAsiaTheme="minorEastAsia"/>
          <w:lang w:val="en-GB" w:eastAsia="ko-KR"/>
        </w:rPr>
        <w:t>.</w:t>
      </w:r>
      <w:r w:rsidR="000F637A" w:rsidRPr="00B0605C">
        <w:rPr>
          <w:rFonts w:eastAsiaTheme="minorEastAsia"/>
          <w:lang w:val="en-GB" w:eastAsia="ko-KR"/>
        </w:rPr>
        <w:t>”</w:t>
      </w:r>
      <w:r w:rsidR="000F637A" w:rsidRPr="00B0605C">
        <w:rPr>
          <w:rStyle w:val="EndnoteReference"/>
          <w:rFonts w:eastAsiaTheme="minorEastAsia"/>
          <w:lang w:val="en-GB" w:eastAsia="ko-KR"/>
        </w:rPr>
        <w:endnoteReference w:id="45"/>
      </w:r>
      <w:r w:rsidR="00B0605C" w:rsidRPr="00B0605C">
        <w:rPr>
          <w:rFonts w:eastAsiaTheme="minorEastAsia"/>
          <w:lang w:val="en-GB" w:eastAsia="ko-KR"/>
        </w:rPr>
        <w:t xml:space="preserve"> </w:t>
      </w:r>
      <w:r w:rsidR="000F637A" w:rsidRPr="00B0605C">
        <w:rPr>
          <w:rFonts w:eastAsiaTheme="minorEastAsia"/>
          <w:lang w:val="en-GB" w:eastAsia="ko-KR"/>
        </w:rPr>
        <w:t>The reinvention of the Las Vegas Strip was resulting in a change in tradition</w:t>
      </w:r>
      <w:r w:rsidR="00E74988" w:rsidRPr="00B0605C">
        <w:rPr>
          <w:rFonts w:eastAsiaTheme="minorEastAsia"/>
          <w:lang w:val="en-GB" w:eastAsia="ko-KR"/>
        </w:rPr>
        <w:t>,</w:t>
      </w:r>
      <w:r w:rsidR="000F637A" w:rsidRPr="00B0605C">
        <w:rPr>
          <w:rFonts w:eastAsiaTheme="minorEastAsia"/>
          <w:lang w:val="en-GB" w:eastAsia="ko-KR"/>
        </w:rPr>
        <w:t xml:space="preserve"> </w:t>
      </w:r>
      <w:r w:rsidR="008E2D2A">
        <w:rPr>
          <w:rFonts w:eastAsiaTheme="minorEastAsia"/>
          <w:lang w:val="en-GB" w:eastAsia="ko-KR"/>
        </w:rPr>
        <w:t>including</w:t>
      </w:r>
      <w:r w:rsidR="008E2D2A" w:rsidRPr="00B0605C">
        <w:rPr>
          <w:rFonts w:eastAsiaTheme="minorEastAsia"/>
          <w:lang w:val="en-GB" w:eastAsia="ko-KR"/>
        </w:rPr>
        <w:t xml:space="preserve"> </w:t>
      </w:r>
      <w:r w:rsidR="000F637A" w:rsidRPr="00B0605C">
        <w:rPr>
          <w:rFonts w:eastAsiaTheme="minorEastAsia"/>
          <w:lang w:val="en-GB" w:eastAsia="ko-KR"/>
        </w:rPr>
        <w:t xml:space="preserve">the tradition of free parking. </w:t>
      </w:r>
    </w:p>
    <w:p w14:paraId="6E7028C1" w14:textId="77777777" w:rsidR="000F637A" w:rsidRPr="00B0605C" w:rsidRDefault="000F637A" w:rsidP="00CB24E9">
      <w:pPr>
        <w:pStyle w:val="BodyTextMain"/>
        <w:rPr>
          <w:rFonts w:eastAsiaTheme="minorEastAsia"/>
          <w:lang w:val="en-GB" w:eastAsia="ko-KR"/>
        </w:rPr>
      </w:pPr>
    </w:p>
    <w:p w14:paraId="260A00AB" w14:textId="6DBE1B98" w:rsidR="00B326FC" w:rsidRPr="00B0605C" w:rsidRDefault="000F637A" w:rsidP="00CB24E9">
      <w:pPr>
        <w:pStyle w:val="BodyTextMain"/>
        <w:rPr>
          <w:lang w:val="en-GB"/>
        </w:rPr>
      </w:pPr>
      <w:r w:rsidRPr="00B0605C">
        <w:rPr>
          <w:rFonts w:eastAsiaTheme="minorEastAsia"/>
          <w:lang w:val="en-GB" w:eastAsia="ko-KR"/>
        </w:rPr>
        <w:t>The decline of fre</w:t>
      </w:r>
      <w:r w:rsidR="00AA7815" w:rsidRPr="00B0605C">
        <w:rPr>
          <w:rFonts w:eastAsiaTheme="minorEastAsia"/>
          <w:lang w:val="en-GB" w:eastAsia="ko-KR"/>
        </w:rPr>
        <w:t>e parking in Las Vegas continued</w:t>
      </w:r>
      <w:r w:rsidR="009F2776" w:rsidRPr="00B0605C">
        <w:rPr>
          <w:rFonts w:eastAsiaTheme="minorEastAsia"/>
          <w:lang w:val="en-GB" w:eastAsia="ko-KR"/>
        </w:rPr>
        <w:t>,</w:t>
      </w:r>
      <w:r w:rsidR="001817CD" w:rsidRPr="00B0605C">
        <w:rPr>
          <w:rFonts w:eastAsiaTheme="minorEastAsia"/>
          <w:lang w:val="en-GB" w:eastAsia="ko-KR"/>
        </w:rPr>
        <w:t xml:space="preserve"> and </w:t>
      </w:r>
      <w:r w:rsidR="0022703A" w:rsidRPr="00B0605C">
        <w:rPr>
          <w:rFonts w:eastAsiaTheme="minorEastAsia"/>
          <w:lang w:val="en-GB" w:eastAsia="ko-KR"/>
        </w:rPr>
        <w:t xml:space="preserve">it </w:t>
      </w:r>
      <w:r w:rsidRPr="00B0605C">
        <w:rPr>
          <w:rFonts w:eastAsiaTheme="minorEastAsia"/>
          <w:lang w:val="en-GB" w:eastAsia="ko-KR"/>
        </w:rPr>
        <w:t xml:space="preserve">was becoming </w:t>
      </w:r>
      <w:r w:rsidR="009F2776" w:rsidRPr="00B0605C">
        <w:rPr>
          <w:rFonts w:eastAsiaTheme="minorEastAsia"/>
          <w:lang w:val="en-GB" w:eastAsia="ko-KR"/>
        </w:rPr>
        <w:t xml:space="preserve">more and more of </w:t>
      </w:r>
      <w:r w:rsidRPr="00B0605C">
        <w:rPr>
          <w:rFonts w:eastAsiaTheme="minorEastAsia"/>
          <w:lang w:val="en-GB" w:eastAsia="ko-KR"/>
        </w:rPr>
        <w:t>a novelty. MGM Resorts</w:t>
      </w:r>
      <w:r w:rsidR="001817CD" w:rsidRPr="00B0605C">
        <w:rPr>
          <w:rFonts w:eastAsiaTheme="minorEastAsia"/>
          <w:lang w:val="en-GB" w:eastAsia="ko-KR"/>
        </w:rPr>
        <w:t xml:space="preserve">, </w:t>
      </w:r>
      <w:r w:rsidRPr="00B0605C">
        <w:rPr>
          <w:rFonts w:eastAsiaTheme="minorEastAsia"/>
          <w:lang w:val="en-GB" w:eastAsia="ko-KR"/>
        </w:rPr>
        <w:t>Caesars</w:t>
      </w:r>
      <w:r w:rsidR="00E04AA9">
        <w:rPr>
          <w:rFonts w:eastAsiaTheme="minorEastAsia"/>
          <w:lang w:val="en-GB" w:eastAsia="ko-KR"/>
        </w:rPr>
        <w:t xml:space="preserve"> Entertainment</w:t>
      </w:r>
      <w:r w:rsidRPr="00B0605C">
        <w:rPr>
          <w:rFonts w:eastAsiaTheme="minorEastAsia"/>
          <w:lang w:val="en-GB" w:eastAsia="ko-KR"/>
        </w:rPr>
        <w:t xml:space="preserve">, </w:t>
      </w:r>
      <w:r w:rsidR="001817CD" w:rsidRPr="00B0605C">
        <w:rPr>
          <w:rFonts w:eastAsiaTheme="minorEastAsia"/>
          <w:lang w:val="en-GB" w:eastAsia="ko-KR"/>
        </w:rPr>
        <w:t>and Wynn</w:t>
      </w:r>
      <w:r w:rsidR="00E04AA9">
        <w:rPr>
          <w:rFonts w:eastAsiaTheme="minorEastAsia"/>
          <w:lang w:val="en-GB" w:eastAsia="ko-KR"/>
        </w:rPr>
        <w:t xml:space="preserve"> Resorts</w:t>
      </w:r>
      <w:r w:rsidR="001817CD" w:rsidRPr="00B0605C">
        <w:rPr>
          <w:rFonts w:eastAsiaTheme="minorEastAsia"/>
          <w:lang w:val="en-GB" w:eastAsia="ko-KR"/>
        </w:rPr>
        <w:t xml:space="preserve"> </w:t>
      </w:r>
      <w:r w:rsidRPr="00B0605C">
        <w:rPr>
          <w:rFonts w:eastAsiaTheme="minorEastAsia"/>
          <w:lang w:val="en-GB" w:eastAsia="ko-KR"/>
        </w:rPr>
        <w:t>had parking fees for both self</w:t>
      </w:r>
      <w:r w:rsidR="00E74988" w:rsidRPr="00B0605C">
        <w:rPr>
          <w:rFonts w:eastAsiaTheme="minorEastAsia"/>
          <w:lang w:val="en-GB" w:eastAsia="ko-KR"/>
        </w:rPr>
        <w:t>-</w:t>
      </w:r>
      <w:r w:rsidR="008E2D2A">
        <w:rPr>
          <w:rFonts w:eastAsiaTheme="minorEastAsia"/>
          <w:lang w:val="en-GB" w:eastAsia="ko-KR"/>
        </w:rPr>
        <w:t>parking</w:t>
      </w:r>
      <w:r w:rsidRPr="00B0605C">
        <w:rPr>
          <w:rFonts w:eastAsiaTheme="minorEastAsia"/>
          <w:lang w:val="en-GB" w:eastAsia="ko-KR"/>
        </w:rPr>
        <w:t xml:space="preserve"> and valet parking. </w:t>
      </w:r>
      <w:r w:rsidR="00B326FC" w:rsidRPr="00B0605C">
        <w:rPr>
          <w:rFonts w:eastAsiaTheme="minorEastAsia"/>
          <w:lang w:val="en-GB" w:eastAsia="ko-KR"/>
        </w:rPr>
        <w:t xml:space="preserve">Except </w:t>
      </w:r>
      <w:r w:rsidR="009F2776" w:rsidRPr="00B0605C">
        <w:rPr>
          <w:rFonts w:eastAsiaTheme="minorEastAsia"/>
          <w:lang w:val="en-GB" w:eastAsia="ko-KR"/>
        </w:rPr>
        <w:t xml:space="preserve">for a few </w:t>
      </w:r>
      <w:r w:rsidR="00B326FC" w:rsidRPr="00B0605C">
        <w:rPr>
          <w:rFonts w:eastAsiaTheme="minorEastAsia"/>
          <w:lang w:val="en-GB" w:eastAsia="ko-KR"/>
        </w:rPr>
        <w:t xml:space="preserve">other hotels (e.g., Treasure Island), </w:t>
      </w:r>
      <w:r w:rsidRPr="00B0605C">
        <w:rPr>
          <w:rFonts w:eastAsiaTheme="minorEastAsia"/>
          <w:lang w:val="en-GB" w:eastAsia="ko-KR"/>
        </w:rPr>
        <w:t xml:space="preserve">Las Vegas Sands, </w:t>
      </w:r>
      <w:r w:rsidR="008E2D2A">
        <w:rPr>
          <w:rFonts w:eastAsiaTheme="minorEastAsia"/>
          <w:lang w:val="en-GB" w:eastAsia="ko-KR"/>
        </w:rPr>
        <w:t xml:space="preserve">which also </w:t>
      </w:r>
      <w:r w:rsidR="008E2D2A" w:rsidRPr="00B0605C">
        <w:rPr>
          <w:rFonts w:eastAsiaTheme="minorEastAsia"/>
          <w:lang w:val="en-GB" w:eastAsia="ko-KR"/>
        </w:rPr>
        <w:t>own</w:t>
      </w:r>
      <w:r w:rsidR="008E2D2A">
        <w:rPr>
          <w:rFonts w:eastAsiaTheme="minorEastAsia"/>
          <w:lang w:val="en-GB" w:eastAsia="ko-KR"/>
        </w:rPr>
        <w:t>ed</w:t>
      </w:r>
      <w:r w:rsidR="008E2D2A" w:rsidRPr="00B0605C">
        <w:rPr>
          <w:rFonts w:eastAsiaTheme="minorEastAsia"/>
          <w:lang w:val="en-GB" w:eastAsia="ko-KR"/>
        </w:rPr>
        <w:t xml:space="preserve"> </w:t>
      </w:r>
      <w:r w:rsidRPr="00B0605C">
        <w:rPr>
          <w:rFonts w:eastAsiaTheme="minorEastAsia"/>
          <w:lang w:val="en-GB" w:eastAsia="ko-KR"/>
        </w:rPr>
        <w:t xml:space="preserve">the Venetian and </w:t>
      </w:r>
      <w:r w:rsidR="008E2D2A">
        <w:rPr>
          <w:rFonts w:eastAsiaTheme="minorEastAsia"/>
          <w:lang w:val="en-GB" w:eastAsia="ko-KR"/>
        </w:rPr>
        <w:t xml:space="preserve">the </w:t>
      </w:r>
      <w:r w:rsidRPr="00B0605C">
        <w:rPr>
          <w:rFonts w:eastAsiaTheme="minorEastAsia"/>
          <w:lang w:val="en-GB" w:eastAsia="ko-KR"/>
        </w:rPr>
        <w:t>Palazzo</w:t>
      </w:r>
      <w:r w:rsidR="00B326FC" w:rsidRPr="00B0605C">
        <w:rPr>
          <w:rFonts w:eastAsiaTheme="minorEastAsia"/>
          <w:lang w:val="en-GB" w:eastAsia="ko-KR"/>
        </w:rPr>
        <w:t xml:space="preserve">, </w:t>
      </w:r>
      <w:r w:rsidR="0022703A" w:rsidRPr="00B0605C">
        <w:rPr>
          <w:rFonts w:eastAsiaTheme="minorEastAsia"/>
          <w:lang w:val="en-GB" w:eastAsia="ko-KR"/>
        </w:rPr>
        <w:t>was</w:t>
      </w:r>
      <w:r w:rsidR="00B326FC" w:rsidRPr="00B0605C">
        <w:rPr>
          <w:rFonts w:eastAsiaTheme="minorEastAsia"/>
          <w:lang w:val="en-GB" w:eastAsia="ko-KR"/>
        </w:rPr>
        <w:t xml:space="preserve"> the only major player </w:t>
      </w:r>
      <w:r w:rsidR="0022703A" w:rsidRPr="00B0605C">
        <w:rPr>
          <w:rFonts w:eastAsiaTheme="minorEastAsia"/>
          <w:lang w:val="en-GB" w:eastAsia="ko-KR"/>
        </w:rPr>
        <w:t>to offer</w:t>
      </w:r>
      <w:r w:rsidR="00B326FC" w:rsidRPr="00B0605C">
        <w:rPr>
          <w:rFonts w:eastAsiaTheme="minorEastAsia"/>
          <w:lang w:val="en-GB" w:eastAsia="ko-KR"/>
        </w:rPr>
        <w:t xml:space="preserve"> free valet </w:t>
      </w:r>
      <w:r w:rsidR="008E2D2A">
        <w:rPr>
          <w:rFonts w:eastAsiaTheme="minorEastAsia"/>
          <w:lang w:val="en-GB" w:eastAsia="ko-KR"/>
        </w:rPr>
        <w:t xml:space="preserve">parking </w:t>
      </w:r>
      <w:r w:rsidR="00B326FC" w:rsidRPr="00B0605C">
        <w:rPr>
          <w:rFonts w:eastAsiaTheme="minorEastAsia"/>
          <w:lang w:val="en-GB" w:eastAsia="ko-KR"/>
        </w:rPr>
        <w:t>and self-parking.</w:t>
      </w:r>
      <w:r w:rsidR="00B326FC" w:rsidRPr="00B0605C">
        <w:rPr>
          <w:lang w:val="en-GB"/>
        </w:rPr>
        <w:t xml:space="preserve"> </w:t>
      </w:r>
    </w:p>
    <w:p w14:paraId="04079F67" w14:textId="77777777" w:rsidR="00B326FC" w:rsidRPr="00B0605C" w:rsidRDefault="00B326FC" w:rsidP="00CB24E9">
      <w:pPr>
        <w:pStyle w:val="BodyTextMain"/>
        <w:rPr>
          <w:lang w:val="en-GB"/>
        </w:rPr>
      </w:pPr>
    </w:p>
    <w:p w14:paraId="4A35D137" w14:textId="4B10FD81" w:rsidR="00865D71" w:rsidRPr="00B0605C" w:rsidRDefault="00D05259" w:rsidP="00CB24E9">
      <w:pPr>
        <w:pStyle w:val="BodyTextMain"/>
        <w:rPr>
          <w:rFonts w:eastAsiaTheme="minorEastAsia"/>
          <w:lang w:val="en-GB" w:eastAsia="ko-KR"/>
        </w:rPr>
      </w:pPr>
      <w:r w:rsidRPr="00B0605C">
        <w:rPr>
          <w:lang w:val="en-GB"/>
        </w:rPr>
        <w:t>Markantonis</w:t>
      </w:r>
      <w:r w:rsidR="00B326FC" w:rsidRPr="00B0605C">
        <w:rPr>
          <w:lang w:val="en-GB"/>
        </w:rPr>
        <w:t xml:space="preserve"> </w:t>
      </w:r>
      <w:r w:rsidR="000F637A" w:rsidRPr="00B0605C">
        <w:rPr>
          <w:rFonts w:eastAsiaTheme="minorEastAsia"/>
          <w:lang w:val="en-GB" w:eastAsia="ko-KR"/>
        </w:rPr>
        <w:t>was faced with a decision</w:t>
      </w:r>
      <w:r w:rsidR="009F2776" w:rsidRPr="00B0605C">
        <w:rPr>
          <w:rFonts w:eastAsiaTheme="minorEastAsia"/>
          <w:lang w:val="en-GB" w:eastAsia="ko-KR"/>
        </w:rPr>
        <w:t>:</w:t>
      </w:r>
      <w:r w:rsidR="000F637A" w:rsidRPr="00B0605C">
        <w:rPr>
          <w:rFonts w:eastAsiaTheme="minorEastAsia"/>
          <w:lang w:val="en-GB" w:eastAsia="ko-KR"/>
        </w:rPr>
        <w:t xml:space="preserve"> would he </w:t>
      </w:r>
      <w:r w:rsidR="0022703A" w:rsidRPr="00B0605C">
        <w:rPr>
          <w:rFonts w:eastAsiaTheme="minorEastAsia"/>
          <w:lang w:val="en-GB" w:eastAsia="ko-KR"/>
        </w:rPr>
        <w:t xml:space="preserve">remain an outlier among his competitors by </w:t>
      </w:r>
      <w:r w:rsidR="000F637A" w:rsidRPr="00B0605C">
        <w:rPr>
          <w:rFonts w:eastAsiaTheme="minorEastAsia"/>
          <w:lang w:val="en-GB" w:eastAsia="ko-KR"/>
        </w:rPr>
        <w:t>continu</w:t>
      </w:r>
      <w:r w:rsidR="0022703A" w:rsidRPr="00B0605C">
        <w:rPr>
          <w:rFonts w:eastAsiaTheme="minorEastAsia"/>
          <w:lang w:val="en-GB" w:eastAsia="ko-KR"/>
        </w:rPr>
        <w:t>ing</w:t>
      </w:r>
      <w:r w:rsidR="000F637A" w:rsidRPr="00B0605C">
        <w:rPr>
          <w:rFonts w:eastAsiaTheme="minorEastAsia"/>
          <w:lang w:val="en-GB" w:eastAsia="ko-KR"/>
        </w:rPr>
        <w:t xml:space="preserve"> the Las Vegas tradition of </w:t>
      </w:r>
      <w:r w:rsidR="0022703A" w:rsidRPr="00B0605C">
        <w:rPr>
          <w:rFonts w:eastAsiaTheme="minorEastAsia"/>
          <w:lang w:val="en-GB" w:eastAsia="ko-KR"/>
        </w:rPr>
        <w:t xml:space="preserve">offering </w:t>
      </w:r>
      <w:r w:rsidR="000F637A" w:rsidRPr="00B0605C">
        <w:rPr>
          <w:rFonts w:eastAsiaTheme="minorEastAsia"/>
          <w:lang w:val="en-GB" w:eastAsia="ko-KR"/>
        </w:rPr>
        <w:t xml:space="preserve">free parking? Or would he follow </w:t>
      </w:r>
      <w:r w:rsidR="0022703A" w:rsidRPr="00B0605C">
        <w:rPr>
          <w:rFonts w:eastAsiaTheme="minorEastAsia"/>
          <w:lang w:val="en-GB" w:eastAsia="ko-KR"/>
        </w:rPr>
        <w:t xml:space="preserve">in the steps of </w:t>
      </w:r>
      <w:r w:rsidR="000F637A" w:rsidRPr="00B0605C">
        <w:rPr>
          <w:rFonts w:eastAsiaTheme="minorEastAsia"/>
          <w:lang w:val="en-GB" w:eastAsia="ko-KR"/>
        </w:rPr>
        <w:t>MGM</w:t>
      </w:r>
      <w:r w:rsidR="00E04AA9">
        <w:rPr>
          <w:rFonts w:eastAsiaTheme="minorEastAsia"/>
          <w:lang w:val="en-GB" w:eastAsia="ko-KR"/>
        </w:rPr>
        <w:t xml:space="preserve"> Resorts</w:t>
      </w:r>
      <w:r w:rsidR="00B326FC" w:rsidRPr="00B0605C">
        <w:rPr>
          <w:rFonts w:eastAsiaTheme="minorEastAsia"/>
          <w:lang w:val="en-GB" w:eastAsia="ko-KR"/>
        </w:rPr>
        <w:t xml:space="preserve">, </w:t>
      </w:r>
      <w:r w:rsidR="000F637A" w:rsidRPr="00B0605C">
        <w:rPr>
          <w:rFonts w:eastAsiaTheme="minorEastAsia"/>
          <w:lang w:val="en-GB" w:eastAsia="ko-KR"/>
        </w:rPr>
        <w:t>Caesars</w:t>
      </w:r>
      <w:r w:rsidR="00E04AA9">
        <w:rPr>
          <w:rFonts w:eastAsiaTheme="minorEastAsia"/>
          <w:lang w:val="en-GB" w:eastAsia="ko-KR"/>
        </w:rPr>
        <w:t xml:space="preserve"> Entertainment</w:t>
      </w:r>
      <w:r w:rsidR="008E2D2A">
        <w:rPr>
          <w:rFonts w:eastAsiaTheme="minorEastAsia"/>
          <w:lang w:val="en-GB" w:eastAsia="ko-KR"/>
        </w:rPr>
        <w:t>,</w:t>
      </w:r>
      <w:r w:rsidR="00B326FC" w:rsidRPr="00B0605C">
        <w:rPr>
          <w:rFonts w:eastAsiaTheme="minorEastAsia"/>
          <w:lang w:val="en-GB" w:eastAsia="ko-KR"/>
        </w:rPr>
        <w:t xml:space="preserve"> and Wynn</w:t>
      </w:r>
      <w:r w:rsidR="00E04AA9">
        <w:rPr>
          <w:rFonts w:eastAsiaTheme="minorEastAsia"/>
          <w:lang w:val="en-GB" w:eastAsia="ko-KR"/>
        </w:rPr>
        <w:t xml:space="preserve"> Resorts</w:t>
      </w:r>
      <w:r w:rsidR="00B326FC" w:rsidRPr="00B0605C">
        <w:rPr>
          <w:rFonts w:eastAsiaTheme="minorEastAsia"/>
          <w:lang w:val="en-GB" w:eastAsia="ko-KR"/>
        </w:rPr>
        <w:t xml:space="preserve">? </w:t>
      </w:r>
      <w:r w:rsidR="000F637A" w:rsidRPr="00B0605C">
        <w:rPr>
          <w:rFonts w:eastAsiaTheme="minorEastAsia"/>
          <w:lang w:val="en-GB" w:eastAsia="ko-KR"/>
        </w:rPr>
        <w:t xml:space="preserve">Would free parking give Las Vegas Sands a competitive </w:t>
      </w:r>
      <w:r w:rsidR="006847BF" w:rsidRPr="00B0605C">
        <w:rPr>
          <w:rFonts w:eastAsiaTheme="minorEastAsia"/>
          <w:lang w:val="en-GB" w:eastAsia="ko-KR"/>
        </w:rPr>
        <w:t xml:space="preserve">marketing </w:t>
      </w:r>
      <w:r w:rsidR="000F637A" w:rsidRPr="00B0605C">
        <w:rPr>
          <w:rFonts w:eastAsiaTheme="minorEastAsia"/>
          <w:lang w:val="en-GB" w:eastAsia="ko-KR"/>
        </w:rPr>
        <w:t>edge</w:t>
      </w:r>
      <w:r w:rsidR="00B326FC" w:rsidRPr="00B0605C">
        <w:rPr>
          <w:rFonts w:eastAsiaTheme="minorEastAsia"/>
          <w:lang w:val="en-GB" w:eastAsia="ko-KR"/>
        </w:rPr>
        <w:t xml:space="preserve">? </w:t>
      </w:r>
      <w:r w:rsidR="008419F6">
        <w:rPr>
          <w:rFonts w:eastAsiaTheme="minorEastAsia"/>
          <w:lang w:val="en-GB" w:eastAsia="ko-KR"/>
        </w:rPr>
        <w:t>Or s</w:t>
      </w:r>
      <w:r w:rsidR="000F637A" w:rsidRPr="00B0605C">
        <w:rPr>
          <w:rFonts w:eastAsiaTheme="minorEastAsia"/>
          <w:lang w:val="en-GB" w:eastAsia="ko-KR"/>
        </w:rPr>
        <w:t xml:space="preserve">hould </w:t>
      </w:r>
      <w:r w:rsidR="00B326FC" w:rsidRPr="00B0605C">
        <w:rPr>
          <w:rFonts w:eastAsiaTheme="minorEastAsia"/>
          <w:lang w:val="en-GB" w:eastAsia="ko-KR"/>
        </w:rPr>
        <w:t xml:space="preserve">the company </w:t>
      </w:r>
      <w:r w:rsidR="000F637A" w:rsidRPr="00B0605C">
        <w:rPr>
          <w:rFonts w:eastAsiaTheme="minorEastAsia"/>
          <w:lang w:val="en-GB" w:eastAsia="ko-KR"/>
        </w:rPr>
        <w:t>re-evaluate its parking plan?</w:t>
      </w:r>
    </w:p>
    <w:p w14:paraId="1D447F0B" w14:textId="3DC0058B" w:rsidR="006847BF" w:rsidRPr="00B0605C" w:rsidRDefault="00865D71" w:rsidP="00865D71">
      <w:pPr>
        <w:spacing w:after="200" w:line="276" w:lineRule="auto"/>
        <w:rPr>
          <w:rFonts w:eastAsiaTheme="minorEastAsia"/>
          <w:sz w:val="22"/>
          <w:szCs w:val="22"/>
          <w:lang w:val="en-GB" w:eastAsia="ko-KR"/>
        </w:rPr>
      </w:pPr>
      <w:r w:rsidRPr="00B0605C">
        <w:rPr>
          <w:rFonts w:eastAsiaTheme="minorEastAsia"/>
          <w:sz w:val="22"/>
          <w:szCs w:val="22"/>
          <w:lang w:val="en-GB" w:eastAsia="ko-KR"/>
        </w:rPr>
        <w:br w:type="page"/>
      </w:r>
    </w:p>
    <w:p w14:paraId="58302595" w14:textId="1D635FFF" w:rsidR="001860B1" w:rsidRPr="00B0605C" w:rsidRDefault="001860B1" w:rsidP="001860B1">
      <w:pPr>
        <w:pStyle w:val="ExhibitHeading"/>
        <w:rPr>
          <w:rFonts w:eastAsiaTheme="minorEastAsia"/>
          <w:lang w:val="en-GB" w:eastAsia="ko-KR"/>
        </w:rPr>
      </w:pPr>
      <w:r w:rsidRPr="00B0605C">
        <w:rPr>
          <w:rFonts w:eastAsiaTheme="minorEastAsia"/>
          <w:lang w:val="en-GB" w:eastAsia="ko-KR"/>
        </w:rPr>
        <w:lastRenderedPageBreak/>
        <w:t>Exhibit 1: las vegas visitors</w:t>
      </w:r>
      <w:r w:rsidR="00EF2484">
        <w:rPr>
          <w:rFonts w:eastAsiaTheme="minorEastAsia"/>
          <w:lang w:val="en-GB" w:eastAsia="ko-KR"/>
        </w:rPr>
        <w:t>, 2005–2015</w:t>
      </w:r>
      <w:r w:rsidR="00B0605C" w:rsidRPr="00B0605C">
        <w:rPr>
          <w:rFonts w:eastAsiaTheme="minorEastAsia"/>
          <w:lang w:val="en-GB" w:eastAsia="ko-KR"/>
        </w:rPr>
        <w:t xml:space="preserve"> </w:t>
      </w:r>
    </w:p>
    <w:p w14:paraId="6347AF2D" w14:textId="167DEB9A" w:rsidR="00EB138A" w:rsidRPr="00B0605C" w:rsidRDefault="00EB138A" w:rsidP="00EB138A">
      <w:pPr>
        <w:pStyle w:val="ExhibitHeading"/>
        <w:jc w:val="left"/>
        <w:rPr>
          <w:rFonts w:eastAsiaTheme="minorEastAsia"/>
          <w:lang w:val="en-GB" w:eastAsia="ko-KR"/>
        </w:rPr>
      </w:pPr>
    </w:p>
    <w:tbl>
      <w:tblPr>
        <w:tblStyle w:val="TableGrid"/>
        <w:tblW w:w="0" w:type="auto"/>
        <w:jc w:val="center"/>
        <w:tblLook w:val="04A0" w:firstRow="1" w:lastRow="0" w:firstColumn="1" w:lastColumn="0" w:noHBand="0" w:noVBand="1"/>
      </w:tblPr>
      <w:tblGrid>
        <w:gridCol w:w="3117"/>
        <w:gridCol w:w="3117"/>
        <w:gridCol w:w="3116"/>
      </w:tblGrid>
      <w:tr w:rsidR="00EB138A" w:rsidRPr="00B0605C" w14:paraId="29E1DAEA" w14:textId="77777777" w:rsidTr="008A46AE">
        <w:trPr>
          <w:jc w:val="center"/>
        </w:trPr>
        <w:tc>
          <w:tcPr>
            <w:tcW w:w="3192" w:type="dxa"/>
            <w:shd w:val="clear" w:color="auto" w:fill="D9D9D9" w:themeFill="background1" w:themeFillShade="D9"/>
          </w:tcPr>
          <w:p w14:paraId="50184590" w14:textId="57C21044" w:rsidR="00EB138A" w:rsidRPr="00B0605C" w:rsidRDefault="00EB138A" w:rsidP="00BF4BAC">
            <w:pPr>
              <w:pStyle w:val="BodyTextMain"/>
              <w:jc w:val="center"/>
              <w:rPr>
                <w:rFonts w:ascii="Arial" w:eastAsiaTheme="minorEastAsia" w:hAnsi="Arial" w:cs="Arial"/>
                <w:b/>
                <w:sz w:val="18"/>
                <w:szCs w:val="18"/>
                <w:lang w:val="en-GB" w:eastAsia="ko-KR"/>
              </w:rPr>
            </w:pPr>
            <w:r w:rsidRPr="00B0605C">
              <w:rPr>
                <w:rFonts w:ascii="Arial" w:eastAsiaTheme="minorEastAsia" w:hAnsi="Arial" w:cs="Arial"/>
                <w:b/>
                <w:sz w:val="18"/>
                <w:szCs w:val="18"/>
                <w:lang w:val="en-GB" w:eastAsia="ko-KR"/>
              </w:rPr>
              <w:t>Y</w:t>
            </w:r>
            <w:r w:rsidR="009F2776" w:rsidRPr="00B0605C">
              <w:rPr>
                <w:rFonts w:ascii="Arial" w:eastAsiaTheme="minorEastAsia" w:hAnsi="Arial" w:cs="Arial"/>
                <w:b/>
                <w:sz w:val="18"/>
                <w:szCs w:val="18"/>
                <w:lang w:val="en-GB" w:eastAsia="ko-KR"/>
              </w:rPr>
              <w:t>e</w:t>
            </w:r>
            <w:r w:rsidRPr="00B0605C">
              <w:rPr>
                <w:rFonts w:ascii="Arial" w:eastAsiaTheme="minorEastAsia" w:hAnsi="Arial" w:cs="Arial"/>
                <w:b/>
                <w:sz w:val="18"/>
                <w:szCs w:val="18"/>
                <w:lang w:val="en-GB" w:eastAsia="ko-KR"/>
              </w:rPr>
              <w:t>ar</w:t>
            </w:r>
          </w:p>
        </w:tc>
        <w:tc>
          <w:tcPr>
            <w:tcW w:w="3192" w:type="dxa"/>
            <w:shd w:val="clear" w:color="auto" w:fill="D9D9D9" w:themeFill="background1" w:themeFillShade="D9"/>
          </w:tcPr>
          <w:p w14:paraId="4E317496" w14:textId="622907E5" w:rsidR="00EB138A" w:rsidRPr="00B0605C" w:rsidRDefault="00EB138A" w:rsidP="008419F6">
            <w:pPr>
              <w:pStyle w:val="BodyTextMain"/>
              <w:jc w:val="center"/>
              <w:rPr>
                <w:rFonts w:ascii="Arial" w:eastAsiaTheme="minorEastAsia" w:hAnsi="Arial" w:cs="Arial"/>
                <w:b/>
                <w:sz w:val="18"/>
                <w:szCs w:val="18"/>
                <w:lang w:val="en-GB" w:eastAsia="ko-KR"/>
              </w:rPr>
            </w:pPr>
            <w:r w:rsidRPr="00B0605C">
              <w:rPr>
                <w:rFonts w:ascii="Arial" w:eastAsiaTheme="minorEastAsia" w:hAnsi="Arial" w:cs="Arial"/>
                <w:b/>
                <w:sz w:val="18"/>
                <w:szCs w:val="18"/>
                <w:lang w:val="en-GB" w:eastAsia="ko-KR"/>
              </w:rPr>
              <w:t xml:space="preserve">Total </w:t>
            </w:r>
            <w:r w:rsidR="008419F6">
              <w:rPr>
                <w:rFonts w:ascii="Arial" w:eastAsiaTheme="minorEastAsia" w:hAnsi="Arial" w:cs="Arial"/>
                <w:b/>
                <w:sz w:val="18"/>
                <w:szCs w:val="18"/>
                <w:lang w:val="en-GB" w:eastAsia="ko-KR"/>
              </w:rPr>
              <w:t>V</w:t>
            </w:r>
            <w:r w:rsidRPr="00B0605C">
              <w:rPr>
                <w:rFonts w:ascii="Arial" w:eastAsiaTheme="minorEastAsia" w:hAnsi="Arial" w:cs="Arial"/>
                <w:b/>
                <w:sz w:val="18"/>
                <w:szCs w:val="18"/>
                <w:lang w:val="en-GB" w:eastAsia="ko-KR"/>
              </w:rPr>
              <w:t>isitors</w:t>
            </w:r>
          </w:p>
        </w:tc>
        <w:tc>
          <w:tcPr>
            <w:tcW w:w="3192" w:type="dxa"/>
            <w:shd w:val="clear" w:color="auto" w:fill="D9D9D9" w:themeFill="background1" w:themeFillShade="D9"/>
          </w:tcPr>
          <w:p w14:paraId="5A527F13" w14:textId="5B20C53D" w:rsidR="00EB138A" w:rsidRPr="00B0605C" w:rsidRDefault="009F2776" w:rsidP="008419F6">
            <w:pPr>
              <w:pStyle w:val="BodyTextMain"/>
              <w:jc w:val="center"/>
              <w:rPr>
                <w:rFonts w:ascii="Arial" w:eastAsiaTheme="minorEastAsia" w:hAnsi="Arial" w:cs="Arial"/>
                <w:b/>
                <w:sz w:val="18"/>
                <w:szCs w:val="18"/>
                <w:lang w:val="en-GB" w:eastAsia="ko-KR"/>
              </w:rPr>
            </w:pPr>
            <w:r w:rsidRPr="00B0605C">
              <w:rPr>
                <w:rFonts w:ascii="Arial" w:eastAsiaTheme="minorEastAsia" w:hAnsi="Arial" w:cs="Arial"/>
                <w:b/>
                <w:sz w:val="18"/>
                <w:szCs w:val="18"/>
                <w:lang w:val="en-GB" w:eastAsia="ko-KR"/>
              </w:rPr>
              <w:t>P</w:t>
            </w:r>
            <w:r w:rsidR="00EB138A" w:rsidRPr="00B0605C">
              <w:rPr>
                <w:rFonts w:ascii="Arial" w:eastAsiaTheme="minorEastAsia" w:hAnsi="Arial" w:cs="Arial"/>
                <w:b/>
                <w:sz w:val="18"/>
                <w:szCs w:val="18"/>
                <w:lang w:val="en-GB" w:eastAsia="ko-KR"/>
              </w:rPr>
              <w:t xml:space="preserve">ercentage </w:t>
            </w:r>
            <w:r w:rsidR="008419F6">
              <w:rPr>
                <w:rFonts w:ascii="Arial" w:eastAsiaTheme="minorEastAsia" w:hAnsi="Arial" w:cs="Arial"/>
                <w:b/>
                <w:sz w:val="18"/>
                <w:szCs w:val="18"/>
                <w:lang w:val="en-GB" w:eastAsia="ko-KR"/>
              </w:rPr>
              <w:t>C</w:t>
            </w:r>
            <w:r w:rsidR="00EB138A" w:rsidRPr="00B0605C">
              <w:rPr>
                <w:rFonts w:ascii="Arial" w:eastAsiaTheme="minorEastAsia" w:hAnsi="Arial" w:cs="Arial"/>
                <w:b/>
                <w:sz w:val="18"/>
                <w:szCs w:val="18"/>
                <w:lang w:val="en-GB" w:eastAsia="ko-KR"/>
              </w:rPr>
              <w:t>hange</w:t>
            </w:r>
            <w:r w:rsidR="008419F6">
              <w:rPr>
                <w:rFonts w:ascii="Arial" w:eastAsiaTheme="minorEastAsia" w:hAnsi="Arial" w:cs="Arial"/>
                <w:b/>
                <w:sz w:val="18"/>
                <w:szCs w:val="18"/>
                <w:lang w:val="en-GB" w:eastAsia="ko-KR"/>
              </w:rPr>
              <w:t xml:space="preserve"> from Previous Year</w:t>
            </w:r>
          </w:p>
        </w:tc>
      </w:tr>
      <w:tr w:rsidR="00EB138A" w:rsidRPr="00B0605C" w14:paraId="5ECD4D46" w14:textId="77777777" w:rsidTr="008A46AE">
        <w:trPr>
          <w:jc w:val="center"/>
        </w:trPr>
        <w:tc>
          <w:tcPr>
            <w:tcW w:w="3192" w:type="dxa"/>
          </w:tcPr>
          <w:p w14:paraId="589802C5" w14:textId="77777777" w:rsidR="00EB138A" w:rsidRPr="00B0605C" w:rsidRDefault="00EB138A" w:rsidP="00E2027D">
            <w:pPr>
              <w:pStyle w:val="BodyTextMain"/>
              <w:jc w:val="center"/>
              <w:rPr>
                <w:rFonts w:ascii="Arial" w:eastAsiaTheme="minorEastAsia" w:hAnsi="Arial" w:cs="Arial"/>
                <w:sz w:val="20"/>
                <w:lang w:val="en-GB" w:eastAsia="ko-KR"/>
              </w:rPr>
            </w:pPr>
            <w:r w:rsidRPr="00B0605C">
              <w:rPr>
                <w:rFonts w:ascii="Arial" w:eastAsiaTheme="minorEastAsia" w:hAnsi="Arial" w:cs="Arial"/>
                <w:noProof/>
                <w:sz w:val="20"/>
                <w:lang w:val="en-GB" w:eastAsia="en-US"/>
              </w:rPr>
              <w:t>2005</w:t>
            </w:r>
          </w:p>
        </w:tc>
        <w:tc>
          <w:tcPr>
            <w:tcW w:w="3192" w:type="dxa"/>
          </w:tcPr>
          <w:p w14:paraId="5AAF2F82" w14:textId="77777777" w:rsidR="00EB138A" w:rsidRPr="00B0605C" w:rsidRDefault="00EB138A" w:rsidP="00E2027D">
            <w:pPr>
              <w:pStyle w:val="BodyTextMain"/>
              <w:jc w:val="center"/>
              <w:rPr>
                <w:rFonts w:ascii="Arial" w:eastAsiaTheme="minorEastAsia" w:hAnsi="Arial" w:cs="Arial"/>
                <w:sz w:val="20"/>
                <w:lang w:val="en-GB" w:eastAsia="ko-KR"/>
              </w:rPr>
            </w:pPr>
            <w:r w:rsidRPr="00B0605C">
              <w:rPr>
                <w:rFonts w:ascii="Arial" w:eastAsiaTheme="minorEastAsia" w:hAnsi="Arial" w:cs="Arial"/>
                <w:sz w:val="20"/>
                <w:lang w:val="en-GB" w:eastAsia="ko-KR"/>
              </w:rPr>
              <w:t>38,566,717</w:t>
            </w:r>
          </w:p>
        </w:tc>
        <w:tc>
          <w:tcPr>
            <w:tcW w:w="3192" w:type="dxa"/>
          </w:tcPr>
          <w:p w14:paraId="0DBE764E" w14:textId="77777777" w:rsidR="00EB138A" w:rsidRPr="00B0605C" w:rsidRDefault="00EB138A" w:rsidP="00E2027D">
            <w:pPr>
              <w:pStyle w:val="BodyTextMain"/>
              <w:jc w:val="center"/>
              <w:rPr>
                <w:rFonts w:ascii="Arial" w:eastAsiaTheme="minorEastAsia" w:hAnsi="Arial" w:cs="Arial"/>
                <w:sz w:val="20"/>
                <w:lang w:val="en-GB" w:eastAsia="ko-KR"/>
              </w:rPr>
            </w:pPr>
            <w:r w:rsidRPr="00B0605C">
              <w:rPr>
                <w:rFonts w:ascii="Arial" w:eastAsiaTheme="minorEastAsia" w:hAnsi="Arial" w:cs="Arial"/>
                <w:sz w:val="20"/>
                <w:lang w:val="en-GB" w:eastAsia="ko-KR"/>
              </w:rPr>
              <w:t>3.2</w:t>
            </w:r>
          </w:p>
        </w:tc>
      </w:tr>
      <w:tr w:rsidR="00EB138A" w:rsidRPr="00B0605C" w14:paraId="338270F8" w14:textId="77777777" w:rsidTr="008A46AE">
        <w:trPr>
          <w:jc w:val="center"/>
        </w:trPr>
        <w:tc>
          <w:tcPr>
            <w:tcW w:w="3192" w:type="dxa"/>
          </w:tcPr>
          <w:p w14:paraId="051A6674" w14:textId="77777777" w:rsidR="00EB138A" w:rsidRPr="00B0605C" w:rsidRDefault="00EB138A" w:rsidP="00E2027D">
            <w:pPr>
              <w:pStyle w:val="BodyTextMain"/>
              <w:jc w:val="center"/>
              <w:rPr>
                <w:rFonts w:ascii="Arial" w:eastAsiaTheme="minorEastAsia" w:hAnsi="Arial" w:cs="Arial"/>
                <w:sz w:val="20"/>
                <w:lang w:val="en-GB" w:eastAsia="ko-KR"/>
              </w:rPr>
            </w:pPr>
            <w:r w:rsidRPr="00B0605C">
              <w:rPr>
                <w:rFonts w:ascii="Arial" w:eastAsiaTheme="minorEastAsia" w:hAnsi="Arial" w:cs="Arial"/>
                <w:sz w:val="20"/>
                <w:lang w:val="en-GB" w:eastAsia="ko-KR"/>
              </w:rPr>
              <w:t>2006</w:t>
            </w:r>
          </w:p>
        </w:tc>
        <w:tc>
          <w:tcPr>
            <w:tcW w:w="3192" w:type="dxa"/>
          </w:tcPr>
          <w:p w14:paraId="60D91275" w14:textId="77777777" w:rsidR="00EB138A" w:rsidRPr="00B0605C" w:rsidRDefault="00EB138A" w:rsidP="00E2027D">
            <w:pPr>
              <w:pStyle w:val="BodyTextMain"/>
              <w:jc w:val="center"/>
              <w:rPr>
                <w:rFonts w:ascii="Arial" w:eastAsiaTheme="minorEastAsia" w:hAnsi="Arial" w:cs="Arial"/>
                <w:sz w:val="20"/>
                <w:lang w:val="en-GB" w:eastAsia="ko-KR"/>
              </w:rPr>
            </w:pPr>
            <w:r w:rsidRPr="00B0605C">
              <w:rPr>
                <w:rFonts w:ascii="Arial" w:eastAsiaTheme="minorEastAsia" w:hAnsi="Arial" w:cs="Arial"/>
                <w:sz w:val="20"/>
                <w:lang w:val="en-GB" w:eastAsia="ko-KR"/>
              </w:rPr>
              <w:t>38,914,889</w:t>
            </w:r>
          </w:p>
        </w:tc>
        <w:tc>
          <w:tcPr>
            <w:tcW w:w="3192" w:type="dxa"/>
          </w:tcPr>
          <w:p w14:paraId="02A5F3B1" w14:textId="77777777" w:rsidR="00EB138A" w:rsidRPr="00B0605C" w:rsidRDefault="00EB138A" w:rsidP="00E2027D">
            <w:pPr>
              <w:pStyle w:val="BodyTextMain"/>
              <w:jc w:val="center"/>
              <w:rPr>
                <w:rFonts w:ascii="Arial" w:eastAsiaTheme="minorEastAsia" w:hAnsi="Arial" w:cs="Arial"/>
                <w:sz w:val="20"/>
                <w:lang w:val="en-GB" w:eastAsia="ko-KR"/>
              </w:rPr>
            </w:pPr>
            <w:r w:rsidRPr="00B0605C">
              <w:rPr>
                <w:rFonts w:ascii="Arial" w:eastAsiaTheme="minorEastAsia" w:hAnsi="Arial" w:cs="Arial"/>
                <w:sz w:val="20"/>
                <w:lang w:val="en-GB" w:eastAsia="ko-KR"/>
              </w:rPr>
              <w:t>0.9</w:t>
            </w:r>
          </w:p>
        </w:tc>
      </w:tr>
      <w:tr w:rsidR="00EB138A" w:rsidRPr="00B0605C" w14:paraId="1BEEFBBE" w14:textId="77777777" w:rsidTr="008A46AE">
        <w:trPr>
          <w:jc w:val="center"/>
        </w:trPr>
        <w:tc>
          <w:tcPr>
            <w:tcW w:w="3192" w:type="dxa"/>
          </w:tcPr>
          <w:p w14:paraId="2E349F42" w14:textId="77777777" w:rsidR="00EB138A" w:rsidRPr="00B0605C" w:rsidRDefault="00EB138A" w:rsidP="00E2027D">
            <w:pPr>
              <w:pStyle w:val="BodyTextMain"/>
              <w:jc w:val="center"/>
              <w:rPr>
                <w:rFonts w:ascii="Arial" w:eastAsiaTheme="minorEastAsia" w:hAnsi="Arial" w:cs="Arial"/>
                <w:sz w:val="20"/>
                <w:lang w:val="en-GB" w:eastAsia="ko-KR"/>
              </w:rPr>
            </w:pPr>
            <w:r w:rsidRPr="00B0605C">
              <w:rPr>
                <w:rFonts w:ascii="Arial" w:eastAsiaTheme="minorEastAsia" w:hAnsi="Arial" w:cs="Arial"/>
                <w:sz w:val="20"/>
                <w:lang w:val="en-GB" w:eastAsia="ko-KR"/>
              </w:rPr>
              <w:t>2007</w:t>
            </w:r>
          </w:p>
        </w:tc>
        <w:tc>
          <w:tcPr>
            <w:tcW w:w="3192" w:type="dxa"/>
          </w:tcPr>
          <w:p w14:paraId="33CE6432" w14:textId="77777777" w:rsidR="00EB138A" w:rsidRPr="00B0605C" w:rsidRDefault="00EB138A" w:rsidP="00E2027D">
            <w:pPr>
              <w:pStyle w:val="BodyTextMain"/>
              <w:jc w:val="center"/>
              <w:rPr>
                <w:rFonts w:ascii="Arial" w:eastAsiaTheme="minorEastAsia" w:hAnsi="Arial" w:cs="Arial"/>
                <w:sz w:val="20"/>
                <w:lang w:val="en-GB" w:eastAsia="ko-KR"/>
              </w:rPr>
            </w:pPr>
            <w:r w:rsidRPr="00B0605C">
              <w:rPr>
                <w:rFonts w:ascii="Arial" w:eastAsiaTheme="minorEastAsia" w:hAnsi="Arial" w:cs="Arial"/>
                <w:sz w:val="20"/>
                <w:lang w:val="en-GB" w:eastAsia="ko-KR"/>
              </w:rPr>
              <w:t>39,196,761</w:t>
            </w:r>
          </w:p>
        </w:tc>
        <w:tc>
          <w:tcPr>
            <w:tcW w:w="3192" w:type="dxa"/>
          </w:tcPr>
          <w:p w14:paraId="0FE69501" w14:textId="77777777" w:rsidR="00EB138A" w:rsidRPr="00B0605C" w:rsidRDefault="00EB138A" w:rsidP="00E2027D">
            <w:pPr>
              <w:pStyle w:val="BodyTextMain"/>
              <w:jc w:val="center"/>
              <w:rPr>
                <w:rFonts w:ascii="Arial" w:eastAsiaTheme="minorEastAsia" w:hAnsi="Arial" w:cs="Arial"/>
                <w:sz w:val="20"/>
                <w:lang w:val="en-GB" w:eastAsia="ko-KR"/>
              </w:rPr>
            </w:pPr>
            <w:r w:rsidRPr="00B0605C">
              <w:rPr>
                <w:rFonts w:ascii="Arial" w:eastAsiaTheme="minorEastAsia" w:hAnsi="Arial" w:cs="Arial"/>
                <w:sz w:val="20"/>
                <w:lang w:val="en-GB" w:eastAsia="ko-KR"/>
              </w:rPr>
              <w:t>0.7</w:t>
            </w:r>
          </w:p>
        </w:tc>
      </w:tr>
      <w:tr w:rsidR="00EB138A" w:rsidRPr="00B0605C" w14:paraId="5345B1A7" w14:textId="77777777" w:rsidTr="008A46AE">
        <w:trPr>
          <w:jc w:val="center"/>
        </w:trPr>
        <w:tc>
          <w:tcPr>
            <w:tcW w:w="3192" w:type="dxa"/>
          </w:tcPr>
          <w:p w14:paraId="3A3C5A3A" w14:textId="77777777" w:rsidR="00EB138A" w:rsidRPr="00B0605C" w:rsidRDefault="00EB138A" w:rsidP="00E2027D">
            <w:pPr>
              <w:pStyle w:val="BodyTextMain"/>
              <w:jc w:val="center"/>
              <w:rPr>
                <w:rFonts w:ascii="Arial" w:eastAsiaTheme="minorEastAsia" w:hAnsi="Arial" w:cs="Arial"/>
                <w:sz w:val="20"/>
                <w:lang w:val="en-GB" w:eastAsia="ko-KR"/>
              </w:rPr>
            </w:pPr>
            <w:r w:rsidRPr="00B0605C">
              <w:rPr>
                <w:rFonts w:ascii="Arial" w:eastAsiaTheme="minorEastAsia" w:hAnsi="Arial" w:cs="Arial"/>
                <w:sz w:val="20"/>
                <w:lang w:val="en-GB" w:eastAsia="ko-KR"/>
              </w:rPr>
              <w:t>2008</w:t>
            </w:r>
          </w:p>
        </w:tc>
        <w:tc>
          <w:tcPr>
            <w:tcW w:w="3192" w:type="dxa"/>
          </w:tcPr>
          <w:p w14:paraId="385E315F" w14:textId="77777777" w:rsidR="00EB138A" w:rsidRPr="00B0605C" w:rsidRDefault="00EB138A" w:rsidP="00E2027D">
            <w:pPr>
              <w:pStyle w:val="BodyTextMain"/>
              <w:jc w:val="center"/>
              <w:rPr>
                <w:rFonts w:ascii="Arial" w:eastAsiaTheme="minorEastAsia" w:hAnsi="Arial" w:cs="Arial"/>
                <w:sz w:val="20"/>
                <w:lang w:val="en-GB" w:eastAsia="ko-KR"/>
              </w:rPr>
            </w:pPr>
            <w:r w:rsidRPr="00B0605C">
              <w:rPr>
                <w:rFonts w:ascii="Arial" w:eastAsiaTheme="minorEastAsia" w:hAnsi="Arial" w:cs="Arial"/>
                <w:sz w:val="20"/>
                <w:lang w:val="en-GB" w:eastAsia="ko-KR"/>
              </w:rPr>
              <w:t>37,481,552</w:t>
            </w:r>
          </w:p>
        </w:tc>
        <w:tc>
          <w:tcPr>
            <w:tcW w:w="3192" w:type="dxa"/>
          </w:tcPr>
          <w:p w14:paraId="1098DC3C" w14:textId="77777777" w:rsidR="00EB138A" w:rsidRPr="00B0605C" w:rsidRDefault="00EB138A" w:rsidP="00E2027D">
            <w:pPr>
              <w:pStyle w:val="BodyTextMain"/>
              <w:jc w:val="center"/>
              <w:rPr>
                <w:rFonts w:ascii="Arial" w:eastAsiaTheme="minorEastAsia" w:hAnsi="Arial" w:cs="Arial"/>
                <w:sz w:val="20"/>
                <w:lang w:val="en-GB" w:eastAsia="ko-KR"/>
              </w:rPr>
            </w:pPr>
            <w:r w:rsidRPr="00B0605C">
              <w:rPr>
                <w:rFonts w:ascii="Arial" w:eastAsiaTheme="minorEastAsia" w:hAnsi="Arial" w:cs="Arial"/>
                <w:sz w:val="20"/>
                <w:lang w:val="en-GB" w:eastAsia="ko-KR"/>
              </w:rPr>
              <w:t>(4.4)</w:t>
            </w:r>
          </w:p>
        </w:tc>
      </w:tr>
      <w:tr w:rsidR="00EB138A" w:rsidRPr="00B0605C" w14:paraId="0515B338" w14:textId="77777777" w:rsidTr="008A46AE">
        <w:trPr>
          <w:jc w:val="center"/>
        </w:trPr>
        <w:tc>
          <w:tcPr>
            <w:tcW w:w="3192" w:type="dxa"/>
          </w:tcPr>
          <w:p w14:paraId="33BD34ED" w14:textId="77777777" w:rsidR="00EB138A" w:rsidRPr="00B0605C" w:rsidRDefault="00EB138A" w:rsidP="00E2027D">
            <w:pPr>
              <w:pStyle w:val="BodyTextMain"/>
              <w:jc w:val="center"/>
              <w:rPr>
                <w:rFonts w:ascii="Arial" w:eastAsiaTheme="minorEastAsia" w:hAnsi="Arial" w:cs="Arial"/>
                <w:sz w:val="20"/>
                <w:lang w:val="en-GB" w:eastAsia="ko-KR"/>
              </w:rPr>
            </w:pPr>
            <w:r w:rsidRPr="00B0605C">
              <w:rPr>
                <w:rFonts w:ascii="Arial" w:eastAsiaTheme="minorEastAsia" w:hAnsi="Arial" w:cs="Arial"/>
                <w:sz w:val="20"/>
                <w:lang w:val="en-GB" w:eastAsia="ko-KR"/>
              </w:rPr>
              <w:t>2009</w:t>
            </w:r>
          </w:p>
        </w:tc>
        <w:tc>
          <w:tcPr>
            <w:tcW w:w="3192" w:type="dxa"/>
          </w:tcPr>
          <w:p w14:paraId="7CA43917" w14:textId="77777777" w:rsidR="00EB138A" w:rsidRPr="00B0605C" w:rsidRDefault="00EB138A" w:rsidP="00E2027D">
            <w:pPr>
              <w:pStyle w:val="BodyTextMain"/>
              <w:jc w:val="center"/>
              <w:rPr>
                <w:rFonts w:ascii="Arial" w:eastAsiaTheme="minorEastAsia" w:hAnsi="Arial" w:cs="Arial"/>
                <w:sz w:val="20"/>
                <w:lang w:val="en-GB" w:eastAsia="ko-KR"/>
              </w:rPr>
            </w:pPr>
            <w:r w:rsidRPr="00B0605C">
              <w:rPr>
                <w:rFonts w:ascii="Arial" w:eastAsiaTheme="minorEastAsia" w:hAnsi="Arial" w:cs="Arial"/>
                <w:sz w:val="20"/>
                <w:lang w:val="en-GB" w:eastAsia="ko-KR"/>
              </w:rPr>
              <w:t>36,351,469</w:t>
            </w:r>
          </w:p>
        </w:tc>
        <w:tc>
          <w:tcPr>
            <w:tcW w:w="3192" w:type="dxa"/>
          </w:tcPr>
          <w:p w14:paraId="432F351F" w14:textId="77777777" w:rsidR="00EB138A" w:rsidRPr="00B0605C" w:rsidRDefault="00EB138A" w:rsidP="00E2027D">
            <w:pPr>
              <w:pStyle w:val="BodyTextMain"/>
              <w:jc w:val="center"/>
              <w:rPr>
                <w:rFonts w:ascii="Arial" w:eastAsiaTheme="minorEastAsia" w:hAnsi="Arial" w:cs="Arial"/>
                <w:sz w:val="20"/>
                <w:lang w:val="en-GB" w:eastAsia="ko-KR"/>
              </w:rPr>
            </w:pPr>
            <w:r w:rsidRPr="00B0605C">
              <w:rPr>
                <w:rFonts w:ascii="Arial" w:eastAsiaTheme="minorEastAsia" w:hAnsi="Arial" w:cs="Arial"/>
                <w:sz w:val="20"/>
                <w:lang w:val="en-GB" w:eastAsia="ko-KR"/>
              </w:rPr>
              <w:t>(3.0)</w:t>
            </w:r>
          </w:p>
        </w:tc>
      </w:tr>
      <w:tr w:rsidR="00EB138A" w:rsidRPr="00B0605C" w14:paraId="138FE676" w14:textId="77777777" w:rsidTr="008A46AE">
        <w:trPr>
          <w:jc w:val="center"/>
        </w:trPr>
        <w:tc>
          <w:tcPr>
            <w:tcW w:w="3192" w:type="dxa"/>
          </w:tcPr>
          <w:p w14:paraId="2C890D5D" w14:textId="77777777" w:rsidR="00EB138A" w:rsidRPr="00B0605C" w:rsidRDefault="00EB138A" w:rsidP="00E2027D">
            <w:pPr>
              <w:pStyle w:val="BodyTextMain"/>
              <w:jc w:val="center"/>
              <w:rPr>
                <w:rFonts w:ascii="Arial" w:eastAsiaTheme="minorEastAsia" w:hAnsi="Arial" w:cs="Arial"/>
                <w:sz w:val="20"/>
                <w:lang w:val="en-GB" w:eastAsia="ko-KR"/>
              </w:rPr>
            </w:pPr>
            <w:r w:rsidRPr="00B0605C">
              <w:rPr>
                <w:rFonts w:ascii="Arial" w:eastAsiaTheme="minorEastAsia" w:hAnsi="Arial" w:cs="Arial"/>
                <w:sz w:val="20"/>
                <w:lang w:val="en-GB" w:eastAsia="ko-KR"/>
              </w:rPr>
              <w:t>2010</w:t>
            </w:r>
          </w:p>
        </w:tc>
        <w:tc>
          <w:tcPr>
            <w:tcW w:w="3192" w:type="dxa"/>
          </w:tcPr>
          <w:p w14:paraId="20D26E19" w14:textId="77777777" w:rsidR="00EB138A" w:rsidRPr="00B0605C" w:rsidRDefault="00EB138A" w:rsidP="00E2027D">
            <w:pPr>
              <w:pStyle w:val="BodyTextMain"/>
              <w:jc w:val="center"/>
              <w:rPr>
                <w:rFonts w:ascii="Arial" w:eastAsiaTheme="minorEastAsia" w:hAnsi="Arial" w:cs="Arial"/>
                <w:sz w:val="20"/>
                <w:lang w:val="en-GB" w:eastAsia="ko-KR"/>
              </w:rPr>
            </w:pPr>
            <w:r w:rsidRPr="00B0605C">
              <w:rPr>
                <w:rFonts w:ascii="Arial" w:eastAsiaTheme="minorEastAsia" w:hAnsi="Arial" w:cs="Arial"/>
                <w:sz w:val="20"/>
                <w:lang w:val="en-GB" w:eastAsia="ko-KR"/>
              </w:rPr>
              <w:t>37,335,436</w:t>
            </w:r>
          </w:p>
        </w:tc>
        <w:tc>
          <w:tcPr>
            <w:tcW w:w="3192" w:type="dxa"/>
          </w:tcPr>
          <w:p w14:paraId="43D6693B" w14:textId="77777777" w:rsidR="00EB138A" w:rsidRPr="00B0605C" w:rsidRDefault="00EB138A" w:rsidP="00E2027D">
            <w:pPr>
              <w:pStyle w:val="BodyTextMain"/>
              <w:jc w:val="center"/>
              <w:rPr>
                <w:rFonts w:ascii="Arial" w:eastAsiaTheme="minorEastAsia" w:hAnsi="Arial" w:cs="Arial"/>
                <w:sz w:val="20"/>
                <w:lang w:val="en-GB" w:eastAsia="ko-KR"/>
              </w:rPr>
            </w:pPr>
            <w:r w:rsidRPr="00B0605C">
              <w:rPr>
                <w:rFonts w:ascii="Arial" w:eastAsiaTheme="minorEastAsia" w:hAnsi="Arial" w:cs="Arial"/>
                <w:sz w:val="20"/>
                <w:lang w:val="en-GB" w:eastAsia="ko-KR"/>
              </w:rPr>
              <w:t>2.7</w:t>
            </w:r>
          </w:p>
        </w:tc>
      </w:tr>
      <w:tr w:rsidR="00EB138A" w:rsidRPr="00B0605C" w14:paraId="0B6E1F8E" w14:textId="77777777" w:rsidTr="008A46AE">
        <w:trPr>
          <w:jc w:val="center"/>
        </w:trPr>
        <w:tc>
          <w:tcPr>
            <w:tcW w:w="3192" w:type="dxa"/>
          </w:tcPr>
          <w:p w14:paraId="1288F12C" w14:textId="77777777" w:rsidR="00EB138A" w:rsidRPr="00B0605C" w:rsidRDefault="00EB138A" w:rsidP="00E2027D">
            <w:pPr>
              <w:pStyle w:val="BodyTextMain"/>
              <w:jc w:val="center"/>
              <w:rPr>
                <w:rFonts w:ascii="Arial" w:eastAsiaTheme="minorEastAsia" w:hAnsi="Arial" w:cs="Arial"/>
                <w:sz w:val="20"/>
                <w:lang w:val="en-GB" w:eastAsia="ko-KR"/>
              </w:rPr>
            </w:pPr>
            <w:r w:rsidRPr="00B0605C">
              <w:rPr>
                <w:rFonts w:ascii="Arial" w:eastAsiaTheme="minorEastAsia" w:hAnsi="Arial" w:cs="Arial"/>
                <w:sz w:val="20"/>
                <w:lang w:val="en-GB" w:eastAsia="ko-KR"/>
              </w:rPr>
              <w:t>2011</w:t>
            </w:r>
          </w:p>
        </w:tc>
        <w:tc>
          <w:tcPr>
            <w:tcW w:w="3192" w:type="dxa"/>
          </w:tcPr>
          <w:p w14:paraId="2A98D038" w14:textId="77777777" w:rsidR="00EB138A" w:rsidRPr="00B0605C" w:rsidRDefault="00EB138A" w:rsidP="00E2027D">
            <w:pPr>
              <w:pStyle w:val="BodyTextMain"/>
              <w:jc w:val="center"/>
              <w:rPr>
                <w:rFonts w:ascii="Arial" w:eastAsiaTheme="minorEastAsia" w:hAnsi="Arial" w:cs="Arial"/>
                <w:sz w:val="20"/>
                <w:lang w:val="en-GB" w:eastAsia="ko-KR"/>
              </w:rPr>
            </w:pPr>
            <w:r w:rsidRPr="00B0605C">
              <w:rPr>
                <w:rFonts w:ascii="Arial" w:eastAsiaTheme="minorEastAsia" w:hAnsi="Arial" w:cs="Arial"/>
                <w:sz w:val="20"/>
                <w:lang w:val="en-GB" w:eastAsia="ko-KR"/>
              </w:rPr>
              <w:t>38,928,708</w:t>
            </w:r>
          </w:p>
        </w:tc>
        <w:tc>
          <w:tcPr>
            <w:tcW w:w="3192" w:type="dxa"/>
          </w:tcPr>
          <w:p w14:paraId="4378C6C4" w14:textId="77777777" w:rsidR="00EB138A" w:rsidRPr="00B0605C" w:rsidRDefault="00EB138A" w:rsidP="00E2027D">
            <w:pPr>
              <w:pStyle w:val="BodyTextMain"/>
              <w:jc w:val="center"/>
              <w:rPr>
                <w:rFonts w:ascii="Arial" w:eastAsiaTheme="minorEastAsia" w:hAnsi="Arial" w:cs="Arial"/>
                <w:sz w:val="20"/>
                <w:lang w:val="en-GB" w:eastAsia="ko-KR"/>
              </w:rPr>
            </w:pPr>
            <w:r w:rsidRPr="00B0605C">
              <w:rPr>
                <w:rFonts w:ascii="Arial" w:eastAsiaTheme="minorEastAsia" w:hAnsi="Arial" w:cs="Arial"/>
                <w:sz w:val="20"/>
                <w:lang w:val="en-GB" w:eastAsia="ko-KR"/>
              </w:rPr>
              <w:t>4.3</w:t>
            </w:r>
          </w:p>
        </w:tc>
      </w:tr>
      <w:tr w:rsidR="00EB138A" w:rsidRPr="00B0605C" w14:paraId="1F037AC8" w14:textId="77777777" w:rsidTr="008A46AE">
        <w:trPr>
          <w:jc w:val="center"/>
        </w:trPr>
        <w:tc>
          <w:tcPr>
            <w:tcW w:w="3192" w:type="dxa"/>
          </w:tcPr>
          <w:p w14:paraId="1ABD2F9A" w14:textId="77777777" w:rsidR="00EB138A" w:rsidRPr="00B0605C" w:rsidRDefault="00EB138A" w:rsidP="00E2027D">
            <w:pPr>
              <w:pStyle w:val="BodyTextMain"/>
              <w:jc w:val="center"/>
              <w:rPr>
                <w:rFonts w:ascii="Arial" w:eastAsiaTheme="minorEastAsia" w:hAnsi="Arial" w:cs="Arial"/>
                <w:sz w:val="20"/>
                <w:lang w:val="en-GB" w:eastAsia="ko-KR"/>
              </w:rPr>
            </w:pPr>
            <w:r w:rsidRPr="00B0605C">
              <w:rPr>
                <w:rFonts w:ascii="Arial" w:eastAsiaTheme="minorEastAsia" w:hAnsi="Arial" w:cs="Arial"/>
                <w:sz w:val="20"/>
                <w:lang w:val="en-GB" w:eastAsia="ko-KR"/>
              </w:rPr>
              <w:t>2012</w:t>
            </w:r>
          </w:p>
        </w:tc>
        <w:tc>
          <w:tcPr>
            <w:tcW w:w="3192" w:type="dxa"/>
          </w:tcPr>
          <w:p w14:paraId="66D7F671" w14:textId="77777777" w:rsidR="00EB138A" w:rsidRPr="00B0605C" w:rsidRDefault="00EB138A" w:rsidP="00E2027D">
            <w:pPr>
              <w:pStyle w:val="BodyTextMain"/>
              <w:jc w:val="center"/>
              <w:rPr>
                <w:rFonts w:ascii="Arial" w:eastAsiaTheme="minorEastAsia" w:hAnsi="Arial" w:cs="Arial"/>
                <w:sz w:val="20"/>
                <w:lang w:val="en-GB" w:eastAsia="ko-KR"/>
              </w:rPr>
            </w:pPr>
            <w:r w:rsidRPr="00B0605C">
              <w:rPr>
                <w:rFonts w:ascii="Arial" w:eastAsiaTheme="minorEastAsia" w:hAnsi="Arial" w:cs="Arial"/>
                <w:sz w:val="20"/>
                <w:lang w:val="en-GB" w:eastAsia="ko-KR"/>
              </w:rPr>
              <w:t>39,727,022</w:t>
            </w:r>
          </w:p>
        </w:tc>
        <w:tc>
          <w:tcPr>
            <w:tcW w:w="3192" w:type="dxa"/>
          </w:tcPr>
          <w:p w14:paraId="0616428B" w14:textId="77777777" w:rsidR="00EB138A" w:rsidRPr="00B0605C" w:rsidRDefault="00EB138A" w:rsidP="00E2027D">
            <w:pPr>
              <w:pStyle w:val="BodyTextMain"/>
              <w:jc w:val="center"/>
              <w:rPr>
                <w:rFonts w:ascii="Arial" w:eastAsiaTheme="minorEastAsia" w:hAnsi="Arial" w:cs="Arial"/>
                <w:sz w:val="20"/>
                <w:lang w:val="en-GB" w:eastAsia="ko-KR"/>
              </w:rPr>
            </w:pPr>
            <w:r w:rsidRPr="00B0605C">
              <w:rPr>
                <w:rFonts w:ascii="Arial" w:eastAsiaTheme="minorEastAsia" w:hAnsi="Arial" w:cs="Arial"/>
                <w:sz w:val="20"/>
                <w:lang w:val="en-GB" w:eastAsia="ko-KR"/>
              </w:rPr>
              <w:t>2.1</w:t>
            </w:r>
          </w:p>
        </w:tc>
      </w:tr>
      <w:tr w:rsidR="00EB138A" w:rsidRPr="00B0605C" w14:paraId="72CBD68E" w14:textId="77777777" w:rsidTr="008A46AE">
        <w:trPr>
          <w:jc w:val="center"/>
        </w:trPr>
        <w:tc>
          <w:tcPr>
            <w:tcW w:w="3192" w:type="dxa"/>
          </w:tcPr>
          <w:p w14:paraId="638A0B8B" w14:textId="77777777" w:rsidR="00EB138A" w:rsidRPr="00B0605C" w:rsidRDefault="00EB138A" w:rsidP="00E2027D">
            <w:pPr>
              <w:pStyle w:val="BodyTextMain"/>
              <w:jc w:val="center"/>
              <w:rPr>
                <w:rFonts w:ascii="Arial" w:eastAsiaTheme="minorEastAsia" w:hAnsi="Arial" w:cs="Arial"/>
                <w:sz w:val="20"/>
                <w:lang w:val="en-GB" w:eastAsia="ko-KR"/>
              </w:rPr>
            </w:pPr>
            <w:r w:rsidRPr="00B0605C">
              <w:rPr>
                <w:rFonts w:ascii="Arial" w:eastAsiaTheme="minorEastAsia" w:hAnsi="Arial" w:cs="Arial"/>
                <w:sz w:val="20"/>
                <w:lang w:val="en-GB" w:eastAsia="ko-KR"/>
              </w:rPr>
              <w:t>2013</w:t>
            </w:r>
          </w:p>
        </w:tc>
        <w:tc>
          <w:tcPr>
            <w:tcW w:w="3192" w:type="dxa"/>
          </w:tcPr>
          <w:p w14:paraId="41E9B8E0" w14:textId="77777777" w:rsidR="00EB138A" w:rsidRPr="00B0605C" w:rsidRDefault="00EB138A" w:rsidP="00E2027D">
            <w:pPr>
              <w:pStyle w:val="BodyTextMain"/>
              <w:jc w:val="center"/>
              <w:rPr>
                <w:rFonts w:ascii="Arial" w:eastAsiaTheme="minorEastAsia" w:hAnsi="Arial" w:cs="Arial"/>
                <w:sz w:val="20"/>
                <w:lang w:val="en-GB" w:eastAsia="ko-KR"/>
              </w:rPr>
            </w:pPr>
            <w:r w:rsidRPr="00B0605C">
              <w:rPr>
                <w:rFonts w:ascii="Arial" w:eastAsiaTheme="minorEastAsia" w:hAnsi="Arial" w:cs="Arial"/>
                <w:sz w:val="20"/>
                <w:lang w:val="en-GB" w:eastAsia="ko-KR"/>
              </w:rPr>
              <w:t>39,668,221</w:t>
            </w:r>
          </w:p>
        </w:tc>
        <w:tc>
          <w:tcPr>
            <w:tcW w:w="3192" w:type="dxa"/>
          </w:tcPr>
          <w:p w14:paraId="3E663A00" w14:textId="77777777" w:rsidR="00EB138A" w:rsidRPr="00B0605C" w:rsidRDefault="00EB138A" w:rsidP="00E2027D">
            <w:pPr>
              <w:pStyle w:val="BodyTextMain"/>
              <w:jc w:val="center"/>
              <w:rPr>
                <w:rFonts w:ascii="Arial" w:eastAsiaTheme="minorEastAsia" w:hAnsi="Arial" w:cs="Arial"/>
                <w:sz w:val="20"/>
                <w:lang w:val="en-GB" w:eastAsia="ko-KR"/>
              </w:rPr>
            </w:pPr>
            <w:r w:rsidRPr="00B0605C">
              <w:rPr>
                <w:rFonts w:ascii="Arial" w:eastAsiaTheme="minorEastAsia" w:hAnsi="Arial" w:cs="Arial"/>
                <w:sz w:val="20"/>
                <w:lang w:val="en-GB" w:eastAsia="ko-KR"/>
              </w:rPr>
              <w:t>(0.1)</w:t>
            </w:r>
          </w:p>
        </w:tc>
      </w:tr>
      <w:tr w:rsidR="00EB138A" w:rsidRPr="00B0605C" w14:paraId="75314135" w14:textId="77777777" w:rsidTr="008A46AE">
        <w:trPr>
          <w:jc w:val="center"/>
        </w:trPr>
        <w:tc>
          <w:tcPr>
            <w:tcW w:w="3192" w:type="dxa"/>
          </w:tcPr>
          <w:p w14:paraId="10F30D82" w14:textId="77777777" w:rsidR="00EB138A" w:rsidRPr="00B0605C" w:rsidRDefault="00EB138A" w:rsidP="00E2027D">
            <w:pPr>
              <w:pStyle w:val="BodyTextMain"/>
              <w:jc w:val="center"/>
              <w:rPr>
                <w:rFonts w:ascii="Arial" w:eastAsiaTheme="minorEastAsia" w:hAnsi="Arial" w:cs="Arial"/>
                <w:sz w:val="20"/>
                <w:lang w:val="en-GB" w:eastAsia="ko-KR"/>
              </w:rPr>
            </w:pPr>
            <w:r w:rsidRPr="00B0605C">
              <w:rPr>
                <w:rFonts w:ascii="Arial" w:eastAsiaTheme="minorEastAsia" w:hAnsi="Arial" w:cs="Arial"/>
                <w:sz w:val="20"/>
                <w:lang w:val="en-GB" w:eastAsia="ko-KR"/>
              </w:rPr>
              <w:t>2014</w:t>
            </w:r>
          </w:p>
        </w:tc>
        <w:tc>
          <w:tcPr>
            <w:tcW w:w="3192" w:type="dxa"/>
          </w:tcPr>
          <w:p w14:paraId="5759FAE2" w14:textId="77777777" w:rsidR="00EB138A" w:rsidRPr="00B0605C" w:rsidRDefault="00EB138A" w:rsidP="00E2027D">
            <w:pPr>
              <w:pStyle w:val="BodyTextMain"/>
              <w:jc w:val="center"/>
              <w:rPr>
                <w:rFonts w:ascii="Arial" w:eastAsiaTheme="minorEastAsia" w:hAnsi="Arial" w:cs="Arial"/>
                <w:sz w:val="20"/>
                <w:lang w:val="en-GB" w:eastAsia="ko-KR"/>
              </w:rPr>
            </w:pPr>
            <w:r w:rsidRPr="00B0605C">
              <w:rPr>
                <w:rFonts w:ascii="Arial" w:eastAsiaTheme="minorEastAsia" w:hAnsi="Arial" w:cs="Arial"/>
                <w:sz w:val="20"/>
                <w:lang w:val="en-GB" w:eastAsia="ko-KR"/>
              </w:rPr>
              <w:t>41,126,512</w:t>
            </w:r>
          </w:p>
        </w:tc>
        <w:tc>
          <w:tcPr>
            <w:tcW w:w="3192" w:type="dxa"/>
          </w:tcPr>
          <w:p w14:paraId="31FA94F5" w14:textId="77777777" w:rsidR="00EB138A" w:rsidRPr="00B0605C" w:rsidRDefault="00EB138A" w:rsidP="00E2027D">
            <w:pPr>
              <w:pStyle w:val="BodyTextMain"/>
              <w:jc w:val="center"/>
              <w:rPr>
                <w:rFonts w:ascii="Arial" w:eastAsiaTheme="minorEastAsia" w:hAnsi="Arial" w:cs="Arial"/>
                <w:sz w:val="20"/>
                <w:lang w:val="en-GB" w:eastAsia="ko-KR"/>
              </w:rPr>
            </w:pPr>
            <w:r w:rsidRPr="00B0605C">
              <w:rPr>
                <w:rFonts w:ascii="Arial" w:eastAsiaTheme="minorEastAsia" w:hAnsi="Arial" w:cs="Arial"/>
                <w:sz w:val="20"/>
                <w:lang w:val="en-GB" w:eastAsia="ko-KR"/>
              </w:rPr>
              <w:t>3.7</w:t>
            </w:r>
          </w:p>
        </w:tc>
      </w:tr>
      <w:tr w:rsidR="00EB138A" w:rsidRPr="00B0605C" w14:paraId="2523F050" w14:textId="77777777" w:rsidTr="008A46AE">
        <w:trPr>
          <w:jc w:val="center"/>
        </w:trPr>
        <w:tc>
          <w:tcPr>
            <w:tcW w:w="3192" w:type="dxa"/>
          </w:tcPr>
          <w:p w14:paraId="7D9F9605" w14:textId="77777777" w:rsidR="00EB138A" w:rsidRPr="00B0605C" w:rsidRDefault="00EB138A" w:rsidP="00E2027D">
            <w:pPr>
              <w:pStyle w:val="BodyTextMain"/>
              <w:jc w:val="center"/>
              <w:rPr>
                <w:rFonts w:ascii="Arial" w:eastAsiaTheme="minorEastAsia" w:hAnsi="Arial" w:cs="Arial"/>
                <w:sz w:val="20"/>
                <w:lang w:val="en-GB" w:eastAsia="ko-KR"/>
              </w:rPr>
            </w:pPr>
            <w:r w:rsidRPr="00B0605C">
              <w:rPr>
                <w:rFonts w:ascii="Arial" w:eastAsiaTheme="minorEastAsia" w:hAnsi="Arial" w:cs="Arial"/>
                <w:sz w:val="20"/>
                <w:lang w:val="en-GB" w:eastAsia="ko-KR"/>
              </w:rPr>
              <w:t>2015</w:t>
            </w:r>
          </w:p>
        </w:tc>
        <w:tc>
          <w:tcPr>
            <w:tcW w:w="3192" w:type="dxa"/>
          </w:tcPr>
          <w:p w14:paraId="6E4B431D" w14:textId="77777777" w:rsidR="00EB138A" w:rsidRPr="00B0605C" w:rsidRDefault="00EB138A" w:rsidP="00E2027D">
            <w:pPr>
              <w:pStyle w:val="BodyTextMain"/>
              <w:jc w:val="center"/>
              <w:rPr>
                <w:rFonts w:ascii="Arial" w:eastAsiaTheme="minorEastAsia" w:hAnsi="Arial" w:cs="Arial"/>
                <w:sz w:val="20"/>
                <w:lang w:val="en-GB" w:eastAsia="ko-KR"/>
              </w:rPr>
            </w:pPr>
            <w:r w:rsidRPr="00B0605C">
              <w:rPr>
                <w:rFonts w:ascii="Arial" w:eastAsiaTheme="minorEastAsia" w:hAnsi="Arial" w:cs="Arial"/>
                <w:sz w:val="20"/>
                <w:lang w:val="en-GB" w:eastAsia="ko-KR"/>
              </w:rPr>
              <w:t>42,312,216</w:t>
            </w:r>
          </w:p>
        </w:tc>
        <w:tc>
          <w:tcPr>
            <w:tcW w:w="3192" w:type="dxa"/>
          </w:tcPr>
          <w:p w14:paraId="585A8EC5" w14:textId="77777777" w:rsidR="00EB138A" w:rsidRPr="00B0605C" w:rsidRDefault="00EB138A" w:rsidP="00E2027D">
            <w:pPr>
              <w:pStyle w:val="BodyTextMain"/>
              <w:jc w:val="center"/>
              <w:rPr>
                <w:rFonts w:ascii="Arial" w:eastAsiaTheme="minorEastAsia" w:hAnsi="Arial" w:cs="Arial"/>
                <w:sz w:val="20"/>
                <w:lang w:val="en-GB" w:eastAsia="ko-KR"/>
              </w:rPr>
            </w:pPr>
            <w:r w:rsidRPr="00B0605C">
              <w:rPr>
                <w:rFonts w:ascii="Arial" w:eastAsiaTheme="minorEastAsia" w:hAnsi="Arial" w:cs="Arial"/>
                <w:sz w:val="20"/>
                <w:lang w:val="en-GB" w:eastAsia="ko-KR"/>
              </w:rPr>
              <w:t>2.9</w:t>
            </w:r>
          </w:p>
        </w:tc>
      </w:tr>
      <w:tr w:rsidR="00EB138A" w:rsidRPr="00B0605C" w14:paraId="6121E2F7" w14:textId="77777777" w:rsidTr="008A46AE">
        <w:trPr>
          <w:jc w:val="center"/>
        </w:trPr>
        <w:tc>
          <w:tcPr>
            <w:tcW w:w="9576" w:type="dxa"/>
            <w:gridSpan w:val="3"/>
            <w:shd w:val="clear" w:color="auto" w:fill="F2F2F2" w:themeFill="background1" w:themeFillShade="F2"/>
          </w:tcPr>
          <w:p w14:paraId="6EC6F13F" w14:textId="77777777" w:rsidR="00EB138A" w:rsidRPr="00B0605C" w:rsidRDefault="00EB138A" w:rsidP="00E2027D">
            <w:pPr>
              <w:pStyle w:val="BodyTextMain"/>
              <w:jc w:val="right"/>
              <w:rPr>
                <w:rFonts w:ascii="Arial" w:eastAsiaTheme="minorEastAsia" w:hAnsi="Arial" w:cs="Arial"/>
                <w:sz w:val="20"/>
                <w:lang w:val="en-GB" w:eastAsia="ko-KR"/>
              </w:rPr>
            </w:pPr>
          </w:p>
        </w:tc>
      </w:tr>
      <w:tr w:rsidR="00EB138A" w:rsidRPr="00B0605C" w14:paraId="0FAB2A8B" w14:textId="77777777" w:rsidTr="008A46AE">
        <w:trPr>
          <w:jc w:val="center"/>
        </w:trPr>
        <w:tc>
          <w:tcPr>
            <w:tcW w:w="6384" w:type="dxa"/>
            <w:gridSpan w:val="2"/>
            <w:shd w:val="clear" w:color="auto" w:fill="auto"/>
          </w:tcPr>
          <w:p w14:paraId="6C0CF8EA" w14:textId="0FC6D7B4" w:rsidR="00EB138A" w:rsidRPr="00B0605C" w:rsidRDefault="00EB138A" w:rsidP="00E2027D">
            <w:pPr>
              <w:pStyle w:val="BodyTextMain"/>
              <w:jc w:val="right"/>
              <w:rPr>
                <w:rFonts w:ascii="Arial" w:eastAsiaTheme="minorEastAsia" w:hAnsi="Arial" w:cs="Arial"/>
                <w:i/>
                <w:sz w:val="20"/>
                <w:lang w:val="en-GB" w:eastAsia="ko-KR"/>
              </w:rPr>
            </w:pPr>
            <w:r w:rsidRPr="00B0605C">
              <w:rPr>
                <w:rFonts w:ascii="Arial" w:eastAsiaTheme="minorEastAsia" w:hAnsi="Arial" w:cs="Arial"/>
                <w:i/>
                <w:sz w:val="20"/>
                <w:lang w:val="en-GB" w:eastAsia="ko-KR"/>
              </w:rPr>
              <w:t>Compound Annual Growth Rate</w:t>
            </w:r>
            <w:r w:rsidR="004B4223">
              <w:rPr>
                <w:rFonts w:ascii="Arial" w:eastAsiaTheme="minorEastAsia" w:hAnsi="Arial" w:cs="Arial"/>
                <w:i/>
                <w:sz w:val="20"/>
                <w:lang w:val="en-GB" w:eastAsia="ko-KR"/>
              </w:rPr>
              <w:t xml:space="preserve"> (2005-2015)</w:t>
            </w:r>
          </w:p>
        </w:tc>
        <w:tc>
          <w:tcPr>
            <w:tcW w:w="3192" w:type="dxa"/>
            <w:shd w:val="clear" w:color="auto" w:fill="auto"/>
          </w:tcPr>
          <w:p w14:paraId="48B62B62" w14:textId="65DA0F4F" w:rsidR="00EB138A" w:rsidRPr="00B0605C" w:rsidRDefault="00EB138A" w:rsidP="00E10B29">
            <w:pPr>
              <w:pStyle w:val="BodyTextMain"/>
              <w:jc w:val="center"/>
              <w:rPr>
                <w:rFonts w:ascii="Arial" w:eastAsiaTheme="minorEastAsia" w:hAnsi="Arial" w:cs="Arial"/>
                <w:b/>
                <w:bCs/>
                <w:i/>
                <w:iCs/>
                <w:color w:val="4F81BD" w:themeColor="accent1"/>
                <w:sz w:val="20"/>
                <w:lang w:val="en-GB" w:eastAsia="ko-KR"/>
              </w:rPr>
            </w:pPr>
            <w:r w:rsidRPr="00B0605C">
              <w:rPr>
                <w:rFonts w:ascii="Arial" w:eastAsiaTheme="minorEastAsia" w:hAnsi="Arial" w:cs="Arial"/>
                <w:i/>
                <w:sz w:val="20"/>
                <w:lang w:val="en-GB" w:eastAsia="ko-KR"/>
              </w:rPr>
              <w:t>0.9%</w:t>
            </w:r>
          </w:p>
        </w:tc>
      </w:tr>
      <w:tr w:rsidR="00EB138A" w:rsidRPr="00B0605C" w14:paraId="5999137C" w14:textId="77777777" w:rsidTr="008A46AE">
        <w:trPr>
          <w:jc w:val="center"/>
        </w:trPr>
        <w:tc>
          <w:tcPr>
            <w:tcW w:w="6384" w:type="dxa"/>
            <w:gridSpan w:val="2"/>
            <w:shd w:val="clear" w:color="auto" w:fill="auto"/>
          </w:tcPr>
          <w:p w14:paraId="348BC51A" w14:textId="2DAEA64E" w:rsidR="00EB138A" w:rsidRPr="00B0605C" w:rsidRDefault="00EB138A" w:rsidP="004B4223">
            <w:pPr>
              <w:pStyle w:val="BodyTextMain"/>
              <w:jc w:val="right"/>
              <w:rPr>
                <w:rFonts w:ascii="Arial" w:eastAsiaTheme="minorEastAsia" w:hAnsi="Arial" w:cs="Arial"/>
                <w:i/>
                <w:sz w:val="20"/>
                <w:lang w:val="en-GB" w:eastAsia="ko-KR"/>
              </w:rPr>
            </w:pPr>
            <w:r w:rsidRPr="00B0605C">
              <w:rPr>
                <w:rFonts w:ascii="Arial" w:eastAsiaTheme="minorEastAsia" w:hAnsi="Arial" w:cs="Arial"/>
                <w:i/>
                <w:sz w:val="20"/>
                <w:lang w:val="en-GB" w:eastAsia="ko-KR"/>
              </w:rPr>
              <w:t>Compound Annual Growth Rate</w:t>
            </w:r>
            <w:r w:rsidR="004B4223">
              <w:rPr>
                <w:rFonts w:ascii="Arial" w:eastAsiaTheme="minorEastAsia" w:hAnsi="Arial" w:cs="Arial"/>
                <w:i/>
                <w:sz w:val="20"/>
                <w:lang w:val="en-GB" w:eastAsia="ko-KR"/>
              </w:rPr>
              <w:t xml:space="preserve"> (2010-2015)</w:t>
            </w:r>
          </w:p>
        </w:tc>
        <w:tc>
          <w:tcPr>
            <w:tcW w:w="3192" w:type="dxa"/>
            <w:shd w:val="clear" w:color="auto" w:fill="auto"/>
          </w:tcPr>
          <w:p w14:paraId="71154F88" w14:textId="798A348B" w:rsidR="00EB138A" w:rsidRPr="00B0605C" w:rsidRDefault="00EB138A" w:rsidP="00E10B29">
            <w:pPr>
              <w:pStyle w:val="BodyTextMain"/>
              <w:jc w:val="center"/>
              <w:rPr>
                <w:rFonts w:ascii="Arial" w:eastAsiaTheme="minorEastAsia" w:hAnsi="Arial" w:cs="Arial"/>
                <w:b/>
                <w:bCs/>
                <w:i/>
                <w:iCs/>
                <w:color w:val="4F81BD" w:themeColor="accent1"/>
                <w:sz w:val="20"/>
                <w:lang w:val="en-GB" w:eastAsia="ko-KR"/>
              </w:rPr>
            </w:pPr>
            <w:r w:rsidRPr="00B0605C">
              <w:rPr>
                <w:rFonts w:ascii="Arial" w:eastAsiaTheme="minorEastAsia" w:hAnsi="Arial" w:cs="Arial"/>
                <w:i/>
                <w:sz w:val="20"/>
                <w:lang w:val="en-GB" w:eastAsia="ko-KR"/>
              </w:rPr>
              <w:t>2.5%</w:t>
            </w:r>
          </w:p>
        </w:tc>
      </w:tr>
      <w:tr w:rsidR="00EB138A" w:rsidRPr="00B0605C" w14:paraId="2980B300" w14:textId="77777777" w:rsidTr="008A46AE">
        <w:trPr>
          <w:jc w:val="center"/>
        </w:trPr>
        <w:tc>
          <w:tcPr>
            <w:tcW w:w="9576" w:type="dxa"/>
            <w:gridSpan w:val="3"/>
            <w:shd w:val="clear" w:color="auto" w:fill="F2F2F2" w:themeFill="background1" w:themeFillShade="F2"/>
          </w:tcPr>
          <w:p w14:paraId="608D5848" w14:textId="77777777" w:rsidR="00EB138A" w:rsidRPr="00B0605C" w:rsidRDefault="00EB138A" w:rsidP="00E2027D">
            <w:pPr>
              <w:pStyle w:val="BodyTextMain"/>
              <w:jc w:val="right"/>
              <w:rPr>
                <w:rFonts w:ascii="Arial" w:eastAsiaTheme="minorEastAsia" w:hAnsi="Arial" w:cs="Arial"/>
                <w:sz w:val="20"/>
                <w:lang w:val="en-GB" w:eastAsia="ko-KR"/>
              </w:rPr>
            </w:pPr>
          </w:p>
        </w:tc>
      </w:tr>
      <w:tr w:rsidR="00EB138A" w:rsidRPr="00B0605C" w14:paraId="1B59893E" w14:textId="77777777" w:rsidTr="008A46AE">
        <w:trPr>
          <w:jc w:val="center"/>
        </w:trPr>
        <w:tc>
          <w:tcPr>
            <w:tcW w:w="3192" w:type="dxa"/>
          </w:tcPr>
          <w:p w14:paraId="495FCF9B" w14:textId="77777777" w:rsidR="00EB138A" w:rsidRPr="00B0605C" w:rsidRDefault="00EB138A" w:rsidP="00E2027D">
            <w:pPr>
              <w:pStyle w:val="BodyTextMain"/>
              <w:jc w:val="center"/>
              <w:rPr>
                <w:rFonts w:ascii="Arial" w:eastAsiaTheme="minorEastAsia" w:hAnsi="Arial" w:cs="Arial"/>
                <w:b/>
                <w:sz w:val="20"/>
                <w:lang w:val="en-GB" w:eastAsia="ko-KR"/>
              </w:rPr>
            </w:pPr>
            <w:r w:rsidRPr="00B0605C">
              <w:rPr>
                <w:rFonts w:ascii="Arial" w:eastAsiaTheme="minorEastAsia" w:hAnsi="Arial" w:cs="Arial"/>
                <w:b/>
                <w:sz w:val="20"/>
                <w:lang w:val="en-GB" w:eastAsia="ko-KR"/>
              </w:rPr>
              <w:t>Year-to-Date:</w:t>
            </w:r>
          </w:p>
        </w:tc>
        <w:tc>
          <w:tcPr>
            <w:tcW w:w="3192" w:type="dxa"/>
          </w:tcPr>
          <w:p w14:paraId="7BAC4785" w14:textId="77777777" w:rsidR="00EB138A" w:rsidRPr="00B0605C" w:rsidRDefault="00EB138A" w:rsidP="00E2027D">
            <w:pPr>
              <w:pStyle w:val="BodyTextMain"/>
              <w:jc w:val="right"/>
              <w:rPr>
                <w:rFonts w:ascii="Arial" w:eastAsiaTheme="minorEastAsia" w:hAnsi="Arial" w:cs="Arial"/>
                <w:sz w:val="20"/>
                <w:lang w:val="en-GB" w:eastAsia="ko-KR"/>
              </w:rPr>
            </w:pPr>
          </w:p>
        </w:tc>
        <w:tc>
          <w:tcPr>
            <w:tcW w:w="3192" w:type="dxa"/>
          </w:tcPr>
          <w:p w14:paraId="1B40ADD5" w14:textId="77777777" w:rsidR="00EB138A" w:rsidRPr="00B0605C" w:rsidRDefault="00EB138A" w:rsidP="00E2027D">
            <w:pPr>
              <w:pStyle w:val="BodyTextMain"/>
              <w:jc w:val="right"/>
              <w:rPr>
                <w:rFonts w:ascii="Arial" w:eastAsiaTheme="minorEastAsia" w:hAnsi="Arial" w:cs="Arial"/>
                <w:sz w:val="20"/>
                <w:lang w:val="en-GB" w:eastAsia="ko-KR"/>
              </w:rPr>
            </w:pPr>
          </w:p>
        </w:tc>
      </w:tr>
      <w:tr w:rsidR="00EB138A" w:rsidRPr="00B0605C" w14:paraId="663B7319" w14:textId="77777777" w:rsidTr="008A46AE">
        <w:trPr>
          <w:jc w:val="center"/>
        </w:trPr>
        <w:tc>
          <w:tcPr>
            <w:tcW w:w="3192" w:type="dxa"/>
          </w:tcPr>
          <w:p w14:paraId="54F2C03A" w14:textId="77777777" w:rsidR="00EB138A" w:rsidRPr="00B0605C" w:rsidRDefault="00EB138A" w:rsidP="00E2027D">
            <w:pPr>
              <w:pStyle w:val="BodyTextMain"/>
              <w:jc w:val="center"/>
              <w:rPr>
                <w:rFonts w:ascii="Arial" w:eastAsiaTheme="minorEastAsia" w:hAnsi="Arial" w:cs="Arial"/>
                <w:sz w:val="20"/>
                <w:lang w:val="en-GB" w:eastAsia="ko-KR"/>
              </w:rPr>
            </w:pPr>
            <w:r w:rsidRPr="00B0605C">
              <w:rPr>
                <w:rFonts w:ascii="Arial" w:eastAsiaTheme="minorEastAsia" w:hAnsi="Arial" w:cs="Arial"/>
                <w:sz w:val="20"/>
                <w:lang w:val="en-GB" w:eastAsia="ko-KR"/>
              </w:rPr>
              <w:t>September 2015</w:t>
            </w:r>
          </w:p>
        </w:tc>
        <w:tc>
          <w:tcPr>
            <w:tcW w:w="3192" w:type="dxa"/>
          </w:tcPr>
          <w:p w14:paraId="7FC54D74" w14:textId="77777777" w:rsidR="00EB138A" w:rsidRPr="00B0605C" w:rsidRDefault="00EB138A" w:rsidP="00E2027D">
            <w:pPr>
              <w:pStyle w:val="BodyTextMain"/>
              <w:jc w:val="center"/>
              <w:rPr>
                <w:rFonts w:ascii="Arial" w:eastAsiaTheme="minorEastAsia" w:hAnsi="Arial" w:cs="Arial"/>
                <w:sz w:val="20"/>
                <w:lang w:val="en-GB" w:eastAsia="ko-KR"/>
              </w:rPr>
            </w:pPr>
            <w:r w:rsidRPr="00B0605C">
              <w:rPr>
                <w:rFonts w:ascii="Arial" w:eastAsiaTheme="minorEastAsia" w:hAnsi="Arial" w:cs="Arial"/>
                <w:sz w:val="20"/>
                <w:lang w:val="en-GB" w:eastAsia="ko-KR"/>
              </w:rPr>
              <w:t>31,887,951</w:t>
            </w:r>
          </w:p>
        </w:tc>
        <w:tc>
          <w:tcPr>
            <w:tcW w:w="3192" w:type="dxa"/>
          </w:tcPr>
          <w:p w14:paraId="4F3959EB" w14:textId="26A4951C" w:rsidR="00EB138A" w:rsidRPr="00B0605C" w:rsidRDefault="00E04AA9" w:rsidP="00E2027D">
            <w:pPr>
              <w:pStyle w:val="BodyTextMain"/>
              <w:jc w:val="center"/>
              <w:rPr>
                <w:rFonts w:ascii="Arial" w:eastAsiaTheme="minorEastAsia" w:hAnsi="Arial" w:cs="Arial"/>
                <w:sz w:val="20"/>
                <w:lang w:val="en-GB" w:eastAsia="ko-KR"/>
              </w:rPr>
            </w:pPr>
            <w:r>
              <w:rPr>
                <w:rFonts w:ascii="Arial" w:eastAsiaTheme="minorEastAsia" w:hAnsi="Arial" w:cs="Arial"/>
                <w:sz w:val="20"/>
                <w:lang w:val="en-GB" w:eastAsia="ko-KR"/>
              </w:rPr>
              <w:t>-</w:t>
            </w:r>
          </w:p>
        </w:tc>
      </w:tr>
      <w:tr w:rsidR="00EB138A" w:rsidRPr="00B0605C" w14:paraId="62C32E40" w14:textId="77777777" w:rsidTr="008A46AE">
        <w:trPr>
          <w:jc w:val="center"/>
        </w:trPr>
        <w:tc>
          <w:tcPr>
            <w:tcW w:w="3192" w:type="dxa"/>
          </w:tcPr>
          <w:p w14:paraId="11BB610C" w14:textId="77777777" w:rsidR="00EB138A" w:rsidRPr="00B0605C" w:rsidRDefault="00EB138A" w:rsidP="00E2027D">
            <w:pPr>
              <w:pStyle w:val="BodyTextMain"/>
              <w:jc w:val="center"/>
              <w:rPr>
                <w:rFonts w:ascii="Arial" w:eastAsiaTheme="minorEastAsia" w:hAnsi="Arial" w:cs="Arial"/>
                <w:sz w:val="20"/>
                <w:lang w:val="en-GB" w:eastAsia="ko-KR"/>
              </w:rPr>
            </w:pPr>
            <w:r w:rsidRPr="00B0605C">
              <w:rPr>
                <w:rFonts w:ascii="Arial" w:eastAsiaTheme="minorEastAsia" w:hAnsi="Arial" w:cs="Arial"/>
                <w:sz w:val="20"/>
                <w:lang w:val="en-GB" w:eastAsia="ko-KR"/>
              </w:rPr>
              <w:t>September 2016</w:t>
            </w:r>
          </w:p>
        </w:tc>
        <w:tc>
          <w:tcPr>
            <w:tcW w:w="3192" w:type="dxa"/>
          </w:tcPr>
          <w:p w14:paraId="5C86D077" w14:textId="77777777" w:rsidR="00EB138A" w:rsidRPr="00B0605C" w:rsidRDefault="00EB138A" w:rsidP="00E2027D">
            <w:pPr>
              <w:pStyle w:val="BodyTextMain"/>
              <w:jc w:val="center"/>
              <w:rPr>
                <w:rFonts w:ascii="Arial" w:eastAsiaTheme="minorEastAsia" w:hAnsi="Arial" w:cs="Arial"/>
                <w:sz w:val="20"/>
                <w:lang w:val="en-GB" w:eastAsia="ko-KR"/>
              </w:rPr>
            </w:pPr>
            <w:r w:rsidRPr="00B0605C">
              <w:rPr>
                <w:rFonts w:ascii="Arial" w:eastAsiaTheme="minorEastAsia" w:hAnsi="Arial" w:cs="Arial"/>
                <w:sz w:val="20"/>
                <w:lang w:val="en-GB" w:eastAsia="ko-KR"/>
              </w:rPr>
              <w:t>32,469,130</w:t>
            </w:r>
          </w:p>
        </w:tc>
        <w:tc>
          <w:tcPr>
            <w:tcW w:w="3192" w:type="dxa"/>
          </w:tcPr>
          <w:p w14:paraId="3AF84D88" w14:textId="460EB973" w:rsidR="00EB138A" w:rsidRPr="00B0605C" w:rsidRDefault="00EB138A" w:rsidP="00E2027D">
            <w:pPr>
              <w:pStyle w:val="BodyTextMain"/>
              <w:jc w:val="center"/>
              <w:rPr>
                <w:rFonts w:ascii="Arial" w:eastAsiaTheme="minorEastAsia" w:hAnsi="Arial" w:cs="Arial"/>
                <w:sz w:val="20"/>
                <w:lang w:val="en-GB" w:eastAsia="ko-KR"/>
              </w:rPr>
            </w:pPr>
            <w:r w:rsidRPr="00B0605C">
              <w:rPr>
                <w:rFonts w:ascii="Arial" w:eastAsiaTheme="minorEastAsia" w:hAnsi="Arial" w:cs="Arial"/>
                <w:sz w:val="20"/>
                <w:lang w:val="en-GB" w:eastAsia="ko-KR"/>
              </w:rPr>
              <w:t>1.8%</w:t>
            </w:r>
          </w:p>
        </w:tc>
      </w:tr>
    </w:tbl>
    <w:p w14:paraId="74D230E7" w14:textId="77777777" w:rsidR="00EB138A" w:rsidRPr="00B0605C" w:rsidRDefault="00EB138A" w:rsidP="00EB138A">
      <w:pPr>
        <w:pStyle w:val="ExhibitHeading"/>
        <w:jc w:val="left"/>
        <w:rPr>
          <w:rFonts w:eastAsiaTheme="minorEastAsia"/>
          <w:sz w:val="17"/>
          <w:szCs w:val="17"/>
          <w:lang w:val="en-GB" w:eastAsia="ko-KR"/>
        </w:rPr>
      </w:pPr>
    </w:p>
    <w:p w14:paraId="3EAAFE16" w14:textId="18C33C47" w:rsidR="00EB138A" w:rsidRPr="00B0605C" w:rsidRDefault="00EB138A" w:rsidP="00E10B29">
      <w:pPr>
        <w:jc w:val="both"/>
        <w:rPr>
          <w:rFonts w:ascii="Arial" w:hAnsi="Arial" w:cs="Arial"/>
          <w:sz w:val="17"/>
          <w:szCs w:val="17"/>
          <w:lang w:val="en-GB"/>
        </w:rPr>
      </w:pPr>
      <w:r w:rsidRPr="00B0605C">
        <w:rPr>
          <w:rFonts w:ascii="Arial" w:eastAsiaTheme="minorEastAsia" w:hAnsi="Arial" w:cs="Arial"/>
          <w:sz w:val="17"/>
          <w:szCs w:val="17"/>
          <w:lang w:val="en-GB" w:eastAsia="ko-KR"/>
        </w:rPr>
        <w:t xml:space="preserve">Source: Shanna Okada and Bomie Kim, “Las Vegas Casino &amp; Hotel Market Outlook 2016,” </w:t>
      </w:r>
      <w:r w:rsidRPr="00B0605C">
        <w:rPr>
          <w:rFonts w:ascii="Arial" w:eastAsiaTheme="minorEastAsia" w:hAnsi="Arial" w:cs="Arial"/>
          <w:i/>
          <w:sz w:val="17"/>
          <w:szCs w:val="17"/>
          <w:lang w:val="en-GB" w:eastAsia="ko-KR"/>
        </w:rPr>
        <w:t>HVS Gaming Division</w:t>
      </w:r>
      <w:r w:rsidRPr="00B0605C">
        <w:rPr>
          <w:rFonts w:ascii="Arial" w:eastAsiaTheme="minorEastAsia" w:hAnsi="Arial" w:cs="Arial"/>
          <w:sz w:val="17"/>
          <w:szCs w:val="17"/>
          <w:lang w:val="en-GB" w:eastAsia="ko-KR"/>
        </w:rPr>
        <w:t xml:space="preserve">, November </w:t>
      </w:r>
      <w:r w:rsidR="00EF2484">
        <w:rPr>
          <w:rFonts w:ascii="Arial" w:eastAsiaTheme="minorEastAsia" w:hAnsi="Arial" w:cs="Arial"/>
          <w:sz w:val="17"/>
          <w:szCs w:val="17"/>
          <w:lang w:val="en-GB" w:eastAsia="ko-KR"/>
        </w:rPr>
        <w:t xml:space="preserve">21, </w:t>
      </w:r>
      <w:r w:rsidRPr="00B0605C">
        <w:rPr>
          <w:rFonts w:ascii="Arial" w:eastAsiaTheme="minorEastAsia" w:hAnsi="Arial" w:cs="Arial"/>
          <w:sz w:val="17"/>
          <w:szCs w:val="17"/>
          <w:lang w:val="en-GB" w:eastAsia="ko-KR"/>
        </w:rPr>
        <w:t xml:space="preserve">2016, accessed June 22, 2017, </w:t>
      </w:r>
      <w:r w:rsidRPr="00B0605C">
        <w:rPr>
          <w:rFonts w:ascii="Arial" w:hAnsi="Arial" w:cs="Arial"/>
          <w:sz w:val="17"/>
          <w:szCs w:val="17"/>
          <w:lang w:val="en-GB"/>
        </w:rPr>
        <w:t>https://hvs.com/article/7865-las-vegas-casino-hotel-market-outlook-2016</w:t>
      </w:r>
      <w:r w:rsidR="00865D71" w:rsidRPr="00B0605C">
        <w:rPr>
          <w:rFonts w:ascii="Arial" w:hAnsi="Arial" w:cs="Arial"/>
          <w:sz w:val="17"/>
          <w:szCs w:val="17"/>
          <w:lang w:val="en-GB"/>
        </w:rPr>
        <w:t>.</w:t>
      </w:r>
    </w:p>
    <w:p w14:paraId="769518B4" w14:textId="77777777" w:rsidR="00EB138A" w:rsidRPr="00B0605C" w:rsidRDefault="00EB138A" w:rsidP="00EB138A">
      <w:pPr>
        <w:pStyle w:val="ExhibitHeading"/>
        <w:rPr>
          <w:rFonts w:eastAsiaTheme="minorEastAsia"/>
          <w:lang w:val="en-GB" w:eastAsia="ko-KR"/>
        </w:rPr>
      </w:pPr>
    </w:p>
    <w:p w14:paraId="4FE90109" w14:textId="77777777" w:rsidR="000F637A" w:rsidRPr="00B0605C" w:rsidRDefault="000F637A" w:rsidP="00EB138A">
      <w:pPr>
        <w:pStyle w:val="ExhibitHeading"/>
        <w:rPr>
          <w:rFonts w:eastAsiaTheme="minorEastAsia"/>
          <w:lang w:val="en-GB" w:eastAsia="ko-KR"/>
        </w:rPr>
      </w:pPr>
    </w:p>
    <w:p w14:paraId="2EB60516" w14:textId="2C93E3F7" w:rsidR="00EB138A" w:rsidRPr="00B0605C" w:rsidRDefault="00EB138A" w:rsidP="00EB138A">
      <w:pPr>
        <w:pStyle w:val="ExhibitHeading"/>
        <w:rPr>
          <w:rFonts w:eastAsiaTheme="minorEastAsia"/>
          <w:lang w:val="en-GB" w:eastAsia="ko-KR"/>
        </w:rPr>
      </w:pPr>
      <w:r w:rsidRPr="00B0605C">
        <w:rPr>
          <w:rFonts w:eastAsiaTheme="minorEastAsia"/>
          <w:lang w:val="en-GB" w:eastAsia="ko-KR"/>
        </w:rPr>
        <w:t xml:space="preserve">Exhibit 2: </w:t>
      </w:r>
      <w:r w:rsidR="00FE2BA2" w:rsidRPr="00B0605C">
        <w:rPr>
          <w:rFonts w:eastAsiaTheme="minorEastAsia"/>
          <w:lang w:val="en-GB" w:eastAsia="ko-KR"/>
        </w:rPr>
        <w:t>MCCARRAN INTERNATIONAL AIRPORT OPERATING STATISTICS</w:t>
      </w:r>
      <w:r w:rsidR="00EF2484">
        <w:rPr>
          <w:rFonts w:eastAsiaTheme="minorEastAsia"/>
          <w:lang w:val="en-GB" w:eastAsia="ko-KR"/>
        </w:rPr>
        <w:t>, 2005–2015</w:t>
      </w:r>
      <w:r w:rsidR="00B0605C" w:rsidRPr="00B0605C">
        <w:rPr>
          <w:rFonts w:eastAsiaTheme="minorEastAsia"/>
          <w:lang w:val="en-GB" w:eastAsia="ko-KR"/>
        </w:rPr>
        <w:t xml:space="preserve"> </w:t>
      </w:r>
    </w:p>
    <w:p w14:paraId="4F188865" w14:textId="77777777" w:rsidR="00EB138A" w:rsidRPr="00B0605C" w:rsidRDefault="00EB138A" w:rsidP="00EB138A">
      <w:pPr>
        <w:pStyle w:val="ExhibitHeading"/>
        <w:jc w:val="left"/>
        <w:rPr>
          <w:rFonts w:eastAsiaTheme="minorEastAsia"/>
          <w:lang w:val="en-GB" w:eastAsia="ko-KR"/>
        </w:rPr>
      </w:pPr>
    </w:p>
    <w:tbl>
      <w:tblPr>
        <w:tblStyle w:val="TableGrid"/>
        <w:tblW w:w="0" w:type="auto"/>
        <w:jc w:val="center"/>
        <w:tblLook w:val="04A0" w:firstRow="1" w:lastRow="0" w:firstColumn="1" w:lastColumn="0" w:noHBand="0" w:noVBand="1"/>
      </w:tblPr>
      <w:tblGrid>
        <w:gridCol w:w="2320"/>
        <w:gridCol w:w="2322"/>
        <w:gridCol w:w="2354"/>
        <w:gridCol w:w="2354"/>
      </w:tblGrid>
      <w:tr w:rsidR="00EB138A" w:rsidRPr="00B0605C" w14:paraId="0901CDA6" w14:textId="77777777" w:rsidTr="008A46AE">
        <w:trPr>
          <w:jc w:val="center"/>
        </w:trPr>
        <w:tc>
          <w:tcPr>
            <w:tcW w:w="2394" w:type="dxa"/>
            <w:shd w:val="clear" w:color="auto" w:fill="D9D9D9" w:themeFill="background1" w:themeFillShade="D9"/>
          </w:tcPr>
          <w:p w14:paraId="7B357563" w14:textId="77777777" w:rsidR="00EB138A" w:rsidRPr="00B0605C" w:rsidRDefault="00EB138A" w:rsidP="00FE2BA2">
            <w:pPr>
              <w:pStyle w:val="BodyTextMain"/>
              <w:jc w:val="center"/>
              <w:rPr>
                <w:rFonts w:ascii="Arial" w:eastAsiaTheme="minorEastAsia" w:hAnsi="Arial" w:cs="Arial"/>
                <w:b/>
                <w:sz w:val="20"/>
                <w:szCs w:val="20"/>
                <w:lang w:val="en-GB" w:eastAsia="ko-KR"/>
              </w:rPr>
            </w:pPr>
            <w:r w:rsidRPr="00B0605C">
              <w:rPr>
                <w:rFonts w:ascii="Arial" w:eastAsiaTheme="minorEastAsia" w:hAnsi="Arial" w:cs="Arial"/>
                <w:b/>
                <w:sz w:val="20"/>
                <w:szCs w:val="20"/>
                <w:lang w:val="en-GB" w:eastAsia="ko-KR"/>
              </w:rPr>
              <w:t>Year</w:t>
            </w:r>
          </w:p>
        </w:tc>
        <w:tc>
          <w:tcPr>
            <w:tcW w:w="2394" w:type="dxa"/>
            <w:shd w:val="clear" w:color="auto" w:fill="D9D9D9" w:themeFill="background1" w:themeFillShade="D9"/>
          </w:tcPr>
          <w:p w14:paraId="4CE549FB" w14:textId="72B558F5" w:rsidR="00EB138A" w:rsidRPr="00B0605C" w:rsidRDefault="00FE2BA2" w:rsidP="00EF2484">
            <w:pPr>
              <w:pStyle w:val="BodyTextMain"/>
              <w:jc w:val="center"/>
              <w:rPr>
                <w:rFonts w:ascii="Arial" w:eastAsiaTheme="minorEastAsia" w:hAnsi="Arial" w:cs="Arial"/>
                <w:b/>
                <w:sz w:val="20"/>
                <w:szCs w:val="20"/>
                <w:lang w:val="en-GB" w:eastAsia="ko-KR"/>
              </w:rPr>
            </w:pPr>
            <w:r w:rsidRPr="00B0605C">
              <w:rPr>
                <w:rFonts w:ascii="Arial" w:eastAsiaTheme="minorEastAsia" w:hAnsi="Arial" w:cs="Arial"/>
                <w:b/>
                <w:sz w:val="20"/>
                <w:szCs w:val="20"/>
                <w:lang w:val="en-GB" w:eastAsia="ko-KR"/>
              </w:rPr>
              <w:t>P</w:t>
            </w:r>
            <w:r w:rsidR="00EB138A" w:rsidRPr="00B0605C">
              <w:rPr>
                <w:rFonts w:ascii="Arial" w:eastAsiaTheme="minorEastAsia" w:hAnsi="Arial" w:cs="Arial"/>
                <w:b/>
                <w:sz w:val="20"/>
                <w:szCs w:val="20"/>
                <w:lang w:val="en-GB" w:eastAsia="ko-KR"/>
              </w:rPr>
              <w:t xml:space="preserve">assenger </w:t>
            </w:r>
            <w:r w:rsidR="00EF2484">
              <w:rPr>
                <w:rFonts w:ascii="Arial" w:eastAsiaTheme="minorEastAsia" w:hAnsi="Arial" w:cs="Arial"/>
                <w:b/>
                <w:sz w:val="20"/>
                <w:szCs w:val="20"/>
                <w:lang w:val="en-GB" w:eastAsia="ko-KR"/>
              </w:rPr>
              <w:t>T</w:t>
            </w:r>
            <w:r w:rsidR="00EB138A" w:rsidRPr="00B0605C">
              <w:rPr>
                <w:rFonts w:ascii="Arial" w:eastAsiaTheme="minorEastAsia" w:hAnsi="Arial" w:cs="Arial"/>
                <w:b/>
                <w:sz w:val="20"/>
                <w:szCs w:val="20"/>
                <w:lang w:val="en-GB" w:eastAsia="ko-KR"/>
              </w:rPr>
              <w:t>raffic</w:t>
            </w:r>
          </w:p>
        </w:tc>
        <w:tc>
          <w:tcPr>
            <w:tcW w:w="2394" w:type="dxa"/>
            <w:shd w:val="clear" w:color="auto" w:fill="D9D9D9" w:themeFill="background1" w:themeFillShade="D9"/>
          </w:tcPr>
          <w:p w14:paraId="1353F522" w14:textId="408BC379" w:rsidR="00EB138A" w:rsidRPr="00B0605C" w:rsidRDefault="00FE2BA2" w:rsidP="00EF2484">
            <w:pPr>
              <w:pStyle w:val="BodyTextMain"/>
              <w:jc w:val="center"/>
              <w:rPr>
                <w:rFonts w:ascii="Arial" w:eastAsiaTheme="minorEastAsia" w:hAnsi="Arial" w:cs="Arial"/>
                <w:b/>
                <w:sz w:val="20"/>
                <w:szCs w:val="20"/>
                <w:lang w:val="en-GB" w:eastAsia="ko-KR"/>
              </w:rPr>
            </w:pPr>
            <w:r w:rsidRPr="00B0605C">
              <w:rPr>
                <w:rFonts w:ascii="Arial" w:eastAsiaTheme="minorEastAsia" w:hAnsi="Arial" w:cs="Arial"/>
                <w:b/>
                <w:sz w:val="20"/>
                <w:szCs w:val="20"/>
                <w:lang w:val="en-GB" w:eastAsia="ko-KR"/>
              </w:rPr>
              <w:t>A</w:t>
            </w:r>
            <w:r w:rsidR="00EB138A" w:rsidRPr="00B0605C">
              <w:rPr>
                <w:rFonts w:ascii="Arial" w:eastAsiaTheme="minorEastAsia" w:hAnsi="Arial" w:cs="Arial"/>
                <w:b/>
                <w:sz w:val="20"/>
                <w:szCs w:val="20"/>
                <w:lang w:val="en-GB" w:eastAsia="ko-KR"/>
              </w:rPr>
              <w:t xml:space="preserve">nnual </w:t>
            </w:r>
            <w:r w:rsidR="00EF2484">
              <w:rPr>
                <w:rFonts w:ascii="Arial" w:eastAsiaTheme="minorEastAsia" w:hAnsi="Arial" w:cs="Arial"/>
                <w:b/>
                <w:sz w:val="20"/>
                <w:szCs w:val="20"/>
                <w:lang w:val="en-GB" w:eastAsia="ko-KR"/>
              </w:rPr>
              <w:t>A</w:t>
            </w:r>
            <w:r w:rsidR="00EB138A" w:rsidRPr="00B0605C">
              <w:rPr>
                <w:rFonts w:ascii="Arial" w:eastAsiaTheme="minorEastAsia" w:hAnsi="Arial" w:cs="Arial"/>
                <w:b/>
                <w:sz w:val="20"/>
                <w:szCs w:val="20"/>
                <w:lang w:val="en-GB" w:eastAsia="ko-KR"/>
              </w:rPr>
              <w:t xml:space="preserve">verage </w:t>
            </w:r>
            <w:r w:rsidR="00EF2484">
              <w:rPr>
                <w:rFonts w:ascii="Arial" w:eastAsiaTheme="minorEastAsia" w:hAnsi="Arial" w:cs="Arial"/>
                <w:b/>
                <w:sz w:val="20"/>
                <w:szCs w:val="20"/>
                <w:lang w:val="en-GB" w:eastAsia="ko-KR"/>
              </w:rPr>
              <w:t>C</w:t>
            </w:r>
            <w:r w:rsidR="00EB138A" w:rsidRPr="00B0605C">
              <w:rPr>
                <w:rFonts w:ascii="Arial" w:eastAsiaTheme="minorEastAsia" w:hAnsi="Arial" w:cs="Arial"/>
                <w:b/>
                <w:sz w:val="20"/>
                <w:szCs w:val="20"/>
                <w:lang w:val="en-GB" w:eastAsia="ko-KR"/>
              </w:rPr>
              <w:t xml:space="preserve">ompounded % </w:t>
            </w:r>
            <w:r w:rsidR="00EF2484">
              <w:rPr>
                <w:rFonts w:ascii="Arial" w:eastAsiaTheme="minorEastAsia" w:hAnsi="Arial" w:cs="Arial"/>
                <w:b/>
                <w:sz w:val="20"/>
                <w:szCs w:val="20"/>
                <w:lang w:val="en-GB" w:eastAsia="ko-KR"/>
              </w:rPr>
              <w:t>C</w:t>
            </w:r>
            <w:r w:rsidR="00EB138A" w:rsidRPr="00B0605C">
              <w:rPr>
                <w:rFonts w:ascii="Arial" w:eastAsiaTheme="minorEastAsia" w:hAnsi="Arial" w:cs="Arial"/>
                <w:b/>
                <w:sz w:val="20"/>
                <w:szCs w:val="20"/>
                <w:lang w:val="en-GB" w:eastAsia="ko-KR"/>
              </w:rPr>
              <w:t xml:space="preserve">hange from </w:t>
            </w:r>
            <w:r w:rsidR="00EF2484">
              <w:rPr>
                <w:rFonts w:ascii="Arial" w:eastAsiaTheme="minorEastAsia" w:hAnsi="Arial" w:cs="Arial"/>
                <w:b/>
                <w:sz w:val="20"/>
                <w:szCs w:val="20"/>
                <w:lang w:val="en-GB" w:eastAsia="ko-KR"/>
              </w:rPr>
              <w:t>P</w:t>
            </w:r>
            <w:r w:rsidR="00EB138A" w:rsidRPr="00B0605C">
              <w:rPr>
                <w:rFonts w:ascii="Arial" w:eastAsiaTheme="minorEastAsia" w:hAnsi="Arial" w:cs="Arial"/>
                <w:b/>
                <w:sz w:val="20"/>
                <w:szCs w:val="20"/>
                <w:lang w:val="en-GB" w:eastAsia="ko-KR"/>
              </w:rPr>
              <w:t xml:space="preserve">revious </w:t>
            </w:r>
            <w:r w:rsidR="00EF2484">
              <w:rPr>
                <w:rFonts w:ascii="Arial" w:eastAsiaTheme="minorEastAsia" w:hAnsi="Arial" w:cs="Arial"/>
                <w:b/>
                <w:sz w:val="20"/>
                <w:szCs w:val="20"/>
                <w:lang w:val="en-GB" w:eastAsia="ko-KR"/>
              </w:rPr>
              <w:t>Y</w:t>
            </w:r>
            <w:r w:rsidR="00EB138A" w:rsidRPr="00B0605C">
              <w:rPr>
                <w:rFonts w:ascii="Arial" w:eastAsiaTheme="minorEastAsia" w:hAnsi="Arial" w:cs="Arial"/>
                <w:b/>
                <w:sz w:val="20"/>
                <w:szCs w:val="20"/>
                <w:lang w:val="en-GB" w:eastAsia="ko-KR"/>
              </w:rPr>
              <w:t>ear</w:t>
            </w:r>
          </w:p>
        </w:tc>
        <w:tc>
          <w:tcPr>
            <w:tcW w:w="2394" w:type="dxa"/>
            <w:shd w:val="clear" w:color="auto" w:fill="D9D9D9" w:themeFill="background1" w:themeFillShade="D9"/>
          </w:tcPr>
          <w:p w14:paraId="16EFCFC1" w14:textId="5BCF580B" w:rsidR="00EB138A" w:rsidRPr="00B0605C" w:rsidRDefault="00FE2BA2" w:rsidP="00EF2484">
            <w:pPr>
              <w:pStyle w:val="BodyTextMain"/>
              <w:jc w:val="center"/>
              <w:rPr>
                <w:rFonts w:ascii="Arial" w:eastAsiaTheme="minorEastAsia" w:hAnsi="Arial" w:cs="Arial"/>
                <w:b/>
                <w:sz w:val="20"/>
                <w:szCs w:val="20"/>
                <w:lang w:val="en-GB" w:eastAsia="ko-KR"/>
              </w:rPr>
            </w:pPr>
            <w:r w:rsidRPr="00B0605C">
              <w:rPr>
                <w:rFonts w:ascii="Arial" w:eastAsiaTheme="minorEastAsia" w:hAnsi="Arial" w:cs="Arial"/>
                <w:b/>
                <w:sz w:val="20"/>
                <w:szCs w:val="20"/>
                <w:lang w:val="en-GB" w:eastAsia="ko-KR"/>
              </w:rPr>
              <w:t>A</w:t>
            </w:r>
            <w:r w:rsidR="00EB138A" w:rsidRPr="00B0605C">
              <w:rPr>
                <w:rFonts w:ascii="Arial" w:eastAsiaTheme="minorEastAsia" w:hAnsi="Arial" w:cs="Arial"/>
                <w:b/>
                <w:sz w:val="20"/>
                <w:szCs w:val="20"/>
                <w:lang w:val="en-GB" w:eastAsia="ko-KR"/>
              </w:rPr>
              <w:t xml:space="preserve">nnual </w:t>
            </w:r>
            <w:r w:rsidR="00EF2484">
              <w:rPr>
                <w:rFonts w:ascii="Arial" w:eastAsiaTheme="minorEastAsia" w:hAnsi="Arial" w:cs="Arial"/>
                <w:b/>
                <w:sz w:val="20"/>
                <w:szCs w:val="20"/>
                <w:lang w:val="en-GB" w:eastAsia="ko-KR"/>
              </w:rPr>
              <w:t>A</w:t>
            </w:r>
            <w:r w:rsidR="00EB138A" w:rsidRPr="00B0605C">
              <w:rPr>
                <w:rFonts w:ascii="Arial" w:eastAsiaTheme="minorEastAsia" w:hAnsi="Arial" w:cs="Arial"/>
                <w:b/>
                <w:sz w:val="20"/>
                <w:szCs w:val="20"/>
                <w:lang w:val="en-GB" w:eastAsia="ko-KR"/>
              </w:rPr>
              <w:t xml:space="preserve">verage </w:t>
            </w:r>
            <w:r w:rsidR="00EF2484">
              <w:rPr>
                <w:rFonts w:ascii="Arial" w:eastAsiaTheme="minorEastAsia" w:hAnsi="Arial" w:cs="Arial"/>
                <w:b/>
                <w:sz w:val="20"/>
                <w:szCs w:val="20"/>
                <w:lang w:val="en-GB" w:eastAsia="ko-KR"/>
              </w:rPr>
              <w:t>C</w:t>
            </w:r>
            <w:r w:rsidR="00EB138A" w:rsidRPr="00B0605C">
              <w:rPr>
                <w:rFonts w:ascii="Arial" w:eastAsiaTheme="minorEastAsia" w:hAnsi="Arial" w:cs="Arial"/>
                <w:b/>
                <w:sz w:val="20"/>
                <w:szCs w:val="20"/>
                <w:lang w:val="en-GB" w:eastAsia="ko-KR"/>
              </w:rPr>
              <w:t xml:space="preserve">ompounded % </w:t>
            </w:r>
            <w:r w:rsidR="00EF2484">
              <w:rPr>
                <w:rFonts w:ascii="Arial" w:eastAsiaTheme="minorEastAsia" w:hAnsi="Arial" w:cs="Arial"/>
                <w:b/>
                <w:sz w:val="20"/>
                <w:szCs w:val="20"/>
                <w:lang w:val="en-GB" w:eastAsia="ko-KR"/>
              </w:rPr>
              <w:t>C</w:t>
            </w:r>
            <w:r w:rsidR="00EB138A" w:rsidRPr="00B0605C">
              <w:rPr>
                <w:rFonts w:ascii="Arial" w:eastAsiaTheme="minorEastAsia" w:hAnsi="Arial" w:cs="Arial"/>
                <w:b/>
                <w:sz w:val="20"/>
                <w:szCs w:val="20"/>
                <w:lang w:val="en-GB" w:eastAsia="ko-KR"/>
              </w:rPr>
              <w:t xml:space="preserve">hange from </w:t>
            </w:r>
            <w:r w:rsidR="00EF2484">
              <w:rPr>
                <w:rFonts w:ascii="Arial" w:eastAsiaTheme="minorEastAsia" w:hAnsi="Arial" w:cs="Arial"/>
                <w:b/>
                <w:sz w:val="20"/>
                <w:szCs w:val="20"/>
                <w:lang w:val="en-GB" w:eastAsia="ko-KR"/>
              </w:rPr>
              <w:t>F</w:t>
            </w:r>
            <w:r w:rsidR="00EB138A" w:rsidRPr="00B0605C">
              <w:rPr>
                <w:rFonts w:ascii="Arial" w:eastAsiaTheme="minorEastAsia" w:hAnsi="Arial" w:cs="Arial"/>
                <w:b/>
                <w:sz w:val="20"/>
                <w:szCs w:val="20"/>
                <w:lang w:val="en-GB" w:eastAsia="ko-KR"/>
              </w:rPr>
              <w:t xml:space="preserve">irst </w:t>
            </w:r>
            <w:r w:rsidR="00EF2484">
              <w:rPr>
                <w:rFonts w:ascii="Arial" w:eastAsiaTheme="minorEastAsia" w:hAnsi="Arial" w:cs="Arial"/>
                <w:b/>
                <w:sz w:val="20"/>
                <w:szCs w:val="20"/>
                <w:lang w:val="en-GB" w:eastAsia="ko-KR"/>
              </w:rPr>
              <w:t>Y</w:t>
            </w:r>
            <w:r w:rsidR="00EB138A" w:rsidRPr="00B0605C">
              <w:rPr>
                <w:rFonts w:ascii="Arial" w:eastAsiaTheme="minorEastAsia" w:hAnsi="Arial" w:cs="Arial"/>
                <w:b/>
                <w:sz w:val="20"/>
                <w:szCs w:val="20"/>
                <w:lang w:val="en-GB" w:eastAsia="ko-KR"/>
              </w:rPr>
              <w:t xml:space="preserve">ear of </w:t>
            </w:r>
            <w:r w:rsidR="00EF2484">
              <w:rPr>
                <w:rFonts w:ascii="Arial" w:eastAsiaTheme="minorEastAsia" w:hAnsi="Arial" w:cs="Arial"/>
                <w:b/>
                <w:sz w:val="20"/>
                <w:szCs w:val="20"/>
                <w:lang w:val="en-GB" w:eastAsia="ko-KR"/>
              </w:rPr>
              <w:t>D</w:t>
            </w:r>
            <w:r w:rsidR="00EB138A" w:rsidRPr="00B0605C">
              <w:rPr>
                <w:rFonts w:ascii="Arial" w:eastAsiaTheme="minorEastAsia" w:hAnsi="Arial" w:cs="Arial"/>
                <w:b/>
                <w:sz w:val="20"/>
                <w:szCs w:val="20"/>
                <w:lang w:val="en-GB" w:eastAsia="ko-KR"/>
              </w:rPr>
              <w:t>ata</w:t>
            </w:r>
          </w:p>
        </w:tc>
      </w:tr>
      <w:tr w:rsidR="00EB138A" w:rsidRPr="00B0605C" w14:paraId="59F78EF9" w14:textId="77777777" w:rsidTr="008A46AE">
        <w:trPr>
          <w:jc w:val="center"/>
        </w:trPr>
        <w:tc>
          <w:tcPr>
            <w:tcW w:w="2394" w:type="dxa"/>
          </w:tcPr>
          <w:p w14:paraId="253B0511" w14:textId="77777777" w:rsidR="00EB138A" w:rsidRPr="00B0605C" w:rsidRDefault="00EB138A" w:rsidP="00E2027D">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2005</w:t>
            </w:r>
          </w:p>
        </w:tc>
        <w:tc>
          <w:tcPr>
            <w:tcW w:w="2394" w:type="dxa"/>
          </w:tcPr>
          <w:p w14:paraId="643E13A6" w14:textId="77777777" w:rsidR="00EB138A" w:rsidRPr="00B0605C" w:rsidRDefault="00EB138A" w:rsidP="00E2027D">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44,267,370</w:t>
            </w:r>
          </w:p>
        </w:tc>
        <w:tc>
          <w:tcPr>
            <w:tcW w:w="2394" w:type="dxa"/>
          </w:tcPr>
          <w:p w14:paraId="3C84A32B" w14:textId="7AA59041" w:rsidR="00EB138A" w:rsidRPr="00B0605C" w:rsidRDefault="00E04AA9" w:rsidP="00E2027D">
            <w:pPr>
              <w:pStyle w:val="BodyTextMain"/>
              <w:jc w:val="center"/>
              <w:rPr>
                <w:rFonts w:ascii="Arial" w:eastAsiaTheme="minorEastAsia" w:hAnsi="Arial" w:cs="Arial"/>
                <w:sz w:val="20"/>
                <w:szCs w:val="20"/>
                <w:lang w:val="en-GB" w:eastAsia="ko-KR"/>
              </w:rPr>
            </w:pPr>
            <w:r>
              <w:rPr>
                <w:rFonts w:ascii="Arial" w:eastAsiaTheme="minorEastAsia" w:hAnsi="Arial" w:cs="Arial"/>
                <w:sz w:val="20"/>
                <w:szCs w:val="20"/>
                <w:lang w:val="en-GB" w:eastAsia="ko-KR"/>
              </w:rPr>
              <w:t>-</w:t>
            </w:r>
          </w:p>
        </w:tc>
        <w:tc>
          <w:tcPr>
            <w:tcW w:w="2394" w:type="dxa"/>
          </w:tcPr>
          <w:p w14:paraId="4774769F" w14:textId="3C9BF4DD" w:rsidR="00EB138A" w:rsidRPr="00B0605C" w:rsidRDefault="00E04AA9" w:rsidP="00E2027D">
            <w:pPr>
              <w:pStyle w:val="BodyTextMain"/>
              <w:jc w:val="center"/>
              <w:rPr>
                <w:rFonts w:ascii="Arial" w:eastAsiaTheme="minorEastAsia" w:hAnsi="Arial" w:cs="Arial"/>
                <w:sz w:val="20"/>
                <w:szCs w:val="20"/>
                <w:lang w:val="en-GB" w:eastAsia="ko-KR"/>
              </w:rPr>
            </w:pPr>
            <w:r>
              <w:rPr>
                <w:rFonts w:ascii="Arial" w:eastAsiaTheme="minorEastAsia" w:hAnsi="Arial" w:cs="Arial"/>
                <w:sz w:val="20"/>
                <w:szCs w:val="20"/>
                <w:lang w:val="en-GB" w:eastAsia="ko-KR"/>
              </w:rPr>
              <w:t>-</w:t>
            </w:r>
          </w:p>
        </w:tc>
      </w:tr>
      <w:tr w:rsidR="00EB138A" w:rsidRPr="00B0605C" w14:paraId="28B30D5E" w14:textId="77777777" w:rsidTr="008A46AE">
        <w:trPr>
          <w:jc w:val="center"/>
        </w:trPr>
        <w:tc>
          <w:tcPr>
            <w:tcW w:w="2394" w:type="dxa"/>
          </w:tcPr>
          <w:p w14:paraId="0934BECD" w14:textId="77777777" w:rsidR="00EB138A" w:rsidRPr="00B0605C" w:rsidRDefault="00EB138A" w:rsidP="00E2027D">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2006</w:t>
            </w:r>
          </w:p>
        </w:tc>
        <w:tc>
          <w:tcPr>
            <w:tcW w:w="2394" w:type="dxa"/>
          </w:tcPr>
          <w:p w14:paraId="478877DE" w14:textId="77777777" w:rsidR="00EB138A" w:rsidRPr="00B0605C" w:rsidRDefault="00EB138A" w:rsidP="00E2027D">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46,304,376</w:t>
            </w:r>
          </w:p>
        </w:tc>
        <w:tc>
          <w:tcPr>
            <w:tcW w:w="2394" w:type="dxa"/>
          </w:tcPr>
          <w:p w14:paraId="596B5EBB" w14:textId="77777777" w:rsidR="00EB138A" w:rsidRPr="00B0605C" w:rsidRDefault="00EB138A" w:rsidP="00E2027D">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4.6</w:t>
            </w:r>
          </w:p>
        </w:tc>
        <w:tc>
          <w:tcPr>
            <w:tcW w:w="2394" w:type="dxa"/>
          </w:tcPr>
          <w:p w14:paraId="071E1908" w14:textId="77777777" w:rsidR="00EB138A" w:rsidRPr="00B0605C" w:rsidRDefault="00EB138A" w:rsidP="00E2027D">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4.6</w:t>
            </w:r>
          </w:p>
        </w:tc>
      </w:tr>
      <w:tr w:rsidR="00EB138A" w:rsidRPr="00B0605C" w14:paraId="086BCA2C" w14:textId="77777777" w:rsidTr="008A46AE">
        <w:trPr>
          <w:jc w:val="center"/>
        </w:trPr>
        <w:tc>
          <w:tcPr>
            <w:tcW w:w="2394" w:type="dxa"/>
          </w:tcPr>
          <w:p w14:paraId="7814913B" w14:textId="77777777" w:rsidR="00EB138A" w:rsidRPr="00B0605C" w:rsidRDefault="00EB138A" w:rsidP="00E2027D">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2007</w:t>
            </w:r>
          </w:p>
        </w:tc>
        <w:tc>
          <w:tcPr>
            <w:tcW w:w="2394" w:type="dxa"/>
          </w:tcPr>
          <w:p w14:paraId="48148C94" w14:textId="77777777" w:rsidR="00EB138A" w:rsidRPr="00B0605C" w:rsidRDefault="00EB138A" w:rsidP="00E2027D">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47,729,527</w:t>
            </w:r>
          </w:p>
        </w:tc>
        <w:tc>
          <w:tcPr>
            <w:tcW w:w="2394" w:type="dxa"/>
          </w:tcPr>
          <w:p w14:paraId="5761E541" w14:textId="77777777" w:rsidR="00EB138A" w:rsidRPr="00B0605C" w:rsidRDefault="00EB138A" w:rsidP="00E2027D">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3.1</w:t>
            </w:r>
          </w:p>
        </w:tc>
        <w:tc>
          <w:tcPr>
            <w:tcW w:w="2394" w:type="dxa"/>
          </w:tcPr>
          <w:p w14:paraId="61A4C022" w14:textId="77777777" w:rsidR="00EB138A" w:rsidRPr="00B0605C" w:rsidRDefault="00EB138A" w:rsidP="00E2027D">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3.8</w:t>
            </w:r>
          </w:p>
        </w:tc>
      </w:tr>
      <w:tr w:rsidR="00EB138A" w:rsidRPr="00B0605C" w14:paraId="4E0D8A81" w14:textId="77777777" w:rsidTr="008A46AE">
        <w:trPr>
          <w:jc w:val="center"/>
        </w:trPr>
        <w:tc>
          <w:tcPr>
            <w:tcW w:w="2394" w:type="dxa"/>
          </w:tcPr>
          <w:p w14:paraId="2A37AA17" w14:textId="77777777" w:rsidR="00EB138A" w:rsidRPr="00B0605C" w:rsidRDefault="00EB138A" w:rsidP="00E2027D">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2008</w:t>
            </w:r>
          </w:p>
        </w:tc>
        <w:tc>
          <w:tcPr>
            <w:tcW w:w="2394" w:type="dxa"/>
          </w:tcPr>
          <w:p w14:paraId="3484FF5C" w14:textId="77777777" w:rsidR="00EB138A" w:rsidRPr="00B0605C" w:rsidRDefault="00EB138A" w:rsidP="00E2027D">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44,074,642</w:t>
            </w:r>
          </w:p>
        </w:tc>
        <w:tc>
          <w:tcPr>
            <w:tcW w:w="2394" w:type="dxa"/>
          </w:tcPr>
          <w:p w14:paraId="6D453F71" w14:textId="77777777" w:rsidR="00EB138A" w:rsidRPr="00B0605C" w:rsidRDefault="00EB138A" w:rsidP="00E2027D">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(7.7)</w:t>
            </w:r>
          </w:p>
        </w:tc>
        <w:tc>
          <w:tcPr>
            <w:tcW w:w="2394" w:type="dxa"/>
          </w:tcPr>
          <w:p w14:paraId="149FB5C9" w14:textId="77777777" w:rsidR="00EB138A" w:rsidRPr="00B0605C" w:rsidRDefault="00EB138A" w:rsidP="00E2027D">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(0.1)</w:t>
            </w:r>
          </w:p>
        </w:tc>
      </w:tr>
      <w:tr w:rsidR="00EB138A" w:rsidRPr="00B0605C" w14:paraId="15EAB2A5" w14:textId="77777777" w:rsidTr="008A46AE">
        <w:trPr>
          <w:jc w:val="center"/>
        </w:trPr>
        <w:tc>
          <w:tcPr>
            <w:tcW w:w="2394" w:type="dxa"/>
          </w:tcPr>
          <w:p w14:paraId="78875053" w14:textId="77777777" w:rsidR="00EB138A" w:rsidRPr="00B0605C" w:rsidRDefault="00EB138A" w:rsidP="00E2027D">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2009</w:t>
            </w:r>
          </w:p>
        </w:tc>
        <w:tc>
          <w:tcPr>
            <w:tcW w:w="2394" w:type="dxa"/>
          </w:tcPr>
          <w:p w14:paraId="7A217BB5" w14:textId="77777777" w:rsidR="00EB138A" w:rsidRPr="00B0605C" w:rsidRDefault="00EB138A" w:rsidP="00E2027D">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40,469,012</w:t>
            </w:r>
          </w:p>
        </w:tc>
        <w:tc>
          <w:tcPr>
            <w:tcW w:w="2394" w:type="dxa"/>
          </w:tcPr>
          <w:p w14:paraId="7193BCD2" w14:textId="77777777" w:rsidR="00EB138A" w:rsidRPr="00B0605C" w:rsidRDefault="00EB138A" w:rsidP="00E2027D">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(8.2)</w:t>
            </w:r>
          </w:p>
        </w:tc>
        <w:tc>
          <w:tcPr>
            <w:tcW w:w="2394" w:type="dxa"/>
          </w:tcPr>
          <w:p w14:paraId="4BBFBE0C" w14:textId="77777777" w:rsidR="00EB138A" w:rsidRPr="00B0605C" w:rsidRDefault="00EB138A" w:rsidP="00E2027D">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(2.2)</w:t>
            </w:r>
          </w:p>
        </w:tc>
      </w:tr>
      <w:tr w:rsidR="00EB138A" w:rsidRPr="00B0605C" w14:paraId="4E174E2C" w14:textId="77777777" w:rsidTr="008A46AE">
        <w:trPr>
          <w:jc w:val="center"/>
        </w:trPr>
        <w:tc>
          <w:tcPr>
            <w:tcW w:w="2394" w:type="dxa"/>
          </w:tcPr>
          <w:p w14:paraId="67D42713" w14:textId="77777777" w:rsidR="00EB138A" w:rsidRPr="00B0605C" w:rsidRDefault="00EB138A" w:rsidP="00E2027D">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2010</w:t>
            </w:r>
          </w:p>
        </w:tc>
        <w:tc>
          <w:tcPr>
            <w:tcW w:w="2394" w:type="dxa"/>
          </w:tcPr>
          <w:p w14:paraId="50EBFA83" w14:textId="77777777" w:rsidR="00EB138A" w:rsidRPr="00B0605C" w:rsidRDefault="00EB138A" w:rsidP="00E2027D">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39,757,359</w:t>
            </w:r>
          </w:p>
        </w:tc>
        <w:tc>
          <w:tcPr>
            <w:tcW w:w="2394" w:type="dxa"/>
          </w:tcPr>
          <w:p w14:paraId="07F6620A" w14:textId="77777777" w:rsidR="00EB138A" w:rsidRPr="00B0605C" w:rsidRDefault="00EB138A" w:rsidP="00E2027D">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(1.8)</w:t>
            </w:r>
          </w:p>
        </w:tc>
        <w:tc>
          <w:tcPr>
            <w:tcW w:w="2394" w:type="dxa"/>
          </w:tcPr>
          <w:p w14:paraId="121BC312" w14:textId="77777777" w:rsidR="00EB138A" w:rsidRPr="00B0605C" w:rsidRDefault="00EB138A" w:rsidP="00E2027D">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(2.1)</w:t>
            </w:r>
          </w:p>
        </w:tc>
      </w:tr>
      <w:tr w:rsidR="00EB138A" w:rsidRPr="00B0605C" w14:paraId="566D0F36" w14:textId="77777777" w:rsidTr="008A46AE">
        <w:trPr>
          <w:jc w:val="center"/>
        </w:trPr>
        <w:tc>
          <w:tcPr>
            <w:tcW w:w="2394" w:type="dxa"/>
          </w:tcPr>
          <w:p w14:paraId="6F1ED682" w14:textId="77777777" w:rsidR="00EB138A" w:rsidRPr="00B0605C" w:rsidRDefault="00EB138A" w:rsidP="00E2027D">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2011</w:t>
            </w:r>
          </w:p>
        </w:tc>
        <w:tc>
          <w:tcPr>
            <w:tcW w:w="2394" w:type="dxa"/>
          </w:tcPr>
          <w:p w14:paraId="0D1821FB" w14:textId="77777777" w:rsidR="00EB138A" w:rsidRPr="00B0605C" w:rsidRDefault="00EB138A" w:rsidP="00E2027D">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41,481,204</w:t>
            </w:r>
          </w:p>
        </w:tc>
        <w:tc>
          <w:tcPr>
            <w:tcW w:w="2394" w:type="dxa"/>
          </w:tcPr>
          <w:p w14:paraId="71DC4B42" w14:textId="77777777" w:rsidR="00EB138A" w:rsidRPr="00B0605C" w:rsidRDefault="00EB138A" w:rsidP="00E2027D">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4.3</w:t>
            </w:r>
          </w:p>
        </w:tc>
        <w:tc>
          <w:tcPr>
            <w:tcW w:w="2394" w:type="dxa"/>
          </w:tcPr>
          <w:p w14:paraId="2B402235" w14:textId="77777777" w:rsidR="00EB138A" w:rsidRPr="00B0605C" w:rsidRDefault="00EB138A" w:rsidP="00E2027D">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(1.1)</w:t>
            </w:r>
          </w:p>
        </w:tc>
      </w:tr>
      <w:tr w:rsidR="00EB138A" w:rsidRPr="00B0605C" w14:paraId="41509B8B" w14:textId="77777777" w:rsidTr="008A46AE">
        <w:trPr>
          <w:jc w:val="center"/>
        </w:trPr>
        <w:tc>
          <w:tcPr>
            <w:tcW w:w="2394" w:type="dxa"/>
          </w:tcPr>
          <w:p w14:paraId="30ED8128" w14:textId="77777777" w:rsidR="00EB138A" w:rsidRPr="00B0605C" w:rsidRDefault="00EB138A" w:rsidP="00E2027D">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2012</w:t>
            </w:r>
          </w:p>
        </w:tc>
        <w:tc>
          <w:tcPr>
            <w:tcW w:w="2394" w:type="dxa"/>
          </w:tcPr>
          <w:p w14:paraId="22809CA5" w14:textId="77777777" w:rsidR="00EB138A" w:rsidRPr="00B0605C" w:rsidRDefault="00EB138A" w:rsidP="00E2027D">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41,667,596</w:t>
            </w:r>
          </w:p>
        </w:tc>
        <w:tc>
          <w:tcPr>
            <w:tcW w:w="2394" w:type="dxa"/>
          </w:tcPr>
          <w:p w14:paraId="3B0639DD" w14:textId="77777777" w:rsidR="00EB138A" w:rsidRPr="00B0605C" w:rsidRDefault="00EB138A" w:rsidP="00E2027D">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0.4</w:t>
            </w:r>
          </w:p>
        </w:tc>
        <w:tc>
          <w:tcPr>
            <w:tcW w:w="2394" w:type="dxa"/>
          </w:tcPr>
          <w:p w14:paraId="78E6978B" w14:textId="77777777" w:rsidR="00EB138A" w:rsidRPr="00B0605C" w:rsidRDefault="00EB138A" w:rsidP="00E2027D">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(0.9)</w:t>
            </w:r>
          </w:p>
        </w:tc>
      </w:tr>
      <w:tr w:rsidR="00EB138A" w:rsidRPr="00B0605C" w14:paraId="6E8D729F" w14:textId="77777777" w:rsidTr="008A46AE">
        <w:trPr>
          <w:jc w:val="center"/>
        </w:trPr>
        <w:tc>
          <w:tcPr>
            <w:tcW w:w="2394" w:type="dxa"/>
          </w:tcPr>
          <w:p w14:paraId="4C6BFAA3" w14:textId="77777777" w:rsidR="00EB138A" w:rsidRPr="00B0605C" w:rsidRDefault="00EB138A" w:rsidP="00E2027D">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2013</w:t>
            </w:r>
          </w:p>
        </w:tc>
        <w:tc>
          <w:tcPr>
            <w:tcW w:w="2394" w:type="dxa"/>
          </w:tcPr>
          <w:p w14:paraId="657B2291" w14:textId="77777777" w:rsidR="00EB138A" w:rsidRPr="00B0605C" w:rsidRDefault="00EB138A" w:rsidP="00E2027D">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41,857,059</w:t>
            </w:r>
          </w:p>
        </w:tc>
        <w:tc>
          <w:tcPr>
            <w:tcW w:w="2394" w:type="dxa"/>
          </w:tcPr>
          <w:p w14:paraId="3FEA0F55" w14:textId="77777777" w:rsidR="00EB138A" w:rsidRPr="00B0605C" w:rsidRDefault="00EB138A" w:rsidP="00E2027D">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0.5</w:t>
            </w:r>
          </w:p>
        </w:tc>
        <w:tc>
          <w:tcPr>
            <w:tcW w:w="2394" w:type="dxa"/>
          </w:tcPr>
          <w:p w14:paraId="115B16FC" w14:textId="77777777" w:rsidR="00EB138A" w:rsidRPr="00B0605C" w:rsidRDefault="00EB138A" w:rsidP="00E2027D">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(0.7)</w:t>
            </w:r>
          </w:p>
        </w:tc>
      </w:tr>
      <w:tr w:rsidR="00EB138A" w:rsidRPr="00B0605C" w14:paraId="2225F6F6" w14:textId="77777777" w:rsidTr="008A46AE">
        <w:trPr>
          <w:jc w:val="center"/>
        </w:trPr>
        <w:tc>
          <w:tcPr>
            <w:tcW w:w="2394" w:type="dxa"/>
          </w:tcPr>
          <w:p w14:paraId="43733CFD" w14:textId="77777777" w:rsidR="00EB138A" w:rsidRPr="00B0605C" w:rsidRDefault="00EB138A" w:rsidP="00E2027D">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2014</w:t>
            </w:r>
          </w:p>
        </w:tc>
        <w:tc>
          <w:tcPr>
            <w:tcW w:w="2394" w:type="dxa"/>
          </w:tcPr>
          <w:p w14:paraId="36F7A03C" w14:textId="77777777" w:rsidR="00EB138A" w:rsidRPr="00B0605C" w:rsidRDefault="00EB138A" w:rsidP="00E2027D">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42,885,350</w:t>
            </w:r>
          </w:p>
        </w:tc>
        <w:tc>
          <w:tcPr>
            <w:tcW w:w="2394" w:type="dxa"/>
          </w:tcPr>
          <w:p w14:paraId="54CAEDF8" w14:textId="77777777" w:rsidR="00EB138A" w:rsidRPr="00B0605C" w:rsidRDefault="00EB138A" w:rsidP="00E2027D">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2.5</w:t>
            </w:r>
          </w:p>
        </w:tc>
        <w:tc>
          <w:tcPr>
            <w:tcW w:w="2394" w:type="dxa"/>
          </w:tcPr>
          <w:p w14:paraId="08182A93" w14:textId="77777777" w:rsidR="00EB138A" w:rsidRPr="00B0605C" w:rsidRDefault="00EB138A" w:rsidP="00E2027D">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(0.4)</w:t>
            </w:r>
          </w:p>
        </w:tc>
      </w:tr>
      <w:tr w:rsidR="00EB138A" w:rsidRPr="00B0605C" w14:paraId="0A9BA7B3" w14:textId="77777777" w:rsidTr="008A46AE">
        <w:trPr>
          <w:jc w:val="center"/>
        </w:trPr>
        <w:tc>
          <w:tcPr>
            <w:tcW w:w="2394" w:type="dxa"/>
          </w:tcPr>
          <w:p w14:paraId="257FFFA1" w14:textId="77777777" w:rsidR="00EB138A" w:rsidRPr="00B0605C" w:rsidRDefault="00EB138A" w:rsidP="00E2027D">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2015</w:t>
            </w:r>
          </w:p>
        </w:tc>
        <w:tc>
          <w:tcPr>
            <w:tcW w:w="2394" w:type="dxa"/>
          </w:tcPr>
          <w:p w14:paraId="3A7E892C" w14:textId="77777777" w:rsidR="00EB138A" w:rsidRPr="00B0605C" w:rsidRDefault="00EB138A" w:rsidP="00E2027D">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45,389,074</w:t>
            </w:r>
          </w:p>
        </w:tc>
        <w:tc>
          <w:tcPr>
            <w:tcW w:w="2394" w:type="dxa"/>
          </w:tcPr>
          <w:p w14:paraId="236133FA" w14:textId="77777777" w:rsidR="00EB138A" w:rsidRPr="00B0605C" w:rsidRDefault="00EB138A" w:rsidP="00E2027D">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5.8</w:t>
            </w:r>
          </w:p>
        </w:tc>
        <w:tc>
          <w:tcPr>
            <w:tcW w:w="2394" w:type="dxa"/>
          </w:tcPr>
          <w:p w14:paraId="6313D33D" w14:textId="77777777" w:rsidR="00EB138A" w:rsidRPr="00B0605C" w:rsidRDefault="00EB138A" w:rsidP="00E2027D">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0.3</w:t>
            </w:r>
          </w:p>
        </w:tc>
      </w:tr>
      <w:tr w:rsidR="00EB138A" w:rsidRPr="00B0605C" w14:paraId="2FC0FDF0" w14:textId="77777777" w:rsidTr="008A46AE">
        <w:trPr>
          <w:jc w:val="center"/>
        </w:trPr>
        <w:tc>
          <w:tcPr>
            <w:tcW w:w="9576" w:type="dxa"/>
            <w:gridSpan w:val="4"/>
            <w:shd w:val="clear" w:color="auto" w:fill="F2F2F2" w:themeFill="background1" w:themeFillShade="F2"/>
          </w:tcPr>
          <w:p w14:paraId="107D3E05" w14:textId="77777777" w:rsidR="00EB138A" w:rsidRPr="00B0605C" w:rsidRDefault="00EB138A" w:rsidP="00E2027D">
            <w:pPr>
              <w:pStyle w:val="BodyTextMain"/>
              <w:jc w:val="center"/>
              <w:rPr>
                <w:rFonts w:ascii="Arial" w:eastAsiaTheme="minorEastAsia" w:hAnsi="Arial" w:cs="Arial"/>
                <w:sz w:val="20"/>
                <w:szCs w:val="20"/>
                <w:lang w:val="en-GB" w:eastAsia="ko-KR"/>
              </w:rPr>
            </w:pPr>
          </w:p>
        </w:tc>
      </w:tr>
      <w:tr w:rsidR="00EB138A" w:rsidRPr="00B0605C" w14:paraId="4ED9C761" w14:textId="77777777" w:rsidTr="008A46AE">
        <w:trPr>
          <w:jc w:val="center"/>
        </w:trPr>
        <w:tc>
          <w:tcPr>
            <w:tcW w:w="2394" w:type="dxa"/>
          </w:tcPr>
          <w:p w14:paraId="19DABBE7" w14:textId="77777777" w:rsidR="00EB138A" w:rsidRPr="00B0605C" w:rsidRDefault="00EB138A" w:rsidP="00E2027D">
            <w:pPr>
              <w:pStyle w:val="BodyTextMain"/>
              <w:jc w:val="center"/>
              <w:rPr>
                <w:rFonts w:ascii="Arial" w:eastAsiaTheme="minorEastAsia" w:hAnsi="Arial" w:cs="Arial"/>
                <w:b/>
                <w:sz w:val="20"/>
                <w:szCs w:val="20"/>
                <w:lang w:val="en-GB" w:eastAsia="ko-KR"/>
              </w:rPr>
            </w:pPr>
            <w:r w:rsidRPr="00B0605C">
              <w:rPr>
                <w:rFonts w:ascii="Arial" w:eastAsiaTheme="minorEastAsia" w:hAnsi="Arial" w:cs="Arial"/>
                <w:b/>
                <w:sz w:val="20"/>
                <w:szCs w:val="20"/>
                <w:lang w:val="en-GB" w:eastAsia="ko-KR"/>
              </w:rPr>
              <w:t>Year-to-Date:</w:t>
            </w:r>
          </w:p>
        </w:tc>
        <w:tc>
          <w:tcPr>
            <w:tcW w:w="2394" w:type="dxa"/>
          </w:tcPr>
          <w:p w14:paraId="77674CFB" w14:textId="77777777" w:rsidR="00EB138A" w:rsidRPr="00B0605C" w:rsidRDefault="00EB138A" w:rsidP="00E2027D">
            <w:pPr>
              <w:pStyle w:val="BodyTextMain"/>
              <w:jc w:val="center"/>
              <w:rPr>
                <w:rFonts w:ascii="Arial" w:eastAsiaTheme="minorEastAsia" w:hAnsi="Arial" w:cs="Arial"/>
                <w:sz w:val="20"/>
                <w:szCs w:val="20"/>
                <w:lang w:val="en-GB" w:eastAsia="ko-KR"/>
              </w:rPr>
            </w:pPr>
          </w:p>
        </w:tc>
        <w:tc>
          <w:tcPr>
            <w:tcW w:w="2394" w:type="dxa"/>
          </w:tcPr>
          <w:p w14:paraId="51011EA3" w14:textId="77777777" w:rsidR="00EB138A" w:rsidRPr="00B0605C" w:rsidRDefault="00EB138A" w:rsidP="00E2027D">
            <w:pPr>
              <w:pStyle w:val="BodyTextMain"/>
              <w:jc w:val="center"/>
              <w:rPr>
                <w:rFonts w:ascii="Arial" w:eastAsiaTheme="minorEastAsia" w:hAnsi="Arial" w:cs="Arial"/>
                <w:sz w:val="20"/>
                <w:szCs w:val="20"/>
                <w:lang w:val="en-GB" w:eastAsia="ko-KR"/>
              </w:rPr>
            </w:pPr>
          </w:p>
        </w:tc>
        <w:tc>
          <w:tcPr>
            <w:tcW w:w="2394" w:type="dxa"/>
          </w:tcPr>
          <w:p w14:paraId="33012AF5" w14:textId="77777777" w:rsidR="00EB138A" w:rsidRPr="00B0605C" w:rsidRDefault="00EB138A" w:rsidP="00E2027D">
            <w:pPr>
              <w:pStyle w:val="BodyTextMain"/>
              <w:jc w:val="center"/>
              <w:rPr>
                <w:rFonts w:ascii="Arial" w:eastAsiaTheme="minorEastAsia" w:hAnsi="Arial" w:cs="Arial"/>
                <w:sz w:val="20"/>
                <w:szCs w:val="20"/>
                <w:lang w:val="en-GB" w:eastAsia="ko-KR"/>
              </w:rPr>
            </w:pPr>
          </w:p>
        </w:tc>
      </w:tr>
      <w:tr w:rsidR="00EB138A" w:rsidRPr="00B0605C" w14:paraId="358CCA70" w14:textId="77777777" w:rsidTr="008A46AE">
        <w:trPr>
          <w:jc w:val="center"/>
        </w:trPr>
        <w:tc>
          <w:tcPr>
            <w:tcW w:w="2394" w:type="dxa"/>
          </w:tcPr>
          <w:p w14:paraId="13C2ADEE" w14:textId="77777777" w:rsidR="00EB138A" w:rsidRPr="00B0605C" w:rsidRDefault="00EB138A" w:rsidP="00E2027D">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September 2015</w:t>
            </w:r>
          </w:p>
        </w:tc>
        <w:tc>
          <w:tcPr>
            <w:tcW w:w="2394" w:type="dxa"/>
          </w:tcPr>
          <w:p w14:paraId="2E974733" w14:textId="77777777" w:rsidR="00EB138A" w:rsidRPr="00B0605C" w:rsidRDefault="00EB138A" w:rsidP="00E2027D">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33,875,343</w:t>
            </w:r>
          </w:p>
        </w:tc>
        <w:tc>
          <w:tcPr>
            <w:tcW w:w="2394" w:type="dxa"/>
          </w:tcPr>
          <w:p w14:paraId="7C932ACB" w14:textId="460DA7D0" w:rsidR="00EB138A" w:rsidRPr="00B0605C" w:rsidRDefault="00E04AA9" w:rsidP="00E2027D">
            <w:pPr>
              <w:pStyle w:val="BodyTextMain"/>
              <w:jc w:val="center"/>
              <w:rPr>
                <w:rFonts w:ascii="Arial" w:eastAsiaTheme="minorEastAsia" w:hAnsi="Arial" w:cs="Arial"/>
                <w:sz w:val="20"/>
                <w:szCs w:val="20"/>
                <w:lang w:val="en-GB" w:eastAsia="ko-KR"/>
              </w:rPr>
            </w:pPr>
            <w:r>
              <w:rPr>
                <w:rFonts w:ascii="Arial" w:eastAsiaTheme="minorEastAsia" w:hAnsi="Arial" w:cs="Arial"/>
                <w:sz w:val="20"/>
                <w:szCs w:val="20"/>
                <w:lang w:val="en-GB" w:eastAsia="ko-KR"/>
              </w:rPr>
              <w:t>-</w:t>
            </w:r>
          </w:p>
        </w:tc>
        <w:tc>
          <w:tcPr>
            <w:tcW w:w="2394" w:type="dxa"/>
          </w:tcPr>
          <w:p w14:paraId="34DDA196" w14:textId="14EBB520" w:rsidR="00EB138A" w:rsidRPr="00B0605C" w:rsidRDefault="00E04AA9" w:rsidP="00E2027D">
            <w:pPr>
              <w:pStyle w:val="BodyTextMain"/>
              <w:jc w:val="center"/>
              <w:rPr>
                <w:rFonts w:ascii="Arial" w:eastAsiaTheme="minorEastAsia" w:hAnsi="Arial" w:cs="Arial"/>
                <w:sz w:val="20"/>
                <w:szCs w:val="20"/>
                <w:lang w:val="en-GB" w:eastAsia="ko-KR"/>
              </w:rPr>
            </w:pPr>
            <w:r>
              <w:rPr>
                <w:rFonts w:ascii="Arial" w:eastAsiaTheme="minorEastAsia" w:hAnsi="Arial" w:cs="Arial"/>
                <w:sz w:val="20"/>
                <w:szCs w:val="20"/>
                <w:lang w:val="en-GB" w:eastAsia="ko-KR"/>
              </w:rPr>
              <w:t>-</w:t>
            </w:r>
          </w:p>
        </w:tc>
      </w:tr>
      <w:tr w:rsidR="00EB138A" w:rsidRPr="00B0605C" w14:paraId="20C08B32" w14:textId="77777777" w:rsidTr="008A46AE">
        <w:trPr>
          <w:jc w:val="center"/>
        </w:trPr>
        <w:tc>
          <w:tcPr>
            <w:tcW w:w="2394" w:type="dxa"/>
          </w:tcPr>
          <w:p w14:paraId="753F0772" w14:textId="77777777" w:rsidR="00EB138A" w:rsidRPr="00B0605C" w:rsidRDefault="00EB138A" w:rsidP="00E2027D">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September 2016</w:t>
            </w:r>
          </w:p>
        </w:tc>
        <w:tc>
          <w:tcPr>
            <w:tcW w:w="2394" w:type="dxa"/>
          </w:tcPr>
          <w:p w14:paraId="0E0D9BAD" w14:textId="77777777" w:rsidR="00EB138A" w:rsidRPr="00B0605C" w:rsidRDefault="00EB138A" w:rsidP="00E2027D">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35,585,107</w:t>
            </w:r>
          </w:p>
        </w:tc>
        <w:tc>
          <w:tcPr>
            <w:tcW w:w="2394" w:type="dxa"/>
          </w:tcPr>
          <w:p w14:paraId="3B19E7AE" w14:textId="77777777" w:rsidR="00EB138A" w:rsidRPr="00B0605C" w:rsidRDefault="00EB138A" w:rsidP="00E2027D">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5.0%</w:t>
            </w:r>
          </w:p>
        </w:tc>
        <w:tc>
          <w:tcPr>
            <w:tcW w:w="2394" w:type="dxa"/>
          </w:tcPr>
          <w:p w14:paraId="6BD9E203" w14:textId="319048F2" w:rsidR="00EB138A" w:rsidRPr="00B0605C" w:rsidRDefault="00E04AA9" w:rsidP="00E2027D">
            <w:pPr>
              <w:pStyle w:val="BodyTextMain"/>
              <w:jc w:val="center"/>
              <w:rPr>
                <w:rFonts w:ascii="Arial" w:eastAsiaTheme="minorEastAsia" w:hAnsi="Arial" w:cs="Arial"/>
                <w:sz w:val="20"/>
                <w:szCs w:val="20"/>
                <w:lang w:val="en-GB" w:eastAsia="ko-KR"/>
              </w:rPr>
            </w:pPr>
            <w:r>
              <w:rPr>
                <w:rFonts w:ascii="Arial" w:eastAsiaTheme="minorEastAsia" w:hAnsi="Arial" w:cs="Arial"/>
                <w:sz w:val="20"/>
                <w:szCs w:val="20"/>
                <w:lang w:val="en-GB" w:eastAsia="ko-KR"/>
              </w:rPr>
              <w:t>-</w:t>
            </w:r>
          </w:p>
        </w:tc>
      </w:tr>
    </w:tbl>
    <w:p w14:paraId="15A8CB9E" w14:textId="77777777" w:rsidR="00EB138A" w:rsidRPr="00B0605C" w:rsidRDefault="00EB138A" w:rsidP="00EB138A">
      <w:pPr>
        <w:pStyle w:val="ExhibitHeading"/>
        <w:jc w:val="left"/>
        <w:rPr>
          <w:rFonts w:eastAsiaTheme="minorEastAsia"/>
          <w:sz w:val="17"/>
          <w:szCs w:val="17"/>
          <w:lang w:val="en-GB" w:eastAsia="ko-KR"/>
        </w:rPr>
      </w:pPr>
    </w:p>
    <w:p w14:paraId="76CC77A8" w14:textId="333E96A7" w:rsidR="00865D71" w:rsidRPr="00B0605C" w:rsidRDefault="00EB138A" w:rsidP="00E10B29">
      <w:pPr>
        <w:jc w:val="both"/>
        <w:rPr>
          <w:rFonts w:ascii="Arial" w:hAnsi="Arial" w:cs="Arial"/>
          <w:sz w:val="17"/>
          <w:szCs w:val="17"/>
          <w:lang w:val="en-GB"/>
        </w:rPr>
        <w:sectPr w:rsidR="00865D71" w:rsidRPr="00B0605C" w:rsidSect="00277388">
          <w:headerReference w:type="default" r:id="rId11"/>
          <w:endnotePr>
            <w:numFmt w:val="decimal"/>
          </w:endnotePr>
          <w:pgSz w:w="12240" w:h="15840"/>
          <w:pgMar w:top="1080" w:right="1440" w:bottom="1440" w:left="1440" w:header="1080" w:footer="720" w:gutter="0"/>
          <w:cols w:space="720"/>
          <w:titlePg/>
          <w:docGrid w:linePitch="360"/>
        </w:sectPr>
      </w:pPr>
      <w:r w:rsidRPr="00B0605C">
        <w:rPr>
          <w:rFonts w:ascii="Arial" w:eastAsiaTheme="minorEastAsia" w:hAnsi="Arial" w:cs="Arial"/>
          <w:sz w:val="17"/>
          <w:szCs w:val="17"/>
          <w:lang w:val="en-GB" w:eastAsia="ko-KR"/>
        </w:rPr>
        <w:t xml:space="preserve">Source: Shanna Okada and Bomie Kim, “Las Vegas Casino &amp; Hotel Market Outlook 2016,” </w:t>
      </w:r>
      <w:r w:rsidRPr="00B0605C">
        <w:rPr>
          <w:rFonts w:ascii="Arial" w:eastAsiaTheme="minorEastAsia" w:hAnsi="Arial" w:cs="Arial"/>
          <w:i/>
          <w:sz w:val="17"/>
          <w:szCs w:val="17"/>
          <w:lang w:val="en-GB" w:eastAsia="ko-KR"/>
        </w:rPr>
        <w:t>HVS Gaming Division</w:t>
      </w:r>
      <w:r w:rsidRPr="00B0605C">
        <w:rPr>
          <w:rFonts w:ascii="Arial" w:eastAsiaTheme="minorEastAsia" w:hAnsi="Arial" w:cs="Arial"/>
          <w:sz w:val="17"/>
          <w:szCs w:val="17"/>
          <w:lang w:val="en-GB" w:eastAsia="ko-KR"/>
        </w:rPr>
        <w:t xml:space="preserve">, November </w:t>
      </w:r>
      <w:r w:rsidR="00EF2484">
        <w:rPr>
          <w:rFonts w:ascii="Arial" w:eastAsiaTheme="minorEastAsia" w:hAnsi="Arial" w:cs="Arial"/>
          <w:sz w:val="17"/>
          <w:szCs w:val="17"/>
          <w:lang w:val="en-GB" w:eastAsia="ko-KR"/>
        </w:rPr>
        <w:t xml:space="preserve">21, </w:t>
      </w:r>
      <w:r w:rsidRPr="00B0605C">
        <w:rPr>
          <w:rFonts w:ascii="Arial" w:eastAsiaTheme="minorEastAsia" w:hAnsi="Arial" w:cs="Arial"/>
          <w:sz w:val="17"/>
          <w:szCs w:val="17"/>
          <w:lang w:val="en-GB" w:eastAsia="ko-KR"/>
        </w:rPr>
        <w:t xml:space="preserve">2016, accessed June 22, 2017, </w:t>
      </w:r>
      <w:r w:rsidRPr="00B0605C">
        <w:rPr>
          <w:rFonts w:ascii="Arial" w:hAnsi="Arial" w:cs="Arial"/>
          <w:sz w:val="17"/>
          <w:szCs w:val="17"/>
          <w:lang w:val="en-GB"/>
        </w:rPr>
        <w:t>https://hvs.com/article/7865-las-vegas-casino-hotel-market-outlook-2016</w:t>
      </w:r>
      <w:r w:rsidR="00865D71" w:rsidRPr="00B0605C">
        <w:rPr>
          <w:rFonts w:ascii="Arial" w:hAnsi="Arial" w:cs="Arial"/>
          <w:sz w:val="17"/>
          <w:szCs w:val="17"/>
          <w:lang w:val="en-GB"/>
        </w:rPr>
        <w:t>.</w:t>
      </w:r>
    </w:p>
    <w:p w14:paraId="4DCEFE29" w14:textId="1B6D30AB" w:rsidR="00865D71" w:rsidRPr="00B0605C" w:rsidRDefault="00865D71" w:rsidP="00865D71">
      <w:pPr>
        <w:pStyle w:val="ExhibitHeading"/>
        <w:rPr>
          <w:rFonts w:eastAsiaTheme="minorEastAsia"/>
          <w:lang w:val="en-GB" w:eastAsia="ko-KR"/>
        </w:rPr>
      </w:pPr>
      <w:r w:rsidRPr="00B0605C">
        <w:rPr>
          <w:rFonts w:eastAsiaTheme="minorEastAsia"/>
          <w:lang w:val="en-GB" w:eastAsia="ko-KR"/>
        </w:rPr>
        <w:lastRenderedPageBreak/>
        <w:t>Exhibit 3: REVENUE FOR LAS VEGAS STRIP PROPERTIES</w:t>
      </w:r>
      <w:r w:rsidR="00EF2484">
        <w:rPr>
          <w:rFonts w:eastAsiaTheme="minorEastAsia"/>
          <w:lang w:val="en-GB" w:eastAsia="ko-KR"/>
        </w:rPr>
        <w:t>, 2005–2015</w:t>
      </w:r>
      <w:r w:rsidRPr="00B0605C">
        <w:rPr>
          <w:rFonts w:eastAsiaTheme="minorEastAsia"/>
          <w:lang w:val="en-GB" w:eastAsia="ko-KR"/>
        </w:rPr>
        <w:t xml:space="preserve"> (in </w:t>
      </w:r>
      <w:r w:rsidR="00B239E5">
        <w:rPr>
          <w:rFonts w:eastAsiaTheme="minorEastAsia"/>
          <w:lang w:val="en-GB" w:eastAsia="ko-KR"/>
        </w:rPr>
        <w:t xml:space="preserve">US$ </w:t>
      </w:r>
      <w:r w:rsidRPr="00B0605C">
        <w:rPr>
          <w:rFonts w:eastAsiaTheme="minorEastAsia"/>
          <w:lang w:val="en-GB" w:eastAsia="ko-KR"/>
        </w:rPr>
        <w:t>thousand</w:t>
      </w:r>
      <w:r w:rsidR="00B239E5">
        <w:rPr>
          <w:rFonts w:eastAsiaTheme="minorEastAsia"/>
          <w:lang w:val="en-GB" w:eastAsia="ko-KR"/>
        </w:rPr>
        <w:t>s</w:t>
      </w:r>
      <w:r w:rsidRPr="00B0605C">
        <w:rPr>
          <w:rFonts w:eastAsiaTheme="minorEastAsia"/>
          <w:lang w:val="en-GB" w:eastAsia="ko-KR"/>
        </w:rPr>
        <w:t>)</w:t>
      </w:r>
    </w:p>
    <w:p w14:paraId="18F94F27" w14:textId="77777777" w:rsidR="00865D71" w:rsidRPr="00B0605C" w:rsidRDefault="00865D71" w:rsidP="00865D71">
      <w:pPr>
        <w:pStyle w:val="ExhibitHeading"/>
        <w:jc w:val="left"/>
        <w:rPr>
          <w:rFonts w:eastAsiaTheme="minorEastAsia"/>
          <w:lang w:val="en-GB" w:eastAsia="ko-KR"/>
        </w:rPr>
      </w:pPr>
    </w:p>
    <w:tbl>
      <w:tblPr>
        <w:tblStyle w:val="TableGrid"/>
        <w:tblW w:w="12780" w:type="dxa"/>
        <w:jc w:val="center"/>
        <w:tblLook w:val="04A0" w:firstRow="1" w:lastRow="0" w:firstColumn="1" w:lastColumn="0" w:noHBand="0" w:noVBand="1"/>
      </w:tblPr>
      <w:tblGrid>
        <w:gridCol w:w="1345"/>
        <w:gridCol w:w="2340"/>
        <w:gridCol w:w="1260"/>
        <w:gridCol w:w="1620"/>
        <w:gridCol w:w="1260"/>
        <w:gridCol w:w="1440"/>
        <w:gridCol w:w="1260"/>
        <w:gridCol w:w="990"/>
        <w:gridCol w:w="1265"/>
      </w:tblGrid>
      <w:tr w:rsidR="00865D71" w:rsidRPr="00B0605C" w14:paraId="4238C810" w14:textId="77777777" w:rsidTr="00865D71">
        <w:trPr>
          <w:trHeight w:val="161"/>
          <w:jc w:val="center"/>
        </w:trPr>
        <w:tc>
          <w:tcPr>
            <w:tcW w:w="1345" w:type="dxa"/>
            <w:shd w:val="clear" w:color="auto" w:fill="D9D9D9" w:themeFill="background1" w:themeFillShade="D9"/>
          </w:tcPr>
          <w:p w14:paraId="2F5E3FFE" w14:textId="77777777" w:rsidR="00865D71" w:rsidRPr="00B0605C" w:rsidRDefault="00865D71" w:rsidP="00865D71">
            <w:pPr>
              <w:pStyle w:val="BodyTextMain"/>
              <w:jc w:val="center"/>
              <w:rPr>
                <w:rFonts w:ascii="Arial" w:eastAsiaTheme="minorEastAsia" w:hAnsi="Arial" w:cs="Arial"/>
                <w:b/>
                <w:sz w:val="20"/>
                <w:szCs w:val="20"/>
                <w:lang w:val="en-GB" w:eastAsia="ko-KR"/>
              </w:rPr>
            </w:pPr>
            <w:r w:rsidRPr="00B0605C">
              <w:rPr>
                <w:rFonts w:ascii="Arial" w:eastAsiaTheme="minorEastAsia" w:hAnsi="Arial" w:cs="Arial"/>
                <w:b/>
                <w:sz w:val="20"/>
                <w:szCs w:val="20"/>
                <w:lang w:val="en-GB" w:eastAsia="ko-KR"/>
              </w:rPr>
              <w:t>Year</w:t>
            </w:r>
          </w:p>
        </w:tc>
        <w:tc>
          <w:tcPr>
            <w:tcW w:w="2340" w:type="dxa"/>
            <w:shd w:val="clear" w:color="auto" w:fill="D9D9D9" w:themeFill="background1" w:themeFillShade="D9"/>
          </w:tcPr>
          <w:p w14:paraId="4DC9CF49" w14:textId="1FF97A52" w:rsidR="00865D71" w:rsidRPr="00B0605C" w:rsidRDefault="00865D71" w:rsidP="00EF2484">
            <w:pPr>
              <w:pStyle w:val="BodyTextMain"/>
              <w:jc w:val="center"/>
              <w:rPr>
                <w:rFonts w:ascii="Arial" w:eastAsiaTheme="minorEastAsia" w:hAnsi="Arial" w:cs="Arial"/>
                <w:b/>
                <w:sz w:val="20"/>
                <w:szCs w:val="20"/>
                <w:lang w:val="en-GB" w:eastAsia="ko-KR"/>
              </w:rPr>
            </w:pPr>
            <w:r w:rsidRPr="00B0605C">
              <w:rPr>
                <w:rFonts w:ascii="Arial" w:eastAsiaTheme="minorEastAsia" w:hAnsi="Arial" w:cs="Arial"/>
                <w:b/>
                <w:sz w:val="20"/>
                <w:szCs w:val="20"/>
                <w:lang w:val="en-GB" w:eastAsia="ko-KR"/>
              </w:rPr>
              <w:t xml:space="preserve">Total </w:t>
            </w:r>
            <w:r w:rsidR="00EF2484">
              <w:rPr>
                <w:rFonts w:ascii="Arial" w:eastAsiaTheme="minorEastAsia" w:hAnsi="Arial" w:cs="Arial"/>
                <w:b/>
                <w:sz w:val="20"/>
                <w:szCs w:val="20"/>
                <w:lang w:val="en-GB" w:eastAsia="ko-KR"/>
              </w:rPr>
              <w:t>G</w:t>
            </w:r>
            <w:r w:rsidRPr="00B0605C">
              <w:rPr>
                <w:rFonts w:ascii="Arial" w:eastAsiaTheme="minorEastAsia" w:hAnsi="Arial" w:cs="Arial"/>
                <w:b/>
                <w:sz w:val="20"/>
                <w:szCs w:val="20"/>
                <w:lang w:val="en-GB" w:eastAsia="ko-KR"/>
              </w:rPr>
              <w:t xml:space="preserve">aming </w:t>
            </w:r>
            <w:r w:rsidR="00EF2484">
              <w:rPr>
                <w:rFonts w:ascii="Arial" w:eastAsiaTheme="minorEastAsia" w:hAnsi="Arial" w:cs="Arial"/>
                <w:b/>
                <w:sz w:val="20"/>
                <w:szCs w:val="20"/>
                <w:lang w:val="en-GB" w:eastAsia="ko-KR"/>
              </w:rPr>
              <w:t>R</w:t>
            </w:r>
            <w:r w:rsidRPr="00B0605C">
              <w:rPr>
                <w:rFonts w:ascii="Arial" w:eastAsiaTheme="minorEastAsia" w:hAnsi="Arial" w:cs="Arial"/>
                <w:b/>
                <w:sz w:val="20"/>
                <w:szCs w:val="20"/>
                <w:lang w:val="en-GB" w:eastAsia="ko-KR"/>
              </w:rPr>
              <w:t xml:space="preserve">evenue </w:t>
            </w:r>
          </w:p>
        </w:tc>
        <w:tc>
          <w:tcPr>
            <w:tcW w:w="1260" w:type="dxa"/>
            <w:shd w:val="clear" w:color="auto" w:fill="D9D9D9" w:themeFill="background1" w:themeFillShade="D9"/>
          </w:tcPr>
          <w:p w14:paraId="5221FF75" w14:textId="3478CA65" w:rsidR="00865D71" w:rsidRPr="00B0605C" w:rsidRDefault="00865D71" w:rsidP="00865D71">
            <w:pPr>
              <w:pStyle w:val="BodyTextMain"/>
              <w:jc w:val="center"/>
              <w:rPr>
                <w:rFonts w:ascii="Arial" w:eastAsiaTheme="minorEastAsia" w:hAnsi="Arial" w:cs="Arial"/>
                <w:b/>
                <w:sz w:val="20"/>
                <w:szCs w:val="20"/>
                <w:lang w:val="en-GB" w:eastAsia="ko-KR"/>
              </w:rPr>
            </w:pPr>
            <w:r w:rsidRPr="00B0605C">
              <w:rPr>
                <w:rFonts w:ascii="Arial" w:eastAsiaTheme="minorEastAsia" w:hAnsi="Arial" w:cs="Arial"/>
                <w:b/>
                <w:sz w:val="20"/>
                <w:szCs w:val="20"/>
                <w:lang w:val="en-GB" w:eastAsia="ko-KR"/>
              </w:rPr>
              <w:t>% Change</w:t>
            </w:r>
            <w:r w:rsidR="008419F6">
              <w:rPr>
                <w:rFonts w:ascii="Arial" w:eastAsiaTheme="minorEastAsia" w:hAnsi="Arial" w:cs="Arial"/>
                <w:b/>
                <w:sz w:val="20"/>
                <w:szCs w:val="20"/>
                <w:lang w:val="en-GB" w:eastAsia="ko-KR"/>
              </w:rPr>
              <w:t xml:space="preserve"> from Previous Year</w:t>
            </w:r>
          </w:p>
        </w:tc>
        <w:tc>
          <w:tcPr>
            <w:tcW w:w="1620" w:type="dxa"/>
            <w:shd w:val="clear" w:color="auto" w:fill="D9D9D9" w:themeFill="background1" w:themeFillShade="D9"/>
          </w:tcPr>
          <w:p w14:paraId="7D520078" w14:textId="40D66D63" w:rsidR="00865D71" w:rsidRPr="00B0605C" w:rsidRDefault="00865D71" w:rsidP="00EF2484">
            <w:pPr>
              <w:pStyle w:val="BodyTextMain"/>
              <w:jc w:val="center"/>
              <w:rPr>
                <w:rFonts w:ascii="Arial" w:eastAsiaTheme="minorEastAsia" w:hAnsi="Arial" w:cs="Arial"/>
                <w:b/>
                <w:sz w:val="20"/>
                <w:szCs w:val="20"/>
                <w:lang w:val="en-GB" w:eastAsia="ko-KR"/>
              </w:rPr>
            </w:pPr>
            <w:r w:rsidRPr="00B0605C">
              <w:rPr>
                <w:rFonts w:ascii="Arial" w:eastAsiaTheme="minorEastAsia" w:hAnsi="Arial" w:cs="Arial"/>
                <w:b/>
                <w:sz w:val="20"/>
                <w:szCs w:val="20"/>
                <w:lang w:val="en-GB" w:eastAsia="ko-KR"/>
              </w:rPr>
              <w:t xml:space="preserve">Slot </w:t>
            </w:r>
            <w:r w:rsidR="00EF2484">
              <w:rPr>
                <w:rFonts w:ascii="Arial" w:eastAsiaTheme="minorEastAsia" w:hAnsi="Arial" w:cs="Arial"/>
                <w:b/>
                <w:sz w:val="20"/>
                <w:szCs w:val="20"/>
                <w:lang w:val="en-GB" w:eastAsia="ko-KR"/>
              </w:rPr>
              <w:t>M</w:t>
            </w:r>
            <w:r w:rsidRPr="00B0605C">
              <w:rPr>
                <w:rFonts w:ascii="Arial" w:eastAsiaTheme="minorEastAsia" w:hAnsi="Arial" w:cs="Arial"/>
                <w:b/>
                <w:sz w:val="20"/>
                <w:szCs w:val="20"/>
                <w:lang w:val="en-GB" w:eastAsia="ko-KR"/>
              </w:rPr>
              <w:t xml:space="preserve">achines </w:t>
            </w:r>
          </w:p>
        </w:tc>
        <w:tc>
          <w:tcPr>
            <w:tcW w:w="1260" w:type="dxa"/>
            <w:shd w:val="clear" w:color="auto" w:fill="D9D9D9" w:themeFill="background1" w:themeFillShade="D9"/>
          </w:tcPr>
          <w:p w14:paraId="4DE8FB0C" w14:textId="18F961E8" w:rsidR="00865D71" w:rsidRPr="00B0605C" w:rsidRDefault="00865D71" w:rsidP="00865D71">
            <w:pPr>
              <w:pStyle w:val="BodyTextMain"/>
              <w:jc w:val="center"/>
              <w:rPr>
                <w:rFonts w:ascii="Arial" w:eastAsiaTheme="minorEastAsia" w:hAnsi="Arial" w:cs="Arial"/>
                <w:b/>
                <w:sz w:val="20"/>
                <w:szCs w:val="20"/>
                <w:lang w:val="en-GB" w:eastAsia="ko-KR"/>
              </w:rPr>
            </w:pPr>
            <w:r w:rsidRPr="00B0605C">
              <w:rPr>
                <w:rFonts w:ascii="Arial" w:eastAsiaTheme="minorEastAsia" w:hAnsi="Arial" w:cs="Arial"/>
                <w:b/>
                <w:sz w:val="20"/>
                <w:szCs w:val="20"/>
                <w:lang w:val="en-GB" w:eastAsia="ko-KR"/>
              </w:rPr>
              <w:t>% Change</w:t>
            </w:r>
            <w:r w:rsidR="008419F6">
              <w:rPr>
                <w:rFonts w:ascii="Arial" w:eastAsiaTheme="minorEastAsia" w:hAnsi="Arial" w:cs="Arial"/>
                <w:b/>
                <w:sz w:val="20"/>
                <w:szCs w:val="20"/>
                <w:lang w:val="en-GB" w:eastAsia="ko-KR"/>
              </w:rPr>
              <w:t xml:space="preserve"> from Previous Year</w:t>
            </w:r>
          </w:p>
        </w:tc>
        <w:tc>
          <w:tcPr>
            <w:tcW w:w="1440" w:type="dxa"/>
            <w:shd w:val="clear" w:color="auto" w:fill="D9D9D9" w:themeFill="background1" w:themeFillShade="D9"/>
          </w:tcPr>
          <w:p w14:paraId="0E1E9903" w14:textId="7D2F4162" w:rsidR="00865D71" w:rsidRPr="00B0605C" w:rsidRDefault="00865D71" w:rsidP="00EF2484">
            <w:pPr>
              <w:pStyle w:val="BodyTextMain"/>
              <w:jc w:val="center"/>
              <w:rPr>
                <w:rFonts w:ascii="Arial" w:eastAsiaTheme="minorEastAsia" w:hAnsi="Arial" w:cs="Arial"/>
                <w:b/>
                <w:sz w:val="20"/>
                <w:szCs w:val="20"/>
                <w:lang w:val="en-GB" w:eastAsia="ko-KR"/>
              </w:rPr>
            </w:pPr>
            <w:r w:rsidRPr="00B0605C">
              <w:rPr>
                <w:rFonts w:ascii="Arial" w:eastAsiaTheme="minorEastAsia" w:hAnsi="Arial" w:cs="Arial"/>
                <w:b/>
                <w:sz w:val="20"/>
                <w:szCs w:val="20"/>
                <w:lang w:val="en-GB" w:eastAsia="ko-KR"/>
              </w:rPr>
              <w:t xml:space="preserve">Table </w:t>
            </w:r>
            <w:r w:rsidR="00EF2484">
              <w:rPr>
                <w:rFonts w:ascii="Arial" w:eastAsiaTheme="minorEastAsia" w:hAnsi="Arial" w:cs="Arial"/>
                <w:b/>
                <w:sz w:val="20"/>
                <w:szCs w:val="20"/>
                <w:lang w:val="en-GB" w:eastAsia="ko-KR"/>
              </w:rPr>
              <w:t>G</w:t>
            </w:r>
            <w:r w:rsidRPr="00B0605C">
              <w:rPr>
                <w:rFonts w:ascii="Arial" w:eastAsiaTheme="minorEastAsia" w:hAnsi="Arial" w:cs="Arial"/>
                <w:b/>
                <w:sz w:val="20"/>
                <w:szCs w:val="20"/>
                <w:lang w:val="en-GB" w:eastAsia="ko-KR"/>
              </w:rPr>
              <w:t>ames</w:t>
            </w:r>
          </w:p>
        </w:tc>
        <w:tc>
          <w:tcPr>
            <w:tcW w:w="1260" w:type="dxa"/>
            <w:shd w:val="clear" w:color="auto" w:fill="D9D9D9" w:themeFill="background1" w:themeFillShade="D9"/>
          </w:tcPr>
          <w:p w14:paraId="46E0CE73" w14:textId="58390F55" w:rsidR="00865D71" w:rsidRPr="00B0605C" w:rsidRDefault="00865D71" w:rsidP="00865D71">
            <w:pPr>
              <w:pStyle w:val="BodyTextMain"/>
              <w:jc w:val="center"/>
              <w:rPr>
                <w:rFonts w:ascii="Arial" w:eastAsiaTheme="minorEastAsia" w:hAnsi="Arial" w:cs="Arial"/>
                <w:b/>
                <w:sz w:val="20"/>
                <w:szCs w:val="20"/>
                <w:lang w:val="en-GB" w:eastAsia="ko-KR"/>
              </w:rPr>
            </w:pPr>
            <w:r w:rsidRPr="00B0605C">
              <w:rPr>
                <w:rFonts w:ascii="Arial" w:eastAsiaTheme="minorEastAsia" w:hAnsi="Arial" w:cs="Arial"/>
                <w:b/>
                <w:sz w:val="20"/>
                <w:szCs w:val="20"/>
                <w:lang w:val="en-GB" w:eastAsia="ko-KR"/>
              </w:rPr>
              <w:t>% Change</w:t>
            </w:r>
            <w:r w:rsidR="008419F6">
              <w:rPr>
                <w:rFonts w:ascii="Arial" w:eastAsiaTheme="minorEastAsia" w:hAnsi="Arial" w:cs="Arial"/>
                <w:b/>
                <w:sz w:val="20"/>
                <w:szCs w:val="20"/>
                <w:lang w:val="en-GB" w:eastAsia="ko-KR"/>
              </w:rPr>
              <w:t xml:space="preserve"> from Previous Year</w:t>
            </w:r>
          </w:p>
        </w:tc>
        <w:tc>
          <w:tcPr>
            <w:tcW w:w="990" w:type="dxa"/>
            <w:shd w:val="clear" w:color="auto" w:fill="D9D9D9" w:themeFill="background1" w:themeFillShade="D9"/>
          </w:tcPr>
          <w:p w14:paraId="3A411B2B" w14:textId="3E661D47" w:rsidR="00865D71" w:rsidRPr="00B0605C" w:rsidRDefault="00865D71" w:rsidP="00865D71">
            <w:pPr>
              <w:pStyle w:val="BodyTextMain"/>
              <w:jc w:val="center"/>
              <w:rPr>
                <w:rFonts w:ascii="Arial" w:eastAsiaTheme="minorEastAsia" w:hAnsi="Arial" w:cs="Arial"/>
                <w:b/>
                <w:sz w:val="20"/>
                <w:szCs w:val="20"/>
                <w:lang w:val="en-GB" w:eastAsia="ko-KR"/>
              </w:rPr>
            </w:pPr>
            <w:r w:rsidRPr="00B0605C">
              <w:rPr>
                <w:rFonts w:ascii="Arial" w:eastAsiaTheme="minorEastAsia" w:hAnsi="Arial" w:cs="Arial"/>
                <w:b/>
                <w:sz w:val="20"/>
                <w:szCs w:val="20"/>
                <w:lang w:val="en-GB" w:eastAsia="ko-KR"/>
              </w:rPr>
              <w:t>Other*</w:t>
            </w:r>
          </w:p>
        </w:tc>
        <w:tc>
          <w:tcPr>
            <w:tcW w:w="1265" w:type="dxa"/>
            <w:shd w:val="clear" w:color="auto" w:fill="D9D9D9" w:themeFill="background1" w:themeFillShade="D9"/>
          </w:tcPr>
          <w:p w14:paraId="6EBC2087" w14:textId="58498A7A" w:rsidR="00865D71" w:rsidRPr="00B0605C" w:rsidRDefault="00865D71" w:rsidP="00865D71">
            <w:pPr>
              <w:pStyle w:val="BodyTextMain"/>
              <w:jc w:val="center"/>
              <w:rPr>
                <w:rFonts w:ascii="Arial" w:eastAsiaTheme="minorEastAsia" w:hAnsi="Arial" w:cs="Arial"/>
                <w:b/>
                <w:sz w:val="20"/>
                <w:szCs w:val="20"/>
                <w:lang w:val="en-GB" w:eastAsia="ko-KR"/>
              </w:rPr>
            </w:pPr>
            <w:r w:rsidRPr="00B0605C">
              <w:rPr>
                <w:rFonts w:ascii="Arial" w:eastAsiaTheme="minorEastAsia" w:hAnsi="Arial" w:cs="Arial"/>
                <w:b/>
                <w:sz w:val="20"/>
                <w:szCs w:val="20"/>
                <w:lang w:val="en-GB" w:eastAsia="ko-KR"/>
              </w:rPr>
              <w:t>% Change</w:t>
            </w:r>
            <w:r w:rsidR="008419F6">
              <w:rPr>
                <w:rFonts w:ascii="Arial" w:eastAsiaTheme="minorEastAsia" w:hAnsi="Arial" w:cs="Arial"/>
                <w:b/>
                <w:sz w:val="20"/>
                <w:szCs w:val="20"/>
                <w:lang w:val="en-GB" w:eastAsia="ko-KR"/>
              </w:rPr>
              <w:t xml:space="preserve"> from Previous Year</w:t>
            </w:r>
          </w:p>
        </w:tc>
      </w:tr>
      <w:tr w:rsidR="00865D71" w:rsidRPr="00B0605C" w14:paraId="24FCCF95" w14:textId="77777777" w:rsidTr="00865D71">
        <w:trPr>
          <w:trHeight w:val="239"/>
          <w:jc w:val="center"/>
        </w:trPr>
        <w:tc>
          <w:tcPr>
            <w:tcW w:w="1345" w:type="dxa"/>
          </w:tcPr>
          <w:p w14:paraId="175FF2BE"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2005</w:t>
            </w:r>
          </w:p>
        </w:tc>
        <w:tc>
          <w:tcPr>
            <w:tcW w:w="2340" w:type="dxa"/>
          </w:tcPr>
          <w:p w14:paraId="56F03033"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6,031,252</w:t>
            </w:r>
          </w:p>
        </w:tc>
        <w:tc>
          <w:tcPr>
            <w:tcW w:w="1260" w:type="dxa"/>
          </w:tcPr>
          <w:p w14:paraId="5775F1D0"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13.1</w:t>
            </w:r>
          </w:p>
        </w:tc>
        <w:tc>
          <w:tcPr>
            <w:tcW w:w="1620" w:type="dxa"/>
          </w:tcPr>
          <w:p w14:paraId="62CA97DF"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3,170,703</w:t>
            </w:r>
          </w:p>
        </w:tc>
        <w:tc>
          <w:tcPr>
            <w:tcW w:w="1260" w:type="dxa"/>
          </w:tcPr>
          <w:p w14:paraId="113121A7"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10.7</w:t>
            </w:r>
          </w:p>
        </w:tc>
        <w:tc>
          <w:tcPr>
            <w:tcW w:w="1440" w:type="dxa"/>
          </w:tcPr>
          <w:p w14:paraId="24E4BCC4"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2,653,550</w:t>
            </w:r>
          </w:p>
        </w:tc>
        <w:tc>
          <w:tcPr>
            <w:tcW w:w="1260" w:type="dxa"/>
          </w:tcPr>
          <w:p w14:paraId="762A6E69"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15.7</w:t>
            </w:r>
          </w:p>
        </w:tc>
        <w:tc>
          <w:tcPr>
            <w:tcW w:w="990" w:type="dxa"/>
          </w:tcPr>
          <w:p w14:paraId="54DAAFB9"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206,999</w:t>
            </w:r>
          </w:p>
        </w:tc>
        <w:tc>
          <w:tcPr>
            <w:tcW w:w="1265" w:type="dxa"/>
          </w:tcPr>
          <w:p w14:paraId="64943687"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19.4</w:t>
            </w:r>
          </w:p>
        </w:tc>
      </w:tr>
      <w:tr w:rsidR="00865D71" w:rsidRPr="00B0605C" w14:paraId="677C7F2D" w14:textId="77777777" w:rsidTr="00865D71">
        <w:trPr>
          <w:trHeight w:val="259"/>
          <w:jc w:val="center"/>
        </w:trPr>
        <w:tc>
          <w:tcPr>
            <w:tcW w:w="1345" w:type="dxa"/>
          </w:tcPr>
          <w:p w14:paraId="11B4483F"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2006</w:t>
            </w:r>
          </w:p>
        </w:tc>
        <w:tc>
          <w:tcPr>
            <w:tcW w:w="2340" w:type="dxa"/>
          </w:tcPr>
          <w:p w14:paraId="4C444671"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6,686,030</w:t>
            </w:r>
          </w:p>
        </w:tc>
        <w:tc>
          <w:tcPr>
            <w:tcW w:w="1260" w:type="dxa"/>
          </w:tcPr>
          <w:p w14:paraId="724F47AC"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10.9</w:t>
            </w:r>
          </w:p>
        </w:tc>
        <w:tc>
          <w:tcPr>
            <w:tcW w:w="1620" w:type="dxa"/>
          </w:tcPr>
          <w:p w14:paraId="667D7D87"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3,434,308</w:t>
            </w:r>
          </w:p>
        </w:tc>
        <w:tc>
          <w:tcPr>
            <w:tcW w:w="1260" w:type="dxa"/>
          </w:tcPr>
          <w:p w14:paraId="7745A18B"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8.3</w:t>
            </w:r>
          </w:p>
        </w:tc>
        <w:tc>
          <w:tcPr>
            <w:tcW w:w="1440" w:type="dxa"/>
          </w:tcPr>
          <w:p w14:paraId="45535B37"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2,997,317</w:t>
            </w:r>
          </w:p>
        </w:tc>
        <w:tc>
          <w:tcPr>
            <w:tcW w:w="1260" w:type="dxa"/>
          </w:tcPr>
          <w:p w14:paraId="29DF216D"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13.0</w:t>
            </w:r>
          </w:p>
        </w:tc>
        <w:tc>
          <w:tcPr>
            <w:tcW w:w="990" w:type="dxa"/>
          </w:tcPr>
          <w:p w14:paraId="70122145"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254,405</w:t>
            </w:r>
          </w:p>
        </w:tc>
        <w:tc>
          <w:tcPr>
            <w:tcW w:w="1265" w:type="dxa"/>
          </w:tcPr>
          <w:p w14:paraId="029349A2"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22.9</w:t>
            </w:r>
          </w:p>
        </w:tc>
      </w:tr>
      <w:tr w:rsidR="00865D71" w:rsidRPr="00B0605C" w14:paraId="0DE39A83" w14:textId="77777777" w:rsidTr="00865D71">
        <w:trPr>
          <w:trHeight w:val="259"/>
          <w:jc w:val="center"/>
        </w:trPr>
        <w:tc>
          <w:tcPr>
            <w:tcW w:w="1345" w:type="dxa"/>
          </w:tcPr>
          <w:p w14:paraId="2E27CB73"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2007</w:t>
            </w:r>
          </w:p>
        </w:tc>
        <w:tc>
          <w:tcPr>
            <w:tcW w:w="2340" w:type="dxa"/>
          </w:tcPr>
          <w:p w14:paraId="47B4CD0C"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6,825,212</w:t>
            </w:r>
          </w:p>
        </w:tc>
        <w:tc>
          <w:tcPr>
            <w:tcW w:w="1260" w:type="dxa"/>
          </w:tcPr>
          <w:p w14:paraId="7E2B3021"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2.1</w:t>
            </w:r>
          </w:p>
        </w:tc>
        <w:tc>
          <w:tcPr>
            <w:tcW w:w="1620" w:type="dxa"/>
          </w:tcPr>
          <w:p w14:paraId="59E25BF8"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3,501,997</w:t>
            </w:r>
          </w:p>
        </w:tc>
        <w:tc>
          <w:tcPr>
            <w:tcW w:w="1260" w:type="dxa"/>
          </w:tcPr>
          <w:p w14:paraId="5BEF2E35"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2.0</w:t>
            </w:r>
          </w:p>
        </w:tc>
        <w:tc>
          <w:tcPr>
            <w:tcW w:w="1440" w:type="dxa"/>
          </w:tcPr>
          <w:p w14:paraId="01CC7D6D"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3,091,195</w:t>
            </w:r>
          </w:p>
        </w:tc>
        <w:tc>
          <w:tcPr>
            <w:tcW w:w="1260" w:type="dxa"/>
          </w:tcPr>
          <w:p w14:paraId="1CF46DBB"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3.1</w:t>
            </w:r>
          </w:p>
        </w:tc>
        <w:tc>
          <w:tcPr>
            <w:tcW w:w="990" w:type="dxa"/>
          </w:tcPr>
          <w:p w14:paraId="68225C13"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232,020</w:t>
            </w:r>
          </w:p>
        </w:tc>
        <w:tc>
          <w:tcPr>
            <w:tcW w:w="1265" w:type="dxa"/>
          </w:tcPr>
          <w:p w14:paraId="09333E24"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(8.8)</w:t>
            </w:r>
          </w:p>
        </w:tc>
      </w:tr>
      <w:tr w:rsidR="00865D71" w:rsidRPr="00B0605C" w14:paraId="4B10C369" w14:textId="77777777" w:rsidTr="00865D71">
        <w:trPr>
          <w:trHeight w:val="239"/>
          <w:jc w:val="center"/>
        </w:trPr>
        <w:tc>
          <w:tcPr>
            <w:tcW w:w="1345" w:type="dxa"/>
          </w:tcPr>
          <w:p w14:paraId="6FAB463D"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2008</w:t>
            </w:r>
          </w:p>
        </w:tc>
        <w:tc>
          <w:tcPr>
            <w:tcW w:w="2340" w:type="dxa"/>
          </w:tcPr>
          <w:p w14:paraId="18B28A46"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6,121,158</w:t>
            </w:r>
          </w:p>
        </w:tc>
        <w:tc>
          <w:tcPr>
            <w:tcW w:w="1260" w:type="dxa"/>
          </w:tcPr>
          <w:p w14:paraId="146F5981"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(10.3)</w:t>
            </w:r>
          </w:p>
        </w:tc>
        <w:tc>
          <w:tcPr>
            <w:tcW w:w="1620" w:type="dxa"/>
          </w:tcPr>
          <w:p w14:paraId="0EC95493"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3,212,789</w:t>
            </w:r>
          </w:p>
        </w:tc>
        <w:tc>
          <w:tcPr>
            <w:tcW w:w="1260" w:type="dxa"/>
          </w:tcPr>
          <w:p w14:paraId="5CBE5368"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(8.3)</w:t>
            </w:r>
          </w:p>
        </w:tc>
        <w:tc>
          <w:tcPr>
            <w:tcW w:w="1440" w:type="dxa"/>
          </w:tcPr>
          <w:p w14:paraId="0C92ABFA"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2,712,652</w:t>
            </w:r>
          </w:p>
        </w:tc>
        <w:tc>
          <w:tcPr>
            <w:tcW w:w="1260" w:type="dxa"/>
          </w:tcPr>
          <w:p w14:paraId="71DC5E93"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(12.2)</w:t>
            </w:r>
          </w:p>
        </w:tc>
        <w:tc>
          <w:tcPr>
            <w:tcW w:w="990" w:type="dxa"/>
          </w:tcPr>
          <w:p w14:paraId="2E25158E"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195,717</w:t>
            </w:r>
          </w:p>
        </w:tc>
        <w:tc>
          <w:tcPr>
            <w:tcW w:w="1265" w:type="dxa"/>
          </w:tcPr>
          <w:p w14:paraId="5FB8AEA4"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(15.6)</w:t>
            </w:r>
          </w:p>
        </w:tc>
      </w:tr>
      <w:tr w:rsidR="00865D71" w:rsidRPr="00B0605C" w14:paraId="45A0080F" w14:textId="77777777" w:rsidTr="00865D71">
        <w:trPr>
          <w:trHeight w:val="239"/>
          <w:jc w:val="center"/>
        </w:trPr>
        <w:tc>
          <w:tcPr>
            <w:tcW w:w="1345" w:type="dxa"/>
          </w:tcPr>
          <w:p w14:paraId="5D257A52"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2009</w:t>
            </w:r>
          </w:p>
        </w:tc>
        <w:tc>
          <w:tcPr>
            <w:tcW w:w="2340" w:type="dxa"/>
          </w:tcPr>
          <w:p w14:paraId="01D27A34"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5,546,896</w:t>
            </w:r>
          </w:p>
        </w:tc>
        <w:tc>
          <w:tcPr>
            <w:tcW w:w="1260" w:type="dxa"/>
          </w:tcPr>
          <w:p w14:paraId="02A6CB46"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(9.4)</w:t>
            </w:r>
          </w:p>
        </w:tc>
        <w:tc>
          <w:tcPr>
            <w:tcW w:w="1620" w:type="dxa"/>
          </w:tcPr>
          <w:p w14:paraId="53D1009E"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2,807,051</w:t>
            </w:r>
          </w:p>
        </w:tc>
        <w:tc>
          <w:tcPr>
            <w:tcW w:w="1260" w:type="dxa"/>
          </w:tcPr>
          <w:p w14:paraId="1411831D"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(12.6)</w:t>
            </w:r>
          </w:p>
        </w:tc>
        <w:tc>
          <w:tcPr>
            <w:tcW w:w="1440" w:type="dxa"/>
          </w:tcPr>
          <w:p w14:paraId="7EDFB9EF"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2,560,937</w:t>
            </w:r>
          </w:p>
        </w:tc>
        <w:tc>
          <w:tcPr>
            <w:tcW w:w="1260" w:type="dxa"/>
          </w:tcPr>
          <w:p w14:paraId="67ED1430"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(5.6)</w:t>
            </w:r>
          </w:p>
        </w:tc>
        <w:tc>
          <w:tcPr>
            <w:tcW w:w="990" w:type="dxa"/>
          </w:tcPr>
          <w:p w14:paraId="0D2C53C7"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178,908</w:t>
            </w:r>
          </w:p>
        </w:tc>
        <w:tc>
          <w:tcPr>
            <w:tcW w:w="1265" w:type="dxa"/>
          </w:tcPr>
          <w:p w14:paraId="7896A0B4"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(8.6)</w:t>
            </w:r>
          </w:p>
        </w:tc>
      </w:tr>
      <w:tr w:rsidR="00865D71" w:rsidRPr="00B0605C" w14:paraId="07DD233F" w14:textId="77777777" w:rsidTr="00865D71">
        <w:trPr>
          <w:trHeight w:val="239"/>
          <w:jc w:val="center"/>
        </w:trPr>
        <w:tc>
          <w:tcPr>
            <w:tcW w:w="1345" w:type="dxa"/>
          </w:tcPr>
          <w:p w14:paraId="27620C3B"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2010</w:t>
            </w:r>
          </w:p>
        </w:tc>
        <w:tc>
          <w:tcPr>
            <w:tcW w:w="2340" w:type="dxa"/>
          </w:tcPr>
          <w:p w14:paraId="777BF2AC"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5,773,114</w:t>
            </w:r>
          </w:p>
        </w:tc>
        <w:tc>
          <w:tcPr>
            <w:tcW w:w="1260" w:type="dxa"/>
          </w:tcPr>
          <w:p w14:paraId="69199603"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4.1</w:t>
            </w:r>
          </w:p>
        </w:tc>
        <w:tc>
          <w:tcPr>
            <w:tcW w:w="1620" w:type="dxa"/>
          </w:tcPr>
          <w:p w14:paraId="159CCFBA"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2,788,456</w:t>
            </w:r>
          </w:p>
        </w:tc>
        <w:tc>
          <w:tcPr>
            <w:tcW w:w="1260" w:type="dxa"/>
          </w:tcPr>
          <w:p w14:paraId="3BD9D5DB"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(0.7)</w:t>
            </w:r>
          </w:p>
        </w:tc>
        <w:tc>
          <w:tcPr>
            <w:tcW w:w="1440" w:type="dxa"/>
          </w:tcPr>
          <w:p w14:paraId="2EEE10BF"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2,801,831</w:t>
            </w:r>
          </w:p>
        </w:tc>
        <w:tc>
          <w:tcPr>
            <w:tcW w:w="1260" w:type="dxa"/>
          </w:tcPr>
          <w:p w14:paraId="7E052F39"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9.4</w:t>
            </w:r>
          </w:p>
        </w:tc>
        <w:tc>
          <w:tcPr>
            <w:tcW w:w="990" w:type="dxa"/>
          </w:tcPr>
          <w:p w14:paraId="27F1949F"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182,827</w:t>
            </w:r>
          </w:p>
        </w:tc>
        <w:tc>
          <w:tcPr>
            <w:tcW w:w="1265" w:type="dxa"/>
          </w:tcPr>
          <w:p w14:paraId="79DF556D"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2.2</w:t>
            </w:r>
          </w:p>
        </w:tc>
      </w:tr>
      <w:tr w:rsidR="00865D71" w:rsidRPr="00B0605C" w14:paraId="76793643" w14:textId="77777777" w:rsidTr="00865D71">
        <w:trPr>
          <w:trHeight w:val="259"/>
          <w:jc w:val="center"/>
        </w:trPr>
        <w:tc>
          <w:tcPr>
            <w:tcW w:w="1345" w:type="dxa"/>
          </w:tcPr>
          <w:p w14:paraId="499DEA0C"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2011</w:t>
            </w:r>
          </w:p>
        </w:tc>
        <w:tc>
          <w:tcPr>
            <w:tcW w:w="2340" w:type="dxa"/>
          </w:tcPr>
          <w:p w14:paraId="4A28B71C"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6,065,746</w:t>
            </w:r>
          </w:p>
        </w:tc>
        <w:tc>
          <w:tcPr>
            <w:tcW w:w="1260" w:type="dxa"/>
          </w:tcPr>
          <w:p w14:paraId="17058477"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5.1</w:t>
            </w:r>
          </w:p>
        </w:tc>
        <w:tc>
          <w:tcPr>
            <w:tcW w:w="1620" w:type="dxa"/>
          </w:tcPr>
          <w:p w14:paraId="49B79429"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2,886,994</w:t>
            </w:r>
          </w:p>
        </w:tc>
        <w:tc>
          <w:tcPr>
            <w:tcW w:w="1260" w:type="dxa"/>
          </w:tcPr>
          <w:p w14:paraId="22BBB4F3"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3.5</w:t>
            </w:r>
          </w:p>
        </w:tc>
        <w:tc>
          <w:tcPr>
            <w:tcW w:w="1440" w:type="dxa"/>
          </w:tcPr>
          <w:p w14:paraId="16198FC4"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3,010,648</w:t>
            </w:r>
          </w:p>
        </w:tc>
        <w:tc>
          <w:tcPr>
            <w:tcW w:w="1260" w:type="dxa"/>
          </w:tcPr>
          <w:p w14:paraId="6DAD2299"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7.5</w:t>
            </w:r>
          </w:p>
        </w:tc>
        <w:tc>
          <w:tcPr>
            <w:tcW w:w="990" w:type="dxa"/>
          </w:tcPr>
          <w:p w14:paraId="261543F7"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168,104</w:t>
            </w:r>
          </w:p>
        </w:tc>
        <w:tc>
          <w:tcPr>
            <w:tcW w:w="1265" w:type="dxa"/>
          </w:tcPr>
          <w:p w14:paraId="18DD224A"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(8.1)</w:t>
            </w:r>
          </w:p>
        </w:tc>
      </w:tr>
      <w:tr w:rsidR="00865D71" w:rsidRPr="00B0605C" w14:paraId="7DC386D5" w14:textId="77777777" w:rsidTr="00865D71">
        <w:trPr>
          <w:trHeight w:val="239"/>
          <w:jc w:val="center"/>
        </w:trPr>
        <w:tc>
          <w:tcPr>
            <w:tcW w:w="1345" w:type="dxa"/>
          </w:tcPr>
          <w:p w14:paraId="2323B030"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2012</w:t>
            </w:r>
          </w:p>
        </w:tc>
        <w:tc>
          <w:tcPr>
            <w:tcW w:w="2340" w:type="dxa"/>
          </w:tcPr>
          <w:p w14:paraId="2B2AE10E"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6,203,217</w:t>
            </w:r>
          </w:p>
        </w:tc>
        <w:tc>
          <w:tcPr>
            <w:tcW w:w="1260" w:type="dxa"/>
          </w:tcPr>
          <w:p w14:paraId="270891BB"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2.3</w:t>
            </w:r>
          </w:p>
        </w:tc>
        <w:tc>
          <w:tcPr>
            <w:tcW w:w="1620" w:type="dxa"/>
          </w:tcPr>
          <w:p w14:paraId="0ECB7CE4"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2,906,747</w:t>
            </w:r>
          </w:p>
        </w:tc>
        <w:tc>
          <w:tcPr>
            <w:tcW w:w="1260" w:type="dxa"/>
          </w:tcPr>
          <w:p w14:paraId="2F82F505"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0.7</w:t>
            </w:r>
          </w:p>
        </w:tc>
        <w:tc>
          <w:tcPr>
            <w:tcW w:w="1440" w:type="dxa"/>
          </w:tcPr>
          <w:p w14:paraId="4DFE9183"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3,107,784</w:t>
            </w:r>
          </w:p>
        </w:tc>
        <w:tc>
          <w:tcPr>
            <w:tcW w:w="1260" w:type="dxa"/>
          </w:tcPr>
          <w:p w14:paraId="3A21407B"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3.2</w:t>
            </w:r>
          </w:p>
        </w:tc>
        <w:tc>
          <w:tcPr>
            <w:tcW w:w="990" w:type="dxa"/>
          </w:tcPr>
          <w:p w14:paraId="28B38C1F"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188,686</w:t>
            </w:r>
          </w:p>
        </w:tc>
        <w:tc>
          <w:tcPr>
            <w:tcW w:w="1265" w:type="dxa"/>
          </w:tcPr>
          <w:p w14:paraId="0B134826"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12.2</w:t>
            </w:r>
          </w:p>
        </w:tc>
      </w:tr>
      <w:tr w:rsidR="00865D71" w:rsidRPr="00B0605C" w14:paraId="40768EB6" w14:textId="77777777" w:rsidTr="00865D71">
        <w:trPr>
          <w:trHeight w:val="239"/>
          <w:jc w:val="center"/>
        </w:trPr>
        <w:tc>
          <w:tcPr>
            <w:tcW w:w="1345" w:type="dxa"/>
          </w:tcPr>
          <w:p w14:paraId="51189FF3"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2013</w:t>
            </w:r>
          </w:p>
        </w:tc>
        <w:tc>
          <w:tcPr>
            <w:tcW w:w="2340" w:type="dxa"/>
          </w:tcPr>
          <w:p w14:paraId="38BD0FCF"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6,498,360</w:t>
            </w:r>
          </w:p>
        </w:tc>
        <w:tc>
          <w:tcPr>
            <w:tcW w:w="1260" w:type="dxa"/>
          </w:tcPr>
          <w:p w14:paraId="48144C91"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4.8</w:t>
            </w:r>
          </w:p>
        </w:tc>
        <w:tc>
          <w:tcPr>
            <w:tcW w:w="1620" w:type="dxa"/>
          </w:tcPr>
          <w:p w14:paraId="4DCA44BF"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2,911,865</w:t>
            </w:r>
          </w:p>
        </w:tc>
        <w:tc>
          <w:tcPr>
            <w:tcW w:w="1260" w:type="dxa"/>
          </w:tcPr>
          <w:p w14:paraId="63BC26B5"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0.2</w:t>
            </w:r>
          </w:p>
        </w:tc>
        <w:tc>
          <w:tcPr>
            <w:tcW w:w="1440" w:type="dxa"/>
          </w:tcPr>
          <w:p w14:paraId="4425C6FE"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3,398,204</w:t>
            </w:r>
          </w:p>
        </w:tc>
        <w:tc>
          <w:tcPr>
            <w:tcW w:w="1260" w:type="dxa"/>
          </w:tcPr>
          <w:p w14:paraId="784FE4EC"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9.3</w:t>
            </w:r>
          </w:p>
        </w:tc>
        <w:tc>
          <w:tcPr>
            <w:tcW w:w="990" w:type="dxa"/>
          </w:tcPr>
          <w:p w14:paraId="2C0E2C18"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188,291</w:t>
            </w:r>
          </w:p>
        </w:tc>
        <w:tc>
          <w:tcPr>
            <w:tcW w:w="1265" w:type="dxa"/>
          </w:tcPr>
          <w:p w14:paraId="36BE6006"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(0.2)</w:t>
            </w:r>
          </w:p>
        </w:tc>
      </w:tr>
      <w:tr w:rsidR="00865D71" w:rsidRPr="00B0605C" w14:paraId="1C089431" w14:textId="77777777" w:rsidTr="00865D71">
        <w:trPr>
          <w:trHeight w:val="239"/>
          <w:jc w:val="center"/>
        </w:trPr>
        <w:tc>
          <w:tcPr>
            <w:tcW w:w="1345" w:type="dxa"/>
          </w:tcPr>
          <w:p w14:paraId="1F4DAF5D"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2014</w:t>
            </w:r>
          </w:p>
        </w:tc>
        <w:tc>
          <w:tcPr>
            <w:tcW w:w="2340" w:type="dxa"/>
          </w:tcPr>
          <w:p w14:paraId="024D550F"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6,368,596</w:t>
            </w:r>
          </w:p>
        </w:tc>
        <w:tc>
          <w:tcPr>
            <w:tcW w:w="1260" w:type="dxa"/>
          </w:tcPr>
          <w:p w14:paraId="6BC4E4DB"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(2.0)</w:t>
            </w:r>
          </w:p>
        </w:tc>
        <w:tc>
          <w:tcPr>
            <w:tcW w:w="1620" w:type="dxa"/>
          </w:tcPr>
          <w:p w14:paraId="7B8C9F8A"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2,909,936</w:t>
            </w:r>
          </w:p>
        </w:tc>
        <w:tc>
          <w:tcPr>
            <w:tcW w:w="1260" w:type="dxa"/>
          </w:tcPr>
          <w:p w14:paraId="5CD17D52"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(0.1)</w:t>
            </w:r>
          </w:p>
        </w:tc>
        <w:tc>
          <w:tcPr>
            <w:tcW w:w="1440" w:type="dxa"/>
          </w:tcPr>
          <w:p w14:paraId="6BC1AD4B"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3,250,831</w:t>
            </w:r>
          </w:p>
        </w:tc>
        <w:tc>
          <w:tcPr>
            <w:tcW w:w="1260" w:type="dxa"/>
          </w:tcPr>
          <w:p w14:paraId="002215C7"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(4.3)</w:t>
            </w:r>
          </w:p>
        </w:tc>
        <w:tc>
          <w:tcPr>
            <w:tcW w:w="990" w:type="dxa"/>
          </w:tcPr>
          <w:p w14:paraId="36AA2CC4"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207,829</w:t>
            </w:r>
          </w:p>
        </w:tc>
        <w:tc>
          <w:tcPr>
            <w:tcW w:w="1265" w:type="dxa"/>
          </w:tcPr>
          <w:p w14:paraId="39841AE5"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10.4</w:t>
            </w:r>
          </w:p>
        </w:tc>
      </w:tr>
      <w:tr w:rsidR="00865D71" w:rsidRPr="00B0605C" w14:paraId="6C4F5B65" w14:textId="77777777" w:rsidTr="00865D71">
        <w:trPr>
          <w:trHeight w:val="239"/>
          <w:jc w:val="center"/>
        </w:trPr>
        <w:tc>
          <w:tcPr>
            <w:tcW w:w="1345" w:type="dxa"/>
          </w:tcPr>
          <w:p w14:paraId="1029DCD7"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2015</w:t>
            </w:r>
          </w:p>
        </w:tc>
        <w:tc>
          <w:tcPr>
            <w:tcW w:w="2340" w:type="dxa"/>
          </w:tcPr>
          <w:p w14:paraId="3109F10F"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6,345,059</w:t>
            </w:r>
          </w:p>
        </w:tc>
        <w:tc>
          <w:tcPr>
            <w:tcW w:w="1260" w:type="dxa"/>
          </w:tcPr>
          <w:p w14:paraId="657194D4"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(0.4)</w:t>
            </w:r>
          </w:p>
        </w:tc>
        <w:tc>
          <w:tcPr>
            <w:tcW w:w="1620" w:type="dxa"/>
          </w:tcPr>
          <w:p w14:paraId="516774B0"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3,061,695</w:t>
            </w:r>
          </w:p>
        </w:tc>
        <w:tc>
          <w:tcPr>
            <w:tcW w:w="1260" w:type="dxa"/>
          </w:tcPr>
          <w:p w14:paraId="08F45E74"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5.2</w:t>
            </w:r>
          </w:p>
        </w:tc>
        <w:tc>
          <w:tcPr>
            <w:tcW w:w="1440" w:type="dxa"/>
          </w:tcPr>
          <w:p w14:paraId="21D84BCE"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3,076,933</w:t>
            </w:r>
          </w:p>
        </w:tc>
        <w:tc>
          <w:tcPr>
            <w:tcW w:w="1260" w:type="dxa"/>
          </w:tcPr>
          <w:p w14:paraId="01E0D224"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(5.3)</w:t>
            </w:r>
          </w:p>
        </w:tc>
        <w:tc>
          <w:tcPr>
            <w:tcW w:w="990" w:type="dxa"/>
          </w:tcPr>
          <w:p w14:paraId="28EA5A50"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207,431</w:t>
            </w:r>
          </w:p>
        </w:tc>
        <w:tc>
          <w:tcPr>
            <w:tcW w:w="1265" w:type="dxa"/>
          </w:tcPr>
          <w:p w14:paraId="4197817C"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(0.2)</w:t>
            </w:r>
          </w:p>
        </w:tc>
      </w:tr>
      <w:tr w:rsidR="00865D71" w:rsidRPr="00B0605C" w14:paraId="236A588C" w14:textId="77777777" w:rsidTr="00865D71">
        <w:trPr>
          <w:trHeight w:val="239"/>
          <w:jc w:val="center"/>
        </w:trPr>
        <w:tc>
          <w:tcPr>
            <w:tcW w:w="12780" w:type="dxa"/>
            <w:gridSpan w:val="9"/>
            <w:shd w:val="clear" w:color="auto" w:fill="F2F2F2" w:themeFill="background1" w:themeFillShade="F2"/>
          </w:tcPr>
          <w:p w14:paraId="3B721A5E" w14:textId="77777777" w:rsidR="00865D71" w:rsidRPr="00B0605C" w:rsidRDefault="00865D71" w:rsidP="00865D71">
            <w:pPr>
              <w:pStyle w:val="BodyTextMain"/>
              <w:jc w:val="center"/>
              <w:rPr>
                <w:rFonts w:ascii="Arial" w:eastAsiaTheme="minorEastAsia" w:hAnsi="Arial" w:cs="Arial"/>
                <w:sz w:val="20"/>
                <w:szCs w:val="20"/>
                <w:lang w:val="en-GB" w:eastAsia="ko-KR"/>
              </w:rPr>
            </w:pPr>
          </w:p>
        </w:tc>
      </w:tr>
      <w:tr w:rsidR="00865D71" w:rsidRPr="00B0605C" w14:paraId="04C1B104" w14:textId="77777777" w:rsidTr="00865D71">
        <w:trPr>
          <w:trHeight w:val="239"/>
          <w:jc w:val="center"/>
        </w:trPr>
        <w:tc>
          <w:tcPr>
            <w:tcW w:w="3685" w:type="dxa"/>
            <w:gridSpan w:val="2"/>
          </w:tcPr>
          <w:p w14:paraId="41D3C8E1" w14:textId="18EC4550" w:rsidR="00865D71" w:rsidRPr="00B0605C" w:rsidRDefault="00865D71" w:rsidP="00EF2484">
            <w:pPr>
              <w:pStyle w:val="BodyTextMain"/>
              <w:jc w:val="center"/>
              <w:rPr>
                <w:rFonts w:ascii="Arial" w:eastAsiaTheme="minorEastAsia" w:hAnsi="Arial" w:cs="Arial"/>
                <w:i/>
                <w:sz w:val="20"/>
                <w:szCs w:val="20"/>
                <w:lang w:val="en-GB" w:eastAsia="ko-KR"/>
              </w:rPr>
            </w:pPr>
            <w:r w:rsidRPr="00B0605C">
              <w:rPr>
                <w:rFonts w:ascii="Arial" w:eastAsiaTheme="minorEastAsia" w:hAnsi="Arial" w:cs="Arial"/>
                <w:i/>
                <w:sz w:val="20"/>
                <w:szCs w:val="20"/>
                <w:lang w:val="en-GB" w:eastAsia="ko-KR"/>
              </w:rPr>
              <w:t>Compound Annual Growth Rate (2005</w:t>
            </w:r>
            <w:r w:rsidR="00EF2484">
              <w:rPr>
                <w:rFonts w:ascii="Arial" w:eastAsiaTheme="minorEastAsia" w:hAnsi="Arial" w:cs="Arial"/>
                <w:i/>
                <w:sz w:val="20"/>
                <w:szCs w:val="20"/>
                <w:lang w:val="en-GB" w:eastAsia="ko-KR"/>
              </w:rPr>
              <w:t>–</w:t>
            </w:r>
            <w:r w:rsidRPr="00B0605C">
              <w:rPr>
                <w:rFonts w:ascii="Arial" w:eastAsiaTheme="minorEastAsia" w:hAnsi="Arial" w:cs="Arial"/>
                <w:i/>
                <w:sz w:val="20"/>
                <w:szCs w:val="20"/>
                <w:lang w:val="en-GB" w:eastAsia="ko-KR"/>
              </w:rPr>
              <w:t>2015)</w:t>
            </w:r>
          </w:p>
        </w:tc>
        <w:tc>
          <w:tcPr>
            <w:tcW w:w="1260" w:type="dxa"/>
          </w:tcPr>
          <w:p w14:paraId="74CE274B" w14:textId="77777777" w:rsidR="00865D71" w:rsidRPr="00B0605C" w:rsidRDefault="00865D71" w:rsidP="00865D71">
            <w:pPr>
              <w:pStyle w:val="BodyTextMain"/>
              <w:jc w:val="center"/>
              <w:rPr>
                <w:rFonts w:ascii="Arial" w:eastAsiaTheme="minorEastAsia" w:hAnsi="Arial" w:cs="Arial"/>
                <w:i/>
                <w:sz w:val="20"/>
                <w:szCs w:val="20"/>
                <w:lang w:val="en-GB" w:eastAsia="ko-KR"/>
              </w:rPr>
            </w:pPr>
            <w:r w:rsidRPr="00B0605C">
              <w:rPr>
                <w:rFonts w:ascii="Arial" w:eastAsiaTheme="minorEastAsia" w:hAnsi="Arial" w:cs="Arial"/>
                <w:i/>
                <w:sz w:val="20"/>
                <w:szCs w:val="20"/>
                <w:lang w:val="en-GB" w:eastAsia="ko-KR"/>
              </w:rPr>
              <w:t>0.5</w:t>
            </w:r>
          </w:p>
        </w:tc>
        <w:tc>
          <w:tcPr>
            <w:tcW w:w="1620" w:type="dxa"/>
            <w:shd w:val="clear" w:color="auto" w:fill="F2F2F2" w:themeFill="background1" w:themeFillShade="F2"/>
          </w:tcPr>
          <w:p w14:paraId="23C653FF" w14:textId="77777777" w:rsidR="00865D71" w:rsidRPr="00B0605C" w:rsidRDefault="00865D71" w:rsidP="00865D71">
            <w:pPr>
              <w:pStyle w:val="BodyTextMain"/>
              <w:jc w:val="center"/>
              <w:rPr>
                <w:rFonts w:ascii="Arial" w:eastAsiaTheme="minorEastAsia" w:hAnsi="Arial" w:cs="Arial"/>
                <w:i/>
                <w:sz w:val="20"/>
                <w:szCs w:val="20"/>
                <w:lang w:val="en-GB" w:eastAsia="ko-KR"/>
              </w:rPr>
            </w:pPr>
          </w:p>
        </w:tc>
        <w:tc>
          <w:tcPr>
            <w:tcW w:w="1260" w:type="dxa"/>
          </w:tcPr>
          <w:p w14:paraId="0A9118E9" w14:textId="77777777" w:rsidR="00865D71" w:rsidRPr="00B0605C" w:rsidRDefault="00865D71" w:rsidP="00865D71">
            <w:pPr>
              <w:pStyle w:val="BodyTextMain"/>
              <w:jc w:val="center"/>
              <w:rPr>
                <w:rFonts w:ascii="Arial" w:eastAsiaTheme="minorEastAsia" w:hAnsi="Arial" w:cs="Arial"/>
                <w:i/>
                <w:sz w:val="20"/>
                <w:szCs w:val="20"/>
                <w:lang w:val="en-GB" w:eastAsia="ko-KR"/>
              </w:rPr>
            </w:pPr>
            <w:r w:rsidRPr="00B0605C">
              <w:rPr>
                <w:rFonts w:ascii="Arial" w:eastAsiaTheme="minorEastAsia" w:hAnsi="Arial" w:cs="Arial"/>
                <w:i/>
                <w:sz w:val="20"/>
                <w:szCs w:val="20"/>
                <w:lang w:val="en-GB" w:eastAsia="ko-KR"/>
              </w:rPr>
              <w:t>(0.3)</w:t>
            </w:r>
          </w:p>
        </w:tc>
        <w:tc>
          <w:tcPr>
            <w:tcW w:w="1440" w:type="dxa"/>
            <w:shd w:val="clear" w:color="auto" w:fill="F2F2F2" w:themeFill="background1" w:themeFillShade="F2"/>
          </w:tcPr>
          <w:p w14:paraId="7B7549C1" w14:textId="77777777" w:rsidR="00865D71" w:rsidRPr="00B0605C" w:rsidRDefault="00865D71" w:rsidP="00865D71">
            <w:pPr>
              <w:pStyle w:val="BodyTextMain"/>
              <w:jc w:val="center"/>
              <w:rPr>
                <w:rFonts w:ascii="Arial" w:eastAsiaTheme="minorEastAsia" w:hAnsi="Arial" w:cs="Arial"/>
                <w:i/>
                <w:sz w:val="20"/>
                <w:szCs w:val="20"/>
                <w:lang w:val="en-GB" w:eastAsia="ko-KR"/>
              </w:rPr>
            </w:pPr>
          </w:p>
        </w:tc>
        <w:tc>
          <w:tcPr>
            <w:tcW w:w="1260" w:type="dxa"/>
          </w:tcPr>
          <w:p w14:paraId="5D9B6A45" w14:textId="77777777" w:rsidR="00865D71" w:rsidRPr="00B0605C" w:rsidRDefault="00865D71" w:rsidP="00865D71">
            <w:pPr>
              <w:pStyle w:val="BodyTextMain"/>
              <w:jc w:val="center"/>
              <w:rPr>
                <w:rFonts w:ascii="Arial" w:eastAsiaTheme="minorEastAsia" w:hAnsi="Arial" w:cs="Arial"/>
                <w:i/>
                <w:sz w:val="20"/>
                <w:szCs w:val="20"/>
                <w:lang w:val="en-GB" w:eastAsia="ko-KR"/>
              </w:rPr>
            </w:pPr>
            <w:r w:rsidRPr="00B0605C">
              <w:rPr>
                <w:rFonts w:ascii="Arial" w:eastAsiaTheme="minorEastAsia" w:hAnsi="Arial" w:cs="Arial"/>
                <w:i/>
                <w:sz w:val="20"/>
                <w:szCs w:val="20"/>
                <w:lang w:val="en-GB" w:eastAsia="ko-KR"/>
              </w:rPr>
              <w:t>1.5</w:t>
            </w:r>
          </w:p>
        </w:tc>
        <w:tc>
          <w:tcPr>
            <w:tcW w:w="990" w:type="dxa"/>
            <w:shd w:val="clear" w:color="auto" w:fill="F2F2F2" w:themeFill="background1" w:themeFillShade="F2"/>
          </w:tcPr>
          <w:p w14:paraId="2E48CE55" w14:textId="77777777" w:rsidR="00865D71" w:rsidRPr="00B0605C" w:rsidRDefault="00865D71" w:rsidP="00865D71">
            <w:pPr>
              <w:pStyle w:val="BodyTextMain"/>
              <w:jc w:val="center"/>
              <w:rPr>
                <w:rFonts w:ascii="Arial" w:eastAsiaTheme="minorEastAsia" w:hAnsi="Arial" w:cs="Arial"/>
                <w:i/>
                <w:sz w:val="20"/>
                <w:szCs w:val="20"/>
                <w:lang w:val="en-GB" w:eastAsia="ko-KR"/>
              </w:rPr>
            </w:pPr>
          </w:p>
        </w:tc>
        <w:tc>
          <w:tcPr>
            <w:tcW w:w="1265" w:type="dxa"/>
          </w:tcPr>
          <w:p w14:paraId="3A20509F" w14:textId="77777777" w:rsidR="00865D71" w:rsidRPr="00B0605C" w:rsidRDefault="00865D71" w:rsidP="00865D71">
            <w:pPr>
              <w:pStyle w:val="BodyTextMain"/>
              <w:jc w:val="center"/>
              <w:rPr>
                <w:rFonts w:ascii="Arial" w:eastAsiaTheme="minorEastAsia" w:hAnsi="Arial" w:cs="Arial"/>
                <w:i/>
                <w:sz w:val="20"/>
                <w:szCs w:val="20"/>
                <w:lang w:val="en-GB" w:eastAsia="ko-KR"/>
              </w:rPr>
            </w:pPr>
            <w:r w:rsidRPr="00B0605C">
              <w:rPr>
                <w:rFonts w:ascii="Arial" w:eastAsiaTheme="minorEastAsia" w:hAnsi="Arial" w:cs="Arial"/>
                <w:i/>
                <w:sz w:val="20"/>
                <w:szCs w:val="20"/>
                <w:lang w:val="en-GB" w:eastAsia="ko-KR"/>
              </w:rPr>
              <w:t>0.0</w:t>
            </w:r>
          </w:p>
        </w:tc>
      </w:tr>
      <w:tr w:rsidR="00865D71" w:rsidRPr="00B0605C" w14:paraId="25E45109" w14:textId="77777777" w:rsidTr="00865D71">
        <w:trPr>
          <w:trHeight w:val="239"/>
          <w:jc w:val="center"/>
        </w:trPr>
        <w:tc>
          <w:tcPr>
            <w:tcW w:w="3685" w:type="dxa"/>
            <w:gridSpan w:val="2"/>
          </w:tcPr>
          <w:p w14:paraId="15B0A459" w14:textId="3B2BD984" w:rsidR="00865D71" w:rsidRPr="00B0605C" w:rsidRDefault="00865D71" w:rsidP="00EF2484">
            <w:pPr>
              <w:pStyle w:val="BodyTextMain"/>
              <w:jc w:val="center"/>
              <w:rPr>
                <w:rFonts w:ascii="Arial" w:eastAsiaTheme="minorEastAsia" w:hAnsi="Arial" w:cs="Arial"/>
                <w:i/>
                <w:sz w:val="20"/>
                <w:szCs w:val="20"/>
                <w:lang w:val="en-GB" w:eastAsia="ko-KR"/>
              </w:rPr>
            </w:pPr>
            <w:r w:rsidRPr="00B0605C">
              <w:rPr>
                <w:rFonts w:ascii="Arial" w:eastAsiaTheme="minorEastAsia" w:hAnsi="Arial" w:cs="Arial"/>
                <w:i/>
                <w:sz w:val="20"/>
                <w:szCs w:val="20"/>
                <w:lang w:val="en-GB" w:eastAsia="ko-KR"/>
              </w:rPr>
              <w:t>Compound Annual Growth Rate (2010</w:t>
            </w:r>
            <w:r w:rsidR="00EF2484">
              <w:rPr>
                <w:rFonts w:ascii="Arial" w:eastAsiaTheme="minorEastAsia" w:hAnsi="Arial" w:cs="Arial"/>
                <w:i/>
                <w:sz w:val="20"/>
                <w:szCs w:val="20"/>
                <w:lang w:val="en-GB" w:eastAsia="ko-KR"/>
              </w:rPr>
              <w:t>–</w:t>
            </w:r>
            <w:r w:rsidRPr="00B0605C">
              <w:rPr>
                <w:rFonts w:ascii="Arial" w:eastAsiaTheme="minorEastAsia" w:hAnsi="Arial" w:cs="Arial"/>
                <w:i/>
                <w:sz w:val="20"/>
                <w:szCs w:val="20"/>
                <w:lang w:val="en-GB" w:eastAsia="ko-KR"/>
              </w:rPr>
              <w:t>2015)</w:t>
            </w:r>
          </w:p>
        </w:tc>
        <w:tc>
          <w:tcPr>
            <w:tcW w:w="1260" w:type="dxa"/>
          </w:tcPr>
          <w:p w14:paraId="349D9F28" w14:textId="77777777" w:rsidR="00865D71" w:rsidRPr="00B0605C" w:rsidRDefault="00865D71" w:rsidP="00865D71">
            <w:pPr>
              <w:pStyle w:val="BodyTextMain"/>
              <w:jc w:val="center"/>
              <w:rPr>
                <w:rFonts w:ascii="Arial" w:eastAsiaTheme="minorEastAsia" w:hAnsi="Arial" w:cs="Arial"/>
                <w:i/>
                <w:sz w:val="20"/>
                <w:szCs w:val="20"/>
                <w:lang w:val="en-GB" w:eastAsia="ko-KR"/>
              </w:rPr>
            </w:pPr>
            <w:r w:rsidRPr="00B0605C">
              <w:rPr>
                <w:rFonts w:ascii="Arial" w:eastAsiaTheme="minorEastAsia" w:hAnsi="Arial" w:cs="Arial"/>
                <w:i/>
                <w:sz w:val="20"/>
                <w:szCs w:val="20"/>
                <w:lang w:val="en-GB" w:eastAsia="ko-KR"/>
              </w:rPr>
              <w:t>1.1</w:t>
            </w:r>
          </w:p>
        </w:tc>
        <w:tc>
          <w:tcPr>
            <w:tcW w:w="1620" w:type="dxa"/>
            <w:shd w:val="clear" w:color="auto" w:fill="F2F2F2" w:themeFill="background1" w:themeFillShade="F2"/>
          </w:tcPr>
          <w:p w14:paraId="1DEF9D8C" w14:textId="77777777" w:rsidR="00865D71" w:rsidRPr="00B0605C" w:rsidRDefault="00865D71" w:rsidP="00865D71">
            <w:pPr>
              <w:pStyle w:val="BodyTextMain"/>
              <w:jc w:val="center"/>
              <w:rPr>
                <w:rFonts w:ascii="Arial" w:eastAsiaTheme="minorEastAsia" w:hAnsi="Arial" w:cs="Arial"/>
                <w:i/>
                <w:sz w:val="20"/>
                <w:szCs w:val="20"/>
                <w:lang w:val="en-GB" w:eastAsia="ko-KR"/>
              </w:rPr>
            </w:pPr>
          </w:p>
        </w:tc>
        <w:tc>
          <w:tcPr>
            <w:tcW w:w="1260" w:type="dxa"/>
          </w:tcPr>
          <w:p w14:paraId="0C7BB970" w14:textId="77777777" w:rsidR="00865D71" w:rsidRPr="00B0605C" w:rsidRDefault="00865D71" w:rsidP="00865D71">
            <w:pPr>
              <w:pStyle w:val="BodyTextMain"/>
              <w:jc w:val="center"/>
              <w:rPr>
                <w:rFonts w:ascii="Arial" w:eastAsiaTheme="minorEastAsia" w:hAnsi="Arial" w:cs="Arial"/>
                <w:i/>
                <w:sz w:val="20"/>
                <w:szCs w:val="20"/>
                <w:lang w:val="en-GB" w:eastAsia="ko-KR"/>
              </w:rPr>
            </w:pPr>
            <w:r w:rsidRPr="00B0605C">
              <w:rPr>
                <w:rFonts w:ascii="Arial" w:eastAsiaTheme="minorEastAsia" w:hAnsi="Arial" w:cs="Arial"/>
                <w:i/>
                <w:sz w:val="20"/>
                <w:szCs w:val="20"/>
                <w:lang w:val="en-GB" w:eastAsia="ko-KR"/>
              </w:rPr>
              <w:t>1.5</w:t>
            </w:r>
          </w:p>
        </w:tc>
        <w:tc>
          <w:tcPr>
            <w:tcW w:w="1440" w:type="dxa"/>
            <w:shd w:val="clear" w:color="auto" w:fill="F2F2F2" w:themeFill="background1" w:themeFillShade="F2"/>
          </w:tcPr>
          <w:p w14:paraId="0185AC4C" w14:textId="77777777" w:rsidR="00865D71" w:rsidRPr="00B0605C" w:rsidRDefault="00865D71" w:rsidP="00865D71">
            <w:pPr>
              <w:pStyle w:val="BodyTextMain"/>
              <w:jc w:val="center"/>
              <w:rPr>
                <w:rFonts w:ascii="Arial" w:eastAsiaTheme="minorEastAsia" w:hAnsi="Arial" w:cs="Arial"/>
                <w:i/>
                <w:sz w:val="20"/>
                <w:szCs w:val="20"/>
                <w:lang w:val="en-GB" w:eastAsia="ko-KR"/>
              </w:rPr>
            </w:pPr>
          </w:p>
        </w:tc>
        <w:tc>
          <w:tcPr>
            <w:tcW w:w="1260" w:type="dxa"/>
          </w:tcPr>
          <w:p w14:paraId="002F9257" w14:textId="77777777" w:rsidR="00865D71" w:rsidRPr="00B0605C" w:rsidRDefault="00865D71" w:rsidP="00865D71">
            <w:pPr>
              <w:pStyle w:val="BodyTextMain"/>
              <w:jc w:val="center"/>
              <w:rPr>
                <w:rFonts w:ascii="Arial" w:eastAsiaTheme="minorEastAsia" w:hAnsi="Arial" w:cs="Arial"/>
                <w:i/>
                <w:sz w:val="20"/>
                <w:szCs w:val="20"/>
                <w:lang w:val="en-GB" w:eastAsia="ko-KR"/>
              </w:rPr>
            </w:pPr>
            <w:r w:rsidRPr="00B0605C">
              <w:rPr>
                <w:rFonts w:ascii="Arial" w:eastAsiaTheme="minorEastAsia" w:hAnsi="Arial" w:cs="Arial"/>
                <w:i/>
                <w:sz w:val="20"/>
                <w:szCs w:val="20"/>
                <w:lang w:val="en-GB" w:eastAsia="ko-KR"/>
              </w:rPr>
              <w:t>0.5</w:t>
            </w:r>
          </w:p>
        </w:tc>
        <w:tc>
          <w:tcPr>
            <w:tcW w:w="990" w:type="dxa"/>
            <w:shd w:val="clear" w:color="auto" w:fill="F2F2F2" w:themeFill="background1" w:themeFillShade="F2"/>
          </w:tcPr>
          <w:p w14:paraId="3C0DC5F6" w14:textId="77777777" w:rsidR="00865D71" w:rsidRPr="00B0605C" w:rsidRDefault="00865D71" w:rsidP="00865D71">
            <w:pPr>
              <w:pStyle w:val="BodyTextMain"/>
              <w:jc w:val="center"/>
              <w:rPr>
                <w:rFonts w:ascii="Arial" w:eastAsiaTheme="minorEastAsia" w:hAnsi="Arial" w:cs="Arial"/>
                <w:i/>
                <w:sz w:val="20"/>
                <w:szCs w:val="20"/>
                <w:lang w:val="en-GB" w:eastAsia="ko-KR"/>
              </w:rPr>
            </w:pPr>
          </w:p>
        </w:tc>
        <w:tc>
          <w:tcPr>
            <w:tcW w:w="1265" w:type="dxa"/>
          </w:tcPr>
          <w:p w14:paraId="77702FBD" w14:textId="77777777" w:rsidR="00865D71" w:rsidRPr="00B0605C" w:rsidRDefault="00865D71" w:rsidP="00865D71">
            <w:pPr>
              <w:pStyle w:val="BodyTextMain"/>
              <w:jc w:val="center"/>
              <w:rPr>
                <w:rFonts w:ascii="Arial" w:eastAsiaTheme="minorEastAsia" w:hAnsi="Arial" w:cs="Arial"/>
                <w:i/>
                <w:sz w:val="20"/>
                <w:szCs w:val="20"/>
                <w:lang w:val="en-GB" w:eastAsia="ko-KR"/>
              </w:rPr>
            </w:pPr>
            <w:r w:rsidRPr="00B0605C">
              <w:rPr>
                <w:rFonts w:ascii="Arial" w:eastAsiaTheme="minorEastAsia" w:hAnsi="Arial" w:cs="Arial"/>
                <w:i/>
                <w:sz w:val="20"/>
                <w:szCs w:val="20"/>
                <w:lang w:val="en-GB" w:eastAsia="ko-KR"/>
              </w:rPr>
              <w:t>5.4</w:t>
            </w:r>
          </w:p>
        </w:tc>
      </w:tr>
      <w:tr w:rsidR="00865D71" w:rsidRPr="00B0605C" w14:paraId="45CB92A9" w14:textId="77777777" w:rsidTr="00865D71">
        <w:trPr>
          <w:trHeight w:val="239"/>
          <w:jc w:val="center"/>
        </w:trPr>
        <w:tc>
          <w:tcPr>
            <w:tcW w:w="12780" w:type="dxa"/>
            <w:gridSpan w:val="9"/>
            <w:shd w:val="clear" w:color="auto" w:fill="F2F2F2" w:themeFill="background1" w:themeFillShade="F2"/>
          </w:tcPr>
          <w:p w14:paraId="430584FC" w14:textId="77777777" w:rsidR="00865D71" w:rsidRPr="00B0605C" w:rsidRDefault="00865D71" w:rsidP="00865D71">
            <w:pPr>
              <w:pStyle w:val="BodyTextMain"/>
              <w:jc w:val="center"/>
              <w:rPr>
                <w:rFonts w:ascii="Arial" w:eastAsiaTheme="minorEastAsia" w:hAnsi="Arial" w:cs="Arial"/>
                <w:sz w:val="20"/>
                <w:szCs w:val="20"/>
                <w:lang w:val="en-GB" w:eastAsia="ko-KR"/>
              </w:rPr>
            </w:pPr>
          </w:p>
        </w:tc>
      </w:tr>
      <w:tr w:rsidR="00865D71" w:rsidRPr="00B0605C" w14:paraId="589D184E" w14:textId="77777777" w:rsidTr="00865D71">
        <w:trPr>
          <w:trHeight w:val="627"/>
          <w:jc w:val="center"/>
        </w:trPr>
        <w:tc>
          <w:tcPr>
            <w:tcW w:w="1345" w:type="dxa"/>
          </w:tcPr>
          <w:p w14:paraId="2DC63271" w14:textId="77777777" w:rsidR="00865D71" w:rsidRPr="00B0605C" w:rsidRDefault="00865D71" w:rsidP="00865D71">
            <w:pPr>
              <w:pStyle w:val="BodyTextMain"/>
              <w:jc w:val="center"/>
              <w:rPr>
                <w:rFonts w:ascii="Arial" w:eastAsiaTheme="minorEastAsia" w:hAnsi="Arial" w:cs="Arial"/>
                <w:b/>
                <w:sz w:val="20"/>
                <w:szCs w:val="20"/>
                <w:lang w:val="en-GB" w:eastAsia="ko-KR"/>
              </w:rPr>
            </w:pPr>
            <w:r w:rsidRPr="00B0605C">
              <w:rPr>
                <w:rFonts w:ascii="Arial" w:eastAsiaTheme="minorEastAsia" w:hAnsi="Arial" w:cs="Arial"/>
                <w:b/>
                <w:sz w:val="20"/>
                <w:szCs w:val="20"/>
                <w:lang w:val="en-GB" w:eastAsia="ko-KR"/>
              </w:rPr>
              <w:t>Year-to-Date:</w:t>
            </w:r>
          </w:p>
        </w:tc>
        <w:tc>
          <w:tcPr>
            <w:tcW w:w="2340" w:type="dxa"/>
          </w:tcPr>
          <w:p w14:paraId="2789D2BF" w14:textId="77777777" w:rsidR="00865D71" w:rsidRPr="00B0605C" w:rsidRDefault="00865D71" w:rsidP="00865D71">
            <w:pPr>
              <w:pStyle w:val="BodyTextMain"/>
              <w:jc w:val="center"/>
              <w:rPr>
                <w:rFonts w:ascii="Arial" w:eastAsiaTheme="minorEastAsia" w:hAnsi="Arial" w:cs="Arial"/>
                <w:b/>
                <w:sz w:val="20"/>
                <w:szCs w:val="20"/>
                <w:lang w:val="en-GB" w:eastAsia="ko-KR"/>
              </w:rPr>
            </w:pPr>
          </w:p>
        </w:tc>
        <w:tc>
          <w:tcPr>
            <w:tcW w:w="1260" w:type="dxa"/>
          </w:tcPr>
          <w:p w14:paraId="6D66BDFA" w14:textId="77777777" w:rsidR="00865D71" w:rsidRPr="00B0605C" w:rsidRDefault="00865D71" w:rsidP="00865D71">
            <w:pPr>
              <w:pStyle w:val="BodyTextMain"/>
              <w:jc w:val="center"/>
              <w:rPr>
                <w:rFonts w:ascii="Arial" w:eastAsiaTheme="minorEastAsia" w:hAnsi="Arial" w:cs="Arial"/>
                <w:sz w:val="20"/>
                <w:szCs w:val="20"/>
                <w:lang w:val="en-GB" w:eastAsia="ko-KR"/>
              </w:rPr>
            </w:pPr>
          </w:p>
        </w:tc>
        <w:tc>
          <w:tcPr>
            <w:tcW w:w="1620" w:type="dxa"/>
          </w:tcPr>
          <w:p w14:paraId="199322CC" w14:textId="77777777" w:rsidR="00865D71" w:rsidRPr="00B0605C" w:rsidRDefault="00865D71" w:rsidP="00865D71">
            <w:pPr>
              <w:pStyle w:val="BodyTextMain"/>
              <w:jc w:val="center"/>
              <w:rPr>
                <w:rFonts w:ascii="Arial" w:eastAsiaTheme="minorEastAsia" w:hAnsi="Arial" w:cs="Arial"/>
                <w:sz w:val="20"/>
                <w:szCs w:val="20"/>
                <w:lang w:val="en-GB" w:eastAsia="ko-KR"/>
              </w:rPr>
            </w:pPr>
          </w:p>
        </w:tc>
        <w:tc>
          <w:tcPr>
            <w:tcW w:w="1260" w:type="dxa"/>
          </w:tcPr>
          <w:p w14:paraId="3CAAB311" w14:textId="77777777" w:rsidR="00865D71" w:rsidRPr="00B0605C" w:rsidRDefault="00865D71" w:rsidP="00865D71">
            <w:pPr>
              <w:pStyle w:val="BodyTextMain"/>
              <w:jc w:val="center"/>
              <w:rPr>
                <w:rFonts w:ascii="Arial" w:eastAsiaTheme="minorEastAsia" w:hAnsi="Arial" w:cs="Arial"/>
                <w:sz w:val="20"/>
                <w:szCs w:val="20"/>
                <w:lang w:val="en-GB" w:eastAsia="ko-KR"/>
              </w:rPr>
            </w:pPr>
          </w:p>
        </w:tc>
        <w:tc>
          <w:tcPr>
            <w:tcW w:w="1440" w:type="dxa"/>
          </w:tcPr>
          <w:p w14:paraId="7BA46D89" w14:textId="77777777" w:rsidR="00865D71" w:rsidRPr="00B0605C" w:rsidRDefault="00865D71" w:rsidP="00865D71">
            <w:pPr>
              <w:pStyle w:val="BodyTextMain"/>
              <w:jc w:val="center"/>
              <w:rPr>
                <w:rFonts w:ascii="Arial" w:eastAsiaTheme="minorEastAsia" w:hAnsi="Arial" w:cs="Arial"/>
                <w:sz w:val="20"/>
                <w:szCs w:val="20"/>
                <w:lang w:val="en-GB" w:eastAsia="ko-KR"/>
              </w:rPr>
            </w:pPr>
          </w:p>
        </w:tc>
        <w:tc>
          <w:tcPr>
            <w:tcW w:w="1260" w:type="dxa"/>
          </w:tcPr>
          <w:p w14:paraId="6E0B2338" w14:textId="77777777" w:rsidR="00865D71" w:rsidRPr="00B0605C" w:rsidRDefault="00865D71" w:rsidP="00865D71">
            <w:pPr>
              <w:pStyle w:val="BodyTextMain"/>
              <w:jc w:val="center"/>
              <w:rPr>
                <w:rFonts w:ascii="Arial" w:eastAsiaTheme="minorEastAsia" w:hAnsi="Arial" w:cs="Arial"/>
                <w:sz w:val="20"/>
                <w:szCs w:val="20"/>
                <w:lang w:val="en-GB" w:eastAsia="ko-KR"/>
              </w:rPr>
            </w:pPr>
          </w:p>
        </w:tc>
        <w:tc>
          <w:tcPr>
            <w:tcW w:w="990" w:type="dxa"/>
          </w:tcPr>
          <w:p w14:paraId="3C52FE53" w14:textId="77777777" w:rsidR="00865D71" w:rsidRPr="00B0605C" w:rsidRDefault="00865D71" w:rsidP="00865D71">
            <w:pPr>
              <w:pStyle w:val="BodyTextMain"/>
              <w:jc w:val="center"/>
              <w:rPr>
                <w:rFonts w:ascii="Arial" w:eastAsiaTheme="minorEastAsia" w:hAnsi="Arial" w:cs="Arial"/>
                <w:sz w:val="20"/>
                <w:szCs w:val="20"/>
                <w:lang w:val="en-GB" w:eastAsia="ko-KR"/>
              </w:rPr>
            </w:pPr>
          </w:p>
        </w:tc>
        <w:tc>
          <w:tcPr>
            <w:tcW w:w="1265" w:type="dxa"/>
          </w:tcPr>
          <w:p w14:paraId="56F38E0B" w14:textId="77777777" w:rsidR="00865D71" w:rsidRPr="00B0605C" w:rsidRDefault="00865D71" w:rsidP="00865D71">
            <w:pPr>
              <w:pStyle w:val="BodyTextMain"/>
              <w:jc w:val="center"/>
              <w:rPr>
                <w:rFonts w:ascii="Arial" w:eastAsiaTheme="minorEastAsia" w:hAnsi="Arial" w:cs="Arial"/>
                <w:sz w:val="20"/>
                <w:szCs w:val="20"/>
                <w:lang w:val="en-GB" w:eastAsia="ko-KR"/>
              </w:rPr>
            </w:pPr>
          </w:p>
        </w:tc>
      </w:tr>
      <w:tr w:rsidR="00865D71" w:rsidRPr="00B0605C" w14:paraId="4F79DAD0" w14:textId="77777777" w:rsidTr="00865D71">
        <w:trPr>
          <w:trHeight w:val="239"/>
          <w:jc w:val="center"/>
        </w:trPr>
        <w:tc>
          <w:tcPr>
            <w:tcW w:w="1345" w:type="dxa"/>
          </w:tcPr>
          <w:p w14:paraId="1DBA6026"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September 2015</w:t>
            </w:r>
          </w:p>
        </w:tc>
        <w:tc>
          <w:tcPr>
            <w:tcW w:w="2340" w:type="dxa"/>
          </w:tcPr>
          <w:p w14:paraId="1207564B"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4,644,554</w:t>
            </w:r>
          </w:p>
        </w:tc>
        <w:tc>
          <w:tcPr>
            <w:tcW w:w="1260" w:type="dxa"/>
          </w:tcPr>
          <w:p w14:paraId="3E862F79" w14:textId="074B27DC" w:rsidR="00865D71" w:rsidRPr="00B0605C" w:rsidRDefault="00E04AA9" w:rsidP="00865D71">
            <w:pPr>
              <w:pStyle w:val="BodyTextMain"/>
              <w:jc w:val="center"/>
              <w:rPr>
                <w:rFonts w:ascii="Arial" w:eastAsiaTheme="minorEastAsia" w:hAnsi="Arial" w:cs="Arial"/>
                <w:sz w:val="20"/>
                <w:szCs w:val="20"/>
                <w:lang w:val="en-GB" w:eastAsia="ko-KR"/>
              </w:rPr>
            </w:pPr>
            <w:r>
              <w:rPr>
                <w:rFonts w:ascii="Arial" w:eastAsiaTheme="minorEastAsia" w:hAnsi="Arial" w:cs="Arial"/>
                <w:sz w:val="20"/>
                <w:szCs w:val="20"/>
                <w:lang w:val="en-GB" w:eastAsia="ko-KR"/>
              </w:rPr>
              <w:t>-</w:t>
            </w:r>
          </w:p>
        </w:tc>
        <w:tc>
          <w:tcPr>
            <w:tcW w:w="1620" w:type="dxa"/>
          </w:tcPr>
          <w:p w14:paraId="3CD7FF96"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2,281,754</w:t>
            </w:r>
          </w:p>
        </w:tc>
        <w:tc>
          <w:tcPr>
            <w:tcW w:w="1260" w:type="dxa"/>
          </w:tcPr>
          <w:p w14:paraId="4574F409" w14:textId="6944E262" w:rsidR="00865D71" w:rsidRPr="00B0605C" w:rsidRDefault="00E04AA9" w:rsidP="00865D71">
            <w:pPr>
              <w:pStyle w:val="BodyTextMain"/>
              <w:jc w:val="center"/>
              <w:rPr>
                <w:rFonts w:ascii="Arial" w:eastAsiaTheme="minorEastAsia" w:hAnsi="Arial" w:cs="Arial"/>
                <w:sz w:val="20"/>
                <w:szCs w:val="20"/>
                <w:lang w:val="en-GB" w:eastAsia="ko-KR"/>
              </w:rPr>
            </w:pPr>
            <w:r>
              <w:rPr>
                <w:rFonts w:ascii="Arial" w:eastAsiaTheme="minorEastAsia" w:hAnsi="Arial" w:cs="Arial"/>
                <w:sz w:val="20"/>
                <w:szCs w:val="20"/>
                <w:lang w:val="en-GB" w:eastAsia="ko-KR"/>
              </w:rPr>
              <w:t>-</w:t>
            </w:r>
          </w:p>
        </w:tc>
        <w:tc>
          <w:tcPr>
            <w:tcW w:w="1440" w:type="dxa"/>
          </w:tcPr>
          <w:p w14:paraId="32C2CF3E"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2,218,468</w:t>
            </w:r>
          </w:p>
        </w:tc>
        <w:tc>
          <w:tcPr>
            <w:tcW w:w="1260" w:type="dxa"/>
          </w:tcPr>
          <w:p w14:paraId="76954C6C" w14:textId="12ADC40A" w:rsidR="00865D71" w:rsidRPr="00B0605C" w:rsidRDefault="00E04AA9" w:rsidP="00865D71">
            <w:pPr>
              <w:pStyle w:val="BodyTextMain"/>
              <w:jc w:val="center"/>
              <w:rPr>
                <w:rFonts w:ascii="Arial" w:eastAsiaTheme="minorEastAsia" w:hAnsi="Arial" w:cs="Arial"/>
                <w:sz w:val="20"/>
                <w:szCs w:val="20"/>
                <w:lang w:val="en-GB" w:eastAsia="ko-KR"/>
              </w:rPr>
            </w:pPr>
            <w:r>
              <w:rPr>
                <w:rFonts w:ascii="Arial" w:eastAsiaTheme="minorEastAsia" w:hAnsi="Arial" w:cs="Arial"/>
                <w:sz w:val="20"/>
                <w:szCs w:val="20"/>
                <w:lang w:val="en-GB" w:eastAsia="ko-KR"/>
              </w:rPr>
              <w:t>-</w:t>
            </w:r>
          </w:p>
        </w:tc>
        <w:tc>
          <w:tcPr>
            <w:tcW w:w="990" w:type="dxa"/>
          </w:tcPr>
          <w:p w14:paraId="58A1AF56"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144,331</w:t>
            </w:r>
          </w:p>
        </w:tc>
        <w:tc>
          <w:tcPr>
            <w:tcW w:w="1265" w:type="dxa"/>
          </w:tcPr>
          <w:p w14:paraId="4DD069DB" w14:textId="2F465F78" w:rsidR="00865D71" w:rsidRPr="00B0605C" w:rsidRDefault="00E04AA9" w:rsidP="00865D71">
            <w:pPr>
              <w:pStyle w:val="BodyTextMain"/>
              <w:jc w:val="center"/>
              <w:rPr>
                <w:rFonts w:ascii="Arial" w:eastAsiaTheme="minorEastAsia" w:hAnsi="Arial" w:cs="Arial"/>
                <w:sz w:val="20"/>
                <w:szCs w:val="20"/>
                <w:lang w:val="en-GB" w:eastAsia="ko-KR"/>
              </w:rPr>
            </w:pPr>
            <w:r>
              <w:rPr>
                <w:rFonts w:ascii="Arial" w:eastAsiaTheme="minorEastAsia" w:hAnsi="Arial" w:cs="Arial"/>
                <w:sz w:val="20"/>
                <w:szCs w:val="20"/>
                <w:lang w:val="en-GB" w:eastAsia="ko-KR"/>
              </w:rPr>
              <w:t>-</w:t>
            </w:r>
          </w:p>
        </w:tc>
      </w:tr>
      <w:tr w:rsidR="00865D71" w:rsidRPr="00B0605C" w14:paraId="0C7CC1E6" w14:textId="77777777" w:rsidTr="00865D71">
        <w:trPr>
          <w:trHeight w:val="259"/>
          <w:jc w:val="center"/>
        </w:trPr>
        <w:tc>
          <w:tcPr>
            <w:tcW w:w="1345" w:type="dxa"/>
          </w:tcPr>
          <w:p w14:paraId="10CC38C1"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September 2016</w:t>
            </w:r>
          </w:p>
        </w:tc>
        <w:tc>
          <w:tcPr>
            <w:tcW w:w="2340" w:type="dxa"/>
          </w:tcPr>
          <w:p w14:paraId="05A9F9C4"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4,701,925</w:t>
            </w:r>
          </w:p>
        </w:tc>
        <w:tc>
          <w:tcPr>
            <w:tcW w:w="1260" w:type="dxa"/>
          </w:tcPr>
          <w:p w14:paraId="64DF89C6"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1.2%</w:t>
            </w:r>
          </w:p>
        </w:tc>
        <w:tc>
          <w:tcPr>
            <w:tcW w:w="1620" w:type="dxa"/>
          </w:tcPr>
          <w:p w14:paraId="6EB56C42"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2,317,792</w:t>
            </w:r>
          </w:p>
        </w:tc>
        <w:tc>
          <w:tcPr>
            <w:tcW w:w="1260" w:type="dxa"/>
          </w:tcPr>
          <w:p w14:paraId="41071F6E"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1.6%</w:t>
            </w:r>
          </w:p>
        </w:tc>
        <w:tc>
          <w:tcPr>
            <w:tcW w:w="1440" w:type="dxa"/>
          </w:tcPr>
          <w:p w14:paraId="494D97C0"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2,250,672</w:t>
            </w:r>
          </w:p>
        </w:tc>
        <w:tc>
          <w:tcPr>
            <w:tcW w:w="1260" w:type="dxa"/>
          </w:tcPr>
          <w:p w14:paraId="40C383F5"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1.5%</w:t>
            </w:r>
          </w:p>
        </w:tc>
        <w:tc>
          <w:tcPr>
            <w:tcW w:w="990" w:type="dxa"/>
          </w:tcPr>
          <w:p w14:paraId="27AA145D"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133,461</w:t>
            </w:r>
          </w:p>
        </w:tc>
        <w:tc>
          <w:tcPr>
            <w:tcW w:w="1265" w:type="dxa"/>
          </w:tcPr>
          <w:p w14:paraId="42DBFCC4" w14:textId="77777777" w:rsidR="00865D71" w:rsidRPr="00B0605C" w:rsidRDefault="00865D71" w:rsidP="00865D71">
            <w:pPr>
              <w:pStyle w:val="BodyTextMain"/>
              <w:jc w:val="center"/>
              <w:rPr>
                <w:rFonts w:ascii="Arial" w:eastAsiaTheme="minorEastAsia" w:hAnsi="Arial" w:cs="Arial"/>
                <w:sz w:val="20"/>
                <w:szCs w:val="20"/>
                <w:lang w:val="en-GB" w:eastAsia="ko-KR"/>
              </w:rPr>
            </w:pPr>
            <w:r w:rsidRPr="00B0605C">
              <w:rPr>
                <w:rFonts w:ascii="Arial" w:eastAsiaTheme="minorEastAsia" w:hAnsi="Arial" w:cs="Arial"/>
                <w:sz w:val="20"/>
                <w:szCs w:val="20"/>
                <w:lang w:val="en-GB" w:eastAsia="ko-KR"/>
              </w:rPr>
              <w:t>(7.5)%</w:t>
            </w:r>
          </w:p>
        </w:tc>
      </w:tr>
    </w:tbl>
    <w:p w14:paraId="29274E1A" w14:textId="77777777" w:rsidR="00865D71" w:rsidRPr="00CB24E9" w:rsidRDefault="00865D71" w:rsidP="00CB24E9">
      <w:pPr>
        <w:pStyle w:val="Footnote"/>
        <w:rPr>
          <w:rFonts w:eastAsiaTheme="minorEastAsia"/>
        </w:rPr>
      </w:pPr>
    </w:p>
    <w:p w14:paraId="63EC021A" w14:textId="6FC94D2E" w:rsidR="00865D71" w:rsidRPr="00CB24E9" w:rsidRDefault="00865D71" w:rsidP="00CB24E9">
      <w:pPr>
        <w:pStyle w:val="Footnote"/>
        <w:rPr>
          <w:rFonts w:eastAsiaTheme="minorEastAsia"/>
        </w:rPr>
      </w:pPr>
      <w:r w:rsidRPr="00CB24E9">
        <w:rPr>
          <w:rFonts w:eastAsiaTheme="minorEastAsia"/>
        </w:rPr>
        <w:t>Note: *Other include</w:t>
      </w:r>
      <w:r w:rsidR="0040044A" w:rsidRPr="00CB24E9">
        <w:rPr>
          <w:rFonts w:eastAsiaTheme="minorEastAsia"/>
        </w:rPr>
        <w:t>s</w:t>
      </w:r>
      <w:r w:rsidRPr="00CB24E9">
        <w:rPr>
          <w:rFonts w:eastAsiaTheme="minorEastAsia"/>
        </w:rPr>
        <w:t xml:space="preserve"> keno, race books, sports books, and card games. N</w:t>
      </w:r>
      <w:r w:rsidR="00CB24E9">
        <w:rPr>
          <w:rFonts w:eastAsiaTheme="minorEastAsia"/>
        </w:rPr>
        <w:t>umbers b</w:t>
      </w:r>
      <w:r w:rsidR="00CB24E9" w:rsidRPr="00CB24E9">
        <w:rPr>
          <w:rFonts w:eastAsiaTheme="minorEastAsia"/>
        </w:rPr>
        <w:t>ased on</w:t>
      </w:r>
      <w:r w:rsidRPr="00CB24E9">
        <w:rPr>
          <w:rFonts w:eastAsiaTheme="minorEastAsia"/>
        </w:rPr>
        <w:t xml:space="preserve"> Las Vegas Strip properties with </w:t>
      </w:r>
      <w:r w:rsidR="004B4223" w:rsidRPr="00CB24E9">
        <w:rPr>
          <w:rFonts w:eastAsiaTheme="minorEastAsia"/>
        </w:rPr>
        <w:t xml:space="preserve">annual </w:t>
      </w:r>
      <w:r w:rsidRPr="00CB24E9">
        <w:rPr>
          <w:rFonts w:eastAsiaTheme="minorEastAsia"/>
        </w:rPr>
        <w:t xml:space="preserve">gaming revenues of at least </w:t>
      </w:r>
      <w:r w:rsidR="00EF2484" w:rsidRPr="00CB24E9">
        <w:rPr>
          <w:rFonts w:eastAsiaTheme="minorEastAsia"/>
        </w:rPr>
        <w:t>US</w:t>
      </w:r>
      <w:r w:rsidRPr="00CB24E9">
        <w:rPr>
          <w:rFonts w:eastAsiaTheme="minorEastAsia"/>
        </w:rPr>
        <w:t>$1 million</w:t>
      </w:r>
      <w:r w:rsidR="00CB24E9">
        <w:rPr>
          <w:rFonts w:eastAsiaTheme="minorEastAsia"/>
        </w:rPr>
        <w:t>.</w:t>
      </w:r>
      <w:r w:rsidRPr="00CB24E9">
        <w:rPr>
          <w:rFonts w:eastAsiaTheme="minorEastAsia"/>
        </w:rPr>
        <w:t xml:space="preserve"> </w:t>
      </w:r>
    </w:p>
    <w:p w14:paraId="7019844C" w14:textId="05157448" w:rsidR="00865D71" w:rsidRDefault="00865D71" w:rsidP="00CB24E9">
      <w:pPr>
        <w:pStyle w:val="Footnote"/>
      </w:pPr>
      <w:r w:rsidRPr="00CB24E9">
        <w:rPr>
          <w:rFonts w:eastAsiaTheme="minorEastAsia"/>
        </w:rPr>
        <w:t xml:space="preserve">Source: Shanna Okada and Bomie Kim, “Las Vegas Casino &amp; Hotel Market Outlook 2016,” HVS Gaming Division, November </w:t>
      </w:r>
      <w:r w:rsidR="00EF2484" w:rsidRPr="00CB24E9">
        <w:rPr>
          <w:rFonts w:eastAsiaTheme="minorEastAsia"/>
        </w:rPr>
        <w:t xml:space="preserve">21, </w:t>
      </w:r>
      <w:r w:rsidRPr="00CB24E9">
        <w:rPr>
          <w:rFonts w:eastAsiaTheme="minorEastAsia"/>
        </w:rPr>
        <w:t xml:space="preserve">2016, accessed June 22, 2017, </w:t>
      </w:r>
      <w:r w:rsidR="00CB24E9" w:rsidRPr="00CB24E9">
        <w:t>https://hvs.com/article/7865-las-vegas-casino-hotel-market-outlook-2016</w:t>
      </w:r>
      <w:r w:rsidRPr="00CB24E9">
        <w:t>.</w:t>
      </w:r>
    </w:p>
    <w:p w14:paraId="18A2D287" w14:textId="77777777" w:rsidR="00CB24E9" w:rsidRPr="00CB24E9" w:rsidRDefault="00CB24E9" w:rsidP="00CB24E9">
      <w:pPr>
        <w:pStyle w:val="Footnote"/>
      </w:pPr>
    </w:p>
    <w:p w14:paraId="1DF5442F" w14:textId="77777777" w:rsidR="00865D71" w:rsidRPr="00B0605C" w:rsidRDefault="00865D71" w:rsidP="00865D71">
      <w:pPr>
        <w:pStyle w:val="ExhibitHeading"/>
        <w:rPr>
          <w:rFonts w:eastAsiaTheme="minorEastAsia"/>
          <w:lang w:val="en-GB" w:eastAsia="ko-KR"/>
        </w:rPr>
      </w:pPr>
    </w:p>
    <w:p w14:paraId="65457A31" w14:textId="77777777" w:rsidR="00865D71" w:rsidRPr="00B0605C" w:rsidRDefault="00865D71" w:rsidP="00865D71">
      <w:pPr>
        <w:pStyle w:val="ExhibitHeading"/>
        <w:rPr>
          <w:rFonts w:eastAsiaTheme="minorEastAsia"/>
          <w:lang w:val="en-GB" w:eastAsia="ko-KR"/>
        </w:rPr>
      </w:pPr>
    </w:p>
    <w:p w14:paraId="71529842" w14:textId="77777777" w:rsidR="00865D71" w:rsidRPr="00B0605C" w:rsidRDefault="00865D71" w:rsidP="00865D71">
      <w:pPr>
        <w:pStyle w:val="ExhibitHeading"/>
        <w:jc w:val="left"/>
        <w:rPr>
          <w:rFonts w:eastAsiaTheme="minorEastAsia"/>
          <w:lang w:val="en-GB" w:eastAsia="ko-KR"/>
        </w:rPr>
      </w:pPr>
    </w:p>
    <w:p w14:paraId="08A82087" w14:textId="77777777" w:rsidR="00865D71" w:rsidRPr="00B0605C" w:rsidRDefault="00865D71" w:rsidP="00865D71">
      <w:pPr>
        <w:pStyle w:val="ExhibitHeading"/>
        <w:rPr>
          <w:rFonts w:eastAsiaTheme="minorEastAsia"/>
          <w:lang w:val="en-GB" w:eastAsia="ko-KR"/>
        </w:rPr>
      </w:pPr>
      <w:r w:rsidRPr="00B0605C">
        <w:rPr>
          <w:rFonts w:eastAsiaTheme="minorEastAsia"/>
          <w:lang w:val="en-GB" w:eastAsia="ko-KR"/>
        </w:rPr>
        <w:lastRenderedPageBreak/>
        <w:t>Exhibit 4: overview of las vegas hotel industry (as of 2017)</w:t>
      </w:r>
    </w:p>
    <w:p w14:paraId="34F49AF5" w14:textId="77777777" w:rsidR="00865D71" w:rsidRPr="00B0605C" w:rsidRDefault="00865D71" w:rsidP="00865D71">
      <w:pPr>
        <w:pStyle w:val="ExhibitHeading"/>
        <w:rPr>
          <w:rFonts w:eastAsiaTheme="minorEastAsia"/>
          <w:lang w:val="en-GB" w:eastAsia="ko-KR"/>
        </w:rPr>
      </w:pPr>
    </w:p>
    <w:tbl>
      <w:tblPr>
        <w:tblStyle w:val="TableGrid"/>
        <w:tblW w:w="12780" w:type="dxa"/>
        <w:jc w:val="center"/>
        <w:tblLook w:val="04A0" w:firstRow="1" w:lastRow="0" w:firstColumn="1" w:lastColumn="0" w:noHBand="0" w:noVBand="1"/>
      </w:tblPr>
      <w:tblGrid>
        <w:gridCol w:w="1350"/>
        <w:gridCol w:w="2070"/>
        <w:gridCol w:w="3330"/>
        <w:gridCol w:w="6030"/>
      </w:tblGrid>
      <w:tr w:rsidR="00865D71" w:rsidRPr="00B0605C" w14:paraId="1222F49B" w14:textId="77777777" w:rsidTr="00865D71">
        <w:trPr>
          <w:trHeight w:val="470"/>
          <w:jc w:val="center"/>
        </w:trPr>
        <w:tc>
          <w:tcPr>
            <w:tcW w:w="1350" w:type="dxa"/>
            <w:shd w:val="clear" w:color="auto" w:fill="D9D9D9" w:themeFill="background1" w:themeFillShade="D9"/>
            <w:vAlign w:val="center"/>
          </w:tcPr>
          <w:p w14:paraId="26E98086" w14:textId="77777777" w:rsidR="00865D71" w:rsidRPr="00B0605C" w:rsidRDefault="00865D71" w:rsidP="00865D71">
            <w:pPr>
              <w:jc w:val="center"/>
              <w:rPr>
                <w:rFonts w:ascii="Arial" w:hAnsi="Arial" w:cs="Arial"/>
                <w:b/>
                <w:sz w:val="18"/>
                <w:szCs w:val="18"/>
                <w:lang w:val="en-GB"/>
              </w:rPr>
            </w:pPr>
            <w:r w:rsidRPr="00B0605C">
              <w:rPr>
                <w:rFonts w:ascii="Arial" w:hAnsi="Arial" w:cs="Arial"/>
                <w:b/>
                <w:sz w:val="18"/>
                <w:szCs w:val="18"/>
                <w:lang w:val="en-GB"/>
              </w:rPr>
              <w:t>Hotel</w:t>
            </w:r>
          </w:p>
        </w:tc>
        <w:tc>
          <w:tcPr>
            <w:tcW w:w="2070" w:type="dxa"/>
            <w:shd w:val="clear" w:color="auto" w:fill="D9D9D9" w:themeFill="background1" w:themeFillShade="D9"/>
            <w:vAlign w:val="center"/>
          </w:tcPr>
          <w:p w14:paraId="66F44E26" w14:textId="77777777" w:rsidR="00865D71" w:rsidRPr="00B0605C" w:rsidRDefault="00865D71" w:rsidP="00865D71">
            <w:pPr>
              <w:jc w:val="center"/>
              <w:rPr>
                <w:rFonts w:ascii="Arial" w:hAnsi="Arial" w:cs="Arial"/>
                <w:b/>
                <w:sz w:val="18"/>
                <w:szCs w:val="18"/>
                <w:lang w:val="en-GB"/>
              </w:rPr>
            </w:pPr>
            <w:r w:rsidRPr="00B0605C">
              <w:rPr>
                <w:rFonts w:ascii="Arial" w:hAnsi="Arial" w:cs="Arial"/>
                <w:b/>
                <w:sz w:val="18"/>
                <w:szCs w:val="18"/>
                <w:lang w:val="en-GB"/>
              </w:rPr>
              <w:t>Company</w:t>
            </w:r>
          </w:p>
        </w:tc>
        <w:tc>
          <w:tcPr>
            <w:tcW w:w="3330" w:type="dxa"/>
            <w:shd w:val="clear" w:color="auto" w:fill="D9D9D9" w:themeFill="background1" w:themeFillShade="D9"/>
            <w:vAlign w:val="center"/>
          </w:tcPr>
          <w:p w14:paraId="4566EDDB" w14:textId="77777777" w:rsidR="00865D71" w:rsidRPr="00B0605C" w:rsidRDefault="00865D71" w:rsidP="00865D71">
            <w:pPr>
              <w:jc w:val="center"/>
              <w:rPr>
                <w:rFonts w:ascii="Arial" w:hAnsi="Arial" w:cs="Arial"/>
                <w:b/>
                <w:sz w:val="18"/>
                <w:szCs w:val="18"/>
                <w:lang w:val="en-GB"/>
              </w:rPr>
            </w:pPr>
            <w:r w:rsidRPr="00B0605C">
              <w:rPr>
                <w:rFonts w:ascii="Arial" w:hAnsi="Arial" w:cs="Arial"/>
                <w:b/>
                <w:sz w:val="18"/>
                <w:szCs w:val="18"/>
                <w:lang w:val="en-GB"/>
              </w:rPr>
              <w:t>Property Profile</w:t>
            </w:r>
          </w:p>
        </w:tc>
        <w:tc>
          <w:tcPr>
            <w:tcW w:w="6030" w:type="dxa"/>
            <w:shd w:val="clear" w:color="auto" w:fill="D9D9D9" w:themeFill="background1" w:themeFillShade="D9"/>
            <w:vAlign w:val="center"/>
          </w:tcPr>
          <w:p w14:paraId="18BFD389" w14:textId="77777777" w:rsidR="00865D71" w:rsidRPr="00B0605C" w:rsidRDefault="00865D71" w:rsidP="00865D71">
            <w:pPr>
              <w:jc w:val="center"/>
              <w:rPr>
                <w:rFonts w:ascii="Arial" w:hAnsi="Arial" w:cs="Arial"/>
                <w:b/>
                <w:sz w:val="18"/>
                <w:szCs w:val="18"/>
                <w:lang w:val="en-GB"/>
              </w:rPr>
            </w:pPr>
            <w:r w:rsidRPr="00B0605C">
              <w:rPr>
                <w:rFonts w:ascii="Arial" w:hAnsi="Arial" w:cs="Arial"/>
                <w:b/>
                <w:sz w:val="18"/>
                <w:szCs w:val="18"/>
                <w:lang w:val="en-GB"/>
              </w:rPr>
              <w:t>Description</w:t>
            </w:r>
          </w:p>
        </w:tc>
      </w:tr>
      <w:tr w:rsidR="00865D71" w:rsidRPr="00B0605C" w14:paraId="52A5363D" w14:textId="77777777" w:rsidTr="00865D71">
        <w:trPr>
          <w:trHeight w:val="264"/>
          <w:jc w:val="center"/>
        </w:trPr>
        <w:tc>
          <w:tcPr>
            <w:tcW w:w="1350" w:type="dxa"/>
            <w:shd w:val="clear" w:color="auto" w:fill="auto"/>
            <w:vAlign w:val="center"/>
          </w:tcPr>
          <w:p w14:paraId="620E9CDF" w14:textId="77777777" w:rsidR="00865D71" w:rsidRPr="00B0605C" w:rsidRDefault="00865D71" w:rsidP="00865D71">
            <w:pPr>
              <w:spacing w:line="276" w:lineRule="auto"/>
              <w:rPr>
                <w:rFonts w:ascii="Arial" w:hAnsi="Arial" w:cs="Arial"/>
                <w:sz w:val="18"/>
                <w:szCs w:val="18"/>
                <w:lang w:val="en-GB"/>
              </w:rPr>
            </w:pPr>
            <w:r w:rsidRPr="00B0605C">
              <w:rPr>
                <w:rFonts w:ascii="Arial" w:hAnsi="Arial" w:cs="Arial"/>
                <w:sz w:val="18"/>
                <w:szCs w:val="18"/>
                <w:lang w:val="en-GB"/>
              </w:rPr>
              <w:t>Circus Circus</w:t>
            </w:r>
          </w:p>
        </w:tc>
        <w:tc>
          <w:tcPr>
            <w:tcW w:w="2070" w:type="dxa"/>
            <w:shd w:val="clear" w:color="auto" w:fill="auto"/>
            <w:vAlign w:val="center"/>
          </w:tcPr>
          <w:p w14:paraId="65A50A8D" w14:textId="77777777" w:rsidR="00865D71" w:rsidRPr="00B0605C" w:rsidRDefault="00865D71" w:rsidP="00865D71">
            <w:pPr>
              <w:spacing w:line="276" w:lineRule="auto"/>
              <w:rPr>
                <w:rFonts w:ascii="Arial" w:hAnsi="Arial" w:cs="Arial"/>
                <w:sz w:val="18"/>
                <w:szCs w:val="18"/>
                <w:lang w:val="en-GB"/>
              </w:rPr>
            </w:pPr>
            <w:r w:rsidRPr="00B0605C">
              <w:rPr>
                <w:rFonts w:ascii="Arial" w:hAnsi="Arial" w:cs="Arial"/>
                <w:sz w:val="18"/>
                <w:szCs w:val="18"/>
                <w:lang w:val="en-GB"/>
              </w:rPr>
              <w:t>MGM Resorts</w:t>
            </w:r>
          </w:p>
        </w:tc>
        <w:tc>
          <w:tcPr>
            <w:tcW w:w="3330" w:type="dxa"/>
            <w:shd w:val="clear" w:color="auto" w:fill="auto"/>
            <w:vAlign w:val="center"/>
          </w:tcPr>
          <w:p w14:paraId="0792A083" w14:textId="77777777" w:rsidR="00865D71" w:rsidRPr="00B0605C" w:rsidRDefault="00865D71" w:rsidP="00865D71">
            <w:pPr>
              <w:pStyle w:val="ListParagraph"/>
              <w:numPr>
                <w:ilvl w:val="0"/>
                <w:numId w:val="30"/>
              </w:numPr>
              <w:spacing w:line="276" w:lineRule="auto"/>
              <w:jc w:val="left"/>
              <w:rPr>
                <w:rFonts w:ascii="Arial" w:hAnsi="Arial" w:cs="Arial"/>
                <w:sz w:val="18"/>
                <w:szCs w:val="18"/>
                <w:lang w:val="en-GB"/>
              </w:rPr>
            </w:pPr>
            <w:r w:rsidRPr="00B0605C">
              <w:rPr>
                <w:rFonts w:ascii="Arial" w:hAnsi="Arial" w:cs="Arial"/>
                <w:sz w:val="18"/>
                <w:szCs w:val="18"/>
                <w:lang w:val="en-GB"/>
              </w:rPr>
              <w:t>3,763 rooms</w:t>
            </w:r>
          </w:p>
          <w:p w14:paraId="1F247A8A" w14:textId="77777777" w:rsidR="00865D71" w:rsidRPr="00B0605C" w:rsidRDefault="00865D71" w:rsidP="00865D71">
            <w:pPr>
              <w:pStyle w:val="ListParagraph"/>
              <w:numPr>
                <w:ilvl w:val="0"/>
                <w:numId w:val="30"/>
              </w:numPr>
              <w:spacing w:line="276" w:lineRule="auto"/>
              <w:jc w:val="left"/>
              <w:rPr>
                <w:rFonts w:ascii="Arial" w:hAnsi="Arial" w:cs="Arial"/>
                <w:sz w:val="18"/>
                <w:szCs w:val="18"/>
                <w:lang w:val="en-GB"/>
              </w:rPr>
            </w:pPr>
            <w:r w:rsidRPr="00B0605C">
              <w:rPr>
                <w:rFonts w:ascii="Arial" w:hAnsi="Arial" w:cs="Arial"/>
                <w:sz w:val="18"/>
                <w:szCs w:val="18"/>
                <w:lang w:val="en-GB"/>
              </w:rPr>
              <w:t>1,320 slots, 43 gaming tables</w:t>
            </w:r>
          </w:p>
        </w:tc>
        <w:tc>
          <w:tcPr>
            <w:tcW w:w="6030" w:type="dxa"/>
            <w:shd w:val="clear" w:color="auto" w:fill="auto"/>
            <w:vAlign w:val="center"/>
          </w:tcPr>
          <w:p w14:paraId="557DB568" w14:textId="178FAA52" w:rsidR="00865D71" w:rsidRPr="00B0605C" w:rsidRDefault="00865D71" w:rsidP="00865D71">
            <w:pPr>
              <w:pStyle w:val="ListParagraph"/>
              <w:numPr>
                <w:ilvl w:val="0"/>
                <w:numId w:val="30"/>
              </w:numPr>
              <w:spacing w:line="276" w:lineRule="auto"/>
              <w:jc w:val="left"/>
              <w:rPr>
                <w:rFonts w:ascii="Arial" w:hAnsi="Arial" w:cs="Arial"/>
                <w:sz w:val="18"/>
                <w:szCs w:val="18"/>
                <w:lang w:val="en-GB"/>
              </w:rPr>
            </w:pPr>
            <w:r w:rsidRPr="00B0605C">
              <w:rPr>
                <w:rFonts w:ascii="Arial" w:hAnsi="Arial" w:cs="Arial"/>
                <w:sz w:val="18"/>
                <w:szCs w:val="18"/>
                <w:lang w:val="en-GB"/>
              </w:rPr>
              <w:t xml:space="preserve">Resort features circus acts and carnival-type games on the Midway; </w:t>
            </w:r>
            <w:r w:rsidR="00E04AA9">
              <w:rPr>
                <w:rFonts w:ascii="Arial" w:hAnsi="Arial" w:cs="Arial"/>
                <w:sz w:val="18"/>
                <w:szCs w:val="18"/>
                <w:lang w:val="en-GB"/>
              </w:rPr>
              <w:t xml:space="preserve">it has the </w:t>
            </w:r>
            <w:r w:rsidRPr="00B0605C">
              <w:rPr>
                <w:rFonts w:ascii="Arial" w:hAnsi="Arial" w:cs="Arial"/>
                <w:sz w:val="18"/>
                <w:szCs w:val="18"/>
                <w:lang w:val="en-GB"/>
              </w:rPr>
              <w:t>largest permanent Big Top in the world</w:t>
            </w:r>
          </w:p>
        </w:tc>
      </w:tr>
      <w:tr w:rsidR="00865D71" w:rsidRPr="00B0605C" w14:paraId="3C22B877" w14:textId="77777777" w:rsidTr="00865D71">
        <w:trPr>
          <w:trHeight w:val="264"/>
          <w:jc w:val="center"/>
        </w:trPr>
        <w:tc>
          <w:tcPr>
            <w:tcW w:w="1350" w:type="dxa"/>
            <w:shd w:val="clear" w:color="auto" w:fill="auto"/>
            <w:vAlign w:val="center"/>
          </w:tcPr>
          <w:p w14:paraId="271EABBC" w14:textId="77777777" w:rsidR="00865D71" w:rsidRPr="00B0605C" w:rsidRDefault="00865D71" w:rsidP="00865D71">
            <w:pPr>
              <w:spacing w:line="276" w:lineRule="auto"/>
              <w:rPr>
                <w:rFonts w:ascii="Arial" w:hAnsi="Arial" w:cs="Arial"/>
                <w:sz w:val="18"/>
                <w:szCs w:val="18"/>
                <w:lang w:val="en-GB"/>
              </w:rPr>
            </w:pPr>
            <w:r w:rsidRPr="00B0605C">
              <w:rPr>
                <w:rFonts w:ascii="Arial" w:hAnsi="Arial" w:cs="Arial"/>
                <w:sz w:val="18"/>
                <w:szCs w:val="18"/>
                <w:lang w:val="en-GB"/>
              </w:rPr>
              <w:t>Excalibur</w:t>
            </w:r>
          </w:p>
        </w:tc>
        <w:tc>
          <w:tcPr>
            <w:tcW w:w="2070" w:type="dxa"/>
            <w:shd w:val="clear" w:color="auto" w:fill="auto"/>
            <w:vAlign w:val="center"/>
          </w:tcPr>
          <w:p w14:paraId="5EAF2283" w14:textId="77777777" w:rsidR="00865D71" w:rsidRPr="00B0605C" w:rsidRDefault="00865D71" w:rsidP="00865D71">
            <w:pPr>
              <w:spacing w:line="276" w:lineRule="auto"/>
              <w:rPr>
                <w:rFonts w:ascii="Arial" w:hAnsi="Arial" w:cs="Arial"/>
                <w:sz w:val="18"/>
                <w:szCs w:val="18"/>
                <w:lang w:val="en-GB"/>
              </w:rPr>
            </w:pPr>
            <w:r w:rsidRPr="00B0605C">
              <w:rPr>
                <w:rFonts w:ascii="Arial" w:hAnsi="Arial" w:cs="Arial"/>
                <w:sz w:val="18"/>
                <w:szCs w:val="18"/>
                <w:lang w:val="en-GB"/>
              </w:rPr>
              <w:t>MGM Resorts</w:t>
            </w:r>
          </w:p>
        </w:tc>
        <w:tc>
          <w:tcPr>
            <w:tcW w:w="3330" w:type="dxa"/>
            <w:shd w:val="clear" w:color="auto" w:fill="auto"/>
            <w:vAlign w:val="center"/>
          </w:tcPr>
          <w:p w14:paraId="7FCBE5E9" w14:textId="77777777" w:rsidR="00865D71" w:rsidRPr="00B0605C" w:rsidRDefault="00865D71" w:rsidP="00865D71">
            <w:pPr>
              <w:pStyle w:val="ListParagraph"/>
              <w:numPr>
                <w:ilvl w:val="0"/>
                <w:numId w:val="30"/>
              </w:numPr>
              <w:spacing w:line="276" w:lineRule="auto"/>
              <w:jc w:val="left"/>
              <w:rPr>
                <w:rFonts w:ascii="Arial" w:hAnsi="Arial" w:cs="Arial"/>
                <w:sz w:val="18"/>
                <w:szCs w:val="18"/>
                <w:lang w:val="en-GB"/>
              </w:rPr>
            </w:pPr>
            <w:r w:rsidRPr="00B0605C">
              <w:rPr>
                <w:rFonts w:ascii="Arial" w:hAnsi="Arial" w:cs="Arial"/>
                <w:sz w:val="18"/>
                <w:szCs w:val="18"/>
                <w:lang w:val="en-GB"/>
              </w:rPr>
              <w:t>3,981 rooms</w:t>
            </w:r>
          </w:p>
          <w:p w14:paraId="4C40122E" w14:textId="77777777" w:rsidR="00865D71" w:rsidRPr="00B0605C" w:rsidRDefault="00865D71" w:rsidP="00865D71">
            <w:pPr>
              <w:pStyle w:val="ListParagraph"/>
              <w:numPr>
                <w:ilvl w:val="0"/>
                <w:numId w:val="30"/>
              </w:numPr>
              <w:spacing w:line="276" w:lineRule="auto"/>
              <w:jc w:val="left"/>
              <w:rPr>
                <w:rFonts w:ascii="Arial" w:hAnsi="Arial" w:cs="Arial"/>
                <w:sz w:val="18"/>
                <w:szCs w:val="18"/>
                <w:lang w:val="en-GB"/>
              </w:rPr>
            </w:pPr>
            <w:r w:rsidRPr="00B0605C">
              <w:rPr>
                <w:rFonts w:ascii="Arial" w:hAnsi="Arial" w:cs="Arial"/>
                <w:sz w:val="18"/>
                <w:szCs w:val="18"/>
                <w:lang w:val="en-GB"/>
              </w:rPr>
              <w:t>1,217 slots, 52 gaming tables</w:t>
            </w:r>
          </w:p>
        </w:tc>
        <w:tc>
          <w:tcPr>
            <w:tcW w:w="6030" w:type="dxa"/>
            <w:shd w:val="clear" w:color="auto" w:fill="auto"/>
            <w:vAlign w:val="center"/>
          </w:tcPr>
          <w:p w14:paraId="51065656" w14:textId="77777777" w:rsidR="00865D71" w:rsidRPr="00B0605C" w:rsidRDefault="00865D71" w:rsidP="00865D71">
            <w:pPr>
              <w:pStyle w:val="ListParagraph"/>
              <w:numPr>
                <w:ilvl w:val="0"/>
                <w:numId w:val="30"/>
              </w:numPr>
              <w:spacing w:line="276" w:lineRule="auto"/>
              <w:jc w:val="left"/>
              <w:rPr>
                <w:rFonts w:ascii="Arial" w:hAnsi="Arial" w:cs="Arial"/>
                <w:sz w:val="18"/>
                <w:szCs w:val="18"/>
                <w:lang w:val="en-GB"/>
              </w:rPr>
            </w:pPr>
            <w:r w:rsidRPr="00B0605C">
              <w:rPr>
                <w:rFonts w:ascii="Arial" w:hAnsi="Arial" w:cs="Arial"/>
                <w:sz w:val="18"/>
                <w:szCs w:val="18"/>
                <w:lang w:val="en-GB"/>
              </w:rPr>
              <w:t>Three permanent shows</w:t>
            </w:r>
          </w:p>
          <w:p w14:paraId="7B2B0318" w14:textId="02F52B86" w:rsidR="00865D71" w:rsidRPr="00B0605C" w:rsidRDefault="00865D71" w:rsidP="00B239E5">
            <w:pPr>
              <w:pStyle w:val="ListParagraph"/>
              <w:numPr>
                <w:ilvl w:val="0"/>
                <w:numId w:val="30"/>
              </w:numPr>
              <w:spacing w:line="276" w:lineRule="auto"/>
              <w:jc w:val="left"/>
              <w:rPr>
                <w:rFonts w:ascii="Arial" w:hAnsi="Arial" w:cs="Arial"/>
                <w:sz w:val="18"/>
                <w:szCs w:val="18"/>
                <w:lang w:val="en-GB"/>
              </w:rPr>
            </w:pPr>
            <w:r w:rsidRPr="00B0605C">
              <w:rPr>
                <w:rFonts w:ascii="Arial" w:hAnsi="Arial" w:cs="Arial"/>
                <w:sz w:val="18"/>
                <w:szCs w:val="18"/>
                <w:lang w:val="en-GB"/>
              </w:rPr>
              <w:t>Designed as a “theme resort” intended to be family</w:t>
            </w:r>
            <w:r w:rsidR="00B239E5">
              <w:rPr>
                <w:rFonts w:ascii="Arial" w:hAnsi="Arial" w:cs="Arial"/>
                <w:sz w:val="18"/>
                <w:szCs w:val="18"/>
                <w:lang w:val="en-GB"/>
              </w:rPr>
              <w:t>-</w:t>
            </w:r>
            <w:r w:rsidRPr="00B0605C">
              <w:rPr>
                <w:rFonts w:ascii="Arial" w:hAnsi="Arial" w:cs="Arial"/>
                <w:sz w:val="18"/>
                <w:szCs w:val="18"/>
                <w:lang w:val="en-GB"/>
              </w:rPr>
              <w:t>friendly</w:t>
            </w:r>
          </w:p>
        </w:tc>
      </w:tr>
      <w:tr w:rsidR="00865D71" w:rsidRPr="00B0605C" w14:paraId="27223128" w14:textId="77777777" w:rsidTr="00865D71">
        <w:trPr>
          <w:trHeight w:val="291"/>
          <w:jc w:val="center"/>
        </w:trPr>
        <w:tc>
          <w:tcPr>
            <w:tcW w:w="1350" w:type="dxa"/>
            <w:shd w:val="clear" w:color="auto" w:fill="auto"/>
            <w:vAlign w:val="center"/>
          </w:tcPr>
          <w:p w14:paraId="1B0B73BE" w14:textId="77777777" w:rsidR="00865D71" w:rsidRPr="00B0605C" w:rsidRDefault="00865D71" w:rsidP="00865D71">
            <w:pPr>
              <w:spacing w:line="276" w:lineRule="auto"/>
              <w:rPr>
                <w:rFonts w:ascii="Arial" w:hAnsi="Arial" w:cs="Arial"/>
                <w:sz w:val="18"/>
                <w:szCs w:val="18"/>
                <w:lang w:val="en-GB"/>
              </w:rPr>
            </w:pPr>
            <w:r w:rsidRPr="00B0605C">
              <w:rPr>
                <w:rFonts w:ascii="Arial" w:hAnsi="Arial" w:cs="Arial"/>
                <w:sz w:val="18"/>
                <w:szCs w:val="18"/>
                <w:lang w:val="en-GB"/>
              </w:rPr>
              <w:t>Luxor</w:t>
            </w:r>
          </w:p>
        </w:tc>
        <w:tc>
          <w:tcPr>
            <w:tcW w:w="2070" w:type="dxa"/>
            <w:shd w:val="clear" w:color="auto" w:fill="auto"/>
            <w:vAlign w:val="center"/>
          </w:tcPr>
          <w:p w14:paraId="2163F094" w14:textId="77777777" w:rsidR="00865D71" w:rsidRPr="00B0605C" w:rsidRDefault="00865D71" w:rsidP="00865D71">
            <w:pPr>
              <w:spacing w:line="276" w:lineRule="auto"/>
              <w:rPr>
                <w:rFonts w:ascii="Arial" w:hAnsi="Arial" w:cs="Arial"/>
                <w:sz w:val="18"/>
                <w:szCs w:val="18"/>
                <w:lang w:val="en-GB"/>
              </w:rPr>
            </w:pPr>
            <w:r w:rsidRPr="00B0605C">
              <w:rPr>
                <w:rFonts w:ascii="Arial" w:hAnsi="Arial" w:cs="Arial"/>
                <w:sz w:val="18"/>
                <w:szCs w:val="18"/>
                <w:lang w:val="en-GB"/>
              </w:rPr>
              <w:t>MGM Resorts</w:t>
            </w:r>
          </w:p>
        </w:tc>
        <w:tc>
          <w:tcPr>
            <w:tcW w:w="3330" w:type="dxa"/>
            <w:shd w:val="clear" w:color="auto" w:fill="auto"/>
            <w:vAlign w:val="center"/>
          </w:tcPr>
          <w:p w14:paraId="12112C38" w14:textId="77777777" w:rsidR="00865D71" w:rsidRPr="00B0605C" w:rsidRDefault="00865D71" w:rsidP="00865D71">
            <w:pPr>
              <w:pStyle w:val="ListParagraph"/>
              <w:numPr>
                <w:ilvl w:val="0"/>
                <w:numId w:val="30"/>
              </w:numPr>
              <w:spacing w:line="276" w:lineRule="auto"/>
              <w:jc w:val="left"/>
              <w:rPr>
                <w:rFonts w:ascii="Arial" w:hAnsi="Arial" w:cs="Arial"/>
                <w:sz w:val="18"/>
                <w:szCs w:val="18"/>
                <w:lang w:val="en-GB"/>
              </w:rPr>
            </w:pPr>
            <w:r w:rsidRPr="00B0605C">
              <w:rPr>
                <w:rFonts w:ascii="Arial" w:hAnsi="Arial" w:cs="Arial"/>
                <w:sz w:val="18"/>
                <w:szCs w:val="18"/>
                <w:lang w:val="en-GB"/>
              </w:rPr>
              <w:t>4,400 rooms</w:t>
            </w:r>
          </w:p>
          <w:p w14:paraId="37DA1AA4" w14:textId="77777777" w:rsidR="00865D71" w:rsidRPr="00B0605C" w:rsidRDefault="00865D71" w:rsidP="00865D71">
            <w:pPr>
              <w:pStyle w:val="ListParagraph"/>
              <w:numPr>
                <w:ilvl w:val="0"/>
                <w:numId w:val="30"/>
              </w:numPr>
              <w:spacing w:line="276" w:lineRule="auto"/>
              <w:jc w:val="left"/>
              <w:rPr>
                <w:rFonts w:ascii="Arial" w:hAnsi="Arial" w:cs="Arial"/>
                <w:sz w:val="18"/>
                <w:szCs w:val="18"/>
                <w:lang w:val="en-GB"/>
              </w:rPr>
            </w:pPr>
            <w:r w:rsidRPr="00B0605C">
              <w:rPr>
                <w:rFonts w:ascii="Arial" w:hAnsi="Arial" w:cs="Arial"/>
                <w:sz w:val="18"/>
                <w:szCs w:val="18"/>
                <w:lang w:val="en-GB"/>
              </w:rPr>
              <w:t>1,069 slots, 58 gaming tables</w:t>
            </w:r>
          </w:p>
        </w:tc>
        <w:tc>
          <w:tcPr>
            <w:tcW w:w="6030" w:type="dxa"/>
            <w:shd w:val="clear" w:color="auto" w:fill="auto"/>
            <w:vAlign w:val="center"/>
          </w:tcPr>
          <w:p w14:paraId="453CC531" w14:textId="77777777" w:rsidR="00865D71" w:rsidRPr="00B0605C" w:rsidRDefault="00865D71" w:rsidP="00865D71">
            <w:pPr>
              <w:pStyle w:val="ListParagraph"/>
              <w:numPr>
                <w:ilvl w:val="0"/>
                <w:numId w:val="31"/>
              </w:numPr>
              <w:spacing w:line="276" w:lineRule="auto"/>
              <w:jc w:val="left"/>
              <w:rPr>
                <w:rFonts w:ascii="Arial" w:hAnsi="Arial" w:cs="Arial"/>
                <w:sz w:val="18"/>
                <w:szCs w:val="18"/>
                <w:lang w:val="en-GB"/>
              </w:rPr>
            </w:pPr>
            <w:r w:rsidRPr="00B0605C">
              <w:rPr>
                <w:rFonts w:ascii="Arial" w:hAnsi="Arial" w:cs="Arial"/>
                <w:sz w:val="18"/>
                <w:szCs w:val="18"/>
                <w:lang w:val="en-GB"/>
              </w:rPr>
              <w:t>Three permanent shows and 29 retail stores</w:t>
            </w:r>
          </w:p>
          <w:p w14:paraId="4765CACF" w14:textId="77777777" w:rsidR="00865D71" w:rsidRPr="00B0605C" w:rsidRDefault="00865D71" w:rsidP="00865D71">
            <w:pPr>
              <w:pStyle w:val="ListParagraph"/>
              <w:numPr>
                <w:ilvl w:val="0"/>
                <w:numId w:val="31"/>
              </w:numPr>
              <w:spacing w:line="276" w:lineRule="auto"/>
              <w:jc w:val="left"/>
              <w:rPr>
                <w:rFonts w:ascii="Arial" w:hAnsi="Arial" w:cs="Arial"/>
                <w:sz w:val="18"/>
                <w:szCs w:val="18"/>
                <w:lang w:val="en-GB"/>
              </w:rPr>
            </w:pPr>
            <w:r w:rsidRPr="00B0605C">
              <w:rPr>
                <w:rFonts w:ascii="Arial" w:hAnsi="Arial" w:cs="Arial"/>
                <w:sz w:val="18"/>
                <w:szCs w:val="18"/>
                <w:lang w:val="en-GB"/>
              </w:rPr>
              <w:t>Blue Man Group</w:t>
            </w:r>
          </w:p>
        </w:tc>
      </w:tr>
      <w:tr w:rsidR="00865D71" w:rsidRPr="00B0605C" w14:paraId="280661A1" w14:textId="77777777" w:rsidTr="00865D71">
        <w:trPr>
          <w:trHeight w:val="264"/>
          <w:jc w:val="center"/>
        </w:trPr>
        <w:tc>
          <w:tcPr>
            <w:tcW w:w="1350" w:type="dxa"/>
            <w:shd w:val="clear" w:color="auto" w:fill="auto"/>
            <w:vAlign w:val="center"/>
          </w:tcPr>
          <w:p w14:paraId="65C489B8" w14:textId="77777777" w:rsidR="00865D71" w:rsidRPr="00B0605C" w:rsidRDefault="00865D71" w:rsidP="00865D71">
            <w:pPr>
              <w:spacing w:line="276" w:lineRule="auto"/>
              <w:rPr>
                <w:rFonts w:ascii="Arial" w:hAnsi="Arial" w:cs="Arial"/>
                <w:sz w:val="18"/>
                <w:szCs w:val="18"/>
                <w:lang w:val="en-GB"/>
              </w:rPr>
            </w:pPr>
            <w:r w:rsidRPr="00B0605C">
              <w:rPr>
                <w:rFonts w:ascii="Arial" w:hAnsi="Arial" w:cs="Arial"/>
                <w:sz w:val="18"/>
                <w:szCs w:val="18"/>
                <w:lang w:val="en-GB"/>
              </w:rPr>
              <w:t>Monte Carlo</w:t>
            </w:r>
          </w:p>
        </w:tc>
        <w:tc>
          <w:tcPr>
            <w:tcW w:w="2070" w:type="dxa"/>
            <w:shd w:val="clear" w:color="auto" w:fill="auto"/>
            <w:vAlign w:val="center"/>
          </w:tcPr>
          <w:p w14:paraId="3FE44EE8" w14:textId="77777777" w:rsidR="00865D71" w:rsidRPr="00B0605C" w:rsidRDefault="00865D71" w:rsidP="00865D71">
            <w:pPr>
              <w:spacing w:line="276" w:lineRule="auto"/>
              <w:rPr>
                <w:rFonts w:ascii="Arial" w:hAnsi="Arial" w:cs="Arial"/>
                <w:sz w:val="18"/>
                <w:szCs w:val="18"/>
                <w:lang w:val="en-GB"/>
              </w:rPr>
            </w:pPr>
            <w:r w:rsidRPr="00B0605C">
              <w:rPr>
                <w:rFonts w:ascii="Arial" w:hAnsi="Arial" w:cs="Arial"/>
                <w:sz w:val="18"/>
                <w:szCs w:val="18"/>
                <w:lang w:val="en-GB"/>
              </w:rPr>
              <w:t>MGM Resorts</w:t>
            </w:r>
          </w:p>
        </w:tc>
        <w:tc>
          <w:tcPr>
            <w:tcW w:w="3330" w:type="dxa"/>
            <w:shd w:val="clear" w:color="auto" w:fill="auto"/>
            <w:vAlign w:val="center"/>
          </w:tcPr>
          <w:p w14:paraId="34B3E5CF" w14:textId="77777777" w:rsidR="00865D71" w:rsidRPr="00B0605C" w:rsidRDefault="00865D71" w:rsidP="00865D71">
            <w:pPr>
              <w:pStyle w:val="ListParagraph"/>
              <w:numPr>
                <w:ilvl w:val="0"/>
                <w:numId w:val="30"/>
              </w:numPr>
              <w:spacing w:line="276" w:lineRule="auto"/>
              <w:jc w:val="left"/>
              <w:rPr>
                <w:rFonts w:ascii="Arial" w:hAnsi="Arial" w:cs="Arial"/>
                <w:sz w:val="18"/>
                <w:szCs w:val="18"/>
                <w:lang w:val="en-GB"/>
              </w:rPr>
            </w:pPr>
            <w:r w:rsidRPr="00B0605C">
              <w:rPr>
                <w:rFonts w:ascii="Arial" w:hAnsi="Arial" w:cs="Arial"/>
                <w:sz w:val="18"/>
                <w:szCs w:val="18"/>
                <w:lang w:val="en-GB"/>
              </w:rPr>
              <w:t>2,992 rooms</w:t>
            </w:r>
          </w:p>
          <w:p w14:paraId="748413A2" w14:textId="3B787B41" w:rsidR="00865D71" w:rsidRPr="00B0605C" w:rsidRDefault="00865D71" w:rsidP="00865D71">
            <w:pPr>
              <w:pStyle w:val="ListParagraph"/>
              <w:numPr>
                <w:ilvl w:val="0"/>
                <w:numId w:val="30"/>
              </w:numPr>
              <w:spacing w:line="276" w:lineRule="auto"/>
              <w:jc w:val="left"/>
              <w:rPr>
                <w:rFonts w:ascii="Arial" w:hAnsi="Arial" w:cs="Arial"/>
                <w:sz w:val="18"/>
                <w:szCs w:val="18"/>
                <w:lang w:val="en-GB"/>
              </w:rPr>
            </w:pPr>
            <w:r w:rsidRPr="00B0605C">
              <w:rPr>
                <w:rFonts w:ascii="Arial" w:hAnsi="Arial" w:cs="Arial"/>
                <w:sz w:val="18"/>
                <w:szCs w:val="18"/>
                <w:lang w:val="en-GB"/>
              </w:rPr>
              <w:t>1,172 slots,</w:t>
            </w:r>
            <w:r w:rsidR="00B239E5">
              <w:rPr>
                <w:rFonts w:ascii="Arial" w:hAnsi="Arial" w:cs="Arial"/>
                <w:sz w:val="18"/>
                <w:szCs w:val="18"/>
                <w:lang w:val="en-GB"/>
              </w:rPr>
              <w:t xml:space="preserve"> </w:t>
            </w:r>
            <w:r w:rsidRPr="00B0605C">
              <w:rPr>
                <w:rFonts w:ascii="Arial" w:hAnsi="Arial" w:cs="Arial"/>
                <w:sz w:val="18"/>
                <w:szCs w:val="18"/>
                <w:lang w:val="en-GB"/>
              </w:rPr>
              <w:t>65 gaming tables</w:t>
            </w:r>
          </w:p>
        </w:tc>
        <w:tc>
          <w:tcPr>
            <w:tcW w:w="6030" w:type="dxa"/>
            <w:shd w:val="clear" w:color="auto" w:fill="auto"/>
            <w:vAlign w:val="center"/>
          </w:tcPr>
          <w:p w14:paraId="09F21B1A" w14:textId="77777777" w:rsidR="00865D71" w:rsidRPr="00B0605C" w:rsidRDefault="00865D71" w:rsidP="00865D71">
            <w:pPr>
              <w:pStyle w:val="ListParagraph"/>
              <w:numPr>
                <w:ilvl w:val="0"/>
                <w:numId w:val="32"/>
              </w:numPr>
              <w:spacing w:line="276" w:lineRule="auto"/>
              <w:jc w:val="left"/>
              <w:rPr>
                <w:rFonts w:ascii="Arial" w:hAnsi="Arial" w:cs="Arial"/>
                <w:sz w:val="18"/>
                <w:szCs w:val="18"/>
                <w:lang w:val="en-GB"/>
              </w:rPr>
            </w:pPr>
            <w:r w:rsidRPr="00B0605C">
              <w:rPr>
                <w:rFonts w:ascii="Arial" w:hAnsi="Arial" w:cs="Arial"/>
                <w:sz w:val="18"/>
                <w:szCs w:val="18"/>
                <w:lang w:val="en-GB"/>
              </w:rPr>
              <w:t>Street of Dreams shopping area with retail stores</w:t>
            </w:r>
          </w:p>
        </w:tc>
      </w:tr>
      <w:tr w:rsidR="00865D71" w:rsidRPr="00B0605C" w14:paraId="3D63CA4D" w14:textId="77777777" w:rsidTr="00865D71">
        <w:trPr>
          <w:trHeight w:val="264"/>
          <w:jc w:val="center"/>
        </w:trPr>
        <w:tc>
          <w:tcPr>
            <w:tcW w:w="1350" w:type="dxa"/>
            <w:vAlign w:val="center"/>
          </w:tcPr>
          <w:p w14:paraId="17DC2546" w14:textId="77777777" w:rsidR="00865D71" w:rsidRPr="00B0605C" w:rsidRDefault="00865D71" w:rsidP="00865D71">
            <w:pPr>
              <w:spacing w:line="276" w:lineRule="auto"/>
              <w:rPr>
                <w:rFonts w:ascii="Arial" w:hAnsi="Arial" w:cs="Arial"/>
                <w:sz w:val="18"/>
                <w:szCs w:val="18"/>
                <w:lang w:val="en-GB"/>
              </w:rPr>
            </w:pPr>
            <w:r w:rsidRPr="00B0605C">
              <w:rPr>
                <w:rFonts w:ascii="Arial" w:hAnsi="Arial" w:cs="Arial"/>
                <w:sz w:val="18"/>
                <w:szCs w:val="18"/>
                <w:lang w:val="en-GB"/>
              </w:rPr>
              <w:t>MGM Grand</w:t>
            </w:r>
          </w:p>
        </w:tc>
        <w:tc>
          <w:tcPr>
            <w:tcW w:w="2070" w:type="dxa"/>
            <w:vAlign w:val="center"/>
          </w:tcPr>
          <w:p w14:paraId="738EA25A" w14:textId="77777777" w:rsidR="00865D71" w:rsidRPr="00B0605C" w:rsidRDefault="00865D71" w:rsidP="00865D71">
            <w:pPr>
              <w:spacing w:line="276" w:lineRule="auto"/>
              <w:rPr>
                <w:rFonts w:ascii="Arial" w:hAnsi="Arial" w:cs="Arial"/>
                <w:sz w:val="18"/>
                <w:szCs w:val="18"/>
                <w:lang w:val="en-GB"/>
              </w:rPr>
            </w:pPr>
            <w:r w:rsidRPr="00B0605C">
              <w:rPr>
                <w:rFonts w:ascii="Arial" w:hAnsi="Arial" w:cs="Arial"/>
                <w:sz w:val="18"/>
                <w:szCs w:val="18"/>
                <w:lang w:val="en-GB"/>
              </w:rPr>
              <w:t>MGM Resorts</w:t>
            </w:r>
          </w:p>
        </w:tc>
        <w:tc>
          <w:tcPr>
            <w:tcW w:w="3330" w:type="dxa"/>
            <w:vAlign w:val="center"/>
          </w:tcPr>
          <w:p w14:paraId="41F7522D" w14:textId="77777777" w:rsidR="00865D71" w:rsidRPr="00B0605C" w:rsidRDefault="00865D71" w:rsidP="00865D71">
            <w:pPr>
              <w:pStyle w:val="ListParagraph"/>
              <w:numPr>
                <w:ilvl w:val="0"/>
                <w:numId w:val="30"/>
              </w:numPr>
              <w:spacing w:line="276" w:lineRule="auto"/>
              <w:jc w:val="left"/>
              <w:rPr>
                <w:rFonts w:ascii="Arial" w:hAnsi="Arial" w:cs="Arial"/>
                <w:sz w:val="18"/>
                <w:szCs w:val="18"/>
                <w:lang w:val="en-GB"/>
              </w:rPr>
            </w:pPr>
            <w:r w:rsidRPr="00B0605C">
              <w:rPr>
                <w:rFonts w:ascii="Arial" w:hAnsi="Arial" w:cs="Arial"/>
                <w:sz w:val="18"/>
                <w:szCs w:val="18"/>
                <w:lang w:val="en-GB"/>
              </w:rPr>
              <w:t>6,141 rooms</w:t>
            </w:r>
          </w:p>
          <w:p w14:paraId="48186F60" w14:textId="3A5C2380" w:rsidR="00865D71" w:rsidRPr="00B0605C" w:rsidRDefault="00865D71" w:rsidP="00865D71">
            <w:pPr>
              <w:pStyle w:val="ListParagraph"/>
              <w:numPr>
                <w:ilvl w:val="0"/>
                <w:numId w:val="30"/>
              </w:numPr>
              <w:spacing w:line="276" w:lineRule="auto"/>
              <w:jc w:val="left"/>
              <w:rPr>
                <w:rFonts w:ascii="Arial" w:hAnsi="Arial" w:cs="Arial"/>
                <w:sz w:val="18"/>
                <w:szCs w:val="18"/>
                <w:lang w:val="en-GB"/>
              </w:rPr>
            </w:pPr>
            <w:r w:rsidRPr="00B0605C">
              <w:rPr>
                <w:rFonts w:ascii="Arial" w:hAnsi="Arial" w:cs="Arial"/>
                <w:sz w:val="18"/>
                <w:szCs w:val="18"/>
                <w:lang w:val="en-GB"/>
              </w:rPr>
              <w:t>1,685 slots,</w:t>
            </w:r>
            <w:r w:rsidR="00B239E5">
              <w:rPr>
                <w:rFonts w:ascii="Arial" w:hAnsi="Arial" w:cs="Arial"/>
                <w:sz w:val="18"/>
                <w:szCs w:val="18"/>
                <w:lang w:val="en-GB"/>
              </w:rPr>
              <w:t xml:space="preserve"> </w:t>
            </w:r>
            <w:r w:rsidRPr="00B0605C">
              <w:rPr>
                <w:rFonts w:ascii="Arial" w:hAnsi="Arial" w:cs="Arial"/>
                <w:sz w:val="18"/>
                <w:szCs w:val="18"/>
                <w:lang w:val="en-GB"/>
              </w:rPr>
              <w:t>128 gaming tables</w:t>
            </w:r>
          </w:p>
        </w:tc>
        <w:tc>
          <w:tcPr>
            <w:tcW w:w="6030" w:type="dxa"/>
            <w:vAlign w:val="center"/>
          </w:tcPr>
          <w:p w14:paraId="6C758658" w14:textId="77777777" w:rsidR="00865D71" w:rsidRPr="00B0605C" w:rsidRDefault="00865D71" w:rsidP="00865D71">
            <w:pPr>
              <w:pStyle w:val="ListParagraph"/>
              <w:numPr>
                <w:ilvl w:val="0"/>
                <w:numId w:val="32"/>
              </w:numPr>
              <w:spacing w:line="276" w:lineRule="auto"/>
              <w:jc w:val="left"/>
              <w:rPr>
                <w:rFonts w:ascii="Arial" w:hAnsi="Arial" w:cs="Arial"/>
                <w:sz w:val="18"/>
                <w:szCs w:val="18"/>
                <w:lang w:val="en-GB"/>
              </w:rPr>
            </w:pPr>
            <w:r w:rsidRPr="00B0605C">
              <w:rPr>
                <w:rFonts w:ascii="Arial" w:hAnsi="Arial" w:cs="Arial"/>
                <w:sz w:val="18"/>
                <w:szCs w:val="18"/>
                <w:lang w:val="en-GB"/>
              </w:rPr>
              <w:t>Features one of the largest gaming floors in all of Las Vegas</w:t>
            </w:r>
          </w:p>
          <w:p w14:paraId="73AFE151" w14:textId="77777777" w:rsidR="00865D71" w:rsidRPr="00B0605C" w:rsidRDefault="00865D71" w:rsidP="00865D71">
            <w:pPr>
              <w:pStyle w:val="ListParagraph"/>
              <w:numPr>
                <w:ilvl w:val="0"/>
                <w:numId w:val="32"/>
              </w:numPr>
              <w:spacing w:line="276" w:lineRule="auto"/>
              <w:jc w:val="left"/>
              <w:rPr>
                <w:rFonts w:ascii="Arial" w:hAnsi="Arial" w:cs="Arial"/>
                <w:sz w:val="18"/>
                <w:szCs w:val="18"/>
                <w:lang w:val="en-GB"/>
              </w:rPr>
            </w:pPr>
            <w:r w:rsidRPr="00B0605C">
              <w:rPr>
                <w:rFonts w:ascii="Arial" w:hAnsi="Arial" w:cs="Arial"/>
                <w:sz w:val="18"/>
                <w:szCs w:val="18"/>
                <w:lang w:val="en-GB"/>
              </w:rPr>
              <w:t>MGM Grand garden area hosts major sporting events and concerts</w:t>
            </w:r>
          </w:p>
        </w:tc>
      </w:tr>
      <w:tr w:rsidR="00865D71" w:rsidRPr="00B0605C" w14:paraId="69C8BEAE" w14:textId="77777777" w:rsidTr="00865D71">
        <w:trPr>
          <w:trHeight w:val="291"/>
          <w:jc w:val="center"/>
        </w:trPr>
        <w:tc>
          <w:tcPr>
            <w:tcW w:w="1350" w:type="dxa"/>
            <w:vAlign w:val="center"/>
          </w:tcPr>
          <w:p w14:paraId="3854B8C6" w14:textId="77777777" w:rsidR="00865D71" w:rsidRPr="00B0605C" w:rsidRDefault="00865D71" w:rsidP="00865D71">
            <w:pPr>
              <w:spacing w:line="276" w:lineRule="auto"/>
              <w:rPr>
                <w:rFonts w:ascii="Arial" w:hAnsi="Arial" w:cs="Arial"/>
                <w:sz w:val="18"/>
                <w:szCs w:val="18"/>
                <w:lang w:val="en-GB"/>
              </w:rPr>
            </w:pPr>
            <w:r w:rsidRPr="00B0605C">
              <w:rPr>
                <w:rFonts w:ascii="Arial" w:hAnsi="Arial" w:cs="Arial"/>
                <w:sz w:val="18"/>
                <w:szCs w:val="18"/>
                <w:lang w:val="en-GB"/>
              </w:rPr>
              <w:t>Mandalay Bay</w:t>
            </w:r>
          </w:p>
        </w:tc>
        <w:tc>
          <w:tcPr>
            <w:tcW w:w="2070" w:type="dxa"/>
            <w:vAlign w:val="center"/>
          </w:tcPr>
          <w:p w14:paraId="254164BD" w14:textId="77777777" w:rsidR="00865D71" w:rsidRPr="00B0605C" w:rsidRDefault="00865D71" w:rsidP="00865D71">
            <w:pPr>
              <w:spacing w:line="276" w:lineRule="auto"/>
              <w:rPr>
                <w:rFonts w:ascii="Arial" w:hAnsi="Arial" w:cs="Arial"/>
                <w:sz w:val="18"/>
                <w:szCs w:val="18"/>
                <w:lang w:val="en-GB"/>
              </w:rPr>
            </w:pPr>
            <w:r w:rsidRPr="00B0605C">
              <w:rPr>
                <w:rFonts w:ascii="Arial" w:hAnsi="Arial" w:cs="Arial"/>
                <w:sz w:val="18"/>
                <w:szCs w:val="18"/>
                <w:lang w:val="en-GB"/>
              </w:rPr>
              <w:t>MGM Resorts</w:t>
            </w:r>
          </w:p>
        </w:tc>
        <w:tc>
          <w:tcPr>
            <w:tcW w:w="3330" w:type="dxa"/>
            <w:vAlign w:val="center"/>
          </w:tcPr>
          <w:p w14:paraId="58C27436" w14:textId="77777777" w:rsidR="00865D71" w:rsidRPr="00B0605C" w:rsidRDefault="00865D71" w:rsidP="00865D71">
            <w:pPr>
              <w:pStyle w:val="ListParagraph"/>
              <w:numPr>
                <w:ilvl w:val="0"/>
                <w:numId w:val="30"/>
              </w:numPr>
              <w:spacing w:line="276" w:lineRule="auto"/>
              <w:jc w:val="left"/>
              <w:rPr>
                <w:rFonts w:ascii="Arial" w:hAnsi="Arial" w:cs="Arial"/>
                <w:sz w:val="18"/>
                <w:szCs w:val="18"/>
                <w:lang w:val="en-GB"/>
              </w:rPr>
            </w:pPr>
            <w:r w:rsidRPr="00B0605C">
              <w:rPr>
                <w:rFonts w:ascii="Arial" w:hAnsi="Arial" w:cs="Arial"/>
                <w:sz w:val="18"/>
                <w:szCs w:val="18"/>
                <w:lang w:val="en-GB"/>
              </w:rPr>
              <w:t>4,752 rooms</w:t>
            </w:r>
          </w:p>
          <w:p w14:paraId="36F11562" w14:textId="7BCAC7A7" w:rsidR="00865D71" w:rsidRPr="00B0605C" w:rsidRDefault="00865D71" w:rsidP="00865D71">
            <w:pPr>
              <w:pStyle w:val="ListParagraph"/>
              <w:numPr>
                <w:ilvl w:val="0"/>
                <w:numId w:val="30"/>
              </w:numPr>
              <w:spacing w:line="276" w:lineRule="auto"/>
              <w:jc w:val="left"/>
              <w:rPr>
                <w:rFonts w:ascii="Arial" w:hAnsi="Arial" w:cs="Arial"/>
                <w:sz w:val="18"/>
                <w:szCs w:val="18"/>
                <w:lang w:val="en-GB"/>
              </w:rPr>
            </w:pPr>
            <w:r w:rsidRPr="00B0605C">
              <w:rPr>
                <w:rFonts w:ascii="Arial" w:hAnsi="Arial" w:cs="Arial"/>
                <w:sz w:val="18"/>
                <w:szCs w:val="18"/>
                <w:lang w:val="en-GB"/>
              </w:rPr>
              <w:t>1,351 slots,</w:t>
            </w:r>
            <w:r w:rsidR="00B239E5">
              <w:rPr>
                <w:rFonts w:ascii="Arial" w:hAnsi="Arial" w:cs="Arial"/>
                <w:sz w:val="18"/>
                <w:szCs w:val="18"/>
                <w:lang w:val="en-GB"/>
              </w:rPr>
              <w:t xml:space="preserve"> </w:t>
            </w:r>
            <w:r w:rsidRPr="00B0605C">
              <w:rPr>
                <w:rFonts w:ascii="Arial" w:hAnsi="Arial" w:cs="Arial"/>
                <w:sz w:val="18"/>
                <w:szCs w:val="18"/>
                <w:lang w:val="en-GB"/>
              </w:rPr>
              <w:t>82 gaming tables</w:t>
            </w:r>
          </w:p>
        </w:tc>
        <w:tc>
          <w:tcPr>
            <w:tcW w:w="6030" w:type="dxa"/>
            <w:vAlign w:val="center"/>
          </w:tcPr>
          <w:p w14:paraId="59CE1B4E" w14:textId="77777777" w:rsidR="00865D71" w:rsidRPr="00B0605C" w:rsidRDefault="00865D71" w:rsidP="00865D71">
            <w:pPr>
              <w:pStyle w:val="ListParagraph"/>
              <w:numPr>
                <w:ilvl w:val="0"/>
                <w:numId w:val="32"/>
              </w:numPr>
              <w:spacing w:line="276" w:lineRule="auto"/>
              <w:jc w:val="left"/>
              <w:rPr>
                <w:rFonts w:ascii="Arial" w:hAnsi="Arial" w:cs="Arial"/>
                <w:sz w:val="18"/>
                <w:szCs w:val="18"/>
                <w:lang w:val="en-GB"/>
              </w:rPr>
            </w:pPr>
            <w:r w:rsidRPr="00B0605C">
              <w:rPr>
                <w:rFonts w:ascii="Arial" w:hAnsi="Arial" w:cs="Arial"/>
                <w:sz w:val="18"/>
                <w:szCs w:val="18"/>
                <w:lang w:val="en-GB"/>
              </w:rPr>
              <w:t>The Shoppes at Mandalay Bay</w:t>
            </w:r>
          </w:p>
          <w:p w14:paraId="52FA5CD8" w14:textId="77777777" w:rsidR="00865D71" w:rsidRPr="00B0605C" w:rsidRDefault="00865D71" w:rsidP="00865D71">
            <w:pPr>
              <w:pStyle w:val="ListParagraph"/>
              <w:numPr>
                <w:ilvl w:val="0"/>
                <w:numId w:val="32"/>
              </w:numPr>
              <w:spacing w:line="276" w:lineRule="auto"/>
              <w:jc w:val="left"/>
              <w:rPr>
                <w:rFonts w:ascii="Arial" w:hAnsi="Arial" w:cs="Arial"/>
                <w:sz w:val="18"/>
                <w:szCs w:val="18"/>
                <w:lang w:val="en-GB"/>
              </w:rPr>
            </w:pPr>
            <w:r w:rsidRPr="00B0605C">
              <w:rPr>
                <w:rFonts w:ascii="Arial" w:hAnsi="Arial" w:cs="Arial"/>
                <w:sz w:val="18"/>
                <w:szCs w:val="18"/>
                <w:lang w:val="en-GB"/>
              </w:rPr>
              <w:t xml:space="preserve">Mandalay Beach pool </w:t>
            </w:r>
          </w:p>
        </w:tc>
      </w:tr>
      <w:tr w:rsidR="00865D71" w:rsidRPr="00B0605C" w14:paraId="762D8DA2" w14:textId="77777777" w:rsidTr="00865D71">
        <w:trPr>
          <w:trHeight w:val="221"/>
          <w:jc w:val="center"/>
        </w:trPr>
        <w:tc>
          <w:tcPr>
            <w:tcW w:w="1350" w:type="dxa"/>
            <w:vAlign w:val="center"/>
          </w:tcPr>
          <w:p w14:paraId="55480ED9" w14:textId="77777777" w:rsidR="00865D71" w:rsidRPr="00B0605C" w:rsidRDefault="00865D71" w:rsidP="00865D71">
            <w:pPr>
              <w:spacing w:line="276" w:lineRule="auto"/>
              <w:rPr>
                <w:rFonts w:ascii="Arial" w:hAnsi="Arial" w:cs="Arial"/>
                <w:sz w:val="18"/>
                <w:szCs w:val="18"/>
                <w:lang w:val="en-GB"/>
              </w:rPr>
            </w:pPr>
            <w:r w:rsidRPr="00B0605C">
              <w:rPr>
                <w:rFonts w:ascii="Arial" w:hAnsi="Arial" w:cs="Arial"/>
                <w:sz w:val="18"/>
                <w:szCs w:val="18"/>
                <w:lang w:val="en-GB"/>
              </w:rPr>
              <w:t>New York-New York</w:t>
            </w:r>
          </w:p>
        </w:tc>
        <w:tc>
          <w:tcPr>
            <w:tcW w:w="2070" w:type="dxa"/>
            <w:vAlign w:val="center"/>
          </w:tcPr>
          <w:p w14:paraId="486E7B6A" w14:textId="77777777" w:rsidR="00865D71" w:rsidRPr="00B0605C" w:rsidRDefault="00865D71" w:rsidP="00865D71">
            <w:pPr>
              <w:spacing w:line="276" w:lineRule="auto"/>
              <w:rPr>
                <w:rFonts w:ascii="Arial" w:hAnsi="Arial" w:cs="Arial"/>
                <w:sz w:val="18"/>
                <w:szCs w:val="18"/>
                <w:lang w:val="en-GB"/>
              </w:rPr>
            </w:pPr>
            <w:r w:rsidRPr="00B0605C">
              <w:rPr>
                <w:rFonts w:ascii="Arial" w:hAnsi="Arial" w:cs="Arial"/>
                <w:sz w:val="18"/>
                <w:szCs w:val="18"/>
                <w:lang w:val="en-GB"/>
              </w:rPr>
              <w:t>MGM Resorts</w:t>
            </w:r>
          </w:p>
        </w:tc>
        <w:tc>
          <w:tcPr>
            <w:tcW w:w="3330" w:type="dxa"/>
            <w:vAlign w:val="center"/>
          </w:tcPr>
          <w:p w14:paraId="51817084" w14:textId="77777777" w:rsidR="00865D71" w:rsidRPr="00B0605C" w:rsidRDefault="00865D71" w:rsidP="00865D71">
            <w:pPr>
              <w:pStyle w:val="ListParagraph"/>
              <w:numPr>
                <w:ilvl w:val="0"/>
                <w:numId w:val="30"/>
              </w:numPr>
              <w:spacing w:line="276" w:lineRule="auto"/>
              <w:jc w:val="left"/>
              <w:rPr>
                <w:rFonts w:ascii="Arial" w:hAnsi="Arial" w:cs="Arial"/>
                <w:sz w:val="18"/>
                <w:szCs w:val="18"/>
                <w:lang w:val="en-GB"/>
              </w:rPr>
            </w:pPr>
            <w:r w:rsidRPr="00B0605C">
              <w:rPr>
                <w:rFonts w:ascii="Arial" w:hAnsi="Arial" w:cs="Arial"/>
                <w:sz w:val="18"/>
                <w:szCs w:val="18"/>
                <w:lang w:val="en-GB"/>
              </w:rPr>
              <w:t>2,024 rooms</w:t>
            </w:r>
          </w:p>
          <w:p w14:paraId="6DC65E14" w14:textId="2D5A4FEC" w:rsidR="00865D71" w:rsidRPr="00B0605C" w:rsidRDefault="00865D71" w:rsidP="00865D71">
            <w:pPr>
              <w:pStyle w:val="ListParagraph"/>
              <w:numPr>
                <w:ilvl w:val="0"/>
                <w:numId w:val="30"/>
              </w:numPr>
              <w:spacing w:line="276" w:lineRule="auto"/>
              <w:jc w:val="left"/>
              <w:rPr>
                <w:rFonts w:ascii="Arial" w:hAnsi="Arial" w:cs="Arial"/>
                <w:sz w:val="18"/>
                <w:szCs w:val="18"/>
                <w:lang w:val="en-GB"/>
              </w:rPr>
            </w:pPr>
            <w:r w:rsidRPr="00B0605C">
              <w:rPr>
                <w:rFonts w:ascii="Arial" w:hAnsi="Arial" w:cs="Arial"/>
                <w:sz w:val="18"/>
                <w:szCs w:val="18"/>
                <w:lang w:val="en-GB"/>
              </w:rPr>
              <w:t>1,254 slots,</w:t>
            </w:r>
            <w:r w:rsidR="00B239E5">
              <w:rPr>
                <w:rFonts w:ascii="Arial" w:hAnsi="Arial" w:cs="Arial"/>
                <w:sz w:val="18"/>
                <w:szCs w:val="18"/>
                <w:lang w:val="en-GB"/>
              </w:rPr>
              <w:t xml:space="preserve"> </w:t>
            </w:r>
            <w:r w:rsidRPr="00B0605C">
              <w:rPr>
                <w:rFonts w:ascii="Arial" w:hAnsi="Arial" w:cs="Arial"/>
                <w:sz w:val="18"/>
                <w:szCs w:val="18"/>
                <w:lang w:val="en-GB"/>
              </w:rPr>
              <w:t>72 gaming tables</w:t>
            </w:r>
          </w:p>
        </w:tc>
        <w:tc>
          <w:tcPr>
            <w:tcW w:w="6030" w:type="dxa"/>
            <w:vAlign w:val="center"/>
          </w:tcPr>
          <w:p w14:paraId="6E141535" w14:textId="77777777" w:rsidR="00865D71" w:rsidRPr="00B0605C" w:rsidRDefault="00865D71" w:rsidP="00865D71">
            <w:pPr>
              <w:pStyle w:val="ListParagraph"/>
              <w:numPr>
                <w:ilvl w:val="0"/>
                <w:numId w:val="32"/>
              </w:numPr>
              <w:spacing w:line="276" w:lineRule="auto"/>
              <w:jc w:val="left"/>
              <w:rPr>
                <w:rFonts w:ascii="Arial" w:hAnsi="Arial" w:cs="Arial"/>
                <w:sz w:val="18"/>
                <w:szCs w:val="18"/>
                <w:lang w:val="en-GB"/>
              </w:rPr>
            </w:pPr>
            <w:r w:rsidRPr="00B0605C">
              <w:rPr>
                <w:rFonts w:ascii="Arial" w:hAnsi="Arial" w:cs="Arial"/>
                <w:sz w:val="18"/>
                <w:szCs w:val="18"/>
                <w:lang w:val="en-GB"/>
              </w:rPr>
              <w:t>Features nearly a dozen bars and restaurants</w:t>
            </w:r>
          </w:p>
          <w:p w14:paraId="137E7A7B" w14:textId="77777777" w:rsidR="00865D71" w:rsidRPr="00B0605C" w:rsidRDefault="00865D71" w:rsidP="00865D71">
            <w:pPr>
              <w:pStyle w:val="ListParagraph"/>
              <w:numPr>
                <w:ilvl w:val="0"/>
                <w:numId w:val="32"/>
              </w:numPr>
              <w:spacing w:line="276" w:lineRule="auto"/>
              <w:jc w:val="left"/>
              <w:rPr>
                <w:rFonts w:ascii="Arial" w:hAnsi="Arial" w:cs="Arial"/>
                <w:sz w:val="18"/>
                <w:szCs w:val="18"/>
                <w:lang w:val="en-GB"/>
              </w:rPr>
            </w:pPr>
            <w:r w:rsidRPr="00B0605C">
              <w:rPr>
                <w:rFonts w:ascii="Arial" w:hAnsi="Arial" w:cs="Arial"/>
                <w:sz w:val="18"/>
                <w:szCs w:val="18"/>
                <w:lang w:val="en-GB"/>
              </w:rPr>
              <w:t xml:space="preserve">Roller coaster; caters to a younger demographic </w:t>
            </w:r>
          </w:p>
        </w:tc>
      </w:tr>
      <w:tr w:rsidR="00865D71" w:rsidRPr="00B0605C" w14:paraId="79A196EF" w14:textId="77777777" w:rsidTr="00865D71">
        <w:trPr>
          <w:trHeight w:val="264"/>
          <w:jc w:val="center"/>
        </w:trPr>
        <w:tc>
          <w:tcPr>
            <w:tcW w:w="1350" w:type="dxa"/>
            <w:vAlign w:val="center"/>
          </w:tcPr>
          <w:p w14:paraId="4C9F6E98" w14:textId="77777777" w:rsidR="00865D71" w:rsidRPr="00B0605C" w:rsidRDefault="00865D71" w:rsidP="00865D71">
            <w:pPr>
              <w:spacing w:line="276" w:lineRule="auto"/>
              <w:rPr>
                <w:rFonts w:ascii="Arial" w:hAnsi="Arial" w:cs="Arial"/>
                <w:sz w:val="18"/>
                <w:szCs w:val="18"/>
                <w:lang w:val="en-GB"/>
              </w:rPr>
            </w:pPr>
            <w:r w:rsidRPr="00B0605C">
              <w:rPr>
                <w:rFonts w:ascii="Arial" w:hAnsi="Arial" w:cs="Arial"/>
                <w:sz w:val="18"/>
                <w:szCs w:val="18"/>
                <w:lang w:val="en-GB"/>
              </w:rPr>
              <w:t>Mirage</w:t>
            </w:r>
          </w:p>
        </w:tc>
        <w:tc>
          <w:tcPr>
            <w:tcW w:w="2070" w:type="dxa"/>
            <w:vAlign w:val="center"/>
          </w:tcPr>
          <w:p w14:paraId="1B62A90B" w14:textId="77777777" w:rsidR="00865D71" w:rsidRPr="00B0605C" w:rsidRDefault="00865D71" w:rsidP="00865D71">
            <w:pPr>
              <w:spacing w:line="276" w:lineRule="auto"/>
              <w:rPr>
                <w:rFonts w:ascii="Arial" w:hAnsi="Arial" w:cs="Arial"/>
                <w:sz w:val="18"/>
                <w:szCs w:val="18"/>
                <w:lang w:val="en-GB"/>
              </w:rPr>
            </w:pPr>
            <w:r w:rsidRPr="00B0605C">
              <w:rPr>
                <w:rFonts w:ascii="Arial" w:hAnsi="Arial" w:cs="Arial"/>
                <w:sz w:val="18"/>
                <w:szCs w:val="18"/>
                <w:lang w:val="en-GB"/>
              </w:rPr>
              <w:t>MGM Resorts</w:t>
            </w:r>
          </w:p>
        </w:tc>
        <w:tc>
          <w:tcPr>
            <w:tcW w:w="3330" w:type="dxa"/>
            <w:vAlign w:val="center"/>
          </w:tcPr>
          <w:p w14:paraId="32FBCD15" w14:textId="77777777" w:rsidR="00865D71" w:rsidRPr="00B0605C" w:rsidRDefault="00865D71" w:rsidP="00865D71">
            <w:pPr>
              <w:pStyle w:val="ListParagraph"/>
              <w:numPr>
                <w:ilvl w:val="0"/>
                <w:numId w:val="30"/>
              </w:numPr>
              <w:spacing w:line="276" w:lineRule="auto"/>
              <w:jc w:val="left"/>
              <w:rPr>
                <w:rFonts w:ascii="Arial" w:hAnsi="Arial" w:cs="Arial"/>
                <w:sz w:val="18"/>
                <w:szCs w:val="18"/>
                <w:lang w:val="en-GB"/>
              </w:rPr>
            </w:pPr>
            <w:r w:rsidRPr="00B0605C">
              <w:rPr>
                <w:rFonts w:ascii="Arial" w:hAnsi="Arial" w:cs="Arial"/>
                <w:sz w:val="18"/>
                <w:szCs w:val="18"/>
                <w:lang w:val="en-GB"/>
              </w:rPr>
              <w:t>3,044 rooms</w:t>
            </w:r>
          </w:p>
          <w:p w14:paraId="00F7806A" w14:textId="7CB8ED1E" w:rsidR="00865D71" w:rsidRPr="00B0605C" w:rsidRDefault="00865D71" w:rsidP="00865D71">
            <w:pPr>
              <w:pStyle w:val="ListParagraph"/>
              <w:numPr>
                <w:ilvl w:val="0"/>
                <w:numId w:val="30"/>
              </w:numPr>
              <w:spacing w:line="276" w:lineRule="auto"/>
              <w:jc w:val="left"/>
              <w:rPr>
                <w:rFonts w:ascii="Arial" w:hAnsi="Arial" w:cs="Arial"/>
                <w:sz w:val="18"/>
                <w:szCs w:val="18"/>
                <w:lang w:val="en-GB"/>
              </w:rPr>
            </w:pPr>
            <w:r w:rsidRPr="00B0605C">
              <w:rPr>
                <w:rFonts w:ascii="Arial" w:hAnsi="Arial" w:cs="Arial"/>
                <w:sz w:val="18"/>
                <w:szCs w:val="18"/>
                <w:lang w:val="en-GB"/>
              </w:rPr>
              <w:t>1,318 slots,</w:t>
            </w:r>
            <w:r w:rsidR="00B239E5">
              <w:rPr>
                <w:rFonts w:ascii="Arial" w:hAnsi="Arial" w:cs="Arial"/>
                <w:sz w:val="18"/>
                <w:szCs w:val="18"/>
                <w:lang w:val="en-GB"/>
              </w:rPr>
              <w:t xml:space="preserve"> </w:t>
            </w:r>
            <w:r w:rsidRPr="00B0605C">
              <w:rPr>
                <w:rFonts w:ascii="Arial" w:hAnsi="Arial" w:cs="Arial"/>
                <w:sz w:val="18"/>
                <w:szCs w:val="18"/>
                <w:lang w:val="en-GB"/>
              </w:rPr>
              <w:t>81 gaming tables</w:t>
            </w:r>
          </w:p>
        </w:tc>
        <w:tc>
          <w:tcPr>
            <w:tcW w:w="6030" w:type="dxa"/>
            <w:vAlign w:val="center"/>
          </w:tcPr>
          <w:p w14:paraId="3206178F" w14:textId="77777777" w:rsidR="00865D71" w:rsidRPr="00B0605C" w:rsidRDefault="00865D71" w:rsidP="00865D71">
            <w:pPr>
              <w:pStyle w:val="ListParagraph"/>
              <w:numPr>
                <w:ilvl w:val="0"/>
                <w:numId w:val="32"/>
              </w:numPr>
              <w:spacing w:line="276" w:lineRule="auto"/>
              <w:jc w:val="left"/>
              <w:rPr>
                <w:rFonts w:ascii="Arial" w:hAnsi="Arial" w:cs="Arial"/>
                <w:sz w:val="18"/>
                <w:szCs w:val="18"/>
                <w:lang w:val="en-GB"/>
              </w:rPr>
            </w:pPr>
            <w:r w:rsidRPr="00B0605C">
              <w:rPr>
                <w:rFonts w:ascii="Arial" w:hAnsi="Arial" w:cs="Arial"/>
                <w:sz w:val="18"/>
                <w:szCs w:val="18"/>
                <w:lang w:val="en-GB"/>
              </w:rPr>
              <w:t xml:space="preserve">Polynesian-themed resort </w:t>
            </w:r>
          </w:p>
          <w:p w14:paraId="2EC29381" w14:textId="77777777" w:rsidR="00865D71" w:rsidRPr="00B0605C" w:rsidRDefault="00865D71" w:rsidP="00865D71">
            <w:pPr>
              <w:pStyle w:val="ListParagraph"/>
              <w:numPr>
                <w:ilvl w:val="0"/>
                <w:numId w:val="32"/>
              </w:numPr>
              <w:spacing w:line="276" w:lineRule="auto"/>
              <w:jc w:val="left"/>
              <w:rPr>
                <w:rFonts w:ascii="Arial" w:hAnsi="Arial" w:cs="Arial"/>
                <w:sz w:val="18"/>
                <w:szCs w:val="18"/>
                <w:lang w:val="en-GB"/>
              </w:rPr>
            </w:pPr>
            <w:r w:rsidRPr="00B0605C">
              <w:rPr>
                <w:rFonts w:ascii="Arial" w:hAnsi="Arial" w:cs="Arial"/>
                <w:sz w:val="18"/>
                <w:szCs w:val="18"/>
                <w:lang w:val="en-GB"/>
              </w:rPr>
              <w:t>1OAK nightclub</w:t>
            </w:r>
          </w:p>
        </w:tc>
      </w:tr>
      <w:tr w:rsidR="00865D71" w:rsidRPr="00B0605C" w14:paraId="4EF83D0B" w14:textId="77777777" w:rsidTr="00865D71">
        <w:trPr>
          <w:trHeight w:val="291"/>
          <w:jc w:val="center"/>
        </w:trPr>
        <w:tc>
          <w:tcPr>
            <w:tcW w:w="1350" w:type="dxa"/>
            <w:vAlign w:val="center"/>
          </w:tcPr>
          <w:p w14:paraId="472859EE" w14:textId="77777777" w:rsidR="00865D71" w:rsidRPr="00B0605C" w:rsidRDefault="00865D71" w:rsidP="00865D71">
            <w:pPr>
              <w:spacing w:line="276" w:lineRule="auto"/>
              <w:rPr>
                <w:rFonts w:ascii="Arial" w:hAnsi="Arial" w:cs="Arial"/>
                <w:sz w:val="18"/>
                <w:szCs w:val="18"/>
                <w:lang w:val="en-GB"/>
              </w:rPr>
            </w:pPr>
            <w:r w:rsidRPr="00B0605C">
              <w:rPr>
                <w:rFonts w:ascii="Arial" w:hAnsi="Arial" w:cs="Arial"/>
                <w:sz w:val="18"/>
                <w:szCs w:val="18"/>
                <w:lang w:val="en-GB"/>
              </w:rPr>
              <w:t>Bellagio</w:t>
            </w:r>
          </w:p>
        </w:tc>
        <w:tc>
          <w:tcPr>
            <w:tcW w:w="2070" w:type="dxa"/>
            <w:vAlign w:val="center"/>
          </w:tcPr>
          <w:p w14:paraId="720ECE82" w14:textId="77777777" w:rsidR="00865D71" w:rsidRPr="00B0605C" w:rsidRDefault="00865D71" w:rsidP="00865D71">
            <w:pPr>
              <w:spacing w:line="276" w:lineRule="auto"/>
              <w:rPr>
                <w:rFonts w:ascii="Arial" w:hAnsi="Arial" w:cs="Arial"/>
                <w:sz w:val="18"/>
                <w:szCs w:val="18"/>
                <w:lang w:val="en-GB"/>
              </w:rPr>
            </w:pPr>
            <w:r w:rsidRPr="00B0605C">
              <w:rPr>
                <w:rFonts w:ascii="Arial" w:hAnsi="Arial" w:cs="Arial"/>
                <w:sz w:val="18"/>
                <w:szCs w:val="18"/>
                <w:lang w:val="en-GB"/>
              </w:rPr>
              <w:t>MGM Resorts</w:t>
            </w:r>
          </w:p>
        </w:tc>
        <w:tc>
          <w:tcPr>
            <w:tcW w:w="3330" w:type="dxa"/>
            <w:vAlign w:val="center"/>
          </w:tcPr>
          <w:p w14:paraId="3D154345" w14:textId="77777777" w:rsidR="00865D71" w:rsidRPr="00B0605C" w:rsidRDefault="00865D71" w:rsidP="00865D71">
            <w:pPr>
              <w:pStyle w:val="ListParagraph"/>
              <w:numPr>
                <w:ilvl w:val="0"/>
                <w:numId w:val="30"/>
              </w:numPr>
              <w:spacing w:line="276" w:lineRule="auto"/>
              <w:jc w:val="left"/>
              <w:rPr>
                <w:rFonts w:ascii="Arial" w:hAnsi="Arial" w:cs="Arial"/>
                <w:sz w:val="18"/>
                <w:szCs w:val="18"/>
                <w:lang w:val="en-GB"/>
              </w:rPr>
            </w:pPr>
            <w:r w:rsidRPr="00B0605C">
              <w:rPr>
                <w:rFonts w:ascii="Arial" w:hAnsi="Arial" w:cs="Arial"/>
                <w:sz w:val="18"/>
                <w:szCs w:val="18"/>
                <w:lang w:val="en-GB"/>
              </w:rPr>
              <w:t>3,933 rooms</w:t>
            </w:r>
          </w:p>
          <w:p w14:paraId="73C27339" w14:textId="5D6D96AD" w:rsidR="00865D71" w:rsidRPr="00B0605C" w:rsidRDefault="00865D71" w:rsidP="00865D71">
            <w:pPr>
              <w:pStyle w:val="ListParagraph"/>
              <w:numPr>
                <w:ilvl w:val="0"/>
                <w:numId w:val="30"/>
              </w:numPr>
              <w:spacing w:line="276" w:lineRule="auto"/>
              <w:jc w:val="left"/>
              <w:rPr>
                <w:rFonts w:ascii="Arial" w:hAnsi="Arial" w:cs="Arial"/>
                <w:sz w:val="18"/>
                <w:szCs w:val="18"/>
                <w:lang w:val="en-GB"/>
              </w:rPr>
            </w:pPr>
            <w:r w:rsidRPr="00B0605C">
              <w:rPr>
                <w:rFonts w:ascii="Arial" w:hAnsi="Arial" w:cs="Arial"/>
                <w:sz w:val="18"/>
                <w:szCs w:val="18"/>
                <w:lang w:val="en-GB"/>
              </w:rPr>
              <w:t>1,915 slots,</w:t>
            </w:r>
            <w:r w:rsidR="00B239E5">
              <w:rPr>
                <w:rFonts w:ascii="Arial" w:hAnsi="Arial" w:cs="Arial"/>
                <w:sz w:val="18"/>
                <w:szCs w:val="18"/>
                <w:lang w:val="en-GB"/>
              </w:rPr>
              <w:t xml:space="preserve"> </w:t>
            </w:r>
            <w:r w:rsidRPr="00B0605C">
              <w:rPr>
                <w:rFonts w:ascii="Arial" w:hAnsi="Arial" w:cs="Arial"/>
                <w:sz w:val="18"/>
                <w:szCs w:val="18"/>
                <w:lang w:val="en-GB"/>
              </w:rPr>
              <w:t>145 gaming tables</w:t>
            </w:r>
          </w:p>
        </w:tc>
        <w:tc>
          <w:tcPr>
            <w:tcW w:w="6030" w:type="dxa"/>
            <w:vAlign w:val="center"/>
          </w:tcPr>
          <w:p w14:paraId="05CB44A7" w14:textId="77777777" w:rsidR="00865D71" w:rsidRPr="00B0605C" w:rsidRDefault="00865D71" w:rsidP="00865D71">
            <w:pPr>
              <w:pStyle w:val="ListParagraph"/>
              <w:numPr>
                <w:ilvl w:val="0"/>
                <w:numId w:val="32"/>
              </w:numPr>
              <w:spacing w:line="276" w:lineRule="auto"/>
              <w:jc w:val="left"/>
              <w:rPr>
                <w:rFonts w:ascii="Arial" w:hAnsi="Arial" w:cs="Arial"/>
                <w:sz w:val="18"/>
                <w:szCs w:val="18"/>
                <w:lang w:val="en-GB"/>
              </w:rPr>
            </w:pPr>
            <w:r w:rsidRPr="00B0605C">
              <w:rPr>
                <w:rFonts w:ascii="Arial" w:hAnsi="Arial" w:cs="Arial"/>
                <w:sz w:val="18"/>
                <w:szCs w:val="18"/>
                <w:lang w:val="en-GB"/>
              </w:rPr>
              <w:t>Fountains of Bellagio</w:t>
            </w:r>
          </w:p>
          <w:p w14:paraId="6215605B" w14:textId="77777777" w:rsidR="00865D71" w:rsidRPr="00B0605C" w:rsidRDefault="00865D71" w:rsidP="00865D71">
            <w:pPr>
              <w:pStyle w:val="ListParagraph"/>
              <w:numPr>
                <w:ilvl w:val="0"/>
                <w:numId w:val="32"/>
              </w:numPr>
              <w:spacing w:line="276" w:lineRule="auto"/>
              <w:jc w:val="left"/>
              <w:rPr>
                <w:rFonts w:ascii="Arial" w:hAnsi="Arial" w:cs="Arial"/>
                <w:sz w:val="18"/>
                <w:szCs w:val="18"/>
                <w:lang w:val="en-GB"/>
              </w:rPr>
            </w:pPr>
            <w:r w:rsidRPr="00B0605C">
              <w:rPr>
                <w:rFonts w:ascii="Arial" w:hAnsi="Arial" w:cs="Arial"/>
                <w:sz w:val="18"/>
                <w:szCs w:val="18"/>
                <w:lang w:val="en-GB"/>
              </w:rPr>
              <w:t>Conservatory and botanical gardens</w:t>
            </w:r>
          </w:p>
          <w:p w14:paraId="691E6AE8" w14:textId="77777777" w:rsidR="00865D71" w:rsidRPr="00B0605C" w:rsidRDefault="00865D71" w:rsidP="00865D71">
            <w:pPr>
              <w:pStyle w:val="ListParagraph"/>
              <w:numPr>
                <w:ilvl w:val="0"/>
                <w:numId w:val="32"/>
              </w:numPr>
              <w:spacing w:line="276" w:lineRule="auto"/>
              <w:jc w:val="left"/>
              <w:rPr>
                <w:rFonts w:ascii="Arial" w:hAnsi="Arial" w:cs="Arial"/>
                <w:sz w:val="18"/>
                <w:szCs w:val="18"/>
                <w:lang w:val="en-GB"/>
              </w:rPr>
            </w:pPr>
            <w:r w:rsidRPr="00B0605C">
              <w:rPr>
                <w:rFonts w:ascii="Arial" w:hAnsi="Arial" w:cs="Arial"/>
                <w:sz w:val="18"/>
                <w:szCs w:val="18"/>
                <w:lang w:val="en-GB"/>
              </w:rPr>
              <w:t>14 restaurants</w:t>
            </w:r>
          </w:p>
        </w:tc>
      </w:tr>
      <w:tr w:rsidR="00865D71" w:rsidRPr="00B0605C" w14:paraId="1A571D45" w14:textId="77777777" w:rsidTr="00865D71">
        <w:trPr>
          <w:trHeight w:val="291"/>
          <w:jc w:val="center"/>
        </w:trPr>
        <w:tc>
          <w:tcPr>
            <w:tcW w:w="1350" w:type="dxa"/>
            <w:vAlign w:val="center"/>
          </w:tcPr>
          <w:p w14:paraId="244AA504" w14:textId="77777777" w:rsidR="00865D71" w:rsidRPr="00B0605C" w:rsidRDefault="00865D71" w:rsidP="00865D71">
            <w:pPr>
              <w:spacing w:line="276" w:lineRule="auto"/>
              <w:rPr>
                <w:rFonts w:ascii="Arial" w:hAnsi="Arial" w:cs="Arial"/>
                <w:sz w:val="18"/>
                <w:szCs w:val="18"/>
                <w:lang w:val="en-GB"/>
              </w:rPr>
            </w:pPr>
            <w:r w:rsidRPr="00B0605C">
              <w:rPr>
                <w:rFonts w:ascii="Arial" w:hAnsi="Arial" w:cs="Arial"/>
                <w:sz w:val="18"/>
                <w:szCs w:val="18"/>
                <w:lang w:val="en-GB"/>
              </w:rPr>
              <w:t>Planet Hollywood</w:t>
            </w:r>
          </w:p>
        </w:tc>
        <w:tc>
          <w:tcPr>
            <w:tcW w:w="2070" w:type="dxa"/>
            <w:vAlign w:val="center"/>
          </w:tcPr>
          <w:p w14:paraId="5EA95202" w14:textId="77777777" w:rsidR="00865D71" w:rsidRPr="00B0605C" w:rsidRDefault="00865D71" w:rsidP="00865D71">
            <w:pPr>
              <w:spacing w:line="276" w:lineRule="auto"/>
              <w:rPr>
                <w:rFonts w:ascii="Arial" w:hAnsi="Arial" w:cs="Arial"/>
                <w:sz w:val="18"/>
                <w:szCs w:val="18"/>
                <w:lang w:val="en-GB"/>
              </w:rPr>
            </w:pPr>
            <w:r w:rsidRPr="00B0605C">
              <w:rPr>
                <w:rFonts w:ascii="Arial" w:hAnsi="Arial" w:cs="Arial"/>
                <w:sz w:val="18"/>
                <w:szCs w:val="18"/>
                <w:lang w:val="en-GB"/>
              </w:rPr>
              <w:t>Caesars Entertainment</w:t>
            </w:r>
          </w:p>
        </w:tc>
        <w:tc>
          <w:tcPr>
            <w:tcW w:w="3330" w:type="dxa"/>
            <w:vAlign w:val="center"/>
          </w:tcPr>
          <w:p w14:paraId="20BC027A" w14:textId="77777777" w:rsidR="00865D71" w:rsidRPr="00B0605C" w:rsidRDefault="00865D71" w:rsidP="00865D71">
            <w:pPr>
              <w:pStyle w:val="ListParagraph"/>
              <w:numPr>
                <w:ilvl w:val="0"/>
                <w:numId w:val="30"/>
              </w:numPr>
              <w:spacing w:line="276" w:lineRule="auto"/>
              <w:jc w:val="left"/>
              <w:rPr>
                <w:rFonts w:ascii="Arial" w:hAnsi="Arial" w:cs="Arial"/>
                <w:sz w:val="18"/>
                <w:szCs w:val="18"/>
                <w:lang w:val="en-GB"/>
              </w:rPr>
            </w:pPr>
            <w:r w:rsidRPr="00B0605C">
              <w:rPr>
                <w:rFonts w:ascii="Arial" w:hAnsi="Arial" w:cs="Arial"/>
                <w:sz w:val="18"/>
                <w:szCs w:val="18"/>
                <w:lang w:val="en-GB"/>
              </w:rPr>
              <w:t>2,496 rooms</w:t>
            </w:r>
          </w:p>
          <w:p w14:paraId="67B7BD70" w14:textId="503A5193" w:rsidR="00865D71" w:rsidRPr="00B0605C" w:rsidRDefault="00865D71" w:rsidP="00865D71">
            <w:pPr>
              <w:pStyle w:val="ListParagraph"/>
              <w:numPr>
                <w:ilvl w:val="0"/>
                <w:numId w:val="30"/>
              </w:numPr>
              <w:spacing w:line="276" w:lineRule="auto"/>
              <w:jc w:val="left"/>
              <w:rPr>
                <w:rFonts w:ascii="Arial" w:hAnsi="Arial" w:cs="Arial"/>
                <w:sz w:val="18"/>
                <w:szCs w:val="18"/>
                <w:lang w:val="en-GB"/>
              </w:rPr>
            </w:pPr>
            <w:r w:rsidRPr="00B0605C">
              <w:rPr>
                <w:rFonts w:ascii="Arial" w:hAnsi="Arial" w:cs="Arial"/>
                <w:sz w:val="18"/>
                <w:szCs w:val="18"/>
                <w:lang w:val="en-GB"/>
              </w:rPr>
              <w:t>1,087 slots,</w:t>
            </w:r>
            <w:r w:rsidR="00B239E5">
              <w:rPr>
                <w:rFonts w:ascii="Arial" w:hAnsi="Arial" w:cs="Arial"/>
                <w:sz w:val="18"/>
                <w:szCs w:val="18"/>
                <w:lang w:val="en-GB"/>
              </w:rPr>
              <w:t xml:space="preserve"> </w:t>
            </w:r>
            <w:r w:rsidRPr="00B0605C">
              <w:rPr>
                <w:rFonts w:ascii="Arial" w:hAnsi="Arial" w:cs="Arial"/>
                <w:sz w:val="18"/>
                <w:szCs w:val="18"/>
                <w:lang w:val="en-GB"/>
              </w:rPr>
              <w:t>116 gaming tables</w:t>
            </w:r>
          </w:p>
        </w:tc>
        <w:tc>
          <w:tcPr>
            <w:tcW w:w="6030" w:type="dxa"/>
            <w:vAlign w:val="center"/>
          </w:tcPr>
          <w:p w14:paraId="0EEB5798" w14:textId="77777777" w:rsidR="00865D71" w:rsidRPr="00B0605C" w:rsidRDefault="00865D71" w:rsidP="00865D71">
            <w:pPr>
              <w:pStyle w:val="ListParagraph"/>
              <w:numPr>
                <w:ilvl w:val="0"/>
                <w:numId w:val="35"/>
              </w:numPr>
              <w:spacing w:line="276" w:lineRule="auto"/>
              <w:jc w:val="left"/>
              <w:rPr>
                <w:rFonts w:ascii="Arial" w:hAnsi="Arial" w:cs="Arial"/>
                <w:sz w:val="18"/>
                <w:szCs w:val="18"/>
                <w:lang w:val="en-GB"/>
              </w:rPr>
            </w:pPr>
            <w:r w:rsidRPr="00B0605C">
              <w:rPr>
                <w:rFonts w:ascii="Arial" w:hAnsi="Arial" w:cs="Arial"/>
                <w:sz w:val="18"/>
                <w:szCs w:val="18"/>
                <w:lang w:val="en-GB"/>
              </w:rPr>
              <w:t>The Mezzanine</w:t>
            </w:r>
          </w:p>
          <w:p w14:paraId="758C16E4" w14:textId="77777777" w:rsidR="00865D71" w:rsidRPr="00B0605C" w:rsidRDefault="00865D71" w:rsidP="00865D71">
            <w:pPr>
              <w:pStyle w:val="ListParagraph"/>
              <w:numPr>
                <w:ilvl w:val="0"/>
                <w:numId w:val="35"/>
              </w:numPr>
              <w:spacing w:line="276" w:lineRule="auto"/>
              <w:jc w:val="left"/>
              <w:rPr>
                <w:rFonts w:ascii="Arial" w:hAnsi="Arial" w:cs="Arial"/>
                <w:sz w:val="18"/>
                <w:szCs w:val="18"/>
                <w:lang w:val="en-GB"/>
              </w:rPr>
            </w:pPr>
            <w:r w:rsidRPr="00B0605C">
              <w:rPr>
                <w:rFonts w:ascii="Arial" w:hAnsi="Arial" w:cs="Arial"/>
                <w:sz w:val="18"/>
                <w:szCs w:val="18"/>
                <w:lang w:val="en-GB"/>
              </w:rPr>
              <w:t>AXIS Auditorium hosts major events and shows; Britney Spears’ “Piece of Me” Show</w:t>
            </w:r>
          </w:p>
        </w:tc>
      </w:tr>
      <w:tr w:rsidR="00865D71" w:rsidRPr="00B0605C" w14:paraId="4C111183" w14:textId="77777777" w:rsidTr="00865D71">
        <w:trPr>
          <w:trHeight w:val="264"/>
          <w:jc w:val="center"/>
        </w:trPr>
        <w:tc>
          <w:tcPr>
            <w:tcW w:w="1350" w:type="dxa"/>
            <w:vAlign w:val="center"/>
          </w:tcPr>
          <w:p w14:paraId="1B0A9E09" w14:textId="77777777" w:rsidR="00865D71" w:rsidRPr="00B0605C" w:rsidRDefault="00865D71" w:rsidP="00865D71">
            <w:pPr>
              <w:spacing w:line="276" w:lineRule="auto"/>
              <w:rPr>
                <w:rFonts w:ascii="Arial" w:hAnsi="Arial" w:cs="Arial"/>
                <w:sz w:val="18"/>
                <w:szCs w:val="18"/>
                <w:lang w:val="en-GB"/>
              </w:rPr>
            </w:pPr>
            <w:r w:rsidRPr="00B0605C">
              <w:rPr>
                <w:rFonts w:ascii="Arial" w:hAnsi="Arial" w:cs="Arial"/>
                <w:sz w:val="18"/>
                <w:szCs w:val="18"/>
                <w:lang w:val="en-GB"/>
              </w:rPr>
              <w:t>Caesars</w:t>
            </w:r>
          </w:p>
        </w:tc>
        <w:tc>
          <w:tcPr>
            <w:tcW w:w="2070" w:type="dxa"/>
            <w:vAlign w:val="center"/>
          </w:tcPr>
          <w:p w14:paraId="015D7B11" w14:textId="77777777" w:rsidR="00865D71" w:rsidRPr="00B0605C" w:rsidRDefault="00865D71" w:rsidP="00865D71">
            <w:pPr>
              <w:spacing w:line="276" w:lineRule="auto"/>
              <w:rPr>
                <w:rFonts w:ascii="Arial" w:hAnsi="Arial" w:cs="Arial"/>
                <w:sz w:val="18"/>
                <w:szCs w:val="18"/>
                <w:lang w:val="en-GB"/>
              </w:rPr>
            </w:pPr>
            <w:r w:rsidRPr="00B0605C">
              <w:rPr>
                <w:rFonts w:ascii="Arial" w:hAnsi="Arial" w:cs="Arial"/>
                <w:sz w:val="18"/>
                <w:szCs w:val="18"/>
                <w:lang w:val="en-GB"/>
              </w:rPr>
              <w:t>Caesars Entertainment</w:t>
            </w:r>
          </w:p>
        </w:tc>
        <w:tc>
          <w:tcPr>
            <w:tcW w:w="3330" w:type="dxa"/>
            <w:vAlign w:val="center"/>
          </w:tcPr>
          <w:p w14:paraId="7A46ECB3" w14:textId="77777777" w:rsidR="00865D71" w:rsidRPr="00B0605C" w:rsidRDefault="00865D71" w:rsidP="00865D71">
            <w:pPr>
              <w:pStyle w:val="ListParagraph"/>
              <w:numPr>
                <w:ilvl w:val="0"/>
                <w:numId w:val="30"/>
              </w:numPr>
              <w:spacing w:line="276" w:lineRule="auto"/>
              <w:jc w:val="left"/>
              <w:rPr>
                <w:rFonts w:ascii="Arial" w:hAnsi="Arial" w:cs="Arial"/>
                <w:sz w:val="18"/>
                <w:szCs w:val="18"/>
                <w:lang w:val="en-GB"/>
              </w:rPr>
            </w:pPr>
            <w:r w:rsidRPr="00B0605C">
              <w:rPr>
                <w:rFonts w:ascii="Arial" w:hAnsi="Arial" w:cs="Arial"/>
                <w:sz w:val="18"/>
                <w:szCs w:val="18"/>
                <w:lang w:val="en-GB"/>
              </w:rPr>
              <w:t>3,755 rooms</w:t>
            </w:r>
          </w:p>
          <w:p w14:paraId="54298360" w14:textId="7810FD02" w:rsidR="00865D71" w:rsidRPr="008A46AE" w:rsidRDefault="00865D71" w:rsidP="003F19AC">
            <w:pPr>
              <w:pStyle w:val="ListParagraph"/>
              <w:numPr>
                <w:ilvl w:val="0"/>
                <w:numId w:val="30"/>
              </w:numPr>
              <w:spacing w:line="276" w:lineRule="auto"/>
              <w:jc w:val="left"/>
              <w:rPr>
                <w:rFonts w:ascii="Arial" w:hAnsi="Arial" w:cs="Arial"/>
                <w:sz w:val="18"/>
                <w:szCs w:val="18"/>
                <w:lang w:val="en-GB"/>
              </w:rPr>
            </w:pPr>
            <w:r w:rsidRPr="00B0605C">
              <w:rPr>
                <w:rFonts w:ascii="Arial" w:hAnsi="Arial" w:cs="Arial"/>
                <w:sz w:val="18"/>
                <w:szCs w:val="18"/>
                <w:lang w:val="en-GB"/>
              </w:rPr>
              <w:t>1,324 slots,</w:t>
            </w:r>
            <w:r w:rsidR="00B239E5">
              <w:rPr>
                <w:rFonts w:ascii="Arial" w:hAnsi="Arial" w:cs="Arial"/>
                <w:sz w:val="18"/>
                <w:szCs w:val="18"/>
                <w:lang w:val="en-GB"/>
              </w:rPr>
              <w:t xml:space="preserve"> </w:t>
            </w:r>
            <w:r w:rsidRPr="00B0605C">
              <w:rPr>
                <w:rFonts w:ascii="Arial" w:hAnsi="Arial" w:cs="Arial"/>
                <w:sz w:val="18"/>
                <w:szCs w:val="18"/>
                <w:lang w:val="en-GB"/>
              </w:rPr>
              <w:t>183 gaming tables</w:t>
            </w:r>
          </w:p>
        </w:tc>
        <w:tc>
          <w:tcPr>
            <w:tcW w:w="6030" w:type="dxa"/>
            <w:vAlign w:val="center"/>
          </w:tcPr>
          <w:p w14:paraId="57A1E3AC" w14:textId="66F7C6E6" w:rsidR="00865D71" w:rsidRPr="00B0605C" w:rsidRDefault="00865D71" w:rsidP="00865D71">
            <w:pPr>
              <w:pStyle w:val="ListParagraph"/>
              <w:numPr>
                <w:ilvl w:val="0"/>
                <w:numId w:val="36"/>
              </w:numPr>
              <w:spacing w:line="276" w:lineRule="auto"/>
              <w:jc w:val="left"/>
              <w:rPr>
                <w:rFonts w:ascii="Arial" w:hAnsi="Arial" w:cs="Arial"/>
                <w:sz w:val="18"/>
                <w:szCs w:val="18"/>
                <w:lang w:val="en-GB"/>
              </w:rPr>
            </w:pPr>
            <w:r w:rsidRPr="00B0605C">
              <w:rPr>
                <w:rFonts w:ascii="Arial" w:hAnsi="Arial" w:cs="Arial"/>
                <w:sz w:val="18"/>
                <w:szCs w:val="18"/>
                <w:lang w:val="en-GB"/>
              </w:rPr>
              <w:t>“The Forum,”</w:t>
            </w:r>
            <w:r w:rsidR="00B239E5">
              <w:rPr>
                <w:rFonts w:ascii="Arial" w:hAnsi="Arial" w:cs="Arial"/>
                <w:sz w:val="18"/>
                <w:szCs w:val="18"/>
                <w:lang w:val="en-GB"/>
              </w:rPr>
              <w:t xml:space="preserve"> a </w:t>
            </w:r>
            <w:r w:rsidRPr="00B0605C">
              <w:rPr>
                <w:rFonts w:ascii="Arial" w:hAnsi="Arial" w:cs="Arial"/>
                <w:sz w:val="18"/>
                <w:szCs w:val="18"/>
                <w:lang w:val="en-GB"/>
              </w:rPr>
              <w:t>636,000 sq</w:t>
            </w:r>
            <w:r w:rsidR="00B239E5">
              <w:rPr>
                <w:rFonts w:ascii="Arial" w:hAnsi="Arial" w:cs="Arial"/>
                <w:sz w:val="18"/>
                <w:szCs w:val="18"/>
                <w:lang w:val="en-GB"/>
              </w:rPr>
              <w:t>uare</w:t>
            </w:r>
            <w:r w:rsidRPr="00B0605C">
              <w:rPr>
                <w:rFonts w:ascii="Arial" w:hAnsi="Arial" w:cs="Arial"/>
                <w:sz w:val="18"/>
                <w:szCs w:val="18"/>
                <w:lang w:val="en-GB"/>
              </w:rPr>
              <w:t xml:space="preserve"> f</w:t>
            </w:r>
            <w:r w:rsidR="00B239E5">
              <w:rPr>
                <w:rFonts w:ascii="Arial" w:hAnsi="Arial" w:cs="Arial"/>
                <w:sz w:val="18"/>
                <w:szCs w:val="18"/>
                <w:lang w:val="en-GB"/>
              </w:rPr>
              <w:t>oo</w:t>
            </w:r>
            <w:r w:rsidRPr="00B0605C">
              <w:rPr>
                <w:rFonts w:ascii="Arial" w:hAnsi="Arial" w:cs="Arial"/>
                <w:sz w:val="18"/>
                <w:szCs w:val="18"/>
                <w:lang w:val="en-GB"/>
              </w:rPr>
              <w:t>t shopping centre</w:t>
            </w:r>
          </w:p>
          <w:p w14:paraId="78A8299A" w14:textId="3EC72A77" w:rsidR="00865D71" w:rsidRPr="00B0605C" w:rsidRDefault="00865D71" w:rsidP="00865D71">
            <w:pPr>
              <w:pStyle w:val="ListParagraph"/>
              <w:numPr>
                <w:ilvl w:val="0"/>
                <w:numId w:val="36"/>
              </w:numPr>
              <w:spacing w:line="276" w:lineRule="auto"/>
              <w:jc w:val="left"/>
              <w:rPr>
                <w:rFonts w:ascii="Arial" w:hAnsi="Arial" w:cs="Arial"/>
                <w:sz w:val="18"/>
                <w:szCs w:val="18"/>
                <w:lang w:val="en-GB"/>
              </w:rPr>
            </w:pPr>
            <w:r w:rsidRPr="00B0605C">
              <w:rPr>
                <w:rFonts w:ascii="Arial" w:hAnsi="Arial" w:cs="Arial"/>
                <w:sz w:val="18"/>
                <w:szCs w:val="18"/>
                <w:lang w:val="en-GB"/>
              </w:rPr>
              <w:t>The Colosseum at Caesars</w:t>
            </w:r>
            <w:r w:rsidR="00E04AA9">
              <w:rPr>
                <w:rFonts w:ascii="Arial" w:hAnsi="Arial" w:cs="Arial"/>
                <w:sz w:val="18"/>
                <w:szCs w:val="18"/>
                <w:lang w:val="en-GB"/>
              </w:rPr>
              <w:t>;</w:t>
            </w:r>
            <w:r w:rsidRPr="00B0605C">
              <w:rPr>
                <w:rFonts w:ascii="Arial" w:hAnsi="Arial" w:cs="Arial"/>
                <w:sz w:val="18"/>
                <w:szCs w:val="18"/>
                <w:lang w:val="en-GB"/>
              </w:rPr>
              <w:t xml:space="preserve"> hosts large events</w:t>
            </w:r>
          </w:p>
          <w:p w14:paraId="6650FD44" w14:textId="77777777" w:rsidR="00865D71" w:rsidRPr="00B0605C" w:rsidRDefault="00865D71" w:rsidP="00865D71">
            <w:pPr>
              <w:pStyle w:val="ListParagraph"/>
              <w:numPr>
                <w:ilvl w:val="0"/>
                <w:numId w:val="36"/>
              </w:numPr>
              <w:spacing w:line="276" w:lineRule="auto"/>
              <w:jc w:val="left"/>
              <w:rPr>
                <w:rFonts w:ascii="Arial" w:hAnsi="Arial" w:cs="Arial"/>
                <w:sz w:val="18"/>
                <w:szCs w:val="18"/>
                <w:lang w:val="en-GB"/>
              </w:rPr>
            </w:pPr>
            <w:r w:rsidRPr="00B0605C">
              <w:rPr>
                <w:rFonts w:ascii="Arial" w:hAnsi="Arial" w:cs="Arial"/>
                <w:sz w:val="18"/>
                <w:szCs w:val="18"/>
                <w:lang w:val="en-GB"/>
              </w:rPr>
              <w:t xml:space="preserve">Notable restaurants Nobu, Serendipity </w:t>
            </w:r>
          </w:p>
        </w:tc>
      </w:tr>
      <w:tr w:rsidR="00865D71" w:rsidRPr="00B0605C" w14:paraId="11C0A7F1" w14:textId="77777777" w:rsidTr="00865D71">
        <w:trPr>
          <w:trHeight w:val="291"/>
          <w:jc w:val="center"/>
        </w:trPr>
        <w:tc>
          <w:tcPr>
            <w:tcW w:w="1350" w:type="dxa"/>
            <w:vAlign w:val="center"/>
          </w:tcPr>
          <w:p w14:paraId="45D9B970" w14:textId="77777777" w:rsidR="00865D71" w:rsidRPr="00B0605C" w:rsidRDefault="00865D71" w:rsidP="00865D71">
            <w:pPr>
              <w:spacing w:line="276" w:lineRule="auto"/>
              <w:rPr>
                <w:rFonts w:ascii="Arial" w:hAnsi="Arial" w:cs="Arial"/>
                <w:sz w:val="18"/>
                <w:szCs w:val="18"/>
                <w:lang w:val="en-GB"/>
              </w:rPr>
            </w:pPr>
            <w:r w:rsidRPr="00B0605C">
              <w:rPr>
                <w:rFonts w:ascii="Arial" w:hAnsi="Arial" w:cs="Arial"/>
                <w:sz w:val="18"/>
                <w:szCs w:val="18"/>
                <w:lang w:val="en-GB"/>
              </w:rPr>
              <w:t>Wynn</w:t>
            </w:r>
          </w:p>
        </w:tc>
        <w:tc>
          <w:tcPr>
            <w:tcW w:w="2070" w:type="dxa"/>
            <w:vAlign w:val="center"/>
          </w:tcPr>
          <w:p w14:paraId="4CABD846" w14:textId="79B4F111" w:rsidR="00865D71" w:rsidRPr="00B0605C" w:rsidRDefault="00865D71" w:rsidP="003F19AC">
            <w:pPr>
              <w:spacing w:line="276" w:lineRule="auto"/>
              <w:rPr>
                <w:rFonts w:ascii="Arial" w:hAnsi="Arial" w:cs="Arial"/>
                <w:sz w:val="18"/>
                <w:szCs w:val="18"/>
                <w:lang w:val="en-GB"/>
              </w:rPr>
            </w:pPr>
            <w:r w:rsidRPr="00B0605C">
              <w:rPr>
                <w:rFonts w:ascii="Arial" w:hAnsi="Arial" w:cs="Arial"/>
                <w:sz w:val="18"/>
                <w:szCs w:val="18"/>
                <w:lang w:val="en-GB"/>
              </w:rPr>
              <w:t>Wynn Resorts</w:t>
            </w:r>
          </w:p>
        </w:tc>
        <w:tc>
          <w:tcPr>
            <w:tcW w:w="3330" w:type="dxa"/>
            <w:vAlign w:val="center"/>
          </w:tcPr>
          <w:p w14:paraId="7794E66B" w14:textId="77777777" w:rsidR="00865D71" w:rsidRPr="00B0605C" w:rsidRDefault="00865D71" w:rsidP="00865D71">
            <w:pPr>
              <w:pStyle w:val="ListParagraph"/>
              <w:numPr>
                <w:ilvl w:val="0"/>
                <w:numId w:val="30"/>
              </w:numPr>
              <w:spacing w:line="276" w:lineRule="auto"/>
              <w:jc w:val="left"/>
              <w:rPr>
                <w:rFonts w:ascii="Arial" w:hAnsi="Arial" w:cs="Arial"/>
                <w:sz w:val="18"/>
                <w:szCs w:val="18"/>
                <w:lang w:val="en-GB"/>
              </w:rPr>
            </w:pPr>
            <w:r w:rsidRPr="00B0605C">
              <w:rPr>
                <w:rFonts w:ascii="Arial" w:hAnsi="Arial" w:cs="Arial"/>
                <w:sz w:val="18"/>
                <w:szCs w:val="18"/>
                <w:lang w:val="en-GB"/>
              </w:rPr>
              <w:t>4,748rooms</w:t>
            </w:r>
          </w:p>
          <w:p w14:paraId="265893C7" w14:textId="1EE99042" w:rsidR="00865D71" w:rsidRPr="00B0605C" w:rsidRDefault="00865D71" w:rsidP="00865D71">
            <w:pPr>
              <w:pStyle w:val="ListParagraph"/>
              <w:numPr>
                <w:ilvl w:val="0"/>
                <w:numId w:val="30"/>
              </w:numPr>
              <w:spacing w:line="276" w:lineRule="auto"/>
              <w:jc w:val="left"/>
              <w:rPr>
                <w:rFonts w:ascii="Arial" w:hAnsi="Arial" w:cs="Arial"/>
                <w:sz w:val="18"/>
                <w:szCs w:val="18"/>
                <w:lang w:val="en-GB"/>
              </w:rPr>
            </w:pPr>
            <w:r w:rsidRPr="00B0605C">
              <w:rPr>
                <w:rFonts w:ascii="Arial" w:hAnsi="Arial" w:cs="Arial"/>
                <w:sz w:val="18"/>
                <w:szCs w:val="18"/>
                <w:lang w:val="en-GB"/>
              </w:rPr>
              <w:t>1,866 slots,</w:t>
            </w:r>
            <w:r w:rsidR="00B239E5">
              <w:rPr>
                <w:rFonts w:ascii="Arial" w:hAnsi="Arial" w:cs="Arial"/>
                <w:sz w:val="18"/>
                <w:szCs w:val="18"/>
                <w:lang w:val="en-GB"/>
              </w:rPr>
              <w:t xml:space="preserve"> </w:t>
            </w:r>
            <w:r w:rsidRPr="00B0605C">
              <w:rPr>
                <w:rFonts w:ascii="Arial" w:hAnsi="Arial" w:cs="Arial"/>
                <w:sz w:val="18"/>
                <w:szCs w:val="18"/>
                <w:lang w:val="en-GB"/>
              </w:rPr>
              <w:t>232 gaming tables</w:t>
            </w:r>
          </w:p>
        </w:tc>
        <w:tc>
          <w:tcPr>
            <w:tcW w:w="6030" w:type="dxa"/>
            <w:vAlign w:val="center"/>
          </w:tcPr>
          <w:p w14:paraId="2F2A0B57" w14:textId="2D911136" w:rsidR="00865D71" w:rsidRPr="00B0605C" w:rsidRDefault="00865D71" w:rsidP="00865D71">
            <w:pPr>
              <w:pStyle w:val="ListParagraph"/>
              <w:numPr>
                <w:ilvl w:val="0"/>
                <w:numId w:val="34"/>
              </w:numPr>
              <w:spacing w:line="276" w:lineRule="auto"/>
              <w:jc w:val="left"/>
              <w:rPr>
                <w:rFonts w:ascii="Arial" w:hAnsi="Arial" w:cs="Arial"/>
                <w:sz w:val="18"/>
                <w:szCs w:val="18"/>
                <w:lang w:val="en-GB"/>
              </w:rPr>
            </w:pPr>
            <w:r w:rsidRPr="00B0605C">
              <w:rPr>
                <w:rFonts w:ascii="Arial" w:hAnsi="Arial" w:cs="Arial"/>
                <w:sz w:val="18"/>
                <w:szCs w:val="18"/>
                <w:lang w:val="en-GB"/>
              </w:rPr>
              <w:t>Together with the Encore (which is connected to the Wynn), it is the world’s seventh</w:t>
            </w:r>
            <w:r w:rsidR="00E04AA9">
              <w:rPr>
                <w:rFonts w:ascii="Arial" w:hAnsi="Arial" w:cs="Arial"/>
                <w:sz w:val="18"/>
                <w:szCs w:val="18"/>
                <w:lang w:val="en-GB"/>
              </w:rPr>
              <w:t>-</w:t>
            </w:r>
            <w:r w:rsidRPr="00B0605C">
              <w:rPr>
                <w:rFonts w:ascii="Arial" w:hAnsi="Arial" w:cs="Arial"/>
                <w:sz w:val="18"/>
                <w:szCs w:val="18"/>
                <w:lang w:val="en-GB"/>
              </w:rPr>
              <w:t>largest hotel</w:t>
            </w:r>
          </w:p>
          <w:p w14:paraId="7B01DE78" w14:textId="77777777" w:rsidR="00865D71" w:rsidRPr="00B0605C" w:rsidRDefault="00865D71" w:rsidP="00865D71">
            <w:pPr>
              <w:pStyle w:val="ListParagraph"/>
              <w:numPr>
                <w:ilvl w:val="0"/>
                <w:numId w:val="34"/>
              </w:numPr>
              <w:spacing w:line="276" w:lineRule="auto"/>
              <w:jc w:val="left"/>
              <w:rPr>
                <w:rFonts w:ascii="Arial" w:hAnsi="Arial" w:cs="Arial"/>
                <w:sz w:val="18"/>
                <w:szCs w:val="18"/>
                <w:lang w:val="en-GB"/>
              </w:rPr>
            </w:pPr>
            <w:r w:rsidRPr="00B0605C">
              <w:rPr>
                <w:rFonts w:ascii="Arial" w:hAnsi="Arial" w:cs="Arial"/>
                <w:sz w:val="18"/>
                <w:szCs w:val="18"/>
                <w:lang w:val="en-GB"/>
              </w:rPr>
              <w:t>Shows such as “Le Reve,” “Avenue Q,” others</w:t>
            </w:r>
          </w:p>
        </w:tc>
      </w:tr>
      <w:tr w:rsidR="00865D71" w:rsidRPr="00B0605C" w14:paraId="17369E6E" w14:textId="77777777" w:rsidTr="00865D71">
        <w:trPr>
          <w:trHeight w:val="264"/>
          <w:jc w:val="center"/>
        </w:trPr>
        <w:tc>
          <w:tcPr>
            <w:tcW w:w="1350" w:type="dxa"/>
            <w:vAlign w:val="center"/>
          </w:tcPr>
          <w:p w14:paraId="26F79641" w14:textId="77777777" w:rsidR="00865D71" w:rsidRPr="00B0605C" w:rsidRDefault="00865D71" w:rsidP="00865D71">
            <w:pPr>
              <w:spacing w:line="276" w:lineRule="auto"/>
              <w:rPr>
                <w:rFonts w:ascii="Arial" w:hAnsi="Arial" w:cs="Arial"/>
                <w:sz w:val="18"/>
                <w:szCs w:val="18"/>
                <w:lang w:val="en-GB"/>
              </w:rPr>
            </w:pPr>
            <w:r w:rsidRPr="00B0605C">
              <w:rPr>
                <w:rFonts w:ascii="Arial" w:hAnsi="Arial" w:cs="Arial"/>
                <w:sz w:val="18"/>
                <w:szCs w:val="18"/>
                <w:lang w:val="en-GB"/>
              </w:rPr>
              <w:t xml:space="preserve">Venetian </w:t>
            </w:r>
          </w:p>
        </w:tc>
        <w:tc>
          <w:tcPr>
            <w:tcW w:w="2070" w:type="dxa"/>
            <w:vAlign w:val="center"/>
          </w:tcPr>
          <w:p w14:paraId="034BFCF4" w14:textId="77777777" w:rsidR="00865D71" w:rsidRPr="00B0605C" w:rsidRDefault="00865D71" w:rsidP="00865D71">
            <w:pPr>
              <w:spacing w:line="276" w:lineRule="auto"/>
              <w:rPr>
                <w:rFonts w:ascii="Arial" w:hAnsi="Arial" w:cs="Arial"/>
                <w:sz w:val="18"/>
                <w:szCs w:val="18"/>
                <w:lang w:val="en-GB"/>
              </w:rPr>
            </w:pPr>
            <w:r w:rsidRPr="00B0605C">
              <w:rPr>
                <w:rFonts w:ascii="Arial" w:hAnsi="Arial" w:cs="Arial"/>
                <w:sz w:val="18"/>
                <w:szCs w:val="18"/>
                <w:lang w:val="en-GB"/>
              </w:rPr>
              <w:t>Las Vegas Sands</w:t>
            </w:r>
          </w:p>
        </w:tc>
        <w:tc>
          <w:tcPr>
            <w:tcW w:w="3330" w:type="dxa"/>
            <w:vAlign w:val="center"/>
          </w:tcPr>
          <w:p w14:paraId="1533DF1B" w14:textId="77777777" w:rsidR="00865D71" w:rsidRPr="00B0605C" w:rsidRDefault="00865D71" w:rsidP="00865D71">
            <w:pPr>
              <w:pStyle w:val="ListParagraph"/>
              <w:numPr>
                <w:ilvl w:val="0"/>
                <w:numId w:val="30"/>
              </w:numPr>
              <w:spacing w:line="276" w:lineRule="auto"/>
              <w:jc w:val="left"/>
              <w:rPr>
                <w:rFonts w:ascii="Arial" w:hAnsi="Arial" w:cs="Arial"/>
                <w:sz w:val="18"/>
                <w:szCs w:val="18"/>
                <w:lang w:val="en-GB"/>
              </w:rPr>
            </w:pPr>
            <w:r w:rsidRPr="00B0605C">
              <w:rPr>
                <w:rFonts w:ascii="Arial" w:hAnsi="Arial" w:cs="Arial"/>
                <w:sz w:val="18"/>
                <w:szCs w:val="18"/>
                <w:lang w:val="en-GB"/>
              </w:rPr>
              <w:t>4,076 rooms</w:t>
            </w:r>
          </w:p>
          <w:p w14:paraId="0202C6B6" w14:textId="014FF5EB" w:rsidR="00865D71" w:rsidRPr="00B0605C" w:rsidRDefault="00865D71" w:rsidP="00865D71">
            <w:pPr>
              <w:pStyle w:val="ListParagraph"/>
              <w:numPr>
                <w:ilvl w:val="0"/>
                <w:numId w:val="30"/>
              </w:numPr>
              <w:spacing w:line="276" w:lineRule="auto"/>
              <w:jc w:val="left"/>
              <w:rPr>
                <w:rFonts w:ascii="Arial" w:hAnsi="Arial" w:cs="Arial"/>
                <w:sz w:val="18"/>
                <w:szCs w:val="18"/>
                <w:lang w:val="en-GB"/>
              </w:rPr>
            </w:pPr>
            <w:r w:rsidRPr="00B0605C">
              <w:rPr>
                <w:rFonts w:ascii="Arial" w:hAnsi="Arial" w:cs="Arial"/>
                <w:sz w:val="18"/>
                <w:szCs w:val="18"/>
                <w:lang w:val="en-GB"/>
              </w:rPr>
              <w:t>1,204 slots,</w:t>
            </w:r>
            <w:r w:rsidR="00B239E5">
              <w:rPr>
                <w:rFonts w:ascii="Arial" w:hAnsi="Arial" w:cs="Arial"/>
                <w:sz w:val="18"/>
                <w:szCs w:val="18"/>
                <w:lang w:val="en-GB"/>
              </w:rPr>
              <w:t xml:space="preserve"> </w:t>
            </w:r>
            <w:r w:rsidRPr="00B0605C">
              <w:rPr>
                <w:rFonts w:ascii="Arial" w:hAnsi="Arial" w:cs="Arial"/>
                <w:sz w:val="18"/>
                <w:szCs w:val="18"/>
                <w:lang w:val="en-GB"/>
              </w:rPr>
              <w:t>170 gaming tables</w:t>
            </w:r>
          </w:p>
        </w:tc>
        <w:tc>
          <w:tcPr>
            <w:tcW w:w="6030" w:type="dxa"/>
            <w:vAlign w:val="center"/>
          </w:tcPr>
          <w:p w14:paraId="3F8DEB91" w14:textId="77777777" w:rsidR="00865D71" w:rsidRPr="00B0605C" w:rsidRDefault="00865D71" w:rsidP="00865D71">
            <w:pPr>
              <w:pStyle w:val="ListParagraph"/>
              <w:numPr>
                <w:ilvl w:val="0"/>
                <w:numId w:val="33"/>
              </w:numPr>
              <w:spacing w:line="276" w:lineRule="auto"/>
              <w:jc w:val="left"/>
              <w:rPr>
                <w:rFonts w:ascii="Arial" w:hAnsi="Arial" w:cs="Arial"/>
                <w:sz w:val="18"/>
                <w:szCs w:val="18"/>
                <w:lang w:val="en-GB"/>
              </w:rPr>
            </w:pPr>
            <w:r w:rsidRPr="00B0605C">
              <w:rPr>
                <w:rFonts w:ascii="Arial" w:hAnsi="Arial" w:cs="Arial"/>
                <w:sz w:val="18"/>
                <w:szCs w:val="18"/>
                <w:lang w:val="en-GB"/>
              </w:rPr>
              <w:t>Four theatres, TAO nightclubs</w:t>
            </w:r>
          </w:p>
          <w:p w14:paraId="4292DD0A" w14:textId="77777777" w:rsidR="00865D71" w:rsidRPr="00B0605C" w:rsidRDefault="00865D71" w:rsidP="00865D71">
            <w:pPr>
              <w:pStyle w:val="ListParagraph"/>
              <w:numPr>
                <w:ilvl w:val="0"/>
                <w:numId w:val="33"/>
              </w:numPr>
              <w:spacing w:line="276" w:lineRule="auto"/>
              <w:jc w:val="left"/>
              <w:rPr>
                <w:rFonts w:ascii="Arial" w:hAnsi="Arial" w:cs="Arial"/>
                <w:sz w:val="18"/>
                <w:szCs w:val="18"/>
                <w:lang w:val="en-GB"/>
              </w:rPr>
            </w:pPr>
            <w:r w:rsidRPr="00B0605C">
              <w:rPr>
                <w:rFonts w:ascii="Arial" w:hAnsi="Arial" w:cs="Arial"/>
                <w:sz w:val="18"/>
                <w:szCs w:val="18"/>
                <w:lang w:val="en-GB"/>
              </w:rPr>
              <w:t>The Venetian Grand Canal Shoppes</w:t>
            </w:r>
          </w:p>
        </w:tc>
      </w:tr>
    </w:tbl>
    <w:p w14:paraId="2568949D" w14:textId="77777777" w:rsidR="00865D71" w:rsidRPr="00B0605C" w:rsidRDefault="00865D71" w:rsidP="00865D71">
      <w:pPr>
        <w:pStyle w:val="BodyTextMain"/>
        <w:jc w:val="left"/>
        <w:rPr>
          <w:rFonts w:ascii="Arial" w:eastAsiaTheme="minorEastAsia" w:hAnsi="Arial" w:cs="Arial"/>
          <w:sz w:val="17"/>
          <w:szCs w:val="17"/>
          <w:lang w:val="en-GB" w:eastAsia="ko-KR"/>
        </w:rPr>
      </w:pPr>
    </w:p>
    <w:p w14:paraId="528CC4A9" w14:textId="314E1E28" w:rsidR="00865D71" w:rsidRPr="00B0605C" w:rsidRDefault="00865D71" w:rsidP="00CB24E9">
      <w:pPr>
        <w:pStyle w:val="Footnote"/>
        <w:rPr>
          <w:rFonts w:eastAsiaTheme="minorEastAsia"/>
          <w:lang w:val="en-GB" w:eastAsia="ko-KR"/>
        </w:rPr>
        <w:sectPr w:rsidR="00865D71" w:rsidRPr="00B0605C" w:rsidSect="00277388">
          <w:headerReference w:type="default" r:id="rId12"/>
          <w:endnotePr>
            <w:numFmt w:val="decimal"/>
          </w:endnotePr>
          <w:pgSz w:w="15840" w:h="12240" w:orient="landscape"/>
          <w:pgMar w:top="1440" w:right="1440" w:bottom="1440" w:left="1440" w:header="1080" w:footer="720" w:gutter="0"/>
          <w:cols w:space="720"/>
          <w:docGrid w:linePitch="360"/>
        </w:sectPr>
      </w:pPr>
      <w:r w:rsidRPr="00B0605C">
        <w:rPr>
          <w:rFonts w:eastAsiaTheme="minorEastAsia"/>
          <w:lang w:val="en-GB" w:eastAsia="ko-KR"/>
        </w:rPr>
        <w:t xml:space="preserve">Source: Created by authors based on </w:t>
      </w:r>
      <w:r w:rsidR="004B4223">
        <w:rPr>
          <w:rFonts w:eastAsiaTheme="minorEastAsia"/>
          <w:lang w:val="en-GB" w:eastAsia="ko-KR"/>
        </w:rPr>
        <w:t>each hotel and resort</w:t>
      </w:r>
      <w:r w:rsidR="00E04AA9">
        <w:rPr>
          <w:rFonts w:eastAsiaTheme="minorEastAsia"/>
          <w:lang w:val="en-GB" w:eastAsia="ko-KR"/>
        </w:rPr>
        <w:t>’s</w:t>
      </w:r>
      <w:r w:rsidR="004B4223">
        <w:rPr>
          <w:rFonts w:eastAsiaTheme="minorEastAsia"/>
          <w:lang w:val="en-GB" w:eastAsia="ko-KR"/>
        </w:rPr>
        <w:t xml:space="preserve"> </w:t>
      </w:r>
      <w:r w:rsidRPr="00B0605C">
        <w:rPr>
          <w:rFonts w:eastAsiaTheme="minorEastAsia"/>
          <w:lang w:val="en-GB" w:eastAsia="ko-KR"/>
        </w:rPr>
        <w:t>website.</w:t>
      </w:r>
    </w:p>
    <w:p w14:paraId="62266CD2" w14:textId="75C626AA" w:rsidR="00BF4BAC" w:rsidRPr="00B0605C" w:rsidRDefault="00BF4BAC" w:rsidP="00865D71">
      <w:pPr>
        <w:pStyle w:val="ExhibitHeading"/>
        <w:rPr>
          <w:rFonts w:eastAsiaTheme="minorEastAsia"/>
          <w:lang w:val="en-GB" w:eastAsia="ko-KR"/>
        </w:rPr>
      </w:pPr>
      <w:r w:rsidRPr="00B0605C">
        <w:rPr>
          <w:rFonts w:eastAsiaTheme="minorEastAsia"/>
          <w:lang w:val="en-GB" w:eastAsia="ko-KR"/>
        </w:rPr>
        <w:lastRenderedPageBreak/>
        <w:t>Exhibit 5: financial data of las vegas sands corp</w:t>
      </w:r>
      <w:r w:rsidR="00E04AA9">
        <w:rPr>
          <w:rFonts w:eastAsiaTheme="minorEastAsia"/>
          <w:lang w:val="en-GB" w:eastAsia="ko-KR"/>
        </w:rPr>
        <w:t>.</w:t>
      </w:r>
      <w:r w:rsidR="00B239E5">
        <w:rPr>
          <w:rFonts w:eastAsiaTheme="minorEastAsia"/>
          <w:lang w:val="en-GB" w:eastAsia="ko-KR"/>
        </w:rPr>
        <w:t>, 2013/14–2016/17</w:t>
      </w:r>
      <w:r w:rsidRPr="00B0605C">
        <w:rPr>
          <w:rFonts w:eastAsiaTheme="minorEastAsia"/>
          <w:lang w:val="en-GB" w:eastAsia="ko-KR"/>
        </w:rPr>
        <w:t xml:space="preserve"> (in </w:t>
      </w:r>
      <w:r w:rsidR="00B239E5">
        <w:rPr>
          <w:rFonts w:eastAsiaTheme="minorEastAsia"/>
          <w:lang w:val="en-GB" w:eastAsia="ko-KR"/>
        </w:rPr>
        <w:t xml:space="preserve">US$ </w:t>
      </w:r>
      <w:r w:rsidRPr="00B0605C">
        <w:rPr>
          <w:rFonts w:eastAsiaTheme="minorEastAsia"/>
          <w:lang w:val="en-GB" w:eastAsia="ko-KR"/>
        </w:rPr>
        <w:t>millions)</w:t>
      </w:r>
    </w:p>
    <w:p w14:paraId="7729B23E" w14:textId="77777777" w:rsidR="00BF4BAC" w:rsidRPr="00B0605C" w:rsidRDefault="00BF4BAC" w:rsidP="00BF4BAC">
      <w:pPr>
        <w:pStyle w:val="ExhibitHeading"/>
        <w:jc w:val="left"/>
        <w:rPr>
          <w:rFonts w:eastAsiaTheme="minorEastAsia"/>
          <w:lang w:val="en-GB" w:eastAsia="ko-KR"/>
        </w:rPr>
      </w:pPr>
    </w:p>
    <w:tbl>
      <w:tblPr>
        <w:tblStyle w:val="TableGrid1"/>
        <w:tblW w:w="8789" w:type="dxa"/>
        <w:jc w:val="center"/>
        <w:tblBorders>
          <w:left w:val="none" w:sz="0" w:space="0" w:color="auto"/>
          <w:right w:val="none" w:sz="0" w:space="0" w:color="auto"/>
          <w:insideH w:val="none" w:sz="0" w:space="0" w:color="auto"/>
          <w:insideV w:val="none" w:sz="0" w:space="0" w:color="auto"/>
        </w:tblBorders>
        <w:tblLayout w:type="fixed"/>
        <w:tblCellMar>
          <w:top w:w="28" w:type="dxa"/>
          <w:left w:w="85" w:type="dxa"/>
          <w:bottom w:w="57" w:type="dxa"/>
          <w:right w:w="85" w:type="dxa"/>
        </w:tblCellMar>
        <w:tblLook w:val="04A0" w:firstRow="1" w:lastRow="0" w:firstColumn="1" w:lastColumn="0" w:noHBand="0" w:noVBand="1"/>
      </w:tblPr>
      <w:tblGrid>
        <w:gridCol w:w="3153"/>
        <w:gridCol w:w="1409"/>
        <w:gridCol w:w="1409"/>
        <w:gridCol w:w="1409"/>
        <w:gridCol w:w="1409"/>
      </w:tblGrid>
      <w:tr w:rsidR="00BF4BAC" w:rsidRPr="00B0605C" w14:paraId="729383EA" w14:textId="77777777" w:rsidTr="00BF4BAC">
        <w:trPr>
          <w:trHeight w:val="188"/>
          <w:jc w:val="center"/>
        </w:trPr>
        <w:tc>
          <w:tcPr>
            <w:tcW w:w="3153" w:type="dxa"/>
            <w:tcBorders>
              <w:top w:val="single" w:sz="4" w:space="0" w:color="auto"/>
              <w:left w:val="nil"/>
              <w:bottom w:val="single" w:sz="4" w:space="0" w:color="auto"/>
              <w:right w:val="nil"/>
            </w:tcBorders>
          </w:tcPr>
          <w:p w14:paraId="15A7DB54" w14:textId="77777777" w:rsidR="00BF4BAC" w:rsidRPr="00B0605C" w:rsidRDefault="00BF4BAC" w:rsidP="007D5097">
            <w:pPr>
              <w:rPr>
                <w:rFonts w:ascii="Arial" w:eastAsiaTheme="minorEastAsia" w:hAnsi="Arial" w:cs="Arial"/>
                <w:lang w:val="en-GB" w:eastAsia="ko-KR"/>
              </w:rPr>
            </w:pPr>
          </w:p>
        </w:tc>
        <w:tc>
          <w:tcPr>
            <w:tcW w:w="1409" w:type="dxa"/>
            <w:tcBorders>
              <w:top w:val="single" w:sz="4" w:space="0" w:color="auto"/>
              <w:left w:val="nil"/>
              <w:bottom w:val="single" w:sz="4" w:space="0" w:color="auto"/>
              <w:right w:val="nil"/>
            </w:tcBorders>
          </w:tcPr>
          <w:p w14:paraId="6395E115" w14:textId="32FC26D3" w:rsidR="00BF4BAC" w:rsidRPr="00B0605C" w:rsidRDefault="00BF4BAC" w:rsidP="00B239E5">
            <w:pPr>
              <w:jc w:val="right"/>
              <w:rPr>
                <w:rFonts w:ascii="Arial" w:eastAsiaTheme="minorEastAsia" w:hAnsi="Arial" w:cs="Arial"/>
                <w:lang w:val="en-GB" w:eastAsia="ko-KR"/>
              </w:rPr>
            </w:pPr>
            <w:r w:rsidRPr="00B0605C">
              <w:rPr>
                <w:rFonts w:ascii="Arial" w:eastAsiaTheme="minorEastAsia" w:hAnsi="Arial" w:cs="Arial"/>
                <w:lang w:val="en-GB" w:eastAsia="ko-KR"/>
              </w:rPr>
              <w:t>2016</w:t>
            </w:r>
            <w:r w:rsidR="00B239E5">
              <w:rPr>
                <w:rFonts w:ascii="Arial" w:eastAsiaTheme="minorEastAsia" w:hAnsi="Arial" w:cs="Arial"/>
                <w:lang w:val="en-GB" w:eastAsia="ko-KR"/>
              </w:rPr>
              <w:t>–</w:t>
            </w:r>
            <w:r w:rsidRPr="00B0605C">
              <w:rPr>
                <w:rFonts w:ascii="Arial" w:eastAsiaTheme="minorEastAsia" w:hAnsi="Arial" w:cs="Arial"/>
                <w:lang w:val="en-GB" w:eastAsia="ko-KR"/>
              </w:rPr>
              <w:t>1</w:t>
            </w:r>
            <w:r w:rsidR="00B239E5">
              <w:rPr>
                <w:rFonts w:ascii="Arial" w:eastAsiaTheme="minorEastAsia" w:hAnsi="Arial" w:cs="Arial"/>
                <w:lang w:val="en-GB" w:eastAsia="ko-KR"/>
              </w:rPr>
              <w:t>7</w:t>
            </w:r>
          </w:p>
        </w:tc>
        <w:tc>
          <w:tcPr>
            <w:tcW w:w="1409" w:type="dxa"/>
            <w:tcBorders>
              <w:top w:val="single" w:sz="4" w:space="0" w:color="auto"/>
              <w:left w:val="nil"/>
              <w:bottom w:val="single" w:sz="4" w:space="0" w:color="auto"/>
              <w:right w:val="nil"/>
            </w:tcBorders>
          </w:tcPr>
          <w:p w14:paraId="07E8CBFB" w14:textId="1F0DB6B7" w:rsidR="00BF4BAC" w:rsidRPr="00B0605C" w:rsidRDefault="00BF4BAC" w:rsidP="00B239E5">
            <w:pPr>
              <w:jc w:val="right"/>
              <w:rPr>
                <w:rFonts w:ascii="Arial" w:hAnsi="Arial" w:cs="Arial"/>
                <w:lang w:val="en-GB"/>
              </w:rPr>
            </w:pPr>
            <w:r w:rsidRPr="00B0605C">
              <w:rPr>
                <w:rFonts w:ascii="Arial" w:hAnsi="Arial" w:cs="Arial"/>
                <w:lang w:val="en-GB"/>
              </w:rPr>
              <w:t>20</w:t>
            </w:r>
            <w:r w:rsidRPr="00B0605C">
              <w:rPr>
                <w:rFonts w:ascii="Arial" w:eastAsiaTheme="minorEastAsia" w:hAnsi="Arial" w:cs="Arial"/>
                <w:lang w:val="en-GB" w:eastAsia="ko-KR"/>
              </w:rPr>
              <w:t>15</w:t>
            </w:r>
            <w:r w:rsidR="00B239E5">
              <w:rPr>
                <w:rFonts w:ascii="Arial" w:eastAsiaTheme="minorEastAsia" w:hAnsi="Arial" w:cs="Arial"/>
                <w:lang w:val="en-GB" w:eastAsia="ko-KR"/>
              </w:rPr>
              <w:t>–</w:t>
            </w:r>
            <w:r w:rsidRPr="00B0605C">
              <w:rPr>
                <w:rFonts w:ascii="Arial" w:eastAsiaTheme="minorEastAsia" w:hAnsi="Arial" w:cs="Arial"/>
                <w:lang w:val="en-GB" w:eastAsia="ko-KR"/>
              </w:rPr>
              <w:t>1</w:t>
            </w:r>
            <w:r w:rsidR="00B239E5">
              <w:rPr>
                <w:rFonts w:ascii="Arial" w:eastAsiaTheme="minorEastAsia" w:hAnsi="Arial" w:cs="Arial"/>
                <w:lang w:val="en-GB" w:eastAsia="ko-KR"/>
              </w:rPr>
              <w:t>6</w:t>
            </w:r>
          </w:p>
        </w:tc>
        <w:tc>
          <w:tcPr>
            <w:tcW w:w="1409" w:type="dxa"/>
            <w:tcBorders>
              <w:top w:val="single" w:sz="4" w:space="0" w:color="auto"/>
              <w:left w:val="nil"/>
              <w:bottom w:val="single" w:sz="4" w:space="0" w:color="auto"/>
              <w:right w:val="nil"/>
            </w:tcBorders>
          </w:tcPr>
          <w:p w14:paraId="08E61E80" w14:textId="38EB0CE4" w:rsidR="00BF4BAC" w:rsidRPr="00B0605C" w:rsidRDefault="00BF4BAC" w:rsidP="00B239E5">
            <w:pPr>
              <w:jc w:val="right"/>
              <w:rPr>
                <w:rFonts w:ascii="Arial" w:hAnsi="Arial" w:cs="Arial"/>
                <w:lang w:val="en-GB"/>
              </w:rPr>
            </w:pPr>
            <w:r w:rsidRPr="00B0605C">
              <w:rPr>
                <w:rFonts w:ascii="Arial" w:hAnsi="Arial" w:cs="Arial"/>
                <w:lang w:val="en-GB"/>
              </w:rPr>
              <w:t>201</w:t>
            </w:r>
            <w:r w:rsidRPr="00B0605C">
              <w:rPr>
                <w:rFonts w:ascii="Arial" w:eastAsiaTheme="minorEastAsia" w:hAnsi="Arial" w:cs="Arial"/>
                <w:lang w:val="en-GB" w:eastAsia="ko-KR"/>
              </w:rPr>
              <w:t>4</w:t>
            </w:r>
            <w:r w:rsidR="00B239E5">
              <w:rPr>
                <w:rFonts w:ascii="Arial" w:eastAsiaTheme="minorEastAsia" w:hAnsi="Arial" w:cs="Arial"/>
                <w:lang w:val="en-GB" w:eastAsia="ko-KR"/>
              </w:rPr>
              <w:t>–</w:t>
            </w:r>
            <w:r w:rsidRPr="00B0605C">
              <w:rPr>
                <w:rFonts w:ascii="Arial" w:eastAsiaTheme="minorEastAsia" w:hAnsi="Arial" w:cs="Arial"/>
                <w:lang w:val="en-GB" w:eastAsia="ko-KR"/>
              </w:rPr>
              <w:t>1</w:t>
            </w:r>
            <w:r w:rsidR="00B239E5">
              <w:rPr>
                <w:rFonts w:ascii="Arial" w:eastAsiaTheme="minorEastAsia" w:hAnsi="Arial" w:cs="Arial"/>
                <w:lang w:val="en-GB" w:eastAsia="ko-KR"/>
              </w:rPr>
              <w:t>5</w:t>
            </w:r>
          </w:p>
        </w:tc>
        <w:tc>
          <w:tcPr>
            <w:tcW w:w="1409" w:type="dxa"/>
            <w:tcBorders>
              <w:top w:val="single" w:sz="4" w:space="0" w:color="auto"/>
              <w:left w:val="nil"/>
              <w:bottom w:val="single" w:sz="4" w:space="0" w:color="auto"/>
              <w:right w:val="nil"/>
            </w:tcBorders>
          </w:tcPr>
          <w:p w14:paraId="7F2CBE75" w14:textId="225250C3" w:rsidR="00BF4BAC" w:rsidRPr="00B0605C" w:rsidRDefault="00BF4BAC" w:rsidP="00B239E5">
            <w:pPr>
              <w:jc w:val="right"/>
              <w:rPr>
                <w:rFonts w:ascii="Arial" w:eastAsiaTheme="minorEastAsia" w:hAnsi="Arial" w:cs="Arial"/>
                <w:lang w:val="en-GB" w:eastAsia="ko-KR"/>
              </w:rPr>
            </w:pPr>
            <w:r w:rsidRPr="00B0605C">
              <w:rPr>
                <w:rFonts w:ascii="Arial" w:eastAsiaTheme="minorEastAsia" w:hAnsi="Arial" w:cs="Arial"/>
                <w:lang w:val="en-GB" w:eastAsia="ko-KR"/>
              </w:rPr>
              <w:t>2013</w:t>
            </w:r>
            <w:r w:rsidR="00B239E5">
              <w:rPr>
                <w:rFonts w:ascii="Arial" w:eastAsiaTheme="minorEastAsia" w:hAnsi="Arial" w:cs="Arial"/>
                <w:lang w:val="en-GB" w:eastAsia="ko-KR"/>
              </w:rPr>
              <w:t>–</w:t>
            </w:r>
            <w:r w:rsidRPr="00B0605C">
              <w:rPr>
                <w:rFonts w:ascii="Arial" w:eastAsiaTheme="minorEastAsia" w:hAnsi="Arial" w:cs="Arial"/>
                <w:lang w:val="en-GB" w:eastAsia="ko-KR"/>
              </w:rPr>
              <w:t>1</w:t>
            </w:r>
            <w:r w:rsidR="00B239E5">
              <w:rPr>
                <w:rFonts w:ascii="Arial" w:eastAsiaTheme="minorEastAsia" w:hAnsi="Arial" w:cs="Arial"/>
                <w:lang w:val="en-GB" w:eastAsia="ko-KR"/>
              </w:rPr>
              <w:t>4</w:t>
            </w:r>
          </w:p>
        </w:tc>
      </w:tr>
      <w:tr w:rsidR="00BF4BAC" w:rsidRPr="00B0605C" w14:paraId="33930BF5" w14:textId="77777777" w:rsidTr="00BF4BAC">
        <w:trPr>
          <w:trHeight w:val="20"/>
          <w:jc w:val="center"/>
        </w:trPr>
        <w:tc>
          <w:tcPr>
            <w:tcW w:w="3153" w:type="dxa"/>
            <w:tcBorders>
              <w:top w:val="single" w:sz="4" w:space="0" w:color="auto"/>
              <w:left w:val="nil"/>
              <w:bottom w:val="single" w:sz="4" w:space="0" w:color="auto"/>
              <w:right w:val="nil"/>
            </w:tcBorders>
          </w:tcPr>
          <w:p w14:paraId="20389A20" w14:textId="77777777" w:rsidR="00BF4BAC" w:rsidRPr="00B0605C" w:rsidRDefault="00BF4BAC" w:rsidP="007D5097">
            <w:pPr>
              <w:rPr>
                <w:rFonts w:ascii="Arial" w:eastAsiaTheme="minorEastAsia" w:hAnsi="Arial" w:cs="Arial"/>
                <w:b/>
                <w:lang w:val="en-GB" w:eastAsia="ko-KR"/>
              </w:rPr>
            </w:pPr>
            <w:r w:rsidRPr="00B0605C">
              <w:rPr>
                <w:rFonts w:ascii="Arial" w:eastAsiaTheme="minorEastAsia" w:hAnsi="Arial" w:cs="Arial"/>
                <w:b/>
                <w:lang w:val="en-GB" w:eastAsia="ko-KR"/>
              </w:rPr>
              <w:t>Income Statement Summary</w:t>
            </w:r>
          </w:p>
        </w:tc>
        <w:tc>
          <w:tcPr>
            <w:tcW w:w="1409" w:type="dxa"/>
            <w:tcBorders>
              <w:top w:val="single" w:sz="4" w:space="0" w:color="auto"/>
              <w:left w:val="nil"/>
              <w:bottom w:val="single" w:sz="4" w:space="0" w:color="auto"/>
              <w:right w:val="nil"/>
            </w:tcBorders>
          </w:tcPr>
          <w:p w14:paraId="367D89AE" w14:textId="77777777" w:rsidR="00BF4BAC" w:rsidRPr="00B0605C" w:rsidRDefault="00BF4BAC" w:rsidP="007D5097">
            <w:pPr>
              <w:jc w:val="right"/>
              <w:rPr>
                <w:rFonts w:ascii="Arial" w:eastAsiaTheme="minorEastAsia" w:hAnsi="Arial" w:cs="Arial"/>
                <w:lang w:val="en-GB" w:eastAsia="ko-KR"/>
              </w:rPr>
            </w:pPr>
          </w:p>
        </w:tc>
        <w:tc>
          <w:tcPr>
            <w:tcW w:w="1409" w:type="dxa"/>
            <w:tcBorders>
              <w:top w:val="single" w:sz="4" w:space="0" w:color="auto"/>
              <w:left w:val="nil"/>
              <w:bottom w:val="single" w:sz="4" w:space="0" w:color="auto"/>
              <w:right w:val="nil"/>
            </w:tcBorders>
          </w:tcPr>
          <w:p w14:paraId="091799B4" w14:textId="77777777" w:rsidR="00BF4BAC" w:rsidRPr="00B0605C" w:rsidRDefault="00BF4BAC" w:rsidP="007D5097">
            <w:pPr>
              <w:jc w:val="right"/>
              <w:rPr>
                <w:rFonts w:ascii="Arial" w:hAnsi="Arial" w:cs="Arial"/>
                <w:lang w:val="en-GB"/>
              </w:rPr>
            </w:pPr>
          </w:p>
        </w:tc>
        <w:tc>
          <w:tcPr>
            <w:tcW w:w="1409" w:type="dxa"/>
            <w:tcBorders>
              <w:top w:val="single" w:sz="4" w:space="0" w:color="auto"/>
              <w:left w:val="nil"/>
              <w:bottom w:val="single" w:sz="4" w:space="0" w:color="auto"/>
              <w:right w:val="nil"/>
            </w:tcBorders>
          </w:tcPr>
          <w:p w14:paraId="6970386C" w14:textId="77777777" w:rsidR="00BF4BAC" w:rsidRPr="00B0605C" w:rsidRDefault="00BF4BAC" w:rsidP="007D5097">
            <w:pPr>
              <w:jc w:val="right"/>
              <w:rPr>
                <w:rFonts w:ascii="Arial" w:hAnsi="Arial" w:cs="Arial"/>
                <w:lang w:val="en-GB"/>
              </w:rPr>
            </w:pPr>
          </w:p>
        </w:tc>
        <w:tc>
          <w:tcPr>
            <w:tcW w:w="1409" w:type="dxa"/>
            <w:tcBorders>
              <w:top w:val="single" w:sz="4" w:space="0" w:color="auto"/>
              <w:left w:val="nil"/>
              <w:bottom w:val="single" w:sz="4" w:space="0" w:color="auto"/>
              <w:right w:val="nil"/>
            </w:tcBorders>
          </w:tcPr>
          <w:p w14:paraId="1131839E" w14:textId="77777777" w:rsidR="00BF4BAC" w:rsidRPr="00B0605C" w:rsidRDefault="00BF4BAC" w:rsidP="007D5097">
            <w:pPr>
              <w:jc w:val="right"/>
              <w:rPr>
                <w:rFonts w:ascii="Arial" w:eastAsiaTheme="minorEastAsia" w:hAnsi="Arial" w:cs="Arial"/>
                <w:lang w:val="en-GB" w:eastAsia="ko-KR"/>
              </w:rPr>
            </w:pPr>
          </w:p>
        </w:tc>
      </w:tr>
      <w:tr w:rsidR="00BF4BAC" w:rsidRPr="00B0605C" w14:paraId="3FAF4663" w14:textId="77777777" w:rsidTr="00BF4BAC">
        <w:trPr>
          <w:trHeight w:val="188"/>
          <w:jc w:val="center"/>
        </w:trPr>
        <w:tc>
          <w:tcPr>
            <w:tcW w:w="3153" w:type="dxa"/>
            <w:tcBorders>
              <w:top w:val="single" w:sz="4" w:space="0" w:color="auto"/>
              <w:left w:val="nil"/>
              <w:bottom w:val="nil"/>
              <w:right w:val="nil"/>
            </w:tcBorders>
          </w:tcPr>
          <w:p w14:paraId="2B3E7B64" w14:textId="7A92725D" w:rsidR="00BF4BAC" w:rsidRPr="00B0605C" w:rsidRDefault="00BF4BAC" w:rsidP="006A1AF8">
            <w:pPr>
              <w:rPr>
                <w:rFonts w:ascii="Arial" w:eastAsiaTheme="minorEastAsia" w:hAnsi="Arial" w:cs="Arial"/>
                <w:lang w:val="en-GB" w:eastAsia="ko-KR"/>
              </w:rPr>
            </w:pPr>
            <w:r w:rsidRPr="00B0605C">
              <w:rPr>
                <w:rFonts w:ascii="Arial" w:eastAsiaTheme="minorEastAsia" w:hAnsi="Arial" w:cs="Arial"/>
                <w:lang w:val="en-GB" w:eastAsia="ko-KR"/>
              </w:rPr>
              <w:t>Gross Revenues</w:t>
            </w:r>
          </w:p>
        </w:tc>
        <w:tc>
          <w:tcPr>
            <w:tcW w:w="1409" w:type="dxa"/>
            <w:tcBorders>
              <w:top w:val="single" w:sz="4" w:space="0" w:color="auto"/>
              <w:left w:val="nil"/>
              <w:bottom w:val="nil"/>
              <w:right w:val="nil"/>
            </w:tcBorders>
          </w:tcPr>
          <w:p w14:paraId="17106673" w14:textId="77777777" w:rsidR="00BF4BAC" w:rsidRPr="00B0605C" w:rsidRDefault="00BF4BAC" w:rsidP="007D5097">
            <w:pPr>
              <w:jc w:val="right"/>
              <w:rPr>
                <w:rFonts w:ascii="Arial" w:eastAsiaTheme="minorEastAsia" w:hAnsi="Arial" w:cs="Arial"/>
                <w:lang w:val="en-GB" w:eastAsia="ko-KR"/>
              </w:rPr>
            </w:pPr>
            <w:r w:rsidRPr="00B0605C">
              <w:rPr>
                <w:rFonts w:ascii="Arial" w:eastAsiaTheme="minorEastAsia" w:hAnsi="Arial" w:cs="Arial"/>
                <w:lang w:val="en-GB" w:eastAsia="ko-KR"/>
              </w:rPr>
              <w:t>12,196</w:t>
            </w:r>
          </w:p>
        </w:tc>
        <w:tc>
          <w:tcPr>
            <w:tcW w:w="1409" w:type="dxa"/>
            <w:tcBorders>
              <w:top w:val="single" w:sz="4" w:space="0" w:color="auto"/>
              <w:left w:val="nil"/>
              <w:bottom w:val="nil"/>
              <w:right w:val="nil"/>
            </w:tcBorders>
          </w:tcPr>
          <w:p w14:paraId="6B370950" w14:textId="77777777" w:rsidR="00BF4BAC" w:rsidRPr="00B0605C" w:rsidRDefault="00BF4BAC" w:rsidP="007D5097">
            <w:pPr>
              <w:jc w:val="right"/>
              <w:rPr>
                <w:rFonts w:ascii="Arial" w:eastAsiaTheme="minorEastAsia" w:hAnsi="Arial" w:cs="Arial"/>
                <w:lang w:val="en-GB" w:eastAsia="ko-KR"/>
              </w:rPr>
            </w:pPr>
            <w:r w:rsidRPr="00B0605C">
              <w:rPr>
                <w:rFonts w:ascii="Arial" w:eastAsiaTheme="minorEastAsia" w:hAnsi="Arial" w:cs="Arial"/>
                <w:lang w:val="en-GB" w:eastAsia="ko-KR"/>
              </w:rPr>
              <w:t>12,414</w:t>
            </w:r>
          </w:p>
        </w:tc>
        <w:tc>
          <w:tcPr>
            <w:tcW w:w="1409" w:type="dxa"/>
            <w:tcBorders>
              <w:top w:val="single" w:sz="4" w:space="0" w:color="auto"/>
              <w:left w:val="nil"/>
              <w:bottom w:val="nil"/>
              <w:right w:val="nil"/>
            </w:tcBorders>
          </w:tcPr>
          <w:p w14:paraId="396D4377" w14:textId="77777777" w:rsidR="00BF4BAC" w:rsidRPr="00B0605C" w:rsidRDefault="00BF4BAC" w:rsidP="007D5097">
            <w:pPr>
              <w:jc w:val="right"/>
              <w:rPr>
                <w:rFonts w:ascii="Arial" w:eastAsiaTheme="minorEastAsia" w:hAnsi="Arial" w:cs="Arial"/>
                <w:lang w:val="en-GB" w:eastAsia="ko-KR"/>
              </w:rPr>
            </w:pPr>
            <w:r w:rsidRPr="00B0605C">
              <w:rPr>
                <w:rFonts w:ascii="Arial" w:eastAsiaTheme="minorEastAsia" w:hAnsi="Arial" w:cs="Arial"/>
                <w:lang w:val="en-GB" w:eastAsia="ko-KR"/>
              </w:rPr>
              <w:t>15,426</w:t>
            </w:r>
          </w:p>
        </w:tc>
        <w:tc>
          <w:tcPr>
            <w:tcW w:w="1409" w:type="dxa"/>
            <w:tcBorders>
              <w:top w:val="single" w:sz="4" w:space="0" w:color="auto"/>
              <w:left w:val="nil"/>
              <w:bottom w:val="nil"/>
              <w:right w:val="nil"/>
            </w:tcBorders>
          </w:tcPr>
          <w:p w14:paraId="2FC1FA62" w14:textId="77777777" w:rsidR="00BF4BAC" w:rsidRPr="00B0605C" w:rsidRDefault="00BF4BAC" w:rsidP="007D5097">
            <w:pPr>
              <w:jc w:val="right"/>
              <w:rPr>
                <w:rFonts w:ascii="Arial" w:eastAsiaTheme="minorEastAsia" w:hAnsi="Arial" w:cs="Arial"/>
                <w:lang w:val="en-GB" w:eastAsia="ko-KR"/>
              </w:rPr>
            </w:pPr>
            <w:r w:rsidRPr="00B0605C">
              <w:rPr>
                <w:rFonts w:ascii="Arial" w:eastAsiaTheme="minorEastAsia" w:hAnsi="Arial" w:cs="Arial"/>
                <w:lang w:val="en-GB" w:eastAsia="ko-KR"/>
              </w:rPr>
              <w:t>14,494</w:t>
            </w:r>
          </w:p>
        </w:tc>
      </w:tr>
      <w:tr w:rsidR="00BF4BAC" w:rsidRPr="00B0605C" w14:paraId="522CDAE1" w14:textId="77777777" w:rsidTr="00BF4BAC">
        <w:trPr>
          <w:trHeight w:val="177"/>
          <w:jc w:val="center"/>
        </w:trPr>
        <w:tc>
          <w:tcPr>
            <w:tcW w:w="3153" w:type="dxa"/>
            <w:tcBorders>
              <w:top w:val="nil"/>
              <w:left w:val="nil"/>
              <w:bottom w:val="nil"/>
              <w:right w:val="nil"/>
            </w:tcBorders>
          </w:tcPr>
          <w:p w14:paraId="422C1410" w14:textId="5F3A418F" w:rsidR="00BF4BAC" w:rsidRPr="00B0605C" w:rsidRDefault="00BF4BAC" w:rsidP="006A1AF8">
            <w:pPr>
              <w:rPr>
                <w:rFonts w:ascii="Arial" w:eastAsiaTheme="minorEastAsia" w:hAnsi="Arial" w:cs="Arial"/>
                <w:lang w:val="en-GB" w:eastAsia="ko-KR"/>
              </w:rPr>
            </w:pPr>
            <w:r w:rsidRPr="00B0605C">
              <w:rPr>
                <w:rFonts w:ascii="Arial" w:eastAsiaTheme="minorEastAsia" w:hAnsi="Arial" w:cs="Arial"/>
                <w:lang w:val="en-GB" w:eastAsia="ko-KR"/>
              </w:rPr>
              <w:t>Net Revenues</w:t>
            </w:r>
          </w:p>
        </w:tc>
        <w:tc>
          <w:tcPr>
            <w:tcW w:w="1409" w:type="dxa"/>
            <w:tcBorders>
              <w:top w:val="nil"/>
              <w:left w:val="nil"/>
              <w:bottom w:val="nil"/>
              <w:right w:val="nil"/>
            </w:tcBorders>
          </w:tcPr>
          <w:p w14:paraId="300A8A52" w14:textId="77777777" w:rsidR="00BF4BAC" w:rsidRPr="00B0605C" w:rsidRDefault="00BF4BAC" w:rsidP="007D5097">
            <w:pPr>
              <w:jc w:val="right"/>
              <w:rPr>
                <w:rFonts w:ascii="Arial" w:eastAsiaTheme="minorEastAsia" w:hAnsi="Arial" w:cs="Arial"/>
                <w:lang w:val="en-GB" w:eastAsia="ko-KR"/>
              </w:rPr>
            </w:pPr>
            <w:r w:rsidRPr="00B0605C">
              <w:rPr>
                <w:rFonts w:ascii="Arial" w:eastAsiaTheme="minorEastAsia" w:hAnsi="Arial" w:cs="Arial"/>
                <w:lang w:val="en-GB" w:eastAsia="ko-KR"/>
              </w:rPr>
              <w:t>11,410</w:t>
            </w:r>
          </w:p>
        </w:tc>
        <w:tc>
          <w:tcPr>
            <w:tcW w:w="1409" w:type="dxa"/>
            <w:tcBorders>
              <w:top w:val="nil"/>
              <w:left w:val="nil"/>
              <w:bottom w:val="nil"/>
              <w:right w:val="nil"/>
            </w:tcBorders>
          </w:tcPr>
          <w:p w14:paraId="1F6943D5" w14:textId="77777777" w:rsidR="00BF4BAC" w:rsidRPr="00B0605C" w:rsidRDefault="00BF4BAC" w:rsidP="007D5097">
            <w:pPr>
              <w:jc w:val="right"/>
              <w:rPr>
                <w:rFonts w:ascii="Arial" w:eastAsiaTheme="minorEastAsia" w:hAnsi="Arial" w:cs="Arial"/>
                <w:lang w:val="en-GB" w:eastAsia="ko-KR"/>
              </w:rPr>
            </w:pPr>
            <w:r w:rsidRPr="00B0605C">
              <w:rPr>
                <w:rFonts w:ascii="Arial" w:eastAsiaTheme="minorEastAsia" w:hAnsi="Arial" w:cs="Arial"/>
                <w:lang w:val="en-GB" w:eastAsia="ko-KR"/>
              </w:rPr>
              <w:t>11,688</w:t>
            </w:r>
          </w:p>
        </w:tc>
        <w:tc>
          <w:tcPr>
            <w:tcW w:w="1409" w:type="dxa"/>
            <w:tcBorders>
              <w:top w:val="nil"/>
              <w:left w:val="nil"/>
              <w:bottom w:val="nil"/>
              <w:right w:val="nil"/>
            </w:tcBorders>
          </w:tcPr>
          <w:p w14:paraId="245C0644" w14:textId="77777777" w:rsidR="00BF4BAC" w:rsidRPr="00B0605C" w:rsidRDefault="00BF4BAC" w:rsidP="007D5097">
            <w:pPr>
              <w:jc w:val="right"/>
              <w:rPr>
                <w:rFonts w:ascii="Arial" w:eastAsiaTheme="minorEastAsia" w:hAnsi="Arial" w:cs="Arial"/>
                <w:lang w:val="en-GB" w:eastAsia="ko-KR"/>
              </w:rPr>
            </w:pPr>
            <w:r w:rsidRPr="00B0605C">
              <w:rPr>
                <w:rFonts w:ascii="Arial" w:eastAsiaTheme="minorEastAsia" w:hAnsi="Arial" w:cs="Arial"/>
                <w:lang w:val="en-GB" w:eastAsia="ko-KR"/>
              </w:rPr>
              <w:t>14,584</w:t>
            </w:r>
          </w:p>
        </w:tc>
        <w:tc>
          <w:tcPr>
            <w:tcW w:w="1409" w:type="dxa"/>
            <w:tcBorders>
              <w:top w:val="nil"/>
              <w:left w:val="nil"/>
              <w:bottom w:val="nil"/>
              <w:right w:val="nil"/>
            </w:tcBorders>
          </w:tcPr>
          <w:p w14:paraId="796927E8" w14:textId="77777777" w:rsidR="00BF4BAC" w:rsidRPr="00B0605C" w:rsidRDefault="00BF4BAC" w:rsidP="007D5097">
            <w:pPr>
              <w:jc w:val="right"/>
              <w:rPr>
                <w:rFonts w:ascii="Arial" w:eastAsiaTheme="minorEastAsia" w:hAnsi="Arial" w:cs="Arial"/>
                <w:lang w:val="en-GB" w:eastAsia="ko-KR"/>
              </w:rPr>
            </w:pPr>
            <w:r w:rsidRPr="00B0605C">
              <w:rPr>
                <w:rFonts w:ascii="Arial" w:eastAsiaTheme="minorEastAsia" w:hAnsi="Arial" w:cs="Arial"/>
                <w:lang w:val="en-GB" w:eastAsia="ko-KR"/>
              </w:rPr>
              <w:t>13,770</w:t>
            </w:r>
          </w:p>
        </w:tc>
      </w:tr>
      <w:tr w:rsidR="00BF4BAC" w:rsidRPr="00B0605C" w14:paraId="38ECC0F4" w14:textId="77777777" w:rsidTr="00BF4BAC">
        <w:trPr>
          <w:trHeight w:val="188"/>
          <w:jc w:val="center"/>
        </w:trPr>
        <w:tc>
          <w:tcPr>
            <w:tcW w:w="3153" w:type="dxa"/>
            <w:tcBorders>
              <w:top w:val="nil"/>
              <w:left w:val="nil"/>
              <w:bottom w:val="nil"/>
              <w:right w:val="nil"/>
            </w:tcBorders>
          </w:tcPr>
          <w:p w14:paraId="1DD5BD49" w14:textId="58F1FAD1" w:rsidR="00BF4BAC" w:rsidRPr="00B0605C" w:rsidRDefault="00BF4BAC" w:rsidP="006A1AF8">
            <w:pPr>
              <w:rPr>
                <w:rFonts w:ascii="Arial" w:eastAsiaTheme="minorEastAsia" w:hAnsi="Arial" w:cs="Arial"/>
                <w:lang w:val="en-GB" w:eastAsia="ko-KR"/>
              </w:rPr>
            </w:pPr>
            <w:r w:rsidRPr="00B0605C">
              <w:rPr>
                <w:rFonts w:ascii="Arial" w:eastAsiaTheme="minorEastAsia" w:hAnsi="Arial" w:cs="Arial"/>
                <w:lang w:val="en-GB" w:eastAsia="ko-KR"/>
              </w:rPr>
              <w:t>Operating Expenses</w:t>
            </w:r>
          </w:p>
        </w:tc>
        <w:tc>
          <w:tcPr>
            <w:tcW w:w="1409" w:type="dxa"/>
            <w:tcBorders>
              <w:top w:val="nil"/>
              <w:left w:val="nil"/>
              <w:bottom w:val="nil"/>
              <w:right w:val="nil"/>
            </w:tcBorders>
          </w:tcPr>
          <w:p w14:paraId="2BCB614D" w14:textId="77777777" w:rsidR="00BF4BAC" w:rsidRPr="00B0605C" w:rsidRDefault="00BF4BAC" w:rsidP="007D5097">
            <w:pPr>
              <w:jc w:val="right"/>
              <w:rPr>
                <w:rFonts w:ascii="Arial" w:eastAsiaTheme="minorEastAsia" w:hAnsi="Arial" w:cs="Arial"/>
                <w:lang w:val="en-GB" w:eastAsia="ko-KR"/>
              </w:rPr>
            </w:pPr>
            <w:r w:rsidRPr="00B0605C">
              <w:rPr>
                <w:rFonts w:ascii="Arial" w:eastAsiaTheme="minorEastAsia" w:hAnsi="Arial" w:cs="Arial"/>
                <w:lang w:val="en-GB" w:eastAsia="ko-KR"/>
              </w:rPr>
              <w:t>8,917</w:t>
            </w:r>
          </w:p>
        </w:tc>
        <w:tc>
          <w:tcPr>
            <w:tcW w:w="1409" w:type="dxa"/>
            <w:tcBorders>
              <w:top w:val="nil"/>
              <w:left w:val="nil"/>
              <w:bottom w:val="nil"/>
              <w:right w:val="nil"/>
            </w:tcBorders>
          </w:tcPr>
          <w:p w14:paraId="3460A143" w14:textId="77777777" w:rsidR="00BF4BAC" w:rsidRPr="00B0605C" w:rsidRDefault="00BF4BAC" w:rsidP="007D5097">
            <w:pPr>
              <w:jc w:val="right"/>
              <w:rPr>
                <w:rFonts w:ascii="Arial" w:eastAsiaTheme="minorEastAsia" w:hAnsi="Arial" w:cs="Arial"/>
                <w:lang w:val="en-GB" w:eastAsia="ko-KR"/>
              </w:rPr>
            </w:pPr>
            <w:r w:rsidRPr="00B0605C">
              <w:rPr>
                <w:rFonts w:ascii="Arial" w:eastAsiaTheme="minorEastAsia" w:hAnsi="Arial" w:cs="Arial"/>
                <w:lang w:val="en-GB" w:eastAsia="ko-KR"/>
              </w:rPr>
              <w:t>8,847</w:t>
            </w:r>
          </w:p>
        </w:tc>
        <w:tc>
          <w:tcPr>
            <w:tcW w:w="1409" w:type="dxa"/>
            <w:tcBorders>
              <w:top w:val="nil"/>
              <w:left w:val="nil"/>
              <w:bottom w:val="nil"/>
              <w:right w:val="nil"/>
            </w:tcBorders>
          </w:tcPr>
          <w:p w14:paraId="7A175C75" w14:textId="77777777" w:rsidR="00BF4BAC" w:rsidRPr="00B0605C" w:rsidRDefault="00BF4BAC" w:rsidP="007D5097">
            <w:pPr>
              <w:jc w:val="right"/>
              <w:rPr>
                <w:rFonts w:ascii="Arial" w:eastAsiaTheme="minorEastAsia" w:hAnsi="Arial" w:cs="Arial"/>
                <w:lang w:val="en-GB" w:eastAsia="ko-KR"/>
              </w:rPr>
            </w:pPr>
            <w:r w:rsidRPr="00B0605C">
              <w:rPr>
                <w:rFonts w:ascii="Arial" w:eastAsiaTheme="minorEastAsia" w:hAnsi="Arial" w:cs="Arial"/>
                <w:lang w:val="en-GB" w:eastAsia="ko-KR"/>
              </w:rPr>
              <w:t>10,485</w:t>
            </w:r>
          </w:p>
        </w:tc>
        <w:tc>
          <w:tcPr>
            <w:tcW w:w="1409" w:type="dxa"/>
            <w:tcBorders>
              <w:top w:val="nil"/>
              <w:left w:val="nil"/>
              <w:bottom w:val="nil"/>
              <w:right w:val="nil"/>
            </w:tcBorders>
          </w:tcPr>
          <w:p w14:paraId="6D42DB87" w14:textId="77777777" w:rsidR="00BF4BAC" w:rsidRPr="00B0605C" w:rsidRDefault="00BF4BAC" w:rsidP="007D5097">
            <w:pPr>
              <w:jc w:val="right"/>
              <w:rPr>
                <w:rFonts w:ascii="Arial" w:eastAsiaTheme="minorEastAsia" w:hAnsi="Arial" w:cs="Arial"/>
                <w:lang w:val="en-GB" w:eastAsia="ko-KR"/>
              </w:rPr>
            </w:pPr>
            <w:r w:rsidRPr="00B0605C">
              <w:rPr>
                <w:rFonts w:ascii="Arial" w:eastAsiaTheme="minorEastAsia" w:hAnsi="Arial" w:cs="Arial"/>
                <w:lang w:val="en-GB" w:eastAsia="ko-KR"/>
              </w:rPr>
              <w:t>10,362</w:t>
            </w:r>
          </w:p>
        </w:tc>
      </w:tr>
      <w:tr w:rsidR="00BF4BAC" w:rsidRPr="00B0605C" w14:paraId="16F88860" w14:textId="77777777" w:rsidTr="00BF4BAC">
        <w:trPr>
          <w:trHeight w:val="188"/>
          <w:jc w:val="center"/>
        </w:trPr>
        <w:tc>
          <w:tcPr>
            <w:tcW w:w="3153" w:type="dxa"/>
            <w:tcBorders>
              <w:top w:val="nil"/>
              <w:left w:val="nil"/>
              <w:bottom w:val="nil"/>
              <w:right w:val="nil"/>
            </w:tcBorders>
          </w:tcPr>
          <w:p w14:paraId="6DB334AB" w14:textId="7A6EA0A2" w:rsidR="00BF4BAC" w:rsidRPr="00B0605C" w:rsidRDefault="00BF4BAC" w:rsidP="006A1AF8">
            <w:pPr>
              <w:rPr>
                <w:rFonts w:ascii="Arial" w:eastAsiaTheme="minorEastAsia" w:hAnsi="Arial" w:cs="Arial"/>
                <w:lang w:val="en-GB" w:eastAsia="ko-KR"/>
              </w:rPr>
            </w:pPr>
            <w:r w:rsidRPr="00B0605C">
              <w:rPr>
                <w:rFonts w:ascii="Arial" w:eastAsiaTheme="minorEastAsia" w:hAnsi="Arial" w:cs="Arial"/>
                <w:lang w:val="en-GB" w:eastAsia="ko-KR"/>
              </w:rPr>
              <w:t xml:space="preserve">Operating </w:t>
            </w:r>
            <w:r w:rsidR="006A1AF8" w:rsidRPr="00B0605C">
              <w:rPr>
                <w:rFonts w:ascii="Arial" w:eastAsiaTheme="minorEastAsia" w:hAnsi="Arial" w:cs="Arial"/>
                <w:lang w:val="en-GB" w:eastAsia="ko-KR"/>
              </w:rPr>
              <w:t>I</w:t>
            </w:r>
            <w:r w:rsidRPr="00B0605C">
              <w:rPr>
                <w:rFonts w:ascii="Arial" w:eastAsiaTheme="minorEastAsia" w:hAnsi="Arial" w:cs="Arial"/>
                <w:lang w:val="en-GB" w:eastAsia="ko-KR"/>
              </w:rPr>
              <w:t>ncome</w:t>
            </w:r>
          </w:p>
        </w:tc>
        <w:tc>
          <w:tcPr>
            <w:tcW w:w="1409" w:type="dxa"/>
            <w:tcBorders>
              <w:top w:val="nil"/>
              <w:left w:val="nil"/>
              <w:bottom w:val="nil"/>
              <w:right w:val="nil"/>
            </w:tcBorders>
          </w:tcPr>
          <w:p w14:paraId="0EF870C5" w14:textId="77777777" w:rsidR="00BF4BAC" w:rsidRPr="00B0605C" w:rsidRDefault="00BF4BAC" w:rsidP="007D5097">
            <w:pPr>
              <w:jc w:val="right"/>
              <w:rPr>
                <w:rFonts w:ascii="Arial" w:eastAsiaTheme="minorEastAsia" w:hAnsi="Arial" w:cs="Arial"/>
                <w:lang w:val="en-GB" w:eastAsia="ko-KR"/>
              </w:rPr>
            </w:pPr>
            <w:r w:rsidRPr="00B0605C">
              <w:rPr>
                <w:rFonts w:ascii="Arial" w:eastAsiaTheme="minorEastAsia" w:hAnsi="Arial" w:cs="Arial"/>
                <w:lang w:val="en-GB" w:eastAsia="ko-KR"/>
              </w:rPr>
              <w:t>2,493</w:t>
            </w:r>
          </w:p>
        </w:tc>
        <w:tc>
          <w:tcPr>
            <w:tcW w:w="1409" w:type="dxa"/>
            <w:tcBorders>
              <w:top w:val="nil"/>
              <w:left w:val="nil"/>
              <w:bottom w:val="nil"/>
              <w:right w:val="nil"/>
            </w:tcBorders>
          </w:tcPr>
          <w:p w14:paraId="6C0AF7BA" w14:textId="77777777" w:rsidR="00BF4BAC" w:rsidRPr="00B0605C" w:rsidRDefault="00BF4BAC" w:rsidP="007D5097">
            <w:pPr>
              <w:jc w:val="right"/>
              <w:rPr>
                <w:rFonts w:ascii="Arial" w:eastAsiaTheme="minorEastAsia" w:hAnsi="Arial" w:cs="Arial"/>
                <w:lang w:val="en-GB" w:eastAsia="ko-KR"/>
              </w:rPr>
            </w:pPr>
            <w:r w:rsidRPr="00B0605C">
              <w:rPr>
                <w:rFonts w:ascii="Arial" w:eastAsiaTheme="minorEastAsia" w:hAnsi="Arial" w:cs="Arial"/>
                <w:lang w:val="en-GB" w:eastAsia="ko-KR"/>
              </w:rPr>
              <w:t>2,841</w:t>
            </w:r>
          </w:p>
        </w:tc>
        <w:tc>
          <w:tcPr>
            <w:tcW w:w="1409" w:type="dxa"/>
            <w:tcBorders>
              <w:top w:val="nil"/>
              <w:left w:val="nil"/>
              <w:bottom w:val="nil"/>
              <w:right w:val="nil"/>
            </w:tcBorders>
          </w:tcPr>
          <w:p w14:paraId="7BCE8351" w14:textId="77777777" w:rsidR="00BF4BAC" w:rsidRPr="00B0605C" w:rsidRDefault="00BF4BAC" w:rsidP="007D5097">
            <w:pPr>
              <w:jc w:val="right"/>
              <w:rPr>
                <w:rFonts w:ascii="Arial" w:eastAsiaTheme="minorEastAsia" w:hAnsi="Arial" w:cs="Arial"/>
                <w:lang w:val="en-GB" w:eastAsia="ko-KR"/>
              </w:rPr>
            </w:pPr>
            <w:r w:rsidRPr="00B0605C">
              <w:rPr>
                <w:rFonts w:ascii="Arial" w:eastAsiaTheme="minorEastAsia" w:hAnsi="Arial" w:cs="Arial"/>
                <w:lang w:val="en-GB" w:eastAsia="ko-KR"/>
              </w:rPr>
              <w:t>4,099</w:t>
            </w:r>
          </w:p>
        </w:tc>
        <w:tc>
          <w:tcPr>
            <w:tcW w:w="1409" w:type="dxa"/>
            <w:tcBorders>
              <w:top w:val="nil"/>
              <w:left w:val="nil"/>
              <w:bottom w:val="nil"/>
              <w:right w:val="nil"/>
            </w:tcBorders>
          </w:tcPr>
          <w:p w14:paraId="3C90B83B" w14:textId="77777777" w:rsidR="00BF4BAC" w:rsidRPr="00B0605C" w:rsidRDefault="00BF4BAC" w:rsidP="007D5097">
            <w:pPr>
              <w:jc w:val="right"/>
              <w:rPr>
                <w:rFonts w:ascii="Arial" w:eastAsiaTheme="minorEastAsia" w:hAnsi="Arial" w:cs="Arial"/>
                <w:lang w:val="en-GB" w:eastAsia="ko-KR"/>
              </w:rPr>
            </w:pPr>
            <w:r w:rsidRPr="00B0605C">
              <w:rPr>
                <w:rFonts w:ascii="Arial" w:eastAsiaTheme="minorEastAsia" w:hAnsi="Arial" w:cs="Arial"/>
                <w:lang w:val="en-GB" w:eastAsia="ko-KR"/>
              </w:rPr>
              <w:t>3,408</w:t>
            </w:r>
          </w:p>
        </w:tc>
      </w:tr>
      <w:tr w:rsidR="00BF4BAC" w:rsidRPr="00B0605C" w14:paraId="2E064E61" w14:textId="77777777" w:rsidTr="00BF4BAC">
        <w:trPr>
          <w:trHeight w:val="188"/>
          <w:jc w:val="center"/>
        </w:trPr>
        <w:tc>
          <w:tcPr>
            <w:tcW w:w="3153" w:type="dxa"/>
            <w:tcBorders>
              <w:top w:val="nil"/>
              <w:left w:val="nil"/>
              <w:bottom w:val="nil"/>
              <w:right w:val="nil"/>
            </w:tcBorders>
          </w:tcPr>
          <w:p w14:paraId="579495A7" w14:textId="4AF10143" w:rsidR="00BF4BAC" w:rsidRPr="00B0605C" w:rsidRDefault="00BF4BAC" w:rsidP="00AC10FF">
            <w:pPr>
              <w:rPr>
                <w:rFonts w:ascii="Arial" w:eastAsiaTheme="minorEastAsia" w:hAnsi="Arial" w:cs="Arial"/>
                <w:lang w:val="en-GB" w:eastAsia="ko-KR"/>
              </w:rPr>
            </w:pPr>
            <w:r w:rsidRPr="00B0605C">
              <w:rPr>
                <w:rFonts w:ascii="Arial" w:eastAsiaTheme="minorEastAsia" w:hAnsi="Arial" w:cs="Arial"/>
                <w:lang w:val="en-GB" w:eastAsia="ko-KR"/>
              </w:rPr>
              <w:t xml:space="preserve">Income </w:t>
            </w:r>
            <w:r w:rsidR="00AC10FF">
              <w:rPr>
                <w:rFonts w:ascii="Arial" w:eastAsiaTheme="minorEastAsia" w:hAnsi="Arial" w:cs="Arial"/>
                <w:lang w:val="en-GB" w:eastAsia="ko-KR"/>
              </w:rPr>
              <w:t>b</w:t>
            </w:r>
            <w:r w:rsidRPr="00B0605C">
              <w:rPr>
                <w:rFonts w:ascii="Arial" w:eastAsiaTheme="minorEastAsia" w:hAnsi="Arial" w:cs="Arial"/>
                <w:lang w:val="en-GB" w:eastAsia="ko-KR"/>
              </w:rPr>
              <w:t>efore Taxes</w:t>
            </w:r>
          </w:p>
        </w:tc>
        <w:tc>
          <w:tcPr>
            <w:tcW w:w="1409" w:type="dxa"/>
            <w:tcBorders>
              <w:top w:val="nil"/>
              <w:left w:val="nil"/>
              <w:bottom w:val="nil"/>
              <w:right w:val="nil"/>
            </w:tcBorders>
          </w:tcPr>
          <w:p w14:paraId="7A3E0C25" w14:textId="77777777" w:rsidR="00BF4BAC" w:rsidRPr="00B0605C" w:rsidRDefault="00BF4BAC" w:rsidP="007D5097">
            <w:pPr>
              <w:jc w:val="right"/>
              <w:rPr>
                <w:rFonts w:ascii="Arial" w:eastAsiaTheme="minorEastAsia" w:hAnsi="Arial" w:cs="Arial"/>
                <w:lang w:val="en-GB" w:eastAsia="ko-KR"/>
              </w:rPr>
            </w:pPr>
            <w:r w:rsidRPr="00B0605C">
              <w:rPr>
                <w:rFonts w:ascii="Arial" w:eastAsiaTheme="minorEastAsia" w:hAnsi="Arial" w:cs="Arial"/>
                <w:lang w:val="en-GB" w:eastAsia="ko-KR"/>
              </w:rPr>
              <w:t>2,255</w:t>
            </w:r>
          </w:p>
        </w:tc>
        <w:tc>
          <w:tcPr>
            <w:tcW w:w="1409" w:type="dxa"/>
            <w:tcBorders>
              <w:top w:val="nil"/>
              <w:left w:val="nil"/>
              <w:bottom w:val="nil"/>
              <w:right w:val="nil"/>
            </w:tcBorders>
          </w:tcPr>
          <w:p w14:paraId="3964D789" w14:textId="77777777" w:rsidR="00BF4BAC" w:rsidRPr="00B0605C" w:rsidRDefault="00BF4BAC" w:rsidP="007D5097">
            <w:pPr>
              <w:jc w:val="right"/>
              <w:rPr>
                <w:rFonts w:ascii="Arial" w:eastAsiaTheme="minorEastAsia" w:hAnsi="Arial" w:cs="Arial"/>
                <w:lang w:val="en-GB" w:eastAsia="ko-KR"/>
              </w:rPr>
            </w:pPr>
            <w:r w:rsidRPr="00B0605C">
              <w:rPr>
                <w:rFonts w:ascii="Arial" w:eastAsiaTheme="minorEastAsia" w:hAnsi="Arial" w:cs="Arial"/>
                <w:lang w:val="en-GB" w:eastAsia="ko-KR"/>
              </w:rPr>
              <w:t>2,622</w:t>
            </w:r>
          </w:p>
        </w:tc>
        <w:tc>
          <w:tcPr>
            <w:tcW w:w="1409" w:type="dxa"/>
            <w:tcBorders>
              <w:top w:val="nil"/>
              <w:left w:val="nil"/>
              <w:bottom w:val="nil"/>
              <w:right w:val="nil"/>
            </w:tcBorders>
          </w:tcPr>
          <w:p w14:paraId="6CAD726A" w14:textId="77777777" w:rsidR="00BF4BAC" w:rsidRPr="00B0605C" w:rsidRDefault="00BF4BAC" w:rsidP="007D5097">
            <w:pPr>
              <w:jc w:val="right"/>
              <w:rPr>
                <w:rFonts w:ascii="Arial" w:eastAsiaTheme="minorEastAsia" w:hAnsi="Arial" w:cs="Arial"/>
                <w:lang w:val="en-GB" w:eastAsia="ko-KR"/>
              </w:rPr>
            </w:pPr>
            <w:r w:rsidRPr="00B0605C">
              <w:rPr>
                <w:rFonts w:ascii="Arial" w:eastAsiaTheme="minorEastAsia" w:hAnsi="Arial" w:cs="Arial"/>
                <w:lang w:val="en-GB" w:eastAsia="ko-KR"/>
              </w:rPr>
              <w:t>3,833</w:t>
            </w:r>
          </w:p>
        </w:tc>
        <w:tc>
          <w:tcPr>
            <w:tcW w:w="1409" w:type="dxa"/>
            <w:tcBorders>
              <w:top w:val="nil"/>
              <w:left w:val="nil"/>
              <w:bottom w:val="nil"/>
              <w:right w:val="nil"/>
            </w:tcBorders>
          </w:tcPr>
          <w:p w14:paraId="550B4FEE" w14:textId="77777777" w:rsidR="00BF4BAC" w:rsidRPr="00B0605C" w:rsidRDefault="00BF4BAC" w:rsidP="007D5097">
            <w:pPr>
              <w:jc w:val="right"/>
              <w:rPr>
                <w:rFonts w:ascii="Arial" w:eastAsiaTheme="minorEastAsia" w:hAnsi="Arial" w:cs="Arial"/>
                <w:lang w:val="en-GB" w:eastAsia="ko-KR"/>
              </w:rPr>
            </w:pPr>
            <w:r w:rsidRPr="00B0605C">
              <w:rPr>
                <w:rFonts w:ascii="Arial" w:eastAsiaTheme="minorEastAsia" w:hAnsi="Arial" w:cs="Arial"/>
                <w:lang w:val="en-GB" w:eastAsia="ko-KR"/>
              </w:rPr>
              <w:t>3,144</w:t>
            </w:r>
          </w:p>
        </w:tc>
      </w:tr>
      <w:tr w:rsidR="00BF4BAC" w:rsidRPr="00B0605C" w14:paraId="63552E7C" w14:textId="77777777" w:rsidTr="00BF4BAC">
        <w:trPr>
          <w:trHeight w:val="188"/>
          <w:jc w:val="center"/>
        </w:trPr>
        <w:tc>
          <w:tcPr>
            <w:tcW w:w="3153" w:type="dxa"/>
            <w:tcBorders>
              <w:top w:val="nil"/>
              <w:left w:val="nil"/>
              <w:bottom w:val="nil"/>
              <w:right w:val="nil"/>
            </w:tcBorders>
          </w:tcPr>
          <w:p w14:paraId="42F9AED0" w14:textId="61C69F28" w:rsidR="00BF4BAC" w:rsidRPr="00B0605C" w:rsidRDefault="00BF4BAC" w:rsidP="006A1AF8">
            <w:pPr>
              <w:rPr>
                <w:rFonts w:ascii="Arial" w:eastAsiaTheme="minorEastAsia" w:hAnsi="Arial" w:cs="Arial"/>
                <w:lang w:val="en-GB" w:eastAsia="ko-KR"/>
              </w:rPr>
            </w:pPr>
            <w:r w:rsidRPr="00B0605C">
              <w:rPr>
                <w:rFonts w:ascii="Arial" w:eastAsiaTheme="minorEastAsia" w:hAnsi="Arial" w:cs="Arial"/>
                <w:lang w:val="en-GB" w:eastAsia="ko-KR"/>
              </w:rPr>
              <w:t>Net Income</w:t>
            </w:r>
          </w:p>
        </w:tc>
        <w:tc>
          <w:tcPr>
            <w:tcW w:w="1409" w:type="dxa"/>
            <w:tcBorders>
              <w:top w:val="nil"/>
              <w:left w:val="nil"/>
              <w:bottom w:val="nil"/>
              <w:right w:val="nil"/>
            </w:tcBorders>
          </w:tcPr>
          <w:p w14:paraId="7FB437A7" w14:textId="77777777" w:rsidR="00BF4BAC" w:rsidRPr="00B0605C" w:rsidRDefault="00BF4BAC" w:rsidP="007D5097">
            <w:pPr>
              <w:jc w:val="right"/>
              <w:rPr>
                <w:rFonts w:ascii="Arial" w:eastAsiaTheme="minorEastAsia" w:hAnsi="Arial" w:cs="Arial"/>
                <w:lang w:val="en-GB" w:eastAsia="ko-KR"/>
              </w:rPr>
            </w:pPr>
            <w:r w:rsidRPr="00B0605C">
              <w:rPr>
                <w:rFonts w:ascii="Arial" w:eastAsiaTheme="minorEastAsia" w:hAnsi="Arial" w:cs="Arial"/>
                <w:lang w:val="en-GB" w:eastAsia="ko-KR"/>
              </w:rPr>
              <w:t>2,016</w:t>
            </w:r>
          </w:p>
        </w:tc>
        <w:tc>
          <w:tcPr>
            <w:tcW w:w="1409" w:type="dxa"/>
            <w:tcBorders>
              <w:top w:val="nil"/>
              <w:left w:val="nil"/>
              <w:bottom w:val="nil"/>
              <w:right w:val="nil"/>
            </w:tcBorders>
          </w:tcPr>
          <w:p w14:paraId="3FC7F68E" w14:textId="77777777" w:rsidR="00BF4BAC" w:rsidRPr="00B0605C" w:rsidRDefault="00BF4BAC" w:rsidP="007D5097">
            <w:pPr>
              <w:jc w:val="right"/>
              <w:rPr>
                <w:rFonts w:ascii="Arial" w:eastAsiaTheme="minorEastAsia" w:hAnsi="Arial" w:cs="Arial"/>
                <w:lang w:val="en-GB" w:eastAsia="ko-KR"/>
              </w:rPr>
            </w:pPr>
            <w:r w:rsidRPr="00B0605C">
              <w:rPr>
                <w:rFonts w:ascii="Arial" w:eastAsiaTheme="minorEastAsia" w:hAnsi="Arial" w:cs="Arial"/>
                <w:lang w:val="en-GB" w:eastAsia="ko-KR"/>
              </w:rPr>
              <w:t>2,386</w:t>
            </w:r>
          </w:p>
        </w:tc>
        <w:tc>
          <w:tcPr>
            <w:tcW w:w="1409" w:type="dxa"/>
            <w:tcBorders>
              <w:top w:val="nil"/>
              <w:left w:val="nil"/>
              <w:bottom w:val="nil"/>
              <w:right w:val="nil"/>
            </w:tcBorders>
          </w:tcPr>
          <w:p w14:paraId="754A8D35" w14:textId="77777777" w:rsidR="00BF4BAC" w:rsidRPr="00B0605C" w:rsidRDefault="00BF4BAC" w:rsidP="007D5097">
            <w:pPr>
              <w:jc w:val="right"/>
              <w:rPr>
                <w:rFonts w:ascii="Arial" w:eastAsiaTheme="minorEastAsia" w:hAnsi="Arial" w:cs="Arial"/>
                <w:lang w:val="en-GB" w:eastAsia="ko-KR"/>
              </w:rPr>
            </w:pPr>
            <w:r w:rsidRPr="00B0605C">
              <w:rPr>
                <w:rFonts w:ascii="Arial" w:eastAsiaTheme="minorEastAsia" w:hAnsi="Arial" w:cs="Arial"/>
                <w:lang w:val="en-GB" w:eastAsia="ko-KR"/>
              </w:rPr>
              <w:t>3,588</w:t>
            </w:r>
          </w:p>
        </w:tc>
        <w:tc>
          <w:tcPr>
            <w:tcW w:w="1409" w:type="dxa"/>
            <w:tcBorders>
              <w:top w:val="nil"/>
              <w:left w:val="nil"/>
              <w:bottom w:val="nil"/>
              <w:right w:val="nil"/>
            </w:tcBorders>
          </w:tcPr>
          <w:p w14:paraId="48183279" w14:textId="77777777" w:rsidR="00BF4BAC" w:rsidRPr="00B0605C" w:rsidRDefault="00BF4BAC" w:rsidP="007D5097">
            <w:pPr>
              <w:jc w:val="right"/>
              <w:rPr>
                <w:rFonts w:ascii="Arial" w:eastAsiaTheme="minorEastAsia" w:hAnsi="Arial" w:cs="Arial"/>
                <w:lang w:val="en-GB" w:eastAsia="ko-KR"/>
              </w:rPr>
            </w:pPr>
            <w:r w:rsidRPr="00B0605C">
              <w:rPr>
                <w:rFonts w:ascii="Arial" w:eastAsiaTheme="minorEastAsia" w:hAnsi="Arial" w:cs="Arial"/>
                <w:lang w:val="en-GB" w:eastAsia="ko-KR"/>
              </w:rPr>
              <w:t>2,955</w:t>
            </w:r>
          </w:p>
        </w:tc>
      </w:tr>
      <w:tr w:rsidR="00BF4BAC" w:rsidRPr="00B0605C" w14:paraId="063CA217" w14:textId="77777777" w:rsidTr="00BF4BAC">
        <w:trPr>
          <w:trHeight w:val="188"/>
          <w:jc w:val="center"/>
        </w:trPr>
        <w:tc>
          <w:tcPr>
            <w:tcW w:w="3153" w:type="dxa"/>
            <w:tcBorders>
              <w:top w:val="nil"/>
              <w:left w:val="nil"/>
              <w:bottom w:val="single" w:sz="4" w:space="0" w:color="auto"/>
              <w:right w:val="nil"/>
            </w:tcBorders>
          </w:tcPr>
          <w:p w14:paraId="55E545C7" w14:textId="77777777" w:rsidR="00BF4BAC" w:rsidRPr="00B0605C" w:rsidRDefault="00BF4BAC" w:rsidP="007D5097">
            <w:pPr>
              <w:rPr>
                <w:rFonts w:ascii="Arial" w:eastAsiaTheme="minorEastAsia" w:hAnsi="Arial" w:cs="Arial"/>
                <w:lang w:val="en-GB" w:eastAsia="ko-KR"/>
              </w:rPr>
            </w:pPr>
            <w:r w:rsidRPr="00B0605C">
              <w:rPr>
                <w:rFonts w:ascii="Arial" w:eastAsiaTheme="minorEastAsia" w:hAnsi="Arial" w:cs="Arial"/>
                <w:lang w:val="en-GB" w:eastAsia="ko-KR"/>
              </w:rPr>
              <w:t xml:space="preserve">EBITDA </w:t>
            </w:r>
          </w:p>
        </w:tc>
        <w:tc>
          <w:tcPr>
            <w:tcW w:w="1409" w:type="dxa"/>
            <w:tcBorders>
              <w:top w:val="nil"/>
              <w:left w:val="nil"/>
              <w:bottom w:val="nil"/>
              <w:right w:val="nil"/>
            </w:tcBorders>
          </w:tcPr>
          <w:p w14:paraId="57B2D15D" w14:textId="77777777" w:rsidR="00BF4BAC" w:rsidRPr="00B0605C" w:rsidRDefault="00BF4BAC" w:rsidP="007D5097">
            <w:pPr>
              <w:jc w:val="right"/>
              <w:rPr>
                <w:rFonts w:ascii="Arial" w:eastAsiaTheme="minorEastAsia" w:hAnsi="Arial" w:cs="Arial"/>
                <w:lang w:val="en-GB" w:eastAsia="ko-KR"/>
              </w:rPr>
            </w:pPr>
            <w:r w:rsidRPr="00B0605C">
              <w:rPr>
                <w:rFonts w:ascii="Arial" w:eastAsiaTheme="minorEastAsia" w:hAnsi="Arial" w:cs="Arial"/>
                <w:lang w:val="en-GB" w:eastAsia="ko-KR"/>
              </w:rPr>
              <w:t>3,640</w:t>
            </w:r>
          </w:p>
        </w:tc>
        <w:tc>
          <w:tcPr>
            <w:tcW w:w="1409" w:type="dxa"/>
            <w:tcBorders>
              <w:top w:val="nil"/>
              <w:left w:val="nil"/>
              <w:bottom w:val="nil"/>
              <w:right w:val="nil"/>
            </w:tcBorders>
          </w:tcPr>
          <w:p w14:paraId="0216B01C" w14:textId="77777777" w:rsidR="00BF4BAC" w:rsidRPr="00B0605C" w:rsidRDefault="00BF4BAC" w:rsidP="007D5097">
            <w:pPr>
              <w:jc w:val="right"/>
              <w:rPr>
                <w:rFonts w:ascii="Arial" w:eastAsiaTheme="minorEastAsia" w:hAnsi="Arial" w:cs="Arial"/>
                <w:lang w:val="en-GB" w:eastAsia="ko-KR"/>
              </w:rPr>
            </w:pPr>
            <w:r w:rsidRPr="00B0605C">
              <w:rPr>
                <w:rFonts w:ascii="Arial" w:eastAsiaTheme="minorEastAsia" w:hAnsi="Arial" w:cs="Arial"/>
                <w:lang w:val="en-GB" w:eastAsia="ko-KR"/>
              </w:rPr>
              <w:t>3,925</w:t>
            </w:r>
          </w:p>
        </w:tc>
        <w:tc>
          <w:tcPr>
            <w:tcW w:w="1409" w:type="dxa"/>
            <w:tcBorders>
              <w:top w:val="nil"/>
              <w:left w:val="nil"/>
              <w:bottom w:val="nil"/>
              <w:right w:val="nil"/>
            </w:tcBorders>
          </w:tcPr>
          <w:p w14:paraId="3B6ED50C" w14:textId="77777777" w:rsidR="00BF4BAC" w:rsidRPr="00B0605C" w:rsidRDefault="00BF4BAC" w:rsidP="007D5097">
            <w:pPr>
              <w:jc w:val="right"/>
              <w:rPr>
                <w:rFonts w:ascii="Arial" w:eastAsiaTheme="minorEastAsia" w:hAnsi="Arial" w:cs="Arial"/>
                <w:lang w:val="en-GB" w:eastAsia="ko-KR"/>
              </w:rPr>
            </w:pPr>
            <w:r w:rsidRPr="00B0605C">
              <w:rPr>
                <w:rFonts w:ascii="Arial" w:eastAsiaTheme="minorEastAsia" w:hAnsi="Arial" w:cs="Arial"/>
                <w:lang w:val="en-GB" w:eastAsia="ko-KR"/>
              </w:rPr>
              <w:t>5,138</w:t>
            </w:r>
          </w:p>
        </w:tc>
        <w:tc>
          <w:tcPr>
            <w:tcW w:w="1409" w:type="dxa"/>
            <w:tcBorders>
              <w:top w:val="nil"/>
              <w:left w:val="nil"/>
              <w:bottom w:val="nil"/>
              <w:right w:val="nil"/>
            </w:tcBorders>
          </w:tcPr>
          <w:p w14:paraId="25F01404" w14:textId="77777777" w:rsidR="00BF4BAC" w:rsidRPr="00B0605C" w:rsidRDefault="00BF4BAC" w:rsidP="007D5097">
            <w:pPr>
              <w:jc w:val="right"/>
              <w:rPr>
                <w:rFonts w:ascii="Arial" w:eastAsiaTheme="minorEastAsia" w:hAnsi="Arial" w:cs="Arial"/>
                <w:lang w:val="en-GB" w:eastAsia="ko-KR"/>
              </w:rPr>
            </w:pPr>
            <w:r w:rsidRPr="00B0605C">
              <w:rPr>
                <w:rFonts w:ascii="Arial" w:eastAsiaTheme="minorEastAsia" w:hAnsi="Arial" w:cs="Arial"/>
                <w:lang w:val="en-GB" w:eastAsia="ko-KR"/>
              </w:rPr>
              <w:t>4,422</w:t>
            </w:r>
          </w:p>
        </w:tc>
      </w:tr>
      <w:tr w:rsidR="00BF4BAC" w:rsidRPr="00B0605C" w14:paraId="0AB472DD" w14:textId="77777777" w:rsidTr="00BF4BAC">
        <w:trPr>
          <w:trHeight w:val="177"/>
          <w:jc w:val="center"/>
        </w:trPr>
        <w:tc>
          <w:tcPr>
            <w:tcW w:w="3153" w:type="dxa"/>
            <w:tcBorders>
              <w:top w:val="single" w:sz="4" w:space="0" w:color="auto"/>
              <w:left w:val="nil"/>
              <w:bottom w:val="single" w:sz="4" w:space="0" w:color="auto"/>
              <w:right w:val="nil"/>
            </w:tcBorders>
          </w:tcPr>
          <w:p w14:paraId="5F230E84" w14:textId="77777777" w:rsidR="00BF4BAC" w:rsidRPr="00B0605C" w:rsidRDefault="00BF4BAC" w:rsidP="007D5097">
            <w:pPr>
              <w:rPr>
                <w:rFonts w:ascii="Arial" w:eastAsiaTheme="minorEastAsia" w:hAnsi="Arial" w:cs="Arial"/>
                <w:lang w:val="en-GB" w:eastAsia="ko-KR"/>
              </w:rPr>
            </w:pPr>
            <w:r w:rsidRPr="00B0605C">
              <w:rPr>
                <w:rFonts w:ascii="Arial" w:eastAsiaTheme="minorEastAsia" w:hAnsi="Arial" w:cs="Arial"/>
                <w:b/>
                <w:lang w:val="en-GB" w:eastAsia="ko-KR"/>
              </w:rPr>
              <w:t xml:space="preserve">Balance Sheet Summary </w:t>
            </w:r>
          </w:p>
        </w:tc>
        <w:tc>
          <w:tcPr>
            <w:tcW w:w="1409" w:type="dxa"/>
            <w:tcBorders>
              <w:top w:val="single" w:sz="4" w:space="0" w:color="auto"/>
              <w:left w:val="nil"/>
              <w:bottom w:val="single" w:sz="4" w:space="0" w:color="auto"/>
              <w:right w:val="nil"/>
            </w:tcBorders>
          </w:tcPr>
          <w:p w14:paraId="5EF0C6B4" w14:textId="77777777" w:rsidR="00BF4BAC" w:rsidRPr="00B0605C" w:rsidRDefault="00BF4BAC" w:rsidP="007D5097">
            <w:pPr>
              <w:jc w:val="right"/>
              <w:rPr>
                <w:rFonts w:ascii="Arial" w:eastAsiaTheme="minorEastAsia" w:hAnsi="Arial" w:cs="Arial"/>
                <w:lang w:val="en-GB" w:eastAsia="ko-KR"/>
              </w:rPr>
            </w:pPr>
          </w:p>
        </w:tc>
        <w:tc>
          <w:tcPr>
            <w:tcW w:w="1409" w:type="dxa"/>
            <w:tcBorders>
              <w:top w:val="single" w:sz="4" w:space="0" w:color="auto"/>
              <w:left w:val="nil"/>
              <w:bottom w:val="single" w:sz="4" w:space="0" w:color="auto"/>
              <w:right w:val="nil"/>
            </w:tcBorders>
          </w:tcPr>
          <w:p w14:paraId="5603BEAE" w14:textId="77777777" w:rsidR="00BF4BAC" w:rsidRPr="00B0605C" w:rsidRDefault="00BF4BAC" w:rsidP="007D5097">
            <w:pPr>
              <w:jc w:val="right"/>
              <w:rPr>
                <w:rFonts w:ascii="Arial" w:eastAsiaTheme="minorEastAsia" w:hAnsi="Arial" w:cs="Arial"/>
                <w:lang w:val="en-GB" w:eastAsia="ko-KR"/>
              </w:rPr>
            </w:pPr>
          </w:p>
        </w:tc>
        <w:tc>
          <w:tcPr>
            <w:tcW w:w="1409" w:type="dxa"/>
            <w:tcBorders>
              <w:top w:val="single" w:sz="4" w:space="0" w:color="auto"/>
              <w:left w:val="nil"/>
              <w:bottom w:val="single" w:sz="4" w:space="0" w:color="auto"/>
              <w:right w:val="nil"/>
            </w:tcBorders>
          </w:tcPr>
          <w:p w14:paraId="68B70A80" w14:textId="77777777" w:rsidR="00BF4BAC" w:rsidRPr="00B0605C" w:rsidRDefault="00BF4BAC" w:rsidP="007D5097">
            <w:pPr>
              <w:jc w:val="right"/>
              <w:rPr>
                <w:rFonts w:ascii="Arial" w:eastAsiaTheme="minorEastAsia" w:hAnsi="Arial" w:cs="Arial"/>
                <w:highlight w:val="cyan"/>
                <w:lang w:val="en-GB" w:eastAsia="ko-KR"/>
              </w:rPr>
            </w:pPr>
          </w:p>
        </w:tc>
        <w:tc>
          <w:tcPr>
            <w:tcW w:w="1409" w:type="dxa"/>
            <w:tcBorders>
              <w:top w:val="single" w:sz="4" w:space="0" w:color="auto"/>
              <w:left w:val="nil"/>
              <w:bottom w:val="single" w:sz="4" w:space="0" w:color="auto"/>
              <w:right w:val="nil"/>
            </w:tcBorders>
          </w:tcPr>
          <w:p w14:paraId="511AC2EA" w14:textId="77777777" w:rsidR="00BF4BAC" w:rsidRPr="00B0605C" w:rsidRDefault="00BF4BAC" w:rsidP="007D5097">
            <w:pPr>
              <w:jc w:val="right"/>
              <w:rPr>
                <w:rFonts w:ascii="Arial" w:eastAsiaTheme="minorEastAsia" w:hAnsi="Arial" w:cs="Arial"/>
                <w:highlight w:val="cyan"/>
                <w:lang w:val="en-GB" w:eastAsia="ko-KR"/>
              </w:rPr>
            </w:pPr>
          </w:p>
        </w:tc>
      </w:tr>
      <w:tr w:rsidR="00BF4BAC" w:rsidRPr="00B0605C" w14:paraId="708CF835" w14:textId="77777777" w:rsidTr="00BF4BAC">
        <w:trPr>
          <w:trHeight w:val="188"/>
          <w:jc w:val="center"/>
        </w:trPr>
        <w:tc>
          <w:tcPr>
            <w:tcW w:w="3153" w:type="dxa"/>
            <w:tcBorders>
              <w:left w:val="nil"/>
              <w:right w:val="nil"/>
            </w:tcBorders>
          </w:tcPr>
          <w:p w14:paraId="47A73252" w14:textId="72200006" w:rsidR="00BF4BAC" w:rsidRPr="00B0605C" w:rsidRDefault="00BF4BAC" w:rsidP="006A1AF8">
            <w:pPr>
              <w:rPr>
                <w:rFonts w:ascii="Arial" w:eastAsiaTheme="minorEastAsia" w:hAnsi="Arial" w:cs="Arial"/>
                <w:lang w:val="en-GB" w:eastAsia="ko-KR"/>
              </w:rPr>
            </w:pPr>
            <w:r w:rsidRPr="00B0605C">
              <w:rPr>
                <w:rFonts w:ascii="Arial" w:eastAsiaTheme="minorEastAsia" w:hAnsi="Arial" w:cs="Arial"/>
                <w:lang w:val="en-GB" w:eastAsia="ko-KR"/>
              </w:rPr>
              <w:t>Cash &amp; Short-term Investments</w:t>
            </w:r>
          </w:p>
        </w:tc>
        <w:tc>
          <w:tcPr>
            <w:tcW w:w="1409" w:type="dxa"/>
            <w:tcBorders>
              <w:top w:val="nil"/>
              <w:left w:val="nil"/>
              <w:bottom w:val="nil"/>
              <w:right w:val="nil"/>
            </w:tcBorders>
          </w:tcPr>
          <w:p w14:paraId="744249CE" w14:textId="77777777" w:rsidR="00BF4BAC" w:rsidRPr="00B0605C" w:rsidRDefault="00BF4BAC" w:rsidP="007D5097">
            <w:pPr>
              <w:jc w:val="right"/>
              <w:rPr>
                <w:rFonts w:ascii="Arial" w:eastAsiaTheme="minorEastAsia" w:hAnsi="Arial" w:cs="Arial"/>
                <w:lang w:val="en-GB" w:eastAsia="ko-KR"/>
              </w:rPr>
            </w:pPr>
            <w:r w:rsidRPr="00B0605C">
              <w:rPr>
                <w:rFonts w:ascii="Arial" w:eastAsiaTheme="minorEastAsia" w:hAnsi="Arial" w:cs="Arial"/>
                <w:lang w:val="en-GB" w:eastAsia="ko-KR"/>
              </w:rPr>
              <w:t>2,128</w:t>
            </w:r>
          </w:p>
        </w:tc>
        <w:tc>
          <w:tcPr>
            <w:tcW w:w="1409" w:type="dxa"/>
            <w:tcBorders>
              <w:top w:val="nil"/>
              <w:left w:val="nil"/>
              <w:bottom w:val="nil"/>
              <w:right w:val="nil"/>
            </w:tcBorders>
          </w:tcPr>
          <w:p w14:paraId="2E1651C2" w14:textId="77777777" w:rsidR="00BF4BAC" w:rsidRPr="00B0605C" w:rsidRDefault="00BF4BAC" w:rsidP="007D5097">
            <w:pPr>
              <w:jc w:val="right"/>
              <w:rPr>
                <w:rFonts w:ascii="Arial" w:eastAsiaTheme="minorEastAsia" w:hAnsi="Arial" w:cs="Arial"/>
                <w:lang w:val="en-GB" w:eastAsia="ko-KR"/>
              </w:rPr>
            </w:pPr>
            <w:r w:rsidRPr="00B0605C">
              <w:rPr>
                <w:rFonts w:ascii="Arial" w:eastAsiaTheme="minorEastAsia" w:hAnsi="Arial" w:cs="Arial"/>
                <w:lang w:val="en-GB" w:eastAsia="ko-KR"/>
              </w:rPr>
              <w:t>2,179</w:t>
            </w:r>
          </w:p>
        </w:tc>
        <w:tc>
          <w:tcPr>
            <w:tcW w:w="1409" w:type="dxa"/>
            <w:tcBorders>
              <w:top w:val="nil"/>
              <w:left w:val="nil"/>
              <w:bottom w:val="nil"/>
              <w:right w:val="nil"/>
            </w:tcBorders>
          </w:tcPr>
          <w:p w14:paraId="294B44F0" w14:textId="77777777" w:rsidR="00BF4BAC" w:rsidRPr="00B0605C" w:rsidRDefault="00BF4BAC" w:rsidP="007D5097">
            <w:pPr>
              <w:jc w:val="right"/>
              <w:rPr>
                <w:rFonts w:ascii="Arial" w:eastAsiaTheme="minorEastAsia" w:hAnsi="Arial" w:cs="Arial"/>
                <w:lang w:val="en-GB" w:eastAsia="ko-KR"/>
              </w:rPr>
            </w:pPr>
            <w:r w:rsidRPr="00B0605C">
              <w:rPr>
                <w:rFonts w:ascii="Arial" w:eastAsiaTheme="minorEastAsia" w:hAnsi="Arial" w:cs="Arial"/>
                <w:lang w:val="en-GB" w:eastAsia="ko-KR"/>
              </w:rPr>
              <w:t>3,506</w:t>
            </w:r>
          </w:p>
        </w:tc>
        <w:tc>
          <w:tcPr>
            <w:tcW w:w="1409" w:type="dxa"/>
            <w:tcBorders>
              <w:top w:val="nil"/>
              <w:left w:val="nil"/>
              <w:bottom w:val="nil"/>
              <w:right w:val="nil"/>
            </w:tcBorders>
          </w:tcPr>
          <w:p w14:paraId="47A06D46" w14:textId="77777777" w:rsidR="00BF4BAC" w:rsidRPr="00B0605C" w:rsidRDefault="00BF4BAC" w:rsidP="007D5097">
            <w:pPr>
              <w:jc w:val="right"/>
              <w:rPr>
                <w:rFonts w:ascii="Arial" w:eastAsiaTheme="minorEastAsia" w:hAnsi="Arial" w:cs="Arial"/>
                <w:lang w:val="en-GB" w:eastAsia="ko-KR"/>
              </w:rPr>
            </w:pPr>
            <w:r w:rsidRPr="00B0605C">
              <w:rPr>
                <w:rFonts w:ascii="Arial" w:eastAsiaTheme="minorEastAsia" w:hAnsi="Arial" w:cs="Arial"/>
                <w:lang w:val="en-GB" w:eastAsia="ko-KR"/>
              </w:rPr>
              <w:t>3,600</w:t>
            </w:r>
          </w:p>
        </w:tc>
      </w:tr>
      <w:tr w:rsidR="00BF4BAC" w:rsidRPr="00B0605C" w14:paraId="768B6F8E" w14:textId="77777777" w:rsidTr="00BF4BAC">
        <w:trPr>
          <w:trHeight w:val="188"/>
          <w:jc w:val="center"/>
        </w:trPr>
        <w:tc>
          <w:tcPr>
            <w:tcW w:w="3153" w:type="dxa"/>
            <w:tcBorders>
              <w:left w:val="nil"/>
              <w:right w:val="nil"/>
            </w:tcBorders>
          </w:tcPr>
          <w:p w14:paraId="6B1B0B07" w14:textId="77777777" w:rsidR="00BF4BAC" w:rsidRPr="00B0605C" w:rsidRDefault="00BF4BAC" w:rsidP="007D5097">
            <w:pPr>
              <w:rPr>
                <w:rFonts w:ascii="Arial" w:eastAsiaTheme="minorEastAsia" w:hAnsi="Arial" w:cs="Arial"/>
                <w:lang w:val="en-GB" w:eastAsia="ko-KR"/>
              </w:rPr>
            </w:pPr>
            <w:r w:rsidRPr="00B0605C">
              <w:rPr>
                <w:rFonts w:ascii="Arial" w:eastAsiaTheme="minorEastAsia" w:hAnsi="Arial" w:cs="Arial"/>
                <w:lang w:val="en-GB" w:eastAsia="ko-KR"/>
              </w:rPr>
              <w:t>Total Current Assets</w:t>
            </w:r>
          </w:p>
        </w:tc>
        <w:tc>
          <w:tcPr>
            <w:tcW w:w="1409" w:type="dxa"/>
            <w:tcBorders>
              <w:top w:val="nil"/>
              <w:left w:val="nil"/>
              <w:bottom w:val="nil"/>
              <w:right w:val="nil"/>
            </w:tcBorders>
          </w:tcPr>
          <w:p w14:paraId="0782FC77" w14:textId="77777777" w:rsidR="00BF4BAC" w:rsidRPr="00B0605C" w:rsidRDefault="00BF4BAC" w:rsidP="007D5097">
            <w:pPr>
              <w:jc w:val="right"/>
              <w:rPr>
                <w:rFonts w:ascii="Arial" w:eastAsiaTheme="minorEastAsia" w:hAnsi="Arial" w:cs="Arial"/>
                <w:lang w:val="en-GB" w:eastAsia="ko-KR"/>
              </w:rPr>
            </w:pPr>
            <w:r w:rsidRPr="00B0605C">
              <w:rPr>
                <w:rFonts w:ascii="Arial" w:eastAsiaTheme="minorEastAsia" w:hAnsi="Arial" w:cs="Arial"/>
                <w:lang w:val="en-GB" w:eastAsia="ko-KR"/>
              </w:rPr>
              <w:t>3,098</w:t>
            </w:r>
          </w:p>
        </w:tc>
        <w:tc>
          <w:tcPr>
            <w:tcW w:w="1409" w:type="dxa"/>
            <w:tcBorders>
              <w:top w:val="nil"/>
              <w:left w:val="nil"/>
              <w:bottom w:val="nil"/>
              <w:right w:val="nil"/>
            </w:tcBorders>
          </w:tcPr>
          <w:p w14:paraId="471C0A84" w14:textId="77777777" w:rsidR="00BF4BAC" w:rsidRPr="00B0605C" w:rsidRDefault="00BF4BAC" w:rsidP="007D5097">
            <w:pPr>
              <w:jc w:val="right"/>
              <w:rPr>
                <w:rFonts w:ascii="Arial" w:eastAsiaTheme="minorEastAsia" w:hAnsi="Arial" w:cs="Arial"/>
                <w:lang w:val="en-GB" w:eastAsia="ko-KR"/>
              </w:rPr>
            </w:pPr>
            <w:r w:rsidRPr="00B0605C">
              <w:rPr>
                <w:rFonts w:ascii="Arial" w:eastAsiaTheme="minorEastAsia" w:hAnsi="Arial" w:cs="Arial"/>
                <w:lang w:val="en-GB" w:eastAsia="ko-KR"/>
              </w:rPr>
              <w:t>3,609</w:t>
            </w:r>
          </w:p>
        </w:tc>
        <w:tc>
          <w:tcPr>
            <w:tcW w:w="1409" w:type="dxa"/>
            <w:tcBorders>
              <w:top w:val="nil"/>
              <w:left w:val="nil"/>
              <w:bottom w:val="nil"/>
              <w:right w:val="nil"/>
            </w:tcBorders>
          </w:tcPr>
          <w:p w14:paraId="19CC4704" w14:textId="77777777" w:rsidR="00BF4BAC" w:rsidRPr="00B0605C" w:rsidRDefault="00BF4BAC" w:rsidP="007D5097">
            <w:pPr>
              <w:jc w:val="right"/>
              <w:rPr>
                <w:rFonts w:ascii="Arial" w:eastAsiaTheme="minorEastAsia" w:hAnsi="Arial" w:cs="Arial"/>
                <w:lang w:val="en-GB" w:eastAsia="ko-KR"/>
              </w:rPr>
            </w:pPr>
            <w:r w:rsidRPr="00B0605C">
              <w:rPr>
                <w:rFonts w:ascii="Arial" w:eastAsiaTheme="minorEastAsia" w:hAnsi="Arial" w:cs="Arial"/>
                <w:lang w:val="en-GB" w:eastAsia="ko-KR"/>
              </w:rPr>
              <w:t>5,190</w:t>
            </w:r>
          </w:p>
        </w:tc>
        <w:tc>
          <w:tcPr>
            <w:tcW w:w="1409" w:type="dxa"/>
            <w:tcBorders>
              <w:top w:val="nil"/>
              <w:left w:val="nil"/>
              <w:bottom w:val="nil"/>
              <w:right w:val="nil"/>
            </w:tcBorders>
          </w:tcPr>
          <w:p w14:paraId="4CCD2EDB" w14:textId="77777777" w:rsidR="00BF4BAC" w:rsidRPr="00B0605C" w:rsidRDefault="00BF4BAC" w:rsidP="007D5097">
            <w:pPr>
              <w:jc w:val="right"/>
              <w:rPr>
                <w:rFonts w:ascii="Arial" w:eastAsiaTheme="minorEastAsia" w:hAnsi="Arial" w:cs="Arial"/>
                <w:lang w:val="en-GB" w:eastAsia="ko-KR"/>
              </w:rPr>
            </w:pPr>
            <w:r w:rsidRPr="00B0605C">
              <w:rPr>
                <w:rFonts w:ascii="Arial" w:eastAsiaTheme="minorEastAsia" w:hAnsi="Arial" w:cs="Arial"/>
                <w:lang w:val="en-GB" w:eastAsia="ko-KR"/>
              </w:rPr>
              <w:t>5,516</w:t>
            </w:r>
          </w:p>
        </w:tc>
      </w:tr>
      <w:tr w:rsidR="00BF4BAC" w:rsidRPr="00B0605C" w14:paraId="45831FC5" w14:textId="77777777" w:rsidTr="00BF4BAC">
        <w:trPr>
          <w:trHeight w:val="188"/>
          <w:jc w:val="center"/>
        </w:trPr>
        <w:tc>
          <w:tcPr>
            <w:tcW w:w="3153" w:type="dxa"/>
            <w:tcBorders>
              <w:left w:val="nil"/>
              <w:right w:val="nil"/>
            </w:tcBorders>
          </w:tcPr>
          <w:p w14:paraId="5E439F48" w14:textId="77777777" w:rsidR="00BF4BAC" w:rsidRPr="00B0605C" w:rsidRDefault="00BF4BAC" w:rsidP="007D5097">
            <w:pPr>
              <w:rPr>
                <w:rFonts w:ascii="Arial" w:eastAsiaTheme="minorEastAsia" w:hAnsi="Arial" w:cs="Arial"/>
                <w:lang w:val="en-GB" w:eastAsia="ko-KR"/>
              </w:rPr>
            </w:pPr>
            <w:r w:rsidRPr="00B0605C">
              <w:rPr>
                <w:rFonts w:ascii="Arial" w:eastAsiaTheme="minorEastAsia" w:hAnsi="Arial" w:cs="Arial"/>
                <w:lang w:val="en-GB" w:eastAsia="ko-KR"/>
              </w:rPr>
              <w:t>Total Assets</w:t>
            </w:r>
          </w:p>
        </w:tc>
        <w:tc>
          <w:tcPr>
            <w:tcW w:w="1409" w:type="dxa"/>
            <w:tcBorders>
              <w:top w:val="nil"/>
              <w:left w:val="nil"/>
              <w:bottom w:val="nil"/>
              <w:right w:val="nil"/>
            </w:tcBorders>
          </w:tcPr>
          <w:p w14:paraId="6342815E" w14:textId="77777777" w:rsidR="00BF4BAC" w:rsidRPr="00B0605C" w:rsidRDefault="00BF4BAC" w:rsidP="007D5097">
            <w:pPr>
              <w:jc w:val="right"/>
              <w:rPr>
                <w:rFonts w:ascii="Arial" w:eastAsiaTheme="minorEastAsia" w:hAnsi="Arial" w:cs="Arial"/>
                <w:lang w:val="en-GB" w:eastAsia="ko-KR"/>
              </w:rPr>
            </w:pPr>
            <w:r w:rsidRPr="00B0605C">
              <w:rPr>
                <w:rFonts w:ascii="Arial" w:eastAsiaTheme="minorEastAsia" w:hAnsi="Arial" w:cs="Arial"/>
                <w:lang w:val="en-GB" w:eastAsia="ko-KR"/>
              </w:rPr>
              <w:t>20,469</w:t>
            </w:r>
          </w:p>
        </w:tc>
        <w:tc>
          <w:tcPr>
            <w:tcW w:w="1409" w:type="dxa"/>
            <w:tcBorders>
              <w:top w:val="nil"/>
              <w:left w:val="nil"/>
              <w:bottom w:val="nil"/>
              <w:right w:val="nil"/>
            </w:tcBorders>
          </w:tcPr>
          <w:p w14:paraId="0969E8CA" w14:textId="77777777" w:rsidR="00BF4BAC" w:rsidRPr="00B0605C" w:rsidRDefault="00BF4BAC" w:rsidP="007D5097">
            <w:pPr>
              <w:jc w:val="right"/>
              <w:rPr>
                <w:rFonts w:ascii="Arial" w:eastAsiaTheme="minorEastAsia" w:hAnsi="Arial" w:cs="Arial"/>
                <w:lang w:val="en-GB" w:eastAsia="ko-KR"/>
              </w:rPr>
            </w:pPr>
            <w:r w:rsidRPr="00B0605C">
              <w:rPr>
                <w:rFonts w:ascii="Arial" w:eastAsiaTheme="minorEastAsia" w:hAnsi="Arial" w:cs="Arial"/>
                <w:lang w:val="en-GB" w:eastAsia="ko-KR"/>
              </w:rPr>
              <w:t>20,987</w:t>
            </w:r>
          </w:p>
        </w:tc>
        <w:tc>
          <w:tcPr>
            <w:tcW w:w="1409" w:type="dxa"/>
            <w:tcBorders>
              <w:top w:val="nil"/>
              <w:left w:val="nil"/>
              <w:bottom w:val="nil"/>
              <w:right w:val="nil"/>
            </w:tcBorders>
          </w:tcPr>
          <w:p w14:paraId="3F14479A" w14:textId="77777777" w:rsidR="00BF4BAC" w:rsidRPr="00B0605C" w:rsidRDefault="00BF4BAC" w:rsidP="007D5097">
            <w:pPr>
              <w:jc w:val="right"/>
              <w:rPr>
                <w:rFonts w:ascii="Arial" w:eastAsiaTheme="minorEastAsia" w:hAnsi="Arial" w:cs="Arial"/>
                <w:lang w:val="en-GB" w:eastAsia="ko-KR"/>
              </w:rPr>
            </w:pPr>
            <w:r w:rsidRPr="00B0605C">
              <w:rPr>
                <w:rFonts w:ascii="Arial" w:eastAsiaTheme="minorEastAsia" w:hAnsi="Arial" w:cs="Arial"/>
                <w:lang w:val="en-GB" w:eastAsia="ko-KR"/>
              </w:rPr>
              <w:t>22,362</w:t>
            </w:r>
          </w:p>
        </w:tc>
        <w:tc>
          <w:tcPr>
            <w:tcW w:w="1409" w:type="dxa"/>
            <w:tcBorders>
              <w:top w:val="nil"/>
              <w:left w:val="nil"/>
              <w:bottom w:val="nil"/>
              <w:right w:val="nil"/>
            </w:tcBorders>
          </w:tcPr>
          <w:p w14:paraId="080BBDF5" w14:textId="77777777" w:rsidR="00BF4BAC" w:rsidRPr="00B0605C" w:rsidRDefault="00BF4BAC" w:rsidP="007D5097">
            <w:pPr>
              <w:jc w:val="right"/>
              <w:rPr>
                <w:rFonts w:ascii="Arial" w:eastAsiaTheme="minorEastAsia" w:hAnsi="Arial" w:cs="Arial"/>
                <w:lang w:val="en-GB" w:eastAsia="ko-KR"/>
              </w:rPr>
            </w:pPr>
            <w:r w:rsidRPr="00B0605C">
              <w:rPr>
                <w:rFonts w:ascii="Arial" w:eastAsiaTheme="minorEastAsia" w:hAnsi="Arial" w:cs="Arial"/>
                <w:lang w:val="en-GB" w:eastAsia="ko-KR"/>
              </w:rPr>
              <w:t>22,724</w:t>
            </w:r>
          </w:p>
        </w:tc>
      </w:tr>
      <w:tr w:rsidR="00BF4BAC" w:rsidRPr="00B0605C" w14:paraId="71A5F896" w14:textId="77777777" w:rsidTr="00BF4BAC">
        <w:trPr>
          <w:trHeight w:val="188"/>
          <w:jc w:val="center"/>
        </w:trPr>
        <w:tc>
          <w:tcPr>
            <w:tcW w:w="3153" w:type="dxa"/>
            <w:tcBorders>
              <w:left w:val="nil"/>
              <w:right w:val="nil"/>
            </w:tcBorders>
          </w:tcPr>
          <w:p w14:paraId="52669225" w14:textId="1F46C0AB" w:rsidR="00BF4BAC" w:rsidRPr="00B0605C" w:rsidRDefault="00BF4BAC" w:rsidP="006A1AF8">
            <w:pPr>
              <w:rPr>
                <w:rFonts w:ascii="Arial" w:eastAsiaTheme="minorEastAsia" w:hAnsi="Arial" w:cs="Arial"/>
                <w:lang w:val="en-GB" w:eastAsia="ko-KR"/>
              </w:rPr>
            </w:pPr>
            <w:r w:rsidRPr="00B0605C">
              <w:rPr>
                <w:rFonts w:ascii="Arial" w:eastAsiaTheme="minorEastAsia" w:hAnsi="Arial" w:cs="Arial"/>
                <w:lang w:val="en-GB" w:eastAsia="ko-KR"/>
              </w:rPr>
              <w:t>Long-</w:t>
            </w:r>
            <w:r w:rsidR="006A1AF8" w:rsidRPr="00B0605C">
              <w:rPr>
                <w:rFonts w:ascii="Arial" w:eastAsiaTheme="minorEastAsia" w:hAnsi="Arial" w:cs="Arial"/>
                <w:lang w:val="en-GB" w:eastAsia="ko-KR"/>
              </w:rPr>
              <w:t>t</w:t>
            </w:r>
            <w:r w:rsidRPr="00B0605C">
              <w:rPr>
                <w:rFonts w:ascii="Arial" w:eastAsiaTheme="minorEastAsia" w:hAnsi="Arial" w:cs="Arial"/>
                <w:lang w:val="en-GB" w:eastAsia="ko-KR"/>
              </w:rPr>
              <w:t>erm Debt</w:t>
            </w:r>
          </w:p>
        </w:tc>
        <w:tc>
          <w:tcPr>
            <w:tcW w:w="1409" w:type="dxa"/>
            <w:tcBorders>
              <w:top w:val="nil"/>
              <w:left w:val="nil"/>
              <w:bottom w:val="nil"/>
              <w:right w:val="nil"/>
            </w:tcBorders>
          </w:tcPr>
          <w:p w14:paraId="44017D84" w14:textId="77777777" w:rsidR="00BF4BAC" w:rsidRPr="00B0605C" w:rsidRDefault="00BF4BAC" w:rsidP="007D5097">
            <w:pPr>
              <w:jc w:val="right"/>
              <w:rPr>
                <w:rFonts w:ascii="Arial" w:eastAsiaTheme="minorEastAsia" w:hAnsi="Arial" w:cs="Arial"/>
                <w:lang w:val="en-GB" w:eastAsia="ko-KR"/>
              </w:rPr>
            </w:pPr>
            <w:r w:rsidRPr="00B0605C">
              <w:rPr>
                <w:rFonts w:ascii="Arial" w:eastAsiaTheme="minorEastAsia" w:hAnsi="Arial" w:cs="Arial"/>
                <w:lang w:val="en-GB" w:eastAsia="ko-KR"/>
              </w:rPr>
              <w:t>9,428</w:t>
            </w:r>
          </w:p>
        </w:tc>
        <w:tc>
          <w:tcPr>
            <w:tcW w:w="1409" w:type="dxa"/>
            <w:tcBorders>
              <w:top w:val="nil"/>
              <w:left w:val="nil"/>
              <w:bottom w:val="nil"/>
              <w:right w:val="nil"/>
            </w:tcBorders>
          </w:tcPr>
          <w:p w14:paraId="08391643" w14:textId="77777777" w:rsidR="00BF4BAC" w:rsidRPr="00B0605C" w:rsidRDefault="00BF4BAC" w:rsidP="007D5097">
            <w:pPr>
              <w:jc w:val="right"/>
              <w:rPr>
                <w:rFonts w:ascii="Arial" w:eastAsiaTheme="minorEastAsia" w:hAnsi="Arial" w:cs="Arial"/>
                <w:lang w:val="en-GB" w:eastAsia="ko-KR"/>
              </w:rPr>
            </w:pPr>
            <w:r w:rsidRPr="00B0605C">
              <w:rPr>
                <w:rFonts w:ascii="Arial" w:eastAsiaTheme="minorEastAsia" w:hAnsi="Arial" w:cs="Arial"/>
                <w:lang w:val="en-GB" w:eastAsia="ko-KR"/>
              </w:rPr>
              <w:t>9,249</w:t>
            </w:r>
          </w:p>
        </w:tc>
        <w:tc>
          <w:tcPr>
            <w:tcW w:w="1409" w:type="dxa"/>
            <w:tcBorders>
              <w:top w:val="nil"/>
              <w:left w:val="nil"/>
              <w:bottom w:val="nil"/>
              <w:right w:val="nil"/>
            </w:tcBorders>
          </w:tcPr>
          <w:p w14:paraId="1117ABA2" w14:textId="77777777" w:rsidR="00BF4BAC" w:rsidRPr="00B0605C" w:rsidRDefault="00BF4BAC" w:rsidP="007D5097">
            <w:pPr>
              <w:jc w:val="right"/>
              <w:rPr>
                <w:rFonts w:ascii="Arial" w:eastAsiaTheme="minorEastAsia" w:hAnsi="Arial" w:cs="Arial"/>
                <w:lang w:val="en-GB" w:eastAsia="ko-KR"/>
              </w:rPr>
            </w:pPr>
            <w:r w:rsidRPr="00B0605C">
              <w:rPr>
                <w:rFonts w:ascii="Arial" w:eastAsiaTheme="minorEastAsia" w:hAnsi="Arial" w:cs="Arial"/>
                <w:lang w:val="en-GB" w:eastAsia="ko-KR"/>
              </w:rPr>
              <w:t>9,746</w:t>
            </w:r>
          </w:p>
        </w:tc>
        <w:tc>
          <w:tcPr>
            <w:tcW w:w="1409" w:type="dxa"/>
            <w:tcBorders>
              <w:top w:val="nil"/>
              <w:left w:val="nil"/>
              <w:bottom w:val="nil"/>
              <w:right w:val="nil"/>
            </w:tcBorders>
          </w:tcPr>
          <w:p w14:paraId="54202E88" w14:textId="77777777" w:rsidR="00BF4BAC" w:rsidRPr="00B0605C" w:rsidRDefault="00BF4BAC" w:rsidP="007D5097">
            <w:pPr>
              <w:jc w:val="right"/>
              <w:rPr>
                <w:rFonts w:ascii="Arial" w:eastAsiaTheme="minorEastAsia" w:hAnsi="Arial" w:cs="Arial"/>
                <w:lang w:val="en-GB" w:eastAsia="ko-KR"/>
              </w:rPr>
            </w:pPr>
            <w:r w:rsidRPr="00B0605C">
              <w:rPr>
                <w:rFonts w:ascii="Arial" w:eastAsiaTheme="minorEastAsia" w:hAnsi="Arial" w:cs="Arial"/>
                <w:lang w:val="en-GB" w:eastAsia="ko-KR"/>
              </w:rPr>
              <w:t>9,235</w:t>
            </w:r>
          </w:p>
        </w:tc>
      </w:tr>
      <w:tr w:rsidR="00BF4BAC" w:rsidRPr="00B0605C" w14:paraId="40B75689" w14:textId="77777777" w:rsidTr="00BF4BAC">
        <w:trPr>
          <w:trHeight w:val="188"/>
          <w:jc w:val="center"/>
        </w:trPr>
        <w:tc>
          <w:tcPr>
            <w:tcW w:w="3153" w:type="dxa"/>
            <w:tcBorders>
              <w:left w:val="nil"/>
              <w:bottom w:val="single" w:sz="4" w:space="0" w:color="auto"/>
              <w:right w:val="nil"/>
            </w:tcBorders>
          </w:tcPr>
          <w:p w14:paraId="073E82E3" w14:textId="77777777" w:rsidR="00BF4BAC" w:rsidRPr="00B0605C" w:rsidRDefault="00BF4BAC" w:rsidP="007D5097">
            <w:pPr>
              <w:rPr>
                <w:rFonts w:ascii="Arial" w:eastAsiaTheme="minorEastAsia" w:hAnsi="Arial" w:cs="Arial"/>
                <w:lang w:val="en-GB" w:eastAsia="ko-KR"/>
              </w:rPr>
            </w:pPr>
            <w:r w:rsidRPr="00B0605C">
              <w:rPr>
                <w:rFonts w:ascii="Arial" w:eastAsiaTheme="minorEastAsia" w:hAnsi="Arial" w:cs="Arial"/>
                <w:lang w:val="en-GB" w:eastAsia="ko-KR"/>
              </w:rPr>
              <w:t>Total Stockholders’ Equity</w:t>
            </w:r>
          </w:p>
        </w:tc>
        <w:tc>
          <w:tcPr>
            <w:tcW w:w="1409" w:type="dxa"/>
            <w:tcBorders>
              <w:top w:val="nil"/>
              <w:left w:val="nil"/>
              <w:bottom w:val="single" w:sz="4" w:space="0" w:color="auto"/>
              <w:right w:val="nil"/>
            </w:tcBorders>
          </w:tcPr>
          <w:p w14:paraId="043003A1" w14:textId="77777777" w:rsidR="00BF4BAC" w:rsidRPr="00B0605C" w:rsidRDefault="00BF4BAC" w:rsidP="007D5097">
            <w:pPr>
              <w:jc w:val="right"/>
              <w:rPr>
                <w:rFonts w:ascii="Arial" w:eastAsiaTheme="minorEastAsia" w:hAnsi="Arial" w:cs="Arial"/>
                <w:lang w:val="en-GB" w:eastAsia="ko-KR"/>
              </w:rPr>
            </w:pPr>
            <w:r w:rsidRPr="00B0605C">
              <w:rPr>
                <w:rFonts w:ascii="Arial" w:eastAsiaTheme="minorEastAsia" w:hAnsi="Arial" w:cs="Arial"/>
                <w:lang w:val="en-GB" w:eastAsia="ko-KR"/>
              </w:rPr>
              <w:t>6,177</w:t>
            </w:r>
          </w:p>
        </w:tc>
        <w:tc>
          <w:tcPr>
            <w:tcW w:w="1409" w:type="dxa"/>
            <w:tcBorders>
              <w:top w:val="nil"/>
              <w:left w:val="nil"/>
              <w:bottom w:val="single" w:sz="4" w:space="0" w:color="auto"/>
              <w:right w:val="nil"/>
            </w:tcBorders>
          </w:tcPr>
          <w:p w14:paraId="4107DDB4" w14:textId="77777777" w:rsidR="00BF4BAC" w:rsidRPr="00B0605C" w:rsidRDefault="00BF4BAC" w:rsidP="007D5097">
            <w:pPr>
              <w:jc w:val="right"/>
              <w:rPr>
                <w:rFonts w:ascii="Arial" w:eastAsiaTheme="minorEastAsia" w:hAnsi="Arial" w:cs="Arial"/>
                <w:lang w:val="en-GB" w:eastAsia="ko-KR"/>
              </w:rPr>
            </w:pPr>
            <w:r w:rsidRPr="00B0605C">
              <w:rPr>
                <w:rFonts w:ascii="Arial" w:eastAsiaTheme="minorEastAsia" w:hAnsi="Arial" w:cs="Arial"/>
                <w:lang w:val="en-GB" w:eastAsia="ko-KR"/>
              </w:rPr>
              <w:t>6,817</w:t>
            </w:r>
          </w:p>
        </w:tc>
        <w:tc>
          <w:tcPr>
            <w:tcW w:w="1409" w:type="dxa"/>
            <w:tcBorders>
              <w:top w:val="nil"/>
              <w:left w:val="nil"/>
              <w:bottom w:val="single" w:sz="4" w:space="0" w:color="auto"/>
              <w:right w:val="nil"/>
            </w:tcBorders>
          </w:tcPr>
          <w:p w14:paraId="65D10E4A" w14:textId="77777777" w:rsidR="00BF4BAC" w:rsidRPr="00B0605C" w:rsidRDefault="00BF4BAC" w:rsidP="007D5097">
            <w:pPr>
              <w:jc w:val="right"/>
              <w:rPr>
                <w:rFonts w:ascii="Arial" w:eastAsiaTheme="minorEastAsia" w:hAnsi="Arial" w:cs="Arial"/>
                <w:lang w:val="en-GB" w:eastAsia="ko-KR"/>
              </w:rPr>
            </w:pPr>
            <w:r w:rsidRPr="00B0605C">
              <w:rPr>
                <w:rFonts w:ascii="Arial" w:eastAsiaTheme="minorEastAsia" w:hAnsi="Arial" w:cs="Arial"/>
                <w:lang w:val="en-GB" w:eastAsia="ko-KR"/>
              </w:rPr>
              <w:t>7,214</w:t>
            </w:r>
          </w:p>
        </w:tc>
        <w:tc>
          <w:tcPr>
            <w:tcW w:w="1409" w:type="dxa"/>
            <w:tcBorders>
              <w:top w:val="nil"/>
              <w:left w:val="nil"/>
              <w:bottom w:val="single" w:sz="4" w:space="0" w:color="auto"/>
              <w:right w:val="nil"/>
            </w:tcBorders>
          </w:tcPr>
          <w:p w14:paraId="201E2D2A" w14:textId="77777777" w:rsidR="00BF4BAC" w:rsidRPr="00B0605C" w:rsidRDefault="00BF4BAC" w:rsidP="007D5097">
            <w:pPr>
              <w:jc w:val="right"/>
              <w:rPr>
                <w:rFonts w:ascii="Arial" w:eastAsiaTheme="minorEastAsia" w:hAnsi="Arial" w:cs="Arial"/>
                <w:lang w:val="en-GB" w:eastAsia="ko-KR"/>
              </w:rPr>
            </w:pPr>
            <w:r w:rsidRPr="00B0605C">
              <w:rPr>
                <w:rFonts w:ascii="Arial" w:eastAsiaTheme="minorEastAsia" w:hAnsi="Arial" w:cs="Arial"/>
                <w:lang w:val="en-GB" w:eastAsia="ko-KR"/>
              </w:rPr>
              <w:t>7,655</w:t>
            </w:r>
          </w:p>
        </w:tc>
      </w:tr>
      <w:tr w:rsidR="00BF4BAC" w:rsidRPr="00B0605C" w14:paraId="28635723" w14:textId="77777777" w:rsidTr="00BF4BAC">
        <w:trPr>
          <w:trHeight w:val="177"/>
          <w:jc w:val="center"/>
        </w:trPr>
        <w:tc>
          <w:tcPr>
            <w:tcW w:w="3153" w:type="dxa"/>
            <w:tcBorders>
              <w:top w:val="single" w:sz="4" w:space="0" w:color="auto"/>
              <w:left w:val="nil"/>
              <w:bottom w:val="single" w:sz="4" w:space="0" w:color="auto"/>
              <w:right w:val="nil"/>
            </w:tcBorders>
          </w:tcPr>
          <w:p w14:paraId="547F9B09" w14:textId="77777777" w:rsidR="00BF4BAC" w:rsidRPr="00B0605C" w:rsidRDefault="00BF4BAC" w:rsidP="007D5097">
            <w:pPr>
              <w:rPr>
                <w:rFonts w:ascii="Arial" w:eastAsiaTheme="minorEastAsia" w:hAnsi="Arial" w:cs="Arial"/>
                <w:b/>
                <w:lang w:val="en-GB" w:eastAsia="ko-KR"/>
              </w:rPr>
            </w:pPr>
            <w:r w:rsidRPr="00B0605C">
              <w:rPr>
                <w:rFonts w:ascii="Arial" w:eastAsiaTheme="minorEastAsia" w:hAnsi="Arial" w:cs="Arial"/>
                <w:b/>
                <w:lang w:val="en-GB" w:eastAsia="ko-KR"/>
              </w:rPr>
              <w:t xml:space="preserve">Per Share Data </w:t>
            </w:r>
          </w:p>
        </w:tc>
        <w:tc>
          <w:tcPr>
            <w:tcW w:w="1409" w:type="dxa"/>
            <w:tcBorders>
              <w:top w:val="single" w:sz="4" w:space="0" w:color="auto"/>
              <w:left w:val="nil"/>
              <w:bottom w:val="single" w:sz="4" w:space="0" w:color="auto"/>
              <w:right w:val="nil"/>
            </w:tcBorders>
          </w:tcPr>
          <w:p w14:paraId="3E6B9D3C" w14:textId="77777777" w:rsidR="00BF4BAC" w:rsidRPr="00B0605C" w:rsidRDefault="00BF4BAC" w:rsidP="007D5097">
            <w:pPr>
              <w:jc w:val="right"/>
              <w:rPr>
                <w:rFonts w:ascii="Arial" w:eastAsiaTheme="minorEastAsia" w:hAnsi="Arial" w:cs="Arial"/>
                <w:lang w:val="en-GB" w:eastAsia="ko-KR"/>
              </w:rPr>
            </w:pPr>
          </w:p>
        </w:tc>
        <w:tc>
          <w:tcPr>
            <w:tcW w:w="1409" w:type="dxa"/>
            <w:tcBorders>
              <w:top w:val="single" w:sz="4" w:space="0" w:color="auto"/>
              <w:left w:val="nil"/>
              <w:bottom w:val="single" w:sz="4" w:space="0" w:color="auto"/>
              <w:right w:val="nil"/>
            </w:tcBorders>
          </w:tcPr>
          <w:p w14:paraId="417BCF07" w14:textId="77777777" w:rsidR="00BF4BAC" w:rsidRPr="00B0605C" w:rsidRDefault="00BF4BAC" w:rsidP="007D5097">
            <w:pPr>
              <w:jc w:val="right"/>
              <w:rPr>
                <w:rFonts w:ascii="Arial" w:eastAsiaTheme="minorEastAsia" w:hAnsi="Arial" w:cs="Arial"/>
                <w:lang w:val="en-GB" w:eastAsia="ko-KR"/>
              </w:rPr>
            </w:pPr>
          </w:p>
        </w:tc>
        <w:tc>
          <w:tcPr>
            <w:tcW w:w="1409" w:type="dxa"/>
            <w:tcBorders>
              <w:top w:val="single" w:sz="4" w:space="0" w:color="auto"/>
              <w:left w:val="nil"/>
              <w:bottom w:val="single" w:sz="4" w:space="0" w:color="auto"/>
              <w:right w:val="nil"/>
            </w:tcBorders>
          </w:tcPr>
          <w:p w14:paraId="45C21D47" w14:textId="77777777" w:rsidR="00BF4BAC" w:rsidRPr="00B0605C" w:rsidRDefault="00BF4BAC" w:rsidP="007D5097">
            <w:pPr>
              <w:jc w:val="right"/>
              <w:rPr>
                <w:rFonts w:ascii="Arial" w:eastAsiaTheme="minorEastAsia" w:hAnsi="Arial" w:cs="Arial"/>
                <w:lang w:val="en-GB" w:eastAsia="ko-KR"/>
              </w:rPr>
            </w:pPr>
          </w:p>
        </w:tc>
        <w:tc>
          <w:tcPr>
            <w:tcW w:w="1409" w:type="dxa"/>
            <w:tcBorders>
              <w:top w:val="single" w:sz="4" w:space="0" w:color="auto"/>
              <w:left w:val="nil"/>
              <w:bottom w:val="single" w:sz="4" w:space="0" w:color="auto"/>
              <w:right w:val="nil"/>
            </w:tcBorders>
          </w:tcPr>
          <w:p w14:paraId="42EA0F8C" w14:textId="77777777" w:rsidR="00BF4BAC" w:rsidRPr="00B0605C" w:rsidRDefault="00BF4BAC" w:rsidP="007D5097">
            <w:pPr>
              <w:jc w:val="right"/>
              <w:rPr>
                <w:rFonts w:ascii="Arial" w:eastAsiaTheme="minorEastAsia" w:hAnsi="Arial" w:cs="Arial"/>
                <w:lang w:val="en-GB" w:eastAsia="ko-KR"/>
              </w:rPr>
            </w:pPr>
          </w:p>
        </w:tc>
      </w:tr>
      <w:tr w:rsidR="00BF4BAC" w:rsidRPr="00B0605C" w14:paraId="3678188C" w14:textId="77777777" w:rsidTr="00BF4BAC">
        <w:trPr>
          <w:trHeight w:val="177"/>
          <w:jc w:val="center"/>
        </w:trPr>
        <w:tc>
          <w:tcPr>
            <w:tcW w:w="3153" w:type="dxa"/>
            <w:tcBorders>
              <w:top w:val="single" w:sz="4" w:space="0" w:color="auto"/>
              <w:left w:val="nil"/>
              <w:bottom w:val="nil"/>
              <w:right w:val="nil"/>
            </w:tcBorders>
          </w:tcPr>
          <w:p w14:paraId="06129510" w14:textId="24E6C962" w:rsidR="00BF4BAC" w:rsidRPr="00B0605C" w:rsidRDefault="00BF4BAC" w:rsidP="006A1AF8">
            <w:pPr>
              <w:rPr>
                <w:rFonts w:ascii="Arial" w:eastAsiaTheme="minorEastAsia" w:hAnsi="Arial" w:cs="Arial"/>
                <w:lang w:val="en-GB" w:eastAsia="ko-KR"/>
              </w:rPr>
            </w:pPr>
            <w:r w:rsidRPr="00B0605C">
              <w:rPr>
                <w:rFonts w:ascii="Arial" w:eastAsiaTheme="minorEastAsia" w:hAnsi="Arial" w:cs="Arial"/>
                <w:lang w:val="en-GB" w:eastAsia="ko-KR"/>
              </w:rPr>
              <w:t xml:space="preserve">Basic </w:t>
            </w:r>
            <w:r w:rsidR="006A1AF8" w:rsidRPr="00B0605C">
              <w:rPr>
                <w:rFonts w:ascii="Arial" w:eastAsiaTheme="minorEastAsia" w:hAnsi="Arial" w:cs="Arial"/>
                <w:lang w:val="en-GB" w:eastAsia="ko-KR"/>
              </w:rPr>
              <w:t>E</w:t>
            </w:r>
            <w:r w:rsidRPr="00B0605C">
              <w:rPr>
                <w:rFonts w:ascii="Arial" w:eastAsiaTheme="minorEastAsia" w:hAnsi="Arial" w:cs="Arial"/>
                <w:lang w:val="en-GB" w:eastAsia="ko-KR"/>
              </w:rPr>
              <w:t xml:space="preserve">arnings </w:t>
            </w:r>
            <w:r w:rsidR="006A1AF8" w:rsidRPr="00B0605C">
              <w:rPr>
                <w:rFonts w:ascii="Arial" w:eastAsiaTheme="minorEastAsia" w:hAnsi="Arial" w:cs="Arial"/>
                <w:lang w:val="en-GB" w:eastAsia="ko-KR"/>
              </w:rPr>
              <w:t>P</w:t>
            </w:r>
            <w:r w:rsidRPr="00B0605C">
              <w:rPr>
                <w:rFonts w:ascii="Arial" w:eastAsiaTheme="minorEastAsia" w:hAnsi="Arial" w:cs="Arial"/>
                <w:lang w:val="en-GB" w:eastAsia="ko-KR"/>
              </w:rPr>
              <w:t xml:space="preserve">er </w:t>
            </w:r>
            <w:r w:rsidR="006A1AF8" w:rsidRPr="00B0605C">
              <w:rPr>
                <w:rFonts w:ascii="Arial" w:eastAsiaTheme="minorEastAsia" w:hAnsi="Arial" w:cs="Arial"/>
                <w:lang w:val="en-GB" w:eastAsia="ko-KR"/>
              </w:rPr>
              <w:t>S</w:t>
            </w:r>
            <w:r w:rsidRPr="00B0605C">
              <w:rPr>
                <w:rFonts w:ascii="Arial" w:eastAsiaTheme="minorEastAsia" w:hAnsi="Arial" w:cs="Arial"/>
                <w:lang w:val="en-GB" w:eastAsia="ko-KR"/>
              </w:rPr>
              <w:t xml:space="preserve">hare </w:t>
            </w:r>
          </w:p>
        </w:tc>
        <w:tc>
          <w:tcPr>
            <w:tcW w:w="1409" w:type="dxa"/>
            <w:tcBorders>
              <w:top w:val="single" w:sz="4" w:space="0" w:color="auto"/>
              <w:left w:val="nil"/>
              <w:bottom w:val="nil"/>
              <w:right w:val="nil"/>
            </w:tcBorders>
          </w:tcPr>
          <w:p w14:paraId="11ED34E6" w14:textId="77777777" w:rsidR="00BF4BAC" w:rsidRPr="00B0605C" w:rsidRDefault="00BF4BAC" w:rsidP="007D5097">
            <w:pPr>
              <w:jc w:val="right"/>
              <w:rPr>
                <w:rFonts w:ascii="Arial" w:eastAsiaTheme="minorEastAsia" w:hAnsi="Arial" w:cs="Arial"/>
                <w:lang w:val="en-GB" w:eastAsia="ko-KR"/>
              </w:rPr>
            </w:pPr>
            <w:r w:rsidRPr="00B0605C">
              <w:rPr>
                <w:rFonts w:ascii="Arial" w:eastAsiaTheme="minorEastAsia" w:hAnsi="Arial" w:cs="Arial"/>
                <w:lang w:val="en-GB" w:eastAsia="ko-KR"/>
              </w:rPr>
              <w:t>2.10</w:t>
            </w:r>
          </w:p>
        </w:tc>
        <w:tc>
          <w:tcPr>
            <w:tcW w:w="1409" w:type="dxa"/>
            <w:tcBorders>
              <w:top w:val="single" w:sz="4" w:space="0" w:color="auto"/>
              <w:left w:val="nil"/>
              <w:bottom w:val="nil"/>
              <w:right w:val="nil"/>
            </w:tcBorders>
          </w:tcPr>
          <w:p w14:paraId="541303DD" w14:textId="77777777" w:rsidR="00BF4BAC" w:rsidRPr="00B0605C" w:rsidRDefault="00BF4BAC" w:rsidP="007D5097">
            <w:pPr>
              <w:jc w:val="right"/>
              <w:rPr>
                <w:rFonts w:ascii="Arial" w:eastAsiaTheme="minorEastAsia" w:hAnsi="Arial" w:cs="Arial"/>
                <w:lang w:val="en-GB" w:eastAsia="ko-KR"/>
              </w:rPr>
            </w:pPr>
            <w:r w:rsidRPr="00B0605C">
              <w:rPr>
                <w:rFonts w:ascii="Arial" w:eastAsiaTheme="minorEastAsia" w:hAnsi="Arial" w:cs="Arial"/>
                <w:lang w:val="en-GB" w:eastAsia="ko-KR"/>
              </w:rPr>
              <w:t>2.47</w:t>
            </w:r>
          </w:p>
        </w:tc>
        <w:tc>
          <w:tcPr>
            <w:tcW w:w="1409" w:type="dxa"/>
            <w:tcBorders>
              <w:top w:val="single" w:sz="4" w:space="0" w:color="auto"/>
              <w:left w:val="nil"/>
              <w:bottom w:val="nil"/>
              <w:right w:val="nil"/>
            </w:tcBorders>
          </w:tcPr>
          <w:p w14:paraId="78882AD8" w14:textId="77777777" w:rsidR="00BF4BAC" w:rsidRPr="00B0605C" w:rsidRDefault="00BF4BAC" w:rsidP="007D5097">
            <w:pPr>
              <w:jc w:val="right"/>
              <w:rPr>
                <w:rFonts w:ascii="Arial" w:eastAsiaTheme="minorEastAsia" w:hAnsi="Arial" w:cs="Arial"/>
                <w:lang w:val="en-GB" w:eastAsia="ko-KR"/>
              </w:rPr>
            </w:pPr>
            <w:r w:rsidRPr="00B0605C">
              <w:rPr>
                <w:rFonts w:ascii="Arial" w:eastAsiaTheme="minorEastAsia" w:hAnsi="Arial" w:cs="Arial"/>
                <w:lang w:val="en-GB" w:eastAsia="ko-KR"/>
              </w:rPr>
              <w:t>3.52</w:t>
            </w:r>
          </w:p>
        </w:tc>
        <w:tc>
          <w:tcPr>
            <w:tcW w:w="1409" w:type="dxa"/>
            <w:tcBorders>
              <w:top w:val="single" w:sz="4" w:space="0" w:color="auto"/>
              <w:left w:val="nil"/>
              <w:bottom w:val="nil"/>
              <w:right w:val="nil"/>
            </w:tcBorders>
          </w:tcPr>
          <w:p w14:paraId="1AE0A073" w14:textId="77777777" w:rsidR="00BF4BAC" w:rsidRPr="00B0605C" w:rsidRDefault="00BF4BAC" w:rsidP="007D5097">
            <w:pPr>
              <w:jc w:val="right"/>
              <w:rPr>
                <w:rFonts w:ascii="Arial" w:eastAsiaTheme="minorEastAsia" w:hAnsi="Arial" w:cs="Arial"/>
                <w:lang w:val="en-GB" w:eastAsia="ko-KR"/>
              </w:rPr>
            </w:pPr>
            <w:r w:rsidRPr="00B0605C">
              <w:rPr>
                <w:rFonts w:ascii="Arial" w:eastAsiaTheme="minorEastAsia" w:hAnsi="Arial" w:cs="Arial"/>
                <w:lang w:val="en-GB" w:eastAsia="ko-KR"/>
              </w:rPr>
              <w:t>2.80</w:t>
            </w:r>
          </w:p>
        </w:tc>
      </w:tr>
      <w:tr w:rsidR="00BF4BAC" w:rsidRPr="00B0605C" w14:paraId="60C368BF" w14:textId="77777777" w:rsidTr="00BF4BAC">
        <w:trPr>
          <w:trHeight w:val="177"/>
          <w:jc w:val="center"/>
        </w:trPr>
        <w:tc>
          <w:tcPr>
            <w:tcW w:w="3153" w:type="dxa"/>
            <w:tcBorders>
              <w:top w:val="nil"/>
              <w:left w:val="nil"/>
              <w:bottom w:val="nil"/>
              <w:right w:val="nil"/>
            </w:tcBorders>
          </w:tcPr>
          <w:p w14:paraId="38527240" w14:textId="34A74462" w:rsidR="00BF4BAC" w:rsidRPr="00B0605C" w:rsidRDefault="00BF4BAC" w:rsidP="006A1AF8">
            <w:pPr>
              <w:rPr>
                <w:rFonts w:ascii="Arial" w:eastAsiaTheme="minorEastAsia" w:hAnsi="Arial" w:cs="Arial"/>
                <w:lang w:val="en-GB" w:eastAsia="ko-KR"/>
              </w:rPr>
            </w:pPr>
            <w:r w:rsidRPr="00B0605C">
              <w:rPr>
                <w:rFonts w:ascii="Arial" w:eastAsiaTheme="minorEastAsia" w:hAnsi="Arial" w:cs="Arial"/>
                <w:lang w:val="en-GB" w:eastAsia="ko-KR"/>
              </w:rPr>
              <w:t xml:space="preserve">Diluted </w:t>
            </w:r>
            <w:r w:rsidR="006A1AF8" w:rsidRPr="00B0605C">
              <w:rPr>
                <w:rFonts w:ascii="Arial" w:eastAsiaTheme="minorEastAsia" w:hAnsi="Arial" w:cs="Arial"/>
                <w:lang w:val="en-GB" w:eastAsia="ko-KR"/>
              </w:rPr>
              <w:t>E</w:t>
            </w:r>
            <w:r w:rsidRPr="00B0605C">
              <w:rPr>
                <w:rFonts w:ascii="Arial" w:eastAsiaTheme="minorEastAsia" w:hAnsi="Arial" w:cs="Arial"/>
                <w:lang w:val="en-GB" w:eastAsia="ko-KR"/>
              </w:rPr>
              <w:t xml:space="preserve">arnings </w:t>
            </w:r>
            <w:r w:rsidR="006A1AF8" w:rsidRPr="00B0605C">
              <w:rPr>
                <w:rFonts w:ascii="Arial" w:eastAsiaTheme="minorEastAsia" w:hAnsi="Arial" w:cs="Arial"/>
                <w:lang w:val="en-GB" w:eastAsia="ko-KR"/>
              </w:rPr>
              <w:t>P</w:t>
            </w:r>
            <w:r w:rsidRPr="00B0605C">
              <w:rPr>
                <w:rFonts w:ascii="Arial" w:eastAsiaTheme="minorEastAsia" w:hAnsi="Arial" w:cs="Arial"/>
                <w:lang w:val="en-GB" w:eastAsia="ko-KR"/>
              </w:rPr>
              <w:t xml:space="preserve">er </w:t>
            </w:r>
            <w:r w:rsidR="006A1AF8" w:rsidRPr="00B0605C">
              <w:rPr>
                <w:rFonts w:ascii="Arial" w:eastAsiaTheme="minorEastAsia" w:hAnsi="Arial" w:cs="Arial"/>
                <w:lang w:val="en-GB" w:eastAsia="ko-KR"/>
              </w:rPr>
              <w:t>S</w:t>
            </w:r>
            <w:r w:rsidRPr="00B0605C">
              <w:rPr>
                <w:rFonts w:ascii="Arial" w:eastAsiaTheme="minorEastAsia" w:hAnsi="Arial" w:cs="Arial"/>
                <w:lang w:val="en-GB" w:eastAsia="ko-KR"/>
              </w:rPr>
              <w:t>hare</w:t>
            </w:r>
          </w:p>
        </w:tc>
        <w:tc>
          <w:tcPr>
            <w:tcW w:w="1409" w:type="dxa"/>
            <w:tcBorders>
              <w:top w:val="nil"/>
              <w:left w:val="nil"/>
              <w:bottom w:val="nil"/>
              <w:right w:val="nil"/>
            </w:tcBorders>
          </w:tcPr>
          <w:p w14:paraId="4DF5CE5A" w14:textId="77777777" w:rsidR="00BF4BAC" w:rsidRPr="00B0605C" w:rsidRDefault="00BF4BAC" w:rsidP="007D5097">
            <w:pPr>
              <w:jc w:val="right"/>
              <w:rPr>
                <w:rFonts w:ascii="Arial" w:eastAsiaTheme="minorEastAsia" w:hAnsi="Arial" w:cs="Arial"/>
                <w:lang w:val="en-GB" w:eastAsia="ko-KR"/>
              </w:rPr>
            </w:pPr>
            <w:r w:rsidRPr="00B0605C">
              <w:rPr>
                <w:rFonts w:ascii="Arial" w:eastAsiaTheme="minorEastAsia" w:hAnsi="Arial" w:cs="Arial"/>
                <w:lang w:val="en-GB" w:eastAsia="ko-KR"/>
              </w:rPr>
              <w:t>2.10</w:t>
            </w:r>
          </w:p>
        </w:tc>
        <w:tc>
          <w:tcPr>
            <w:tcW w:w="1409" w:type="dxa"/>
            <w:tcBorders>
              <w:top w:val="nil"/>
              <w:left w:val="nil"/>
              <w:bottom w:val="nil"/>
              <w:right w:val="nil"/>
            </w:tcBorders>
          </w:tcPr>
          <w:p w14:paraId="69FA2903" w14:textId="77777777" w:rsidR="00BF4BAC" w:rsidRPr="00B0605C" w:rsidRDefault="00BF4BAC" w:rsidP="007D5097">
            <w:pPr>
              <w:jc w:val="right"/>
              <w:rPr>
                <w:rFonts w:ascii="Arial" w:eastAsiaTheme="minorEastAsia" w:hAnsi="Arial" w:cs="Arial"/>
                <w:lang w:val="en-GB" w:eastAsia="ko-KR"/>
              </w:rPr>
            </w:pPr>
            <w:r w:rsidRPr="00B0605C">
              <w:rPr>
                <w:rFonts w:ascii="Arial" w:eastAsiaTheme="minorEastAsia" w:hAnsi="Arial" w:cs="Arial"/>
                <w:lang w:val="en-GB" w:eastAsia="ko-KR"/>
              </w:rPr>
              <w:t>2.47</w:t>
            </w:r>
          </w:p>
        </w:tc>
        <w:tc>
          <w:tcPr>
            <w:tcW w:w="1409" w:type="dxa"/>
            <w:tcBorders>
              <w:top w:val="nil"/>
              <w:left w:val="nil"/>
              <w:bottom w:val="nil"/>
              <w:right w:val="nil"/>
            </w:tcBorders>
          </w:tcPr>
          <w:p w14:paraId="3D043B85" w14:textId="77777777" w:rsidR="00BF4BAC" w:rsidRPr="00B0605C" w:rsidRDefault="00BF4BAC" w:rsidP="007D5097">
            <w:pPr>
              <w:jc w:val="right"/>
              <w:rPr>
                <w:rFonts w:ascii="Arial" w:eastAsiaTheme="minorEastAsia" w:hAnsi="Arial" w:cs="Arial"/>
                <w:lang w:val="en-GB" w:eastAsia="ko-KR"/>
              </w:rPr>
            </w:pPr>
            <w:r w:rsidRPr="00B0605C">
              <w:rPr>
                <w:rFonts w:ascii="Arial" w:eastAsiaTheme="minorEastAsia" w:hAnsi="Arial" w:cs="Arial"/>
                <w:lang w:val="en-GB" w:eastAsia="ko-KR"/>
              </w:rPr>
              <w:t>3.52</w:t>
            </w:r>
          </w:p>
        </w:tc>
        <w:tc>
          <w:tcPr>
            <w:tcW w:w="1409" w:type="dxa"/>
            <w:tcBorders>
              <w:top w:val="nil"/>
              <w:left w:val="nil"/>
              <w:bottom w:val="nil"/>
              <w:right w:val="nil"/>
            </w:tcBorders>
          </w:tcPr>
          <w:p w14:paraId="666C3894" w14:textId="77777777" w:rsidR="00BF4BAC" w:rsidRPr="00B0605C" w:rsidRDefault="00BF4BAC" w:rsidP="007D5097">
            <w:pPr>
              <w:jc w:val="right"/>
              <w:rPr>
                <w:rFonts w:ascii="Arial" w:eastAsiaTheme="minorEastAsia" w:hAnsi="Arial" w:cs="Arial"/>
                <w:lang w:val="en-GB" w:eastAsia="ko-KR"/>
              </w:rPr>
            </w:pPr>
            <w:r w:rsidRPr="00B0605C">
              <w:rPr>
                <w:rFonts w:ascii="Arial" w:eastAsiaTheme="minorEastAsia" w:hAnsi="Arial" w:cs="Arial"/>
                <w:lang w:val="en-GB" w:eastAsia="ko-KR"/>
              </w:rPr>
              <w:t>2.49</w:t>
            </w:r>
          </w:p>
        </w:tc>
      </w:tr>
      <w:tr w:rsidR="00BF4BAC" w:rsidRPr="00B0605C" w14:paraId="108F94E2" w14:textId="77777777" w:rsidTr="00BF4BAC">
        <w:trPr>
          <w:trHeight w:val="177"/>
          <w:jc w:val="center"/>
        </w:trPr>
        <w:tc>
          <w:tcPr>
            <w:tcW w:w="3153" w:type="dxa"/>
            <w:tcBorders>
              <w:top w:val="nil"/>
              <w:left w:val="nil"/>
              <w:bottom w:val="single" w:sz="4" w:space="0" w:color="auto"/>
              <w:right w:val="nil"/>
            </w:tcBorders>
          </w:tcPr>
          <w:p w14:paraId="43963F34" w14:textId="27AEBD4C" w:rsidR="00BF4BAC" w:rsidRPr="00B0605C" w:rsidRDefault="00BF4BAC" w:rsidP="006A1AF8">
            <w:pPr>
              <w:rPr>
                <w:rFonts w:ascii="Arial" w:eastAsiaTheme="minorEastAsia" w:hAnsi="Arial" w:cs="Arial"/>
                <w:lang w:val="en-GB" w:eastAsia="ko-KR"/>
              </w:rPr>
            </w:pPr>
            <w:r w:rsidRPr="00B0605C">
              <w:rPr>
                <w:rFonts w:ascii="Arial" w:eastAsiaTheme="minorEastAsia" w:hAnsi="Arial" w:cs="Arial"/>
                <w:lang w:val="en-GB" w:eastAsia="ko-KR"/>
              </w:rPr>
              <w:t xml:space="preserve">Cash </w:t>
            </w:r>
            <w:r w:rsidR="006A1AF8" w:rsidRPr="00B0605C">
              <w:rPr>
                <w:rFonts w:ascii="Arial" w:eastAsiaTheme="minorEastAsia" w:hAnsi="Arial" w:cs="Arial"/>
                <w:lang w:val="en-GB" w:eastAsia="ko-KR"/>
              </w:rPr>
              <w:t>D</w:t>
            </w:r>
            <w:r w:rsidRPr="00B0605C">
              <w:rPr>
                <w:rFonts w:ascii="Arial" w:eastAsiaTheme="minorEastAsia" w:hAnsi="Arial" w:cs="Arial"/>
                <w:lang w:val="en-GB" w:eastAsia="ko-KR"/>
              </w:rPr>
              <w:t xml:space="preserve">ividends </w:t>
            </w:r>
            <w:r w:rsidR="006A1AF8" w:rsidRPr="00B0605C">
              <w:rPr>
                <w:rFonts w:ascii="Arial" w:eastAsiaTheme="minorEastAsia" w:hAnsi="Arial" w:cs="Arial"/>
                <w:lang w:val="en-GB" w:eastAsia="ko-KR"/>
              </w:rPr>
              <w:t>D</w:t>
            </w:r>
            <w:r w:rsidRPr="00B0605C">
              <w:rPr>
                <w:rFonts w:ascii="Arial" w:eastAsiaTheme="minorEastAsia" w:hAnsi="Arial" w:cs="Arial"/>
                <w:lang w:val="en-GB" w:eastAsia="ko-KR"/>
              </w:rPr>
              <w:t xml:space="preserve">eclared </w:t>
            </w:r>
            <w:r w:rsidR="006A1AF8" w:rsidRPr="00B0605C">
              <w:rPr>
                <w:rFonts w:ascii="Arial" w:eastAsiaTheme="minorEastAsia" w:hAnsi="Arial" w:cs="Arial"/>
                <w:lang w:val="en-GB" w:eastAsia="ko-KR"/>
              </w:rPr>
              <w:t>P</w:t>
            </w:r>
            <w:r w:rsidRPr="00B0605C">
              <w:rPr>
                <w:rFonts w:ascii="Arial" w:eastAsiaTheme="minorEastAsia" w:hAnsi="Arial" w:cs="Arial"/>
                <w:lang w:val="en-GB" w:eastAsia="ko-KR"/>
              </w:rPr>
              <w:t xml:space="preserve">er </w:t>
            </w:r>
            <w:r w:rsidR="006A1AF8" w:rsidRPr="00B0605C">
              <w:rPr>
                <w:rFonts w:ascii="Arial" w:eastAsiaTheme="minorEastAsia" w:hAnsi="Arial" w:cs="Arial"/>
                <w:lang w:val="en-GB" w:eastAsia="ko-KR"/>
              </w:rPr>
              <w:t>S</w:t>
            </w:r>
            <w:r w:rsidRPr="00B0605C">
              <w:rPr>
                <w:rFonts w:ascii="Arial" w:eastAsiaTheme="minorEastAsia" w:hAnsi="Arial" w:cs="Arial"/>
                <w:lang w:val="en-GB" w:eastAsia="ko-KR"/>
              </w:rPr>
              <w:t>hare</w:t>
            </w:r>
          </w:p>
        </w:tc>
        <w:tc>
          <w:tcPr>
            <w:tcW w:w="1409" w:type="dxa"/>
            <w:tcBorders>
              <w:top w:val="nil"/>
              <w:left w:val="nil"/>
              <w:bottom w:val="single" w:sz="4" w:space="0" w:color="auto"/>
              <w:right w:val="nil"/>
            </w:tcBorders>
          </w:tcPr>
          <w:p w14:paraId="7603833B" w14:textId="77777777" w:rsidR="00BF4BAC" w:rsidRPr="00B0605C" w:rsidRDefault="00BF4BAC" w:rsidP="007D5097">
            <w:pPr>
              <w:jc w:val="right"/>
              <w:rPr>
                <w:rFonts w:ascii="Arial" w:eastAsiaTheme="minorEastAsia" w:hAnsi="Arial" w:cs="Arial"/>
                <w:lang w:val="en-GB" w:eastAsia="ko-KR"/>
              </w:rPr>
            </w:pPr>
            <w:r w:rsidRPr="00B0605C">
              <w:rPr>
                <w:rFonts w:ascii="Arial" w:eastAsiaTheme="minorEastAsia" w:hAnsi="Arial" w:cs="Arial"/>
                <w:lang w:val="en-GB" w:eastAsia="ko-KR"/>
              </w:rPr>
              <w:t>2.88</w:t>
            </w:r>
          </w:p>
        </w:tc>
        <w:tc>
          <w:tcPr>
            <w:tcW w:w="1409" w:type="dxa"/>
            <w:tcBorders>
              <w:top w:val="nil"/>
              <w:left w:val="nil"/>
              <w:bottom w:val="single" w:sz="4" w:space="0" w:color="auto"/>
              <w:right w:val="nil"/>
            </w:tcBorders>
          </w:tcPr>
          <w:p w14:paraId="7FCE6A5D" w14:textId="77777777" w:rsidR="00BF4BAC" w:rsidRPr="00B0605C" w:rsidRDefault="00BF4BAC" w:rsidP="007D5097">
            <w:pPr>
              <w:jc w:val="right"/>
              <w:rPr>
                <w:rFonts w:ascii="Arial" w:eastAsiaTheme="minorEastAsia" w:hAnsi="Arial" w:cs="Arial"/>
                <w:lang w:val="en-GB" w:eastAsia="ko-KR"/>
              </w:rPr>
            </w:pPr>
            <w:r w:rsidRPr="00B0605C">
              <w:rPr>
                <w:rFonts w:ascii="Arial" w:eastAsiaTheme="minorEastAsia" w:hAnsi="Arial" w:cs="Arial"/>
                <w:lang w:val="en-GB" w:eastAsia="ko-KR"/>
              </w:rPr>
              <w:t>2.60</w:t>
            </w:r>
          </w:p>
        </w:tc>
        <w:tc>
          <w:tcPr>
            <w:tcW w:w="1409" w:type="dxa"/>
            <w:tcBorders>
              <w:top w:val="nil"/>
              <w:left w:val="nil"/>
              <w:bottom w:val="single" w:sz="4" w:space="0" w:color="auto"/>
              <w:right w:val="nil"/>
            </w:tcBorders>
          </w:tcPr>
          <w:p w14:paraId="2CD35C69" w14:textId="77777777" w:rsidR="00BF4BAC" w:rsidRPr="00B0605C" w:rsidRDefault="00BF4BAC" w:rsidP="007D5097">
            <w:pPr>
              <w:jc w:val="right"/>
              <w:rPr>
                <w:rFonts w:ascii="Arial" w:eastAsiaTheme="minorEastAsia" w:hAnsi="Arial" w:cs="Arial"/>
                <w:lang w:val="en-GB" w:eastAsia="ko-KR"/>
              </w:rPr>
            </w:pPr>
            <w:r w:rsidRPr="00B0605C">
              <w:rPr>
                <w:rFonts w:ascii="Arial" w:eastAsiaTheme="minorEastAsia" w:hAnsi="Arial" w:cs="Arial"/>
                <w:lang w:val="en-GB" w:eastAsia="ko-KR"/>
              </w:rPr>
              <w:t>2.00</w:t>
            </w:r>
          </w:p>
        </w:tc>
        <w:tc>
          <w:tcPr>
            <w:tcW w:w="1409" w:type="dxa"/>
            <w:tcBorders>
              <w:top w:val="nil"/>
              <w:left w:val="nil"/>
              <w:bottom w:val="single" w:sz="4" w:space="0" w:color="auto"/>
              <w:right w:val="nil"/>
            </w:tcBorders>
          </w:tcPr>
          <w:p w14:paraId="438CEDE7" w14:textId="77777777" w:rsidR="00BF4BAC" w:rsidRPr="00B0605C" w:rsidRDefault="00BF4BAC" w:rsidP="007D5097">
            <w:pPr>
              <w:jc w:val="right"/>
              <w:rPr>
                <w:rFonts w:ascii="Arial" w:eastAsiaTheme="minorEastAsia" w:hAnsi="Arial" w:cs="Arial"/>
                <w:lang w:val="en-GB" w:eastAsia="ko-KR"/>
              </w:rPr>
            </w:pPr>
            <w:r w:rsidRPr="00B0605C">
              <w:rPr>
                <w:rFonts w:ascii="Arial" w:eastAsiaTheme="minorEastAsia" w:hAnsi="Arial" w:cs="Arial"/>
                <w:lang w:val="en-GB" w:eastAsia="ko-KR"/>
              </w:rPr>
              <w:t>1.40</w:t>
            </w:r>
          </w:p>
        </w:tc>
      </w:tr>
      <w:tr w:rsidR="00BF4BAC" w:rsidRPr="00B0605C" w14:paraId="2DBAD381" w14:textId="77777777" w:rsidTr="00BF4BAC">
        <w:trPr>
          <w:trHeight w:val="177"/>
          <w:jc w:val="center"/>
        </w:trPr>
        <w:tc>
          <w:tcPr>
            <w:tcW w:w="3153" w:type="dxa"/>
            <w:tcBorders>
              <w:top w:val="single" w:sz="4" w:space="0" w:color="auto"/>
              <w:left w:val="nil"/>
              <w:bottom w:val="single" w:sz="4" w:space="0" w:color="auto"/>
              <w:right w:val="nil"/>
            </w:tcBorders>
          </w:tcPr>
          <w:p w14:paraId="6F4F4D08" w14:textId="77777777" w:rsidR="00BF4BAC" w:rsidRPr="00B0605C" w:rsidRDefault="00BF4BAC" w:rsidP="007D5097">
            <w:pPr>
              <w:rPr>
                <w:rFonts w:ascii="Arial" w:eastAsiaTheme="minorEastAsia" w:hAnsi="Arial" w:cs="Arial"/>
                <w:lang w:val="en-GB" w:eastAsia="ko-KR"/>
              </w:rPr>
            </w:pPr>
            <w:r w:rsidRPr="00B0605C">
              <w:rPr>
                <w:rFonts w:ascii="Arial" w:eastAsiaTheme="minorEastAsia" w:hAnsi="Arial" w:cs="Arial"/>
                <w:b/>
                <w:lang w:val="en-GB" w:eastAsia="ko-KR"/>
              </w:rPr>
              <w:t>Operating Performance Summary</w:t>
            </w:r>
          </w:p>
        </w:tc>
        <w:tc>
          <w:tcPr>
            <w:tcW w:w="1409" w:type="dxa"/>
            <w:tcBorders>
              <w:top w:val="single" w:sz="4" w:space="0" w:color="auto"/>
              <w:left w:val="nil"/>
              <w:bottom w:val="single" w:sz="4" w:space="0" w:color="auto"/>
              <w:right w:val="nil"/>
            </w:tcBorders>
          </w:tcPr>
          <w:p w14:paraId="504B2F2E" w14:textId="77777777" w:rsidR="00BF4BAC" w:rsidRPr="00B0605C" w:rsidRDefault="00BF4BAC" w:rsidP="007D5097">
            <w:pPr>
              <w:jc w:val="right"/>
              <w:rPr>
                <w:rFonts w:ascii="Arial" w:eastAsiaTheme="minorEastAsia" w:hAnsi="Arial" w:cs="Arial"/>
                <w:lang w:val="en-GB" w:eastAsia="ko-KR"/>
              </w:rPr>
            </w:pPr>
          </w:p>
        </w:tc>
        <w:tc>
          <w:tcPr>
            <w:tcW w:w="1409" w:type="dxa"/>
            <w:tcBorders>
              <w:top w:val="single" w:sz="4" w:space="0" w:color="auto"/>
              <w:left w:val="nil"/>
              <w:bottom w:val="single" w:sz="4" w:space="0" w:color="auto"/>
              <w:right w:val="nil"/>
            </w:tcBorders>
          </w:tcPr>
          <w:p w14:paraId="6F5DDA8A" w14:textId="77777777" w:rsidR="00BF4BAC" w:rsidRPr="00B0605C" w:rsidRDefault="00BF4BAC" w:rsidP="007D5097">
            <w:pPr>
              <w:jc w:val="right"/>
              <w:rPr>
                <w:rFonts w:ascii="Arial" w:eastAsiaTheme="minorEastAsia" w:hAnsi="Arial" w:cs="Arial"/>
                <w:lang w:val="en-GB" w:eastAsia="ko-KR"/>
              </w:rPr>
            </w:pPr>
          </w:p>
        </w:tc>
        <w:tc>
          <w:tcPr>
            <w:tcW w:w="1409" w:type="dxa"/>
            <w:tcBorders>
              <w:top w:val="single" w:sz="4" w:space="0" w:color="auto"/>
              <w:left w:val="nil"/>
              <w:bottom w:val="single" w:sz="4" w:space="0" w:color="auto"/>
              <w:right w:val="nil"/>
            </w:tcBorders>
          </w:tcPr>
          <w:p w14:paraId="7E95D05F" w14:textId="77777777" w:rsidR="00BF4BAC" w:rsidRPr="00B0605C" w:rsidRDefault="00BF4BAC" w:rsidP="007D5097">
            <w:pPr>
              <w:jc w:val="right"/>
              <w:rPr>
                <w:rFonts w:ascii="Arial" w:eastAsiaTheme="minorEastAsia" w:hAnsi="Arial" w:cs="Arial"/>
                <w:lang w:val="en-GB" w:eastAsia="ko-KR"/>
              </w:rPr>
            </w:pPr>
          </w:p>
        </w:tc>
        <w:tc>
          <w:tcPr>
            <w:tcW w:w="1409" w:type="dxa"/>
            <w:tcBorders>
              <w:top w:val="single" w:sz="4" w:space="0" w:color="auto"/>
              <w:left w:val="nil"/>
              <w:bottom w:val="single" w:sz="4" w:space="0" w:color="auto"/>
              <w:right w:val="nil"/>
            </w:tcBorders>
          </w:tcPr>
          <w:p w14:paraId="5467D09C" w14:textId="77777777" w:rsidR="00BF4BAC" w:rsidRPr="00B0605C" w:rsidRDefault="00BF4BAC" w:rsidP="007D5097">
            <w:pPr>
              <w:jc w:val="right"/>
              <w:rPr>
                <w:rFonts w:ascii="Arial" w:eastAsiaTheme="minorEastAsia" w:hAnsi="Arial" w:cs="Arial"/>
                <w:lang w:val="en-GB" w:eastAsia="ko-KR"/>
              </w:rPr>
            </w:pPr>
          </w:p>
        </w:tc>
      </w:tr>
      <w:tr w:rsidR="00BF4BAC" w:rsidRPr="00B0605C" w14:paraId="24F70BAB" w14:textId="77777777" w:rsidTr="00BF4BAC">
        <w:trPr>
          <w:trHeight w:val="177"/>
          <w:jc w:val="center"/>
        </w:trPr>
        <w:tc>
          <w:tcPr>
            <w:tcW w:w="3153" w:type="dxa"/>
            <w:tcBorders>
              <w:top w:val="single" w:sz="4" w:space="0" w:color="auto"/>
              <w:left w:val="nil"/>
              <w:bottom w:val="nil"/>
              <w:right w:val="nil"/>
            </w:tcBorders>
          </w:tcPr>
          <w:p w14:paraId="7350C5BD" w14:textId="77777777" w:rsidR="00BF4BAC" w:rsidRPr="00B0605C" w:rsidRDefault="00BF4BAC" w:rsidP="007D5097">
            <w:pPr>
              <w:rPr>
                <w:rFonts w:ascii="Arial" w:eastAsiaTheme="minorEastAsia" w:hAnsi="Arial" w:cs="Arial"/>
                <w:lang w:val="en-GB" w:eastAsia="ko-KR"/>
              </w:rPr>
            </w:pPr>
            <w:r w:rsidRPr="00B0605C">
              <w:rPr>
                <w:rFonts w:ascii="Arial" w:eastAsiaTheme="minorEastAsia" w:hAnsi="Arial" w:cs="Arial"/>
                <w:lang w:val="en-GB" w:eastAsia="ko-KR"/>
              </w:rPr>
              <w:t>Gross Margin (%)</w:t>
            </w:r>
          </w:p>
        </w:tc>
        <w:tc>
          <w:tcPr>
            <w:tcW w:w="1409" w:type="dxa"/>
            <w:tcBorders>
              <w:top w:val="single" w:sz="4" w:space="0" w:color="auto"/>
              <w:left w:val="nil"/>
              <w:bottom w:val="nil"/>
              <w:right w:val="nil"/>
            </w:tcBorders>
          </w:tcPr>
          <w:p w14:paraId="7CBEE79B" w14:textId="77777777" w:rsidR="00BF4BAC" w:rsidRPr="00B0605C" w:rsidRDefault="00BF4BAC" w:rsidP="007D5097">
            <w:pPr>
              <w:jc w:val="right"/>
              <w:rPr>
                <w:rFonts w:ascii="Arial" w:eastAsiaTheme="minorEastAsia" w:hAnsi="Arial" w:cs="Arial"/>
                <w:lang w:val="en-GB" w:eastAsia="ko-KR"/>
              </w:rPr>
            </w:pPr>
            <w:r w:rsidRPr="00B0605C">
              <w:rPr>
                <w:rFonts w:ascii="Arial" w:eastAsiaTheme="minorEastAsia" w:hAnsi="Arial" w:cs="Arial"/>
                <w:lang w:val="en-GB" w:eastAsia="ko-KR"/>
              </w:rPr>
              <w:t>48.84</w:t>
            </w:r>
          </w:p>
        </w:tc>
        <w:tc>
          <w:tcPr>
            <w:tcW w:w="1409" w:type="dxa"/>
            <w:tcBorders>
              <w:top w:val="single" w:sz="4" w:space="0" w:color="auto"/>
              <w:left w:val="nil"/>
              <w:bottom w:val="nil"/>
              <w:right w:val="nil"/>
            </w:tcBorders>
          </w:tcPr>
          <w:p w14:paraId="42C82091" w14:textId="77777777" w:rsidR="00BF4BAC" w:rsidRPr="00B0605C" w:rsidRDefault="00BF4BAC" w:rsidP="007D5097">
            <w:pPr>
              <w:jc w:val="right"/>
              <w:rPr>
                <w:rFonts w:ascii="Arial" w:eastAsiaTheme="minorEastAsia" w:hAnsi="Arial" w:cs="Arial"/>
                <w:lang w:val="en-GB" w:eastAsia="ko-KR"/>
              </w:rPr>
            </w:pPr>
            <w:r w:rsidRPr="00B0605C">
              <w:rPr>
                <w:rFonts w:ascii="Arial" w:eastAsiaTheme="minorEastAsia" w:hAnsi="Arial" w:cs="Arial"/>
                <w:lang w:val="en-GB" w:eastAsia="ko-KR"/>
              </w:rPr>
              <w:t>47.67</w:t>
            </w:r>
          </w:p>
        </w:tc>
        <w:tc>
          <w:tcPr>
            <w:tcW w:w="1409" w:type="dxa"/>
            <w:tcBorders>
              <w:top w:val="single" w:sz="4" w:space="0" w:color="auto"/>
              <w:left w:val="nil"/>
              <w:bottom w:val="nil"/>
              <w:right w:val="nil"/>
            </w:tcBorders>
          </w:tcPr>
          <w:p w14:paraId="12962CE0" w14:textId="77777777" w:rsidR="00BF4BAC" w:rsidRPr="00B0605C" w:rsidRDefault="00BF4BAC" w:rsidP="007D5097">
            <w:pPr>
              <w:jc w:val="right"/>
              <w:rPr>
                <w:rFonts w:ascii="Arial" w:eastAsiaTheme="minorEastAsia" w:hAnsi="Arial" w:cs="Arial"/>
                <w:lang w:val="en-GB" w:eastAsia="ko-KR"/>
              </w:rPr>
            </w:pPr>
            <w:r w:rsidRPr="00B0605C">
              <w:rPr>
                <w:rFonts w:ascii="Arial" w:eastAsiaTheme="minorEastAsia" w:hAnsi="Arial" w:cs="Arial"/>
                <w:lang w:val="en-GB" w:eastAsia="ko-KR"/>
              </w:rPr>
              <w:t>46.89</w:t>
            </w:r>
          </w:p>
        </w:tc>
        <w:tc>
          <w:tcPr>
            <w:tcW w:w="1409" w:type="dxa"/>
            <w:tcBorders>
              <w:top w:val="single" w:sz="4" w:space="0" w:color="auto"/>
              <w:left w:val="nil"/>
              <w:bottom w:val="nil"/>
              <w:right w:val="nil"/>
            </w:tcBorders>
          </w:tcPr>
          <w:p w14:paraId="26444AD1" w14:textId="77777777" w:rsidR="00BF4BAC" w:rsidRPr="00B0605C" w:rsidRDefault="00BF4BAC" w:rsidP="007D5097">
            <w:pPr>
              <w:jc w:val="right"/>
              <w:rPr>
                <w:rFonts w:ascii="Arial" w:eastAsiaTheme="minorEastAsia" w:hAnsi="Arial" w:cs="Arial"/>
                <w:lang w:val="en-GB" w:eastAsia="ko-KR"/>
              </w:rPr>
            </w:pPr>
            <w:r w:rsidRPr="00B0605C">
              <w:rPr>
                <w:rFonts w:ascii="Arial" w:eastAsiaTheme="minorEastAsia" w:hAnsi="Arial" w:cs="Arial"/>
                <w:lang w:val="en-GB" w:eastAsia="ko-KR"/>
              </w:rPr>
              <w:t>45.41</w:t>
            </w:r>
          </w:p>
        </w:tc>
      </w:tr>
      <w:tr w:rsidR="00BF4BAC" w:rsidRPr="00B0605C" w14:paraId="63B19C36" w14:textId="77777777" w:rsidTr="00BF4BAC">
        <w:trPr>
          <w:trHeight w:val="177"/>
          <w:jc w:val="center"/>
        </w:trPr>
        <w:tc>
          <w:tcPr>
            <w:tcW w:w="3153" w:type="dxa"/>
            <w:tcBorders>
              <w:top w:val="nil"/>
              <w:left w:val="nil"/>
              <w:bottom w:val="nil"/>
              <w:right w:val="nil"/>
            </w:tcBorders>
          </w:tcPr>
          <w:p w14:paraId="34876D7F" w14:textId="77777777" w:rsidR="00BF4BAC" w:rsidRPr="00B0605C" w:rsidRDefault="00BF4BAC" w:rsidP="007D5097">
            <w:pPr>
              <w:rPr>
                <w:rFonts w:ascii="Arial" w:eastAsiaTheme="minorEastAsia" w:hAnsi="Arial" w:cs="Arial"/>
                <w:lang w:val="en-GB" w:eastAsia="ko-KR"/>
              </w:rPr>
            </w:pPr>
            <w:r w:rsidRPr="00B0605C">
              <w:rPr>
                <w:rFonts w:ascii="Arial" w:eastAsiaTheme="minorEastAsia" w:hAnsi="Arial" w:cs="Arial"/>
                <w:lang w:val="en-GB" w:eastAsia="ko-KR"/>
              </w:rPr>
              <w:t>Operating Margin (%)</w:t>
            </w:r>
          </w:p>
        </w:tc>
        <w:tc>
          <w:tcPr>
            <w:tcW w:w="1409" w:type="dxa"/>
            <w:tcBorders>
              <w:top w:val="nil"/>
              <w:left w:val="nil"/>
              <w:bottom w:val="nil"/>
              <w:right w:val="nil"/>
            </w:tcBorders>
          </w:tcPr>
          <w:p w14:paraId="4A807AD3" w14:textId="77777777" w:rsidR="00BF4BAC" w:rsidRPr="00B0605C" w:rsidRDefault="00BF4BAC" w:rsidP="007D5097">
            <w:pPr>
              <w:jc w:val="right"/>
              <w:rPr>
                <w:rFonts w:ascii="Arial" w:eastAsiaTheme="minorEastAsia" w:hAnsi="Arial" w:cs="Arial"/>
                <w:lang w:val="en-GB" w:eastAsia="ko-KR"/>
              </w:rPr>
            </w:pPr>
            <w:r w:rsidRPr="00B0605C">
              <w:rPr>
                <w:rFonts w:ascii="Arial" w:eastAsiaTheme="minorEastAsia" w:hAnsi="Arial" w:cs="Arial"/>
                <w:lang w:val="en-GB" w:eastAsia="ko-KR"/>
              </w:rPr>
              <w:t>21.85</w:t>
            </w:r>
          </w:p>
        </w:tc>
        <w:tc>
          <w:tcPr>
            <w:tcW w:w="1409" w:type="dxa"/>
            <w:tcBorders>
              <w:top w:val="nil"/>
              <w:left w:val="nil"/>
              <w:bottom w:val="nil"/>
              <w:right w:val="nil"/>
            </w:tcBorders>
          </w:tcPr>
          <w:p w14:paraId="3DF4DAC0" w14:textId="77777777" w:rsidR="00BF4BAC" w:rsidRPr="00B0605C" w:rsidRDefault="00BF4BAC" w:rsidP="007D5097">
            <w:pPr>
              <w:jc w:val="right"/>
              <w:rPr>
                <w:rFonts w:ascii="Arial" w:eastAsiaTheme="minorEastAsia" w:hAnsi="Arial" w:cs="Arial"/>
                <w:lang w:val="en-GB" w:eastAsia="ko-KR"/>
              </w:rPr>
            </w:pPr>
            <w:r w:rsidRPr="00B0605C">
              <w:rPr>
                <w:rFonts w:ascii="Arial" w:eastAsiaTheme="minorEastAsia" w:hAnsi="Arial" w:cs="Arial"/>
                <w:lang w:val="en-GB" w:eastAsia="ko-KR"/>
              </w:rPr>
              <w:t>24.31</w:t>
            </w:r>
          </w:p>
        </w:tc>
        <w:tc>
          <w:tcPr>
            <w:tcW w:w="1409" w:type="dxa"/>
            <w:tcBorders>
              <w:top w:val="nil"/>
              <w:left w:val="nil"/>
              <w:bottom w:val="nil"/>
              <w:right w:val="nil"/>
            </w:tcBorders>
          </w:tcPr>
          <w:p w14:paraId="7578D961" w14:textId="77777777" w:rsidR="00BF4BAC" w:rsidRPr="00B0605C" w:rsidRDefault="00BF4BAC" w:rsidP="007D5097">
            <w:pPr>
              <w:jc w:val="right"/>
              <w:rPr>
                <w:rFonts w:ascii="Arial" w:eastAsiaTheme="minorEastAsia" w:hAnsi="Arial" w:cs="Arial"/>
                <w:lang w:val="en-GB" w:eastAsia="ko-KR"/>
              </w:rPr>
            </w:pPr>
            <w:r w:rsidRPr="00B0605C">
              <w:rPr>
                <w:rFonts w:ascii="Arial" w:eastAsiaTheme="minorEastAsia" w:hAnsi="Arial" w:cs="Arial"/>
                <w:lang w:val="en-GB" w:eastAsia="ko-KR"/>
              </w:rPr>
              <w:t>28.11</w:t>
            </w:r>
          </w:p>
        </w:tc>
        <w:tc>
          <w:tcPr>
            <w:tcW w:w="1409" w:type="dxa"/>
            <w:tcBorders>
              <w:top w:val="nil"/>
              <w:left w:val="nil"/>
              <w:bottom w:val="nil"/>
              <w:right w:val="nil"/>
            </w:tcBorders>
          </w:tcPr>
          <w:p w14:paraId="38385214" w14:textId="77777777" w:rsidR="00BF4BAC" w:rsidRPr="00B0605C" w:rsidRDefault="00BF4BAC" w:rsidP="007D5097">
            <w:pPr>
              <w:jc w:val="right"/>
              <w:rPr>
                <w:rFonts w:ascii="Arial" w:eastAsiaTheme="minorEastAsia" w:hAnsi="Arial" w:cs="Arial"/>
                <w:lang w:val="en-GB" w:eastAsia="ko-KR"/>
              </w:rPr>
            </w:pPr>
            <w:r w:rsidRPr="00B0605C">
              <w:rPr>
                <w:rFonts w:ascii="Arial" w:eastAsiaTheme="minorEastAsia" w:hAnsi="Arial" w:cs="Arial"/>
                <w:lang w:val="en-GB" w:eastAsia="ko-KR"/>
              </w:rPr>
              <w:t>24.75</w:t>
            </w:r>
          </w:p>
        </w:tc>
      </w:tr>
      <w:tr w:rsidR="00BF4BAC" w:rsidRPr="00B0605C" w14:paraId="4243D7AC" w14:textId="77777777" w:rsidTr="00BF4BAC">
        <w:trPr>
          <w:trHeight w:val="177"/>
          <w:jc w:val="center"/>
        </w:trPr>
        <w:tc>
          <w:tcPr>
            <w:tcW w:w="3153" w:type="dxa"/>
            <w:tcBorders>
              <w:top w:val="nil"/>
              <w:left w:val="nil"/>
              <w:bottom w:val="nil"/>
              <w:right w:val="nil"/>
            </w:tcBorders>
          </w:tcPr>
          <w:p w14:paraId="2FC2A061" w14:textId="77777777" w:rsidR="00BF4BAC" w:rsidRPr="00B0605C" w:rsidRDefault="00BF4BAC" w:rsidP="007D5097">
            <w:pPr>
              <w:rPr>
                <w:rFonts w:ascii="Arial" w:eastAsiaTheme="minorEastAsia" w:hAnsi="Arial" w:cs="Arial"/>
                <w:lang w:val="en-GB" w:eastAsia="ko-KR"/>
              </w:rPr>
            </w:pPr>
            <w:r w:rsidRPr="00B0605C">
              <w:rPr>
                <w:rFonts w:ascii="Arial" w:eastAsiaTheme="minorEastAsia" w:hAnsi="Arial" w:cs="Arial"/>
                <w:lang w:val="en-GB" w:eastAsia="ko-KR"/>
              </w:rPr>
              <w:t>Net Margin (%)</w:t>
            </w:r>
          </w:p>
        </w:tc>
        <w:tc>
          <w:tcPr>
            <w:tcW w:w="1409" w:type="dxa"/>
            <w:tcBorders>
              <w:top w:val="nil"/>
              <w:left w:val="nil"/>
              <w:bottom w:val="nil"/>
              <w:right w:val="nil"/>
            </w:tcBorders>
          </w:tcPr>
          <w:p w14:paraId="588F7E22" w14:textId="77777777" w:rsidR="00BF4BAC" w:rsidRPr="00B0605C" w:rsidRDefault="00BF4BAC" w:rsidP="007D5097">
            <w:pPr>
              <w:jc w:val="right"/>
              <w:rPr>
                <w:rFonts w:ascii="Arial" w:eastAsiaTheme="minorEastAsia" w:hAnsi="Arial" w:cs="Arial"/>
                <w:lang w:val="en-GB" w:eastAsia="ko-KR"/>
              </w:rPr>
            </w:pPr>
            <w:r w:rsidRPr="00B0605C">
              <w:rPr>
                <w:rFonts w:ascii="Arial" w:eastAsiaTheme="minorEastAsia" w:hAnsi="Arial" w:cs="Arial"/>
                <w:lang w:val="en-GB" w:eastAsia="ko-KR"/>
              </w:rPr>
              <w:t>14.64</w:t>
            </w:r>
          </w:p>
        </w:tc>
        <w:tc>
          <w:tcPr>
            <w:tcW w:w="1409" w:type="dxa"/>
            <w:tcBorders>
              <w:top w:val="nil"/>
              <w:left w:val="nil"/>
              <w:bottom w:val="nil"/>
              <w:right w:val="nil"/>
            </w:tcBorders>
          </w:tcPr>
          <w:p w14:paraId="13E6B07A" w14:textId="77777777" w:rsidR="00BF4BAC" w:rsidRPr="00B0605C" w:rsidRDefault="00BF4BAC" w:rsidP="007D5097">
            <w:pPr>
              <w:jc w:val="right"/>
              <w:rPr>
                <w:rFonts w:ascii="Arial" w:eastAsiaTheme="minorEastAsia" w:hAnsi="Arial" w:cs="Arial"/>
                <w:lang w:val="en-GB" w:eastAsia="ko-KR"/>
              </w:rPr>
            </w:pPr>
            <w:r w:rsidRPr="00B0605C">
              <w:rPr>
                <w:rFonts w:ascii="Arial" w:eastAsiaTheme="minorEastAsia" w:hAnsi="Arial" w:cs="Arial"/>
                <w:lang w:val="en-GB" w:eastAsia="ko-KR"/>
              </w:rPr>
              <w:t>16.82</w:t>
            </w:r>
          </w:p>
        </w:tc>
        <w:tc>
          <w:tcPr>
            <w:tcW w:w="1409" w:type="dxa"/>
            <w:tcBorders>
              <w:top w:val="nil"/>
              <w:left w:val="nil"/>
              <w:bottom w:val="nil"/>
              <w:right w:val="nil"/>
            </w:tcBorders>
          </w:tcPr>
          <w:p w14:paraId="140CEECC" w14:textId="77777777" w:rsidR="00BF4BAC" w:rsidRPr="00B0605C" w:rsidRDefault="00BF4BAC" w:rsidP="007D5097">
            <w:pPr>
              <w:jc w:val="right"/>
              <w:rPr>
                <w:rFonts w:ascii="Arial" w:eastAsiaTheme="minorEastAsia" w:hAnsi="Arial" w:cs="Arial"/>
                <w:lang w:val="en-GB" w:eastAsia="ko-KR"/>
              </w:rPr>
            </w:pPr>
            <w:r w:rsidRPr="00B0605C">
              <w:rPr>
                <w:rFonts w:ascii="Arial" w:eastAsiaTheme="minorEastAsia" w:hAnsi="Arial" w:cs="Arial"/>
                <w:lang w:val="en-GB" w:eastAsia="ko-KR"/>
              </w:rPr>
              <w:t>19.48</w:t>
            </w:r>
          </w:p>
        </w:tc>
        <w:tc>
          <w:tcPr>
            <w:tcW w:w="1409" w:type="dxa"/>
            <w:tcBorders>
              <w:top w:val="nil"/>
              <w:left w:val="nil"/>
              <w:bottom w:val="nil"/>
              <w:right w:val="nil"/>
            </w:tcBorders>
          </w:tcPr>
          <w:p w14:paraId="4F31BD9C" w14:textId="77777777" w:rsidR="00BF4BAC" w:rsidRPr="00B0605C" w:rsidRDefault="00BF4BAC" w:rsidP="007D5097">
            <w:pPr>
              <w:jc w:val="right"/>
              <w:rPr>
                <w:rFonts w:ascii="Arial" w:eastAsiaTheme="minorEastAsia" w:hAnsi="Arial" w:cs="Arial"/>
                <w:lang w:val="en-GB" w:eastAsia="ko-KR"/>
              </w:rPr>
            </w:pPr>
            <w:r w:rsidRPr="00B0605C">
              <w:rPr>
                <w:rFonts w:ascii="Arial" w:eastAsiaTheme="minorEastAsia" w:hAnsi="Arial" w:cs="Arial"/>
                <w:lang w:val="en-GB" w:eastAsia="ko-KR"/>
              </w:rPr>
              <w:t>16.75</w:t>
            </w:r>
          </w:p>
        </w:tc>
      </w:tr>
      <w:tr w:rsidR="00BF4BAC" w:rsidRPr="00B0605C" w14:paraId="6D8F17A2" w14:textId="77777777" w:rsidTr="00BF4BAC">
        <w:trPr>
          <w:trHeight w:val="177"/>
          <w:jc w:val="center"/>
        </w:trPr>
        <w:tc>
          <w:tcPr>
            <w:tcW w:w="3153" w:type="dxa"/>
            <w:tcBorders>
              <w:top w:val="nil"/>
              <w:left w:val="nil"/>
              <w:bottom w:val="nil"/>
              <w:right w:val="nil"/>
            </w:tcBorders>
          </w:tcPr>
          <w:p w14:paraId="3FB5BEB2" w14:textId="77777777" w:rsidR="00BF4BAC" w:rsidRPr="00B0605C" w:rsidRDefault="00BF4BAC" w:rsidP="007D5097">
            <w:pPr>
              <w:rPr>
                <w:rFonts w:ascii="Arial" w:eastAsiaTheme="minorEastAsia" w:hAnsi="Arial" w:cs="Arial"/>
                <w:lang w:val="en-GB" w:eastAsia="ko-KR"/>
              </w:rPr>
            </w:pPr>
            <w:r w:rsidRPr="00B0605C">
              <w:rPr>
                <w:rFonts w:ascii="Arial" w:eastAsiaTheme="minorEastAsia" w:hAnsi="Arial" w:cs="Arial"/>
                <w:lang w:val="en-GB" w:eastAsia="ko-KR"/>
              </w:rPr>
              <w:t>EBITDA Margin (%)</w:t>
            </w:r>
          </w:p>
        </w:tc>
        <w:tc>
          <w:tcPr>
            <w:tcW w:w="1409" w:type="dxa"/>
            <w:tcBorders>
              <w:top w:val="nil"/>
              <w:left w:val="nil"/>
              <w:bottom w:val="nil"/>
              <w:right w:val="nil"/>
            </w:tcBorders>
          </w:tcPr>
          <w:p w14:paraId="3A618B01" w14:textId="77777777" w:rsidR="00BF4BAC" w:rsidRPr="00B0605C" w:rsidRDefault="00BF4BAC" w:rsidP="007D5097">
            <w:pPr>
              <w:jc w:val="right"/>
              <w:rPr>
                <w:rFonts w:ascii="Arial" w:eastAsiaTheme="minorEastAsia" w:hAnsi="Arial" w:cs="Arial"/>
                <w:lang w:val="en-GB" w:eastAsia="ko-KR"/>
              </w:rPr>
            </w:pPr>
            <w:r w:rsidRPr="00B0605C">
              <w:rPr>
                <w:rFonts w:ascii="Arial" w:eastAsiaTheme="minorEastAsia" w:hAnsi="Arial" w:cs="Arial"/>
                <w:lang w:val="en-GB" w:eastAsia="ko-KR"/>
              </w:rPr>
              <w:t>31.90</w:t>
            </w:r>
          </w:p>
        </w:tc>
        <w:tc>
          <w:tcPr>
            <w:tcW w:w="1409" w:type="dxa"/>
            <w:tcBorders>
              <w:top w:val="nil"/>
              <w:left w:val="nil"/>
              <w:bottom w:val="nil"/>
              <w:right w:val="nil"/>
            </w:tcBorders>
          </w:tcPr>
          <w:p w14:paraId="4B1E851F" w14:textId="77777777" w:rsidR="00BF4BAC" w:rsidRPr="00B0605C" w:rsidRDefault="00BF4BAC" w:rsidP="007D5097">
            <w:pPr>
              <w:jc w:val="right"/>
              <w:rPr>
                <w:rFonts w:ascii="Arial" w:eastAsiaTheme="minorEastAsia" w:hAnsi="Arial" w:cs="Arial"/>
                <w:lang w:val="en-GB" w:eastAsia="ko-KR"/>
              </w:rPr>
            </w:pPr>
            <w:r w:rsidRPr="00B0605C">
              <w:rPr>
                <w:rFonts w:ascii="Arial" w:eastAsiaTheme="minorEastAsia" w:hAnsi="Arial" w:cs="Arial"/>
                <w:lang w:val="en-GB" w:eastAsia="ko-KR"/>
              </w:rPr>
              <w:t>33.58</w:t>
            </w:r>
          </w:p>
        </w:tc>
        <w:tc>
          <w:tcPr>
            <w:tcW w:w="1409" w:type="dxa"/>
            <w:tcBorders>
              <w:top w:val="nil"/>
              <w:left w:val="nil"/>
              <w:bottom w:val="nil"/>
              <w:right w:val="nil"/>
            </w:tcBorders>
          </w:tcPr>
          <w:p w14:paraId="6CE5D558" w14:textId="77777777" w:rsidR="00BF4BAC" w:rsidRPr="00B0605C" w:rsidRDefault="00BF4BAC" w:rsidP="007D5097">
            <w:pPr>
              <w:jc w:val="right"/>
              <w:rPr>
                <w:rFonts w:ascii="Arial" w:eastAsiaTheme="minorEastAsia" w:hAnsi="Arial" w:cs="Arial"/>
                <w:lang w:val="en-GB" w:eastAsia="ko-KR"/>
              </w:rPr>
            </w:pPr>
            <w:r w:rsidRPr="00B0605C">
              <w:rPr>
                <w:rFonts w:ascii="Arial" w:eastAsiaTheme="minorEastAsia" w:hAnsi="Arial" w:cs="Arial"/>
                <w:lang w:val="en-GB" w:eastAsia="ko-KR"/>
              </w:rPr>
              <w:t>35.23</w:t>
            </w:r>
          </w:p>
        </w:tc>
        <w:tc>
          <w:tcPr>
            <w:tcW w:w="1409" w:type="dxa"/>
            <w:tcBorders>
              <w:top w:val="nil"/>
              <w:left w:val="nil"/>
              <w:bottom w:val="nil"/>
              <w:right w:val="nil"/>
            </w:tcBorders>
          </w:tcPr>
          <w:p w14:paraId="48367E10" w14:textId="77777777" w:rsidR="00BF4BAC" w:rsidRPr="00B0605C" w:rsidRDefault="00BF4BAC" w:rsidP="007D5097">
            <w:pPr>
              <w:jc w:val="right"/>
              <w:rPr>
                <w:rFonts w:ascii="Arial" w:eastAsiaTheme="minorEastAsia" w:hAnsi="Arial" w:cs="Arial"/>
                <w:lang w:val="en-GB" w:eastAsia="ko-KR"/>
              </w:rPr>
            </w:pPr>
            <w:r w:rsidRPr="00B0605C">
              <w:rPr>
                <w:rFonts w:ascii="Arial" w:eastAsiaTheme="minorEastAsia" w:hAnsi="Arial" w:cs="Arial"/>
                <w:lang w:val="en-GB" w:eastAsia="ko-KR"/>
              </w:rPr>
              <w:t>32.11</w:t>
            </w:r>
          </w:p>
        </w:tc>
      </w:tr>
      <w:tr w:rsidR="00BF4BAC" w:rsidRPr="00B0605C" w14:paraId="07DB195E" w14:textId="77777777" w:rsidTr="00BF4BAC">
        <w:trPr>
          <w:trHeight w:val="177"/>
          <w:jc w:val="center"/>
        </w:trPr>
        <w:tc>
          <w:tcPr>
            <w:tcW w:w="3153" w:type="dxa"/>
            <w:tcBorders>
              <w:top w:val="nil"/>
              <w:left w:val="nil"/>
              <w:bottom w:val="nil"/>
              <w:right w:val="nil"/>
            </w:tcBorders>
          </w:tcPr>
          <w:p w14:paraId="258A8A4E" w14:textId="77777777" w:rsidR="00BF4BAC" w:rsidRPr="00B0605C" w:rsidRDefault="00BF4BAC" w:rsidP="007D5097">
            <w:pPr>
              <w:rPr>
                <w:rFonts w:ascii="Arial" w:eastAsiaTheme="minorEastAsia" w:hAnsi="Arial" w:cs="Arial"/>
                <w:lang w:val="en-GB" w:eastAsia="ko-KR"/>
              </w:rPr>
            </w:pPr>
            <w:r w:rsidRPr="00B0605C">
              <w:rPr>
                <w:rFonts w:ascii="Arial" w:eastAsiaTheme="minorEastAsia" w:hAnsi="Arial" w:cs="Arial"/>
                <w:lang w:val="en-GB" w:eastAsia="ko-KR"/>
              </w:rPr>
              <w:t>Inventory Turnover</w:t>
            </w:r>
          </w:p>
        </w:tc>
        <w:tc>
          <w:tcPr>
            <w:tcW w:w="1409" w:type="dxa"/>
            <w:tcBorders>
              <w:top w:val="nil"/>
              <w:left w:val="nil"/>
              <w:bottom w:val="nil"/>
              <w:right w:val="nil"/>
            </w:tcBorders>
          </w:tcPr>
          <w:p w14:paraId="4EE88DE7" w14:textId="77777777" w:rsidR="00BF4BAC" w:rsidRPr="00B0605C" w:rsidRDefault="00BF4BAC" w:rsidP="007D5097">
            <w:pPr>
              <w:jc w:val="right"/>
              <w:rPr>
                <w:rFonts w:ascii="Arial" w:eastAsiaTheme="minorEastAsia" w:hAnsi="Arial" w:cs="Arial"/>
                <w:lang w:val="en-GB" w:eastAsia="ko-KR"/>
              </w:rPr>
            </w:pPr>
            <w:r w:rsidRPr="00B0605C">
              <w:rPr>
                <w:rFonts w:ascii="Arial" w:eastAsiaTheme="minorEastAsia" w:hAnsi="Arial" w:cs="Arial"/>
                <w:lang w:val="en-GB" w:eastAsia="ko-KR"/>
              </w:rPr>
              <w:t>131.80</w:t>
            </w:r>
          </w:p>
        </w:tc>
        <w:tc>
          <w:tcPr>
            <w:tcW w:w="1409" w:type="dxa"/>
            <w:tcBorders>
              <w:top w:val="nil"/>
              <w:left w:val="nil"/>
              <w:bottom w:val="nil"/>
              <w:right w:val="nil"/>
            </w:tcBorders>
          </w:tcPr>
          <w:p w14:paraId="4A98C044" w14:textId="77777777" w:rsidR="00BF4BAC" w:rsidRPr="00B0605C" w:rsidRDefault="00BF4BAC" w:rsidP="007D5097">
            <w:pPr>
              <w:jc w:val="right"/>
              <w:rPr>
                <w:rFonts w:ascii="Arial" w:eastAsiaTheme="minorEastAsia" w:hAnsi="Arial" w:cs="Arial"/>
                <w:lang w:val="en-GB" w:eastAsia="ko-KR"/>
              </w:rPr>
            </w:pPr>
            <w:r w:rsidRPr="00B0605C">
              <w:rPr>
                <w:rFonts w:ascii="Arial" w:eastAsiaTheme="minorEastAsia" w:hAnsi="Arial" w:cs="Arial"/>
                <w:lang w:val="en-GB" w:eastAsia="ko-KR"/>
              </w:rPr>
              <w:t>145.22</w:t>
            </w:r>
          </w:p>
        </w:tc>
        <w:tc>
          <w:tcPr>
            <w:tcW w:w="1409" w:type="dxa"/>
            <w:tcBorders>
              <w:top w:val="nil"/>
              <w:left w:val="nil"/>
              <w:bottom w:val="nil"/>
              <w:right w:val="nil"/>
            </w:tcBorders>
          </w:tcPr>
          <w:p w14:paraId="6114D960" w14:textId="77777777" w:rsidR="00BF4BAC" w:rsidRPr="00B0605C" w:rsidRDefault="00BF4BAC" w:rsidP="007D5097">
            <w:pPr>
              <w:jc w:val="right"/>
              <w:rPr>
                <w:rFonts w:ascii="Arial" w:eastAsiaTheme="minorEastAsia" w:hAnsi="Arial" w:cs="Arial"/>
                <w:lang w:val="en-GB" w:eastAsia="ko-KR"/>
              </w:rPr>
            </w:pPr>
            <w:r w:rsidRPr="00B0605C">
              <w:rPr>
                <w:rFonts w:ascii="Arial" w:eastAsiaTheme="minorEastAsia" w:hAnsi="Arial" w:cs="Arial"/>
                <w:lang w:val="en-GB" w:eastAsia="ko-KR"/>
              </w:rPr>
              <w:t>185.25</w:t>
            </w:r>
          </w:p>
        </w:tc>
        <w:tc>
          <w:tcPr>
            <w:tcW w:w="1409" w:type="dxa"/>
            <w:tcBorders>
              <w:top w:val="nil"/>
              <w:left w:val="nil"/>
              <w:bottom w:val="nil"/>
              <w:right w:val="nil"/>
            </w:tcBorders>
          </w:tcPr>
          <w:p w14:paraId="77E42E8F" w14:textId="77777777" w:rsidR="00BF4BAC" w:rsidRPr="00B0605C" w:rsidRDefault="00BF4BAC" w:rsidP="007D5097">
            <w:pPr>
              <w:jc w:val="right"/>
              <w:rPr>
                <w:rFonts w:ascii="Arial" w:eastAsiaTheme="minorEastAsia" w:hAnsi="Arial" w:cs="Arial"/>
                <w:lang w:val="en-GB" w:eastAsia="ko-KR"/>
              </w:rPr>
            </w:pPr>
            <w:r w:rsidRPr="00B0605C">
              <w:rPr>
                <w:rFonts w:ascii="Arial" w:eastAsiaTheme="minorEastAsia" w:hAnsi="Arial" w:cs="Arial"/>
                <w:lang w:val="en-GB" w:eastAsia="ko-KR"/>
              </w:rPr>
              <w:t>175.17</w:t>
            </w:r>
          </w:p>
        </w:tc>
      </w:tr>
      <w:tr w:rsidR="00BF4BAC" w:rsidRPr="00B0605C" w14:paraId="5B757703" w14:textId="77777777" w:rsidTr="00BF4BAC">
        <w:trPr>
          <w:trHeight w:val="177"/>
          <w:jc w:val="center"/>
        </w:trPr>
        <w:tc>
          <w:tcPr>
            <w:tcW w:w="3153" w:type="dxa"/>
            <w:tcBorders>
              <w:top w:val="nil"/>
              <w:left w:val="nil"/>
              <w:bottom w:val="nil"/>
              <w:right w:val="nil"/>
            </w:tcBorders>
          </w:tcPr>
          <w:p w14:paraId="7B68D089" w14:textId="77777777" w:rsidR="00BF4BAC" w:rsidRPr="00B0605C" w:rsidRDefault="00BF4BAC" w:rsidP="007D5097">
            <w:pPr>
              <w:rPr>
                <w:rFonts w:ascii="Arial" w:eastAsiaTheme="minorEastAsia" w:hAnsi="Arial" w:cs="Arial"/>
                <w:lang w:val="en-GB" w:eastAsia="ko-KR"/>
              </w:rPr>
            </w:pPr>
            <w:r w:rsidRPr="00B0605C">
              <w:rPr>
                <w:rFonts w:ascii="Arial" w:eastAsiaTheme="minorEastAsia" w:hAnsi="Arial" w:cs="Arial"/>
                <w:lang w:val="en-GB" w:eastAsia="ko-KR"/>
              </w:rPr>
              <w:t>Total Asset Turnover</w:t>
            </w:r>
          </w:p>
        </w:tc>
        <w:tc>
          <w:tcPr>
            <w:tcW w:w="1409" w:type="dxa"/>
            <w:tcBorders>
              <w:top w:val="nil"/>
              <w:left w:val="nil"/>
              <w:bottom w:val="nil"/>
              <w:right w:val="nil"/>
            </w:tcBorders>
          </w:tcPr>
          <w:p w14:paraId="7F150A1B" w14:textId="77777777" w:rsidR="00BF4BAC" w:rsidRPr="00B0605C" w:rsidRDefault="00BF4BAC" w:rsidP="007D5097">
            <w:pPr>
              <w:jc w:val="right"/>
              <w:rPr>
                <w:rFonts w:ascii="Arial" w:eastAsiaTheme="minorEastAsia" w:hAnsi="Arial" w:cs="Arial"/>
                <w:lang w:val="en-GB" w:eastAsia="ko-KR"/>
              </w:rPr>
            </w:pPr>
            <w:r w:rsidRPr="00B0605C">
              <w:rPr>
                <w:rFonts w:ascii="Arial" w:eastAsiaTheme="minorEastAsia" w:hAnsi="Arial" w:cs="Arial"/>
                <w:lang w:val="en-GB" w:eastAsia="ko-KR"/>
              </w:rPr>
              <w:t>0.55</w:t>
            </w:r>
          </w:p>
        </w:tc>
        <w:tc>
          <w:tcPr>
            <w:tcW w:w="1409" w:type="dxa"/>
            <w:tcBorders>
              <w:top w:val="nil"/>
              <w:left w:val="nil"/>
              <w:bottom w:val="nil"/>
              <w:right w:val="nil"/>
            </w:tcBorders>
          </w:tcPr>
          <w:p w14:paraId="6531B534" w14:textId="77777777" w:rsidR="00BF4BAC" w:rsidRPr="00B0605C" w:rsidRDefault="00BF4BAC" w:rsidP="007D5097">
            <w:pPr>
              <w:jc w:val="right"/>
              <w:rPr>
                <w:rFonts w:ascii="Arial" w:eastAsiaTheme="minorEastAsia" w:hAnsi="Arial" w:cs="Arial"/>
                <w:lang w:val="en-GB" w:eastAsia="ko-KR"/>
              </w:rPr>
            </w:pPr>
            <w:r w:rsidRPr="00B0605C">
              <w:rPr>
                <w:rFonts w:ascii="Arial" w:eastAsiaTheme="minorEastAsia" w:hAnsi="Arial" w:cs="Arial"/>
                <w:lang w:val="en-GB" w:eastAsia="ko-KR"/>
              </w:rPr>
              <w:t>0.54</w:t>
            </w:r>
          </w:p>
        </w:tc>
        <w:tc>
          <w:tcPr>
            <w:tcW w:w="1409" w:type="dxa"/>
            <w:tcBorders>
              <w:top w:val="nil"/>
              <w:left w:val="nil"/>
              <w:bottom w:val="nil"/>
              <w:right w:val="nil"/>
            </w:tcBorders>
          </w:tcPr>
          <w:p w14:paraId="3F016E6C" w14:textId="77777777" w:rsidR="00BF4BAC" w:rsidRPr="00B0605C" w:rsidRDefault="00BF4BAC" w:rsidP="007D5097">
            <w:pPr>
              <w:jc w:val="right"/>
              <w:rPr>
                <w:rFonts w:ascii="Arial" w:eastAsiaTheme="minorEastAsia" w:hAnsi="Arial" w:cs="Arial"/>
                <w:lang w:val="en-GB" w:eastAsia="ko-KR"/>
              </w:rPr>
            </w:pPr>
            <w:r w:rsidRPr="00B0605C">
              <w:rPr>
                <w:rFonts w:ascii="Arial" w:eastAsiaTheme="minorEastAsia" w:hAnsi="Arial" w:cs="Arial"/>
                <w:lang w:val="en-GB" w:eastAsia="ko-KR"/>
              </w:rPr>
              <w:t>0.65</w:t>
            </w:r>
          </w:p>
        </w:tc>
        <w:tc>
          <w:tcPr>
            <w:tcW w:w="1409" w:type="dxa"/>
            <w:tcBorders>
              <w:top w:val="nil"/>
              <w:left w:val="nil"/>
              <w:bottom w:val="nil"/>
              <w:right w:val="nil"/>
            </w:tcBorders>
          </w:tcPr>
          <w:p w14:paraId="34F5F99B" w14:textId="77777777" w:rsidR="00BF4BAC" w:rsidRPr="00B0605C" w:rsidRDefault="00BF4BAC" w:rsidP="007D5097">
            <w:pPr>
              <w:jc w:val="right"/>
              <w:rPr>
                <w:rFonts w:ascii="Arial" w:eastAsiaTheme="minorEastAsia" w:hAnsi="Arial" w:cs="Arial"/>
                <w:lang w:val="en-GB" w:eastAsia="ko-KR"/>
              </w:rPr>
            </w:pPr>
            <w:r w:rsidRPr="00B0605C">
              <w:rPr>
                <w:rFonts w:ascii="Arial" w:eastAsiaTheme="minorEastAsia" w:hAnsi="Arial" w:cs="Arial"/>
                <w:lang w:val="en-GB" w:eastAsia="ko-KR"/>
              </w:rPr>
              <w:t>0.61</w:t>
            </w:r>
          </w:p>
        </w:tc>
      </w:tr>
      <w:tr w:rsidR="00BF4BAC" w:rsidRPr="00B0605C" w14:paraId="48DCA794" w14:textId="77777777" w:rsidTr="00BF4BAC">
        <w:trPr>
          <w:trHeight w:val="177"/>
          <w:jc w:val="center"/>
        </w:trPr>
        <w:tc>
          <w:tcPr>
            <w:tcW w:w="3153" w:type="dxa"/>
            <w:tcBorders>
              <w:top w:val="nil"/>
              <w:left w:val="nil"/>
              <w:bottom w:val="single" w:sz="4" w:space="0" w:color="auto"/>
              <w:right w:val="nil"/>
            </w:tcBorders>
          </w:tcPr>
          <w:p w14:paraId="4463A7C6" w14:textId="77777777" w:rsidR="00BF4BAC" w:rsidRPr="00B0605C" w:rsidRDefault="00BF4BAC" w:rsidP="007D5097">
            <w:pPr>
              <w:rPr>
                <w:rFonts w:ascii="Arial" w:eastAsiaTheme="minorEastAsia" w:hAnsi="Arial" w:cs="Arial"/>
                <w:lang w:val="en-GB" w:eastAsia="ko-KR"/>
              </w:rPr>
            </w:pPr>
            <w:r w:rsidRPr="00B0605C">
              <w:rPr>
                <w:rFonts w:ascii="Arial" w:eastAsiaTheme="minorEastAsia" w:hAnsi="Arial" w:cs="Arial"/>
                <w:lang w:val="en-GB" w:eastAsia="ko-KR"/>
              </w:rPr>
              <w:t>Free Cash Flow/Net Income</w:t>
            </w:r>
          </w:p>
        </w:tc>
        <w:tc>
          <w:tcPr>
            <w:tcW w:w="1409" w:type="dxa"/>
            <w:tcBorders>
              <w:top w:val="nil"/>
              <w:left w:val="nil"/>
              <w:bottom w:val="single" w:sz="4" w:space="0" w:color="auto"/>
              <w:right w:val="nil"/>
            </w:tcBorders>
          </w:tcPr>
          <w:p w14:paraId="3E28302B" w14:textId="77777777" w:rsidR="00BF4BAC" w:rsidRPr="00B0605C" w:rsidRDefault="00BF4BAC" w:rsidP="007D5097">
            <w:pPr>
              <w:jc w:val="right"/>
              <w:rPr>
                <w:rFonts w:ascii="Arial" w:eastAsiaTheme="minorEastAsia" w:hAnsi="Arial" w:cs="Arial"/>
                <w:lang w:val="en-GB" w:eastAsia="ko-KR"/>
              </w:rPr>
            </w:pPr>
            <w:r w:rsidRPr="00B0605C">
              <w:rPr>
                <w:rFonts w:ascii="Arial" w:eastAsiaTheme="minorEastAsia" w:hAnsi="Arial" w:cs="Arial"/>
                <w:lang w:val="en-GB" w:eastAsia="ko-KR"/>
              </w:rPr>
              <w:t>1.56</w:t>
            </w:r>
          </w:p>
        </w:tc>
        <w:tc>
          <w:tcPr>
            <w:tcW w:w="1409" w:type="dxa"/>
            <w:tcBorders>
              <w:top w:val="nil"/>
              <w:left w:val="nil"/>
              <w:bottom w:val="single" w:sz="4" w:space="0" w:color="auto"/>
              <w:right w:val="nil"/>
            </w:tcBorders>
          </w:tcPr>
          <w:p w14:paraId="26CCC846" w14:textId="77777777" w:rsidR="00BF4BAC" w:rsidRPr="00B0605C" w:rsidRDefault="00BF4BAC" w:rsidP="007D5097">
            <w:pPr>
              <w:jc w:val="right"/>
              <w:rPr>
                <w:rFonts w:ascii="Arial" w:eastAsiaTheme="minorEastAsia" w:hAnsi="Arial" w:cs="Arial"/>
                <w:lang w:val="en-GB" w:eastAsia="ko-KR"/>
              </w:rPr>
            </w:pPr>
            <w:r w:rsidRPr="00B0605C">
              <w:rPr>
                <w:rFonts w:ascii="Arial" w:eastAsiaTheme="minorEastAsia" w:hAnsi="Arial" w:cs="Arial"/>
                <w:lang w:val="en-GB" w:eastAsia="ko-KR"/>
              </w:rPr>
              <w:t>0.98</w:t>
            </w:r>
          </w:p>
        </w:tc>
        <w:tc>
          <w:tcPr>
            <w:tcW w:w="1409" w:type="dxa"/>
            <w:tcBorders>
              <w:top w:val="nil"/>
              <w:left w:val="nil"/>
              <w:bottom w:val="single" w:sz="4" w:space="0" w:color="auto"/>
              <w:right w:val="nil"/>
            </w:tcBorders>
          </w:tcPr>
          <w:p w14:paraId="192BF96D" w14:textId="77777777" w:rsidR="00BF4BAC" w:rsidRPr="00B0605C" w:rsidRDefault="00BF4BAC" w:rsidP="007D5097">
            <w:pPr>
              <w:jc w:val="right"/>
              <w:rPr>
                <w:rFonts w:ascii="Arial" w:eastAsiaTheme="minorEastAsia" w:hAnsi="Arial" w:cs="Arial"/>
                <w:lang w:val="en-GB" w:eastAsia="ko-KR"/>
              </w:rPr>
            </w:pPr>
            <w:r w:rsidRPr="00B0605C">
              <w:rPr>
                <w:rFonts w:ascii="Arial" w:eastAsiaTheme="minorEastAsia" w:hAnsi="Arial" w:cs="Arial"/>
                <w:lang w:val="en-GB" w:eastAsia="ko-KR"/>
              </w:rPr>
              <w:t>1.29</w:t>
            </w:r>
          </w:p>
        </w:tc>
        <w:tc>
          <w:tcPr>
            <w:tcW w:w="1409" w:type="dxa"/>
            <w:tcBorders>
              <w:top w:val="nil"/>
              <w:left w:val="nil"/>
              <w:bottom w:val="single" w:sz="4" w:space="0" w:color="auto"/>
              <w:right w:val="nil"/>
            </w:tcBorders>
          </w:tcPr>
          <w:p w14:paraId="470C95D3" w14:textId="77777777" w:rsidR="00BF4BAC" w:rsidRPr="00B0605C" w:rsidRDefault="00BF4BAC" w:rsidP="007D5097">
            <w:pPr>
              <w:jc w:val="right"/>
              <w:rPr>
                <w:rFonts w:ascii="Arial" w:eastAsiaTheme="minorEastAsia" w:hAnsi="Arial" w:cs="Arial"/>
                <w:lang w:val="en-GB" w:eastAsia="ko-KR"/>
              </w:rPr>
            </w:pPr>
            <w:r w:rsidRPr="00B0605C">
              <w:rPr>
                <w:rFonts w:ascii="Arial" w:eastAsiaTheme="minorEastAsia" w:hAnsi="Arial" w:cs="Arial"/>
                <w:lang w:val="en-GB" w:eastAsia="ko-KR"/>
              </w:rPr>
              <w:t>1.52</w:t>
            </w:r>
          </w:p>
        </w:tc>
      </w:tr>
    </w:tbl>
    <w:p w14:paraId="5F12DA3F" w14:textId="77777777" w:rsidR="00BF4BAC" w:rsidRPr="00B0605C" w:rsidRDefault="00BF4BAC" w:rsidP="00BF4BAC">
      <w:pPr>
        <w:pStyle w:val="BodyTextMain"/>
        <w:rPr>
          <w:rFonts w:eastAsiaTheme="minorEastAsia"/>
          <w:lang w:val="en-GB" w:eastAsia="ko-KR"/>
        </w:rPr>
      </w:pPr>
    </w:p>
    <w:p w14:paraId="7225530B" w14:textId="1E1E5ADB" w:rsidR="00AC10FF" w:rsidRDefault="00AC10FF" w:rsidP="00BF4BAC">
      <w:pPr>
        <w:pStyle w:val="EndnoteText"/>
        <w:rPr>
          <w:rFonts w:ascii="Arial" w:hAnsi="Arial" w:cs="Arial"/>
          <w:sz w:val="17"/>
          <w:szCs w:val="17"/>
          <w:lang w:val="en-GB"/>
        </w:rPr>
      </w:pPr>
      <w:r>
        <w:rPr>
          <w:rFonts w:ascii="Arial" w:hAnsi="Arial" w:cs="Arial"/>
          <w:sz w:val="17"/>
          <w:szCs w:val="17"/>
          <w:lang w:val="en-GB"/>
        </w:rPr>
        <w:t>Note: EBITDA = earnings before interest, taxes, depreciation, and amortization</w:t>
      </w:r>
      <w:r w:rsidR="00CB24E9">
        <w:rPr>
          <w:rFonts w:ascii="Arial" w:hAnsi="Arial" w:cs="Arial"/>
          <w:sz w:val="17"/>
          <w:szCs w:val="17"/>
          <w:lang w:val="en-GB"/>
        </w:rPr>
        <w:t>.</w:t>
      </w:r>
    </w:p>
    <w:p w14:paraId="714B912E" w14:textId="3BDD2C5D" w:rsidR="00BF4BAC" w:rsidRPr="00B0605C" w:rsidRDefault="00BF4BAC" w:rsidP="00BF4BAC">
      <w:pPr>
        <w:pStyle w:val="EndnoteText"/>
        <w:rPr>
          <w:rFonts w:ascii="Arial" w:hAnsi="Arial" w:cs="Arial"/>
          <w:sz w:val="17"/>
          <w:szCs w:val="17"/>
          <w:lang w:val="en-GB"/>
        </w:rPr>
      </w:pPr>
      <w:r w:rsidRPr="00B0605C">
        <w:rPr>
          <w:rFonts w:ascii="Arial" w:hAnsi="Arial" w:cs="Arial"/>
          <w:sz w:val="17"/>
          <w:szCs w:val="17"/>
          <w:lang w:val="en-GB"/>
        </w:rPr>
        <w:t>Source: Las Vegas Sands Corp.</w:t>
      </w:r>
      <w:r w:rsidR="00AC10FF">
        <w:rPr>
          <w:rFonts w:ascii="Arial" w:hAnsi="Arial" w:cs="Arial"/>
          <w:sz w:val="17"/>
          <w:szCs w:val="17"/>
          <w:lang w:val="en-GB"/>
        </w:rPr>
        <w:t>,</w:t>
      </w:r>
      <w:r w:rsidRPr="00B0605C">
        <w:rPr>
          <w:rFonts w:ascii="Arial" w:hAnsi="Arial" w:cs="Arial"/>
          <w:sz w:val="17"/>
          <w:szCs w:val="17"/>
          <w:lang w:val="en-GB"/>
        </w:rPr>
        <w:t xml:space="preserve"> </w:t>
      </w:r>
      <w:r w:rsidRPr="00E10B29">
        <w:rPr>
          <w:rFonts w:ascii="Arial" w:hAnsi="Arial" w:cs="Arial"/>
          <w:i/>
          <w:sz w:val="17"/>
          <w:szCs w:val="17"/>
          <w:lang w:val="en-GB"/>
        </w:rPr>
        <w:t>Annual Report 2016</w:t>
      </w:r>
      <w:r w:rsidRPr="00B0605C">
        <w:rPr>
          <w:rFonts w:ascii="Arial" w:hAnsi="Arial" w:cs="Arial"/>
          <w:sz w:val="17"/>
          <w:szCs w:val="17"/>
          <w:lang w:val="en-GB"/>
        </w:rPr>
        <w:t>, accessed June 25, 2017</w:t>
      </w:r>
      <w:r w:rsidR="00AC10FF">
        <w:rPr>
          <w:rFonts w:ascii="Arial" w:hAnsi="Arial" w:cs="Arial"/>
          <w:sz w:val="17"/>
          <w:szCs w:val="17"/>
          <w:lang w:val="en-GB"/>
        </w:rPr>
        <w:t xml:space="preserve">, </w:t>
      </w:r>
      <w:r w:rsidR="004B4223" w:rsidRPr="004B4223">
        <w:rPr>
          <w:rFonts w:ascii="Arial" w:hAnsi="Arial" w:cs="Arial"/>
          <w:sz w:val="17"/>
          <w:szCs w:val="17"/>
          <w:lang w:val="en-GB"/>
        </w:rPr>
        <w:t>https://investor.sands.com/ir-home/financial-info/annual-reports/default.aspx</w:t>
      </w:r>
      <w:r w:rsidR="00AC10FF">
        <w:rPr>
          <w:rFonts w:ascii="Arial" w:hAnsi="Arial" w:cs="Arial"/>
          <w:sz w:val="17"/>
          <w:szCs w:val="17"/>
          <w:lang w:val="en-GB"/>
        </w:rPr>
        <w:t xml:space="preserve"> </w:t>
      </w:r>
      <w:r w:rsidRPr="00B0605C">
        <w:rPr>
          <w:rFonts w:ascii="Arial" w:hAnsi="Arial" w:cs="Arial"/>
          <w:sz w:val="17"/>
          <w:szCs w:val="17"/>
          <w:lang w:val="en-GB"/>
        </w:rPr>
        <w:t>and Morningstar Financial</w:t>
      </w:r>
      <w:r w:rsidR="006A1AF8" w:rsidRPr="00B0605C">
        <w:rPr>
          <w:rFonts w:ascii="Arial" w:hAnsi="Arial" w:cs="Arial"/>
          <w:sz w:val="17"/>
          <w:szCs w:val="17"/>
          <w:lang w:val="en-GB"/>
        </w:rPr>
        <w:t>.</w:t>
      </w:r>
      <w:r w:rsidRPr="00B0605C">
        <w:rPr>
          <w:rFonts w:ascii="Arial" w:hAnsi="Arial" w:cs="Arial"/>
          <w:sz w:val="17"/>
          <w:szCs w:val="17"/>
          <w:lang w:val="en-GB"/>
        </w:rPr>
        <w:t xml:space="preserve"> </w:t>
      </w:r>
    </w:p>
    <w:p w14:paraId="3CF2AB7C" w14:textId="77777777" w:rsidR="00BF4BAC" w:rsidRPr="00B0605C" w:rsidRDefault="00BF4BAC" w:rsidP="004837E2">
      <w:pPr>
        <w:pStyle w:val="ExhibitHeading"/>
        <w:rPr>
          <w:rFonts w:eastAsiaTheme="minorEastAsia"/>
          <w:lang w:val="en-GB" w:eastAsia="ko-KR"/>
        </w:rPr>
      </w:pPr>
    </w:p>
    <w:p w14:paraId="5EAB7BCF" w14:textId="26B75F51" w:rsidR="00BF4BAC" w:rsidRPr="00B0605C" w:rsidRDefault="00BF4BAC" w:rsidP="004837E2">
      <w:pPr>
        <w:pStyle w:val="ExhibitHeading"/>
        <w:rPr>
          <w:rFonts w:eastAsiaTheme="minorEastAsia"/>
          <w:lang w:val="en-GB" w:eastAsia="ko-KR"/>
        </w:rPr>
      </w:pPr>
    </w:p>
    <w:p w14:paraId="63D07EB0" w14:textId="7A50B872" w:rsidR="006847BF" w:rsidRPr="00B0605C" w:rsidRDefault="006847BF" w:rsidP="004837E2">
      <w:pPr>
        <w:pStyle w:val="ExhibitHeading"/>
        <w:rPr>
          <w:rFonts w:eastAsiaTheme="minorEastAsia"/>
          <w:lang w:val="en-GB" w:eastAsia="ko-KR"/>
        </w:rPr>
      </w:pPr>
    </w:p>
    <w:p w14:paraId="05C0F929" w14:textId="656A6D6A" w:rsidR="006847BF" w:rsidRPr="00B0605C" w:rsidRDefault="006847BF" w:rsidP="004837E2">
      <w:pPr>
        <w:pStyle w:val="ExhibitHeading"/>
        <w:rPr>
          <w:rFonts w:eastAsiaTheme="minorEastAsia"/>
          <w:lang w:val="en-GB" w:eastAsia="ko-KR"/>
        </w:rPr>
      </w:pPr>
    </w:p>
    <w:p w14:paraId="3EF4703F" w14:textId="0203E394" w:rsidR="006847BF" w:rsidRPr="00B0605C" w:rsidRDefault="006847BF" w:rsidP="004837E2">
      <w:pPr>
        <w:pStyle w:val="ExhibitHeading"/>
        <w:rPr>
          <w:rFonts w:eastAsiaTheme="minorEastAsia"/>
          <w:lang w:val="en-GB" w:eastAsia="ko-KR"/>
        </w:rPr>
      </w:pPr>
    </w:p>
    <w:p w14:paraId="6A3E492E" w14:textId="237FA065" w:rsidR="006847BF" w:rsidRPr="00B0605C" w:rsidRDefault="006847BF" w:rsidP="004837E2">
      <w:pPr>
        <w:pStyle w:val="ExhibitHeading"/>
        <w:rPr>
          <w:rFonts w:eastAsiaTheme="minorEastAsia"/>
          <w:lang w:val="en-GB" w:eastAsia="ko-KR"/>
        </w:rPr>
      </w:pPr>
    </w:p>
    <w:p w14:paraId="7239114A" w14:textId="27AF2688" w:rsidR="006847BF" w:rsidRPr="00B0605C" w:rsidRDefault="006847BF" w:rsidP="004837E2">
      <w:pPr>
        <w:pStyle w:val="ExhibitHeading"/>
        <w:rPr>
          <w:rFonts w:eastAsiaTheme="minorEastAsia"/>
          <w:lang w:val="en-GB" w:eastAsia="ko-KR"/>
        </w:rPr>
      </w:pPr>
    </w:p>
    <w:p w14:paraId="0565FE89" w14:textId="143418C7" w:rsidR="006847BF" w:rsidRPr="00B0605C" w:rsidRDefault="006847BF" w:rsidP="004837E2">
      <w:pPr>
        <w:pStyle w:val="ExhibitHeading"/>
        <w:rPr>
          <w:rFonts w:eastAsiaTheme="minorEastAsia"/>
          <w:lang w:val="en-GB" w:eastAsia="ko-KR"/>
        </w:rPr>
      </w:pPr>
    </w:p>
    <w:p w14:paraId="033AAD2F" w14:textId="77777777" w:rsidR="006847BF" w:rsidRPr="00B0605C" w:rsidRDefault="006847BF" w:rsidP="00865D71">
      <w:pPr>
        <w:pStyle w:val="ExhibitHeading"/>
        <w:jc w:val="left"/>
        <w:rPr>
          <w:rFonts w:eastAsiaTheme="minorEastAsia"/>
          <w:lang w:val="en-GB" w:eastAsia="ko-KR"/>
        </w:rPr>
      </w:pPr>
    </w:p>
    <w:p w14:paraId="582097A9" w14:textId="5AE8C241" w:rsidR="004837E2" w:rsidRPr="00B0605C" w:rsidRDefault="004837E2" w:rsidP="004837E2">
      <w:pPr>
        <w:pStyle w:val="ExhibitHeading"/>
        <w:rPr>
          <w:rFonts w:eastAsiaTheme="minorEastAsia"/>
          <w:lang w:val="en-GB" w:eastAsia="ko-KR"/>
        </w:rPr>
      </w:pPr>
      <w:r w:rsidRPr="00B0605C">
        <w:rPr>
          <w:rFonts w:eastAsiaTheme="minorEastAsia"/>
          <w:lang w:val="en-GB" w:eastAsia="ko-KR"/>
        </w:rPr>
        <w:lastRenderedPageBreak/>
        <w:t xml:space="preserve">Exhibit </w:t>
      </w:r>
      <w:r w:rsidR="00BF4BAC" w:rsidRPr="00B0605C">
        <w:rPr>
          <w:rFonts w:eastAsiaTheme="minorEastAsia"/>
          <w:lang w:val="en-GB" w:eastAsia="ko-KR"/>
        </w:rPr>
        <w:t>6</w:t>
      </w:r>
      <w:r w:rsidRPr="00B0605C">
        <w:rPr>
          <w:rFonts w:eastAsiaTheme="minorEastAsia"/>
          <w:lang w:val="en-GB" w:eastAsia="ko-KR"/>
        </w:rPr>
        <w:t xml:space="preserve">: financial data of </w:t>
      </w:r>
      <w:r w:rsidR="00AC10FF">
        <w:rPr>
          <w:rFonts w:eastAsiaTheme="minorEastAsia"/>
          <w:lang w:val="en-GB" w:eastAsia="ko-KR"/>
        </w:rPr>
        <w:t xml:space="preserve">Las vegas sands Corp. and its </w:t>
      </w:r>
      <w:r w:rsidRPr="00B0605C">
        <w:rPr>
          <w:rFonts w:eastAsiaTheme="minorEastAsia"/>
          <w:lang w:val="en-GB" w:eastAsia="ko-KR"/>
        </w:rPr>
        <w:t xml:space="preserve">major </w:t>
      </w:r>
      <w:r w:rsidR="00AC10FF" w:rsidRPr="00B0605C">
        <w:rPr>
          <w:rFonts w:eastAsiaTheme="minorEastAsia"/>
          <w:lang w:val="en-GB" w:eastAsia="ko-KR"/>
        </w:rPr>
        <w:t>comp</w:t>
      </w:r>
      <w:r w:rsidR="00AC10FF">
        <w:rPr>
          <w:rFonts w:eastAsiaTheme="minorEastAsia"/>
          <w:lang w:val="en-GB" w:eastAsia="ko-KR"/>
        </w:rPr>
        <w:t>etitors</w:t>
      </w:r>
    </w:p>
    <w:p w14:paraId="6A504899" w14:textId="1E6650C2" w:rsidR="004837E2" w:rsidRPr="00B0605C" w:rsidRDefault="004837E2" w:rsidP="004837E2">
      <w:pPr>
        <w:pStyle w:val="BodyTextMain"/>
        <w:rPr>
          <w:rFonts w:eastAsiaTheme="minorEastAsia"/>
          <w:sz w:val="17"/>
          <w:szCs w:val="17"/>
          <w:lang w:val="en-GB" w:eastAsia="ko-KR"/>
        </w:rPr>
      </w:pPr>
    </w:p>
    <w:tbl>
      <w:tblPr>
        <w:tblStyle w:val="TableGrid"/>
        <w:tblW w:w="891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6"/>
        <w:gridCol w:w="1718"/>
        <w:gridCol w:w="1798"/>
        <w:gridCol w:w="1619"/>
        <w:gridCol w:w="1799"/>
      </w:tblGrid>
      <w:tr w:rsidR="006847BF" w:rsidRPr="00B0605C" w14:paraId="57C16166" w14:textId="77777777" w:rsidTr="00017F0E">
        <w:trPr>
          <w:trHeight w:val="503"/>
          <w:jc w:val="center"/>
        </w:trPr>
        <w:tc>
          <w:tcPr>
            <w:tcW w:w="1976" w:type="dxa"/>
            <w:tcBorders>
              <w:top w:val="single" w:sz="4" w:space="0" w:color="auto"/>
              <w:bottom w:val="single" w:sz="4" w:space="0" w:color="auto"/>
              <w:right w:val="single" w:sz="4" w:space="0" w:color="auto"/>
            </w:tcBorders>
            <w:vAlign w:val="center"/>
          </w:tcPr>
          <w:p w14:paraId="69D0769C" w14:textId="77777777" w:rsidR="006847BF" w:rsidRPr="00B0605C" w:rsidRDefault="006847BF" w:rsidP="00865D71">
            <w:pPr>
              <w:pStyle w:val="ExhibitHeading"/>
              <w:rPr>
                <w:lang w:val="en-GB"/>
              </w:rPr>
            </w:pPr>
          </w:p>
          <w:p w14:paraId="7D632399" w14:textId="77777777" w:rsidR="006847BF" w:rsidRPr="00B0605C" w:rsidRDefault="006847BF" w:rsidP="00865D71">
            <w:pPr>
              <w:pStyle w:val="ExhibitHeading"/>
              <w:rPr>
                <w:lang w:val="en-GB"/>
              </w:rPr>
            </w:pPr>
          </w:p>
        </w:tc>
        <w:tc>
          <w:tcPr>
            <w:tcW w:w="1718" w:type="dxa"/>
            <w:tcBorders>
              <w:top w:val="single" w:sz="4" w:space="0" w:color="auto"/>
              <w:left w:val="single" w:sz="4" w:space="0" w:color="auto"/>
              <w:bottom w:val="single" w:sz="4" w:space="0" w:color="auto"/>
              <w:right w:val="single" w:sz="4" w:space="0" w:color="auto"/>
            </w:tcBorders>
            <w:vAlign w:val="center"/>
          </w:tcPr>
          <w:p w14:paraId="5F59981F" w14:textId="77777777" w:rsidR="006847BF" w:rsidRPr="00B0605C" w:rsidRDefault="006847BF" w:rsidP="00865D71">
            <w:pPr>
              <w:pStyle w:val="BodyTextMain"/>
              <w:jc w:val="center"/>
              <w:rPr>
                <w:rFonts w:ascii="Arial" w:eastAsiaTheme="minorEastAsia" w:hAnsi="Arial" w:cs="Arial"/>
                <w:b/>
                <w:sz w:val="20"/>
                <w:szCs w:val="20"/>
                <w:lang w:val="en-GB" w:eastAsia="ko-KR"/>
              </w:rPr>
            </w:pPr>
            <w:r w:rsidRPr="00B0605C">
              <w:rPr>
                <w:rFonts w:ascii="Arial" w:eastAsiaTheme="minorEastAsia" w:hAnsi="Arial" w:cs="Arial"/>
                <w:b/>
                <w:sz w:val="20"/>
                <w:szCs w:val="20"/>
                <w:lang w:val="en-GB" w:eastAsia="ko-KR"/>
              </w:rPr>
              <w:t>Las Vegas</w:t>
            </w:r>
          </w:p>
          <w:p w14:paraId="0B2DBAB3" w14:textId="6E60E442" w:rsidR="006847BF" w:rsidRPr="00B0605C" w:rsidRDefault="006847BF" w:rsidP="00865D71">
            <w:pPr>
              <w:pStyle w:val="BodyTextMain"/>
              <w:jc w:val="center"/>
              <w:rPr>
                <w:rFonts w:ascii="Arial" w:eastAsiaTheme="minorEastAsia" w:hAnsi="Arial" w:cs="Arial"/>
                <w:b/>
                <w:sz w:val="20"/>
                <w:szCs w:val="20"/>
                <w:lang w:val="en-GB" w:eastAsia="ko-KR"/>
              </w:rPr>
            </w:pPr>
            <w:r w:rsidRPr="00B0605C">
              <w:rPr>
                <w:rFonts w:ascii="Arial" w:eastAsiaTheme="minorEastAsia" w:hAnsi="Arial" w:cs="Arial"/>
                <w:b/>
                <w:sz w:val="20"/>
                <w:szCs w:val="20"/>
                <w:lang w:val="en-GB" w:eastAsia="ko-KR"/>
              </w:rPr>
              <w:t>Sands Corp.</w:t>
            </w:r>
          </w:p>
        </w:tc>
        <w:tc>
          <w:tcPr>
            <w:tcW w:w="1798" w:type="dxa"/>
            <w:tcBorders>
              <w:top w:val="single" w:sz="4" w:space="0" w:color="auto"/>
              <w:left w:val="single" w:sz="4" w:space="0" w:color="auto"/>
              <w:bottom w:val="single" w:sz="4" w:space="0" w:color="auto"/>
              <w:right w:val="single" w:sz="4" w:space="0" w:color="auto"/>
            </w:tcBorders>
            <w:vAlign w:val="center"/>
          </w:tcPr>
          <w:p w14:paraId="74602BE8" w14:textId="6CE71D40" w:rsidR="006847BF" w:rsidRPr="00B0605C" w:rsidRDefault="006847BF" w:rsidP="00017F0E">
            <w:pPr>
              <w:pStyle w:val="BodyTextMain"/>
              <w:jc w:val="center"/>
              <w:rPr>
                <w:rFonts w:ascii="Arial" w:eastAsiaTheme="minorEastAsia" w:hAnsi="Arial" w:cs="Arial"/>
                <w:b/>
                <w:sz w:val="20"/>
                <w:szCs w:val="20"/>
                <w:lang w:val="en-GB" w:eastAsia="ko-KR"/>
              </w:rPr>
            </w:pPr>
            <w:r w:rsidRPr="00B0605C">
              <w:rPr>
                <w:rFonts w:ascii="Arial" w:eastAsiaTheme="minorEastAsia" w:hAnsi="Arial" w:cs="Arial"/>
                <w:b/>
                <w:sz w:val="20"/>
                <w:szCs w:val="20"/>
                <w:lang w:val="en-GB" w:eastAsia="ko-KR"/>
              </w:rPr>
              <w:t>MGM Resorts International</w:t>
            </w:r>
            <w:r w:rsidR="006F4F39">
              <w:rPr>
                <w:rFonts w:ascii="Arial" w:eastAsiaTheme="minorEastAsia" w:hAnsi="Arial" w:cs="Arial"/>
                <w:b/>
                <w:sz w:val="20"/>
                <w:szCs w:val="20"/>
                <w:lang w:val="en-GB" w:eastAsia="ko-KR"/>
              </w:rPr>
              <w:t xml:space="preserve"> </w:t>
            </w:r>
          </w:p>
        </w:tc>
        <w:tc>
          <w:tcPr>
            <w:tcW w:w="1619" w:type="dxa"/>
            <w:tcBorders>
              <w:top w:val="single" w:sz="4" w:space="0" w:color="auto"/>
              <w:left w:val="single" w:sz="4" w:space="0" w:color="auto"/>
              <w:bottom w:val="single" w:sz="4" w:space="0" w:color="auto"/>
              <w:right w:val="single" w:sz="4" w:space="0" w:color="auto"/>
            </w:tcBorders>
            <w:vAlign w:val="center"/>
          </w:tcPr>
          <w:p w14:paraId="28815D0B" w14:textId="77777777" w:rsidR="006847BF" w:rsidRPr="00B0605C" w:rsidRDefault="006847BF" w:rsidP="00865D71">
            <w:pPr>
              <w:pStyle w:val="BodyTextMain"/>
              <w:jc w:val="center"/>
              <w:rPr>
                <w:rFonts w:ascii="Arial" w:eastAsiaTheme="minorEastAsia" w:hAnsi="Arial" w:cs="Arial"/>
                <w:b/>
                <w:sz w:val="20"/>
                <w:szCs w:val="20"/>
                <w:lang w:val="en-GB" w:eastAsia="ko-KR"/>
              </w:rPr>
            </w:pPr>
            <w:r w:rsidRPr="00B0605C">
              <w:rPr>
                <w:rFonts w:ascii="Arial" w:eastAsiaTheme="minorEastAsia" w:hAnsi="Arial" w:cs="Arial"/>
                <w:b/>
                <w:sz w:val="20"/>
                <w:szCs w:val="20"/>
                <w:lang w:val="en-GB" w:eastAsia="ko-KR"/>
              </w:rPr>
              <w:t>Wynn</w:t>
            </w:r>
          </w:p>
          <w:p w14:paraId="05DB28EB" w14:textId="1CE7C0B2" w:rsidR="006F4F39" w:rsidRPr="00B0605C" w:rsidRDefault="006847BF" w:rsidP="003F19AC">
            <w:pPr>
              <w:pStyle w:val="BodyTextMain"/>
              <w:jc w:val="center"/>
              <w:rPr>
                <w:rFonts w:ascii="Arial" w:eastAsiaTheme="minorEastAsia" w:hAnsi="Arial" w:cs="Arial"/>
                <w:b/>
                <w:sz w:val="20"/>
                <w:szCs w:val="20"/>
                <w:lang w:val="en-GB" w:eastAsia="ko-KR"/>
              </w:rPr>
            </w:pPr>
            <w:r w:rsidRPr="00B0605C">
              <w:rPr>
                <w:rFonts w:ascii="Arial" w:eastAsiaTheme="minorEastAsia" w:hAnsi="Arial" w:cs="Arial"/>
                <w:b/>
                <w:sz w:val="20"/>
                <w:szCs w:val="20"/>
                <w:lang w:val="en-GB" w:eastAsia="ko-KR"/>
              </w:rPr>
              <w:t>Resorts</w:t>
            </w:r>
          </w:p>
        </w:tc>
        <w:tc>
          <w:tcPr>
            <w:tcW w:w="1799" w:type="dxa"/>
            <w:tcBorders>
              <w:top w:val="single" w:sz="4" w:space="0" w:color="auto"/>
              <w:left w:val="single" w:sz="4" w:space="0" w:color="auto"/>
              <w:bottom w:val="single" w:sz="4" w:space="0" w:color="auto"/>
            </w:tcBorders>
            <w:vAlign w:val="center"/>
          </w:tcPr>
          <w:p w14:paraId="43BD8282" w14:textId="77777777" w:rsidR="006847BF" w:rsidRPr="00B0605C" w:rsidRDefault="006847BF" w:rsidP="00865D71">
            <w:pPr>
              <w:pStyle w:val="BodyTextMain"/>
              <w:jc w:val="center"/>
              <w:rPr>
                <w:rFonts w:ascii="Arial" w:eastAsiaTheme="minorEastAsia" w:hAnsi="Arial" w:cs="Arial"/>
                <w:b/>
                <w:sz w:val="20"/>
                <w:szCs w:val="20"/>
                <w:lang w:val="en-GB" w:eastAsia="ko-KR"/>
              </w:rPr>
            </w:pPr>
            <w:r w:rsidRPr="00B0605C">
              <w:rPr>
                <w:rFonts w:ascii="Arial" w:eastAsiaTheme="minorEastAsia" w:hAnsi="Arial" w:cs="Arial"/>
                <w:b/>
                <w:sz w:val="20"/>
                <w:szCs w:val="20"/>
                <w:lang w:val="en-GB" w:eastAsia="ko-KR"/>
              </w:rPr>
              <w:t>Caesars</w:t>
            </w:r>
          </w:p>
          <w:p w14:paraId="58448579" w14:textId="73E566DC" w:rsidR="006847BF" w:rsidRPr="00B0605C" w:rsidRDefault="006847BF" w:rsidP="00017F0E">
            <w:pPr>
              <w:pStyle w:val="BodyTextMain"/>
              <w:jc w:val="center"/>
              <w:rPr>
                <w:rFonts w:ascii="Arial" w:eastAsiaTheme="minorEastAsia" w:hAnsi="Arial" w:cs="Arial"/>
                <w:b/>
                <w:sz w:val="20"/>
                <w:szCs w:val="20"/>
                <w:lang w:val="en-GB" w:eastAsia="ko-KR"/>
              </w:rPr>
            </w:pPr>
            <w:r w:rsidRPr="00B0605C">
              <w:rPr>
                <w:rFonts w:ascii="Arial" w:eastAsiaTheme="minorEastAsia" w:hAnsi="Arial" w:cs="Arial"/>
                <w:b/>
                <w:sz w:val="20"/>
                <w:szCs w:val="20"/>
                <w:lang w:val="en-GB" w:eastAsia="ko-KR"/>
              </w:rPr>
              <w:t>Entertainment</w:t>
            </w:r>
            <w:r w:rsidR="006F4F39">
              <w:rPr>
                <w:rFonts w:ascii="Arial" w:eastAsiaTheme="minorEastAsia" w:hAnsi="Arial" w:cs="Arial"/>
                <w:b/>
                <w:sz w:val="20"/>
                <w:szCs w:val="20"/>
                <w:lang w:val="en-GB" w:eastAsia="ko-KR"/>
              </w:rPr>
              <w:t xml:space="preserve"> </w:t>
            </w:r>
          </w:p>
        </w:tc>
      </w:tr>
      <w:tr w:rsidR="006847BF" w:rsidRPr="00B0605C" w14:paraId="79657262" w14:textId="77777777" w:rsidTr="00017F0E">
        <w:trPr>
          <w:trHeight w:val="209"/>
          <w:jc w:val="center"/>
        </w:trPr>
        <w:tc>
          <w:tcPr>
            <w:tcW w:w="1976" w:type="dxa"/>
            <w:tcBorders>
              <w:right w:val="single" w:sz="4" w:space="0" w:color="auto"/>
            </w:tcBorders>
            <w:vAlign w:val="center"/>
          </w:tcPr>
          <w:p w14:paraId="30C27C38" w14:textId="0FAB2503" w:rsidR="006847BF" w:rsidRPr="00B0605C" w:rsidRDefault="006F4F39" w:rsidP="006F4F39">
            <w:pPr>
              <w:rPr>
                <w:rFonts w:ascii="Arial" w:hAnsi="Arial" w:cs="Arial"/>
                <w:lang w:val="en-GB"/>
              </w:rPr>
            </w:pPr>
            <w:r>
              <w:rPr>
                <w:rFonts w:ascii="Arial" w:hAnsi="Arial" w:cs="Arial"/>
                <w:lang w:val="en-GB"/>
              </w:rPr>
              <w:t xml:space="preserve">Revenue </w:t>
            </w:r>
          </w:p>
        </w:tc>
        <w:tc>
          <w:tcPr>
            <w:tcW w:w="1718" w:type="dxa"/>
            <w:tcBorders>
              <w:left w:val="single" w:sz="4" w:space="0" w:color="auto"/>
              <w:right w:val="single" w:sz="4" w:space="0" w:color="auto"/>
            </w:tcBorders>
            <w:vAlign w:val="center"/>
          </w:tcPr>
          <w:p w14:paraId="302434FB" w14:textId="2EFBC793" w:rsidR="006847BF" w:rsidRPr="00B0605C" w:rsidRDefault="00017F0E" w:rsidP="00017F0E">
            <w:pPr>
              <w:jc w:val="right"/>
              <w:rPr>
                <w:rFonts w:ascii="Arial" w:hAnsi="Arial" w:cs="Arial"/>
                <w:lang w:val="en-GB"/>
              </w:rPr>
            </w:pPr>
            <w:r>
              <w:rPr>
                <w:rFonts w:ascii="Arial" w:hAnsi="Arial" w:cs="Arial"/>
                <w:lang w:val="en-GB"/>
              </w:rPr>
              <w:t>11,410</w:t>
            </w:r>
          </w:p>
        </w:tc>
        <w:tc>
          <w:tcPr>
            <w:tcW w:w="1798" w:type="dxa"/>
            <w:tcBorders>
              <w:left w:val="single" w:sz="4" w:space="0" w:color="auto"/>
              <w:right w:val="single" w:sz="4" w:space="0" w:color="auto"/>
            </w:tcBorders>
            <w:vAlign w:val="center"/>
          </w:tcPr>
          <w:p w14:paraId="78114358" w14:textId="0C241970" w:rsidR="006847BF" w:rsidRPr="00B0605C" w:rsidRDefault="00017F0E" w:rsidP="00017F0E">
            <w:pPr>
              <w:jc w:val="right"/>
              <w:rPr>
                <w:rFonts w:ascii="Arial" w:hAnsi="Arial" w:cs="Arial"/>
                <w:lang w:val="en-GB"/>
              </w:rPr>
            </w:pPr>
            <w:r>
              <w:rPr>
                <w:rFonts w:ascii="Arial" w:hAnsi="Arial" w:cs="Arial"/>
                <w:lang w:val="en-GB"/>
              </w:rPr>
              <w:t>9,455</w:t>
            </w:r>
          </w:p>
        </w:tc>
        <w:tc>
          <w:tcPr>
            <w:tcW w:w="1619" w:type="dxa"/>
            <w:tcBorders>
              <w:left w:val="single" w:sz="4" w:space="0" w:color="auto"/>
              <w:right w:val="single" w:sz="4" w:space="0" w:color="auto"/>
            </w:tcBorders>
            <w:vAlign w:val="center"/>
          </w:tcPr>
          <w:p w14:paraId="49516FB8" w14:textId="2C1D3D00" w:rsidR="006847BF" w:rsidRPr="00B0605C" w:rsidRDefault="00017F0E" w:rsidP="00017F0E">
            <w:pPr>
              <w:jc w:val="right"/>
              <w:rPr>
                <w:rFonts w:ascii="Arial" w:hAnsi="Arial" w:cs="Arial"/>
                <w:lang w:val="en-GB"/>
              </w:rPr>
            </w:pPr>
            <w:r>
              <w:rPr>
                <w:rFonts w:ascii="Arial" w:hAnsi="Arial" w:cs="Arial"/>
                <w:lang w:val="en-GB"/>
              </w:rPr>
              <w:t>4,466</w:t>
            </w:r>
          </w:p>
        </w:tc>
        <w:tc>
          <w:tcPr>
            <w:tcW w:w="1799" w:type="dxa"/>
            <w:tcBorders>
              <w:left w:val="single" w:sz="4" w:space="0" w:color="auto"/>
            </w:tcBorders>
            <w:vAlign w:val="center"/>
          </w:tcPr>
          <w:p w14:paraId="5437BD49" w14:textId="78B9E5EA" w:rsidR="006847BF" w:rsidRPr="00B0605C" w:rsidRDefault="00017F0E" w:rsidP="00017F0E">
            <w:pPr>
              <w:jc w:val="right"/>
              <w:rPr>
                <w:rFonts w:ascii="Arial" w:hAnsi="Arial" w:cs="Arial"/>
                <w:lang w:val="en-GB"/>
              </w:rPr>
            </w:pPr>
            <w:r>
              <w:rPr>
                <w:rFonts w:ascii="Arial" w:hAnsi="Arial" w:cs="Arial"/>
                <w:lang w:val="en-GB"/>
              </w:rPr>
              <w:t>3,877</w:t>
            </w:r>
          </w:p>
        </w:tc>
      </w:tr>
      <w:tr w:rsidR="006847BF" w:rsidRPr="00B0605C" w14:paraId="79D52196" w14:textId="77777777" w:rsidTr="00017F0E">
        <w:trPr>
          <w:trHeight w:val="209"/>
          <w:jc w:val="center"/>
        </w:trPr>
        <w:tc>
          <w:tcPr>
            <w:tcW w:w="1976" w:type="dxa"/>
            <w:tcBorders>
              <w:right w:val="single" w:sz="4" w:space="0" w:color="auto"/>
            </w:tcBorders>
            <w:vAlign w:val="center"/>
          </w:tcPr>
          <w:p w14:paraId="43E203C6" w14:textId="2679632C" w:rsidR="006847BF" w:rsidRPr="00B0605C" w:rsidRDefault="006847BF" w:rsidP="00017F0E">
            <w:pPr>
              <w:rPr>
                <w:rFonts w:ascii="Arial" w:hAnsi="Arial" w:cs="Arial"/>
                <w:lang w:val="en-GB"/>
              </w:rPr>
            </w:pPr>
            <w:r w:rsidRPr="00B0605C">
              <w:rPr>
                <w:rFonts w:ascii="Arial" w:hAnsi="Arial" w:cs="Arial"/>
                <w:lang w:val="en-GB"/>
              </w:rPr>
              <w:t>EBITDA</w:t>
            </w:r>
          </w:p>
        </w:tc>
        <w:tc>
          <w:tcPr>
            <w:tcW w:w="1718" w:type="dxa"/>
            <w:tcBorders>
              <w:left w:val="single" w:sz="4" w:space="0" w:color="auto"/>
              <w:right w:val="single" w:sz="4" w:space="0" w:color="auto"/>
            </w:tcBorders>
            <w:vAlign w:val="center"/>
          </w:tcPr>
          <w:p w14:paraId="50B7AB9B" w14:textId="0EB635B3" w:rsidR="006847BF" w:rsidRPr="00B0605C" w:rsidRDefault="00017F0E" w:rsidP="00017F0E">
            <w:pPr>
              <w:jc w:val="right"/>
              <w:rPr>
                <w:rFonts w:ascii="Arial" w:hAnsi="Arial" w:cs="Arial"/>
                <w:lang w:val="en-GB"/>
              </w:rPr>
            </w:pPr>
            <w:r>
              <w:rPr>
                <w:rFonts w:ascii="Arial" w:hAnsi="Arial" w:cs="Arial"/>
                <w:lang w:val="en-GB"/>
              </w:rPr>
              <w:t>3,640</w:t>
            </w:r>
          </w:p>
        </w:tc>
        <w:tc>
          <w:tcPr>
            <w:tcW w:w="1798" w:type="dxa"/>
            <w:tcBorders>
              <w:left w:val="single" w:sz="4" w:space="0" w:color="auto"/>
              <w:right w:val="single" w:sz="4" w:space="0" w:color="auto"/>
            </w:tcBorders>
            <w:vAlign w:val="center"/>
          </w:tcPr>
          <w:p w14:paraId="313F29A2" w14:textId="7F36D8E2" w:rsidR="006847BF" w:rsidRPr="00B0605C" w:rsidRDefault="00017F0E" w:rsidP="00017F0E">
            <w:pPr>
              <w:jc w:val="right"/>
              <w:rPr>
                <w:rFonts w:ascii="Arial" w:hAnsi="Arial" w:cs="Arial"/>
                <w:lang w:val="en-GB"/>
              </w:rPr>
            </w:pPr>
            <w:r>
              <w:rPr>
                <w:rFonts w:ascii="Arial" w:hAnsi="Arial" w:cs="Arial"/>
                <w:lang w:val="en-GB"/>
              </w:rPr>
              <w:t>2,803</w:t>
            </w:r>
          </w:p>
        </w:tc>
        <w:tc>
          <w:tcPr>
            <w:tcW w:w="1619" w:type="dxa"/>
            <w:tcBorders>
              <w:left w:val="single" w:sz="4" w:space="0" w:color="auto"/>
              <w:right w:val="single" w:sz="4" w:space="0" w:color="auto"/>
            </w:tcBorders>
            <w:vAlign w:val="center"/>
          </w:tcPr>
          <w:p w14:paraId="5F2CFAE6" w14:textId="762B5387" w:rsidR="006847BF" w:rsidRPr="00B0605C" w:rsidRDefault="00017F0E" w:rsidP="00017F0E">
            <w:pPr>
              <w:jc w:val="right"/>
              <w:rPr>
                <w:rFonts w:ascii="Arial" w:hAnsi="Arial" w:cs="Arial"/>
                <w:lang w:val="en-GB"/>
              </w:rPr>
            </w:pPr>
            <w:r>
              <w:rPr>
                <w:rFonts w:ascii="Arial" w:hAnsi="Arial" w:cs="Arial"/>
                <w:lang w:val="en-GB"/>
              </w:rPr>
              <w:t>1,005</w:t>
            </w:r>
          </w:p>
        </w:tc>
        <w:tc>
          <w:tcPr>
            <w:tcW w:w="1799" w:type="dxa"/>
            <w:tcBorders>
              <w:left w:val="single" w:sz="4" w:space="0" w:color="auto"/>
            </w:tcBorders>
            <w:vAlign w:val="center"/>
          </w:tcPr>
          <w:p w14:paraId="5BA23B98" w14:textId="773064F1" w:rsidR="006847BF" w:rsidRPr="00B0605C" w:rsidRDefault="006847BF" w:rsidP="00017F0E">
            <w:pPr>
              <w:jc w:val="right"/>
              <w:rPr>
                <w:rFonts w:ascii="Arial" w:hAnsi="Arial" w:cs="Arial"/>
                <w:lang w:val="en-GB"/>
              </w:rPr>
            </w:pPr>
            <w:r w:rsidRPr="00B0605C">
              <w:rPr>
                <w:rFonts w:ascii="Arial" w:hAnsi="Arial" w:cs="Arial"/>
                <w:lang w:val="en-GB"/>
              </w:rPr>
              <w:t>(5,</w:t>
            </w:r>
            <w:r w:rsidR="00017F0E">
              <w:rPr>
                <w:rFonts w:ascii="Arial" w:hAnsi="Arial" w:cs="Arial"/>
                <w:lang w:val="en-GB"/>
              </w:rPr>
              <w:t>062</w:t>
            </w:r>
            <w:r w:rsidRPr="00B0605C">
              <w:rPr>
                <w:rFonts w:ascii="Arial" w:hAnsi="Arial" w:cs="Arial"/>
                <w:lang w:val="en-GB"/>
              </w:rPr>
              <w:t>)</w:t>
            </w:r>
          </w:p>
        </w:tc>
      </w:tr>
      <w:tr w:rsidR="006847BF" w:rsidRPr="00B0605C" w14:paraId="6385B71F" w14:textId="77777777" w:rsidTr="00017F0E">
        <w:trPr>
          <w:trHeight w:val="209"/>
          <w:jc w:val="center"/>
        </w:trPr>
        <w:tc>
          <w:tcPr>
            <w:tcW w:w="1976" w:type="dxa"/>
            <w:tcBorders>
              <w:right w:val="single" w:sz="4" w:space="0" w:color="auto"/>
            </w:tcBorders>
            <w:vAlign w:val="center"/>
          </w:tcPr>
          <w:p w14:paraId="007682DD" w14:textId="77777777" w:rsidR="006847BF" w:rsidRPr="00B0605C" w:rsidRDefault="006847BF" w:rsidP="00865D71">
            <w:pPr>
              <w:rPr>
                <w:rFonts w:ascii="Arial" w:hAnsi="Arial" w:cs="Arial"/>
                <w:lang w:val="en-GB"/>
              </w:rPr>
            </w:pPr>
            <w:r w:rsidRPr="00B0605C">
              <w:rPr>
                <w:rFonts w:ascii="Arial" w:hAnsi="Arial" w:cs="Arial"/>
                <w:lang w:val="en-GB"/>
              </w:rPr>
              <w:t>Net Income</w:t>
            </w:r>
          </w:p>
        </w:tc>
        <w:tc>
          <w:tcPr>
            <w:tcW w:w="1718" w:type="dxa"/>
            <w:tcBorders>
              <w:left w:val="single" w:sz="4" w:space="0" w:color="auto"/>
              <w:right w:val="single" w:sz="4" w:space="0" w:color="auto"/>
            </w:tcBorders>
            <w:vAlign w:val="center"/>
          </w:tcPr>
          <w:p w14:paraId="5D870611" w14:textId="169D57FB" w:rsidR="006847BF" w:rsidRPr="00B0605C" w:rsidRDefault="006847BF" w:rsidP="00017F0E">
            <w:pPr>
              <w:jc w:val="right"/>
              <w:rPr>
                <w:rFonts w:ascii="Arial" w:hAnsi="Arial" w:cs="Arial"/>
                <w:lang w:val="en-GB"/>
              </w:rPr>
            </w:pPr>
            <w:r w:rsidRPr="00B0605C">
              <w:rPr>
                <w:rFonts w:ascii="Arial" w:hAnsi="Arial" w:cs="Arial"/>
                <w:lang w:val="en-GB"/>
              </w:rPr>
              <w:t>1,</w:t>
            </w:r>
            <w:r w:rsidR="00017F0E">
              <w:rPr>
                <w:rFonts w:ascii="Arial" w:hAnsi="Arial" w:cs="Arial"/>
                <w:lang w:val="en-GB"/>
              </w:rPr>
              <w:t>670</w:t>
            </w:r>
          </w:p>
        </w:tc>
        <w:tc>
          <w:tcPr>
            <w:tcW w:w="1798" w:type="dxa"/>
            <w:tcBorders>
              <w:left w:val="single" w:sz="4" w:space="0" w:color="auto"/>
              <w:right w:val="single" w:sz="4" w:space="0" w:color="auto"/>
            </w:tcBorders>
            <w:vAlign w:val="center"/>
          </w:tcPr>
          <w:p w14:paraId="20009358" w14:textId="2D44F75A" w:rsidR="006847BF" w:rsidRPr="00B0605C" w:rsidRDefault="00017F0E" w:rsidP="00017F0E">
            <w:pPr>
              <w:jc w:val="right"/>
              <w:rPr>
                <w:rFonts w:ascii="Arial" w:hAnsi="Arial" w:cs="Arial"/>
                <w:lang w:val="en-GB"/>
              </w:rPr>
            </w:pPr>
            <w:r>
              <w:rPr>
                <w:rFonts w:ascii="Arial" w:hAnsi="Arial" w:cs="Arial"/>
                <w:lang w:val="en-GB"/>
              </w:rPr>
              <w:t>1,101</w:t>
            </w:r>
          </w:p>
        </w:tc>
        <w:tc>
          <w:tcPr>
            <w:tcW w:w="1619" w:type="dxa"/>
            <w:tcBorders>
              <w:left w:val="single" w:sz="4" w:space="0" w:color="auto"/>
              <w:right w:val="single" w:sz="4" w:space="0" w:color="auto"/>
            </w:tcBorders>
            <w:vAlign w:val="center"/>
          </w:tcPr>
          <w:p w14:paraId="51215BC1" w14:textId="15ECE083" w:rsidR="006847BF" w:rsidRPr="00B0605C" w:rsidRDefault="00017F0E" w:rsidP="00017F0E">
            <w:pPr>
              <w:jc w:val="right"/>
              <w:rPr>
                <w:rFonts w:ascii="Arial" w:hAnsi="Arial" w:cs="Arial"/>
                <w:lang w:val="en-GB"/>
              </w:rPr>
            </w:pPr>
            <w:r>
              <w:rPr>
                <w:rFonts w:ascii="Arial" w:hAnsi="Arial" w:cs="Arial"/>
                <w:lang w:val="en-GB"/>
              </w:rPr>
              <w:t>242</w:t>
            </w:r>
          </w:p>
        </w:tc>
        <w:tc>
          <w:tcPr>
            <w:tcW w:w="1799" w:type="dxa"/>
            <w:tcBorders>
              <w:left w:val="single" w:sz="4" w:space="0" w:color="auto"/>
            </w:tcBorders>
            <w:vAlign w:val="center"/>
          </w:tcPr>
          <w:p w14:paraId="07C9CB37" w14:textId="3B6DBD88" w:rsidR="006847BF" w:rsidRPr="00B0605C" w:rsidRDefault="006847BF" w:rsidP="00017F0E">
            <w:pPr>
              <w:jc w:val="right"/>
              <w:rPr>
                <w:rFonts w:ascii="Arial" w:hAnsi="Arial" w:cs="Arial"/>
                <w:lang w:val="en-GB"/>
              </w:rPr>
            </w:pPr>
            <w:r w:rsidRPr="00B0605C">
              <w:rPr>
                <w:rFonts w:ascii="Arial" w:hAnsi="Arial" w:cs="Arial"/>
                <w:lang w:val="en-GB"/>
              </w:rPr>
              <w:t>(</w:t>
            </w:r>
            <w:r w:rsidR="00017F0E">
              <w:rPr>
                <w:rFonts w:ascii="Arial" w:hAnsi="Arial" w:cs="Arial"/>
                <w:lang w:val="en-GB"/>
              </w:rPr>
              <w:t>2,997</w:t>
            </w:r>
            <w:r w:rsidRPr="00B0605C">
              <w:rPr>
                <w:rFonts w:ascii="Arial" w:hAnsi="Arial" w:cs="Arial"/>
                <w:lang w:val="en-GB"/>
              </w:rPr>
              <w:t>)</w:t>
            </w:r>
          </w:p>
        </w:tc>
      </w:tr>
      <w:tr w:rsidR="006847BF" w:rsidRPr="00B0605C" w14:paraId="24868B50" w14:textId="77777777" w:rsidTr="00017F0E">
        <w:trPr>
          <w:trHeight w:val="244"/>
          <w:jc w:val="center"/>
        </w:trPr>
        <w:tc>
          <w:tcPr>
            <w:tcW w:w="1976" w:type="dxa"/>
            <w:tcBorders>
              <w:right w:val="single" w:sz="4" w:space="0" w:color="auto"/>
            </w:tcBorders>
            <w:vAlign w:val="center"/>
          </w:tcPr>
          <w:p w14:paraId="1BCF1EAB" w14:textId="77777777" w:rsidR="006847BF" w:rsidRPr="00B0605C" w:rsidRDefault="006847BF" w:rsidP="00865D71">
            <w:pPr>
              <w:rPr>
                <w:rFonts w:ascii="Arial" w:hAnsi="Arial" w:cs="Arial"/>
                <w:lang w:val="en-GB"/>
              </w:rPr>
            </w:pPr>
            <w:r w:rsidRPr="00B0605C">
              <w:rPr>
                <w:rFonts w:ascii="Arial" w:hAnsi="Arial" w:cs="Arial"/>
                <w:lang w:val="en-GB"/>
              </w:rPr>
              <w:t>Earnings Per Share</w:t>
            </w:r>
          </w:p>
        </w:tc>
        <w:tc>
          <w:tcPr>
            <w:tcW w:w="1718" w:type="dxa"/>
            <w:tcBorders>
              <w:left w:val="single" w:sz="4" w:space="0" w:color="auto"/>
              <w:right w:val="single" w:sz="4" w:space="0" w:color="auto"/>
            </w:tcBorders>
            <w:vAlign w:val="center"/>
          </w:tcPr>
          <w:p w14:paraId="73D84A01" w14:textId="7C0CF03B" w:rsidR="006847BF" w:rsidRPr="00B0605C" w:rsidRDefault="00017F0E" w:rsidP="00017F0E">
            <w:pPr>
              <w:jc w:val="right"/>
              <w:rPr>
                <w:rFonts w:ascii="Arial" w:hAnsi="Arial" w:cs="Arial"/>
                <w:lang w:val="en-GB"/>
              </w:rPr>
            </w:pPr>
            <w:r>
              <w:rPr>
                <w:rFonts w:ascii="Arial" w:hAnsi="Arial" w:cs="Arial"/>
                <w:lang w:val="en-GB"/>
              </w:rPr>
              <w:t>2.10</w:t>
            </w:r>
          </w:p>
        </w:tc>
        <w:tc>
          <w:tcPr>
            <w:tcW w:w="1798" w:type="dxa"/>
            <w:tcBorders>
              <w:left w:val="single" w:sz="4" w:space="0" w:color="auto"/>
              <w:right w:val="single" w:sz="4" w:space="0" w:color="auto"/>
            </w:tcBorders>
            <w:vAlign w:val="center"/>
          </w:tcPr>
          <w:p w14:paraId="4B9BF7EE" w14:textId="176901DF" w:rsidR="006847BF" w:rsidRPr="00B0605C" w:rsidRDefault="00017F0E" w:rsidP="00017F0E">
            <w:pPr>
              <w:jc w:val="right"/>
              <w:rPr>
                <w:rFonts w:ascii="Arial" w:hAnsi="Arial" w:cs="Arial"/>
                <w:lang w:val="en-GB"/>
              </w:rPr>
            </w:pPr>
            <w:r>
              <w:rPr>
                <w:rFonts w:ascii="Arial" w:hAnsi="Arial" w:cs="Arial"/>
                <w:lang w:val="en-GB"/>
              </w:rPr>
              <w:t>1.94</w:t>
            </w:r>
          </w:p>
        </w:tc>
        <w:tc>
          <w:tcPr>
            <w:tcW w:w="1619" w:type="dxa"/>
            <w:tcBorders>
              <w:left w:val="single" w:sz="4" w:space="0" w:color="auto"/>
              <w:right w:val="single" w:sz="4" w:space="0" w:color="auto"/>
            </w:tcBorders>
            <w:vAlign w:val="center"/>
          </w:tcPr>
          <w:p w14:paraId="39835122" w14:textId="327973FF" w:rsidR="006847BF" w:rsidRPr="00B0605C" w:rsidRDefault="006847BF" w:rsidP="00017F0E">
            <w:pPr>
              <w:jc w:val="right"/>
              <w:rPr>
                <w:rFonts w:ascii="Arial" w:hAnsi="Arial" w:cs="Arial"/>
                <w:lang w:val="en-GB"/>
              </w:rPr>
            </w:pPr>
            <w:r w:rsidRPr="00B0605C">
              <w:rPr>
                <w:rFonts w:ascii="Arial" w:hAnsi="Arial" w:cs="Arial"/>
                <w:lang w:val="en-GB"/>
              </w:rPr>
              <w:t>2.</w:t>
            </w:r>
            <w:r w:rsidR="00017F0E">
              <w:rPr>
                <w:rFonts w:ascii="Arial" w:hAnsi="Arial" w:cs="Arial"/>
                <w:lang w:val="en-GB"/>
              </w:rPr>
              <w:t>38</w:t>
            </w:r>
          </w:p>
        </w:tc>
        <w:tc>
          <w:tcPr>
            <w:tcW w:w="1799" w:type="dxa"/>
            <w:tcBorders>
              <w:left w:val="single" w:sz="4" w:space="0" w:color="auto"/>
            </w:tcBorders>
            <w:vAlign w:val="center"/>
          </w:tcPr>
          <w:p w14:paraId="7DCC5FDD" w14:textId="7863C903" w:rsidR="006847BF" w:rsidRPr="00B0605C" w:rsidRDefault="006847BF" w:rsidP="00017F0E">
            <w:pPr>
              <w:jc w:val="right"/>
              <w:rPr>
                <w:rFonts w:ascii="Arial" w:hAnsi="Arial" w:cs="Arial"/>
                <w:lang w:val="en-GB"/>
              </w:rPr>
            </w:pPr>
            <w:r w:rsidRPr="00B0605C">
              <w:rPr>
                <w:rFonts w:ascii="Arial" w:hAnsi="Arial" w:cs="Arial"/>
                <w:lang w:val="en-GB"/>
              </w:rPr>
              <w:t>(2</w:t>
            </w:r>
            <w:r w:rsidR="00017F0E">
              <w:rPr>
                <w:rFonts w:ascii="Arial" w:hAnsi="Arial" w:cs="Arial"/>
                <w:lang w:val="en-GB"/>
              </w:rPr>
              <w:t>4.41</w:t>
            </w:r>
            <w:r w:rsidRPr="00B0605C">
              <w:rPr>
                <w:rFonts w:ascii="Arial" w:hAnsi="Arial" w:cs="Arial"/>
                <w:lang w:val="en-GB"/>
              </w:rPr>
              <w:t>)</w:t>
            </w:r>
          </w:p>
        </w:tc>
      </w:tr>
      <w:tr w:rsidR="00017F0E" w:rsidRPr="00B0605C" w14:paraId="4FA3CD71" w14:textId="77777777" w:rsidTr="00017F0E">
        <w:trPr>
          <w:trHeight w:val="244"/>
          <w:jc w:val="center"/>
        </w:trPr>
        <w:tc>
          <w:tcPr>
            <w:tcW w:w="1976" w:type="dxa"/>
            <w:tcBorders>
              <w:right w:val="single" w:sz="4" w:space="0" w:color="auto"/>
            </w:tcBorders>
            <w:vAlign w:val="center"/>
          </w:tcPr>
          <w:p w14:paraId="02F5BDEE" w14:textId="1D861367" w:rsidR="00017F0E" w:rsidRPr="00B0605C" w:rsidRDefault="00017F0E" w:rsidP="000975FF">
            <w:pPr>
              <w:rPr>
                <w:rFonts w:ascii="Arial" w:hAnsi="Arial" w:cs="Arial"/>
                <w:lang w:val="en-GB"/>
              </w:rPr>
            </w:pPr>
            <w:r>
              <w:rPr>
                <w:rFonts w:ascii="Arial" w:hAnsi="Arial" w:cs="Arial"/>
                <w:lang w:val="en-GB"/>
              </w:rPr>
              <w:t xml:space="preserve">Net Margin </w:t>
            </w:r>
          </w:p>
        </w:tc>
        <w:tc>
          <w:tcPr>
            <w:tcW w:w="1718" w:type="dxa"/>
            <w:tcBorders>
              <w:left w:val="single" w:sz="4" w:space="0" w:color="auto"/>
              <w:right w:val="single" w:sz="4" w:space="0" w:color="auto"/>
            </w:tcBorders>
            <w:vAlign w:val="center"/>
          </w:tcPr>
          <w:p w14:paraId="2883F6C1" w14:textId="01935B48" w:rsidR="00017F0E" w:rsidRDefault="000975FF" w:rsidP="00017F0E">
            <w:pPr>
              <w:jc w:val="right"/>
              <w:rPr>
                <w:rFonts w:ascii="Arial" w:hAnsi="Arial" w:cs="Arial"/>
                <w:lang w:val="en-GB"/>
              </w:rPr>
            </w:pPr>
            <w:r>
              <w:rPr>
                <w:rFonts w:ascii="Arial" w:hAnsi="Arial" w:cs="Arial"/>
                <w:lang w:val="en-GB"/>
              </w:rPr>
              <w:t>14.64%</w:t>
            </w:r>
          </w:p>
        </w:tc>
        <w:tc>
          <w:tcPr>
            <w:tcW w:w="1798" w:type="dxa"/>
            <w:tcBorders>
              <w:left w:val="single" w:sz="4" w:space="0" w:color="auto"/>
              <w:right w:val="single" w:sz="4" w:space="0" w:color="auto"/>
            </w:tcBorders>
            <w:vAlign w:val="center"/>
          </w:tcPr>
          <w:p w14:paraId="699E12CB" w14:textId="09B104FD" w:rsidR="00017F0E" w:rsidRDefault="000975FF" w:rsidP="000975FF">
            <w:pPr>
              <w:jc w:val="right"/>
              <w:rPr>
                <w:rFonts w:ascii="Arial" w:hAnsi="Arial" w:cs="Arial"/>
                <w:lang w:val="en-GB"/>
              </w:rPr>
            </w:pPr>
            <w:r>
              <w:rPr>
                <w:rFonts w:ascii="Arial" w:hAnsi="Arial" w:cs="Arial"/>
                <w:lang w:val="en-GB"/>
              </w:rPr>
              <w:t>11.65%</w:t>
            </w:r>
          </w:p>
        </w:tc>
        <w:tc>
          <w:tcPr>
            <w:tcW w:w="1619" w:type="dxa"/>
            <w:tcBorders>
              <w:left w:val="single" w:sz="4" w:space="0" w:color="auto"/>
              <w:right w:val="single" w:sz="4" w:space="0" w:color="auto"/>
            </w:tcBorders>
            <w:vAlign w:val="center"/>
          </w:tcPr>
          <w:p w14:paraId="7043EDEE" w14:textId="61C6E68C" w:rsidR="00017F0E" w:rsidRPr="00B0605C" w:rsidRDefault="00017F0E" w:rsidP="00017F0E">
            <w:pPr>
              <w:jc w:val="right"/>
              <w:rPr>
                <w:rFonts w:ascii="Arial" w:hAnsi="Arial" w:cs="Arial"/>
                <w:lang w:val="en-GB"/>
              </w:rPr>
            </w:pPr>
            <w:r>
              <w:rPr>
                <w:rFonts w:ascii="Arial" w:hAnsi="Arial" w:cs="Arial"/>
                <w:lang w:val="en-GB"/>
              </w:rPr>
              <w:t>5.42%</w:t>
            </w:r>
          </w:p>
        </w:tc>
        <w:tc>
          <w:tcPr>
            <w:tcW w:w="1799" w:type="dxa"/>
            <w:tcBorders>
              <w:left w:val="single" w:sz="4" w:space="0" w:color="auto"/>
            </w:tcBorders>
            <w:vAlign w:val="center"/>
          </w:tcPr>
          <w:p w14:paraId="790BAAC9" w14:textId="01D8302E" w:rsidR="00017F0E" w:rsidRPr="00B0605C" w:rsidRDefault="003F19AC" w:rsidP="00017F0E">
            <w:pPr>
              <w:jc w:val="right"/>
              <w:rPr>
                <w:rFonts w:ascii="Arial" w:hAnsi="Arial" w:cs="Arial"/>
                <w:lang w:val="en-GB"/>
              </w:rPr>
            </w:pPr>
            <w:r>
              <w:rPr>
                <w:rFonts w:ascii="Arial" w:hAnsi="Arial" w:cs="Arial"/>
                <w:lang w:val="en-GB"/>
              </w:rPr>
              <w:t>–</w:t>
            </w:r>
            <w:r w:rsidR="00017F0E">
              <w:rPr>
                <w:rFonts w:ascii="Arial" w:hAnsi="Arial" w:cs="Arial"/>
                <w:lang w:val="en-GB"/>
              </w:rPr>
              <w:t>92.06%</w:t>
            </w:r>
          </w:p>
        </w:tc>
      </w:tr>
      <w:tr w:rsidR="006847BF" w:rsidRPr="00B0605C" w14:paraId="1A8772A4" w14:textId="77777777" w:rsidTr="00017F0E">
        <w:trPr>
          <w:trHeight w:val="247"/>
          <w:jc w:val="center"/>
        </w:trPr>
        <w:tc>
          <w:tcPr>
            <w:tcW w:w="1976" w:type="dxa"/>
            <w:tcBorders>
              <w:right w:val="single" w:sz="4" w:space="0" w:color="auto"/>
            </w:tcBorders>
            <w:vAlign w:val="center"/>
          </w:tcPr>
          <w:p w14:paraId="589B3070" w14:textId="77777777" w:rsidR="006847BF" w:rsidRPr="00B0605C" w:rsidRDefault="006847BF" w:rsidP="00865D71">
            <w:pPr>
              <w:rPr>
                <w:rFonts w:ascii="Arial" w:hAnsi="Arial" w:cs="Arial"/>
                <w:lang w:val="en-GB"/>
              </w:rPr>
            </w:pPr>
            <w:r w:rsidRPr="00B0605C">
              <w:rPr>
                <w:rFonts w:ascii="Arial" w:hAnsi="Arial" w:cs="Arial"/>
                <w:lang w:val="en-GB"/>
              </w:rPr>
              <w:t xml:space="preserve">Return on Assets </w:t>
            </w:r>
          </w:p>
        </w:tc>
        <w:tc>
          <w:tcPr>
            <w:tcW w:w="1718" w:type="dxa"/>
            <w:tcBorders>
              <w:left w:val="single" w:sz="4" w:space="0" w:color="auto"/>
              <w:right w:val="single" w:sz="4" w:space="0" w:color="auto"/>
            </w:tcBorders>
            <w:vAlign w:val="center"/>
          </w:tcPr>
          <w:p w14:paraId="549E1140" w14:textId="27236DF4" w:rsidR="006847BF" w:rsidRPr="00B0605C" w:rsidRDefault="00017F0E" w:rsidP="00017F0E">
            <w:pPr>
              <w:jc w:val="right"/>
              <w:rPr>
                <w:rFonts w:ascii="Arial" w:hAnsi="Arial" w:cs="Arial"/>
                <w:lang w:val="en-GB"/>
              </w:rPr>
            </w:pPr>
            <w:r>
              <w:rPr>
                <w:rFonts w:ascii="Arial" w:hAnsi="Arial" w:cs="Arial"/>
                <w:lang w:val="en-GB"/>
              </w:rPr>
              <w:t>8.06%</w:t>
            </w:r>
          </w:p>
        </w:tc>
        <w:tc>
          <w:tcPr>
            <w:tcW w:w="1798" w:type="dxa"/>
            <w:tcBorders>
              <w:left w:val="single" w:sz="4" w:space="0" w:color="auto"/>
              <w:right w:val="single" w:sz="4" w:space="0" w:color="auto"/>
            </w:tcBorders>
            <w:vAlign w:val="center"/>
          </w:tcPr>
          <w:p w14:paraId="4F08B8EA" w14:textId="153DF8D8" w:rsidR="006847BF" w:rsidRPr="00B0605C" w:rsidRDefault="00017F0E" w:rsidP="00017F0E">
            <w:pPr>
              <w:jc w:val="right"/>
              <w:rPr>
                <w:rFonts w:ascii="Arial" w:hAnsi="Arial" w:cs="Arial"/>
                <w:lang w:val="en-GB"/>
              </w:rPr>
            </w:pPr>
            <w:r>
              <w:rPr>
                <w:rFonts w:ascii="Arial" w:hAnsi="Arial" w:cs="Arial"/>
                <w:lang w:val="en-GB"/>
              </w:rPr>
              <w:t>4.13</w:t>
            </w:r>
            <w:r w:rsidR="006847BF" w:rsidRPr="00B0605C">
              <w:rPr>
                <w:rFonts w:ascii="Arial" w:hAnsi="Arial" w:cs="Arial"/>
                <w:lang w:val="en-GB"/>
              </w:rPr>
              <w:t>%</w:t>
            </w:r>
          </w:p>
        </w:tc>
        <w:tc>
          <w:tcPr>
            <w:tcW w:w="1619" w:type="dxa"/>
            <w:tcBorders>
              <w:left w:val="single" w:sz="4" w:space="0" w:color="auto"/>
              <w:right w:val="single" w:sz="4" w:space="0" w:color="auto"/>
            </w:tcBorders>
            <w:vAlign w:val="center"/>
          </w:tcPr>
          <w:p w14:paraId="1CAABBBB" w14:textId="058029B9" w:rsidR="006847BF" w:rsidRPr="00B0605C" w:rsidRDefault="00017F0E" w:rsidP="00017F0E">
            <w:pPr>
              <w:jc w:val="right"/>
              <w:rPr>
                <w:rFonts w:ascii="Arial" w:hAnsi="Arial" w:cs="Arial"/>
                <w:lang w:val="en-GB"/>
              </w:rPr>
            </w:pPr>
            <w:r>
              <w:rPr>
                <w:rFonts w:ascii="Arial" w:hAnsi="Arial" w:cs="Arial"/>
                <w:lang w:val="en-GB"/>
              </w:rPr>
              <w:t>2.15%</w:t>
            </w:r>
          </w:p>
        </w:tc>
        <w:tc>
          <w:tcPr>
            <w:tcW w:w="1799" w:type="dxa"/>
            <w:tcBorders>
              <w:left w:val="single" w:sz="4" w:space="0" w:color="auto"/>
            </w:tcBorders>
            <w:vAlign w:val="center"/>
          </w:tcPr>
          <w:p w14:paraId="5CF0BCCA" w14:textId="20CD5AFA" w:rsidR="006847BF" w:rsidRPr="00B0605C" w:rsidRDefault="006847BF" w:rsidP="00017F0E">
            <w:pPr>
              <w:jc w:val="right"/>
              <w:rPr>
                <w:rFonts w:ascii="Arial" w:hAnsi="Arial" w:cs="Arial"/>
                <w:lang w:val="en-GB"/>
              </w:rPr>
            </w:pPr>
            <w:r w:rsidRPr="00B0605C">
              <w:rPr>
                <w:rFonts w:ascii="Arial" w:hAnsi="Arial" w:cs="Arial"/>
                <w:lang w:val="en-GB"/>
              </w:rPr>
              <w:t>(</w:t>
            </w:r>
            <w:r w:rsidR="00017F0E">
              <w:rPr>
                <w:rFonts w:ascii="Arial" w:hAnsi="Arial" w:cs="Arial"/>
                <w:lang w:val="en-GB"/>
              </w:rPr>
              <w:t>26.35</w:t>
            </w:r>
            <w:r w:rsidRPr="00B0605C">
              <w:rPr>
                <w:rFonts w:ascii="Arial" w:hAnsi="Arial" w:cs="Arial"/>
                <w:lang w:val="en-GB"/>
              </w:rPr>
              <w:t>%)</w:t>
            </w:r>
          </w:p>
        </w:tc>
      </w:tr>
    </w:tbl>
    <w:p w14:paraId="7EE465D9" w14:textId="77777777" w:rsidR="00865D71" w:rsidRPr="00B0605C" w:rsidRDefault="00865D71" w:rsidP="004837E2">
      <w:pPr>
        <w:pStyle w:val="BodyTextMain"/>
        <w:rPr>
          <w:rFonts w:ascii="Arial" w:hAnsi="Arial" w:cs="Arial"/>
          <w:sz w:val="17"/>
          <w:szCs w:val="17"/>
          <w:lang w:val="en-GB"/>
        </w:rPr>
      </w:pPr>
    </w:p>
    <w:p w14:paraId="24FDF98A" w14:textId="35F8E1BF" w:rsidR="004837E2" w:rsidRPr="00B0605C" w:rsidRDefault="004837E2" w:rsidP="004837E2">
      <w:pPr>
        <w:pStyle w:val="BodyTextMain"/>
        <w:rPr>
          <w:rFonts w:ascii="Arial" w:hAnsi="Arial" w:cs="Arial"/>
          <w:sz w:val="17"/>
          <w:szCs w:val="17"/>
          <w:lang w:val="en-GB"/>
        </w:rPr>
      </w:pPr>
      <w:r w:rsidRPr="00B0605C">
        <w:rPr>
          <w:rFonts w:ascii="Arial" w:hAnsi="Arial" w:cs="Arial"/>
          <w:sz w:val="17"/>
          <w:szCs w:val="17"/>
          <w:lang w:val="en-GB"/>
        </w:rPr>
        <w:t xml:space="preserve">Note: </w:t>
      </w:r>
      <w:r w:rsidR="00AC10FF">
        <w:rPr>
          <w:rFonts w:ascii="Arial" w:hAnsi="Arial" w:cs="Arial"/>
          <w:sz w:val="17"/>
          <w:szCs w:val="17"/>
          <w:lang w:val="en-GB"/>
        </w:rPr>
        <w:t>Data represent the</w:t>
      </w:r>
      <w:r w:rsidR="00017F0E">
        <w:rPr>
          <w:rFonts w:ascii="Arial" w:hAnsi="Arial" w:cs="Arial"/>
          <w:sz w:val="17"/>
          <w:szCs w:val="17"/>
          <w:lang w:val="en-GB"/>
        </w:rPr>
        <w:t xml:space="preserve"> fiscal year ending December 2016</w:t>
      </w:r>
      <w:r w:rsidR="003F19AC">
        <w:rPr>
          <w:rFonts w:ascii="Arial" w:hAnsi="Arial" w:cs="Arial"/>
          <w:sz w:val="17"/>
          <w:szCs w:val="17"/>
          <w:lang w:val="en-GB"/>
        </w:rPr>
        <w:t>;</w:t>
      </w:r>
      <w:r w:rsidR="00017F0E">
        <w:rPr>
          <w:rFonts w:ascii="Arial" w:hAnsi="Arial" w:cs="Arial"/>
          <w:sz w:val="17"/>
          <w:szCs w:val="17"/>
          <w:lang w:val="en-GB"/>
        </w:rPr>
        <w:t xml:space="preserve"> </w:t>
      </w:r>
      <w:r w:rsidR="00AC10FF">
        <w:rPr>
          <w:rFonts w:ascii="Arial" w:hAnsi="Arial" w:cs="Arial"/>
          <w:sz w:val="17"/>
          <w:szCs w:val="17"/>
          <w:lang w:val="en-GB"/>
        </w:rPr>
        <w:t>EBITDA = earnings before interest, taxes, depreciation, and amortization;</w:t>
      </w:r>
      <w:r w:rsidR="00AC10FF" w:rsidRPr="00B0605C">
        <w:rPr>
          <w:rFonts w:ascii="Arial" w:hAnsi="Arial" w:cs="Arial"/>
          <w:sz w:val="17"/>
          <w:szCs w:val="17"/>
          <w:lang w:val="en-GB"/>
        </w:rPr>
        <w:t xml:space="preserve"> </w:t>
      </w:r>
      <w:r w:rsidRPr="00B0605C">
        <w:rPr>
          <w:rFonts w:ascii="Arial" w:hAnsi="Arial" w:cs="Arial"/>
          <w:sz w:val="17"/>
          <w:szCs w:val="17"/>
          <w:lang w:val="en-GB"/>
        </w:rPr>
        <w:t xml:space="preserve">Sales, EBITDA, and Net Income are </w:t>
      </w:r>
      <w:r w:rsidR="00AC10FF">
        <w:rPr>
          <w:rFonts w:ascii="Arial" w:hAnsi="Arial" w:cs="Arial"/>
          <w:sz w:val="17"/>
          <w:szCs w:val="17"/>
          <w:lang w:val="en-GB"/>
        </w:rPr>
        <w:t xml:space="preserve">shown </w:t>
      </w:r>
      <w:r w:rsidRPr="00B0605C">
        <w:rPr>
          <w:rFonts w:ascii="Arial" w:hAnsi="Arial" w:cs="Arial"/>
          <w:sz w:val="17"/>
          <w:szCs w:val="17"/>
          <w:lang w:val="en-GB"/>
        </w:rPr>
        <w:t xml:space="preserve">in </w:t>
      </w:r>
      <w:r w:rsidR="00FE3F11" w:rsidRPr="00B0605C">
        <w:rPr>
          <w:rFonts w:ascii="Arial" w:hAnsi="Arial" w:cs="Arial"/>
          <w:sz w:val="17"/>
          <w:szCs w:val="17"/>
          <w:lang w:val="en-GB"/>
        </w:rPr>
        <w:t>m</w:t>
      </w:r>
      <w:r w:rsidRPr="00B0605C">
        <w:rPr>
          <w:rFonts w:ascii="Arial" w:hAnsi="Arial" w:cs="Arial"/>
          <w:sz w:val="17"/>
          <w:szCs w:val="17"/>
          <w:lang w:val="en-GB"/>
        </w:rPr>
        <w:t xml:space="preserve">illions </w:t>
      </w:r>
      <w:r w:rsidR="00AC10FF">
        <w:rPr>
          <w:rFonts w:ascii="Arial" w:hAnsi="Arial" w:cs="Arial"/>
          <w:sz w:val="17"/>
          <w:szCs w:val="17"/>
          <w:lang w:val="en-GB"/>
        </w:rPr>
        <w:t xml:space="preserve">of </w:t>
      </w:r>
      <w:r w:rsidRPr="00B0605C">
        <w:rPr>
          <w:rFonts w:ascii="Arial" w:hAnsi="Arial" w:cs="Arial"/>
          <w:sz w:val="17"/>
          <w:szCs w:val="17"/>
          <w:lang w:val="en-GB"/>
        </w:rPr>
        <w:t>U</w:t>
      </w:r>
      <w:r w:rsidR="00AC10FF">
        <w:rPr>
          <w:rFonts w:ascii="Arial" w:hAnsi="Arial" w:cs="Arial"/>
          <w:sz w:val="17"/>
          <w:szCs w:val="17"/>
          <w:lang w:val="en-GB"/>
        </w:rPr>
        <w:t>.</w:t>
      </w:r>
      <w:r w:rsidRPr="00B0605C">
        <w:rPr>
          <w:rFonts w:ascii="Arial" w:hAnsi="Arial" w:cs="Arial"/>
          <w:sz w:val="17"/>
          <w:szCs w:val="17"/>
          <w:lang w:val="en-GB"/>
        </w:rPr>
        <w:t>S</w:t>
      </w:r>
      <w:r w:rsidR="00AC10FF">
        <w:rPr>
          <w:rFonts w:ascii="Arial" w:hAnsi="Arial" w:cs="Arial"/>
          <w:sz w:val="17"/>
          <w:szCs w:val="17"/>
          <w:lang w:val="en-GB"/>
        </w:rPr>
        <w:t>. dollars</w:t>
      </w:r>
      <w:r w:rsidRPr="00B0605C">
        <w:rPr>
          <w:rFonts w:ascii="Arial" w:hAnsi="Arial" w:cs="Arial"/>
          <w:sz w:val="17"/>
          <w:szCs w:val="17"/>
          <w:lang w:val="en-GB"/>
        </w:rPr>
        <w:t>.</w:t>
      </w:r>
      <w:r w:rsidR="00B0605C" w:rsidRPr="00B0605C">
        <w:rPr>
          <w:rFonts w:ascii="Arial" w:hAnsi="Arial" w:cs="Arial"/>
          <w:sz w:val="17"/>
          <w:szCs w:val="17"/>
          <w:lang w:val="en-GB"/>
        </w:rPr>
        <w:t xml:space="preserve"> </w:t>
      </w:r>
    </w:p>
    <w:p w14:paraId="3E5AE273" w14:textId="2B4CB123" w:rsidR="004837E2" w:rsidRPr="00B0605C" w:rsidRDefault="004837E2" w:rsidP="001B29C9">
      <w:pPr>
        <w:pStyle w:val="BodyTextMain"/>
        <w:rPr>
          <w:rFonts w:ascii="Arial" w:hAnsi="Arial" w:cs="Arial"/>
          <w:sz w:val="17"/>
          <w:szCs w:val="17"/>
          <w:lang w:val="en-GB"/>
        </w:rPr>
      </w:pPr>
      <w:r w:rsidRPr="00B0605C">
        <w:rPr>
          <w:rFonts w:ascii="Arial" w:hAnsi="Arial" w:cs="Arial"/>
          <w:sz w:val="17"/>
          <w:szCs w:val="17"/>
          <w:lang w:val="en-GB"/>
        </w:rPr>
        <w:t xml:space="preserve">Source: MGM Resorts International, Las Vegas Sands Corp., Wynn Resorts Ltd., Caesars Entertainment, </w:t>
      </w:r>
      <w:r w:rsidR="000975FF">
        <w:rPr>
          <w:rFonts w:ascii="Arial" w:hAnsi="Arial" w:cs="Arial"/>
          <w:sz w:val="17"/>
          <w:szCs w:val="17"/>
          <w:lang w:val="en-GB"/>
        </w:rPr>
        <w:t>Morningstar</w:t>
      </w:r>
      <w:r w:rsidR="001B29C9">
        <w:rPr>
          <w:rFonts w:ascii="Arial" w:hAnsi="Arial" w:cs="Arial"/>
          <w:sz w:val="17"/>
          <w:szCs w:val="17"/>
          <w:lang w:val="en-GB"/>
        </w:rPr>
        <w:t xml:space="preserve">; </w:t>
      </w:r>
      <w:r w:rsidR="001B29C9" w:rsidRPr="001B29C9">
        <w:rPr>
          <w:rFonts w:ascii="Arial" w:hAnsi="Arial" w:cs="Arial"/>
          <w:sz w:val="17"/>
          <w:szCs w:val="17"/>
          <w:lang w:val="en-GB"/>
        </w:rPr>
        <w:t>http://www.morningstar</w:t>
      </w:r>
      <w:r w:rsidR="001B29C9">
        <w:rPr>
          <w:rFonts w:ascii="Arial" w:hAnsi="Arial" w:cs="Arial"/>
          <w:sz w:val="17"/>
          <w:szCs w:val="17"/>
          <w:lang w:val="en-GB"/>
        </w:rPr>
        <w:t>.com/stocks/XNYS/LVS/quote.html.</w:t>
      </w:r>
    </w:p>
    <w:p w14:paraId="2C4063B5" w14:textId="55C663AB" w:rsidR="006847BF" w:rsidRPr="00B0605C" w:rsidRDefault="006847BF" w:rsidP="004837E2">
      <w:pPr>
        <w:pStyle w:val="BodyTextMain"/>
        <w:rPr>
          <w:rFonts w:ascii="Arial" w:hAnsi="Arial" w:cs="Arial"/>
          <w:sz w:val="17"/>
          <w:szCs w:val="17"/>
          <w:lang w:val="en-GB"/>
        </w:rPr>
      </w:pPr>
    </w:p>
    <w:p w14:paraId="128B1983" w14:textId="77777777" w:rsidR="006847BF" w:rsidRPr="00B0605C" w:rsidRDefault="006847BF" w:rsidP="004837E2">
      <w:pPr>
        <w:pStyle w:val="BodyTextMain"/>
        <w:rPr>
          <w:rFonts w:ascii="Arial" w:hAnsi="Arial" w:cs="Arial"/>
          <w:sz w:val="17"/>
          <w:szCs w:val="17"/>
          <w:lang w:val="en-GB"/>
        </w:rPr>
      </w:pPr>
    </w:p>
    <w:p w14:paraId="7BB089EB" w14:textId="68B8F7A2" w:rsidR="00B64007" w:rsidRPr="00B0605C" w:rsidRDefault="00B64007" w:rsidP="00B64007">
      <w:pPr>
        <w:pStyle w:val="ExhibitHeading"/>
        <w:rPr>
          <w:rFonts w:eastAsiaTheme="minorEastAsia"/>
          <w:lang w:val="en-GB" w:eastAsia="ko-KR"/>
        </w:rPr>
      </w:pPr>
      <w:r w:rsidRPr="00B0605C">
        <w:rPr>
          <w:rFonts w:eastAsiaTheme="minorEastAsia"/>
          <w:lang w:val="en-GB" w:eastAsia="ko-KR"/>
        </w:rPr>
        <w:t xml:space="preserve">Exhibit </w:t>
      </w:r>
      <w:r w:rsidR="00F264FD" w:rsidRPr="00B0605C">
        <w:rPr>
          <w:rFonts w:eastAsiaTheme="minorEastAsia"/>
          <w:lang w:val="en-GB" w:eastAsia="ko-KR"/>
        </w:rPr>
        <w:t>7</w:t>
      </w:r>
      <w:r w:rsidRPr="00B0605C">
        <w:rPr>
          <w:rFonts w:eastAsiaTheme="minorEastAsia"/>
          <w:lang w:val="en-GB" w:eastAsia="ko-KR"/>
        </w:rPr>
        <w:t xml:space="preserve">: </w:t>
      </w:r>
      <w:r w:rsidR="00E341FE" w:rsidRPr="00B0605C">
        <w:rPr>
          <w:rFonts w:eastAsiaTheme="minorEastAsia"/>
          <w:lang w:val="en-GB" w:eastAsia="ko-KR"/>
        </w:rPr>
        <w:t xml:space="preserve">Resort fees and parking fees </w:t>
      </w:r>
      <w:r w:rsidRPr="00B0605C">
        <w:rPr>
          <w:rFonts w:eastAsiaTheme="minorEastAsia"/>
          <w:lang w:val="en-GB" w:eastAsia="ko-KR"/>
        </w:rPr>
        <w:t>in las vegas</w:t>
      </w:r>
      <w:r w:rsidR="007363EA" w:rsidRPr="00B0605C">
        <w:rPr>
          <w:rFonts w:eastAsiaTheme="minorEastAsia"/>
          <w:lang w:val="en-GB" w:eastAsia="ko-KR"/>
        </w:rPr>
        <w:t xml:space="preserve"> (as of </w:t>
      </w:r>
      <w:r w:rsidR="0046096B" w:rsidRPr="00B0605C">
        <w:rPr>
          <w:rFonts w:eastAsiaTheme="minorEastAsia"/>
          <w:lang w:val="en-GB" w:eastAsia="ko-KR"/>
        </w:rPr>
        <w:t>august 31</w:t>
      </w:r>
      <w:r w:rsidR="007363EA" w:rsidRPr="00B0605C">
        <w:rPr>
          <w:rFonts w:eastAsiaTheme="minorEastAsia"/>
          <w:lang w:val="en-GB" w:eastAsia="ko-KR"/>
        </w:rPr>
        <w:t>, 2017)</w:t>
      </w:r>
      <w:r w:rsidR="00B0605C" w:rsidRPr="00B0605C">
        <w:rPr>
          <w:rFonts w:eastAsiaTheme="minorEastAsia"/>
          <w:lang w:val="en-GB" w:eastAsia="ko-KR"/>
        </w:rPr>
        <w:t xml:space="preserve"> </w:t>
      </w:r>
    </w:p>
    <w:p w14:paraId="6E3C3D2C" w14:textId="77777777" w:rsidR="000429C6" w:rsidRPr="00B0605C" w:rsidRDefault="000429C6" w:rsidP="00E10B29">
      <w:pPr>
        <w:pStyle w:val="Footnote"/>
        <w:rPr>
          <w:rFonts w:eastAsiaTheme="minorEastAsia"/>
          <w:lang w:val="en-GB" w:eastAsia="ko-KR"/>
        </w:rPr>
      </w:pPr>
    </w:p>
    <w:tbl>
      <w:tblPr>
        <w:tblStyle w:val="TableGrid"/>
        <w:tblW w:w="8788" w:type="dxa"/>
        <w:jc w:val="center"/>
        <w:tblLook w:val="04A0" w:firstRow="1" w:lastRow="0" w:firstColumn="1" w:lastColumn="0" w:noHBand="0" w:noVBand="1"/>
      </w:tblPr>
      <w:tblGrid>
        <w:gridCol w:w="2268"/>
        <w:gridCol w:w="2410"/>
        <w:gridCol w:w="1247"/>
        <w:gridCol w:w="1446"/>
        <w:gridCol w:w="1417"/>
      </w:tblGrid>
      <w:tr w:rsidR="000429C6" w:rsidRPr="00B0605C" w14:paraId="15B8E699" w14:textId="77777777" w:rsidTr="00865D71">
        <w:trPr>
          <w:trHeight w:val="264"/>
          <w:jc w:val="center"/>
        </w:trPr>
        <w:tc>
          <w:tcPr>
            <w:tcW w:w="2268" w:type="dxa"/>
            <w:vMerge w:val="restart"/>
            <w:shd w:val="clear" w:color="auto" w:fill="D9D9D9" w:themeFill="background1" w:themeFillShade="D9"/>
            <w:vAlign w:val="center"/>
          </w:tcPr>
          <w:p w14:paraId="1803B8B9" w14:textId="77777777" w:rsidR="000429C6" w:rsidRPr="00B0605C" w:rsidRDefault="000429C6" w:rsidP="00A51445">
            <w:pPr>
              <w:pStyle w:val="BodyTextMain"/>
              <w:jc w:val="center"/>
              <w:rPr>
                <w:rFonts w:ascii="Arial" w:eastAsiaTheme="minorEastAsia" w:hAnsi="Arial" w:cs="Arial"/>
                <w:b/>
                <w:sz w:val="20"/>
                <w:szCs w:val="20"/>
                <w:lang w:val="en-GB" w:eastAsia="ko-KR"/>
              </w:rPr>
            </w:pPr>
            <w:r w:rsidRPr="00B0605C">
              <w:rPr>
                <w:rFonts w:ascii="Arial" w:eastAsiaTheme="minorEastAsia" w:hAnsi="Arial" w:cs="Arial"/>
                <w:b/>
                <w:sz w:val="20"/>
                <w:szCs w:val="20"/>
                <w:lang w:val="en-GB" w:eastAsia="ko-KR"/>
              </w:rPr>
              <w:t>Hotel Name</w:t>
            </w:r>
          </w:p>
        </w:tc>
        <w:tc>
          <w:tcPr>
            <w:tcW w:w="2410" w:type="dxa"/>
            <w:vMerge w:val="restart"/>
            <w:shd w:val="clear" w:color="auto" w:fill="D9D9D9" w:themeFill="background1" w:themeFillShade="D9"/>
            <w:vAlign w:val="center"/>
          </w:tcPr>
          <w:p w14:paraId="61D24EDF" w14:textId="77777777" w:rsidR="000429C6" w:rsidRPr="00B0605C" w:rsidRDefault="000429C6" w:rsidP="00A51445">
            <w:pPr>
              <w:pStyle w:val="BodyTextMain"/>
              <w:jc w:val="center"/>
              <w:rPr>
                <w:rFonts w:ascii="Arial" w:eastAsiaTheme="minorEastAsia" w:hAnsi="Arial" w:cs="Arial"/>
                <w:b/>
                <w:sz w:val="20"/>
                <w:szCs w:val="20"/>
                <w:lang w:val="en-GB" w:eastAsia="ko-KR"/>
              </w:rPr>
            </w:pPr>
            <w:r w:rsidRPr="00B0605C">
              <w:rPr>
                <w:rFonts w:ascii="Arial" w:eastAsiaTheme="minorEastAsia" w:hAnsi="Arial" w:cs="Arial"/>
                <w:b/>
                <w:sz w:val="20"/>
                <w:szCs w:val="20"/>
                <w:lang w:val="en-GB" w:eastAsia="ko-KR"/>
              </w:rPr>
              <w:t>Company Name</w:t>
            </w:r>
          </w:p>
        </w:tc>
        <w:tc>
          <w:tcPr>
            <w:tcW w:w="1247" w:type="dxa"/>
            <w:vMerge w:val="restart"/>
            <w:shd w:val="clear" w:color="auto" w:fill="D9D9D9" w:themeFill="background1" w:themeFillShade="D9"/>
            <w:vAlign w:val="center"/>
          </w:tcPr>
          <w:p w14:paraId="5C28ADA8" w14:textId="77777777" w:rsidR="000429C6" w:rsidRPr="00B0605C" w:rsidRDefault="000429C6" w:rsidP="00A51445">
            <w:pPr>
              <w:pStyle w:val="BodyTextMain"/>
              <w:jc w:val="center"/>
              <w:rPr>
                <w:rFonts w:ascii="Arial" w:eastAsiaTheme="minorEastAsia" w:hAnsi="Arial" w:cs="Arial"/>
                <w:b/>
                <w:sz w:val="20"/>
                <w:szCs w:val="20"/>
                <w:lang w:val="en-GB" w:eastAsia="ko-KR"/>
              </w:rPr>
            </w:pPr>
            <w:r w:rsidRPr="00B0605C">
              <w:rPr>
                <w:rFonts w:ascii="Arial" w:eastAsiaTheme="minorEastAsia" w:hAnsi="Arial" w:cs="Arial"/>
                <w:b/>
                <w:sz w:val="20"/>
                <w:szCs w:val="20"/>
                <w:lang w:val="en-GB" w:eastAsia="ko-KR"/>
              </w:rPr>
              <w:t>Resort Fee</w:t>
            </w:r>
          </w:p>
        </w:tc>
        <w:tc>
          <w:tcPr>
            <w:tcW w:w="2863" w:type="dxa"/>
            <w:gridSpan w:val="2"/>
            <w:shd w:val="clear" w:color="auto" w:fill="D9D9D9" w:themeFill="background1" w:themeFillShade="D9"/>
            <w:vAlign w:val="center"/>
          </w:tcPr>
          <w:p w14:paraId="1F9AEE69" w14:textId="77777777" w:rsidR="000429C6" w:rsidRPr="00B0605C" w:rsidRDefault="000429C6" w:rsidP="00A51445">
            <w:pPr>
              <w:pStyle w:val="BodyTextMain"/>
              <w:jc w:val="center"/>
              <w:rPr>
                <w:rFonts w:ascii="Arial" w:eastAsiaTheme="minorEastAsia" w:hAnsi="Arial" w:cs="Arial"/>
                <w:b/>
                <w:sz w:val="20"/>
                <w:szCs w:val="20"/>
                <w:lang w:val="en-GB" w:eastAsia="ko-KR"/>
              </w:rPr>
            </w:pPr>
            <w:r w:rsidRPr="00B0605C">
              <w:rPr>
                <w:rFonts w:ascii="Arial" w:eastAsiaTheme="minorEastAsia" w:hAnsi="Arial" w:cs="Arial"/>
                <w:b/>
                <w:sz w:val="20"/>
                <w:szCs w:val="20"/>
                <w:lang w:val="en-GB" w:eastAsia="ko-KR"/>
              </w:rPr>
              <w:t>Parking Fee</w:t>
            </w:r>
          </w:p>
        </w:tc>
      </w:tr>
      <w:tr w:rsidR="000429C6" w:rsidRPr="00B0605C" w14:paraId="39FA7115" w14:textId="77777777" w:rsidTr="00865D71">
        <w:trPr>
          <w:trHeight w:val="148"/>
          <w:jc w:val="center"/>
        </w:trPr>
        <w:tc>
          <w:tcPr>
            <w:tcW w:w="2268" w:type="dxa"/>
            <w:vMerge/>
            <w:shd w:val="clear" w:color="auto" w:fill="D9D9D9" w:themeFill="background1" w:themeFillShade="D9"/>
            <w:vAlign w:val="center"/>
          </w:tcPr>
          <w:p w14:paraId="717334C0" w14:textId="77777777" w:rsidR="000429C6" w:rsidRPr="00B0605C" w:rsidRDefault="000429C6" w:rsidP="00A51445">
            <w:pPr>
              <w:pStyle w:val="BodyTextMain"/>
              <w:jc w:val="center"/>
              <w:rPr>
                <w:rFonts w:ascii="Arial" w:eastAsiaTheme="minorEastAsia" w:hAnsi="Arial" w:cs="Arial"/>
                <w:b/>
                <w:sz w:val="20"/>
                <w:szCs w:val="20"/>
                <w:lang w:val="en-GB" w:eastAsia="ko-KR"/>
              </w:rPr>
            </w:pPr>
          </w:p>
        </w:tc>
        <w:tc>
          <w:tcPr>
            <w:tcW w:w="2410" w:type="dxa"/>
            <w:vMerge/>
            <w:shd w:val="clear" w:color="auto" w:fill="D9D9D9" w:themeFill="background1" w:themeFillShade="D9"/>
            <w:vAlign w:val="center"/>
          </w:tcPr>
          <w:p w14:paraId="6BBB9A4A" w14:textId="77777777" w:rsidR="000429C6" w:rsidRPr="00B0605C" w:rsidRDefault="000429C6" w:rsidP="00A51445">
            <w:pPr>
              <w:pStyle w:val="BodyTextMain"/>
              <w:jc w:val="center"/>
              <w:rPr>
                <w:rFonts w:ascii="Arial" w:eastAsiaTheme="minorEastAsia" w:hAnsi="Arial" w:cs="Arial"/>
                <w:b/>
                <w:sz w:val="20"/>
                <w:szCs w:val="20"/>
                <w:lang w:val="en-GB" w:eastAsia="ko-KR"/>
              </w:rPr>
            </w:pPr>
          </w:p>
        </w:tc>
        <w:tc>
          <w:tcPr>
            <w:tcW w:w="1247" w:type="dxa"/>
            <w:vMerge/>
            <w:shd w:val="clear" w:color="auto" w:fill="D9D9D9" w:themeFill="background1" w:themeFillShade="D9"/>
            <w:vAlign w:val="center"/>
          </w:tcPr>
          <w:p w14:paraId="171B027F" w14:textId="77777777" w:rsidR="000429C6" w:rsidRPr="00B0605C" w:rsidRDefault="000429C6" w:rsidP="00A51445">
            <w:pPr>
              <w:pStyle w:val="BodyTextMain"/>
              <w:jc w:val="center"/>
              <w:rPr>
                <w:rFonts w:ascii="Arial" w:eastAsiaTheme="minorEastAsia" w:hAnsi="Arial" w:cs="Arial"/>
                <w:b/>
                <w:sz w:val="20"/>
                <w:szCs w:val="20"/>
                <w:lang w:val="en-GB" w:eastAsia="ko-KR"/>
              </w:rPr>
            </w:pPr>
          </w:p>
        </w:tc>
        <w:tc>
          <w:tcPr>
            <w:tcW w:w="1446" w:type="dxa"/>
            <w:shd w:val="clear" w:color="auto" w:fill="F2F2F2" w:themeFill="background1" w:themeFillShade="F2"/>
            <w:vAlign w:val="center"/>
          </w:tcPr>
          <w:p w14:paraId="023B6E20" w14:textId="7D0DFCB6" w:rsidR="000429C6" w:rsidRPr="00B0605C" w:rsidRDefault="000429C6" w:rsidP="00A51445">
            <w:pPr>
              <w:pStyle w:val="BodyTextMain"/>
              <w:jc w:val="center"/>
              <w:rPr>
                <w:rFonts w:ascii="Arial" w:eastAsiaTheme="minorEastAsia" w:hAnsi="Arial" w:cs="Arial"/>
                <w:b/>
                <w:sz w:val="20"/>
                <w:szCs w:val="20"/>
                <w:lang w:val="en-GB" w:eastAsia="ko-KR"/>
              </w:rPr>
            </w:pPr>
            <w:r w:rsidRPr="00B0605C">
              <w:rPr>
                <w:rFonts w:ascii="Arial" w:eastAsiaTheme="minorEastAsia" w:hAnsi="Arial" w:cs="Arial"/>
                <w:b/>
                <w:sz w:val="20"/>
                <w:szCs w:val="20"/>
                <w:lang w:val="en-GB" w:eastAsia="ko-KR"/>
              </w:rPr>
              <w:t>Self</w:t>
            </w:r>
            <w:r w:rsidR="0040044A">
              <w:rPr>
                <w:rFonts w:ascii="Arial" w:eastAsiaTheme="minorEastAsia" w:hAnsi="Arial" w:cs="Arial"/>
                <w:b/>
                <w:sz w:val="20"/>
                <w:szCs w:val="20"/>
                <w:lang w:val="en-GB" w:eastAsia="ko-KR"/>
              </w:rPr>
              <w:t>-Parking</w:t>
            </w:r>
          </w:p>
        </w:tc>
        <w:tc>
          <w:tcPr>
            <w:tcW w:w="1417" w:type="dxa"/>
            <w:shd w:val="clear" w:color="auto" w:fill="F2F2F2" w:themeFill="background1" w:themeFillShade="F2"/>
            <w:vAlign w:val="center"/>
          </w:tcPr>
          <w:p w14:paraId="3CFC66A4" w14:textId="1CA4DADD" w:rsidR="000429C6" w:rsidRPr="00B0605C" w:rsidRDefault="000429C6" w:rsidP="00A51445">
            <w:pPr>
              <w:pStyle w:val="BodyTextMain"/>
              <w:jc w:val="center"/>
              <w:rPr>
                <w:rFonts w:ascii="Arial" w:eastAsiaTheme="minorEastAsia" w:hAnsi="Arial" w:cs="Arial"/>
                <w:b/>
                <w:sz w:val="20"/>
                <w:szCs w:val="20"/>
                <w:lang w:val="en-GB" w:eastAsia="ko-KR"/>
              </w:rPr>
            </w:pPr>
            <w:r w:rsidRPr="00B0605C">
              <w:rPr>
                <w:rFonts w:ascii="Arial" w:eastAsiaTheme="minorEastAsia" w:hAnsi="Arial" w:cs="Arial"/>
                <w:b/>
                <w:sz w:val="20"/>
                <w:szCs w:val="20"/>
                <w:lang w:val="en-GB" w:eastAsia="ko-KR"/>
              </w:rPr>
              <w:t>Valet</w:t>
            </w:r>
            <w:r w:rsidR="0040044A">
              <w:rPr>
                <w:rFonts w:ascii="Arial" w:eastAsiaTheme="minorEastAsia" w:hAnsi="Arial" w:cs="Arial"/>
                <w:b/>
                <w:sz w:val="20"/>
                <w:szCs w:val="20"/>
                <w:lang w:val="en-GB" w:eastAsia="ko-KR"/>
              </w:rPr>
              <w:t xml:space="preserve"> Parking</w:t>
            </w:r>
          </w:p>
        </w:tc>
      </w:tr>
      <w:tr w:rsidR="000429C6" w:rsidRPr="00B0605C" w14:paraId="3599ACA8" w14:textId="77777777" w:rsidTr="00865D71">
        <w:trPr>
          <w:trHeight w:val="264"/>
          <w:jc w:val="center"/>
        </w:trPr>
        <w:tc>
          <w:tcPr>
            <w:tcW w:w="2268" w:type="dxa"/>
            <w:shd w:val="clear" w:color="auto" w:fill="auto"/>
            <w:vAlign w:val="center"/>
          </w:tcPr>
          <w:p w14:paraId="57D0F264" w14:textId="77777777" w:rsidR="000429C6" w:rsidRPr="00B0605C" w:rsidRDefault="000429C6" w:rsidP="00E2027D">
            <w:pPr>
              <w:spacing w:line="276" w:lineRule="auto"/>
              <w:rPr>
                <w:rFonts w:ascii="Arial" w:hAnsi="Arial" w:cs="Arial"/>
                <w:lang w:val="en-GB"/>
              </w:rPr>
            </w:pPr>
            <w:r w:rsidRPr="00B0605C">
              <w:rPr>
                <w:rFonts w:ascii="Arial" w:hAnsi="Arial" w:cs="Arial"/>
                <w:lang w:val="en-GB"/>
              </w:rPr>
              <w:t>Circus Circus</w:t>
            </w:r>
          </w:p>
        </w:tc>
        <w:tc>
          <w:tcPr>
            <w:tcW w:w="2410" w:type="dxa"/>
            <w:shd w:val="clear" w:color="auto" w:fill="auto"/>
            <w:vAlign w:val="center"/>
          </w:tcPr>
          <w:p w14:paraId="05EFD646" w14:textId="77777777" w:rsidR="000429C6" w:rsidRPr="00B0605C" w:rsidRDefault="000429C6" w:rsidP="00E2027D">
            <w:pPr>
              <w:spacing w:line="276" w:lineRule="auto"/>
              <w:rPr>
                <w:rFonts w:ascii="Arial" w:hAnsi="Arial" w:cs="Arial"/>
                <w:lang w:val="en-GB"/>
              </w:rPr>
            </w:pPr>
            <w:r w:rsidRPr="00B0605C">
              <w:rPr>
                <w:rFonts w:ascii="Arial" w:hAnsi="Arial" w:cs="Arial"/>
                <w:lang w:val="en-GB"/>
              </w:rPr>
              <w:t>MGM Resorts</w:t>
            </w:r>
          </w:p>
        </w:tc>
        <w:tc>
          <w:tcPr>
            <w:tcW w:w="1247" w:type="dxa"/>
            <w:shd w:val="clear" w:color="auto" w:fill="auto"/>
            <w:vAlign w:val="center"/>
          </w:tcPr>
          <w:p w14:paraId="5CFBFD24" w14:textId="77777777" w:rsidR="000429C6" w:rsidRPr="00B0605C" w:rsidRDefault="000429C6" w:rsidP="00E10B29">
            <w:pPr>
              <w:spacing w:line="276" w:lineRule="auto"/>
              <w:jc w:val="center"/>
              <w:rPr>
                <w:rFonts w:ascii="Arial" w:hAnsi="Arial" w:cs="Arial"/>
                <w:b/>
                <w:bCs/>
                <w:i/>
                <w:iCs/>
                <w:color w:val="4F81BD" w:themeColor="accent1"/>
                <w:lang w:val="en-GB" w:eastAsia="en-US"/>
              </w:rPr>
            </w:pPr>
            <w:r w:rsidRPr="00B0605C">
              <w:rPr>
                <w:rFonts w:ascii="Arial" w:hAnsi="Arial" w:cs="Arial"/>
                <w:lang w:val="en-GB"/>
              </w:rPr>
              <w:t>$27</w:t>
            </w:r>
          </w:p>
        </w:tc>
        <w:tc>
          <w:tcPr>
            <w:tcW w:w="1446" w:type="dxa"/>
            <w:shd w:val="clear" w:color="auto" w:fill="auto"/>
            <w:vAlign w:val="center"/>
          </w:tcPr>
          <w:p w14:paraId="4A2B3362" w14:textId="77777777" w:rsidR="000429C6" w:rsidRPr="00B0605C" w:rsidRDefault="000429C6" w:rsidP="00E10B29">
            <w:pPr>
              <w:spacing w:line="276" w:lineRule="auto"/>
              <w:jc w:val="center"/>
              <w:rPr>
                <w:rFonts w:ascii="Arial" w:hAnsi="Arial" w:cs="Arial"/>
                <w:b/>
                <w:bCs/>
                <w:i/>
                <w:iCs/>
                <w:color w:val="4F81BD" w:themeColor="accent1"/>
                <w:lang w:val="en-GB" w:eastAsia="en-US"/>
              </w:rPr>
            </w:pPr>
            <w:r w:rsidRPr="00B0605C">
              <w:rPr>
                <w:rFonts w:ascii="Arial" w:hAnsi="Arial" w:cs="Arial"/>
                <w:lang w:val="en-GB"/>
              </w:rPr>
              <w:t>Free</w:t>
            </w:r>
          </w:p>
        </w:tc>
        <w:tc>
          <w:tcPr>
            <w:tcW w:w="1417" w:type="dxa"/>
            <w:shd w:val="clear" w:color="auto" w:fill="auto"/>
            <w:vAlign w:val="center"/>
          </w:tcPr>
          <w:p w14:paraId="765F0041" w14:textId="27CC065A" w:rsidR="000429C6" w:rsidRPr="00B0605C" w:rsidRDefault="000429C6" w:rsidP="00E10B29">
            <w:pPr>
              <w:spacing w:line="276" w:lineRule="auto"/>
              <w:jc w:val="center"/>
              <w:rPr>
                <w:rFonts w:ascii="Arial" w:hAnsi="Arial" w:cs="Arial"/>
                <w:b/>
                <w:bCs/>
                <w:i/>
                <w:iCs/>
                <w:color w:val="4F81BD" w:themeColor="accent1"/>
                <w:lang w:val="en-GB" w:eastAsia="en-US"/>
              </w:rPr>
            </w:pPr>
            <w:r w:rsidRPr="00B0605C">
              <w:rPr>
                <w:rFonts w:ascii="Arial" w:hAnsi="Arial" w:cs="Arial"/>
                <w:lang w:val="en-GB"/>
              </w:rPr>
              <w:t>$10</w:t>
            </w:r>
            <w:r w:rsidR="005A18DB">
              <w:rPr>
                <w:rFonts w:ascii="Arial" w:hAnsi="Arial" w:cs="Arial"/>
                <w:lang w:val="en-GB"/>
              </w:rPr>
              <w:t>–</w:t>
            </w:r>
            <w:r w:rsidRPr="00B0605C">
              <w:rPr>
                <w:rFonts w:ascii="Arial" w:hAnsi="Arial" w:cs="Arial"/>
                <w:lang w:val="en-GB"/>
              </w:rPr>
              <w:t>15</w:t>
            </w:r>
          </w:p>
        </w:tc>
      </w:tr>
      <w:tr w:rsidR="000429C6" w:rsidRPr="00B0605C" w14:paraId="61286DFD" w14:textId="77777777" w:rsidTr="00865D71">
        <w:trPr>
          <w:trHeight w:val="264"/>
          <w:jc w:val="center"/>
        </w:trPr>
        <w:tc>
          <w:tcPr>
            <w:tcW w:w="2268" w:type="dxa"/>
            <w:shd w:val="clear" w:color="auto" w:fill="auto"/>
            <w:vAlign w:val="center"/>
          </w:tcPr>
          <w:p w14:paraId="63818A5C" w14:textId="77777777" w:rsidR="000429C6" w:rsidRPr="00B0605C" w:rsidRDefault="000429C6" w:rsidP="00E2027D">
            <w:pPr>
              <w:spacing w:line="276" w:lineRule="auto"/>
              <w:rPr>
                <w:rFonts w:ascii="Arial" w:hAnsi="Arial" w:cs="Arial"/>
                <w:lang w:val="en-GB"/>
              </w:rPr>
            </w:pPr>
            <w:r w:rsidRPr="00B0605C">
              <w:rPr>
                <w:rFonts w:ascii="Arial" w:hAnsi="Arial" w:cs="Arial"/>
                <w:lang w:val="en-GB"/>
              </w:rPr>
              <w:t>Excalibur</w:t>
            </w:r>
          </w:p>
        </w:tc>
        <w:tc>
          <w:tcPr>
            <w:tcW w:w="2410" w:type="dxa"/>
            <w:shd w:val="clear" w:color="auto" w:fill="auto"/>
            <w:vAlign w:val="center"/>
          </w:tcPr>
          <w:p w14:paraId="7BA5E9BF" w14:textId="77777777" w:rsidR="000429C6" w:rsidRPr="00B0605C" w:rsidRDefault="000429C6" w:rsidP="00E2027D">
            <w:pPr>
              <w:spacing w:line="276" w:lineRule="auto"/>
              <w:rPr>
                <w:rFonts w:ascii="Arial" w:hAnsi="Arial" w:cs="Arial"/>
                <w:lang w:val="en-GB"/>
              </w:rPr>
            </w:pPr>
            <w:r w:rsidRPr="00B0605C">
              <w:rPr>
                <w:rFonts w:ascii="Arial" w:hAnsi="Arial" w:cs="Arial"/>
                <w:lang w:val="en-GB"/>
              </w:rPr>
              <w:t>MGM Resorts</w:t>
            </w:r>
          </w:p>
        </w:tc>
        <w:tc>
          <w:tcPr>
            <w:tcW w:w="1247" w:type="dxa"/>
            <w:shd w:val="clear" w:color="auto" w:fill="auto"/>
            <w:vAlign w:val="center"/>
          </w:tcPr>
          <w:p w14:paraId="27054E08" w14:textId="77777777" w:rsidR="000429C6" w:rsidRPr="00B0605C" w:rsidRDefault="000429C6" w:rsidP="00E10B29">
            <w:pPr>
              <w:spacing w:line="276" w:lineRule="auto"/>
              <w:jc w:val="center"/>
              <w:rPr>
                <w:rFonts w:ascii="Arial" w:hAnsi="Arial" w:cs="Arial"/>
                <w:b/>
                <w:bCs/>
                <w:i/>
                <w:iCs/>
                <w:color w:val="4F81BD" w:themeColor="accent1"/>
                <w:lang w:val="en-GB" w:eastAsia="en-US"/>
              </w:rPr>
            </w:pPr>
            <w:r w:rsidRPr="00B0605C">
              <w:rPr>
                <w:rFonts w:ascii="Arial" w:hAnsi="Arial" w:cs="Arial"/>
                <w:lang w:val="en-GB"/>
              </w:rPr>
              <w:t>$30</w:t>
            </w:r>
          </w:p>
        </w:tc>
        <w:tc>
          <w:tcPr>
            <w:tcW w:w="1446" w:type="dxa"/>
            <w:shd w:val="clear" w:color="auto" w:fill="auto"/>
            <w:vAlign w:val="center"/>
          </w:tcPr>
          <w:p w14:paraId="118F564F" w14:textId="591C740D" w:rsidR="000429C6" w:rsidRPr="00B0605C" w:rsidRDefault="000429C6" w:rsidP="00E10B29">
            <w:pPr>
              <w:spacing w:line="276" w:lineRule="auto"/>
              <w:jc w:val="center"/>
              <w:rPr>
                <w:rFonts w:ascii="Arial" w:hAnsi="Arial" w:cs="Arial"/>
                <w:b/>
                <w:bCs/>
                <w:i/>
                <w:iCs/>
                <w:color w:val="4F81BD" w:themeColor="accent1"/>
                <w:lang w:val="en-GB" w:eastAsia="en-US"/>
              </w:rPr>
            </w:pPr>
            <w:r w:rsidRPr="00B0605C">
              <w:rPr>
                <w:rFonts w:ascii="Arial" w:hAnsi="Arial" w:cs="Arial"/>
                <w:lang w:val="en-GB"/>
              </w:rPr>
              <w:t>$5</w:t>
            </w:r>
            <w:r w:rsidR="005A18DB" w:rsidRPr="00B0605C">
              <w:rPr>
                <w:rFonts w:ascii="Arial" w:hAnsi="Arial" w:cs="Arial"/>
                <w:lang w:val="en-GB"/>
              </w:rPr>
              <w:t>-</w:t>
            </w:r>
            <w:r w:rsidRPr="00B0605C">
              <w:rPr>
                <w:rFonts w:ascii="Arial" w:hAnsi="Arial" w:cs="Arial"/>
                <w:lang w:val="en-GB"/>
              </w:rPr>
              <w:t>10</w:t>
            </w:r>
          </w:p>
        </w:tc>
        <w:tc>
          <w:tcPr>
            <w:tcW w:w="1417" w:type="dxa"/>
            <w:shd w:val="clear" w:color="auto" w:fill="auto"/>
            <w:vAlign w:val="center"/>
          </w:tcPr>
          <w:p w14:paraId="42EEE087" w14:textId="339CE9E5" w:rsidR="000429C6" w:rsidRPr="00B0605C" w:rsidRDefault="000429C6" w:rsidP="00E10B29">
            <w:pPr>
              <w:spacing w:line="276" w:lineRule="auto"/>
              <w:jc w:val="center"/>
              <w:rPr>
                <w:rFonts w:ascii="Arial" w:hAnsi="Arial" w:cs="Arial"/>
                <w:b/>
                <w:bCs/>
                <w:i/>
                <w:iCs/>
                <w:color w:val="4F81BD" w:themeColor="accent1"/>
                <w:lang w:val="en-GB" w:eastAsia="en-US"/>
              </w:rPr>
            </w:pPr>
            <w:r w:rsidRPr="00B0605C">
              <w:rPr>
                <w:rFonts w:ascii="Arial" w:hAnsi="Arial" w:cs="Arial"/>
                <w:lang w:val="en-GB"/>
              </w:rPr>
              <w:t>$10</w:t>
            </w:r>
            <w:r w:rsidR="005A18DB">
              <w:rPr>
                <w:rFonts w:ascii="Arial" w:hAnsi="Arial" w:cs="Arial"/>
                <w:lang w:val="en-GB"/>
              </w:rPr>
              <w:t>–</w:t>
            </w:r>
            <w:r w:rsidRPr="00B0605C">
              <w:rPr>
                <w:rFonts w:ascii="Arial" w:hAnsi="Arial" w:cs="Arial"/>
                <w:lang w:val="en-GB"/>
              </w:rPr>
              <w:t>15</w:t>
            </w:r>
          </w:p>
        </w:tc>
      </w:tr>
      <w:tr w:rsidR="000429C6" w:rsidRPr="00B0605C" w14:paraId="1DB3041C" w14:textId="77777777" w:rsidTr="00865D71">
        <w:trPr>
          <w:trHeight w:val="291"/>
          <w:jc w:val="center"/>
        </w:trPr>
        <w:tc>
          <w:tcPr>
            <w:tcW w:w="2268" w:type="dxa"/>
            <w:shd w:val="clear" w:color="auto" w:fill="auto"/>
            <w:vAlign w:val="center"/>
          </w:tcPr>
          <w:p w14:paraId="67105FAB" w14:textId="77777777" w:rsidR="000429C6" w:rsidRPr="00B0605C" w:rsidRDefault="000429C6" w:rsidP="00E2027D">
            <w:pPr>
              <w:spacing w:line="276" w:lineRule="auto"/>
              <w:rPr>
                <w:rFonts w:ascii="Arial" w:hAnsi="Arial" w:cs="Arial"/>
                <w:lang w:val="en-GB"/>
              </w:rPr>
            </w:pPr>
            <w:r w:rsidRPr="00B0605C">
              <w:rPr>
                <w:rFonts w:ascii="Arial" w:hAnsi="Arial" w:cs="Arial"/>
                <w:lang w:val="en-GB"/>
              </w:rPr>
              <w:t>Luxor</w:t>
            </w:r>
          </w:p>
        </w:tc>
        <w:tc>
          <w:tcPr>
            <w:tcW w:w="2410" w:type="dxa"/>
            <w:shd w:val="clear" w:color="auto" w:fill="auto"/>
            <w:vAlign w:val="center"/>
          </w:tcPr>
          <w:p w14:paraId="7A331E60" w14:textId="77777777" w:rsidR="000429C6" w:rsidRPr="00B0605C" w:rsidRDefault="000429C6" w:rsidP="00E2027D">
            <w:pPr>
              <w:spacing w:line="276" w:lineRule="auto"/>
              <w:rPr>
                <w:rFonts w:ascii="Arial" w:hAnsi="Arial" w:cs="Arial"/>
                <w:lang w:val="en-GB"/>
              </w:rPr>
            </w:pPr>
            <w:r w:rsidRPr="00B0605C">
              <w:rPr>
                <w:rFonts w:ascii="Arial" w:hAnsi="Arial" w:cs="Arial"/>
                <w:lang w:val="en-GB"/>
              </w:rPr>
              <w:t>MGM Resorts</w:t>
            </w:r>
          </w:p>
        </w:tc>
        <w:tc>
          <w:tcPr>
            <w:tcW w:w="1247" w:type="dxa"/>
            <w:shd w:val="clear" w:color="auto" w:fill="auto"/>
            <w:vAlign w:val="center"/>
          </w:tcPr>
          <w:p w14:paraId="1621415D" w14:textId="77777777" w:rsidR="000429C6" w:rsidRPr="00B0605C" w:rsidRDefault="000429C6" w:rsidP="00E10B29">
            <w:pPr>
              <w:spacing w:line="276" w:lineRule="auto"/>
              <w:jc w:val="center"/>
              <w:rPr>
                <w:rFonts w:ascii="Arial" w:hAnsi="Arial" w:cs="Arial"/>
                <w:b/>
                <w:bCs/>
                <w:i/>
                <w:iCs/>
                <w:color w:val="4F81BD" w:themeColor="accent1"/>
                <w:lang w:val="en-GB" w:eastAsia="en-US"/>
              </w:rPr>
            </w:pPr>
            <w:r w:rsidRPr="00B0605C">
              <w:rPr>
                <w:rFonts w:ascii="Arial" w:hAnsi="Arial" w:cs="Arial"/>
                <w:lang w:val="en-GB"/>
              </w:rPr>
              <w:t>$30</w:t>
            </w:r>
          </w:p>
        </w:tc>
        <w:tc>
          <w:tcPr>
            <w:tcW w:w="1446" w:type="dxa"/>
            <w:shd w:val="clear" w:color="auto" w:fill="auto"/>
            <w:vAlign w:val="center"/>
          </w:tcPr>
          <w:p w14:paraId="14D54343" w14:textId="25C5C17F" w:rsidR="000429C6" w:rsidRPr="00B0605C" w:rsidRDefault="000429C6" w:rsidP="00E10B29">
            <w:pPr>
              <w:spacing w:line="276" w:lineRule="auto"/>
              <w:jc w:val="center"/>
              <w:rPr>
                <w:rFonts w:ascii="Arial" w:hAnsi="Arial" w:cs="Arial"/>
                <w:b/>
                <w:bCs/>
                <w:i/>
                <w:iCs/>
                <w:color w:val="4F81BD" w:themeColor="accent1"/>
                <w:lang w:val="en-GB" w:eastAsia="en-US"/>
              </w:rPr>
            </w:pPr>
            <w:r w:rsidRPr="00B0605C">
              <w:rPr>
                <w:rFonts w:ascii="Arial" w:hAnsi="Arial" w:cs="Arial"/>
                <w:lang w:val="en-GB"/>
              </w:rPr>
              <w:t>$5</w:t>
            </w:r>
            <w:r w:rsidR="005A18DB">
              <w:rPr>
                <w:rFonts w:ascii="Arial" w:hAnsi="Arial" w:cs="Arial"/>
                <w:lang w:val="en-GB"/>
              </w:rPr>
              <w:t>–</w:t>
            </w:r>
            <w:r w:rsidRPr="00B0605C">
              <w:rPr>
                <w:rFonts w:ascii="Arial" w:hAnsi="Arial" w:cs="Arial"/>
                <w:lang w:val="en-GB"/>
              </w:rPr>
              <w:t>10</w:t>
            </w:r>
          </w:p>
        </w:tc>
        <w:tc>
          <w:tcPr>
            <w:tcW w:w="1417" w:type="dxa"/>
            <w:shd w:val="clear" w:color="auto" w:fill="auto"/>
            <w:vAlign w:val="center"/>
          </w:tcPr>
          <w:p w14:paraId="548216D6" w14:textId="2E9CEDAB" w:rsidR="000429C6" w:rsidRPr="00B0605C" w:rsidRDefault="000429C6" w:rsidP="00E10B29">
            <w:pPr>
              <w:spacing w:line="276" w:lineRule="auto"/>
              <w:jc w:val="center"/>
              <w:rPr>
                <w:rFonts w:ascii="Arial" w:hAnsi="Arial" w:cs="Arial"/>
                <w:b/>
                <w:bCs/>
                <w:i/>
                <w:iCs/>
                <w:color w:val="4F81BD" w:themeColor="accent1"/>
                <w:lang w:val="en-GB" w:eastAsia="en-US"/>
              </w:rPr>
            </w:pPr>
            <w:r w:rsidRPr="00B0605C">
              <w:rPr>
                <w:rFonts w:ascii="Arial" w:hAnsi="Arial" w:cs="Arial"/>
                <w:lang w:val="en-GB"/>
              </w:rPr>
              <w:t>$10</w:t>
            </w:r>
            <w:r w:rsidR="005A18DB">
              <w:rPr>
                <w:rFonts w:ascii="Arial" w:hAnsi="Arial" w:cs="Arial"/>
                <w:lang w:val="en-GB"/>
              </w:rPr>
              <w:t>–</w:t>
            </w:r>
            <w:r w:rsidRPr="00B0605C">
              <w:rPr>
                <w:rFonts w:ascii="Arial" w:hAnsi="Arial" w:cs="Arial"/>
                <w:lang w:val="en-GB"/>
              </w:rPr>
              <w:t>15</w:t>
            </w:r>
          </w:p>
        </w:tc>
      </w:tr>
      <w:tr w:rsidR="000429C6" w:rsidRPr="00B0605C" w14:paraId="3C7BEEC1" w14:textId="77777777" w:rsidTr="00865D71">
        <w:trPr>
          <w:trHeight w:val="264"/>
          <w:jc w:val="center"/>
        </w:trPr>
        <w:tc>
          <w:tcPr>
            <w:tcW w:w="2268" w:type="dxa"/>
            <w:shd w:val="clear" w:color="auto" w:fill="auto"/>
            <w:vAlign w:val="center"/>
          </w:tcPr>
          <w:p w14:paraId="77B15D04" w14:textId="77777777" w:rsidR="000429C6" w:rsidRPr="00B0605C" w:rsidRDefault="000429C6" w:rsidP="00E2027D">
            <w:pPr>
              <w:spacing w:line="276" w:lineRule="auto"/>
              <w:rPr>
                <w:rFonts w:ascii="Arial" w:hAnsi="Arial" w:cs="Arial"/>
                <w:lang w:val="en-GB"/>
              </w:rPr>
            </w:pPr>
            <w:r w:rsidRPr="00B0605C">
              <w:rPr>
                <w:rFonts w:ascii="Arial" w:hAnsi="Arial" w:cs="Arial"/>
                <w:lang w:val="en-GB"/>
              </w:rPr>
              <w:t>Monte Carlo</w:t>
            </w:r>
          </w:p>
        </w:tc>
        <w:tc>
          <w:tcPr>
            <w:tcW w:w="2410" w:type="dxa"/>
            <w:shd w:val="clear" w:color="auto" w:fill="auto"/>
            <w:vAlign w:val="center"/>
          </w:tcPr>
          <w:p w14:paraId="6A4A6128" w14:textId="77777777" w:rsidR="000429C6" w:rsidRPr="00B0605C" w:rsidRDefault="000429C6" w:rsidP="00E2027D">
            <w:pPr>
              <w:spacing w:line="276" w:lineRule="auto"/>
              <w:rPr>
                <w:rFonts w:ascii="Arial" w:hAnsi="Arial" w:cs="Arial"/>
                <w:lang w:val="en-GB"/>
              </w:rPr>
            </w:pPr>
            <w:r w:rsidRPr="00B0605C">
              <w:rPr>
                <w:rFonts w:ascii="Arial" w:hAnsi="Arial" w:cs="Arial"/>
                <w:lang w:val="en-GB"/>
              </w:rPr>
              <w:t>MGM Resorts</w:t>
            </w:r>
          </w:p>
        </w:tc>
        <w:tc>
          <w:tcPr>
            <w:tcW w:w="1247" w:type="dxa"/>
            <w:shd w:val="clear" w:color="auto" w:fill="auto"/>
            <w:vAlign w:val="center"/>
          </w:tcPr>
          <w:p w14:paraId="427E1B5D" w14:textId="77777777" w:rsidR="000429C6" w:rsidRPr="00B0605C" w:rsidRDefault="000429C6" w:rsidP="00E10B29">
            <w:pPr>
              <w:spacing w:line="276" w:lineRule="auto"/>
              <w:jc w:val="center"/>
              <w:rPr>
                <w:rFonts w:ascii="Arial" w:hAnsi="Arial" w:cs="Arial"/>
                <w:b/>
                <w:bCs/>
                <w:i/>
                <w:iCs/>
                <w:color w:val="4F81BD" w:themeColor="accent1"/>
                <w:lang w:val="en-GB" w:eastAsia="en-US"/>
              </w:rPr>
            </w:pPr>
            <w:r w:rsidRPr="00B0605C">
              <w:rPr>
                <w:rFonts w:ascii="Arial" w:hAnsi="Arial" w:cs="Arial"/>
                <w:lang w:val="en-GB"/>
              </w:rPr>
              <w:t>$35</w:t>
            </w:r>
          </w:p>
        </w:tc>
        <w:tc>
          <w:tcPr>
            <w:tcW w:w="1446" w:type="dxa"/>
            <w:shd w:val="clear" w:color="auto" w:fill="auto"/>
            <w:vAlign w:val="center"/>
          </w:tcPr>
          <w:p w14:paraId="7AECA4D6" w14:textId="55568C5E" w:rsidR="000429C6" w:rsidRPr="00B0605C" w:rsidRDefault="000429C6" w:rsidP="00E10B29">
            <w:pPr>
              <w:spacing w:line="276" w:lineRule="auto"/>
              <w:jc w:val="center"/>
              <w:rPr>
                <w:rFonts w:ascii="Arial" w:hAnsi="Arial" w:cs="Arial"/>
                <w:b/>
                <w:bCs/>
                <w:i/>
                <w:iCs/>
                <w:color w:val="4F81BD" w:themeColor="accent1"/>
                <w:lang w:val="en-GB" w:eastAsia="en-US"/>
              </w:rPr>
            </w:pPr>
            <w:r w:rsidRPr="00B0605C">
              <w:rPr>
                <w:rFonts w:ascii="Arial" w:hAnsi="Arial" w:cs="Arial"/>
                <w:lang w:val="en-GB"/>
              </w:rPr>
              <w:t>$5</w:t>
            </w:r>
            <w:r w:rsidR="005A18DB">
              <w:rPr>
                <w:rFonts w:ascii="Arial" w:hAnsi="Arial" w:cs="Arial"/>
                <w:lang w:val="en-GB"/>
              </w:rPr>
              <w:t>–</w:t>
            </w:r>
            <w:r w:rsidRPr="00B0605C">
              <w:rPr>
                <w:rFonts w:ascii="Arial" w:hAnsi="Arial" w:cs="Arial"/>
                <w:lang w:val="en-GB"/>
              </w:rPr>
              <w:t>10</w:t>
            </w:r>
          </w:p>
        </w:tc>
        <w:tc>
          <w:tcPr>
            <w:tcW w:w="1417" w:type="dxa"/>
            <w:shd w:val="clear" w:color="auto" w:fill="auto"/>
            <w:vAlign w:val="center"/>
          </w:tcPr>
          <w:p w14:paraId="637C8EB7" w14:textId="7453C46B" w:rsidR="000429C6" w:rsidRPr="00B0605C" w:rsidRDefault="000429C6" w:rsidP="00E10B29">
            <w:pPr>
              <w:spacing w:line="276" w:lineRule="auto"/>
              <w:jc w:val="center"/>
              <w:rPr>
                <w:rFonts w:ascii="Arial" w:hAnsi="Arial" w:cs="Arial"/>
                <w:b/>
                <w:bCs/>
                <w:i/>
                <w:iCs/>
                <w:color w:val="4F81BD" w:themeColor="accent1"/>
                <w:lang w:val="en-GB" w:eastAsia="en-US"/>
              </w:rPr>
            </w:pPr>
            <w:r w:rsidRPr="00B0605C">
              <w:rPr>
                <w:rFonts w:ascii="Arial" w:hAnsi="Arial" w:cs="Arial"/>
                <w:lang w:val="en-GB"/>
              </w:rPr>
              <w:t>$10</w:t>
            </w:r>
            <w:r w:rsidR="005A18DB">
              <w:rPr>
                <w:rFonts w:ascii="Arial" w:hAnsi="Arial" w:cs="Arial"/>
                <w:lang w:val="en-GB"/>
              </w:rPr>
              <w:t>–</w:t>
            </w:r>
            <w:r w:rsidRPr="00B0605C">
              <w:rPr>
                <w:rFonts w:ascii="Arial" w:hAnsi="Arial" w:cs="Arial"/>
                <w:lang w:val="en-GB"/>
              </w:rPr>
              <w:t>15</w:t>
            </w:r>
          </w:p>
        </w:tc>
      </w:tr>
      <w:tr w:rsidR="000429C6" w:rsidRPr="00B0605C" w14:paraId="4EC52274" w14:textId="77777777" w:rsidTr="00865D71">
        <w:trPr>
          <w:trHeight w:val="264"/>
          <w:jc w:val="center"/>
        </w:trPr>
        <w:tc>
          <w:tcPr>
            <w:tcW w:w="2268" w:type="dxa"/>
            <w:vAlign w:val="center"/>
          </w:tcPr>
          <w:p w14:paraId="798327A5" w14:textId="77777777" w:rsidR="000429C6" w:rsidRPr="00B0605C" w:rsidRDefault="000429C6" w:rsidP="00E2027D">
            <w:pPr>
              <w:spacing w:line="276" w:lineRule="auto"/>
              <w:rPr>
                <w:rFonts w:ascii="Arial" w:hAnsi="Arial" w:cs="Arial"/>
                <w:lang w:val="en-GB"/>
              </w:rPr>
            </w:pPr>
            <w:r w:rsidRPr="00B0605C">
              <w:rPr>
                <w:rFonts w:ascii="Arial" w:hAnsi="Arial" w:cs="Arial"/>
                <w:lang w:val="en-GB"/>
              </w:rPr>
              <w:t>MGM Grand</w:t>
            </w:r>
          </w:p>
        </w:tc>
        <w:tc>
          <w:tcPr>
            <w:tcW w:w="2410" w:type="dxa"/>
            <w:vAlign w:val="center"/>
          </w:tcPr>
          <w:p w14:paraId="3794D45C" w14:textId="77777777" w:rsidR="000429C6" w:rsidRPr="00B0605C" w:rsidRDefault="000429C6" w:rsidP="00E2027D">
            <w:pPr>
              <w:spacing w:line="276" w:lineRule="auto"/>
              <w:rPr>
                <w:rFonts w:ascii="Arial" w:hAnsi="Arial" w:cs="Arial"/>
                <w:lang w:val="en-GB"/>
              </w:rPr>
            </w:pPr>
            <w:r w:rsidRPr="00B0605C">
              <w:rPr>
                <w:rFonts w:ascii="Arial" w:hAnsi="Arial" w:cs="Arial"/>
                <w:lang w:val="en-GB"/>
              </w:rPr>
              <w:t>MGM Resorts</w:t>
            </w:r>
          </w:p>
        </w:tc>
        <w:tc>
          <w:tcPr>
            <w:tcW w:w="1247" w:type="dxa"/>
            <w:vAlign w:val="center"/>
          </w:tcPr>
          <w:p w14:paraId="63A3AB28" w14:textId="77777777" w:rsidR="000429C6" w:rsidRPr="00B0605C" w:rsidRDefault="000429C6" w:rsidP="00E10B29">
            <w:pPr>
              <w:spacing w:line="276" w:lineRule="auto"/>
              <w:jc w:val="center"/>
              <w:rPr>
                <w:rFonts w:ascii="Arial" w:hAnsi="Arial" w:cs="Arial"/>
                <w:b/>
                <w:bCs/>
                <w:i/>
                <w:iCs/>
                <w:color w:val="4F81BD" w:themeColor="accent1"/>
                <w:lang w:val="en-GB" w:eastAsia="en-US"/>
              </w:rPr>
            </w:pPr>
            <w:r w:rsidRPr="00B0605C">
              <w:rPr>
                <w:rFonts w:ascii="Arial" w:hAnsi="Arial" w:cs="Arial"/>
                <w:lang w:val="en-GB"/>
              </w:rPr>
              <w:t>$35</w:t>
            </w:r>
          </w:p>
        </w:tc>
        <w:tc>
          <w:tcPr>
            <w:tcW w:w="1446" w:type="dxa"/>
            <w:vAlign w:val="center"/>
          </w:tcPr>
          <w:p w14:paraId="18EA004A" w14:textId="4CA327A5" w:rsidR="000429C6" w:rsidRPr="00B0605C" w:rsidRDefault="000429C6" w:rsidP="00E10B29">
            <w:pPr>
              <w:spacing w:line="276" w:lineRule="auto"/>
              <w:jc w:val="center"/>
              <w:rPr>
                <w:rFonts w:ascii="Arial" w:hAnsi="Arial" w:cs="Arial"/>
                <w:b/>
                <w:bCs/>
                <w:i/>
                <w:iCs/>
                <w:color w:val="4F81BD" w:themeColor="accent1"/>
                <w:lang w:val="en-GB" w:eastAsia="en-US"/>
              </w:rPr>
            </w:pPr>
            <w:r w:rsidRPr="00B0605C">
              <w:rPr>
                <w:rFonts w:ascii="Arial" w:hAnsi="Arial" w:cs="Arial"/>
                <w:lang w:val="en-GB"/>
              </w:rPr>
              <w:t>$7</w:t>
            </w:r>
            <w:r w:rsidR="005A18DB">
              <w:rPr>
                <w:rFonts w:ascii="Arial" w:hAnsi="Arial" w:cs="Arial"/>
                <w:lang w:val="en-GB"/>
              </w:rPr>
              <w:t>–</w:t>
            </w:r>
            <w:r w:rsidRPr="00B0605C">
              <w:rPr>
                <w:rFonts w:ascii="Arial" w:hAnsi="Arial" w:cs="Arial"/>
                <w:lang w:val="en-GB"/>
              </w:rPr>
              <w:t>12</w:t>
            </w:r>
          </w:p>
        </w:tc>
        <w:tc>
          <w:tcPr>
            <w:tcW w:w="1417" w:type="dxa"/>
            <w:vAlign w:val="center"/>
          </w:tcPr>
          <w:p w14:paraId="6419D9CB" w14:textId="2A34B8A3" w:rsidR="000429C6" w:rsidRPr="00B0605C" w:rsidRDefault="000429C6" w:rsidP="00E10B29">
            <w:pPr>
              <w:spacing w:line="276" w:lineRule="auto"/>
              <w:jc w:val="center"/>
              <w:rPr>
                <w:rFonts w:ascii="Arial" w:hAnsi="Arial" w:cs="Arial"/>
                <w:b/>
                <w:bCs/>
                <w:i/>
                <w:iCs/>
                <w:color w:val="4F81BD" w:themeColor="accent1"/>
                <w:lang w:val="en-GB" w:eastAsia="en-US"/>
              </w:rPr>
            </w:pPr>
            <w:r w:rsidRPr="00B0605C">
              <w:rPr>
                <w:rFonts w:ascii="Arial" w:hAnsi="Arial" w:cs="Arial"/>
                <w:lang w:val="en-GB"/>
              </w:rPr>
              <w:t>$15</w:t>
            </w:r>
            <w:r w:rsidR="005A18DB">
              <w:rPr>
                <w:rFonts w:ascii="Arial" w:hAnsi="Arial" w:cs="Arial"/>
                <w:lang w:val="en-GB"/>
              </w:rPr>
              <w:t>–</w:t>
            </w:r>
            <w:r w:rsidRPr="00B0605C">
              <w:rPr>
                <w:rFonts w:ascii="Arial" w:hAnsi="Arial" w:cs="Arial"/>
                <w:lang w:val="en-GB"/>
              </w:rPr>
              <w:t>20</w:t>
            </w:r>
          </w:p>
        </w:tc>
      </w:tr>
      <w:tr w:rsidR="000429C6" w:rsidRPr="00B0605C" w14:paraId="5CB5F184" w14:textId="77777777" w:rsidTr="00865D71">
        <w:trPr>
          <w:trHeight w:val="291"/>
          <w:jc w:val="center"/>
        </w:trPr>
        <w:tc>
          <w:tcPr>
            <w:tcW w:w="2268" w:type="dxa"/>
            <w:vAlign w:val="center"/>
          </w:tcPr>
          <w:p w14:paraId="7BC79095" w14:textId="77777777" w:rsidR="000429C6" w:rsidRPr="00B0605C" w:rsidRDefault="000429C6" w:rsidP="00E2027D">
            <w:pPr>
              <w:spacing w:line="276" w:lineRule="auto"/>
              <w:rPr>
                <w:rFonts w:ascii="Arial" w:hAnsi="Arial" w:cs="Arial"/>
                <w:lang w:val="en-GB"/>
              </w:rPr>
            </w:pPr>
            <w:r w:rsidRPr="00B0605C">
              <w:rPr>
                <w:rFonts w:ascii="Arial" w:hAnsi="Arial" w:cs="Arial"/>
                <w:lang w:val="en-GB"/>
              </w:rPr>
              <w:t>Mandalay Bay</w:t>
            </w:r>
          </w:p>
        </w:tc>
        <w:tc>
          <w:tcPr>
            <w:tcW w:w="2410" w:type="dxa"/>
            <w:vAlign w:val="center"/>
          </w:tcPr>
          <w:p w14:paraId="3202992B" w14:textId="77777777" w:rsidR="000429C6" w:rsidRPr="00B0605C" w:rsidRDefault="000429C6" w:rsidP="00E2027D">
            <w:pPr>
              <w:spacing w:line="276" w:lineRule="auto"/>
              <w:rPr>
                <w:rFonts w:ascii="Arial" w:hAnsi="Arial" w:cs="Arial"/>
                <w:lang w:val="en-GB"/>
              </w:rPr>
            </w:pPr>
            <w:r w:rsidRPr="00B0605C">
              <w:rPr>
                <w:rFonts w:ascii="Arial" w:hAnsi="Arial" w:cs="Arial"/>
                <w:lang w:val="en-GB"/>
              </w:rPr>
              <w:t>MGM Resorts</w:t>
            </w:r>
          </w:p>
        </w:tc>
        <w:tc>
          <w:tcPr>
            <w:tcW w:w="1247" w:type="dxa"/>
            <w:vAlign w:val="center"/>
          </w:tcPr>
          <w:p w14:paraId="28BAD5F9" w14:textId="77777777" w:rsidR="000429C6" w:rsidRPr="00B0605C" w:rsidRDefault="000429C6" w:rsidP="00E10B29">
            <w:pPr>
              <w:spacing w:line="276" w:lineRule="auto"/>
              <w:jc w:val="center"/>
              <w:rPr>
                <w:rFonts w:ascii="Arial" w:hAnsi="Arial" w:cs="Arial"/>
                <w:b/>
                <w:bCs/>
                <w:i/>
                <w:iCs/>
                <w:color w:val="4F81BD" w:themeColor="accent1"/>
                <w:lang w:val="en-GB" w:eastAsia="en-US"/>
              </w:rPr>
            </w:pPr>
            <w:r w:rsidRPr="00B0605C">
              <w:rPr>
                <w:rFonts w:ascii="Arial" w:hAnsi="Arial" w:cs="Arial"/>
                <w:lang w:val="en-GB"/>
              </w:rPr>
              <w:t>$35</w:t>
            </w:r>
          </w:p>
        </w:tc>
        <w:tc>
          <w:tcPr>
            <w:tcW w:w="1446" w:type="dxa"/>
            <w:vAlign w:val="center"/>
          </w:tcPr>
          <w:p w14:paraId="22AF72A6" w14:textId="439C1AEF" w:rsidR="000429C6" w:rsidRPr="00B0605C" w:rsidRDefault="000429C6" w:rsidP="00E10B29">
            <w:pPr>
              <w:spacing w:line="276" w:lineRule="auto"/>
              <w:jc w:val="center"/>
              <w:rPr>
                <w:rFonts w:ascii="Arial" w:hAnsi="Arial" w:cs="Arial"/>
                <w:b/>
                <w:bCs/>
                <w:i/>
                <w:iCs/>
                <w:color w:val="4F81BD" w:themeColor="accent1"/>
                <w:lang w:val="en-GB" w:eastAsia="en-US"/>
              </w:rPr>
            </w:pPr>
            <w:r w:rsidRPr="00B0605C">
              <w:rPr>
                <w:rFonts w:ascii="Arial" w:hAnsi="Arial" w:cs="Arial"/>
                <w:lang w:val="en-GB"/>
              </w:rPr>
              <w:t>$7</w:t>
            </w:r>
            <w:r w:rsidR="005A18DB">
              <w:rPr>
                <w:rFonts w:ascii="Arial" w:hAnsi="Arial" w:cs="Arial"/>
                <w:lang w:val="en-GB"/>
              </w:rPr>
              <w:t>–</w:t>
            </w:r>
            <w:r w:rsidRPr="00B0605C">
              <w:rPr>
                <w:rFonts w:ascii="Arial" w:hAnsi="Arial" w:cs="Arial"/>
                <w:lang w:val="en-GB"/>
              </w:rPr>
              <w:t>12</w:t>
            </w:r>
          </w:p>
        </w:tc>
        <w:tc>
          <w:tcPr>
            <w:tcW w:w="1417" w:type="dxa"/>
            <w:vAlign w:val="center"/>
          </w:tcPr>
          <w:p w14:paraId="3FCDFED4" w14:textId="56C214DF" w:rsidR="000429C6" w:rsidRPr="00B0605C" w:rsidRDefault="000429C6" w:rsidP="00E10B29">
            <w:pPr>
              <w:spacing w:line="276" w:lineRule="auto"/>
              <w:jc w:val="center"/>
              <w:rPr>
                <w:rFonts w:ascii="Arial" w:hAnsi="Arial" w:cs="Arial"/>
                <w:b/>
                <w:bCs/>
                <w:i/>
                <w:iCs/>
                <w:color w:val="4F81BD" w:themeColor="accent1"/>
                <w:lang w:val="en-GB" w:eastAsia="en-US"/>
              </w:rPr>
            </w:pPr>
            <w:r w:rsidRPr="00B0605C">
              <w:rPr>
                <w:rFonts w:ascii="Arial" w:hAnsi="Arial" w:cs="Arial"/>
                <w:lang w:val="en-GB"/>
              </w:rPr>
              <w:t>$15</w:t>
            </w:r>
            <w:r w:rsidR="005A18DB">
              <w:rPr>
                <w:rFonts w:ascii="Arial" w:hAnsi="Arial" w:cs="Arial"/>
                <w:lang w:val="en-GB"/>
              </w:rPr>
              <w:t>–</w:t>
            </w:r>
            <w:r w:rsidRPr="00B0605C">
              <w:rPr>
                <w:rFonts w:ascii="Arial" w:hAnsi="Arial" w:cs="Arial"/>
                <w:lang w:val="en-GB"/>
              </w:rPr>
              <w:t>20</w:t>
            </w:r>
          </w:p>
        </w:tc>
      </w:tr>
      <w:tr w:rsidR="000429C6" w:rsidRPr="00B0605C" w14:paraId="2E022BD0" w14:textId="77777777" w:rsidTr="00865D71">
        <w:trPr>
          <w:trHeight w:val="221"/>
          <w:jc w:val="center"/>
        </w:trPr>
        <w:tc>
          <w:tcPr>
            <w:tcW w:w="2268" w:type="dxa"/>
            <w:vAlign w:val="center"/>
          </w:tcPr>
          <w:p w14:paraId="4AFF4160" w14:textId="0EAB1E45" w:rsidR="000429C6" w:rsidRPr="00B0605C" w:rsidRDefault="000429C6" w:rsidP="00E2027D">
            <w:pPr>
              <w:spacing w:line="276" w:lineRule="auto"/>
              <w:rPr>
                <w:rFonts w:ascii="Arial" w:hAnsi="Arial" w:cs="Arial"/>
                <w:lang w:val="en-GB"/>
              </w:rPr>
            </w:pPr>
            <w:r w:rsidRPr="00B0605C">
              <w:rPr>
                <w:rFonts w:ascii="Arial" w:hAnsi="Arial" w:cs="Arial"/>
                <w:lang w:val="en-GB"/>
              </w:rPr>
              <w:t>New York-New York</w:t>
            </w:r>
          </w:p>
        </w:tc>
        <w:tc>
          <w:tcPr>
            <w:tcW w:w="2410" w:type="dxa"/>
            <w:vAlign w:val="center"/>
          </w:tcPr>
          <w:p w14:paraId="3D7BD358" w14:textId="77777777" w:rsidR="000429C6" w:rsidRPr="00B0605C" w:rsidRDefault="000429C6" w:rsidP="00E2027D">
            <w:pPr>
              <w:spacing w:line="276" w:lineRule="auto"/>
              <w:rPr>
                <w:rFonts w:ascii="Arial" w:hAnsi="Arial" w:cs="Arial"/>
                <w:lang w:val="en-GB"/>
              </w:rPr>
            </w:pPr>
            <w:r w:rsidRPr="00B0605C">
              <w:rPr>
                <w:rFonts w:ascii="Arial" w:hAnsi="Arial" w:cs="Arial"/>
                <w:lang w:val="en-GB"/>
              </w:rPr>
              <w:t>MGM Resorts</w:t>
            </w:r>
          </w:p>
        </w:tc>
        <w:tc>
          <w:tcPr>
            <w:tcW w:w="1247" w:type="dxa"/>
            <w:vAlign w:val="center"/>
          </w:tcPr>
          <w:p w14:paraId="5267BE25" w14:textId="77777777" w:rsidR="000429C6" w:rsidRPr="00B0605C" w:rsidRDefault="000429C6" w:rsidP="00E10B29">
            <w:pPr>
              <w:spacing w:line="276" w:lineRule="auto"/>
              <w:jc w:val="center"/>
              <w:rPr>
                <w:rFonts w:ascii="Arial" w:hAnsi="Arial" w:cs="Arial"/>
                <w:b/>
                <w:bCs/>
                <w:i/>
                <w:iCs/>
                <w:color w:val="4F81BD" w:themeColor="accent1"/>
                <w:lang w:val="en-GB" w:eastAsia="en-US"/>
              </w:rPr>
            </w:pPr>
            <w:r w:rsidRPr="00B0605C">
              <w:rPr>
                <w:rFonts w:ascii="Arial" w:hAnsi="Arial" w:cs="Arial"/>
                <w:lang w:val="en-GB"/>
              </w:rPr>
              <w:t>$35</w:t>
            </w:r>
          </w:p>
        </w:tc>
        <w:tc>
          <w:tcPr>
            <w:tcW w:w="1446" w:type="dxa"/>
            <w:vAlign w:val="center"/>
          </w:tcPr>
          <w:p w14:paraId="70F66FD9" w14:textId="6EA784E1" w:rsidR="000429C6" w:rsidRPr="00B0605C" w:rsidRDefault="000429C6" w:rsidP="00E10B29">
            <w:pPr>
              <w:spacing w:line="276" w:lineRule="auto"/>
              <w:jc w:val="center"/>
              <w:rPr>
                <w:rFonts w:ascii="Arial" w:hAnsi="Arial" w:cs="Arial"/>
                <w:b/>
                <w:bCs/>
                <w:i/>
                <w:iCs/>
                <w:color w:val="4F81BD" w:themeColor="accent1"/>
                <w:lang w:val="en-GB" w:eastAsia="en-US"/>
              </w:rPr>
            </w:pPr>
            <w:r w:rsidRPr="00B0605C">
              <w:rPr>
                <w:rFonts w:ascii="Arial" w:hAnsi="Arial" w:cs="Arial"/>
                <w:lang w:val="en-GB"/>
              </w:rPr>
              <w:t>$7</w:t>
            </w:r>
            <w:r w:rsidR="005A18DB">
              <w:rPr>
                <w:rFonts w:ascii="Arial" w:hAnsi="Arial" w:cs="Arial"/>
                <w:lang w:val="en-GB"/>
              </w:rPr>
              <w:t>–</w:t>
            </w:r>
            <w:r w:rsidRPr="00B0605C">
              <w:rPr>
                <w:rFonts w:ascii="Arial" w:hAnsi="Arial" w:cs="Arial"/>
                <w:lang w:val="en-GB"/>
              </w:rPr>
              <w:t>12</w:t>
            </w:r>
          </w:p>
        </w:tc>
        <w:tc>
          <w:tcPr>
            <w:tcW w:w="1417" w:type="dxa"/>
            <w:vAlign w:val="center"/>
          </w:tcPr>
          <w:p w14:paraId="392DD2F1" w14:textId="2BA18BB9" w:rsidR="000429C6" w:rsidRPr="00B0605C" w:rsidRDefault="000429C6" w:rsidP="00E10B29">
            <w:pPr>
              <w:spacing w:line="276" w:lineRule="auto"/>
              <w:jc w:val="center"/>
              <w:rPr>
                <w:rFonts w:ascii="Arial" w:hAnsi="Arial" w:cs="Arial"/>
                <w:b/>
                <w:bCs/>
                <w:i/>
                <w:iCs/>
                <w:color w:val="4F81BD" w:themeColor="accent1"/>
                <w:lang w:val="en-GB" w:eastAsia="en-US"/>
              </w:rPr>
            </w:pPr>
            <w:r w:rsidRPr="00B0605C">
              <w:rPr>
                <w:rFonts w:ascii="Arial" w:hAnsi="Arial" w:cs="Arial"/>
                <w:lang w:val="en-GB"/>
              </w:rPr>
              <w:t>$15</w:t>
            </w:r>
            <w:r w:rsidR="005A18DB">
              <w:rPr>
                <w:rFonts w:ascii="Arial" w:hAnsi="Arial" w:cs="Arial"/>
                <w:lang w:val="en-GB"/>
              </w:rPr>
              <w:t>–</w:t>
            </w:r>
            <w:r w:rsidRPr="00B0605C">
              <w:rPr>
                <w:rFonts w:ascii="Arial" w:hAnsi="Arial" w:cs="Arial"/>
                <w:lang w:val="en-GB"/>
              </w:rPr>
              <w:t>20</w:t>
            </w:r>
          </w:p>
        </w:tc>
      </w:tr>
      <w:tr w:rsidR="000429C6" w:rsidRPr="00B0605C" w14:paraId="30C87E87" w14:textId="77777777" w:rsidTr="00865D71">
        <w:trPr>
          <w:trHeight w:val="264"/>
          <w:jc w:val="center"/>
        </w:trPr>
        <w:tc>
          <w:tcPr>
            <w:tcW w:w="2268" w:type="dxa"/>
            <w:vAlign w:val="center"/>
          </w:tcPr>
          <w:p w14:paraId="2457903F" w14:textId="77777777" w:rsidR="000429C6" w:rsidRPr="00B0605C" w:rsidRDefault="000429C6" w:rsidP="00E2027D">
            <w:pPr>
              <w:spacing w:line="276" w:lineRule="auto"/>
              <w:rPr>
                <w:rFonts w:ascii="Arial" w:hAnsi="Arial" w:cs="Arial"/>
                <w:lang w:val="en-GB"/>
              </w:rPr>
            </w:pPr>
            <w:r w:rsidRPr="00B0605C">
              <w:rPr>
                <w:rFonts w:ascii="Arial" w:hAnsi="Arial" w:cs="Arial"/>
                <w:lang w:val="en-GB"/>
              </w:rPr>
              <w:t>Mirage</w:t>
            </w:r>
          </w:p>
        </w:tc>
        <w:tc>
          <w:tcPr>
            <w:tcW w:w="2410" w:type="dxa"/>
            <w:vAlign w:val="center"/>
          </w:tcPr>
          <w:p w14:paraId="4E4597E1" w14:textId="77777777" w:rsidR="000429C6" w:rsidRPr="00B0605C" w:rsidRDefault="000429C6" w:rsidP="00E2027D">
            <w:pPr>
              <w:spacing w:line="276" w:lineRule="auto"/>
              <w:rPr>
                <w:rFonts w:ascii="Arial" w:hAnsi="Arial" w:cs="Arial"/>
                <w:lang w:val="en-GB"/>
              </w:rPr>
            </w:pPr>
            <w:r w:rsidRPr="00B0605C">
              <w:rPr>
                <w:rFonts w:ascii="Arial" w:hAnsi="Arial" w:cs="Arial"/>
                <w:lang w:val="en-GB"/>
              </w:rPr>
              <w:t>MGM Resorts</w:t>
            </w:r>
          </w:p>
        </w:tc>
        <w:tc>
          <w:tcPr>
            <w:tcW w:w="1247" w:type="dxa"/>
            <w:vAlign w:val="center"/>
          </w:tcPr>
          <w:p w14:paraId="5EE06828" w14:textId="77777777" w:rsidR="000429C6" w:rsidRPr="00B0605C" w:rsidRDefault="000429C6" w:rsidP="00E10B29">
            <w:pPr>
              <w:spacing w:line="276" w:lineRule="auto"/>
              <w:jc w:val="center"/>
              <w:rPr>
                <w:rFonts w:ascii="Arial" w:hAnsi="Arial" w:cs="Arial"/>
                <w:b/>
                <w:bCs/>
                <w:i/>
                <w:iCs/>
                <w:color w:val="4F81BD" w:themeColor="accent1"/>
                <w:lang w:val="en-GB" w:eastAsia="en-US"/>
              </w:rPr>
            </w:pPr>
            <w:r w:rsidRPr="00B0605C">
              <w:rPr>
                <w:rFonts w:ascii="Arial" w:hAnsi="Arial" w:cs="Arial"/>
                <w:lang w:val="en-GB"/>
              </w:rPr>
              <w:t>$35</w:t>
            </w:r>
          </w:p>
        </w:tc>
        <w:tc>
          <w:tcPr>
            <w:tcW w:w="1446" w:type="dxa"/>
            <w:vAlign w:val="center"/>
          </w:tcPr>
          <w:p w14:paraId="6208A311" w14:textId="6F7A05E8" w:rsidR="000429C6" w:rsidRPr="00B0605C" w:rsidRDefault="000429C6" w:rsidP="00E10B29">
            <w:pPr>
              <w:spacing w:line="276" w:lineRule="auto"/>
              <w:jc w:val="center"/>
              <w:rPr>
                <w:rFonts w:ascii="Arial" w:hAnsi="Arial" w:cs="Arial"/>
                <w:b/>
                <w:bCs/>
                <w:i/>
                <w:iCs/>
                <w:color w:val="4F81BD" w:themeColor="accent1"/>
                <w:lang w:val="en-GB" w:eastAsia="en-US"/>
              </w:rPr>
            </w:pPr>
            <w:r w:rsidRPr="00B0605C">
              <w:rPr>
                <w:rFonts w:ascii="Arial" w:hAnsi="Arial" w:cs="Arial"/>
                <w:lang w:val="en-GB"/>
              </w:rPr>
              <w:t>$7</w:t>
            </w:r>
            <w:r w:rsidR="005A18DB">
              <w:rPr>
                <w:rFonts w:ascii="Arial" w:hAnsi="Arial" w:cs="Arial"/>
                <w:lang w:val="en-GB"/>
              </w:rPr>
              <w:t>–</w:t>
            </w:r>
            <w:r w:rsidRPr="00B0605C">
              <w:rPr>
                <w:rFonts w:ascii="Arial" w:hAnsi="Arial" w:cs="Arial"/>
                <w:lang w:val="en-GB"/>
              </w:rPr>
              <w:t>12</w:t>
            </w:r>
          </w:p>
        </w:tc>
        <w:tc>
          <w:tcPr>
            <w:tcW w:w="1417" w:type="dxa"/>
            <w:vAlign w:val="center"/>
          </w:tcPr>
          <w:p w14:paraId="0064A988" w14:textId="37417CFC" w:rsidR="000429C6" w:rsidRPr="00B0605C" w:rsidRDefault="000429C6" w:rsidP="00E10B29">
            <w:pPr>
              <w:spacing w:line="276" w:lineRule="auto"/>
              <w:jc w:val="center"/>
              <w:rPr>
                <w:rFonts w:ascii="Arial" w:hAnsi="Arial" w:cs="Arial"/>
                <w:b/>
                <w:bCs/>
                <w:i/>
                <w:iCs/>
                <w:color w:val="4F81BD" w:themeColor="accent1"/>
                <w:lang w:val="en-GB" w:eastAsia="en-US"/>
              </w:rPr>
            </w:pPr>
            <w:r w:rsidRPr="00B0605C">
              <w:rPr>
                <w:rFonts w:ascii="Arial" w:hAnsi="Arial" w:cs="Arial"/>
                <w:lang w:val="en-GB"/>
              </w:rPr>
              <w:t>$15</w:t>
            </w:r>
            <w:r w:rsidR="005A18DB">
              <w:rPr>
                <w:rFonts w:ascii="Arial" w:hAnsi="Arial" w:cs="Arial"/>
                <w:lang w:val="en-GB"/>
              </w:rPr>
              <w:t>–</w:t>
            </w:r>
            <w:r w:rsidRPr="00B0605C">
              <w:rPr>
                <w:rFonts w:ascii="Arial" w:hAnsi="Arial" w:cs="Arial"/>
                <w:lang w:val="en-GB"/>
              </w:rPr>
              <w:t>20</w:t>
            </w:r>
          </w:p>
        </w:tc>
      </w:tr>
      <w:tr w:rsidR="000429C6" w:rsidRPr="00B0605C" w14:paraId="04809FBE" w14:textId="77777777" w:rsidTr="00865D71">
        <w:trPr>
          <w:trHeight w:val="264"/>
          <w:jc w:val="center"/>
        </w:trPr>
        <w:tc>
          <w:tcPr>
            <w:tcW w:w="2268" w:type="dxa"/>
            <w:vAlign w:val="center"/>
          </w:tcPr>
          <w:p w14:paraId="16AADCC2" w14:textId="77777777" w:rsidR="000429C6" w:rsidRPr="00B0605C" w:rsidRDefault="000429C6" w:rsidP="00E2027D">
            <w:pPr>
              <w:spacing w:line="276" w:lineRule="auto"/>
              <w:rPr>
                <w:rFonts w:ascii="Arial" w:hAnsi="Arial" w:cs="Arial"/>
                <w:lang w:val="en-GB"/>
              </w:rPr>
            </w:pPr>
            <w:r w:rsidRPr="00B0605C">
              <w:rPr>
                <w:rFonts w:ascii="Arial" w:hAnsi="Arial" w:cs="Arial"/>
                <w:lang w:val="en-GB"/>
              </w:rPr>
              <w:t>Delano</w:t>
            </w:r>
          </w:p>
        </w:tc>
        <w:tc>
          <w:tcPr>
            <w:tcW w:w="2410" w:type="dxa"/>
            <w:vAlign w:val="center"/>
          </w:tcPr>
          <w:p w14:paraId="33E3CCED" w14:textId="77777777" w:rsidR="000429C6" w:rsidRPr="00B0605C" w:rsidRDefault="000429C6" w:rsidP="00E2027D">
            <w:pPr>
              <w:spacing w:line="276" w:lineRule="auto"/>
              <w:rPr>
                <w:rFonts w:ascii="Arial" w:hAnsi="Arial" w:cs="Arial"/>
                <w:lang w:val="en-GB"/>
              </w:rPr>
            </w:pPr>
            <w:r w:rsidRPr="00B0605C">
              <w:rPr>
                <w:rFonts w:ascii="Arial" w:hAnsi="Arial" w:cs="Arial"/>
                <w:lang w:val="en-GB"/>
              </w:rPr>
              <w:t>MGM Resorts</w:t>
            </w:r>
          </w:p>
        </w:tc>
        <w:tc>
          <w:tcPr>
            <w:tcW w:w="1247" w:type="dxa"/>
            <w:vAlign w:val="center"/>
          </w:tcPr>
          <w:p w14:paraId="453980C1" w14:textId="77777777" w:rsidR="000429C6" w:rsidRPr="00B0605C" w:rsidRDefault="000429C6" w:rsidP="00E10B29">
            <w:pPr>
              <w:spacing w:line="276" w:lineRule="auto"/>
              <w:jc w:val="center"/>
              <w:rPr>
                <w:rFonts w:ascii="Arial" w:hAnsi="Arial" w:cs="Arial"/>
                <w:b/>
                <w:bCs/>
                <w:i/>
                <w:iCs/>
                <w:color w:val="4F81BD" w:themeColor="accent1"/>
                <w:lang w:val="en-GB" w:eastAsia="en-US"/>
              </w:rPr>
            </w:pPr>
            <w:r w:rsidRPr="00B0605C">
              <w:rPr>
                <w:rFonts w:ascii="Arial" w:hAnsi="Arial" w:cs="Arial"/>
                <w:lang w:val="en-GB"/>
              </w:rPr>
              <w:t>$35</w:t>
            </w:r>
          </w:p>
        </w:tc>
        <w:tc>
          <w:tcPr>
            <w:tcW w:w="1446" w:type="dxa"/>
            <w:vAlign w:val="center"/>
          </w:tcPr>
          <w:p w14:paraId="4A0D5217" w14:textId="66649202" w:rsidR="000429C6" w:rsidRPr="00B0605C" w:rsidRDefault="000429C6" w:rsidP="00E10B29">
            <w:pPr>
              <w:spacing w:line="276" w:lineRule="auto"/>
              <w:jc w:val="center"/>
              <w:rPr>
                <w:rFonts w:ascii="Arial" w:hAnsi="Arial" w:cs="Arial"/>
                <w:b/>
                <w:bCs/>
                <w:i/>
                <w:iCs/>
                <w:color w:val="4F81BD" w:themeColor="accent1"/>
                <w:lang w:val="en-GB" w:eastAsia="en-US"/>
              </w:rPr>
            </w:pPr>
            <w:r w:rsidRPr="00B0605C">
              <w:rPr>
                <w:rFonts w:ascii="Arial" w:hAnsi="Arial" w:cs="Arial"/>
                <w:lang w:val="en-GB"/>
              </w:rPr>
              <w:t>$7</w:t>
            </w:r>
            <w:r w:rsidR="005A18DB">
              <w:rPr>
                <w:rFonts w:ascii="Arial" w:hAnsi="Arial" w:cs="Arial"/>
                <w:lang w:val="en-GB"/>
              </w:rPr>
              <w:t>–</w:t>
            </w:r>
            <w:r w:rsidRPr="00B0605C">
              <w:rPr>
                <w:rFonts w:ascii="Arial" w:hAnsi="Arial" w:cs="Arial"/>
                <w:lang w:val="en-GB"/>
              </w:rPr>
              <w:t>12</w:t>
            </w:r>
          </w:p>
        </w:tc>
        <w:tc>
          <w:tcPr>
            <w:tcW w:w="1417" w:type="dxa"/>
            <w:vAlign w:val="center"/>
          </w:tcPr>
          <w:p w14:paraId="7C131E5C" w14:textId="3B4234FD" w:rsidR="000429C6" w:rsidRPr="00B0605C" w:rsidRDefault="000429C6" w:rsidP="00E10B29">
            <w:pPr>
              <w:spacing w:line="276" w:lineRule="auto"/>
              <w:jc w:val="center"/>
              <w:rPr>
                <w:rFonts w:ascii="Arial" w:hAnsi="Arial" w:cs="Arial"/>
                <w:b/>
                <w:bCs/>
                <w:i/>
                <w:iCs/>
                <w:color w:val="4F81BD" w:themeColor="accent1"/>
                <w:lang w:val="en-GB" w:eastAsia="en-US"/>
              </w:rPr>
            </w:pPr>
            <w:r w:rsidRPr="00B0605C">
              <w:rPr>
                <w:rFonts w:ascii="Arial" w:hAnsi="Arial" w:cs="Arial"/>
                <w:lang w:val="en-GB"/>
              </w:rPr>
              <w:t>$15</w:t>
            </w:r>
            <w:r w:rsidR="005A18DB">
              <w:rPr>
                <w:rFonts w:ascii="Arial" w:hAnsi="Arial" w:cs="Arial"/>
                <w:lang w:val="en-GB"/>
              </w:rPr>
              <w:t>–</w:t>
            </w:r>
            <w:r w:rsidRPr="00B0605C">
              <w:rPr>
                <w:rFonts w:ascii="Arial" w:hAnsi="Arial" w:cs="Arial"/>
                <w:lang w:val="en-GB"/>
              </w:rPr>
              <w:t>20</w:t>
            </w:r>
          </w:p>
        </w:tc>
      </w:tr>
      <w:tr w:rsidR="000429C6" w:rsidRPr="00B0605C" w14:paraId="446D5108" w14:textId="77777777" w:rsidTr="00865D71">
        <w:trPr>
          <w:trHeight w:val="264"/>
          <w:jc w:val="center"/>
        </w:trPr>
        <w:tc>
          <w:tcPr>
            <w:tcW w:w="2268" w:type="dxa"/>
            <w:vAlign w:val="center"/>
          </w:tcPr>
          <w:p w14:paraId="557CFA4A" w14:textId="77777777" w:rsidR="000429C6" w:rsidRPr="00B0605C" w:rsidRDefault="000429C6" w:rsidP="00E2027D">
            <w:pPr>
              <w:spacing w:line="276" w:lineRule="auto"/>
              <w:rPr>
                <w:rFonts w:ascii="Arial" w:hAnsi="Arial" w:cs="Arial"/>
                <w:lang w:val="en-GB"/>
              </w:rPr>
            </w:pPr>
            <w:r w:rsidRPr="00B0605C">
              <w:rPr>
                <w:rFonts w:ascii="Arial" w:hAnsi="Arial" w:cs="Arial"/>
                <w:lang w:val="en-GB"/>
              </w:rPr>
              <w:t>Aria</w:t>
            </w:r>
          </w:p>
        </w:tc>
        <w:tc>
          <w:tcPr>
            <w:tcW w:w="2410" w:type="dxa"/>
            <w:vAlign w:val="center"/>
          </w:tcPr>
          <w:p w14:paraId="369AC08D" w14:textId="77777777" w:rsidR="000429C6" w:rsidRPr="00B0605C" w:rsidRDefault="000429C6" w:rsidP="00E2027D">
            <w:pPr>
              <w:spacing w:line="276" w:lineRule="auto"/>
              <w:rPr>
                <w:rFonts w:ascii="Arial" w:hAnsi="Arial" w:cs="Arial"/>
                <w:lang w:val="en-GB"/>
              </w:rPr>
            </w:pPr>
            <w:r w:rsidRPr="00B0605C">
              <w:rPr>
                <w:rFonts w:ascii="Arial" w:hAnsi="Arial" w:cs="Arial"/>
                <w:lang w:val="en-GB"/>
              </w:rPr>
              <w:t>MGM Resorts</w:t>
            </w:r>
          </w:p>
        </w:tc>
        <w:tc>
          <w:tcPr>
            <w:tcW w:w="1247" w:type="dxa"/>
            <w:vAlign w:val="center"/>
          </w:tcPr>
          <w:p w14:paraId="69D9A8A1" w14:textId="77777777" w:rsidR="000429C6" w:rsidRPr="00B0605C" w:rsidRDefault="000429C6" w:rsidP="00E10B29">
            <w:pPr>
              <w:spacing w:line="276" w:lineRule="auto"/>
              <w:jc w:val="center"/>
              <w:rPr>
                <w:rFonts w:ascii="Arial" w:hAnsi="Arial" w:cs="Arial"/>
                <w:b/>
                <w:bCs/>
                <w:i/>
                <w:iCs/>
                <w:color w:val="4F81BD" w:themeColor="accent1"/>
                <w:lang w:val="en-GB" w:eastAsia="en-US"/>
              </w:rPr>
            </w:pPr>
            <w:r w:rsidRPr="00B0605C">
              <w:rPr>
                <w:rFonts w:ascii="Arial" w:hAnsi="Arial" w:cs="Arial"/>
                <w:lang w:val="en-GB"/>
              </w:rPr>
              <w:t>$39</w:t>
            </w:r>
          </w:p>
        </w:tc>
        <w:tc>
          <w:tcPr>
            <w:tcW w:w="1446" w:type="dxa"/>
            <w:vAlign w:val="center"/>
          </w:tcPr>
          <w:p w14:paraId="5E27064C" w14:textId="75F794B7" w:rsidR="000429C6" w:rsidRPr="00B0605C" w:rsidRDefault="000429C6" w:rsidP="00E10B29">
            <w:pPr>
              <w:spacing w:line="276" w:lineRule="auto"/>
              <w:jc w:val="center"/>
              <w:rPr>
                <w:rFonts w:ascii="Arial" w:hAnsi="Arial" w:cs="Arial"/>
                <w:b/>
                <w:bCs/>
                <w:i/>
                <w:iCs/>
                <w:color w:val="4F81BD" w:themeColor="accent1"/>
                <w:lang w:val="en-GB" w:eastAsia="en-US"/>
              </w:rPr>
            </w:pPr>
            <w:r w:rsidRPr="00B0605C">
              <w:rPr>
                <w:rFonts w:ascii="Arial" w:hAnsi="Arial" w:cs="Arial"/>
                <w:lang w:val="en-GB"/>
              </w:rPr>
              <w:t>$7</w:t>
            </w:r>
            <w:r w:rsidR="005A18DB">
              <w:rPr>
                <w:rFonts w:ascii="Arial" w:hAnsi="Arial" w:cs="Arial"/>
                <w:lang w:val="en-GB"/>
              </w:rPr>
              <w:t>–</w:t>
            </w:r>
            <w:r w:rsidRPr="00B0605C">
              <w:rPr>
                <w:rFonts w:ascii="Arial" w:hAnsi="Arial" w:cs="Arial"/>
                <w:lang w:val="en-GB"/>
              </w:rPr>
              <w:t>15</w:t>
            </w:r>
          </w:p>
        </w:tc>
        <w:tc>
          <w:tcPr>
            <w:tcW w:w="1417" w:type="dxa"/>
            <w:vAlign w:val="center"/>
          </w:tcPr>
          <w:p w14:paraId="1A297B56" w14:textId="36112346" w:rsidR="000429C6" w:rsidRPr="00B0605C" w:rsidRDefault="000429C6" w:rsidP="00E10B29">
            <w:pPr>
              <w:spacing w:line="276" w:lineRule="auto"/>
              <w:jc w:val="center"/>
              <w:rPr>
                <w:rFonts w:ascii="Arial" w:hAnsi="Arial" w:cs="Arial"/>
                <w:b/>
                <w:bCs/>
                <w:i/>
                <w:iCs/>
                <w:color w:val="4F81BD" w:themeColor="accent1"/>
                <w:lang w:val="en-GB" w:eastAsia="en-US"/>
              </w:rPr>
            </w:pPr>
            <w:r w:rsidRPr="00B0605C">
              <w:rPr>
                <w:rFonts w:ascii="Arial" w:hAnsi="Arial" w:cs="Arial"/>
                <w:lang w:val="en-GB"/>
              </w:rPr>
              <w:t>$20</w:t>
            </w:r>
            <w:r w:rsidR="005A18DB">
              <w:rPr>
                <w:rFonts w:ascii="Arial" w:hAnsi="Arial" w:cs="Arial"/>
                <w:lang w:val="en-GB"/>
              </w:rPr>
              <w:t>–</w:t>
            </w:r>
            <w:r w:rsidRPr="00B0605C">
              <w:rPr>
                <w:rFonts w:ascii="Arial" w:hAnsi="Arial" w:cs="Arial"/>
                <w:lang w:val="en-GB"/>
              </w:rPr>
              <w:t>25</w:t>
            </w:r>
          </w:p>
        </w:tc>
      </w:tr>
      <w:tr w:rsidR="000429C6" w:rsidRPr="00B0605C" w14:paraId="14F9AE8A" w14:textId="77777777" w:rsidTr="00865D71">
        <w:trPr>
          <w:trHeight w:val="291"/>
          <w:jc w:val="center"/>
        </w:trPr>
        <w:tc>
          <w:tcPr>
            <w:tcW w:w="2268" w:type="dxa"/>
            <w:vAlign w:val="center"/>
          </w:tcPr>
          <w:p w14:paraId="30CA81FD" w14:textId="77777777" w:rsidR="000429C6" w:rsidRPr="00B0605C" w:rsidRDefault="000429C6" w:rsidP="00E2027D">
            <w:pPr>
              <w:spacing w:line="276" w:lineRule="auto"/>
              <w:rPr>
                <w:rFonts w:ascii="Arial" w:hAnsi="Arial" w:cs="Arial"/>
                <w:lang w:val="en-GB"/>
              </w:rPr>
            </w:pPr>
            <w:r w:rsidRPr="00B0605C">
              <w:rPr>
                <w:rFonts w:ascii="Arial" w:hAnsi="Arial" w:cs="Arial"/>
                <w:lang w:val="en-GB"/>
              </w:rPr>
              <w:t>Bellagio</w:t>
            </w:r>
          </w:p>
        </w:tc>
        <w:tc>
          <w:tcPr>
            <w:tcW w:w="2410" w:type="dxa"/>
            <w:vAlign w:val="center"/>
          </w:tcPr>
          <w:p w14:paraId="63E997D5" w14:textId="77777777" w:rsidR="000429C6" w:rsidRPr="00B0605C" w:rsidRDefault="000429C6" w:rsidP="00E2027D">
            <w:pPr>
              <w:spacing w:line="276" w:lineRule="auto"/>
              <w:rPr>
                <w:rFonts w:ascii="Arial" w:hAnsi="Arial" w:cs="Arial"/>
                <w:lang w:val="en-GB"/>
              </w:rPr>
            </w:pPr>
            <w:r w:rsidRPr="00B0605C">
              <w:rPr>
                <w:rFonts w:ascii="Arial" w:hAnsi="Arial" w:cs="Arial"/>
                <w:lang w:val="en-GB"/>
              </w:rPr>
              <w:t>MGM Resorts</w:t>
            </w:r>
          </w:p>
        </w:tc>
        <w:tc>
          <w:tcPr>
            <w:tcW w:w="1247" w:type="dxa"/>
            <w:vAlign w:val="center"/>
          </w:tcPr>
          <w:p w14:paraId="1372A6D1" w14:textId="77777777" w:rsidR="000429C6" w:rsidRPr="00B0605C" w:rsidRDefault="000429C6" w:rsidP="00E10B29">
            <w:pPr>
              <w:spacing w:line="276" w:lineRule="auto"/>
              <w:jc w:val="center"/>
              <w:rPr>
                <w:rFonts w:ascii="Arial" w:hAnsi="Arial" w:cs="Arial"/>
                <w:b/>
                <w:bCs/>
                <w:i/>
                <w:iCs/>
                <w:color w:val="4F81BD" w:themeColor="accent1"/>
                <w:lang w:val="en-GB" w:eastAsia="en-US"/>
              </w:rPr>
            </w:pPr>
            <w:r w:rsidRPr="00B0605C">
              <w:rPr>
                <w:rFonts w:ascii="Arial" w:hAnsi="Arial" w:cs="Arial"/>
                <w:lang w:val="en-GB"/>
              </w:rPr>
              <w:t>$39</w:t>
            </w:r>
          </w:p>
        </w:tc>
        <w:tc>
          <w:tcPr>
            <w:tcW w:w="1446" w:type="dxa"/>
            <w:vAlign w:val="center"/>
          </w:tcPr>
          <w:p w14:paraId="30764AA3" w14:textId="4A82F265" w:rsidR="000429C6" w:rsidRPr="00B0605C" w:rsidRDefault="000429C6" w:rsidP="00E10B29">
            <w:pPr>
              <w:spacing w:line="276" w:lineRule="auto"/>
              <w:jc w:val="center"/>
              <w:rPr>
                <w:rFonts w:ascii="Arial" w:hAnsi="Arial" w:cs="Arial"/>
                <w:b/>
                <w:bCs/>
                <w:i/>
                <w:iCs/>
                <w:color w:val="4F81BD" w:themeColor="accent1"/>
                <w:lang w:val="en-GB" w:eastAsia="en-US"/>
              </w:rPr>
            </w:pPr>
            <w:r w:rsidRPr="00B0605C">
              <w:rPr>
                <w:rFonts w:ascii="Arial" w:hAnsi="Arial" w:cs="Arial"/>
                <w:lang w:val="en-GB"/>
              </w:rPr>
              <w:t>$7</w:t>
            </w:r>
            <w:r w:rsidR="005A18DB">
              <w:rPr>
                <w:rFonts w:ascii="Arial" w:hAnsi="Arial" w:cs="Arial"/>
                <w:lang w:val="en-GB"/>
              </w:rPr>
              <w:t>–</w:t>
            </w:r>
            <w:r w:rsidRPr="00B0605C">
              <w:rPr>
                <w:rFonts w:ascii="Arial" w:hAnsi="Arial" w:cs="Arial"/>
                <w:lang w:val="en-GB"/>
              </w:rPr>
              <w:t>15</w:t>
            </w:r>
          </w:p>
        </w:tc>
        <w:tc>
          <w:tcPr>
            <w:tcW w:w="1417" w:type="dxa"/>
            <w:vAlign w:val="center"/>
          </w:tcPr>
          <w:p w14:paraId="451A1739" w14:textId="1C99EEDA" w:rsidR="000429C6" w:rsidRPr="00B0605C" w:rsidRDefault="000429C6" w:rsidP="00E10B29">
            <w:pPr>
              <w:spacing w:line="276" w:lineRule="auto"/>
              <w:jc w:val="center"/>
              <w:rPr>
                <w:rFonts w:ascii="Arial" w:hAnsi="Arial" w:cs="Arial"/>
                <w:b/>
                <w:bCs/>
                <w:i/>
                <w:iCs/>
                <w:color w:val="4F81BD" w:themeColor="accent1"/>
                <w:lang w:val="en-GB" w:eastAsia="en-US"/>
              </w:rPr>
            </w:pPr>
            <w:r w:rsidRPr="00B0605C">
              <w:rPr>
                <w:rFonts w:ascii="Arial" w:hAnsi="Arial" w:cs="Arial"/>
                <w:lang w:val="en-GB"/>
              </w:rPr>
              <w:t>$20</w:t>
            </w:r>
            <w:r w:rsidR="005A18DB">
              <w:rPr>
                <w:rFonts w:ascii="Arial" w:hAnsi="Arial" w:cs="Arial"/>
                <w:lang w:val="en-GB"/>
              </w:rPr>
              <w:t>–</w:t>
            </w:r>
            <w:r w:rsidRPr="00B0605C">
              <w:rPr>
                <w:rFonts w:ascii="Arial" w:hAnsi="Arial" w:cs="Arial"/>
                <w:lang w:val="en-GB"/>
              </w:rPr>
              <w:t>25</w:t>
            </w:r>
          </w:p>
        </w:tc>
      </w:tr>
      <w:tr w:rsidR="000429C6" w:rsidRPr="00B0605C" w14:paraId="142E19DC" w14:textId="77777777" w:rsidTr="00865D71">
        <w:trPr>
          <w:trHeight w:val="203"/>
          <w:jc w:val="center"/>
        </w:trPr>
        <w:tc>
          <w:tcPr>
            <w:tcW w:w="2268" w:type="dxa"/>
            <w:vAlign w:val="center"/>
          </w:tcPr>
          <w:p w14:paraId="49A9ACE3" w14:textId="77777777" w:rsidR="000429C6" w:rsidRPr="00B0605C" w:rsidRDefault="000429C6" w:rsidP="00E2027D">
            <w:pPr>
              <w:spacing w:line="276" w:lineRule="auto"/>
              <w:rPr>
                <w:rFonts w:ascii="Arial" w:hAnsi="Arial" w:cs="Arial"/>
                <w:lang w:val="en-GB"/>
              </w:rPr>
            </w:pPr>
            <w:r w:rsidRPr="00B0605C">
              <w:rPr>
                <w:rFonts w:ascii="Arial" w:hAnsi="Arial" w:cs="Arial"/>
                <w:lang w:val="en-GB"/>
              </w:rPr>
              <w:t>Vdara</w:t>
            </w:r>
          </w:p>
        </w:tc>
        <w:tc>
          <w:tcPr>
            <w:tcW w:w="2410" w:type="dxa"/>
            <w:vAlign w:val="center"/>
          </w:tcPr>
          <w:p w14:paraId="0D5A689E" w14:textId="77777777" w:rsidR="000429C6" w:rsidRPr="00B0605C" w:rsidRDefault="000429C6" w:rsidP="00E2027D">
            <w:pPr>
              <w:spacing w:line="276" w:lineRule="auto"/>
              <w:rPr>
                <w:rFonts w:ascii="Arial" w:hAnsi="Arial" w:cs="Arial"/>
                <w:lang w:val="en-GB"/>
              </w:rPr>
            </w:pPr>
            <w:r w:rsidRPr="00B0605C">
              <w:rPr>
                <w:rFonts w:ascii="Arial" w:hAnsi="Arial" w:cs="Arial"/>
                <w:lang w:val="en-GB"/>
              </w:rPr>
              <w:t>MGM Resorts</w:t>
            </w:r>
          </w:p>
        </w:tc>
        <w:tc>
          <w:tcPr>
            <w:tcW w:w="1247" w:type="dxa"/>
            <w:vAlign w:val="center"/>
          </w:tcPr>
          <w:p w14:paraId="606C3B4E" w14:textId="77777777" w:rsidR="000429C6" w:rsidRPr="00B0605C" w:rsidRDefault="000429C6" w:rsidP="00E10B29">
            <w:pPr>
              <w:spacing w:line="276" w:lineRule="auto"/>
              <w:jc w:val="center"/>
              <w:rPr>
                <w:rFonts w:ascii="Arial" w:hAnsi="Arial" w:cs="Arial"/>
                <w:b/>
                <w:bCs/>
                <w:i/>
                <w:iCs/>
                <w:color w:val="4F81BD" w:themeColor="accent1"/>
                <w:lang w:val="en-GB" w:eastAsia="en-US"/>
              </w:rPr>
            </w:pPr>
            <w:r w:rsidRPr="00B0605C">
              <w:rPr>
                <w:rFonts w:ascii="Arial" w:hAnsi="Arial" w:cs="Arial"/>
                <w:lang w:val="en-GB"/>
              </w:rPr>
              <w:t>$39</w:t>
            </w:r>
          </w:p>
        </w:tc>
        <w:tc>
          <w:tcPr>
            <w:tcW w:w="1446" w:type="dxa"/>
            <w:vAlign w:val="center"/>
          </w:tcPr>
          <w:p w14:paraId="332C0B3C" w14:textId="3EC1EB9F" w:rsidR="000429C6" w:rsidRPr="00B0605C" w:rsidRDefault="000429C6" w:rsidP="00E10B29">
            <w:pPr>
              <w:spacing w:line="276" w:lineRule="auto"/>
              <w:jc w:val="center"/>
              <w:rPr>
                <w:rFonts w:ascii="Arial" w:hAnsi="Arial" w:cs="Arial"/>
                <w:b/>
                <w:bCs/>
                <w:i/>
                <w:iCs/>
                <w:color w:val="4F81BD" w:themeColor="accent1"/>
                <w:lang w:val="en-GB" w:eastAsia="en-US"/>
              </w:rPr>
            </w:pPr>
            <w:r w:rsidRPr="00B0605C">
              <w:rPr>
                <w:rFonts w:ascii="Arial" w:hAnsi="Arial" w:cs="Arial"/>
                <w:lang w:val="en-GB"/>
              </w:rPr>
              <w:t>No</w:t>
            </w:r>
            <w:r w:rsidR="0046096B" w:rsidRPr="00B0605C">
              <w:rPr>
                <w:rFonts w:ascii="Arial" w:hAnsi="Arial" w:cs="Arial"/>
                <w:lang w:val="en-GB"/>
              </w:rPr>
              <w:t>t Available</w:t>
            </w:r>
          </w:p>
        </w:tc>
        <w:tc>
          <w:tcPr>
            <w:tcW w:w="1417" w:type="dxa"/>
            <w:vAlign w:val="center"/>
          </w:tcPr>
          <w:p w14:paraId="3BB7C5DA" w14:textId="586CD2B9" w:rsidR="000429C6" w:rsidRPr="00B0605C" w:rsidRDefault="000429C6" w:rsidP="00E10B29">
            <w:pPr>
              <w:spacing w:line="276" w:lineRule="auto"/>
              <w:jc w:val="center"/>
              <w:rPr>
                <w:rFonts w:ascii="Arial" w:hAnsi="Arial" w:cs="Arial"/>
                <w:b/>
                <w:bCs/>
                <w:i/>
                <w:iCs/>
                <w:color w:val="4F81BD" w:themeColor="accent1"/>
                <w:lang w:val="en-GB" w:eastAsia="en-US"/>
              </w:rPr>
            </w:pPr>
            <w:r w:rsidRPr="00B0605C">
              <w:rPr>
                <w:rFonts w:ascii="Arial" w:hAnsi="Arial" w:cs="Arial"/>
                <w:lang w:val="en-GB"/>
              </w:rPr>
              <w:t>$20</w:t>
            </w:r>
            <w:r w:rsidR="005A18DB">
              <w:rPr>
                <w:rFonts w:ascii="Arial" w:hAnsi="Arial" w:cs="Arial"/>
                <w:lang w:val="en-GB"/>
              </w:rPr>
              <w:t>–</w:t>
            </w:r>
            <w:r w:rsidRPr="00B0605C">
              <w:rPr>
                <w:rFonts w:ascii="Arial" w:hAnsi="Arial" w:cs="Arial"/>
                <w:lang w:val="en-GB"/>
              </w:rPr>
              <w:t>25</w:t>
            </w:r>
          </w:p>
        </w:tc>
      </w:tr>
      <w:tr w:rsidR="000429C6" w:rsidRPr="00B0605C" w14:paraId="3A0F86BE" w14:textId="77777777" w:rsidTr="00865D71">
        <w:trPr>
          <w:trHeight w:val="264"/>
          <w:jc w:val="center"/>
        </w:trPr>
        <w:tc>
          <w:tcPr>
            <w:tcW w:w="2268" w:type="dxa"/>
            <w:vAlign w:val="center"/>
          </w:tcPr>
          <w:p w14:paraId="47A2C258" w14:textId="77777777" w:rsidR="000429C6" w:rsidRPr="00B0605C" w:rsidRDefault="000429C6" w:rsidP="00E2027D">
            <w:pPr>
              <w:spacing w:line="276" w:lineRule="auto"/>
              <w:rPr>
                <w:rFonts w:ascii="Arial" w:hAnsi="Arial" w:cs="Arial"/>
                <w:lang w:val="en-GB"/>
              </w:rPr>
            </w:pPr>
            <w:r w:rsidRPr="00B0605C">
              <w:rPr>
                <w:rFonts w:ascii="Arial" w:hAnsi="Arial" w:cs="Arial"/>
                <w:lang w:val="en-GB"/>
              </w:rPr>
              <w:t xml:space="preserve">Harrah’s </w:t>
            </w:r>
          </w:p>
        </w:tc>
        <w:tc>
          <w:tcPr>
            <w:tcW w:w="2410" w:type="dxa"/>
            <w:vAlign w:val="center"/>
          </w:tcPr>
          <w:p w14:paraId="4A06975D" w14:textId="77777777" w:rsidR="000429C6" w:rsidRPr="00B0605C" w:rsidRDefault="000429C6" w:rsidP="00E2027D">
            <w:pPr>
              <w:spacing w:line="276" w:lineRule="auto"/>
              <w:rPr>
                <w:rFonts w:ascii="Arial" w:hAnsi="Arial" w:cs="Arial"/>
                <w:lang w:val="en-GB"/>
              </w:rPr>
            </w:pPr>
            <w:r w:rsidRPr="00B0605C">
              <w:rPr>
                <w:rFonts w:ascii="Arial" w:hAnsi="Arial" w:cs="Arial"/>
                <w:lang w:val="en-GB"/>
              </w:rPr>
              <w:t>Caesars Entertainment</w:t>
            </w:r>
          </w:p>
        </w:tc>
        <w:tc>
          <w:tcPr>
            <w:tcW w:w="1247" w:type="dxa"/>
            <w:vAlign w:val="center"/>
          </w:tcPr>
          <w:p w14:paraId="79E9AC1D" w14:textId="77777777" w:rsidR="000429C6" w:rsidRPr="00B0605C" w:rsidRDefault="000429C6" w:rsidP="00E10B29">
            <w:pPr>
              <w:spacing w:line="276" w:lineRule="auto"/>
              <w:jc w:val="center"/>
              <w:rPr>
                <w:rFonts w:ascii="Arial" w:hAnsi="Arial" w:cs="Arial"/>
                <w:b/>
                <w:bCs/>
                <w:i/>
                <w:iCs/>
                <w:color w:val="4F81BD" w:themeColor="accent1"/>
                <w:lang w:val="en-GB" w:eastAsia="en-US"/>
              </w:rPr>
            </w:pPr>
            <w:r w:rsidRPr="00B0605C">
              <w:rPr>
                <w:rFonts w:ascii="Arial" w:hAnsi="Arial" w:cs="Arial"/>
                <w:lang w:val="en-GB"/>
              </w:rPr>
              <w:t>$30</w:t>
            </w:r>
          </w:p>
        </w:tc>
        <w:tc>
          <w:tcPr>
            <w:tcW w:w="1446" w:type="dxa"/>
            <w:vAlign w:val="center"/>
          </w:tcPr>
          <w:p w14:paraId="147CD2DE" w14:textId="61DCDF84" w:rsidR="000429C6" w:rsidRPr="00B0605C" w:rsidRDefault="000429C6" w:rsidP="00E10B29">
            <w:pPr>
              <w:spacing w:line="276" w:lineRule="auto"/>
              <w:jc w:val="center"/>
              <w:rPr>
                <w:rFonts w:ascii="Arial" w:hAnsi="Arial" w:cs="Arial"/>
                <w:b/>
                <w:bCs/>
                <w:i/>
                <w:iCs/>
                <w:color w:val="4F81BD" w:themeColor="accent1"/>
                <w:lang w:val="en-GB" w:eastAsia="en-US"/>
              </w:rPr>
            </w:pPr>
            <w:r w:rsidRPr="00B0605C">
              <w:rPr>
                <w:rFonts w:ascii="Arial" w:hAnsi="Arial" w:cs="Arial"/>
                <w:lang w:val="en-GB"/>
              </w:rPr>
              <w:t>$5</w:t>
            </w:r>
            <w:r w:rsidR="005A18DB">
              <w:rPr>
                <w:rFonts w:ascii="Arial" w:hAnsi="Arial" w:cs="Arial"/>
                <w:lang w:val="en-GB"/>
              </w:rPr>
              <w:t>–</w:t>
            </w:r>
            <w:r w:rsidRPr="00B0605C">
              <w:rPr>
                <w:rFonts w:ascii="Arial" w:hAnsi="Arial" w:cs="Arial"/>
                <w:lang w:val="en-GB"/>
              </w:rPr>
              <w:t>8</w:t>
            </w:r>
          </w:p>
        </w:tc>
        <w:tc>
          <w:tcPr>
            <w:tcW w:w="1417" w:type="dxa"/>
            <w:vAlign w:val="center"/>
          </w:tcPr>
          <w:p w14:paraId="13B24BB8" w14:textId="7177C2C3" w:rsidR="000429C6" w:rsidRPr="00B0605C" w:rsidRDefault="000429C6" w:rsidP="00E10B29">
            <w:pPr>
              <w:spacing w:line="276" w:lineRule="auto"/>
              <w:jc w:val="center"/>
              <w:rPr>
                <w:rFonts w:ascii="Arial" w:hAnsi="Arial" w:cs="Arial"/>
                <w:b/>
                <w:bCs/>
                <w:i/>
                <w:iCs/>
                <w:color w:val="4F81BD" w:themeColor="accent1"/>
                <w:lang w:val="en-GB" w:eastAsia="en-US"/>
              </w:rPr>
            </w:pPr>
            <w:r w:rsidRPr="00B0605C">
              <w:rPr>
                <w:rFonts w:ascii="Arial" w:hAnsi="Arial" w:cs="Arial"/>
                <w:lang w:val="en-GB"/>
              </w:rPr>
              <w:t>$8</w:t>
            </w:r>
            <w:r w:rsidR="005A18DB">
              <w:rPr>
                <w:rFonts w:ascii="Arial" w:hAnsi="Arial" w:cs="Arial"/>
                <w:lang w:val="en-GB"/>
              </w:rPr>
              <w:t>–</w:t>
            </w:r>
            <w:r w:rsidRPr="00B0605C">
              <w:rPr>
                <w:rFonts w:ascii="Arial" w:hAnsi="Arial" w:cs="Arial"/>
                <w:lang w:val="en-GB"/>
              </w:rPr>
              <w:t>13</w:t>
            </w:r>
          </w:p>
        </w:tc>
      </w:tr>
      <w:tr w:rsidR="000429C6" w:rsidRPr="00B0605C" w14:paraId="51066E71" w14:textId="77777777" w:rsidTr="00865D71">
        <w:trPr>
          <w:trHeight w:val="264"/>
          <w:jc w:val="center"/>
        </w:trPr>
        <w:tc>
          <w:tcPr>
            <w:tcW w:w="2268" w:type="dxa"/>
            <w:vAlign w:val="center"/>
          </w:tcPr>
          <w:p w14:paraId="00B10A02" w14:textId="77777777" w:rsidR="000429C6" w:rsidRPr="00B0605C" w:rsidRDefault="000429C6" w:rsidP="00E2027D">
            <w:pPr>
              <w:spacing w:line="276" w:lineRule="auto"/>
              <w:rPr>
                <w:rFonts w:ascii="Arial" w:hAnsi="Arial" w:cs="Arial"/>
                <w:lang w:val="en-GB"/>
              </w:rPr>
            </w:pPr>
            <w:r w:rsidRPr="00B0605C">
              <w:rPr>
                <w:rFonts w:ascii="Arial" w:hAnsi="Arial" w:cs="Arial"/>
                <w:lang w:val="en-GB"/>
              </w:rPr>
              <w:t>The LINQ</w:t>
            </w:r>
          </w:p>
        </w:tc>
        <w:tc>
          <w:tcPr>
            <w:tcW w:w="2410" w:type="dxa"/>
            <w:vAlign w:val="center"/>
          </w:tcPr>
          <w:p w14:paraId="22D9A02E" w14:textId="77777777" w:rsidR="000429C6" w:rsidRPr="00B0605C" w:rsidRDefault="000429C6" w:rsidP="00E2027D">
            <w:pPr>
              <w:spacing w:line="276" w:lineRule="auto"/>
              <w:rPr>
                <w:rFonts w:ascii="Arial" w:hAnsi="Arial" w:cs="Arial"/>
                <w:lang w:val="en-GB"/>
              </w:rPr>
            </w:pPr>
            <w:r w:rsidRPr="00B0605C">
              <w:rPr>
                <w:rFonts w:ascii="Arial" w:hAnsi="Arial" w:cs="Arial"/>
                <w:lang w:val="en-GB"/>
              </w:rPr>
              <w:t>Caesars Entertainment</w:t>
            </w:r>
          </w:p>
        </w:tc>
        <w:tc>
          <w:tcPr>
            <w:tcW w:w="1247" w:type="dxa"/>
            <w:vAlign w:val="center"/>
          </w:tcPr>
          <w:p w14:paraId="11E2DA0F" w14:textId="77777777" w:rsidR="000429C6" w:rsidRPr="00B0605C" w:rsidRDefault="000429C6" w:rsidP="00E10B29">
            <w:pPr>
              <w:spacing w:line="276" w:lineRule="auto"/>
              <w:jc w:val="center"/>
              <w:rPr>
                <w:rFonts w:ascii="Arial" w:hAnsi="Arial" w:cs="Arial"/>
                <w:b/>
                <w:bCs/>
                <w:i/>
                <w:iCs/>
                <w:color w:val="4F81BD" w:themeColor="accent1"/>
                <w:lang w:val="en-GB" w:eastAsia="en-US"/>
              </w:rPr>
            </w:pPr>
            <w:r w:rsidRPr="00B0605C">
              <w:rPr>
                <w:rFonts w:ascii="Arial" w:hAnsi="Arial" w:cs="Arial"/>
                <w:lang w:val="en-GB"/>
              </w:rPr>
              <w:t>$30</w:t>
            </w:r>
          </w:p>
        </w:tc>
        <w:tc>
          <w:tcPr>
            <w:tcW w:w="1446" w:type="dxa"/>
            <w:vAlign w:val="center"/>
          </w:tcPr>
          <w:p w14:paraId="46D42C28" w14:textId="1A779DB1" w:rsidR="000429C6" w:rsidRPr="00B0605C" w:rsidRDefault="000429C6" w:rsidP="00E10B29">
            <w:pPr>
              <w:spacing w:line="276" w:lineRule="auto"/>
              <w:jc w:val="center"/>
              <w:rPr>
                <w:rFonts w:ascii="Arial" w:hAnsi="Arial" w:cs="Arial"/>
                <w:b/>
                <w:bCs/>
                <w:i/>
                <w:iCs/>
                <w:color w:val="4F81BD" w:themeColor="accent1"/>
                <w:lang w:val="en-GB" w:eastAsia="en-US"/>
              </w:rPr>
            </w:pPr>
            <w:r w:rsidRPr="00B0605C">
              <w:rPr>
                <w:rFonts w:ascii="Arial" w:hAnsi="Arial" w:cs="Arial"/>
                <w:lang w:val="en-GB"/>
              </w:rPr>
              <w:t>$5</w:t>
            </w:r>
            <w:r w:rsidR="005A18DB">
              <w:rPr>
                <w:rFonts w:ascii="Arial" w:hAnsi="Arial" w:cs="Arial"/>
                <w:lang w:val="en-GB"/>
              </w:rPr>
              <w:t>–</w:t>
            </w:r>
            <w:r w:rsidRPr="00B0605C">
              <w:rPr>
                <w:rFonts w:ascii="Arial" w:hAnsi="Arial" w:cs="Arial"/>
                <w:lang w:val="en-GB"/>
              </w:rPr>
              <w:t>8</w:t>
            </w:r>
          </w:p>
        </w:tc>
        <w:tc>
          <w:tcPr>
            <w:tcW w:w="1417" w:type="dxa"/>
            <w:vAlign w:val="center"/>
          </w:tcPr>
          <w:p w14:paraId="54AECD4A" w14:textId="79E943AC" w:rsidR="000429C6" w:rsidRPr="00B0605C" w:rsidRDefault="000429C6" w:rsidP="00E10B29">
            <w:pPr>
              <w:spacing w:line="276" w:lineRule="auto"/>
              <w:jc w:val="center"/>
              <w:rPr>
                <w:rFonts w:ascii="Arial" w:hAnsi="Arial" w:cs="Arial"/>
                <w:b/>
                <w:bCs/>
                <w:i/>
                <w:iCs/>
                <w:color w:val="4F81BD" w:themeColor="accent1"/>
                <w:lang w:val="en-GB" w:eastAsia="en-US"/>
              </w:rPr>
            </w:pPr>
            <w:r w:rsidRPr="00B0605C">
              <w:rPr>
                <w:rFonts w:ascii="Arial" w:hAnsi="Arial" w:cs="Arial"/>
                <w:lang w:val="en-GB"/>
              </w:rPr>
              <w:t>$8</w:t>
            </w:r>
            <w:r w:rsidR="005A18DB">
              <w:rPr>
                <w:rFonts w:ascii="Arial" w:hAnsi="Arial" w:cs="Arial"/>
                <w:lang w:val="en-GB"/>
              </w:rPr>
              <w:t>–</w:t>
            </w:r>
            <w:r w:rsidRPr="00B0605C">
              <w:rPr>
                <w:rFonts w:ascii="Arial" w:hAnsi="Arial" w:cs="Arial"/>
                <w:lang w:val="en-GB"/>
              </w:rPr>
              <w:t>13</w:t>
            </w:r>
          </w:p>
        </w:tc>
      </w:tr>
      <w:tr w:rsidR="000429C6" w:rsidRPr="00B0605C" w14:paraId="6E91F50A" w14:textId="77777777" w:rsidTr="00865D71">
        <w:trPr>
          <w:trHeight w:val="291"/>
          <w:jc w:val="center"/>
        </w:trPr>
        <w:tc>
          <w:tcPr>
            <w:tcW w:w="2268" w:type="dxa"/>
            <w:vAlign w:val="center"/>
          </w:tcPr>
          <w:p w14:paraId="7EC7C7BA" w14:textId="77777777" w:rsidR="000429C6" w:rsidRPr="00B0605C" w:rsidRDefault="000429C6" w:rsidP="00E2027D">
            <w:pPr>
              <w:spacing w:line="276" w:lineRule="auto"/>
              <w:rPr>
                <w:rFonts w:ascii="Arial" w:hAnsi="Arial" w:cs="Arial"/>
                <w:lang w:val="en-GB"/>
              </w:rPr>
            </w:pPr>
            <w:r w:rsidRPr="00B0605C">
              <w:rPr>
                <w:rFonts w:ascii="Arial" w:hAnsi="Arial" w:cs="Arial"/>
                <w:lang w:val="en-GB"/>
              </w:rPr>
              <w:t>Flamingo</w:t>
            </w:r>
          </w:p>
        </w:tc>
        <w:tc>
          <w:tcPr>
            <w:tcW w:w="2410" w:type="dxa"/>
            <w:vAlign w:val="center"/>
          </w:tcPr>
          <w:p w14:paraId="5146333D" w14:textId="77777777" w:rsidR="000429C6" w:rsidRPr="00B0605C" w:rsidRDefault="000429C6" w:rsidP="00E2027D">
            <w:pPr>
              <w:spacing w:line="276" w:lineRule="auto"/>
              <w:rPr>
                <w:rFonts w:ascii="Arial" w:hAnsi="Arial" w:cs="Arial"/>
                <w:lang w:val="en-GB"/>
              </w:rPr>
            </w:pPr>
            <w:r w:rsidRPr="00B0605C">
              <w:rPr>
                <w:rFonts w:ascii="Arial" w:hAnsi="Arial" w:cs="Arial"/>
                <w:lang w:val="en-GB"/>
              </w:rPr>
              <w:t>Caesars Entertainment</w:t>
            </w:r>
          </w:p>
        </w:tc>
        <w:tc>
          <w:tcPr>
            <w:tcW w:w="1247" w:type="dxa"/>
            <w:vAlign w:val="center"/>
          </w:tcPr>
          <w:p w14:paraId="0D2890FE" w14:textId="77777777" w:rsidR="000429C6" w:rsidRPr="00B0605C" w:rsidRDefault="000429C6" w:rsidP="00E10B29">
            <w:pPr>
              <w:spacing w:line="276" w:lineRule="auto"/>
              <w:jc w:val="center"/>
              <w:rPr>
                <w:rFonts w:ascii="Arial" w:hAnsi="Arial" w:cs="Arial"/>
                <w:b/>
                <w:bCs/>
                <w:i/>
                <w:iCs/>
                <w:color w:val="4F81BD" w:themeColor="accent1"/>
                <w:lang w:val="en-GB" w:eastAsia="en-US"/>
              </w:rPr>
            </w:pPr>
            <w:r w:rsidRPr="00B0605C">
              <w:rPr>
                <w:rFonts w:ascii="Arial" w:hAnsi="Arial" w:cs="Arial"/>
                <w:lang w:val="en-GB"/>
              </w:rPr>
              <w:t>$30</w:t>
            </w:r>
          </w:p>
        </w:tc>
        <w:tc>
          <w:tcPr>
            <w:tcW w:w="1446" w:type="dxa"/>
            <w:vAlign w:val="center"/>
          </w:tcPr>
          <w:p w14:paraId="684F0DFA" w14:textId="04D61C6B" w:rsidR="000429C6" w:rsidRPr="00B0605C" w:rsidRDefault="000429C6" w:rsidP="00E10B29">
            <w:pPr>
              <w:spacing w:line="276" w:lineRule="auto"/>
              <w:jc w:val="center"/>
              <w:rPr>
                <w:rFonts w:ascii="Arial" w:hAnsi="Arial" w:cs="Arial"/>
                <w:b/>
                <w:bCs/>
                <w:i/>
                <w:iCs/>
                <w:color w:val="4F81BD" w:themeColor="accent1"/>
                <w:lang w:val="en-GB" w:eastAsia="en-US"/>
              </w:rPr>
            </w:pPr>
            <w:r w:rsidRPr="00B0605C">
              <w:rPr>
                <w:rFonts w:ascii="Arial" w:hAnsi="Arial" w:cs="Arial"/>
                <w:lang w:val="en-GB"/>
              </w:rPr>
              <w:t>$5</w:t>
            </w:r>
            <w:r w:rsidR="005A18DB">
              <w:rPr>
                <w:rFonts w:ascii="Arial" w:hAnsi="Arial" w:cs="Arial"/>
                <w:lang w:val="en-GB"/>
              </w:rPr>
              <w:t>–</w:t>
            </w:r>
            <w:r w:rsidRPr="00B0605C">
              <w:rPr>
                <w:rFonts w:ascii="Arial" w:hAnsi="Arial" w:cs="Arial"/>
                <w:lang w:val="en-GB"/>
              </w:rPr>
              <w:t>8</w:t>
            </w:r>
          </w:p>
        </w:tc>
        <w:tc>
          <w:tcPr>
            <w:tcW w:w="1417" w:type="dxa"/>
            <w:vAlign w:val="center"/>
          </w:tcPr>
          <w:p w14:paraId="3BD82861" w14:textId="250CDCF6" w:rsidR="000429C6" w:rsidRPr="00B0605C" w:rsidRDefault="000429C6" w:rsidP="00E10B29">
            <w:pPr>
              <w:spacing w:line="276" w:lineRule="auto"/>
              <w:jc w:val="center"/>
              <w:rPr>
                <w:rFonts w:ascii="Arial" w:hAnsi="Arial" w:cs="Arial"/>
                <w:b/>
                <w:bCs/>
                <w:i/>
                <w:iCs/>
                <w:color w:val="4F81BD" w:themeColor="accent1"/>
                <w:lang w:val="en-GB" w:eastAsia="en-US"/>
              </w:rPr>
            </w:pPr>
            <w:r w:rsidRPr="00B0605C">
              <w:rPr>
                <w:rFonts w:ascii="Arial" w:hAnsi="Arial" w:cs="Arial"/>
                <w:lang w:val="en-GB"/>
              </w:rPr>
              <w:t>$8</w:t>
            </w:r>
            <w:r w:rsidR="005A18DB">
              <w:rPr>
                <w:rFonts w:ascii="Arial" w:hAnsi="Arial" w:cs="Arial"/>
                <w:lang w:val="en-GB"/>
              </w:rPr>
              <w:t>–</w:t>
            </w:r>
            <w:r w:rsidRPr="00B0605C">
              <w:rPr>
                <w:rFonts w:ascii="Arial" w:hAnsi="Arial" w:cs="Arial"/>
                <w:lang w:val="en-GB"/>
              </w:rPr>
              <w:t>13</w:t>
            </w:r>
          </w:p>
        </w:tc>
      </w:tr>
      <w:tr w:rsidR="000429C6" w:rsidRPr="00B0605C" w14:paraId="0272A335" w14:textId="77777777" w:rsidTr="00865D71">
        <w:trPr>
          <w:trHeight w:val="264"/>
          <w:jc w:val="center"/>
        </w:trPr>
        <w:tc>
          <w:tcPr>
            <w:tcW w:w="2268" w:type="dxa"/>
            <w:vAlign w:val="center"/>
          </w:tcPr>
          <w:p w14:paraId="70727EBC" w14:textId="77777777" w:rsidR="000429C6" w:rsidRPr="00B0605C" w:rsidRDefault="000429C6" w:rsidP="00E2027D">
            <w:pPr>
              <w:spacing w:line="276" w:lineRule="auto"/>
              <w:rPr>
                <w:rFonts w:ascii="Arial" w:hAnsi="Arial" w:cs="Arial"/>
                <w:lang w:val="en-GB"/>
              </w:rPr>
            </w:pPr>
            <w:r w:rsidRPr="00B0605C">
              <w:rPr>
                <w:rFonts w:ascii="Arial" w:hAnsi="Arial" w:cs="Arial"/>
                <w:lang w:val="en-GB"/>
              </w:rPr>
              <w:t>The Cromwell</w:t>
            </w:r>
          </w:p>
        </w:tc>
        <w:tc>
          <w:tcPr>
            <w:tcW w:w="2410" w:type="dxa"/>
            <w:vAlign w:val="center"/>
          </w:tcPr>
          <w:p w14:paraId="7374E71B" w14:textId="77777777" w:rsidR="000429C6" w:rsidRPr="00B0605C" w:rsidRDefault="000429C6" w:rsidP="00E2027D">
            <w:pPr>
              <w:spacing w:line="276" w:lineRule="auto"/>
              <w:rPr>
                <w:rFonts w:ascii="Arial" w:hAnsi="Arial" w:cs="Arial"/>
                <w:lang w:val="en-GB"/>
              </w:rPr>
            </w:pPr>
            <w:r w:rsidRPr="00B0605C">
              <w:rPr>
                <w:rFonts w:ascii="Arial" w:hAnsi="Arial" w:cs="Arial"/>
                <w:lang w:val="en-GB"/>
              </w:rPr>
              <w:t>Caesars Entertainment</w:t>
            </w:r>
          </w:p>
        </w:tc>
        <w:tc>
          <w:tcPr>
            <w:tcW w:w="1247" w:type="dxa"/>
            <w:vAlign w:val="center"/>
          </w:tcPr>
          <w:p w14:paraId="66D2FDE7" w14:textId="77777777" w:rsidR="000429C6" w:rsidRPr="00B0605C" w:rsidRDefault="000429C6" w:rsidP="00E10B29">
            <w:pPr>
              <w:spacing w:line="276" w:lineRule="auto"/>
              <w:jc w:val="center"/>
              <w:rPr>
                <w:rFonts w:ascii="Arial" w:hAnsi="Arial" w:cs="Arial"/>
                <w:b/>
                <w:bCs/>
                <w:i/>
                <w:iCs/>
                <w:color w:val="4F81BD" w:themeColor="accent1"/>
                <w:lang w:val="en-GB" w:eastAsia="en-US"/>
              </w:rPr>
            </w:pPr>
            <w:r w:rsidRPr="00B0605C">
              <w:rPr>
                <w:rFonts w:ascii="Arial" w:hAnsi="Arial" w:cs="Arial"/>
                <w:lang w:val="en-GB"/>
              </w:rPr>
              <w:t>$35</w:t>
            </w:r>
          </w:p>
        </w:tc>
        <w:tc>
          <w:tcPr>
            <w:tcW w:w="1446" w:type="dxa"/>
            <w:vAlign w:val="center"/>
          </w:tcPr>
          <w:p w14:paraId="476373F0" w14:textId="798583A9" w:rsidR="000429C6" w:rsidRPr="00B0605C" w:rsidRDefault="000429C6" w:rsidP="00E10B29">
            <w:pPr>
              <w:spacing w:line="276" w:lineRule="auto"/>
              <w:jc w:val="center"/>
              <w:rPr>
                <w:rFonts w:ascii="Arial" w:hAnsi="Arial" w:cs="Arial"/>
                <w:b/>
                <w:bCs/>
                <w:i/>
                <w:iCs/>
                <w:color w:val="4F81BD" w:themeColor="accent1"/>
                <w:lang w:val="en-GB" w:eastAsia="en-US"/>
              </w:rPr>
            </w:pPr>
            <w:r w:rsidRPr="00B0605C">
              <w:rPr>
                <w:rFonts w:ascii="Arial" w:hAnsi="Arial" w:cs="Arial"/>
                <w:lang w:val="en-GB"/>
              </w:rPr>
              <w:t>$7</w:t>
            </w:r>
            <w:r w:rsidR="005A18DB">
              <w:rPr>
                <w:rFonts w:ascii="Arial" w:hAnsi="Arial" w:cs="Arial"/>
                <w:lang w:val="en-GB"/>
              </w:rPr>
              <w:t>–</w:t>
            </w:r>
            <w:r w:rsidRPr="00B0605C">
              <w:rPr>
                <w:rFonts w:ascii="Arial" w:hAnsi="Arial" w:cs="Arial"/>
                <w:lang w:val="en-GB"/>
              </w:rPr>
              <w:t>10</w:t>
            </w:r>
          </w:p>
        </w:tc>
        <w:tc>
          <w:tcPr>
            <w:tcW w:w="1417" w:type="dxa"/>
            <w:vAlign w:val="center"/>
          </w:tcPr>
          <w:p w14:paraId="4D63A30A" w14:textId="1218D060" w:rsidR="000429C6" w:rsidRPr="00B0605C" w:rsidRDefault="000429C6" w:rsidP="00E10B29">
            <w:pPr>
              <w:spacing w:line="276" w:lineRule="auto"/>
              <w:jc w:val="center"/>
              <w:rPr>
                <w:rFonts w:ascii="Arial" w:hAnsi="Arial" w:cs="Arial"/>
                <w:b/>
                <w:bCs/>
                <w:i/>
                <w:iCs/>
                <w:color w:val="4F81BD" w:themeColor="accent1"/>
                <w:lang w:val="en-GB" w:eastAsia="en-US"/>
              </w:rPr>
            </w:pPr>
            <w:r w:rsidRPr="00B0605C">
              <w:rPr>
                <w:rFonts w:ascii="Arial" w:hAnsi="Arial" w:cs="Arial"/>
                <w:lang w:val="en-GB"/>
              </w:rPr>
              <w:t>$13</w:t>
            </w:r>
            <w:r w:rsidR="005A18DB">
              <w:rPr>
                <w:rFonts w:ascii="Arial" w:hAnsi="Arial" w:cs="Arial"/>
                <w:lang w:val="en-GB"/>
              </w:rPr>
              <w:t>–</w:t>
            </w:r>
            <w:r w:rsidRPr="00B0605C">
              <w:rPr>
                <w:rFonts w:ascii="Arial" w:hAnsi="Arial" w:cs="Arial"/>
                <w:lang w:val="en-GB"/>
              </w:rPr>
              <w:t>18</w:t>
            </w:r>
          </w:p>
        </w:tc>
      </w:tr>
      <w:tr w:rsidR="000429C6" w:rsidRPr="00B0605C" w14:paraId="2328500F" w14:textId="77777777" w:rsidTr="00865D71">
        <w:trPr>
          <w:trHeight w:val="264"/>
          <w:jc w:val="center"/>
        </w:trPr>
        <w:tc>
          <w:tcPr>
            <w:tcW w:w="2268" w:type="dxa"/>
            <w:vAlign w:val="center"/>
          </w:tcPr>
          <w:p w14:paraId="02EBE34D" w14:textId="77777777" w:rsidR="000429C6" w:rsidRPr="00B0605C" w:rsidRDefault="000429C6" w:rsidP="00E2027D">
            <w:pPr>
              <w:spacing w:line="276" w:lineRule="auto"/>
              <w:rPr>
                <w:rFonts w:ascii="Arial" w:hAnsi="Arial" w:cs="Arial"/>
                <w:lang w:val="en-GB"/>
              </w:rPr>
            </w:pPr>
            <w:r w:rsidRPr="00B0605C">
              <w:rPr>
                <w:rFonts w:ascii="Arial" w:hAnsi="Arial" w:cs="Arial"/>
                <w:lang w:val="en-GB"/>
              </w:rPr>
              <w:t>Bally’s</w:t>
            </w:r>
          </w:p>
        </w:tc>
        <w:tc>
          <w:tcPr>
            <w:tcW w:w="2410" w:type="dxa"/>
            <w:vAlign w:val="center"/>
          </w:tcPr>
          <w:p w14:paraId="2E7BB98C" w14:textId="77777777" w:rsidR="000429C6" w:rsidRPr="00B0605C" w:rsidRDefault="000429C6" w:rsidP="00E2027D">
            <w:pPr>
              <w:spacing w:line="276" w:lineRule="auto"/>
              <w:rPr>
                <w:rFonts w:ascii="Arial" w:hAnsi="Arial" w:cs="Arial"/>
                <w:lang w:val="en-GB"/>
              </w:rPr>
            </w:pPr>
            <w:r w:rsidRPr="00B0605C">
              <w:rPr>
                <w:rFonts w:ascii="Arial" w:hAnsi="Arial" w:cs="Arial"/>
                <w:lang w:val="en-GB"/>
              </w:rPr>
              <w:t>Caesars Entertainment</w:t>
            </w:r>
          </w:p>
        </w:tc>
        <w:tc>
          <w:tcPr>
            <w:tcW w:w="1247" w:type="dxa"/>
            <w:vAlign w:val="center"/>
          </w:tcPr>
          <w:p w14:paraId="5B89FFA7" w14:textId="77777777" w:rsidR="000429C6" w:rsidRPr="00B0605C" w:rsidRDefault="000429C6" w:rsidP="00E10B29">
            <w:pPr>
              <w:spacing w:line="276" w:lineRule="auto"/>
              <w:jc w:val="center"/>
              <w:rPr>
                <w:rFonts w:ascii="Arial" w:hAnsi="Arial" w:cs="Arial"/>
                <w:b/>
                <w:bCs/>
                <w:i/>
                <w:iCs/>
                <w:color w:val="4F81BD" w:themeColor="accent1"/>
                <w:lang w:val="en-GB" w:eastAsia="en-US"/>
              </w:rPr>
            </w:pPr>
            <w:r w:rsidRPr="00B0605C">
              <w:rPr>
                <w:rFonts w:ascii="Arial" w:hAnsi="Arial" w:cs="Arial"/>
                <w:lang w:val="en-GB"/>
              </w:rPr>
              <w:t>$30</w:t>
            </w:r>
          </w:p>
        </w:tc>
        <w:tc>
          <w:tcPr>
            <w:tcW w:w="1446" w:type="dxa"/>
            <w:vAlign w:val="center"/>
          </w:tcPr>
          <w:p w14:paraId="58218D06" w14:textId="5CFEAE97" w:rsidR="000429C6" w:rsidRPr="00B0605C" w:rsidRDefault="000429C6" w:rsidP="00E10B29">
            <w:pPr>
              <w:spacing w:line="276" w:lineRule="auto"/>
              <w:jc w:val="center"/>
              <w:rPr>
                <w:rFonts w:ascii="Arial" w:hAnsi="Arial" w:cs="Arial"/>
                <w:b/>
                <w:bCs/>
                <w:i/>
                <w:iCs/>
                <w:color w:val="4F81BD" w:themeColor="accent1"/>
                <w:lang w:val="en-GB" w:eastAsia="en-US"/>
              </w:rPr>
            </w:pPr>
            <w:r w:rsidRPr="00B0605C">
              <w:rPr>
                <w:rFonts w:ascii="Arial" w:hAnsi="Arial" w:cs="Arial"/>
                <w:lang w:val="en-GB"/>
              </w:rPr>
              <w:t>$7</w:t>
            </w:r>
            <w:r w:rsidR="005A18DB">
              <w:rPr>
                <w:rFonts w:ascii="Arial" w:hAnsi="Arial" w:cs="Arial"/>
                <w:lang w:val="en-GB"/>
              </w:rPr>
              <w:t>–</w:t>
            </w:r>
            <w:r w:rsidRPr="00B0605C">
              <w:rPr>
                <w:rFonts w:ascii="Arial" w:hAnsi="Arial" w:cs="Arial"/>
                <w:lang w:val="en-GB"/>
              </w:rPr>
              <w:t>10</w:t>
            </w:r>
          </w:p>
        </w:tc>
        <w:tc>
          <w:tcPr>
            <w:tcW w:w="1417" w:type="dxa"/>
            <w:vAlign w:val="center"/>
          </w:tcPr>
          <w:p w14:paraId="1A2BF37A" w14:textId="317CCE24" w:rsidR="000429C6" w:rsidRPr="00B0605C" w:rsidRDefault="000429C6" w:rsidP="00E10B29">
            <w:pPr>
              <w:spacing w:line="276" w:lineRule="auto"/>
              <w:jc w:val="center"/>
              <w:rPr>
                <w:rFonts w:ascii="Arial" w:hAnsi="Arial" w:cs="Arial"/>
                <w:b/>
                <w:bCs/>
                <w:i/>
                <w:iCs/>
                <w:color w:val="4F81BD" w:themeColor="accent1"/>
                <w:lang w:val="en-GB" w:eastAsia="en-US"/>
              </w:rPr>
            </w:pPr>
            <w:r w:rsidRPr="00B0605C">
              <w:rPr>
                <w:rFonts w:ascii="Arial" w:hAnsi="Arial" w:cs="Arial"/>
                <w:lang w:val="en-GB"/>
              </w:rPr>
              <w:t>$13</w:t>
            </w:r>
            <w:r w:rsidR="005A18DB">
              <w:rPr>
                <w:rFonts w:ascii="Arial" w:hAnsi="Arial" w:cs="Arial"/>
                <w:lang w:val="en-GB"/>
              </w:rPr>
              <w:t>–</w:t>
            </w:r>
            <w:r w:rsidRPr="00B0605C">
              <w:rPr>
                <w:rFonts w:ascii="Arial" w:hAnsi="Arial" w:cs="Arial"/>
                <w:lang w:val="en-GB"/>
              </w:rPr>
              <w:t>18</w:t>
            </w:r>
          </w:p>
        </w:tc>
      </w:tr>
      <w:tr w:rsidR="000429C6" w:rsidRPr="00B0605C" w14:paraId="2E5C2995" w14:textId="77777777" w:rsidTr="00865D71">
        <w:trPr>
          <w:trHeight w:val="264"/>
          <w:jc w:val="center"/>
        </w:trPr>
        <w:tc>
          <w:tcPr>
            <w:tcW w:w="2268" w:type="dxa"/>
            <w:vAlign w:val="center"/>
          </w:tcPr>
          <w:p w14:paraId="5C9426E4" w14:textId="77777777" w:rsidR="000429C6" w:rsidRPr="00B0605C" w:rsidRDefault="000429C6" w:rsidP="00E2027D">
            <w:pPr>
              <w:spacing w:line="276" w:lineRule="auto"/>
              <w:rPr>
                <w:rFonts w:ascii="Arial" w:hAnsi="Arial" w:cs="Arial"/>
                <w:lang w:val="en-GB"/>
              </w:rPr>
            </w:pPr>
            <w:r w:rsidRPr="00B0605C">
              <w:rPr>
                <w:rFonts w:ascii="Arial" w:hAnsi="Arial" w:cs="Arial"/>
                <w:lang w:val="en-GB"/>
              </w:rPr>
              <w:t>Paris</w:t>
            </w:r>
          </w:p>
        </w:tc>
        <w:tc>
          <w:tcPr>
            <w:tcW w:w="2410" w:type="dxa"/>
            <w:vAlign w:val="center"/>
          </w:tcPr>
          <w:p w14:paraId="3AA4D1B2" w14:textId="77777777" w:rsidR="000429C6" w:rsidRPr="00B0605C" w:rsidRDefault="000429C6" w:rsidP="00E2027D">
            <w:pPr>
              <w:spacing w:line="276" w:lineRule="auto"/>
              <w:rPr>
                <w:rFonts w:ascii="Arial" w:hAnsi="Arial" w:cs="Arial"/>
                <w:lang w:val="en-GB"/>
              </w:rPr>
            </w:pPr>
            <w:r w:rsidRPr="00B0605C">
              <w:rPr>
                <w:rFonts w:ascii="Arial" w:hAnsi="Arial" w:cs="Arial"/>
                <w:lang w:val="en-GB"/>
              </w:rPr>
              <w:t>Caesars Entertainment</w:t>
            </w:r>
          </w:p>
        </w:tc>
        <w:tc>
          <w:tcPr>
            <w:tcW w:w="1247" w:type="dxa"/>
            <w:vAlign w:val="center"/>
          </w:tcPr>
          <w:p w14:paraId="600D5D79" w14:textId="77777777" w:rsidR="000429C6" w:rsidRPr="00B0605C" w:rsidRDefault="000429C6" w:rsidP="00E10B29">
            <w:pPr>
              <w:spacing w:line="276" w:lineRule="auto"/>
              <w:jc w:val="center"/>
              <w:rPr>
                <w:rFonts w:ascii="Arial" w:hAnsi="Arial" w:cs="Arial"/>
                <w:b/>
                <w:bCs/>
                <w:i/>
                <w:iCs/>
                <w:color w:val="4F81BD" w:themeColor="accent1"/>
                <w:lang w:val="en-GB" w:eastAsia="en-US"/>
              </w:rPr>
            </w:pPr>
            <w:r w:rsidRPr="00B0605C">
              <w:rPr>
                <w:rFonts w:ascii="Arial" w:hAnsi="Arial" w:cs="Arial"/>
                <w:lang w:val="en-GB"/>
              </w:rPr>
              <w:t>$35</w:t>
            </w:r>
          </w:p>
        </w:tc>
        <w:tc>
          <w:tcPr>
            <w:tcW w:w="1446" w:type="dxa"/>
            <w:vAlign w:val="center"/>
          </w:tcPr>
          <w:p w14:paraId="7BC7D38E" w14:textId="1BFD1B83" w:rsidR="000429C6" w:rsidRPr="00B0605C" w:rsidRDefault="000429C6" w:rsidP="00E10B29">
            <w:pPr>
              <w:spacing w:line="276" w:lineRule="auto"/>
              <w:jc w:val="center"/>
              <w:rPr>
                <w:rFonts w:ascii="Arial" w:hAnsi="Arial" w:cs="Arial"/>
                <w:b/>
                <w:bCs/>
                <w:i/>
                <w:iCs/>
                <w:color w:val="4F81BD" w:themeColor="accent1"/>
                <w:lang w:val="en-GB" w:eastAsia="en-US"/>
              </w:rPr>
            </w:pPr>
            <w:r w:rsidRPr="00B0605C">
              <w:rPr>
                <w:rFonts w:ascii="Arial" w:hAnsi="Arial" w:cs="Arial"/>
                <w:lang w:val="en-GB"/>
              </w:rPr>
              <w:t>$7</w:t>
            </w:r>
            <w:r w:rsidR="005A18DB">
              <w:rPr>
                <w:rFonts w:ascii="Arial" w:hAnsi="Arial" w:cs="Arial"/>
                <w:lang w:val="en-GB"/>
              </w:rPr>
              <w:t>–</w:t>
            </w:r>
            <w:r w:rsidRPr="00B0605C">
              <w:rPr>
                <w:rFonts w:ascii="Arial" w:hAnsi="Arial" w:cs="Arial"/>
                <w:lang w:val="en-GB"/>
              </w:rPr>
              <w:t>10</w:t>
            </w:r>
          </w:p>
        </w:tc>
        <w:tc>
          <w:tcPr>
            <w:tcW w:w="1417" w:type="dxa"/>
            <w:vAlign w:val="center"/>
          </w:tcPr>
          <w:p w14:paraId="3C0BDE4E" w14:textId="581541A9" w:rsidR="000429C6" w:rsidRPr="00B0605C" w:rsidRDefault="000429C6" w:rsidP="00E10B29">
            <w:pPr>
              <w:spacing w:line="276" w:lineRule="auto"/>
              <w:jc w:val="center"/>
              <w:rPr>
                <w:rFonts w:ascii="Arial" w:hAnsi="Arial" w:cs="Arial"/>
                <w:b/>
                <w:bCs/>
                <w:i/>
                <w:iCs/>
                <w:color w:val="4F81BD" w:themeColor="accent1"/>
                <w:lang w:val="en-GB" w:eastAsia="en-US"/>
              </w:rPr>
            </w:pPr>
            <w:r w:rsidRPr="00B0605C">
              <w:rPr>
                <w:rFonts w:ascii="Arial" w:hAnsi="Arial" w:cs="Arial"/>
                <w:lang w:val="en-GB"/>
              </w:rPr>
              <w:t>$13</w:t>
            </w:r>
            <w:r w:rsidR="005A18DB">
              <w:rPr>
                <w:rFonts w:ascii="Arial" w:hAnsi="Arial" w:cs="Arial"/>
                <w:lang w:val="en-GB"/>
              </w:rPr>
              <w:t>–</w:t>
            </w:r>
            <w:r w:rsidRPr="00B0605C">
              <w:rPr>
                <w:rFonts w:ascii="Arial" w:hAnsi="Arial" w:cs="Arial"/>
                <w:lang w:val="en-GB"/>
              </w:rPr>
              <w:t>18</w:t>
            </w:r>
          </w:p>
        </w:tc>
      </w:tr>
      <w:tr w:rsidR="000429C6" w:rsidRPr="00B0605C" w14:paraId="2E3A1EEC" w14:textId="77777777" w:rsidTr="00865D71">
        <w:trPr>
          <w:trHeight w:val="291"/>
          <w:jc w:val="center"/>
        </w:trPr>
        <w:tc>
          <w:tcPr>
            <w:tcW w:w="2268" w:type="dxa"/>
            <w:vAlign w:val="center"/>
          </w:tcPr>
          <w:p w14:paraId="20B40B67" w14:textId="77777777" w:rsidR="000429C6" w:rsidRPr="00B0605C" w:rsidRDefault="000429C6" w:rsidP="00E2027D">
            <w:pPr>
              <w:spacing w:line="276" w:lineRule="auto"/>
              <w:rPr>
                <w:rFonts w:ascii="Arial" w:hAnsi="Arial" w:cs="Arial"/>
                <w:lang w:val="en-GB"/>
              </w:rPr>
            </w:pPr>
            <w:r w:rsidRPr="00B0605C">
              <w:rPr>
                <w:rFonts w:ascii="Arial" w:hAnsi="Arial" w:cs="Arial"/>
                <w:lang w:val="en-GB"/>
              </w:rPr>
              <w:t>Planet Hollywood</w:t>
            </w:r>
          </w:p>
        </w:tc>
        <w:tc>
          <w:tcPr>
            <w:tcW w:w="2410" w:type="dxa"/>
            <w:vAlign w:val="center"/>
          </w:tcPr>
          <w:p w14:paraId="362632D4" w14:textId="77777777" w:rsidR="000429C6" w:rsidRPr="00B0605C" w:rsidRDefault="000429C6" w:rsidP="00E2027D">
            <w:pPr>
              <w:spacing w:line="276" w:lineRule="auto"/>
              <w:rPr>
                <w:rFonts w:ascii="Arial" w:hAnsi="Arial" w:cs="Arial"/>
                <w:lang w:val="en-GB"/>
              </w:rPr>
            </w:pPr>
            <w:r w:rsidRPr="00B0605C">
              <w:rPr>
                <w:rFonts w:ascii="Arial" w:hAnsi="Arial" w:cs="Arial"/>
                <w:lang w:val="en-GB"/>
              </w:rPr>
              <w:t>Caesars Entertainment</w:t>
            </w:r>
          </w:p>
        </w:tc>
        <w:tc>
          <w:tcPr>
            <w:tcW w:w="1247" w:type="dxa"/>
            <w:vAlign w:val="center"/>
          </w:tcPr>
          <w:p w14:paraId="7278C2A2" w14:textId="77777777" w:rsidR="000429C6" w:rsidRPr="00B0605C" w:rsidRDefault="000429C6" w:rsidP="00E10B29">
            <w:pPr>
              <w:spacing w:line="276" w:lineRule="auto"/>
              <w:jc w:val="center"/>
              <w:rPr>
                <w:rFonts w:ascii="Arial" w:hAnsi="Arial" w:cs="Arial"/>
                <w:b/>
                <w:bCs/>
                <w:i/>
                <w:iCs/>
                <w:color w:val="4F81BD" w:themeColor="accent1"/>
                <w:lang w:val="en-GB" w:eastAsia="en-US"/>
              </w:rPr>
            </w:pPr>
            <w:r w:rsidRPr="00B0605C">
              <w:rPr>
                <w:rFonts w:ascii="Arial" w:hAnsi="Arial" w:cs="Arial"/>
                <w:lang w:val="en-GB"/>
              </w:rPr>
              <w:t>$35</w:t>
            </w:r>
          </w:p>
        </w:tc>
        <w:tc>
          <w:tcPr>
            <w:tcW w:w="1446" w:type="dxa"/>
            <w:vAlign w:val="center"/>
          </w:tcPr>
          <w:p w14:paraId="1DCFB5F8" w14:textId="77777777" w:rsidR="000429C6" w:rsidRPr="00B0605C" w:rsidRDefault="000429C6" w:rsidP="00E10B29">
            <w:pPr>
              <w:spacing w:line="276" w:lineRule="auto"/>
              <w:jc w:val="center"/>
              <w:rPr>
                <w:rFonts w:ascii="Arial" w:hAnsi="Arial" w:cs="Arial"/>
                <w:b/>
                <w:bCs/>
                <w:i/>
                <w:iCs/>
                <w:color w:val="4F81BD" w:themeColor="accent1"/>
                <w:lang w:val="en-GB" w:eastAsia="en-US"/>
              </w:rPr>
            </w:pPr>
            <w:r w:rsidRPr="00B0605C">
              <w:rPr>
                <w:rFonts w:ascii="Arial" w:hAnsi="Arial" w:cs="Arial"/>
                <w:lang w:val="en-GB"/>
              </w:rPr>
              <w:t>Free</w:t>
            </w:r>
          </w:p>
        </w:tc>
        <w:tc>
          <w:tcPr>
            <w:tcW w:w="1417" w:type="dxa"/>
            <w:vAlign w:val="center"/>
          </w:tcPr>
          <w:p w14:paraId="44849AF9" w14:textId="4284DEC4" w:rsidR="000429C6" w:rsidRPr="00B0605C" w:rsidRDefault="000429C6" w:rsidP="00E10B29">
            <w:pPr>
              <w:spacing w:line="276" w:lineRule="auto"/>
              <w:jc w:val="center"/>
              <w:rPr>
                <w:rFonts w:ascii="Arial" w:hAnsi="Arial" w:cs="Arial"/>
                <w:b/>
                <w:bCs/>
                <w:i/>
                <w:iCs/>
                <w:color w:val="4F81BD" w:themeColor="accent1"/>
                <w:lang w:val="en-GB" w:eastAsia="en-US"/>
              </w:rPr>
            </w:pPr>
            <w:r w:rsidRPr="00B0605C">
              <w:rPr>
                <w:rFonts w:ascii="Arial" w:hAnsi="Arial" w:cs="Arial"/>
                <w:lang w:val="en-GB"/>
              </w:rPr>
              <w:t>$13</w:t>
            </w:r>
            <w:r w:rsidR="005A18DB">
              <w:rPr>
                <w:rFonts w:ascii="Arial" w:hAnsi="Arial" w:cs="Arial"/>
                <w:lang w:val="en-GB"/>
              </w:rPr>
              <w:t>–</w:t>
            </w:r>
            <w:r w:rsidRPr="00B0605C">
              <w:rPr>
                <w:rFonts w:ascii="Arial" w:hAnsi="Arial" w:cs="Arial"/>
                <w:lang w:val="en-GB"/>
              </w:rPr>
              <w:t>18</w:t>
            </w:r>
          </w:p>
        </w:tc>
      </w:tr>
      <w:tr w:rsidR="000429C6" w:rsidRPr="00B0605C" w14:paraId="7DD590E3" w14:textId="77777777" w:rsidTr="00865D71">
        <w:trPr>
          <w:trHeight w:val="264"/>
          <w:jc w:val="center"/>
        </w:trPr>
        <w:tc>
          <w:tcPr>
            <w:tcW w:w="2268" w:type="dxa"/>
            <w:vAlign w:val="center"/>
          </w:tcPr>
          <w:p w14:paraId="06C0FCC2" w14:textId="77777777" w:rsidR="000429C6" w:rsidRPr="00B0605C" w:rsidRDefault="000429C6" w:rsidP="00E2027D">
            <w:pPr>
              <w:spacing w:line="276" w:lineRule="auto"/>
              <w:rPr>
                <w:rFonts w:ascii="Arial" w:hAnsi="Arial" w:cs="Arial"/>
                <w:lang w:val="en-GB"/>
              </w:rPr>
            </w:pPr>
            <w:r w:rsidRPr="00B0605C">
              <w:rPr>
                <w:rFonts w:ascii="Arial" w:hAnsi="Arial" w:cs="Arial"/>
                <w:lang w:val="en-GB"/>
              </w:rPr>
              <w:t>Caesars</w:t>
            </w:r>
          </w:p>
        </w:tc>
        <w:tc>
          <w:tcPr>
            <w:tcW w:w="2410" w:type="dxa"/>
            <w:vAlign w:val="center"/>
          </w:tcPr>
          <w:p w14:paraId="34AD5AB8" w14:textId="77777777" w:rsidR="000429C6" w:rsidRPr="00B0605C" w:rsidRDefault="000429C6" w:rsidP="00E2027D">
            <w:pPr>
              <w:spacing w:line="276" w:lineRule="auto"/>
              <w:rPr>
                <w:rFonts w:ascii="Arial" w:hAnsi="Arial" w:cs="Arial"/>
                <w:lang w:val="en-GB"/>
              </w:rPr>
            </w:pPr>
            <w:r w:rsidRPr="00B0605C">
              <w:rPr>
                <w:rFonts w:ascii="Arial" w:hAnsi="Arial" w:cs="Arial"/>
                <w:lang w:val="en-GB"/>
              </w:rPr>
              <w:t>Caesars Entertainment</w:t>
            </w:r>
          </w:p>
        </w:tc>
        <w:tc>
          <w:tcPr>
            <w:tcW w:w="1247" w:type="dxa"/>
            <w:vAlign w:val="center"/>
          </w:tcPr>
          <w:p w14:paraId="797E202E" w14:textId="77777777" w:rsidR="000429C6" w:rsidRPr="00B0605C" w:rsidRDefault="000429C6" w:rsidP="00E10B29">
            <w:pPr>
              <w:spacing w:line="276" w:lineRule="auto"/>
              <w:jc w:val="center"/>
              <w:rPr>
                <w:rFonts w:ascii="Arial" w:hAnsi="Arial" w:cs="Arial"/>
                <w:b/>
                <w:bCs/>
                <w:i/>
                <w:iCs/>
                <w:color w:val="4F81BD" w:themeColor="accent1"/>
                <w:lang w:val="en-GB" w:eastAsia="en-US"/>
              </w:rPr>
            </w:pPr>
            <w:r w:rsidRPr="00B0605C">
              <w:rPr>
                <w:rFonts w:ascii="Arial" w:hAnsi="Arial" w:cs="Arial"/>
                <w:lang w:val="en-GB"/>
              </w:rPr>
              <w:t>$35</w:t>
            </w:r>
          </w:p>
        </w:tc>
        <w:tc>
          <w:tcPr>
            <w:tcW w:w="1446" w:type="dxa"/>
            <w:vAlign w:val="center"/>
          </w:tcPr>
          <w:p w14:paraId="76A56EA8" w14:textId="7E62CE08" w:rsidR="000429C6" w:rsidRPr="00B0605C" w:rsidRDefault="000429C6" w:rsidP="00E10B29">
            <w:pPr>
              <w:spacing w:line="276" w:lineRule="auto"/>
              <w:jc w:val="center"/>
              <w:rPr>
                <w:rFonts w:ascii="Arial" w:hAnsi="Arial" w:cs="Arial"/>
                <w:b/>
                <w:bCs/>
                <w:i/>
                <w:iCs/>
                <w:color w:val="4F81BD" w:themeColor="accent1"/>
                <w:lang w:val="en-GB" w:eastAsia="en-US"/>
              </w:rPr>
            </w:pPr>
            <w:r w:rsidRPr="00B0605C">
              <w:rPr>
                <w:rFonts w:ascii="Arial" w:hAnsi="Arial" w:cs="Arial"/>
                <w:lang w:val="en-GB"/>
              </w:rPr>
              <w:t>$7</w:t>
            </w:r>
            <w:r w:rsidR="005A18DB">
              <w:rPr>
                <w:rFonts w:ascii="Arial" w:hAnsi="Arial" w:cs="Arial"/>
                <w:lang w:val="en-GB"/>
              </w:rPr>
              <w:t>–</w:t>
            </w:r>
            <w:r w:rsidRPr="00B0605C">
              <w:rPr>
                <w:rFonts w:ascii="Arial" w:hAnsi="Arial" w:cs="Arial"/>
                <w:lang w:val="en-GB"/>
              </w:rPr>
              <w:t>10</w:t>
            </w:r>
          </w:p>
        </w:tc>
        <w:tc>
          <w:tcPr>
            <w:tcW w:w="1417" w:type="dxa"/>
            <w:vAlign w:val="center"/>
          </w:tcPr>
          <w:p w14:paraId="43931D3D" w14:textId="2F86F807" w:rsidR="000429C6" w:rsidRPr="00B0605C" w:rsidRDefault="000429C6" w:rsidP="00E10B29">
            <w:pPr>
              <w:spacing w:line="276" w:lineRule="auto"/>
              <w:jc w:val="center"/>
              <w:rPr>
                <w:rFonts w:ascii="Arial" w:hAnsi="Arial" w:cs="Arial"/>
                <w:b/>
                <w:bCs/>
                <w:i/>
                <w:iCs/>
                <w:color w:val="4F81BD" w:themeColor="accent1"/>
                <w:lang w:val="en-GB" w:eastAsia="en-US"/>
              </w:rPr>
            </w:pPr>
            <w:r w:rsidRPr="00B0605C">
              <w:rPr>
                <w:rFonts w:ascii="Arial" w:hAnsi="Arial" w:cs="Arial"/>
                <w:lang w:val="en-GB"/>
              </w:rPr>
              <w:t>$13</w:t>
            </w:r>
            <w:r w:rsidR="005A18DB">
              <w:rPr>
                <w:rFonts w:ascii="Arial" w:hAnsi="Arial" w:cs="Arial"/>
                <w:lang w:val="en-GB"/>
              </w:rPr>
              <w:t>–</w:t>
            </w:r>
            <w:r w:rsidRPr="00B0605C">
              <w:rPr>
                <w:rFonts w:ascii="Arial" w:hAnsi="Arial" w:cs="Arial"/>
                <w:lang w:val="en-GB"/>
              </w:rPr>
              <w:t>18</w:t>
            </w:r>
          </w:p>
        </w:tc>
      </w:tr>
      <w:tr w:rsidR="000429C6" w:rsidRPr="00B0605C" w14:paraId="1A51FA60" w14:textId="77777777" w:rsidTr="00865D71">
        <w:trPr>
          <w:trHeight w:val="264"/>
          <w:jc w:val="center"/>
        </w:trPr>
        <w:tc>
          <w:tcPr>
            <w:tcW w:w="2268" w:type="dxa"/>
            <w:vAlign w:val="center"/>
          </w:tcPr>
          <w:p w14:paraId="05244B9B" w14:textId="77777777" w:rsidR="000429C6" w:rsidRPr="00B0605C" w:rsidRDefault="000429C6" w:rsidP="00E2027D">
            <w:pPr>
              <w:spacing w:line="276" w:lineRule="auto"/>
              <w:rPr>
                <w:rFonts w:ascii="Arial" w:hAnsi="Arial" w:cs="Arial"/>
                <w:lang w:val="en-GB"/>
              </w:rPr>
            </w:pPr>
            <w:r w:rsidRPr="00B0605C">
              <w:rPr>
                <w:rFonts w:ascii="Arial" w:hAnsi="Arial" w:cs="Arial"/>
                <w:lang w:val="en-GB"/>
              </w:rPr>
              <w:t>Rio</w:t>
            </w:r>
          </w:p>
        </w:tc>
        <w:tc>
          <w:tcPr>
            <w:tcW w:w="2410" w:type="dxa"/>
            <w:vAlign w:val="center"/>
          </w:tcPr>
          <w:p w14:paraId="5C752597" w14:textId="77777777" w:rsidR="000429C6" w:rsidRPr="00B0605C" w:rsidRDefault="000429C6" w:rsidP="00E2027D">
            <w:pPr>
              <w:spacing w:line="276" w:lineRule="auto"/>
              <w:rPr>
                <w:rFonts w:ascii="Arial" w:hAnsi="Arial" w:cs="Arial"/>
                <w:lang w:val="en-GB"/>
              </w:rPr>
            </w:pPr>
            <w:r w:rsidRPr="00B0605C">
              <w:rPr>
                <w:rFonts w:ascii="Arial" w:hAnsi="Arial" w:cs="Arial"/>
                <w:lang w:val="en-GB"/>
              </w:rPr>
              <w:t>Caesars Entertainment</w:t>
            </w:r>
          </w:p>
        </w:tc>
        <w:tc>
          <w:tcPr>
            <w:tcW w:w="1247" w:type="dxa"/>
            <w:vAlign w:val="center"/>
          </w:tcPr>
          <w:p w14:paraId="152FF91C" w14:textId="77777777" w:rsidR="000429C6" w:rsidRPr="00B0605C" w:rsidRDefault="000429C6" w:rsidP="00E10B29">
            <w:pPr>
              <w:spacing w:line="276" w:lineRule="auto"/>
              <w:jc w:val="center"/>
              <w:rPr>
                <w:rFonts w:ascii="Arial" w:hAnsi="Arial" w:cs="Arial"/>
                <w:b/>
                <w:bCs/>
                <w:i/>
                <w:iCs/>
                <w:color w:val="4F81BD" w:themeColor="accent1"/>
                <w:lang w:val="en-GB" w:eastAsia="en-US"/>
              </w:rPr>
            </w:pPr>
            <w:r w:rsidRPr="00B0605C">
              <w:rPr>
                <w:rFonts w:ascii="Arial" w:hAnsi="Arial" w:cs="Arial"/>
                <w:lang w:val="en-GB"/>
              </w:rPr>
              <w:t>$30</w:t>
            </w:r>
          </w:p>
        </w:tc>
        <w:tc>
          <w:tcPr>
            <w:tcW w:w="1446" w:type="dxa"/>
            <w:vAlign w:val="center"/>
          </w:tcPr>
          <w:p w14:paraId="6C74662F" w14:textId="77777777" w:rsidR="000429C6" w:rsidRPr="00B0605C" w:rsidRDefault="000429C6" w:rsidP="00E10B29">
            <w:pPr>
              <w:spacing w:line="276" w:lineRule="auto"/>
              <w:jc w:val="center"/>
              <w:rPr>
                <w:rFonts w:ascii="Arial" w:hAnsi="Arial" w:cs="Arial"/>
                <w:b/>
                <w:bCs/>
                <w:i/>
                <w:iCs/>
                <w:color w:val="4F81BD" w:themeColor="accent1"/>
                <w:lang w:val="en-GB" w:eastAsia="en-US"/>
              </w:rPr>
            </w:pPr>
            <w:r w:rsidRPr="00B0605C">
              <w:rPr>
                <w:rFonts w:ascii="Arial" w:hAnsi="Arial" w:cs="Arial"/>
                <w:lang w:val="en-GB"/>
              </w:rPr>
              <w:t>Free</w:t>
            </w:r>
          </w:p>
        </w:tc>
        <w:tc>
          <w:tcPr>
            <w:tcW w:w="1417" w:type="dxa"/>
            <w:vAlign w:val="center"/>
          </w:tcPr>
          <w:p w14:paraId="4881100F" w14:textId="77777777" w:rsidR="000429C6" w:rsidRPr="00B0605C" w:rsidRDefault="000429C6" w:rsidP="00E10B29">
            <w:pPr>
              <w:spacing w:line="276" w:lineRule="auto"/>
              <w:jc w:val="center"/>
              <w:rPr>
                <w:rFonts w:ascii="Arial" w:hAnsi="Arial" w:cs="Arial"/>
                <w:b/>
                <w:bCs/>
                <w:i/>
                <w:iCs/>
                <w:color w:val="4F81BD" w:themeColor="accent1"/>
                <w:lang w:val="en-GB" w:eastAsia="en-US"/>
              </w:rPr>
            </w:pPr>
            <w:r w:rsidRPr="00B0605C">
              <w:rPr>
                <w:rFonts w:ascii="Arial" w:hAnsi="Arial" w:cs="Arial"/>
                <w:lang w:val="en-GB"/>
              </w:rPr>
              <w:t>Free</w:t>
            </w:r>
          </w:p>
        </w:tc>
      </w:tr>
      <w:tr w:rsidR="000429C6" w:rsidRPr="00B0605C" w14:paraId="154C13B1" w14:textId="77777777" w:rsidTr="00865D71">
        <w:trPr>
          <w:trHeight w:val="291"/>
          <w:jc w:val="center"/>
        </w:trPr>
        <w:tc>
          <w:tcPr>
            <w:tcW w:w="2268" w:type="dxa"/>
            <w:vAlign w:val="center"/>
          </w:tcPr>
          <w:p w14:paraId="55FEF011" w14:textId="77777777" w:rsidR="000429C6" w:rsidRPr="00B0605C" w:rsidRDefault="000429C6" w:rsidP="00E2027D">
            <w:pPr>
              <w:spacing w:line="276" w:lineRule="auto"/>
              <w:rPr>
                <w:rFonts w:ascii="Arial" w:hAnsi="Arial" w:cs="Arial"/>
                <w:lang w:val="en-GB"/>
              </w:rPr>
            </w:pPr>
            <w:r w:rsidRPr="00B0605C">
              <w:rPr>
                <w:rFonts w:ascii="Arial" w:hAnsi="Arial" w:cs="Arial"/>
                <w:lang w:val="en-GB"/>
              </w:rPr>
              <w:t>Wynn</w:t>
            </w:r>
          </w:p>
        </w:tc>
        <w:tc>
          <w:tcPr>
            <w:tcW w:w="2410" w:type="dxa"/>
            <w:vAlign w:val="center"/>
          </w:tcPr>
          <w:p w14:paraId="304CA90C" w14:textId="77777777" w:rsidR="000429C6" w:rsidRPr="00B0605C" w:rsidRDefault="000429C6" w:rsidP="00E2027D">
            <w:pPr>
              <w:spacing w:line="276" w:lineRule="auto"/>
              <w:rPr>
                <w:rFonts w:ascii="Arial" w:hAnsi="Arial" w:cs="Arial"/>
                <w:lang w:val="en-GB"/>
              </w:rPr>
            </w:pPr>
            <w:r w:rsidRPr="00B0605C">
              <w:rPr>
                <w:rFonts w:ascii="Arial" w:hAnsi="Arial" w:cs="Arial"/>
                <w:lang w:val="en-GB"/>
              </w:rPr>
              <w:t>Wynn Resorts Ltd.</w:t>
            </w:r>
          </w:p>
        </w:tc>
        <w:tc>
          <w:tcPr>
            <w:tcW w:w="1247" w:type="dxa"/>
            <w:vAlign w:val="center"/>
          </w:tcPr>
          <w:p w14:paraId="07FE0848" w14:textId="77777777" w:rsidR="000429C6" w:rsidRPr="00B0605C" w:rsidRDefault="000429C6" w:rsidP="00E10B29">
            <w:pPr>
              <w:spacing w:line="276" w:lineRule="auto"/>
              <w:jc w:val="center"/>
              <w:rPr>
                <w:rFonts w:ascii="Arial" w:hAnsi="Arial" w:cs="Arial"/>
                <w:b/>
                <w:bCs/>
                <w:i/>
                <w:iCs/>
                <w:color w:val="4F81BD" w:themeColor="accent1"/>
                <w:lang w:val="en-GB" w:eastAsia="en-US"/>
              </w:rPr>
            </w:pPr>
            <w:r w:rsidRPr="00B0605C">
              <w:rPr>
                <w:rFonts w:ascii="Arial" w:hAnsi="Arial" w:cs="Arial"/>
                <w:lang w:val="en-GB"/>
              </w:rPr>
              <w:t>$39</w:t>
            </w:r>
          </w:p>
        </w:tc>
        <w:tc>
          <w:tcPr>
            <w:tcW w:w="1446" w:type="dxa"/>
            <w:vAlign w:val="center"/>
          </w:tcPr>
          <w:p w14:paraId="37905A3E" w14:textId="67E5E667" w:rsidR="000429C6" w:rsidRPr="00B0605C" w:rsidRDefault="0046096B" w:rsidP="00E10B29">
            <w:pPr>
              <w:spacing w:line="276" w:lineRule="auto"/>
              <w:jc w:val="center"/>
              <w:rPr>
                <w:rFonts w:ascii="Arial" w:hAnsi="Arial" w:cs="Arial"/>
                <w:b/>
                <w:bCs/>
                <w:i/>
                <w:iCs/>
                <w:color w:val="4F81BD" w:themeColor="accent1"/>
                <w:lang w:val="en-GB" w:eastAsia="en-US"/>
              </w:rPr>
            </w:pPr>
            <w:r w:rsidRPr="00B0605C">
              <w:rPr>
                <w:rFonts w:ascii="Arial" w:hAnsi="Arial" w:cs="Arial"/>
                <w:lang w:val="en-GB"/>
              </w:rPr>
              <w:t>$7</w:t>
            </w:r>
            <w:r w:rsidR="005A18DB">
              <w:rPr>
                <w:rFonts w:ascii="Arial" w:hAnsi="Arial" w:cs="Arial"/>
                <w:lang w:val="en-GB"/>
              </w:rPr>
              <w:t>–</w:t>
            </w:r>
            <w:r w:rsidRPr="00B0605C">
              <w:rPr>
                <w:rFonts w:ascii="Arial" w:hAnsi="Arial" w:cs="Arial"/>
                <w:lang w:val="en-GB"/>
              </w:rPr>
              <w:t>15</w:t>
            </w:r>
          </w:p>
        </w:tc>
        <w:tc>
          <w:tcPr>
            <w:tcW w:w="1417" w:type="dxa"/>
            <w:vAlign w:val="center"/>
          </w:tcPr>
          <w:p w14:paraId="37E2DD2F" w14:textId="79C4F0A8" w:rsidR="000429C6" w:rsidRPr="00B0605C" w:rsidRDefault="000429C6" w:rsidP="00E10B29">
            <w:pPr>
              <w:spacing w:line="276" w:lineRule="auto"/>
              <w:jc w:val="center"/>
              <w:rPr>
                <w:rFonts w:ascii="Arial" w:hAnsi="Arial" w:cs="Arial"/>
                <w:b/>
                <w:bCs/>
                <w:i/>
                <w:iCs/>
                <w:color w:val="4F81BD" w:themeColor="accent1"/>
                <w:lang w:val="en-GB" w:eastAsia="en-US"/>
              </w:rPr>
            </w:pPr>
            <w:r w:rsidRPr="00B0605C">
              <w:rPr>
                <w:rFonts w:ascii="Arial" w:hAnsi="Arial" w:cs="Arial"/>
                <w:lang w:val="en-GB"/>
              </w:rPr>
              <w:t>$1</w:t>
            </w:r>
            <w:r w:rsidR="0046096B" w:rsidRPr="00B0605C">
              <w:rPr>
                <w:rFonts w:ascii="Arial" w:hAnsi="Arial" w:cs="Arial"/>
                <w:lang w:val="en-GB"/>
              </w:rPr>
              <w:t>5</w:t>
            </w:r>
            <w:r w:rsidR="005A18DB">
              <w:rPr>
                <w:rFonts w:ascii="Arial" w:hAnsi="Arial" w:cs="Arial"/>
                <w:lang w:val="en-GB"/>
              </w:rPr>
              <w:t>–</w:t>
            </w:r>
            <w:r w:rsidR="0046096B" w:rsidRPr="00B0605C">
              <w:rPr>
                <w:rFonts w:ascii="Arial" w:hAnsi="Arial" w:cs="Arial"/>
                <w:lang w:val="en-GB"/>
              </w:rPr>
              <w:t>20</w:t>
            </w:r>
          </w:p>
        </w:tc>
      </w:tr>
      <w:tr w:rsidR="000429C6" w:rsidRPr="00B0605C" w14:paraId="31C4EE0A" w14:textId="77777777" w:rsidTr="00865D71">
        <w:trPr>
          <w:trHeight w:val="264"/>
          <w:jc w:val="center"/>
        </w:trPr>
        <w:tc>
          <w:tcPr>
            <w:tcW w:w="2268" w:type="dxa"/>
            <w:vAlign w:val="center"/>
          </w:tcPr>
          <w:p w14:paraId="229C28F2" w14:textId="77777777" w:rsidR="000429C6" w:rsidRPr="00B0605C" w:rsidRDefault="000429C6" w:rsidP="00E2027D">
            <w:pPr>
              <w:spacing w:line="276" w:lineRule="auto"/>
              <w:rPr>
                <w:rFonts w:ascii="Arial" w:hAnsi="Arial" w:cs="Arial"/>
                <w:lang w:val="en-GB"/>
              </w:rPr>
            </w:pPr>
            <w:r w:rsidRPr="00B0605C">
              <w:rPr>
                <w:rFonts w:ascii="Arial" w:hAnsi="Arial" w:cs="Arial"/>
                <w:lang w:val="en-GB"/>
              </w:rPr>
              <w:t>Encore</w:t>
            </w:r>
          </w:p>
        </w:tc>
        <w:tc>
          <w:tcPr>
            <w:tcW w:w="2410" w:type="dxa"/>
            <w:vAlign w:val="center"/>
          </w:tcPr>
          <w:p w14:paraId="5BDB95DE" w14:textId="77777777" w:rsidR="000429C6" w:rsidRPr="00B0605C" w:rsidRDefault="000429C6" w:rsidP="00E2027D">
            <w:pPr>
              <w:spacing w:line="276" w:lineRule="auto"/>
              <w:rPr>
                <w:rFonts w:ascii="Arial" w:hAnsi="Arial" w:cs="Arial"/>
                <w:lang w:val="en-GB"/>
              </w:rPr>
            </w:pPr>
            <w:r w:rsidRPr="00B0605C">
              <w:rPr>
                <w:rFonts w:ascii="Arial" w:hAnsi="Arial" w:cs="Arial"/>
                <w:lang w:val="en-GB"/>
              </w:rPr>
              <w:t>Wynn Resorts Ltd.</w:t>
            </w:r>
          </w:p>
        </w:tc>
        <w:tc>
          <w:tcPr>
            <w:tcW w:w="1247" w:type="dxa"/>
            <w:vAlign w:val="center"/>
          </w:tcPr>
          <w:p w14:paraId="12114A35" w14:textId="77777777" w:rsidR="000429C6" w:rsidRPr="00B0605C" w:rsidRDefault="000429C6" w:rsidP="00E10B29">
            <w:pPr>
              <w:spacing w:line="276" w:lineRule="auto"/>
              <w:jc w:val="center"/>
              <w:rPr>
                <w:rFonts w:ascii="Arial" w:hAnsi="Arial" w:cs="Arial"/>
                <w:b/>
                <w:bCs/>
                <w:i/>
                <w:iCs/>
                <w:color w:val="4F81BD" w:themeColor="accent1"/>
                <w:lang w:val="en-GB" w:eastAsia="en-US"/>
              </w:rPr>
            </w:pPr>
            <w:r w:rsidRPr="00B0605C">
              <w:rPr>
                <w:rFonts w:ascii="Arial" w:hAnsi="Arial" w:cs="Arial"/>
                <w:lang w:val="en-GB"/>
              </w:rPr>
              <w:t>$39</w:t>
            </w:r>
          </w:p>
        </w:tc>
        <w:tc>
          <w:tcPr>
            <w:tcW w:w="1446" w:type="dxa"/>
            <w:vAlign w:val="center"/>
          </w:tcPr>
          <w:p w14:paraId="3C587D97" w14:textId="135144CF" w:rsidR="000429C6" w:rsidRPr="00B0605C" w:rsidRDefault="0046096B" w:rsidP="00E10B29">
            <w:pPr>
              <w:spacing w:line="276" w:lineRule="auto"/>
              <w:jc w:val="center"/>
              <w:rPr>
                <w:rFonts w:ascii="Arial" w:hAnsi="Arial" w:cs="Arial"/>
                <w:b/>
                <w:bCs/>
                <w:i/>
                <w:iCs/>
                <w:color w:val="4F81BD" w:themeColor="accent1"/>
                <w:lang w:val="en-GB" w:eastAsia="en-US"/>
              </w:rPr>
            </w:pPr>
            <w:r w:rsidRPr="00B0605C">
              <w:rPr>
                <w:rFonts w:ascii="Arial" w:hAnsi="Arial" w:cs="Arial"/>
                <w:lang w:val="en-GB"/>
              </w:rPr>
              <w:t>$7</w:t>
            </w:r>
            <w:r w:rsidR="005A18DB">
              <w:rPr>
                <w:rFonts w:ascii="Arial" w:hAnsi="Arial" w:cs="Arial"/>
                <w:lang w:val="en-GB"/>
              </w:rPr>
              <w:t>–</w:t>
            </w:r>
            <w:r w:rsidRPr="00B0605C">
              <w:rPr>
                <w:rFonts w:ascii="Arial" w:hAnsi="Arial" w:cs="Arial"/>
                <w:lang w:val="en-GB"/>
              </w:rPr>
              <w:t>15</w:t>
            </w:r>
          </w:p>
        </w:tc>
        <w:tc>
          <w:tcPr>
            <w:tcW w:w="1417" w:type="dxa"/>
            <w:vAlign w:val="center"/>
          </w:tcPr>
          <w:p w14:paraId="29D6D563" w14:textId="2FC982B5" w:rsidR="000429C6" w:rsidRPr="00B0605C" w:rsidRDefault="000429C6" w:rsidP="00E10B29">
            <w:pPr>
              <w:spacing w:line="276" w:lineRule="auto"/>
              <w:jc w:val="center"/>
              <w:rPr>
                <w:rFonts w:ascii="Arial" w:hAnsi="Arial" w:cs="Arial"/>
                <w:b/>
                <w:bCs/>
                <w:i/>
                <w:iCs/>
                <w:color w:val="4F81BD" w:themeColor="accent1"/>
                <w:lang w:val="en-GB" w:eastAsia="en-US"/>
              </w:rPr>
            </w:pPr>
            <w:r w:rsidRPr="00B0605C">
              <w:rPr>
                <w:rFonts w:ascii="Arial" w:hAnsi="Arial" w:cs="Arial"/>
                <w:lang w:val="en-GB"/>
              </w:rPr>
              <w:t>$1</w:t>
            </w:r>
            <w:r w:rsidR="0046096B" w:rsidRPr="00B0605C">
              <w:rPr>
                <w:rFonts w:ascii="Arial" w:hAnsi="Arial" w:cs="Arial"/>
                <w:lang w:val="en-GB"/>
              </w:rPr>
              <w:t>5</w:t>
            </w:r>
            <w:r w:rsidR="005A18DB">
              <w:rPr>
                <w:rFonts w:ascii="Arial" w:hAnsi="Arial" w:cs="Arial"/>
                <w:lang w:val="en-GB"/>
              </w:rPr>
              <w:t>–</w:t>
            </w:r>
            <w:r w:rsidR="0046096B" w:rsidRPr="00B0605C">
              <w:rPr>
                <w:rFonts w:ascii="Arial" w:hAnsi="Arial" w:cs="Arial"/>
                <w:lang w:val="en-GB"/>
              </w:rPr>
              <w:t>20</w:t>
            </w:r>
          </w:p>
        </w:tc>
      </w:tr>
      <w:tr w:rsidR="000429C6" w:rsidRPr="00B0605C" w14:paraId="766F14E5" w14:textId="77777777" w:rsidTr="00865D71">
        <w:trPr>
          <w:trHeight w:val="264"/>
          <w:jc w:val="center"/>
        </w:trPr>
        <w:tc>
          <w:tcPr>
            <w:tcW w:w="2268" w:type="dxa"/>
            <w:vAlign w:val="center"/>
          </w:tcPr>
          <w:p w14:paraId="6AECBC83" w14:textId="77777777" w:rsidR="000429C6" w:rsidRPr="00B0605C" w:rsidRDefault="000429C6" w:rsidP="00E2027D">
            <w:pPr>
              <w:spacing w:line="276" w:lineRule="auto"/>
              <w:rPr>
                <w:rFonts w:ascii="Arial" w:hAnsi="Arial" w:cs="Arial"/>
                <w:lang w:val="en-GB"/>
              </w:rPr>
            </w:pPr>
            <w:r w:rsidRPr="00B0605C">
              <w:rPr>
                <w:rFonts w:ascii="Arial" w:hAnsi="Arial" w:cs="Arial"/>
                <w:lang w:val="en-GB"/>
              </w:rPr>
              <w:t>Venetian</w:t>
            </w:r>
          </w:p>
        </w:tc>
        <w:tc>
          <w:tcPr>
            <w:tcW w:w="2410" w:type="dxa"/>
            <w:vAlign w:val="center"/>
          </w:tcPr>
          <w:p w14:paraId="1708E75A" w14:textId="77777777" w:rsidR="000429C6" w:rsidRPr="00B0605C" w:rsidRDefault="000429C6" w:rsidP="00E2027D">
            <w:pPr>
              <w:spacing w:line="276" w:lineRule="auto"/>
              <w:rPr>
                <w:rFonts w:ascii="Arial" w:hAnsi="Arial" w:cs="Arial"/>
                <w:lang w:val="en-GB"/>
              </w:rPr>
            </w:pPr>
            <w:r w:rsidRPr="00B0605C">
              <w:rPr>
                <w:rFonts w:ascii="Arial" w:hAnsi="Arial" w:cs="Arial"/>
                <w:lang w:val="en-GB"/>
              </w:rPr>
              <w:t>Las Vegas Sands</w:t>
            </w:r>
          </w:p>
        </w:tc>
        <w:tc>
          <w:tcPr>
            <w:tcW w:w="1247" w:type="dxa"/>
            <w:vAlign w:val="center"/>
          </w:tcPr>
          <w:p w14:paraId="4BA0219D" w14:textId="77777777" w:rsidR="000429C6" w:rsidRPr="00B0605C" w:rsidRDefault="000429C6" w:rsidP="00E10B29">
            <w:pPr>
              <w:spacing w:line="276" w:lineRule="auto"/>
              <w:jc w:val="center"/>
              <w:rPr>
                <w:rFonts w:ascii="Arial" w:hAnsi="Arial" w:cs="Arial"/>
                <w:b/>
                <w:bCs/>
                <w:i/>
                <w:iCs/>
                <w:color w:val="4F81BD" w:themeColor="accent1"/>
                <w:lang w:val="en-GB" w:eastAsia="en-US"/>
              </w:rPr>
            </w:pPr>
            <w:r w:rsidRPr="00B0605C">
              <w:rPr>
                <w:rFonts w:ascii="Arial" w:hAnsi="Arial" w:cs="Arial"/>
                <w:lang w:val="en-GB"/>
              </w:rPr>
              <w:t>$39</w:t>
            </w:r>
          </w:p>
        </w:tc>
        <w:tc>
          <w:tcPr>
            <w:tcW w:w="1446" w:type="dxa"/>
            <w:vAlign w:val="center"/>
          </w:tcPr>
          <w:p w14:paraId="59366D88" w14:textId="77777777" w:rsidR="000429C6" w:rsidRPr="00B0605C" w:rsidRDefault="000429C6" w:rsidP="00E10B29">
            <w:pPr>
              <w:spacing w:line="276" w:lineRule="auto"/>
              <w:jc w:val="center"/>
              <w:rPr>
                <w:rFonts w:ascii="Arial" w:hAnsi="Arial" w:cs="Arial"/>
                <w:b/>
                <w:bCs/>
                <w:i/>
                <w:iCs/>
                <w:color w:val="4F81BD" w:themeColor="accent1"/>
                <w:lang w:val="en-GB" w:eastAsia="en-US"/>
              </w:rPr>
            </w:pPr>
            <w:r w:rsidRPr="00B0605C">
              <w:rPr>
                <w:rFonts w:ascii="Arial" w:hAnsi="Arial" w:cs="Arial"/>
                <w:lang w:val="en-GB"/>
              </w:rPr>
              <w:t>Free</w:t>
            </w:r>
          </w:p>
        </w:tc>
        <w:tc>
          <w:tcPr>
            <w:tcW w:w="1417" w:type="dxa"/>
            <w:vAlign w:val="center"/>
          </w:tcPr>
          <w:p w14:paraId="1814F105" w14:textId="77777777" w:rsidR="000429C6" w:rsidRPr="00B0605C" w:rsidRDefault="000429C6" w:rsidP="00E10B29">
            <w:pPr>
              <w:spacing w:line="276" w:lineRule="auto"/>
              <w:jc w:val="center"/>
              <w:rPr>
                <w:rFonts w:ascii="Arial" w:hAnsi="Arial" w:cs="Arial"/>
                <w:b/>
                <w:bCs/>
                <w:i/>
                <w:iCs/>
                <w:color w:val="4F81BD" w:themeColor="accent1"/>
                <w:lang w:val="en-GB" w:eastAsia="en-US"/>
              </w:rPr>
            </w:pPr>
            <w:r w:rsidRPr="00B0605C">
              <w:rPr>
                <w:rFonts w:ascii="Arial" w:hAnsi="Arial" w:cs="Arial"/>
                <w:lang w:val="en-GB"/>
              </w:rPr>
              <w:t>Free</w:t>
            </w:r>
          </w:p>
        </w:tc>
      </w:tr>
      <w:tr w:rsidR="000429C6" w:rsidRPr="00B0605C" w14:paraId="15C9416B" w14:textId="77777777" w:rsidTr="00865D71">
        <w:trPr>
          <w:trHeight w:val="291"/>
          <w:jc w:val="center"/>
        </w:trPr>
        <w:tc>
          <w:tcPr>
            <w:tcW w:w="2268" w:type="dxa"/>
            <w:vAlign w:val="center"/>
          </w:tcPr>
          <w:p w14:paraId="1E818B5B" w14:textId="77777777" w:rsidR="000429C6" w:rsidRPr="00B0605C" w:rsidRDefault="000429C6" w:rsidP="00E2027D">
            <w:pPr>
              <w:spacing w:line="276" w:lineRule="auto"/>
              <w:rPr>
                <w:rFonts w:ascii="Arial" w:hAnsi="Arial" w:cs="Arial"/>
                <w:lang w:val="en-GB"/>
              </w:rPr>
            </w:pPr>
            <w:r w:rsidRPr="00B0605C">
              <w:rPr>
                <w:rFonts w:ascii="Arial" w:hAnsi="Arial" w:cs="Arial"/>
                <w:lang w:val="en-GB"/>
              </w:rPr>
              <w:t>Palazzo</w:t>
            </w:r>
          </w:p>
        </w:tc>
        <w:tc>
          <w:tcPr>
            <w:tcW w:w="2410" w:type="dxa"/>
            <w:vAlign w:val="center"/>
          </w:tcPr>
          <w:p w14:paraId="6ACBE6C4" w14:textId="77777777" w:rsidR="000429C6" w:rsidRPr="00B0605C" w:rsidRDefault="000429C6" w:rsidP="00E2027D">
            <w:pPr>
              <w:spacing w:line="276" w:lineRule="auto"/>
              <w:rPr>
                <w:rFonts w:ascii="Arial" w:hAnsi="Arial" w:cs="Arial"/>
                <w:lang w:val="en-GB"/>
              </w:rPr>
            </w:pPr>
            <w:r w:rsidRPr="00B0605C">
              <w:rPr>
                <w:rFonts w:ascii="Arial" w:hAnsi="Arial" w:cs="Arial"/>
                <w:lang w:val="en-GB"/>
              </w:rPr>
              <w:t>Las Vegas Sands</w:t>
            </w:r>
          </w:p>
        </w:tc>
        <w:tc>
          <w:tcPr>
            <w:tcW w:w="1247" w:type="dxa"/>
            <w:vAlign w:val="center"/>
          </w:tcPr>
          <w:p w14:paraId="2B60DCB3" w14:textId="77777777" w:rsidR="000429C6" w:rsidRPr="00B0605C" w:rsidRDefault="000429C6" w:rsidP="00E10B29">
            <w:pPr>
              <w:spacing w:line="276" w:lineRule="auto"/>
              <w:jc w:val="center"/>
              <w:rPr>
                <w:rFonts w:ascii="Arial" w:hAnsi="Arial" w:cs="Arial"/>
                <w:b/>
                <w:bCs/>
                <w:i/>
                <w:iCs/>
                <w:color w:val="4F81BD" w:themeColor="accent1"/>
                <w:lang w:val="en-GB" w:eastAsia="en-US"/>
              </w:rPr>
            </w:pPr>
            <w:r w:rsidRPr="00B0605C">
              <w:rPr>
                <w:rFonts w:ascii="Arial" w:hAnsi="Arial" w:cs="Arial"/>
                <w:lang w:val="en-GB"/>
              </w:rPr>
              <w:t>$39</w:t>
            </w:r>
          </w:p>
        </w:tc>
        <w:tc>
          <w:tcPr>
            <w:tcW w:w="1446" w:type="dxa"/>
            <w:vAlign w:val="center"/>
          </w:tcPr>
          <w:p w14:paraId="3DFF7D4B" w14:textId="77777777" w:rsidR="000429C6" w:rsidRPr="00B0605C" w:rsidRDefault="000429C6" w:rsidP="008A46AE">
            <w:pPr>
              <w:spacing w:line="276" w:lineRule="auto"/>
              <w:jc w:val="center"/>
              <w:rPr>
                <w:rFonts w:ascii="Arial" w:hAnsi="Arial" w:cs="Arial"/>
                <w:lang w:val="en-GB"/>
              </w:rPr>
            </w:pPr>
            <w:r w:rsidRPr="00B0605C">
              <w:rPr>
                <w:rFonts w:ascii="Arial" w:hAnsi="Arial" w:cs="Arial"/>
                <w:lang w:val="en-GB"/>
              </w:rPr>
              <w:t>Free</w:t>
            </w:r>
          </w:p>
        </w:tc>
        <w:tc>
          <w:tcPr>
            <w:tcW w:w="1417" w:type="dxa"/>
            <w:vAlign w:val="center"/>
          </w:tcPr>
          <w:p w14:paraId="0D767DEA" w14:textId="77777777" w:rsidR="000429C6" w:rsidRPr="00B0605C" w:rsidRDefault="000429C6" w:rsidP="008A46AE">
            <w:pPr>
              <w:spacing w:line="276" w:lineRule="auto"/>
              <w:jc w:val="center"/>
              <w:rPr>
                <w:rFonts w:ascii="Arial" w:hAnsi="Arial" w:cs="Arial"/>
                <w:lang w:val="en-GB"/>
              </w:rPr>
            </w:pPr>
            <w:r w:rsidRPr="00B0605C">
              <w:rPr>
                <w:rFonts w:ascii="Arial" w:hAnsi="Arial" w:cs="Arial"/>
                <w:lang w:val="en-GB"/>
              </w:rPr>
              <w:t>Free</w:t>
            </w:r>
          </w:p>
        </w:tc>
      </w:tr>
    </w:tbl>
    <w:p w14:paraId="64DF5D51" w14:textId="77777777" w:rsidR="000429C6" w:rsidRPr="00B0605C" w:rsidRDefault="000429C6" w:rsidP="00E10B29">
      <w:pPr>
        <w:pStyle w:val="Footnote"/>
        <w:rPr>
          <w:lang w:val="en-GB"/>
        </w:rPr>
      </w:pPr>
    </w:p>
    <w:p w14:paraId="27331B09" w14:textId="6EA0F84A" w:rsidR="003F19AC" w:rsidRDefault="003F19AC" w:rsidP="000429C6">
      <w:pPr>
        <w:rPr>
          <w:rFonts w:ascii="Arial" w:hAnsi="Arial" w:cs="Arial"/>
          <w:sz w:val="17"/>
          <w:szCs w:val="17"/>
          <w:lang w:val="en-GB"/>
        </w:rPr>
      </w:pPr>
      <w:r>
        <w:rPr>
          <w:rFonts w:ascii="Arial" w:hAnsi="Arial" w:cs="Arial"/>
          <w:sz w:val="17"/>
          <w:szCs w:val="17"/>
          <w:lang w:val="en-GB"/>
        </w:rPr>
        <w:t>Note: All dollar amounts are U.S. dollars</w:t>
      </w:r>
    </w:p>
    <w:p w14:paraId="503F95E7" w14:textId="612D4057" w:rsidR="005C7BAF" w:rsidRPr="00B0605C" w:rsidRDefault="000429C6" w:rsidP="000429C6">
      <w:pPr>
        <w:rPr>
          <w:rFonts w:ascii="Arial" w:eastAsiaTheme="minorEastAsia" w:hAnsi="Arial" w:cs="Arial"/>
          <w:sz w:val="17"/>
          <w:szCs w:val="17"/>
          <w:lang w:val="en-GB" w:eastAsia="ko-KR"/>
        </w:rPr>
      </w:pPr>
      <w:r w:rsidRPr="00B0605C">
        <w:rPr>
          <w:rFonts w:ascii="Arial" w:hAnsi="Arial" w:cs="Arial"/>
          <w:sz w:val="17"/>
          <w:szCs w:val="17"/>
          <w:lang w:val="en-GB"/>
        </w:rPr>
        <w:t xml:space="preserve">Source: </w:t>
      </w:r>
      <w:r w:rsidR="005C7BAF" w:rsidRPr="00B0605C">
        <w:rPr>
          <w:rFonts w:ascii="Arial" w:eastAsiaTheme="minorEastAsia" w:hAnsi="Arial" w:cs="Arial"/>
          <w:sz w:val="17"/>
          <w:szCs w:val="17"/>
          <w:lang w:val="en-GB" w:eastAsia="ko-KR"/>
        </w:rPr>
        <w:t>Created by authors, based on company websites</w:t>
      </w:r>
      <w:r w:rsidR="006A1AF8" w:rsidRPr="00B0605C">
        <w:rPr>
          <w:rFonts w:ascii="Arial" w:eastAsiaTheme="minorEastAsia" w:hAnsi="Arial" w:cs="Arial"/>
          <w:sz w:val="17"/>
          <w:szCs w:val="17"/>
          <w:lang w:val="en-GB" w:eastAsia="ko-KR"/>
        </w:rPr>
        <w:t>.</w:t>
      </w:r>
    </w:p>
    <w:p w14:paraId="50ABD0FD" w14:textId="77777777" w:rsidR="009C2BEB" w:rsidRPr="00B0605C" w:rsidRDefault="009C2BEB" w:rsidP="008A46AE">
      <w:pPr>
        <w:pStyle w:val="Casehead1"/>
        <w:rPr>
          <w:lang w:val="en-GB"/>
        </w:rPr>
      </w:pPr>
      <w:r w:rsidRPr="00B0605C">
        <w:rPr>
          <w:lang w:val="en-GB"/>
        </w:rPr>
        <w:lastRenderedPageBreak/>
        <w:t>endnotes</w:t>
      </w:r>
    </w:p>
    <w:sectPr w:rsidR="009C2BEB" w:rsidRPr="00B0605C" w:rsidSect="00277388">
      <w:headerReference w:type="default" r:id="rId13"/>
      <w:endnotePr>
        <w:numFmt w:val="decimal"/>
      </w:endnotePr>
      <w:pgSz w:w="12240" w:h="15840"/>
      <w:pgMar w:top="1080" w:right="1440" w:bottom="1440" w:left="1440" w:header="10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B3ACE8" w14:textId="77777777" w:rsidR="00617FC5" w:rsidRDefault="00617FC5" w:rsidP="00D75295">
      <w:r>
        <w:separator/>
      </w:r>
    </w:p>
  </w:endnote>
  <w:endnote w:type="continuationSeparator" w:id="0">
    <w:p w14:paraId="54ABA8BB" w14:textId="77777777" w:rsidR="00617FC5" w:rsidRDefault="00617FC5" w:rsidP="00D75295">
      <w:r>
        <w:continuationSeparator/>
      </w:r>
    </w:p>
  </w:endnote>
  <w:endnote w:id="1">
    <w:p w14:paraId="5BB1F73C" w14:textId="0070668F" w:rsidR="00617FC5" w:rsidRPr="008A46AE" w:rsidRDefault="00617FC5" w:rsidP="00E10B29">
      <w:pPr>
        <w:pStyle w:val="EndnoteText"/>
        <w:jc w:val="both"/>
        <w:rPr>
          <w:rFonts w:ascii="Arial" w:hAnsi="Arial" w:cs="Arial"/>
          <w:spacing w:val="-4"/>
          <w:sz w:val="17"/>
          <w:szCs w:val="17"/>
        </w:rPr>
      </w:pPr>
      <w:r w:rsidRPr="008A46AE">
        <w:rPr>
          <w:rStyle w:val="EndnoteReference"/>
          <w:rFonts w:ascii="Arial" w:hAnsi="Arial" w:cs="Arial"/>
          <w:spacing w:val="-4"/>
          <w:sz w:val="17"/>
          <w:szCs w:val="17"/>
        </w:rPr>
        <w:endnoteRef/>
      </w:r>
      <w:r w:rsidRPr="008A46AE">
        <w:rPr>
          <w:rFonts w:ascii="Arial" w:hAnsi="Arial" w:cs="Arial"/>
          <w:spacing w:val="-4"/>
          <w:sz w:val="17"/>
          <w:szCs w:val="17"/>
        </w:rPr>
        <w:t xml:space="preserve"> </w:t>
      </w:r>
      <w:r w:rsidRPr="008A46AE">
        <w:rPr>
          <w:rFonts w:ascii="Arial" w:eastAsiaTheme="minorEastAsia" w:hAnsi="Arial" w:cs="Arial"/>
          <w:spacing w:val="-4"/>
          <w:sz w:val="17"/>
          <w:szCs w:val="17"/>
          <w:lang w:val="en-GB" w:eastAsia="ko-KR"/>
        </w:rPr>
        <w:t xml:space="preserve">Shanna Okada and Bomie Kim, “Las Vegas Casino &amp; Hotel Market Outlook 2016,” </w:t>
      </w:r>
      <w:r w:rsidRPr="008A46AE">
        <w:rPr>
          <w:rFonts w:ascii="Arial" w:eastAsiaTheme="minorEastAsia" w:hAnsi="Arial" w:cs="Arial"/>
          <w:i/>
          <w:spacing w:val="-4"/>
          <w:sz w:val="17"/>
          <w:szCs w:val="17"/>
          <w:lang w:val="en-GB" w:eastAsia="ko-KR"/>
        </w:rPr>
        <w:t>HVS Gaming Division</w:t>
      </w:r>
      <w:r w:rsidRPr="008A46AE">
        <w:rPr>
          <w:rFonts w:ascii="Arial" w:eastAsiaTheme="minorEastAsia" w:hAnsi="Arial" w:cs="Arial"/>
          <w:spacing w:val="-4"/>
          <w:sz w:val="17"/>
          <w:szCs w:val="17"/>
          <w:lang w:val="en-GB" w:eastAsia="ko-KR"/>
        </w:rPr>
        <w:t xml:space="preserve">, November 21, 2016, accessed June 22, 2017, </w:t>
      </w:r>
      <w:r w:rsidRPr="008A46AE">
        <w:rPr>
          <w:rFonts w:ascii="Arial" w:hAnsi="Arial" w:cs="Arial"/>
          <w:spacing w:val="-4"/>
          <w:sz w:val="17"/>
          <w:szCs w:val="17"/>
          <w:lang w:val="en-GB"/>
        </w:rPr>
        <w:t>https://hvs.com/article/7865-las-vegas-casino-hotel-market-outlook-2016.</w:t>
      </w:r>
    </w:p>
  </w:endnote>
  <w:endnote w:id="2">
    <w:p w14:paraId="5566A61E" w14:textId="7BE6C368" w:rsidR="00617FC5" w:rsidRPr="008A46AE" w:rsidRDefault="00617FC5" w:rsidP="00E10B29">
      <w:pPr>
        <w:pStyle w:val="EndnoteText"/>
        <w:jc w:val="both"/>
        <w:rPr>
          <w:rFonts w:ascii="Arial" w:hAnsi="Arial" w:cs="Arial"/>
          <w:spacing w:val="-4"/>
          <w:sz w:val="17"/>
          <w:szCs w:val="17"/>
        </w:rPr>
      </w:pPr>
      <w:r w:rsidRPr="008A46AE">
        <w:rPr>
          <w:rStyle w:val="EndnoteReference"/>
          <w:rFonts w:ascii="Arial" w:hAnsi="Arial" w:cs="Arial"/>
          <w:spacing w:val="-4"/>
          <w:sz w:val="17"/>
          <w:szCs w:val="17"/>
        </w:rPr>
        <w:endnoteRef/>
      </w:r>
      <w:r w:rsidRPr="008A46AE">
        <w:rPr>
          <w:rFonts w:ascii="Arial" w:hAnsi="Arial" w:cs="Arial"/>
          <w:spacing w:val="-4"/>
          <w:sz w:val="17"/>
          <w:szCs w:val="17"/>
        </w:rPr>
        <w:t xml:space="preserve"> </w:t>
      </w:r>
      <w:r w:rsidRPr="008A46AE">
        <w:rPr>
          <w:rFonts w:ascii="Arial" w:eastAsiaTheme="minorEastAsia" w:hAnsi="Arial" w:cs="Arial"/>
          <w:spacing w:val="-4"/>
          <w:sz w:val="17"/>
          <w:szCs w:val="17"/>
          <w:lang w:val="en-GB" w:eastAsia="ko-KR"/>
        </w:rPr>
        <w:t>Ibid.</w:t>
      </w:r>
    </w:p>
  </w:endnote>
  <w:endnote w:id="3">
    <w:p w14:paraId="5DFFA743" w14:textId="7DD64E13" w:rsidR="00617FC5" w:rsidRPr="008A46AE" w:rsidRDefault="00617FC5" w:rsidP="00E10B29">
      <w:pPr>
        <w:pStyle w:val="EndnoteText"/>
        <w:jc w:val="both"/>
        <w:rPr>
          <w:rFonts w:ascii="Arial" w:hAnsi="Arial" w:cs="Arial"/>
          <w:spacing w:val="-4"/>
          <w:sz w:val="17"/>
          <w:szCs w:val="17"/>
        </w:rPr>
      </w:pPr>
      <w:r w:rsidRPr="008A46AE">
        <w:rPr>
          <w:rStyle w:val="EndnoteReference"/>
          <w:rFonts w:ascii="Arial" w:hAnsi="Arial" w:cs="Arial"/>
          <w:spacing w:val="-4"/>
          <w:sz w:val="17"/>
          <w:szCs w:val="17"/>
        </w:rPr>
        <w:endnoteRef/>
      </w:r>
      <w:r w:rsidRPr="008A46AE">
        <w:rPr>
          <w:rFonts w:ascii="Arial" w:hAnsi="Arial" w:cs="Arial"/>
          <w:spacing w:val="-4"/>
          <w:sz w:val="17"/>
          <w:szCs w:val="17"/>
        </w:rPr>
        <w:t xml:space="preserve"> </w:t>
      </w:r>
      <w:r w:rsidRPr="008A46AE">
        <w:rPr>
          <w:rFonts w:ascii="Arial" w:eastAsiaTheme="minorEastAsia" w:hAnsi="Arial" w:cs="Arial"/>
          <w:spacing w:val="-4"/>
          <w:sz w:val="17"/>
          <w:szCs w:val="17"/>
          <w:lang w:val="en-GB" w:eastAsia="ko-KR"/>
        </w:rPr>
        <w:t>Ibid.</w:t>
      </w:r>
    </w:p>
  </w:endnote>
  <w:endnote w:id="4">
    <w:p w14:paraId="0FEB41B9" w14:textId="4BCE5997" w:rsidR="00617FC5" w:rsidRPr="008A46AE" w:rsidRDefault="00617FC5" w:rsidP="00E10B29">
      <w:pPr>
        <w:pStyle w:val="EndnoteText"/>
        <w:jc w:val="both"/>
        <w:rPr>
          <w:rFonts w:ascii="Arial" w:hAnsi="Arial" w:cs="Arial"/>
          <w:spacing w:val="-4"/>
          <w:sz w:val="17"/>
          <w:szCs w:val="17"/>
        </w:rPr>
      </w:pPr>
      <w:r w:rsidRPr="008A46AE">
        <w:rPr>
          <w:rStyle w:val="EndnoteReference"/>
          <w:rFonts w:ascii="Arial" w:hAnsi="Arial" w:cs="Arial"/>
          <w:spacing w:val="-4"/>
          <w:sz w:val="17"/>
          <w:szCs w:val="17"/>
        </w:rPr>
        <w:endnoteRef/>
      </w:r>
      <w:r w:rsidRPr="008A46AE">
        <w:rPr>
          <w:rFonts w:ascii="Arial" w:hAnsi="Arial" w:cs="Arial"/>
          <w:spacing w:val="-4"/>
          <w:sz w:val="17"/>
          <w:szCs w:val="17"/>
        </w:rPr>
        <w:t xml:space="preserve"> </w:t>
      </w:r>
      <w:r w:rsidRPr="008A46AE">
        <w:rPr>
          <w:rFonts w:ascii="Arial" w:eastAsiaTheme="minorEastAsia" w:hAnsi="Arial" w:cs="Arial"/>
          <w:spacing w:val="-4"/>
          <w:sz w:val="17"/>
          <w:szCs w:val="17"/>
          <w:lang w:val="en-GB" w:eastAsia="ko-KR"/>
        </w:rPr>
        <w:t>Ibid.</w:t>
      </w:r>
    </w:p>
  </w:endnote>
  <w:endnote w:id="5">
    <w:p w14:paraId="4F44FE98" w14:textId="0F9CF5BB" w:rsidR="00617FC5" w:rsidRPr="008A46AE" w:rsidRDefault="00617FC5" w:rsidP="00E10B29">
      <w:pPr>
        <w:pStyle w:val="EndnoteText"/>
        <w:jc w:val="both"/>
        <w:rPr>
          <w:rFonts w:ascii="Arial" w:hAnsi="Arial" w:cs="Arial"/>
          <w:spacing w:val="-4"/>
          <w:sz w:val="17"/>
          <w:szCs w:val="17"/>
        </w:rPr>
      </w:pPr>
      <w:r w:rsidRPr="008A46AE">
        <w:rPr>
          <w:rStyle w:val="EndnoteReference"/>
          <w:rFonts w:ascii="Arial" w:hAnsi="Arial" w:cs="Arial"/>
          <w:spacing w:val="-4"/>
          <w:sz w:val="17"/>
          <w:szCs w:val="17"/>
        </w:rPr>
        <w:endnoteRef/>
      </w:r>
      <w:r w:rsidRPr="008A46AE">
        <w:rPr>
          <w:rFonts w:ascii="Arial" w:hAnsi="Arial" w:cs="Arial"/>
          <w:spacing w:val="-4"/>
          <w:sz w:val="17"/>
          <w:szCs w:val="17"/>
        </w:rPr>
        <w:t xml:space="preserve"> </w:t>
      </w:r>
      <w:r w:rsidRPr="008A46AE">
        <w:rPr>
          <w:rFonts w:ascii="Arial" w:eastAsiaTheme="minorEastAsia" w:hAnsi="Arial" w:cs="Arial"/>
          <w:spacing w:val="-4"/>
          <w:sz w:val="17"/>
          <w:szCs w:val="17"/>
          <w:lang w:val="en-GB" w:eastAsia="ko-KR"/>
        </w:rPr>
        <w:t>Ibid.</w:t>
      </w:r>
    </w:p>
  </w:endnote>
  <w:endnote w:id="6">
    <w:p w14:paraId="24E7E363" w14:textId="6F56F96B" w:rsidR="00617FC5" w:rsidRPr="008A46AE" w:rsidRDefault="00617FC5" w:rsidP="00E10B29">
      <w:pPr>
        <w:pStyle w:val="EndnoteText"/>
        <w:jc w:val="both"/>
        <w:rPr>
          <w:rFonts w:ascii="Arial" w:hAnsi="Arial" w:cs="Arial"/>
          <w:spacing w:val="-4"/>
          <w:sz w:val="17"/>
          <w:szCs w:val="17"/>
        </w:rPr>
      </w:pPr>
      <w:r w:rsidRPr="008A46AE">
        <w:rPr>
          <w:rStyle w:val="EndnoteReference"/>
          <w:rFonts w:ascii="Arial" w:hAnsi="Arial" w:cs="Arial"/>
          <w:spacing w:val="-4"/>
          <w:sz w:val="17"/>
          <w:szCs w:val="17"/>
        </w:rPr>
        <w:endnoteRef/>
      </w:r>
      <w:r w:rsidRPr="008A46AE">
        <w:rPr>
          <w:rFonts w:ascii="Arial" w:hAnsi="Arial" w:cs="Arial"/>
          <w:spacing w:val="-4"/>
          <w:sz w:val="17"/>
          <w:szCs w:val="17"/>
        </w:rPr>
        <w:t xml:space="preserve"> Las Vegas Convention and Visitors Authority and GLS Research, </w:t>
      </w:r>
      <w:r w:rsidRPr="008A46AE">
        <w:rPr>
          <w:rFonts w:ascii="Arial" w:hAnsi="Arial" w:cs="Arial"/>
          <w:i/>
          <w:spacing w:val="-4"/>
          <w:sz w:val="17"/>
          <w:szCs w:val="17"/>
        </w:rPr>
        <w:t>Las Vegas Visitor Profile Study 2016</w:t>
      </w:r>
      <w:r w:rsidRPr="008A46AE">
        <w:rPr>
          <w:rFonts w:ascii="Arial" w:hAnsi="Arial" w:cs="Arial"/>
          <w:spacing w:val="-4"/>
          <w:sz w:val="17"/>
          <w:szCs w:val="17"/>
        </w:rPr>
        <w:t xml:space="preserve">, 2017, accessed June 28, 2017, www.lvcva.com/includes/content/images/media/docs/2016-Las-Vegas-Visitor-Profile.pdf. </w:t>
      </w:r>
    </w:p>
  </w:endnote>
  <w:endnote w:id="7">
    <w:p w14:paraId="6F0B2275" w14:textId="6C74077D" w:rsidR="00617FC5" w:rsidRPr="008A46AE" w:rsidRDefault="00617FC5" w:rsidP="00E10B29">
      <w:pPr>
        <w:pStyle w:val="EndnoteText"/>
        <w:jc w:val="both"/>
        <w:rPr>
          <w:rFonts w:ascii="Arial" w:hAnsi="Arial" w:cs="Arial"/>
          <w:spacing w:val="-4"/>
          <w:sz w:val="17"/>
          <w:szCs w:val="17"/>
        </w:rPr>
      </w:pPr>
      <w:r w:rsidRPr="008A46AE">
        <w:rPr>
          <w:rStyle w:val="EndnoteReference"/>
          <w:rFonts w:ascii="Arial" w:hAnsi="Arial" w:cs="Arial"/>
          <w:spacing w:val="-4"/>
          <w:sz w:val="17"/>
          <w:szCs w:val="17"/>
        </w:rPr>
        <w:endnoteRef/>
      </w:r>
      <w:r w:rsidRPr="008A46AE">
        <w:rPr>
          <w:rFonts w:ascii="Arial" w:hAnsi="Arial" w:cs="Arial"/>
          <w:spacing w:val="-4"/>
          <w:sz w:val="17"/>
          <w:szCs w:val="17"/>
        </w:rPr>
        <w:t xml:space="preserve"> </w:t>
      </w:r>
      <w:r w:rsidRPr="008A46AE">
        <w:rPr>
          <w:rFonts w:ascii="Arial" w:eastAsiaTheme="minorEastAsia" w:hAnsi="Arial" w:cs="Arial"/>
          <w:spacing w:val="-4"/>
          <w:sz w:val="17"/>
          <w:szCs w:val="17"/>
          <w:lang w:val="en-GB" w:eastAsia="ko-KR"/>
        </w:rPr>
        <w:t>Shanna Okada and Bomie Kim, op. cit.</w:t>
      </w:r>
    </w:p>
  </w:endnote>
  <w:endnote w:id="8">
    <w:p w14:paraId="1935C603" w14:textId="5FE50376" w:rsidR="00617FC5" w:rsidRPr="008A46AE" w:rsidRDefault="00617FC5" w:rsidP="00E10B29">
      <w:pPr>
        <w:pStyle w:val="EndnoteText"/>
        <w:jc w:val="both"/>
        <w:rPr>
          <w:rFonts w:ascii="Arial" w:hAnsi="Arial" w:cs="Arial"/>
          <w:spacing w:val="-4"/>
          <w:sz w:val="17"/>
          <w:szCs w:val="17"/>
        </w:rPr>
      </w:pPr>
      <w:r w:rsidRPr="008A46AE">
        <w:rPr>
          <w:rStyle w:val="EndnoteReference"/>
          <w:rFonts w:ascii="Arial" w:hAnsi="Arial" w:cs="Arial"/>
          <w:spacing w:val="-4"/>
          <w:sz w:val="17"/>
          <w:szCs w:val="17"/>
        </w:rPr>
        <w:endnoteRef/>
      </w:r>
      <w:r w:rsidRPr="008A46AE">
        <w:rPr>
          <w:rFonts w:ascii="Arial" w:hAnsi="Arial" w:cs="Arial"/>
          <w:spacing w:val="-4"/>
          <w:sz w:val="17"/>
          <w:szCs w:val="17"/>
        </w:rPr>
        <w:t xml:space="preserve"> Las Vegas Convention and Visitors Authority and GLS Research, op. cit.</w:t>
      </w:r>
    </w:p>
  </w:endnote>
  <w:endnote w:id="9">
    <w:p w14:paraId="26DB9362" w14:textId="6FC2BA4E" w:rsidR="00617FC5" w:rsidRPr="008A46AE" w:rsidRDefault="00617FC5" w:rsidP="00E10B29">
      <w:pPr>
        <w:pStyle w:val="EndnoteText"/>
        <w:jc w:val="both"/>
        <w:rPr>
          <w:rFonts w:ascii="Arial" w:eastAsiaTheme="minorEastAsia" w:hAnsi="Arial" w:cs="Arial"/>
          <w:spacing w:val="-4"/>
          <w:sz w:val="17"/>
          <w:szCs w:val="17"/>
          <w:lang w:eastAsia="ko-KR"/>
        </w:rPr>
      </w:pPr>
      <w:r w:rsidRPr="008A46AE">
        <w:rPr>
          <w:rStyle w:val="EndnoteReference"/>
          <w:rFonts w:ascii="Arial" w:hAnsi="Arial" w:cs="Arial"/>
          <w:spacing w:val="-4"/>
          <w:sz w:val="17"/>
          <w:szCs w:val="17"/>
        </w:rPr>
        <w:endnoteRef/>
      </w:r>
      <w:r w:rsidRPr="008A46AE">
        <w:rPr>
          <w:rFonts w:ascii="Arial" w:hAnsi="Arial" w:cs="Arial"/>
          <w:spacing w:val="-4"/>
          <w:sz w:val="17"/>
          <w:szCs w:val="17"/>
        </w:rPr>
        <w:t xml:space="preserve"> All amounts are shown in US$.</w:t>
      </w:r>
    </w:p>
  </w:endnote>
  <w:endnote w:id="10">
    <w:p w14:paraId="4D66D713" w14:textId="1C18EE0E" w:rsidR="00617FC5" w:rsidRPr="008A46AE" w:rsidRDefault="00617FC5" w:rsidP="00E10B29">
      <w:pPr>
        <w:pStyle w:val="EndnoteText"/>
        <w:jc w:val="both"/>
        <w:rPr>
          <w:rFonts w:ascii="Arial" w:hAnsi="Arial" w:cs="Arial"/>
          <w:spacing w:val="-4"/>
          <w:sz w:val="17"/>
          <w:szCs w:val="17"/>
        </w:rPr>
      </w:pPr>
      <w:r w:rsidRPr="008A46AE">
        <w:rPr>
          <w:rStyle w:val="EndnoteReference"/>
          <w:rFonts w:ascii="Arial" w:hAnsi="Arial" w:cs="Arial"/>
          <w:spacing w:val="-4"/>
          <w:sz w:val="17"/>
          <w:szCs w:val="17"/>
        </w:rPr>
        <w:endnoteRef/>
      </w:r>
      <w:r w:rsidRPr="008A46AE">
        <w:rPr>
          <w:rFonts w:ascii="Arial" w:hAnsi="Arial" w:cs="Arial"/>
          <w:spacing w:val="-4"/>
          <w:sz w:val="17"/>
          <w:szCs w:val="17"/>
        </w:rPr>
        <w:t xml:space="preserve"> </w:t>
      </w:r>
      <w:r w:rsidRPr="008A46AE">
        <w:rPr>
          <w:rFonts w:ascii="Arial" w:eastAsiaTheme="minorEastAsia" w:hAnsi="Arial" w:cs="Arial"/>
          <w:spacing w:val="-4"/>
          <w:sz w:val="17"/>
          <w:szCs w:val="17"/>
          <w:lang w:val="en-GB" w:eastAsia="ko-KR"/>
        </w:rPr>
        <w:t>Shanna Okada and Bomie Kim, op. cit.</w:t>
      </w:r>
    </w:p>
  </w:endnote>
  <w:endnote w:id="11">
    <w:p w14:paraId="0008FF30" w14:textId="768E73B5" w:rsidR="00617FC5" w:rsidRPr="008A46AE" w:rsidRDefault="00617FC5">
      <w:pPr>
        <w:pStyle w:val="EndnoteText"/>
        <w:rPr>
          <w:rFonts w:eastAsiaTheme="minorEastAsia"/>
          <w:spacing w:val="-4"/>
          <w:lang w:eastAsia="ko-KR"/>
        </w:rPr>
      </w:pPr>
      <w:r w:rsidRPr="008A46AE">
        <w:rPr>
          <w:rStyle w:val="FootnoteChar"/>
          <w:spacing w:val="-4"/>
          <w:vertAlign w:val="superscript"/>
        </w:rPr>
        <w:endnoteRef/>
      </w:r>
      <w:r w:rsidRPr="008A46AE">
        <w:rPr>
          <w:spacing w:val="-4"/>
        </w:rPr>
        <w:t xml:space="preserve"> </w:t>
      </w:r>
      <w:r w:rsidRPr="008A46AE">
        <w:rPr>
          <w:rFonts w:ascii="Arial" w:eastAsiaTheme="minorEastAsia" w:hAnsi="Arial" w:cs="Arial"/>
          <w:spacing w:val="-4"/>
          <w:sz w:val="17"/>
          <w:szCs w:val="17"/>
          <w:lang w:val="en-GB" w:eastAsia="ko-KR"/>
        </w:rPr>
        <w:t>Ibid.</w:t>
      </w:r>
    </w:p>
  </w:endnote>
  <w:endnote w:id="12">
    <w:p w14:paraId="7D55D528" w14:textId="0EEFE778" w:rsidR="00617FC5" w:rsidRPr="008A46AE" w:rsidRDefault="00617FC5" w:rsidP="00E10B29">
      <w:pPr>
        <w:pStyle w:val="EndnoteText"/>
        <w:jc w:val="both"/>
        <w:rPr>
          <w:rFonts w:ascii="Arial" w:hAnsi="Arial" w:cs="Arial"/>
          <w:spacing w:val="-4"/>
          <w:sz w:val="17"/>
          <w:szCs w:val="17"/>
        </w:rPr>
      </w:pPr>
      <w:r w:rsidRPr="008A46AE">
        <w:rPr>
          <w:rStyle w:val="EndnoteReference"/>
          <w:rFonts w:ascii="Arial" w:hAnsi="Arial" w:cs="Arial"/>
          <w:spacing w:val="-4"/>
          <w:sz w:val="17"/>
          <w:szCs w:val="17"/>
        </w:rPr>
        <w:endnoteRef/>
      </w:r>
      <w:r w:rsidRPr="008A46AE">
        <w:rPr>
          <w:rFonts w:ascii="Arial" w:hAnsi="Arial" w:cs="Arial"/>
          <w:spacing w:val="-4"/>
          <w:sz w:val="17"/>
          <w:szCs w:val="17"/>
        </w:rPr>
        <w:t xml:space="preserve"> Las Vegas Convention and Visitors Authority and GLS Research, op. cit.</w:t>
      </w:r>
    </w:p>
  </w:endnote>
  <w:endnote w:id="13">
    <w:p w14:paraId="0802CE94" w14:textId="5C7E5B71" w:rsidR="00617FC5" w:rsidRPr="008A46AE" w:rsidRDefault="00617FC5" w:rsidP="00E10B29">
      <w:pPr>
        <w:pStyle w:val="EndnoteText"/>
        <w:jc w:val="both"/>
        <w:rPr>
          <w:rFonts w:ascii="Arial" w:hAnsi="Arial" w:cs="Arial"/>
          <w:spacing w:val="-4"/>
          <w:sz w:val="17"/>
          <w:szCs w:val="17"/>
        </w:rPr>
      </w:pPr>
      <w:r w:rsidRPr="008A46AE">
        <w:rPr>
          <w:rStyle w:val="EndnoteReference"/>
          <w:rFonts w:ascii="Arial" w:hAnsi="Arial" w:cs="Arial"/>
          <w:spacing w:val="-4"/>
          <w:sz w:val="17"/>
          <w:szCs w:val="17"/>
        </w:rPr>
        <w:endnoteRef/>
      </w:r>
      <w:r w:rsidRPr="008A46AE">
        <w:rPr>
          <w:rFonts w:ascii="Arial" w:hAnsi="Arial" w:cs="Arial"/>
          <w:spacing w:val="-4"/>
          <w:sz w:val="17"/>
          <w:szCs w:val="17"/>
        </w:rPr>
        <w:t xml:space="preserve"> </w:t>
      </w:r>
      <w:r w:rsidRPr="008A46AE">
        <w:rPr>
          <w:rFonts w:ascii="Arial" w:eastAsiaTheme="minorEastAsia" w:hAnsi="Arial" w:cs="Arial"/>
          <w:spacing w:val="-4"/>
          <w:sz w:val="17"/>
          <w:szCs w:val="17"/>
          <w:lang w:val="en-GB" w:eastAsia="ko-KR"/>
        </w:rPr>
        <w:t>Shanna Okada and Bomie Kim, op. cit.</w:t>
      </w:r>
    </w:p>
  </w:endnote>
  <w:endnote w:id="14">
    <w:p w14:paraId="6EBBB36B" w14:textId="72DECB11" w:rsidR="00617FC5" w:rsidRPr="008A46AE" w:rsidRDefault="00617FC5" w:rsidP="00E10B29">
      <w:pPr>
        <w:pStyle w:val="EndnoteText"/>
        <w:jc w:val="both"/>
        <w:rPr>
          <w:rFonts w:ascii="Arial" w:hAnsi="Arial" w:cs="Arial"/>
          <w:spacing w:val="-4"/>
          <w:sz w:val="17"/>
          <w:szCs w:val="17"/>
        </w:rPr>
      </w:pPr>
      <w:r w:rsidRPr="008A46AE">
        <w:rPr>
          <w:rStyle w:val="EndnoteReference"/>
          <w:rFonts w:ascii="Arial" w:hAnsi="Arial" w:cs="Arial"/>
          <w:spacing w:val="-4"/>
          <w:sz w:val="17"/>
          <w:szCs w:val="17"/>
        </w:rPr>
        <w:endnoteRef/>
      </w:r>
      <w:r w:rsidRPr="008A46AE">
        <w:rPr>
          <w:rFonts w:ascii="Arial" w:hAnsi="Arial" w:cs="Arial"/>
          <w:spacing w:val="-4"/>
          <w:sz w:val="17"/>
          <w:szCs w:val="17"/>
        </w:rPr>
        <w:t xml:space="preserve"> Las Vegas Convention and Visitors Authority and GLS Research, op. cit.</w:t>
      </w:r>
    </w:p>
  </w:endnote>
  <w:endnote w:id="15">
    <w:p w14:paraId="31DEFDCB" w14:textId="59699F04" w:rsidR="00617FC5" w:rsidRPr="008A46AE" w:rsidRDefault="00617FC5" w:rsidP="00E10B29">
      <w:pPr>
        <w:pStyle w:val="EndnoteText"/>
        <w:jc w:val="both"/>
        <w:rPr>
          <w:rFonts w:ascii="Arial" w:hAnsi="Arial" w:cs="Arial"/>
          <w:spacing w:val="-4"/>
          <w:sz w:val="17"/>
          <w:szCs w:val="17"/>
        </w:rPr>
      </w:pPr>
      <w:r w:rsidRPr="008A46AE">
        <w:rPr>
          <w:rStyle w:val="EndnoteReference"/>
          <w:rFonts w:ascii="Arial" w:hAnsi="Arial" w:cs="Arial"/>
          <w:spacing w:val="-4"/>
          <w:sz w:val="17"/>
          <w:szCs w:val="17"/>
        </w:rPr>
        <w:endnoteRef/>
      </w:r>
      <w:r w:rsidRPr="008A46AE">
        <w:rPr>
          <w:rFonts w:ascii="Arial" w:hAnsi="Arial" w:cs="Arial"/>
          <w:spacing w:val="-4"/>
          <w:sz w:val="17"/>
          <w:szCs w:val="17"/>
        </w:rPr>
        <w:t xml:space="preserve"> Ibid.</w:t>
      </w:r>
    </w:p>
  </w:endnote>
  <w:endnote w:id="16">
    <w:p w14:paraId="52BB1A34" w14:textId="6DE141DD" w:rsidR="00617FC5" w:rsidRPr="008A46AE" w:rsidRDefault="00617FC5" w:rsidP="00E10B29">
      <w:pPr>
        <w:pStyle w:val="EndnoteText"/>
        <w:jc w:val="both"/>
        <w:rPr>
          <w:rFonts w:ascii="Arial" w:hAnsi="Arial" w:cs="Arial"/>
          <w:spacing w:val="-4"/>
          <w:sz w:val="17"/>
          <w:szCs w:val="17"/>
        </w:rPr>
      </w:pPr>
      <w:r w:rsidRPr="008A46AE">
        <w:rPr>
          <w:rStyle w:val="EndnoteReference"/>
          <w:rFonts w:ascii="Arial" w:hAnsi="Arial" w:cs="Arial"/>
          <w:spacing w:val="-4"/>
          <w:sz w:val="17"/>
          <w:szCs w:val="17"/>
        </w:rPr>
        <w:endnoteRef/>
      </w:r>
      <w:r w:rsidRPr="008A46AE">
        <w:rPr>
          <w:rFonts w:ascii="Arial" w:hAnsi="Arial" w:cs="Arial"/>
          <w:spacing w:val="-4"/>
          <w:sz w:val="17"/>
          <w:szCs w:val="17"/>
        </w:rPr>
        <w:t xml:space="preserve"> Ibid.</w:t>
      </w:r>
    </w:p>
  </w:endnote>
  <w:endnote w:id="17">
    <w:p w14:paraId="6EE92557" w14:textId="7504B7C1" w:rsidR="00617FC5" w:rsidRPr="008A46AE" w:rsidRDefault="00617FC5" w:rsidP="00E10B29">
      <w:pPr>
        <w:pStyle w:val="EndnoteText"/>
        <w:jc w:val="both"/>
        <w:rPr>
          <w:rFonts w:ascii="Arial" w:hAnsi="Arial" w:cs="Arial"/>
          <w:spacing w:val="-4"/>
          <w:sz w:val="17"/>
          <w:szCs w:val="17"/>
        </w:rPr>
      </w:pPr>
      <w:r w:rsidRPr="008A46AE">
        <w:rPr>
          <w:rStyle w:val="EndnoteReference"/>
          <w:rFonts w:ascii="Arial" w:hAnsi="Arial" w:cs="Arial"/>
          <w:spacing w:val="-4"/>
          <w:sz w:val="17"/>
          <w:szCs w:val="17"/>
        </w:rPr>
        <w:endnoteRef/>
      </w:r>
      <w:r w:rsidRPr="008A46AE">
        <w:rPr>
          <w:rFonts w:ascii="Arial" w:hAnsi="Arial" w:cs="Arial"/>
          <w:spacing w:val="-4"/>
          <w:sz w:val="17"/>
          <w:szCs w:val="17"/>
        </w:rPr>
        <w:t xml:space="preserve"> Ibid.</w:t>
      </w:r>
    </w:p>
  </w:endnote>
  <w:endnote w:id="18">
    <w:p w14:paraId="1406B98D" w14:textId="62C3EBC4" w:rsidR="00617FC5" w:rsidRPr="008A46AE" w:rsidRDefault="00617FC5" w:rsidP="00E10B29">
      <w:pPr>
        <w:pStyle w:val="EndnoteText"/>
        <w:jc w:val="both"/>
        <w:rPr>
          <w:rFonts w:ascii="Arial" w:hAnsi="Arial" w:cs="Arial"/>
          <w:spacing w:val="-4"/>
          <w:sz w:val="17"/>
          <w:szCs w:val="17"/>
        </w:rPr>
      </w:pPr>
      <w:r w:rsidRPr="008A46AE">
        <w:rPr>
          <w:rStyle w:val="EndnoteReference"/>
          <w:rFonts w:ascii="Arial" w:hAnsi="Arial" w:cs="Arial"/>
          <w:spacing w:val="-4"/>
          <w:sz w:val="17"/>
          <w:szCs w:val="17"/>
        </w:rPr>
        <w:endnoteRef/>
      </w:r>
      <w:r w:rsidRPr="008A46AE">
        <w:rPr>
          <w:rFonts w:ascii="Arial" w:hAnsi="Arial" w:cs="Arial"/>
          <w:spacing w:val="-4"/>
          <w:sz w:val="17"/>
          <w:szCs w:val="17"/>
        </w:rPr>
        <w:t xml:space="preserve"> MarketLine, </w:t>
      </w:r>
      <w:r w:rsidRPr="008A46AE">
        <w:rPr>
          <w:rFonts w:ascii="Arial" w:hAnsi="Arial" w:cs="Arial"/>
          <w:i/>
          <w:spacing w:val="-4"/>
          <w:sz w:val="17"/>
          <w:szCs w:val="17"/>
        </w:rPr>
        <w:t>Las Vegas Sands Corp.</w:t>
      </w:r>
      <w:r w:rsidRPr="008A46AE">
        <w:rPr>
          <w:rFonts w:ascii="Arial" w:hAnsi="Arial" w:cs="Arial"/>
          <w:spacing w:val="-4"/>
          <w:sz w:val="17"/>
          <w:szCs w:val="17"/>
        </w:rPr>
        <w:t>–</w:t>
      </w:r>
      <w:r w:rsidRPr="008A46AE">
        <w:rPr>
          <w:rFonts w:ascii="Arial" w:hAnsi="Arial" w:cs="Arial"/>
          <w:i/>
          <w:spacing w:val="-4"/>
          <w:sz w:val="17"/>
          <w:szCs w:val="17"/>
        </w:rPr>
        <w:t>Marketline: Strategy, SWOT and Corporate Financial Report</w:t>
      </w:r>
      <w:r w:rsidRPr="008A46AE">
        <w:rPr>
          <w:rFonts w:ascii="Arial" w:hAnsi="Arial" w:cs="Arial"/>
          <w:spacing w:val="-4"/>
          <w:sz w:val="17"/>
          <w:szCs w:val="17"/>
        </w:rPr>
        <w:t>, May 2016, accessed June 22, 2017, https://store.marketline.com/report/1069699--las-vegas-sands-corp-strategy-swot-and-corporate-finance-report/.</w:t>
      </w:r>
    </w:p>
  </w:endnote>
  <w:endnote w:id="19">
    <w:p w14:paraId="5F0A53D0" w14:textId="0DF39466" w:rsidR="00617FC5" w:rsidRPr="008A46AE" w:rsidRDefault="00617FC5" w:rsidP="00E10B29">
      <w:pPr>
        <w:pStyle w:val="EndnoteText"/>
        <w:jc w:val="both"/>
        <w:rPr>
          <w:rFonts w:ascii="Arial" w:hAnsi="Arial" w:cs="Arial"/>
          <w:spacing w:val="-4"/>
          <w:sz w:val="17"/>
          <w:szCs w:val="17"/>
        </w:rPr>
      </w:pPr>
      <w:r w:rsidRPr="008A46AE">
        <w:rPr>
          <w:rStyle w:val="EndnoteReference"/>
          <w:rFonts w:ascii="Arial" w:hAnsi="Arial" w:cs="Arial"/>
          <w:spacing w:val="-4"/>
          <w:sz w:val="17"/>
          <w:szCs w:val="17"/>
        </w:rPr>
        <w:endnoteRef/>
      </w:r>
      <w:r w:rsidRPr="008A46AE">
        <w:rPr>
          <w:rFonts w:ascii="Arial" w:hAnsi="Arial" w:cs="Arial"/>
          <w:spacing w:val="-4"/>
          <w:sz w:val="17"/>
          <w:szCs w:val="17"/>
        </w:rPr>
        <w:t xml:space="preserve"> MarketLine, </w:t>
      </w:r>
      <w:r w:rsidRPr="008A46AE">
        <w:rPr>
          <w:rFonts w:ascii="Arial" w:hAnsi="Arial" w:cs="Arial"/>
          <w:i/>
          <w:spacing w:val="-4"/>
          <w:sz w:val="17"/>
          <w:szCs w:val="17"/>
        </w:rPr>
        <w:t>MGM Resorts International–MarketLine: Strategy, SWOT and Corporate Financial Report</w:t>
      </w:r>
      <w:r w:rsidRPr="008A46AE">
        <w:rPr>
          <w:rFonts w:ascii="Arial" w:hAnsi="Arial" w:cs="Arial"/>
          <w:spacing w:val="-4"/>
          <w:sz w:val="17"/>
          <w:szCs w:val="17"/>
        </w:rPr>
        <w:t>, May 2016, accessed June 22, 2017, https://store.marketline.com/search/?query=MGM+Resorts+International.</w:t>
      </w:r>
    </w:p>
  </w:endnote>
  <w:endnote w:id="20">
    <w:p w14:paraId="32DA87CF" w14:textId="3B7DD8C4" w:rsidR="00617FC5" w:rsidRPr="008A46AE" w:rsidRDefault="00617FC5" w:rsidP="00E10B29">
      <w:pPr>
        <w:pStyle w:val="EndnoteText"/>
        <w:jc w:val="both"/>
        <w:rPr>
          <w:rFonts w:ascii="Arial" w:hAnsi="Arial" w:cs="Arial"/>
          <w:spacing w:val="-4"/>
          <w:sz w:val="17"/>
          <w:szCs w:val="17"/>
        </w:rPr>
      </w:pPr>
      <w:r w:rsidRPr="008A46AE">
        <w:rPr>
          <w:rStyle w:val="EndnoteReference"/>
          <w:rFonts w:ascii="Arial" w:hAnsi="Arial" w:cs="Arial"/>
          <w:spacing w:val="-4"/>
          <w:sz w:val="17"/>
          <w:szCs w:val="17"/>
        </w:rPr>
        <w:endnoteRef/>
      </w:r>
      <w:r w:rsidRPr="008A46AE">
        <w:rPr>
          <w:rFonts w:ascii="Arial" w:hAnsi="Arial" w:cs="Arial"/>
          <w:spacing w:val="-4"/>
          <w:sz w:val="17"/>
          <w:szCs w:val="17"/>
        </w:rPr>
        <w:t xml:space="preserve"> MarketLine, </w:t>
      </w:r>
      <w:r w:rsidRPr="008A46AE">
        <w:rPr>
          <w:rFonts w:ascii="Arial" w:eastAsiaTheme="minorEastAsia" w:hAnsi="Arial" w:cs="Arial"/>
          <w:i/>
          <w:spacing w:val="-4"/>
          <w:sz w:val="17"/>
          <w:szCs w:val="17"/>
          <w:lang w:val="en-GB" w:eastAsia="ko-KR"/>
        </w:rPr>
        <w:t>Caesars Entertainment Corporation–MarketLine: Strategy, SWOT and Corporate Financial Report</w:t>
      </w:r>
      <w:r w:rsidRPr="008A46AE">
        <w:rPr>
          <w:rFonts w:ascii="Arial" w:eastAsiaTheme="minorEastAsia" w:hAnsi="Arial" w:cs="Arial"/>
          <w:spacing w:val="-4"/>
          <w:sz w:val="17"/>
          <w:szCs w:val="17"/>
          <w:lang w:val="en-GB" w:eastAsia="ko-KR"/>
        </w:rPr>
        <w:t>, December 2016, accessed June 22, 2017, https://store.marketline.com/search/?query=Caesars+Entertainment+Corporation.</w:t>
      </w:r>
    </w:p>
  </w:endnote>
  <w:endnote w:id="21">
    <w:p w14:paraId="0498DFB4" w14:textId="1BB5FEAC" w:rsidR="00617FC5" w:rsidRPr="008A46AE" w:rsidRDefault="00617FC5" w:rsidP="00E10B29">
      <w:pPr>
        <w:pStyle w:val="EndnoteText"/>
        <w:jc w:val="both"/>
        <w:rPr>
          <w:rFonts w:ascii="Arial" w:hAnsi="Arial" w:cs="Arial"/>
          <w:spacing w:val="-4"/>
          <w:sz w:val="17"/>
          <w:szCs w:val="17"/>
        </w:rPr>
      </w:pPr>
      <w:r w:rsidRPr="008A46AE">
        <w:rPr>
          <w:rStyle w:val="EndnoteReference"/>
          <w:rFonts w:ascii="Arial" w:hAnsi="Arial" w:cs="Arial"/>
          <w:spacing w:val="-4"/>
          <w:sz w:val="17"/>
          <w:szCs w:val="17"/>
        </w:rPr>
        <w:endnoteRef/>
      </w:r>
      <w:r w:rsidRPr="008A46AE">
        <w:rPr>
          <w:rFonts w:ascii="Arial" w:hAnsi="Arial" w:cs="Arial"/>
          <w:spacing w:val="-4"/>
          <w:sz w:val="17"/>
          <w:szCs w:val="17"/>
        </w:rPr>
        <w:t xml:space="preserve"> Caesars Entertainment, “Destinations,” Caesars Entertainment, 2017, accessed June 28, 2017, www.caesars.com/home2 </w:t>
      </w:r>
    </w:p>
  </w:endnote>
  <w:endnote w:id="22">
    <w:p w14:paraId="77CAA526" w14:textId="65F1AE58" w:rsidR="00617FC5" w:rsidRPr="008A46AE" w:rsidRDefault="00617FC5" w:rsidP="00E10B29">
      <w:pPr>
        <w:pStyle w:val="EndnoteText"/>
        <w:jc w:val="both"/>
        <w:rPr>
          <w:rFonts w:ascii="Arial" w:hAnsi="Arial" w:cs="Arial"/>
          <w:spacing w:val="-4"/>
          <w:sz w:val="17"/>
          <w:szCs w:val="17"/>
        </w:rPr>
      </w:pPr>
      <w:r w:rsidRPr="008A46AE">
        <w:rPr>
          <w:rStyle w:val="EndnoteReference"/>
          <w:rFonts w:ascii="Arial" w:hAnsi="Arial" w:cs="Arial"/>
          <w:spacing w:val="-4"/>
          <w:sz w:val="17"/>
          <w:szCs w:val="17"/>
        </w:rPr>
        <w:endnoteRef/>
      </w:r>
      <w:r w:rsidRPr="008A46AE">
        <w:rPr>
          <w:rFonts w:ascii="Arial" w:hAnsi="Arial" w:cs="Arial"/>
          <w:spacing w:val="-4"/>
          <w:sz w:val="17"/>
          <w:szCs w:val="17"/>
        </w:rPr>
        <w:t xml:space="preserve"> Tracy Rucinski, “Caesars Wraps Up $18 Billion Bankruptcy Case, Eyes Future,” </w:t>
      </w:r>
      <w:r w:rsidRPr="008A46AE">
        <w:rPr>
          <w:rFonts w:ascii="Arial" w:hAnsi="Arial" w:cs="Arial"/>
          <w:i/>
          <w:spacing w:val="-4"/>
          <w:sz w:val="17"/>
          <w:szCs w:val="17"/>
        </w:rPr>
        <w:t xml:space="preserve">Reuters, </w:t>
      </w:r>
      <w:r w:rsidRPr="008A46AE">
        <w:rPr>
          <w:rFonts w:ascii="Arial" w:hAnsi="Arial" w:cs="Arial"/>
          <w:spacing w:val="-4"/>
          <w:sz w:val="17"/>
          <w:szCs w:val="17"/>
        </w:rPr>
        <w:t xml:space="preserve">January 17, 2017, accessed June 25, 2017, www.reuters.com/article/us-caesars-bankruptcy-idUSKBN1512WS. </w:t>
      </w:r>
    </w:p>
  </w:endnote>
  <w:endnote w:id="23">
    <w:p w14:paraId="342E9BD1" w14:textId="32AB4952" w:rsidR="00617FC5" w:rsidRPr="008A46AE" w:rsidRDefault="00617FC5" w:rsidP="00E10B29">
      <w:pPr>
        <w:pStyle w:val="EndnoteText"/>
        <w:jc w:val="both"/>
        <w:rPr>
          <w:rFonts w:ascii="Arial" w:hAnsi="Arial" w:cs="Arial"/>
          <w:spacing w:val="-4"/>
          <w:sz w:val="17"/>
          <w:szCs w:val="17"/>
        </w:rPr>
      </w:pPr>
      <w:r w:rsidRPr="008A46AE">
        <w:rPr>
          <w:rStyle w:val="EndnoteReference"/>
          <w:rFonts w:ascii="Arial" w:hAnsi="Arial" w:cs="Arial"/>
          <w:spacing w:val="-4"/>
          <w:sz w:val="17"/>
          <w:szCs w:val="17"/>
        </w:rPr>
        <w:endnoteRef/>
      </w:r>
      <w:r w:rsidRPr="008A46AE">
        <w:rPr>
          <w:rFonts w:ascii="Arial" w:hAnsi="Arial" w:cs="Arial"/>
          <w:spacing w:val="-4"/>
          <w:sz w:val="17"/>
          <w:szCs w:val="17"/>
        </w:rPr>
        <w:t xml:space="preserve"> Ibid. </w:t>
      </w:r>
    </w:p>
  </w:endnote>
  <w:endnote w:id="24">
    <w:p w14:paraId="7B1C61E3" w14:textId="006FB36D" w:rsidR="00617FC5" w:rsidRPr="008A46AE" w:rsidRDefault="00617FC5" w:rsidP="00E10B29">
      <w:pPr>
        <w:pStyle w:val="EndnoteText"/>
        <w:jc w:val="both"/>
        <w:rPr>
          <w:rFonts w:ascii="Arial" w:hAnsi="Arial" w:cs="Arial"/>
          <w:spacing w:val="-4"/>
          <w:sz w:val="17"/>
          <w:szCs w:val="17"/>
        </w:rPr>
      </w:pPr>
      <w:r w:rsidRPr="008A46AE">
        <w:rPr>
          <w:rStyle w:val="EndnoteReference"/>
          <w:rFonts w:ascii="Arial" w:hAnsi="Arial" w:cs="Arial"/>
          <w:spacing w:val="-4"/>
          <w:sz w:val="17"/>
          <w:szCs w:val="17"/>
        </w:rPr>
        <w:endnoteRef/>
      </w:r>
      <w:r w:rsidRPr="008A46AE">
        <w:rPr>
          <w:rFonts w:ascii="Arial" w:hAnsi="Arial" w:cs="Arial"/>
          <w:spacing w:val="-4"/>
          <w:sz w:val="17"/>
          <w:szCs w:val="17"/>
        </w:rPr>
        <w:t xml:space="preserve"> Michael J. de la Merced, “Caesars Entertainment to Emerge from Chapter 11 Bankruptcy,” </w:t>
      </w:r>
      <w:r w:rsidRPr="008A46AE">
        <w:rPr>
          <w:rFonts w:ascii="Arial" w:hAnsi="Arial" w:cs="Arial"/>
          <w:i/>
          <w:spacing w:val="-4"/>
          <w:sz w:val="17"/>
          <w:szCs w:val="17"/>
        </w:rPr>
        <w:t xml:space="preserve">New York Times, </w:t>
      </w:r>
      <w:r w:rsidRPr="008A46AE">
        <w:rPr>
          <w:rFonts w:ascii="Arial" w:hAnsi="Arial" w:cs="Arial"/>
          <w:spacing w:val="-4"/>
          <w:sz w:val="17"/>
          <w:szCs w:val="17"/>
        </w:rPr>
        <w:t xml:space="preserve">September </w:t>
      </w:r>
      <w:r>
        <w:rPr>
          <w:rFonts w:ascii="Arial" w:hAnsi="Arial" w:cs="Arial"/>
          <w:spacing w:val="-4"/>
          <w:sz w:val="17"/>
          <w:szCs w:val="17"/>
        </w:rPr>
        <w:t>27, 2016</w:t>
      </w:r>
      <w:r w:rsidRPr="008A46AE">
        <w:rPr>
          <w:rFonts w:ascii="Arial" w:hAnsi="Arial" w:cs="Arial"/>
          <w:spacing w:val="-4"/>
          <w:sz w:val="17"/>
          <w:szCs w:val="17"/>
        </w:rPr>
        <w:t xml:space="preserve">, </w:t>
      </w:r>
      <w:bookmarkStart w:id="2" w:name="_Hlk493201484"/>
      <w:r w:rsidRPr="008A46AE">
        <w:rPr>
          <w:rFonts w:ascii="Arial" w:hAnsi="Arial" w:cs="Arial"/>
          <w:spacing w:val="-4"/>
          <w:sz w:val="17"/>
          <w:szCs w:val="17"/>
        </w:rPr>
        <w:t xml:space="preserve">www.nytimes.com/2016/09/28/business/dealbook/caesars-entertainment-to-emerge-from-chapter-11-bankruptcy.html. </w:t>
      </w:r>
      <w:bookmarkEnd w:id="2"/>
    </w:p>
  </w:endnote>
  <w:endnote w:id="25">
    <w:p w14:paraId="4D0BBDBE" w14:textId="77777777" w:rsidR="00617FC5" w:rsidRPr="008A46AE" w:rsidRDefault="00617FC5" w:rsidP="008A46AE">
      <w:pPr>
        <w:pStyle w:val="EndnoteText"/>
        <w:jc w:val="both"/>
        <w:rPr>
          <w:rFonts w:ascii="Arial" w:hAnsi="Arial" w:cs="Arial"/>
          <w:spacing w:val="-4"/>
          <w:sz w:val="17"/>
          <w:szCs w:val="17"/>
        </w:rPr>
      </w:pPr>
      <w:r w:rsidRPr="008A46AE">
        <w:rPr>
          <w:rStyle w:val="EndnoteReference"/>
          <w:rFonts w:ascii="Arial" w:hAnsi="Arial" w:cs="Arial"/>
          <w:spacing w:val="-4"/>
          <w:sz w:val="17"/>
          <w:szCs w:val="17"/>
        </w:rPr>
        <w:endnoteRef/>
      </w:r>
      <w:r w:rsidRPr="008A46AE">
        <w:rPr>
          <w:rFonts w:ascii="Arial" w:hAnsi="Arial" w:cs="Arial"/>
          <w:spacing w:val="-4"/>
          <w:sz w:val="17"/>
          <w:szCs w:val="17"/>
        </w:rPr>
        <w:t xml:space="preserve"> MarketLine, </w:t>
      </w:r>
      <w:r w:rsidRPr="008A46AE">
        <w:rPr>
          <w:rFonts w:ascii="Arial" w:eastAsiaTheme="minorEastAsia" w:hAnsi="Arial" w:cs="Arial"/>
          <w:i/>
          <w:spacing w:val="-4"/>
          <w:sz w:val="17"/>
          <w:szCs w:val="17"/>
          <w:lang w:val="en-GB" w:eastAsia="ko-KR"/>
        </w:rPr>
        <w:t>Wynn Resorts, Limited–MarketLine: Strategy, SWOT and Corporate Financial Report</w:t>
      </w:r>
      <w:r w:rsidRPr="008A46AE">
        <w:rPr>
          <w:rFonts w:ascii="Arial" w:eastAsiaTheme="minorEastAsia" w:hAnsi="Arial" w:cs="Arial"/>
          <w:spacing w:val="-4"/>
          <w:sz w:val="17"/>
          <w:szCs w:val="17"/>
          <w:lang w:val="en-GB" w:eastAsia="ko-KR"/>
        </w:rPr>
        <w:t>, May 2016, accessed June 22, 2017, https://store.marketline.com/report/1363343--wynn-resorts-limited-strategy-swot-and-corporate-finance-report/.</w:t>
      </w:r>
    </w:p>
  </w:endnote>
  <w:endnote w:id="26">
    <w:p w14:paraId="766EEA23" w14:textId="29E81E0D" w:rsidR="00617FC5" w:rsidRPr="008A46AE" w:rsidRDefault="00617FC5" w:rsidP="00E10B29">
      <w:pPr>
        <w:pStyle w:val="EndnoteText"/>
        <w:jc w:val="both"/>
        <w:rPr>
          <w:rFonts w:ascii="Arial" w:hAnsi="Arial" w:cs="Arial"/>
          <w:spacing w:val="-4"/>
          <w:sz w:val="17"/>
          <w:szCs w:val="17"/>
        </w:rPr>
      </w:pPr>
      <w:r w:rsidRPr="008A46AE">
        <w:rPr>
          <w:rStyle w:val="EndnoteReference"/>
          <w:rFonts w:ascii="Arial" w:hAnsi="Arial" w:cs="Arial"/>
          <w:spacing w:val="-4"/>
          <w:sz w:val="17"/>
          <w:szCs w:val="17"/>
        </w:rPr>
        <w:endnoteRef/>
      </w:r>
      <w:r w:rsidRPr="008A46AE">
        <w:rPr>
          <w:rFonts w:ascii="Arial" w:hAnsi="Arial" w:cs="Arial"/>
          <w:spacing w:val="-4"/>
          <w:sz w:val="17"/>
          <w:szCs w:val="17"/>
        </w:rPr>
        <w:t xml:space="preserve"> Westgate Las Vegas Resort &amp; Casino, “Casino,” 2017, accessed June 27, 2017, www.westgateresorts.com/hotels/nevada/las-vegas/westgate-las-vegas-resort-casino/casino/. </w:t>
      </w:r>
    </w:p>
  </w:endnote>
  <w:endnote w:id="27">
    <w:p w14:paraId="12946A38" w14:textId="7CFFDB42" w:rsidR="00617FC5" w:rsidRPr="008A46AE" w:rsidRDefault="00617FC5" w:rsidP="00E10B29">
      <w:pPr>
        <w:pStyle w:val="EndnoteText"/>
        <w:jc w:val="both"/>
        <w:rPr>
          <w:rFonts w:ascii="Arial" w:hAnsi="Arial" w:cs="Arial"/>
          <w:spacing w:val="-4"/>
          <w:sz w:val="17"/>
          <w:szCs w:val="17"/>
        </w:rPr>
      </w:pPr>
      <w:r w:rsidRPr="008A46AE">
        <w:rPr>
          <w:rStyle w:val="EndnoteReference"/>
          <w:rFonts w:ascii="Arial" w:hAnsi="Arial" w:cs="Arial"/>
          <w:spacing w:val="-4"/>
          <w:sz w:val="17"/>
          <w:szCs w:val="17"/>
        </w:rPr>
        <w:endnoteRef/>
      </w:r>
      <w:r w:rsidRPr="008A46AE">
        <w:rPr>
          <w:rFonts w:ascii="Arial" w:hAnsi="Arial" w:cs="Arial"/>
          <w:spacing w:val="-4"/>
          <w:sz w:val="17"/>
          <w:szCs w:val="17"/>
        </w:rPr>
        <w:t xml:space="preserve"> Karen Dion, “Resort Fees Explained: How to Spot (and Avoid) Them on Your Next Trip,” </w:t>
      </w:r>
      <w:r w:rsidRPr="008A46AE">
        <w:rPr>
          <w:rFonts w:ascii="Arial" w:hAnsi="Arial" w:cs="Arial"/>
          <w:i/>
          <w:spacing w:val="-4"/>
          <w:sz w:val="17"/>
          <w:szCs w:val="17"/>
        </w:rPr>
        <w:t xml:space="preserve">The Huffington Post, </w:t>
      </w:r>
      <w:r w:rsidRPr="008A46AE">
        <w:rPr>
          <w:rFonts w:ascii="Arial" w:hAnsi="Arial" w:cs="Arial"/>
          <w:spacing w:val="-4"/>
          <w:sz w:val="17"/>
          <w:szCs w:val="17"/>
        </w:rPr>
        <w:t>December 17, 2013, accessed July 4, 2017, www.huffingtonpost.com/shermans-travel/resort-fees_b_4098716.html.</w:t>
      </w:r>
    </w:p>
  </w:endnote>
  <w:endnote w:id="28">
    <w:p w14:paraId="62BBB11F" w14:textId="7E8B6457" w:rsidR="00617FC5" w:rsidRPr="008A46AE" w:rsidRDefault="00617FC5" w:rsidP="00E10B29">
      <w:pPr>
        <w:pStyle w:val="EndnoteText"/>
        <w:jc w:val="both"/>
        <w:rPr>
          <w:rFonts w:ascii="Arial" w:hAnsi="Arial" w:cs="Arial"/>
          <w:spacing w:val="-4"/>
          <w:sz w:val="17"/>
          <w:szCs w:val="17"/>
        </w:rPr>
      </w:pPr>
      <w:r w:rsidRPr="008A46AE">
        <w:rPr>
          <w:rStyle w:val="EndnoteReference"/>
          <w:rFonts w:ascii="Arial" w:hAnsi="Arial" w:cs="Arial"/>
          <w:spacing w:val="-4"/>
          <w:sz w:val="17"/>
          <w:szCs w:val="17"/>
        </w:rPr>
        <w:endnoteRef/>
      </w:r>
      <w:r w:rsidRPr="008A46AE">
        <w:rPr>
          <w:rFonts w:ascii="Arial" w:hAnsi="Arial" w:cs="Arial"/>
          <w:spacing w:val="-4"/>
          <w:sz w:val="17"/>
          <w:szCs w:val="17"/>
        </w:rPr>
        <w:t xml:space="preserve"> A.W., “Hidden Fees Charged by Hotels and Airlines Are Bad for Customers and the Economy,” </w:t>
      </w:r>
      <w:r w:rsidRPr="008A46AE">
        <w:rPr>
          <w:rFonts w:ascii="Arial" w:hAnsi="Arial" w:cs="Arial"/>
          <w:i/>
          <w:spacing w:val="-4"/>
          <w:sz w:val="17"/>
          <w:szCs w:val="17"/>
        </w:rPr>
        <w:t xml:space="preserve">The Economist, </w:t>
      </w:r>
      <w:r w:rsidRPr="008A46AE">
        <w:rPr>
          <w:rFonts w:ascii="Arial" w:hAnsi="Arial" w:cs="Arial"/>
          <w:spacing w:val="-4"/>
          <w:sz w:val="17"/>
          <w:szCs w:val="17"/>
        </w:rPr>
        <w:t>January 19, 2017, accessed June 24, 2017, www.economist.com/blogs/gulliver/2017/01/charge-sleight-brigade</w:t>
      </w:r>
      <w:r w:rsidRPr="008A46AE">
        <w:rPr>
          <w:rStyle w:val="Hyperlink"/>
          <w:rFonts w:ascii="Arial" w:hAnsi="Arial" w:cs="Arial"/>
          <w:spacing w:val="-4"/>
          <w:sz w:val="17"/>
          <w:szCs w:val="17"/>
          <w:u w:val="none"/>
        </w:rPr>
        <w:t>.</w:t>
      </w:r>
    </w:p>
  </w:endnote>
  <w:endnote w:id="29">
    <w:p w14:paraId="5586D6BD" w14:textId="5465D81A" w:rsidR="00617FC5" w:rsidRPr="008A46AE" w:rsidRDefault="00617FC5" w:rsidP="00E10B29">
      <w:pPr>
        <w:pStyle w:val="EndnoteText"/>
        <w:jc w:val="both"/>
        <w:rPr>
          <w:rFonts w:ascii="Arial" w:hAnsi="Arial" w:cs="Arial"/>
          <w:spacing w:val="-4"/>
          <w:sz w:val="17"/>
          <w:szCs w:val="17"/>
        </w:rPr>
      </w:pPr>
      <w:r w:rsidRPr="008A46AE">
        <w:rPr>
          <w:rStyle w:val="EndnoteReference"/>
          <w:rFonts w:ascii="Arial" w:hAnsi="Arial" w:cs="Arial"/>
          <w:spacing w:val="-4"/>
          <w:sz w:val="17"/>
          <w:szCs w:val="17"/>
        </w:rPr>
        <w:endnoteRef/>
      </w:r>
      <w:r w:rsidRPr="008A46AE">
        <w:rPr>
          <w:rFonts w:ascii="Arial" w:hAnsi="Arial" w:cs="Arial"/>
          <w:spacing w:val="-4"/>
          <w:sz w:val="17"/>
          <w:szCs w:val="17"/>
        </w:rPr>
        <w:t xml:space="preserve"> Karen Dion, op. cit.</w:t>
      </w:r>
    </w:p>
  </w:endnote>
  <w:endnote w:id="30">
    <w:p w14:paraId="2270B17D" w14:textId="442E09AA" w:rsidR="00617FC5" w:rsidRPr="008A46AE" w:rsidRDefault="00617FC5" w:rsidP="00E10B29">
      <w:pPr>
        <w:pStyle w:val="EndnoteText"/>
        <w:jc w:val="both"/>
        <w:rPr>
          <w:rFonts w:ascii="Arial" w:hAnsi="Arial" w:cs="Arial"/>
          <w:spacing w:val="-4"/>
          <w:sz w:val="17"/>
          <w:szCs w:val="17"/>
        </w:rPr>
      </w:pPr>
      <w:r w:rsidRPr="008A46AE">
        <w:rPr>
          <w:rStyle w:val="EndnoteReference"/>
          <w:rFonts w:ascii="Arial" w:hAnsi="Arial" w:cs="Arial"/>
          <w:spacing w:val="-4"/>
          <w:sz w:val="17"/>
          <w:szCs w:val="17"/>
        </w:rPr>
        <w:endnoteRef/>
      </w:r>
      <w:r w:rsidRPr="008A46AE">
        <w:rPr>
          <w:rFonts w:ascii="Arial" w:hAnsi="Arial" w:cs="Arial"/>
          <w:spacing w:val="-4"/>
          <w:sz w:val="17"/>
          <w:szCs w:val="17"/>
        </w:rPr>
        <w:t xml:space="preserve"> Jay Jones, “Some Las Vegas Hotels Have Increased Their Resort Fees. Here’s What It Will Cost You Now,” </w:t>
      </w:r>
      <w:r w:rsidRPr="008A46AE">
        <w:rPr>
          <w:rFonts w:ascii="Arial" w:hAnsi="Arial" w:cs="Arial"/>
          <w:i/>
          <w:spacing w:val="-4"/>
          <w:sz w:val="17"/>
          <w:szCs w:val="17"/>
        </w:rPr>
        <w:t xml:space="preserve">Los Angeles Times, </w:t>
      </w:r>
      <w:r w:rsidRPr="008A46AE">
        <w:rPr>
          <w:rFonts w:ascii="Arial" w:hAnsi="Arial" w:cs="Arial"/>
          <w:spacing w:val="-4"/>
          <w:sz w:val="17"/>
          <w:szCs w:val="17"/>
        </w:rPr>
        <w:t>December</w:t>
      </w:r>
      <w:r>
        <w:rPr>
          <w:rFonts w:ascii="Arial" w:hAnsi="Arial" w:cs="Arial"/>
          <w:spacing w:val="-4"/>
          <w:sz w:val="17"/>
          <w:szCs w:val="17"/>
        </w:rPr>
        <w:t xml:space="preserve"> 7, 2016, accessed June 2017</w:t>
      </w:r>
      <w:r w:rsidRPr="008A46AE">
        <w:rPr>
          <w:rFonts w:ascii="Arial" w:hAnsi="Arial" w:cs="Arial"/>
          <w:spacing w:val="-4"/>
          <w:sz w:val="17"/>
          <w:szCs w:val="17"/>
        </w:rPr>
        <w:t>, www.latimes.com/travel/deals/la-tr-las-vegas-resort-fees-increase-20161206-story.html.</w:t>
      </w:r>
    </w:p>
  </w:endnote>
  <w:endnote w:id="31">
    <w:p w14:paraId="5855C793" w14:textId="163DD9AF" w:rsidR="00617FC5" w:rsidRPr="008A46AE" w:rsidRDefault="00617FC5" w:rsidP="00E10B29">
      <w:pPr>
        <w:pStyle w:val="EndnoteText"/>
        <w:jc w:val="both"/>
        <w:rPr>
          <w:rFonts w:ascii="Arial" w:hAnsi="Arial" w:cs="Arial"/>
          <w:spacing w:val="-4"/>
          <w:sz w:val="17"/>
          <w:szCs w:val="17"/>
        </w:rPr>
      </w:pPr>
      <w:r w:rsidRPr="008A46AE">
        <w:rPr>
          <w:rStyle w:val="EndnoteReference"/>
          <w:rFonts w:ascii="Arial" w:hAnsi="Arial" w:cs="Arial"/>
          <w:spacing w:val="-4"/>
          <w:sz w:val="17"/>
          <w:szCs w:val="17"/>
        </w:rPr>
        <w:endnoteRef/>
      </w:r>
      <w:r w:rsidRPr="008A46AE">
        <w:rPr>
          <w:rFonts w:ascii="Arial" w:hAnsi="Arial" w:cs="Arial"/>
          <w:spacing w:val="-4"/>
          <w:sz w:val="17"/>
          <w:szCs w:val="17"/>
        </w:rPr>
        <w:t xml:space="preserve"> Anthony Curtis, “Caesars, MGM Raise Resort Fees on the Las Vegas Strip,” </w:t>
      </w:r>
      <w:r w:rsidRPr="008A46AE">
        <w:rPr>
          <w:rFonts w:ascii="Arial" w:hAnsi="Arial" w:cs="Arial"/>
          <w:i/>
          <w:spacing w:val="-4"/>
          <w:sz w:val="17"/>
          <w:szCs w:val="17"/>
        </w:rPr>
        <w:t xml:space="preserve">USA Today, </w:t>
      </w:r>
      <w:r w:rsidRPr="008A46AE">
        <w:rPr>
          <w:rFonts w:ascii="Arial" w:hAnsi="Arial" w:cs="Arial"/>
          <w:spacing w:val="-4"/>
          <w:sz w:val="17"/>
          <w:szCs w:val="17"/>
        </w:rPr>
        <w:t xml:space="preserve">March 3, 2017, accessed June 29, 2017, www.usatoday.com/story/travel/nation-now/2017/03/03/caesars-mgm-up-resort-fees-las-vegas-strip/98701148/. </w:t>
      </w:r>
    </w:p>
  </w:endnote>
  <w:endnote w:id="32">
    <w:p w14:paraId="6DD630F6" w14:textId="71D15CF4" w:rsidR="00617FC5" w:rsidRPr="008A46AE" w:rsidRDefault="00617FC5" w:rsidP="00E10B29">
      <w:pPr>
        <w:pStyle w:val="EndnoteText"/>
        <w:jc w:val="both"/>
        <w:rPr>
          <w:rFonts w:ascii="Arial" w:hAnsi="Arial" w:cs="Arial"/>
          <w:spacing w:val="-4"/>
          <w:sz w:val="17"/>
          <w:szCs w:val="17"/>
        </w:rPr>
      </w:pPr>
      <w:r w:rsidRPr="008A46AE">
        <w:rPr>
          <w:rStyle w:val="EndnoteReference"/>
          <w:rFonts w:ascii="Arial" w:hAnsi="Arial" w:cs="Arial"/>
          <w:spacing w:val="-4"/>
          <w:sz w:val="17"/>
          <w:szCs w:val="17"/>
        </w:rPr>
        <w:endnoteRef/>
      </w:r>
      <w:r w:rsidRPr="008A46AE">
        <w:rPr>
          <w:rFonts w:ascii="Arial" w:hAnsi="Arial" w:cs="Arial"/>
          <w:spacing w:val="-4"/>
          <w:sz w:val="17"/>
          <w:szCs w:val="17"/>
        </w:rPr>
        <w:t xml:space="preserve"> A.W., op. cit.</w:t>
      </w:r>
    </w:p>
  </w:endnote>
  <w:endnote w:id="33">
    <w:p w14:paraId="4D21300C" w14:textId="705917AD" w:rsidR="00617FC5" w:rsidRPr="008A46AE" w:rsidRDefault="00617FC5" w:rsidP="00E10B29">
      <w:pPr>
        <w:pStyle w:val="EndnoteText"/>
        <w:jc w:val="both"/>
        <w:rPr>
          <w:rFonts w:ascii="Arial" w:hAnsi="Arial" w:cs="Arial"/>
          <w:spacing w:val="-4"/>
          <w:sz w:val="17"/>
          <w:szCs w:val="17"/>
        </w:rPr>
      </w:pPr>
      <w:r w:rsidRPr="008A46AE">
        <w:rPr>
          <w:rStyle w:val="EndnoteReference"/>
          <w:rFonts w:ascii="Arial" w:hAnsi="Arial" w:cs="Arial"/>
          <w:spacing w:val="-4"/>
          <w:sz w:val="17"/>
          <w:szCs w:val="17"/>
        </w:rPr>
        <w:endnoteRef/>
      </w:r>
      <w:r w:rsidRPr="008A46AE">
        <w:rPr>
          <w:rFonts w:ascii="Arial" w:hAnsi="Arial" w:cs="Arial"/>
          <w:spacing w:val="-4"/>
          <w:sz w:val="17"/>
          <w:szCs w:val="17"/>
        </w:rPr>
        <w:t xml:space="preserve"> Ibid.</w:t>
      </w:r>
    </w:p>
  </w:endnote>
  <w:endnote w:id="34">
    <w:p w14:paraId="0A8CA896" w14:textId="008AE7E4" w:rsidR="00617FC5" w:rsidRPr="008A46AE" w:rsidRDefault="00617FC5" w:rsidP="00E10B29">
      <w:pPr>
        <w:pStyle w:val="EndnoteText"/>
        <w:jc w:val="both"/>
        <w:rPr>
          <w:rFonts w:ascii="Arial" w:hAnsi="Arial" w:cs="Arial"/>
          <w:spacing w:val="-4"/>
          <w:sz w:val="17"/>
          <w:szCs w:val="17"/>
        </w:rPr>
      </w:pPr>
      <w:r w:rsidRPr="008A46AE">
        <w:rPr>
          <w:rStyle w:val="EndnoteReference"/>
          <w:rFonts w:ascii="Arial" w:hAnsi="Arial" w:cs="Arial"/>
          <w:spacing w:val="-4"/>
          <w:sz w:val="17"/>
          <w:szCs w:val="17"/>
        </w:rPr>
        <w:endnoteRef/>
      </w:r>
      <w:r w:rsidRPr="008A46AE">
        <w:rPr>
          <w:rFonts w:ascii="Arial" w:hAnsi="Arial" w:cs="Arial"/>
          <w:spacing w:val="-4"/>
          <w:sz w:val="17"/>
          <w:szCs w:val="17"/>
        </w:rPr>
        <w:t xml:space="preserve"> Thomas Moore, “As Free Parking Dwindles, Resorts Guarded about Following Suit,” </w:t>
      </w:r>
      <w:r w:rsidRPr="008A46AE">
        <w:rPr>
          <w:rFonts w:ascii="Arial" w:hAnsi="Arial" w:cs="Arial"/>
          <w:i/>
          <w:spacing w:val="-4"/>
          <w:sz w:val="17"/>
          <w:szCs w:val="17"/>
        </w:rPr>
        <w:t xml:space="preserve">Las Vegas Sun, </w:t>
      </w:r>
      <w:r w:rsidRPr="008A46AE">
        <w:rPr>
          <w:rFonts w:ascii="Arial" w:hAnsi="Arial" w:cs="Arial"/>
          <w:spacing w:val="-4"/>
          <w:sz w:val="17"/>
          <w:szCs w:val="17"/>
        </w:rPr>
        <w:t>December 1, 2016, accessed June 24, 2017, https://lasvegassun.com/news/2016/dec/01/paid-parking-reaction-to-caesars/.</w:t>
      </w:r>
    </w:p>
  </w:endnote>
  <w:endnote w:id="35">
    <w:p w14:paraId="512C2722" w14:textId="630962CB" w:rsidR="00617FC5" w:rsidRPr="008A46AE" w:rsidRDefault="00617FC5" w:rsidP="00E10B29">
      <w:pPr>
        <w:pStyle w:val="EndnoteText"/>
        <w:jc w:val="both"/>
        <w:rPr>
          <w:rFonts w:ascii="Arial" w:hAnsi="Arial" w:cs="Arial"/>
          <w:spacing w:val="-4"/>
          <w:sz w:val="17"/>
          <w:szCs w:val="17"/>
        </w:rPr>
      </w:pPr>
      <w:r w:rsidRPr="008A46AE">
        <w:rPr>
          <w:rStyle w:val="EndnoteReference"/>
          <w:rFonts w:ascii="Arial" w:hAnsi="Arial" w:cs="Arial"/>
          <w:spacing w:val="-4"/>
          <w:sz w:val="17"/>
          <w:szCs w:val="17"/>
        </w:rPr>
        <w:endnoteRef/>
      </w:r>
      <w:r w:rsidRPr="008A46AE">
        <w:rPr>
          <w:rFonts w:ascii="Arial" w:hAnsi="Arial" w:cs="Arial"/>
          <w:spacing w:val="-4"/>
          <w:sz w:val="17"/>
          <w:szCs w:val="17"/>
        </w:rPr>
        <w:t xml:space="preserve"> Ibid.</w:t>
      </w:r>
    </w:p>
  </w:endnote>
  <w:endnote w:id="36">
    <w:p w14:paraId="25E61660" w14:textId="1F570133" w:rsidR="00617FC5" w:rsidRPr="008A46AE" w:rsidRDefault="00617FC5" w:rsidP="00E10B29">
      <w:pPr>
        <w:pStyle w:val="EndnoteText"/>
        <w:jc w:val="both"/>
        <w:rPr>
          <w:rFonts w:ascii="Arial" w:hAnsi="Arial" w:cs="Arial"/>
          <w:spacing w:val="-4"/>
          <w:sz w:val="17"/>
          <w:szCs w:val="17"/>
        </w:rPr>
      </w:pPr>
      <w:r w:rsidRPr="008A46AE">
        <w:rPr>
          <w:rStyle w:val="EndnoteReference"/>
          <w:rFonts w:ascii="Arial" w:hAnsi="Arial" w:cs="Arial"/>
          <w:spacing w:val="-4"/>
          <w:sz w:val="17"/>
          <w:szCs w:val="17"/>
        </w:rPr>
        <w:endnoteRef/>
      </w:r>
      <w:r w:rsidRPr="008A46AE">
        <w:rPr>
          <w:rFonts w:ascii="Arial" w:hAnsi="Arial" w:cs="Arial"/>
          <w:spacing w:val="-4"/>
          <w:sz w:val="17"/>
          <w:szCs w:val="17"/>
        </w:rPr>
        <w:t xml:space="preserve"> Ibid.</w:t>
      </w:r>
    </w:p>
  </w:endnote>
  <w:endnote w:id="37">
    <w:p w14:paraId="7F98256E" w14:textId="1F6BCFB1" w:rsidR="00617FC5" w:rsidRPr="008A46AE" w:rsidRDefault="00617FC5" w:rsidP="00E10B29">
      <w:pPr>
        <w:pStyle w:val="EndnoteText"/>
        <w:jc w:val="both"/>
        <w:rPr>
          <w:rFonts w:ascii="Arial" w:eastAsiaTheme="minorEastAsia" w:hAnsi="Arial" w:cs="Arial"/>
          <w:spacing w:val="-4"/>
          <w:sz w:val="17"/>
          <w:szCs w:val="17"/>
          <w:lang w:eastAsia="ko-KR"/>
        </w:rPr>
      </w:pPr>
      <w:r w:rsidRPr="008A46AE">
        <w:rPr>
          <w:rStyle w:val="EndnoteReference"/>
          <w:rFonts w:ascii="Arial" w:hAnsi="Arial" w:cs="Arial"/>
          <w:spacing w:val="-4"/>
          <w:sz w:val="17"/>
          <w:szCs w:val="17"/>
        </w:rPr>
        <w:endnoteRef/>
      </w:r>
      <w:r w:rsidRPr="008A46AE">
        <w:rPr>
          <w:rFonts w:ascii="Arial" w:hAnsi="Arial" w:cs="Arial"/>
          <w:spacing w:val="-4"/>
          <w:sz w:val="17"/>
          <w:szCs w:val="17"/>
        </w:rPr>
        <w:t xml:space="preserve"> Richard N. Velotta, “Two Wynn Properties on Las Vegas Strip Begin Charging for Parking,” </w:t>
      </w:r>
      <w:r w:rsidRPr="008A46AE">
        <w:rPr>
          <w:rFonts w:ascii="Arial" w:hAnsi="Arial" w:cs="Arial"/>
          <w:i/>
          <w:spacing w:val="-4"/>
          <w:sz w:val="17"/>
          <w:szCs w:val="17"/>
        </w:rPr>
        <w:t>Las Vegas Review-Journal</w:t>
      </w:r>
      <w:r w:rsidRPr="008A46AE">
        <w:rPr>
          <w:rFonts w:ascii="Arial" w:hAnsi="Arial" w:cs="Arial"/>
          <w:spacing w:val="-4"/>
          <w:sz w:val="17"/>
          <w:szCs w:val="17"/>
        </w:rPr>
        <w:t>, August 7</w:t>
      </w:r>
      <w:r>
        <w:rPr>
          <w:rFonts w:ascii="Arial" w:hAnsi="Arial" w:cs="Arial"/>
          <w:spacing w:val="-4"/>
          <w:sz w:val="17"/>
          <w:szCs w:val="17"/>
        </w:rPr>
        <w:t>, 2017</w:t>
      </w:r>
      <w:r w:rsidRPr="008A46AE">
        <w:rPr>
          <w:rFonts w:ascii="Arial" w:hAnsi="Arial" w:cs="Arial"/>
          <w:spacing w:val="-4"/>
          <w:sz w:val="17"/>
          <w:szCs w:val="17"/>
        </w:rPr>
        <w:t xml:space="preserve">, www.reviewjournal.com/business/casinos-gaming/two-wynn-properties-on-las-vegas-strip-begin-charging-for-parking/. </w:t>
      </w:r>
    </w:p>
  </w:endnote>
  <w:endnote w:id="38">
    <w:p w14:paraId="1DF4F943" w14:textId="45237E6F" w:rsidR="00617FC5" w:rsidRPr="008A46AE" w:rsidRDefault="00617FC5" w:rsidP="00E10B29">
      <w:pPr>
        <w:pStyle w:val="EndnoteText"/>
        <w:jc w:val="both"/>
        <w:rPr>
          <w:rFonts w:ascii="Arial" w:eastAsiaTheme="minorEastAsia" w:hAnsi="Arial" w:cs="Arial"/>
          <w:spacing w:val="-4"/>
          <w:sz w:val="17"/>
          <w:szCs w:val="17"/>
          <w:lang w:eastAsia="ko-KR"/>
        </w:rPr>
      </w:pPr>
      <w:r w:rsidRPr="008A46AE">
        <w:rPr>
          <w:rStyle w:val="EndnoteReference"/>
          <w:rFonts w:ascii="Arial" w:hAnsi="Arial" w:cs="Arial"/>
          <w:spacing w:val="-4"/>
          <w:sz w:val="17"/>
          <w:szCs w:val="17"/>
        </w:rPr>
        <w:endnoteRef/>
      </w:r>
      <w:r w:rsidRPr="008A46AE">
        <w:rPr>
          <w:rFonts w:ascii="Arial" w:hAnsi="Arial" w:cs="Arial"/>
          <w:spacing w:val="-4"/>
          <w:sz w:val="17"/>
          <w:szCs w:val="17"/>
        </w:rPr>
        <w:t xml:space="preserve"> Ibid.</w:t>
      </w:r>
    </w:p>
  </w:endnote>
  <w:endnote w:id="39">
    <w:p w14:paraId="06F51E3F" w14:textId="64D7129C" w:rsidR="00617FC5" w:rsidRPr="008A46AE" w:rsidRDefault="00617FC5" w:rsidP="00E10B29">
      <w:pPr>
        <w:pStyle w:val="EndnoteText"/>
        <w:jc w:val="both"/>
        <w:rPr>
          <w:rFonts w:ascii="Arial" w:hAnsi="Arial" w:cs="Arial"/>
          <w:spacing w:val="-4"/>
          <w:sz w:val="17"/>
          <w:szCs w:val="17"/>
        </w:rPr>
      </w:pPr>
      <w:r w:rsidRPr="008A46AE">
        <w:rPr>
          <w:rStyle w:val="EndnoteReference"/>
          <w:rFonts w:ascii="Arial" w:hAnsi="Arial" w:cs="Arial"/>
          <w:spacing w:val="-4"/>
          <w:sz w:val="17"/>
          <w:szCs w:val="17"/>
        </w:rPr>
        <w:endnoteRef/>
      </w:r>
      <w:r w:rsidRPr="008A46AE">
        <w:rPr>
          <w:rFonts w:ascii="Arial" w:hAnsi="Arial" w:cs="Arial"/>
          <w:spacing w:val="-4"/>
          <w:sz w:val="17"/>
          <w:szCs w:val="17"/>
        </w:rPr>
        <w:t xml:space="preserve"> Jay Jones, “Say Goodbye to Free Parking at Aria, Bellagio, and 10 Other Las Vegas Hotels,” </w:t>
      </w:r>
      <w:r w:rsidRPr="008A46AE">
        <w:rPr>
          <w:rFonts w:ascii="Arial" w:hAnsi="Arial" w:cs="Arial"/>
          <w:i/>
          <w:spacing w:val="-4"/>
          <w:sz w:val="17"/>
          <w:szCs w:val="17"/>
        </w:rPr>
        <w:t xml:space="preserve">Los Angeles Times, </w:t>
      </w:r>
      <w:r w:rsidRPr="008A46AE">
        <w:rPr>
          <w:rFonts w:ascii="Arial" w:hAnsi="Arial" w:cs="Arial"/>
          <w:spacing w:val="-4"/>
          <w:sz w:val="17"/>
          <w:szCs w:val="17"/>
        </w:rPr>
        <w:t>January 19, 2016, accessed June 26, 2017, www.latimes.com/travel/lasvegas/la-trb-las-vegas-parking-fees-20160118-story.html.</w:t>
      </w:r>
    </w:p>
  </w:endnote>
  <w:endnote w:id="40">
    <w:p w14:paraId="7B0F63CD" w14:textId="6F24C6AF" w:rsidR="00617FC5" w:rsidRPr="008A46AE" w:rsidRDefault="00617FC5" w:rsidP="00E10B29">
      <w:pPr>
        <w:pStyle w:val="EndnoteText"/>
        <w:jc w:val="both"/>
        <w:rPr>
          <w:rFonts w:ascii="Arial" w:hAnsi="Arial" w:cs="Arial"/>
          <w:spacing w:val="-4"/>
          <w:sz w:val="17"/>
          <w:szCs w:val="17"/>
        </w:rPr>
      </w:pPr>
      <w:r w:rsidRPr="008A46AE">
        <w:rPr>
          <w:rStyle w:val="EndnoteReference"/>
          <w:rFonts w:ascii="Arial" w:hAnsi="Arial" w:cs="Arial"/>
          <w:spacing w:val="-4"/>
          <w:sz w:val="17"/>
          <w:szCs w:val="17"/>
        </w:rPr>
        <w:endnoteRef/>
      </w:r>
      <w:r w:rsidRPr="008A46AE">
        <w:rPr>
          <w:rFonts w:ascii="Arial" w:hAnsi="Arial" w:cs="Arial"/>
          <w:spacing w:val="-4"/>
          <w:sz w:val="17"/>
          <w:szCs w:val="17"/>
        </w:rPr>
        <w:t xml:space="preserve"> David Montero, “Las Vegas Residents Are Outraged That Free Parking Is Disappearing on the Strip,” </w:t>
      </w:r>
      <w:r w:rsidRPr="008A46AE">
        <w:rPr>
          <w:rFonts w:ascii="Arial" w:hAnsi="Arial" w:cs="Arial"/>
          <w:i/>
          <w:spacing w:val="-4"/>
          <w:sz w:val="17"/>
          <w:szCs w:val="17"/>
        </w:rPr>
        <w:t xml:space="preserve">Los Angeles Times, </w:t>
      </w:r>
      <w:r w:rsidRPr="008A46AE">
        <w:rPr>
          <w:rFonts w:ascii="Arial" w:hAnsi="Arial" w:cs="Arial"/>
          <w:spacing w:val="-4"/>
          <w:sz w:val="17"/>
          <w:szCs w:val="17"/>
        </w:rPr>
        <w:t xml:space="preserve">December 29, 2016, accessed June 29, 2017, www.latimes.com/nation/la-na-vegas-parking-20161229-story.html. </w:t>
      </w:r>
    </w:p>
  </w:endnote>
  <w:endnote w:id="41">
    <w:p w14:paraId="18749BF9" w14:textId="0323FCCC" w:rsidR="00617FC5" w:rsidRPr="008A46AE" w:rsidRDefault="00617FC5" w:rsidP="00E10B29">
      <w:pPr>
        <w:pStyle w:val="EndnoteText"/>
        <w:jc w:val="both"/>
        <w:rPr>
          <w:rFonts w:ascii="Arial" w:hAnsi="Arial" w:cs="Arial"/>
          <w:spacing w:val="-4"/>
          <w:sz w:val="17"/>
          <w:szCs w:val="17"/>
        </w:rPr>
      </w:pPr>
      <w:r w:rsidRPr="008A46AE">
        <w:rPr>
          <w:rStyle w:val="EndnoteReference"/>
          <w:rFonts w:ascii="Arial" w:hAnsi="Arial" w:cs="Arial"/>
          <w:spacing w:val="-4"/>
          <w:sz w:val="17"/>
          <w:szCs w:val="17"/>
        </w:rPr>
        <w:endnoteRef/>
      </w:r>
      <w:r w:rsidRPr="008A46AE">
        <w:rPr>
          <w:rFonts w:ascii="Arial" w:hAnsi="Arial" w:cs="Arial"/>
          <w:spacing w:val="-4"/>
          <w:sz w:val="17"/>
          <w:szCs w:val="17"/>
        </w:rPr>
        <w:t xml:space="preserve"> Ibid.</w:t>
      </w:r>
    </w:p>
  </w:endnote>
  <w:endnote w:id="42">
    <w:p w14:paraId="4C905388" w14:textId="2B698D9D" w:rsidR="00617FC5" w:rsidRPr="008A46AE" w:rsidRDefault="00617FC5" w:rsidP="00E10B29">
      <w:pPr>
        <w:pStyle w:val="EndnoteText"/>
        <w:jc w:val="both"/>
        <w:rPr>
          <w:rFonts w:ascii="Arial" w:hAnsi="Arial" w:cs="Arial"/>
          <w:spacing w:val="-4"/>
          <w:sz w:val="17"/>
          <w:szCs w:val="17"/>
        </w:rPr>
      </w:pPr>
      <w:r w:rsidRPr="008A46AE">
        <w:rPr>
          <w:rStyle w:val="EndnoteReference"/>
          <w:rFonts w:ascii="Arial" w:hAnsi="Arial" w:cs="Arial"/>
          <w:spacing w:val="-4"/>
          <w:sz w:val="17"/>
          <w:szCs w:val="17"/>
        </w:rPr>
        <w:endnoteRef/>
      </w:r>
      <w:r w:rsidRPr="008A46AE">
        <w:rPr>
          <w:rFonts w:ascii="Arial" w:hAnsi="Arial" w:cs="Arial"/>
          <w:spacing w:val="-4"/>
          <w:sz w:val="17"/>
          <w:szCs w:val="17"/>
        </w:rPr>
        <w:t xml:space="preserve"> A.W., op. cit.</w:t>
      </w:r>
    </w:p>
  </w:endnote>
  <w:endnote w:id="43">
    <w:p w14:paraId="09E19347" w14:textId="33F4EEDC" w:rsidR="00617FC5" w:rsidRPr="008A46AE" w:rsidRDefault="00617FC5" w:rsidP="00E10B29">
      <w:pPr>
        <w:pStyle w:val="EndnoteText"/>
        <w:jc w:val="both"/>
        <w:rPr>
          <w:rFonts w:ascii="Arial" w:hAnsi="Arial" w:cs="Arial"/>
          <w:color w:val="0000FF" w:themeColor="hyperlink"/>
          <w:spacing w:val="-4"/>
          <w:sz w:val="17"/>
          <w:szCs w:val="17"/>
          <w:u w:val="single"/>
        </w:rPr>
      </w:pPr>
      <w:r w:rsidRPr="008A46AE">
        <w:rPr>
          <w:rStyle w:val="EndnoteReference"/>
          <w:rFonts w:ascii="Arial" w:hAnsi="Arial" w:cs="Arial"/>
          <w:spacing w:val="-4"/>
          <w:sz w:val="17"/>
          <w:szCs w:val="17"/>
        </w:rPr>
        <w:endnoteRef/>
      </w:r>
      <w:r w:rsidRPr="008A46AE">
        <w:rPr>
          <w:rFonts w:ascii="Arial" w:hAnsi="Arial" w:cs="Arial"/>
          <w:spacing w:val="-4"/>
          <w:sz w:val="17"/>
          <w:szCs w:val="17"/>
        </w:rPr>
        <w:t xml:space="preserve"> David Montero, op. cit.</w:t>
      </w:r>
    </w:p>
  </w:endnote>
  <w:endnote w:id="44">
    <w:p w14:paraId="09697018" w14:textId="4C1D1E13" w:rsidR="00617FC5" w:rsidRPr="008A46AE" w:rsidRDefault="00617FC5" w:rsidP="00E10B29">
      <w:pPr>
        <w:pStyle w:val="EndnoteText"/>
        <w:jc w:val="both"/>
        <w:rPr>
          <w:rFonts w:ascii="Arial" w:hAnsi="Arial" w:cs="Arial"/>
          <w:spacing w:val="-4"/>
          <w:sz w:val="17"/>
          <w:szCs w:val="17"/>
        </w:rPr>
      </w:pPr>
      <w:r w:rsidRPr="008A46AE">
        <w:rPr>
          <w:rStyle w:val="EndnoteReference"/>
          <w:rFonts w:ascii="Arial" w:hAnsi="Arial" w:cs="Arial"/>
          <w:spacing w:val="-4"/>
          <w:sz w:val="17"/>
          <w:szCs w:val="17"/>
        </w:rPr>
        <w:endnoteRef/>
      </w:r>
      <w:r w:rsidRPr="008A46AE">
        <w:rPr>
          <w:rFonts w:ascii="Arial" w:hAnsi="Arial" w:cs="Arial"/>
          <w:spacing w:val="-4"/>
          <w:sz w:val="17"/>
          <w:szCs w:val="17"/>
        </w:rPr>
        <w:t xml:space="preserve"> Ibid.</w:t>
      </w:r>
    </w:p>
  </w:endnote>
  <w:endnote w:id="45">
    <w:p w14:paraId="2CFE03B0" w14:textId="2CFABB17" w:rsidR="00617FC5" w:rsidRPr="00A03855" w:rsidRDefault="00617FC5" w:rsidP="00E10B29">
      <w:pPr>
        <w:pStyle w:val="EndnoteText"/>
        <w:jc w:val="both"/>
        <w:rPr>
          <w:sz w:val="17"/>
          <w:szCs w:val="17"/>
        </w:rPr>
      </w:pPr>
      <w:r w:rsidRPr="008A46AE">
        <w:rPr>
          <w:rStyle w:val="EndnoteReference"/>
          <w:rFonts w:ascii="Arial" w:hAnsi="Arial" w:cs="Arial"/>
          <w:spacing w:val="-4"/>
          <w:sz w:val="17"/>
          <w:szCs w:val="17"/>
        </w:rPr>
        <w:endnoteRef/>
      </w:r>
      <w:r w:rsidRPr="008A46AE">
        <w:rPr>
          <w:rFonts w:ascii="Arial" w:hAnsi="Arial" w:cs="Arial"/>
          <w:spacing w:val="-4"/>
          <w:sz w:val="17"/>
          <w:szCs w:val="17"/>
        </w:rPr>
        <w:t xml:space="preserve"> Ibid.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8A9CF7" w14:textId="77777777" w:rsidR="00617FC5" w:rsidRDefault="00617FC5" w:rsidP="00D75295">
      <w:r>
        <w:separator/>
      </w:r>
    </w:p>
  </w:footnote>
  <w:footnote w:type="continuationSeparator" w:id="0">
    <w:p w14:paraId="48E8C25F" w14:textId="77777777" w:rsidR="00617FC5" w:rsidRDefault="00617FC5"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13BA98" w14:textId="54342A91" w:rsidR="00617FC5" w:rsidRDefault="00617FC5"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993A33">
      <w:rPr>
        <w:rFonts w:ascii="Arial" w:hAnsi="Arial"/>
        <w:b/>
        <w:noProof/>
      </w:rPr>
      <w:t>7</w:t>
    </w:r>
    <w:r>
      <w:rPr>
        <w:rFonts w:ascii="Arial" w:hAnsi="Arial"/>
        <w:b/>
      </w:rPr>
      <w:fldChar w:fldCharType="end"/>
    </w:r>
    <w:r>
      <w:rPr>
        <w:rFonts w:ascii="Arial" w:hAnsi="Arial"/>
        <w:b/>
      </w:rPr>
      <w:tab/>
    </w:r>
    <w:r w:rsidR="00CB24E9">
      <w:rPr>
        <w:rFonts w:ascii="Arial" w:hAnsi="Arial"/>
        <w:b/>
      </w:rPr>
      <w:t>9B17A067</w:t>
    </w:r>
  </w:p>
  <w:p w14:paraId="71EA3587" w14:textId="77777777" w:rsidR="00617FC5" w:rsidRPr="00C92CC4" w:rsidRDefault="00617FC5">
    <w:pPr>
      <w:pStyle w:val="Header"/>
      <w:rPr>
        <w:sz w:val="18"/>
        <w:szCs w:val="18"/>
      </w:rPr>
    </w:pPr>
  </w:p>
  <w:p w14:paraId="411473DB" w14:textId="77777777" w:rsidR="00617FC5" w:rsidRPr="00C92CC4" w:rsidRDefault="00617FC5">
    <w:pPr>
      <w:pStyle w:val="Header"/>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C94BF3" w14:textId="5C2ACEBA" w:rsidR="00617FC5" w:rsidRDefault="00617FC5" w:rsidP="00865D71">
    <w:pPr>
      <w:pBdr>
        <w:bottom w:val="single" w:sz="18" w:space="1" w:color="auto"/>
      </w:pBdr>
      <w:tabs>
        <w:tab w:val="right" w:pos="129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993A33">
      <w:rPr>
        <w:rFonts w:ascii="Arial" w:hAnsi="Arial"/>
        <w:b/>
        <w:noProof/>
      </w:rPr>
      <w:t>9</w:t>
    </w:r>
    <w:r>
      <w:rPr>
        <w:rFonts w:ascii="Arial" w:hAnsi="Arial"/>
        <w:b/>
      </w:rPr>
      <w:fldChar w:fldCharType="end"/>
    </w:r>
    <w:r>
      <w:rPr>
        <w:rFonts w:ascii="Arial" w:hAnsi="Arial"/>
        <w:b/>
      </w:rPr>
      <w:tab/>
    </w:r>
    <w:r w:rsidR="00CB24E9">
      <w:rPr>
        <w:rFonts w:ascii="Arial" w:hAnsi="Arial"/>
        <w:b/>
      </w:rPr>
      <w:t>9B17A067</w:t>
    </w:r>
  </w:p>
  <w:p w14:paraId="5F73A5BB" w14:textId="77777777" w:rsidR="00617FC5" w:rsidRPr="00C92CC4" w:rsidRDefault="00617FC5" w:rsidP="00865D71">
    <w:pPr>
      <w:pStyle w:val="Header"/>
      <w:tabs>
        <w:tab w:val="clear" w:pos="4680"/>
        <w:tab w:val="clear" w:pos="9360"/>
        <w:tab w:val="right" w:pos="12960"/>
      </w:tabs>
      <w:rPr>
        <w:sz w:val="18"/>
        <w:szCs w:val="18"/>
      </w:rPr>
    </w:pPr>
  </w:p>
  <w:p w14:paraId="72A9EBD2" w14:textId="77777777" w:rsidR="00617FC5" w:rsidRPr="00C92CC4" w:rsidRDefault="00617FC5" w:rsidP="00865D71">
    <w:pPr>
      <w:pStyle w:val="Header"/>
      <w:tabs>
        <w:tab w:val="clear" w:pos="4680"/>
        <w:tab w:val="clear" w:pos="9360"/>
        <w:tab w:val="right" w:pos="12960"/>
      </w:tabs>
      <w:rPr>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640DAE" w14:textId="05F4DF12" w:rsidR="00617FC5" w:rsidRDefault="00617FC5" w:rsidP="00865D71">
    <w:pPr>
      <w:pBdr>
        <w:bottom w:val="single" w:sz="18" w:space="1" w:color="auto"/>
      </w:pBdr>
      <w:tabs>
        <w:tab w:val="left" w:pos="-1440"/>
        <w:tab w:val="left" w:pos="-720"/>
        <w:tab w:val="right" w:pos="93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993A33">
      <w:rPr>
        <w:rFonts w:ascii="Arial" w:hAnsi="Arial"/>
        <w:b/>
        <w:noProof/>
      </w:rPr>
      <w:t>12</w:t>
    </w:r>
    <w:r>
      <w:rPr>
        <w:rFonts w:ascii="Arial" w:hAnsi="Arial"/>
        <w:b/>
      </w:rPr>
      <w:fldChar w:fldCharType="end"/>
    </w:r>
    <w:r>
      <w:rPr>
        <w:rFonts w:ascii="Arial" w:hAnsi="Arial"/>
        <w:b/>
      </w:rPr>
      <w:tab/>
    </w:r>
    <w:r w:rsidR="00CB24E9">
      <w:rPr>
        <w:rFonts w:ascii="Arial" w:hAnsi="Arial"/>
        <w:b/>
      </w:rPr>
      <w:t>9B17A067</w:t>
    </w:r>
  </w:p>
  <w:p w14:paraId="6C6DB2DC" w14:textId="77777777" w:rsidR="00617FC5" w:rsidRPr="00C92CC4" w:rsidRDefault="00617FC5" w:rsidP="00865D71">
    <w:pPr>
      <w:pStyle w:val="Header"/>
      <w:tabs>
        <w:tab w:val="clear" w:pos="4680"/>
      </w:tabs>
      <w:rPr>
        <w:sz w:val="18"/>
        <w:szCs w:val="18"/>
      </w:rPr>
    </w:pPr>
  </w:p>
  <w:p w14:paraId="47739C6E" w14:textId="77777777" w:rsidR="00617FC5" w:rsidRPr="00C92CC4" w:rsidRDefault="00617FC5" w:rsidP="00865D71">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5E72B2"/>
    <w:multiLevelType w:val="hybridMultilevel"/>
    <w:tmpl w:val="D99A80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C9D1515"/>
    <w:multiLevelType w:val="hybridMultilevel"/>
    <w:tmpl w:val="F062A9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9C251F"/>
    <w:multiLevelType w:val="hybridMultilevel"/>
    <w:tmpl w:val="4B44CC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C587010"/>
    <w:multiLevelType w:val="hybridMultilevel"/>
    <w:tmpl w:val="BF06CA8E"/>
    <w:lvl w:ilvl="0" w:tplc="27F6879C">
      <w:start w:val="1"/>
      <w:numFmt w:val="bullet"/>
      <w:lvlText w:val="–"/>
      <w:lvlJc w:val="left"/>
      <w:pPr>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C9E40DF"/>
    <w:multiLevelType w:val="hybridMultilevel"/>
    <w:tmpl w:val="F6FA6F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414E7F77"/>
    <w:multiLevelType w:val="hybridMultilevel"/>
    <w:tmpl w:val="138A09E4"/>
    <w:lvl w:ilvl="0" w:tplc="8F9CCB12">
      <w:numFmt w:val="bullet"/>
      <w:lvlText w:val="-"/>
      <w:lvlJc w:val="left"/>
      <w:pPr>
        <w:ind w:left="760" w:hanging="360"/>
      </w:pPr>
      <w:rPr>
        <w:rFonts w:ascii="Arial" w:eastAsiaTheme="minorEastAsia"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3"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5"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7"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8" w15:restartNumberingAfterBreak="0">
    <w:nsid w:val="65A40AD1"/>
    <w:multiLevelType w:val="hybridMultilevel"/>
    <w:tmpl w:val="6450A7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0"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77194173"/>
    <w:multiLevelType w:val="hybridMultilevel"/>
    <w:tmpl w:val="4A0C43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86B788D"/>
    <w:multiLevelType w:val="hybridMultilevel"/>
    <w:tmpl w:val="06AC73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24"/>
  </w:num>
  <w:num w:numId="13">
    <w:abstractNumId w:val="14"/>
  </w:num>
  <w:num w:numId="14">
    <w:abstractNumId w:val="25"/>
  </w:num>
  <w:num w:numId="15">
    <w:abstractNumId w:val="26"/>
  </w:num>
  <w:num w:numId="16">
    <w:abstractNumId w:val="27"/>
  </w:num>
  <w:num w:numId="17">
    <w:abstractNumId w:val="17"/>
  </w:num>
  <w:num w:numId="18">
    <w:abstractNumId w:val="29"/>
  </w:num>
  <w:num w:numId="19">
    <w:abstractNumId w:val="13"/>
  </w:num>
  <w:num w:numId="20">
    <w:abstractNumId w:val="12"/>
  </w:num>
  <w:num w:numId="21">
    <w:abstractNumId w:val="30"/>
  </w:num>
  <w:num w:numId="22">
    <w:abstractNumId w:val="23"/>
  </w:num>
  <w:num w:numId="23">
    <w:abstractNumId w:val="33"/>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33"/>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33"/>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6"/>
  </w:num>
  <w:num w:numId="27">
    <w:abstractNumId w:val="21"/>
  </w:num>
  <w:num w:numId="28">
    <w:abstractNumId w:val="19"/>
  </w:num>
  <w:num w:numId="29">
    <w:abstractNumId w:val="22"/>
  </w:num>
  <w:num w:numId="30">
    <w:abstractNumId w:val="18"/>
  </w:num>
  <w:num w:numId="31">
    <w:abstractNumId w:val="10"/>
  </w:num>
  <w:num w:numId="32">
    <w:abstractNumId w:val="11"/>
  </w:num>
  <w:num w:numId="33">
    <w:abstractNumId w:val="20"/>
  </w:num>
  <w:num w:numId="34">
    <w:abstractNumId w:val="28"/>
  </w:num>
  <w:num w:numId="35">
    <w:abstractNumId w:val="31"/>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2289"/>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73A1"/>
    <w:rsid w:val="0001007B"/>
    <w:rsid w:val="00013360"/>
    <w:rsid w:val="00015C1C"/>
    <w:rsid w:val="00016759"/>
    <w:rsid w:val="00017F0E"/>
    <w:rsid w:val="000216CE"/>
    <w:rsid w:val="00025DC7"/>
    <w:rsid w:val="00026486"/>
    <w:rsid w:val="0003156C"/>
    <w:rsid w:val="00034EB9"/>
    <w:rsid w:val="00036EC7"/>
    <w:rsid w:val="000429C6"/>
    <w:rsid w:val="00044ECC"/>
    <w:rsid w:val="0004588C"/>
    <w:rsid w:val="000531D3"/>
    <w:rsid w:val="0005646B"/>
    <w:rsid w:val="0007655E"/>
    <w:rsid w:val="0008102D"/>
    <w:rsid w:val="000877B0"/>
    <w:rsid w:val="000904D7"/>
    <w:rsid w:val="00094C0E"/>
    <w:rsid w:val="000975FF"/>
    <w:rsid w:val="000E3C79"/>
    <w:rsid w:val="000F0C22"/>
    <w:rsid w:val="000F2FA2"/>
    <w:rsid w:val="000F637A"/>
    <w:rsid w:val="000F6B09"/>
    <w:rsid w:val="000F6FDC"/>
    <w:rsid w:val="00104567"/>
    <w:rsid w:val="001077D9"/>
    <w:rsid w:val="0011280F"/>
    <w:rsid w:val="00117571"/>
    <w:rsid w:val="0012732D"/>
    <w:rsid w:val="001300E5"/>
    <w:rsid w:val="001339EF"/>
    <w:rsid w:val="0013606B"/>
    <w:rsid w:val="00142B66"/>
    <w:rsid w:val="00154FC9"/>
    <w:rsid w:val="001732EE"/>
    <w:rsid w:val="001817CD"/>
    <w:rsid w:val="001860B1"/>
    <w:rsid w:val="0019241A"/>
    <w:rsid w:val="001A0610"/>
    <w:rsid w:val="001A3C49"/>
    <w:rsid w:val="001A5335"/>
    <w:rsid w:val="001A750E"/>
    <w:rsid w:val="001A752D"/>
    <w:rsid w:val="001B29C9"/>
    <w:rsid w:val="001D10AE"/>
    <w:rsid w:val="001D2418"/>
    <w:rsid w:val="001D4EAC"/>
    <w:rsid w:val="001E680F"/>
    <w:rsid w:val="001F0E82"/>
    <w:rsid w:val="001F2F07"/>
    <w:rsid w:val="001F68B2"/>
    <w:rsid w:val="001F7004"/>
    <w:rsid w:val="00201E95"/>
    <w:rsid w:val="00203AA1"/>
    <w:rsid w:val="00213E98"/>
    <w:rsid w:val="00223D7B"/>
    <w:rsid w:val="0022703A"/>
    <w:rsid w:val="002328C7"/>
    <w:rsid w:val="00236DD4"/>
    <w:rsid w:val="00236F0D"/>
    <w:rsid w:val="002533B5"/>
    <w:rsid w:val="00277388"/>
    <w:rsid w:val="00282C01"/>
    <w:rsid w:val="002A1B7D"/>
    <w:rsid w:val="002A1BD6"/>
    <w:rsid w:val="002E32F0"/>
    <w:rsid w:val="002F30F0"/>
    <w:rsid w:val="002F460C"/>
    <w:rsid w:val="002F48D6"/>
    <w:rsid w:val="0030276C"/>
    <w:rsid w:val="003051A2"/>
    <w:rsid w:val="00310453"/>
    <w:rsid w:val="003135A1"/>
    <w:rsid w:val="00314411"/>
    <w:rsid w:val="00317174"/>
    <w:rsid w:val="00317FDA"/>
    <w:rsid w:val="00317FE1"/>
    <w:rsid w:val="003244E1"/>
    <w:rsid w:val="00343565"/>
    <w:rsid w:val="00344605"/>
    <w:rsid w:val="00346768"/>
    <w:rsid w:val="0035216F"/>
    <w:rsid w:val="00354899"/>
    <w:rsid w:val="00355FD6"/>
    <w:rsid w:val="00356C9D"/>
    <w:rsid w:val="00361C8E"/>
    <w:rsid w:val="00364A5C"/>
    <w:rsid w:val="00373FB1"/>
    <w:rsid w:val="00376A4D"/>
    <w:rsid w:val="00383080"/>
    <w:rsid w:val="00385718"/>
    <w:rsid w:val="003A2839"/>
    <w:rsid w:val="003B30D8"/>
    <w:rsid w:val="003B7EF2"/>
    <w:rsid w:val="003C3FA4"/>
    <w:rsid w:val="003D4AAA"/>
    <w:rsid w:val="003D72D5"/>
    <w:rsid w:val="003F19AC"/>
    <w:rsid w:val="003F2B0C"/>
    <w:rsid w:val="0040044A"/>
    <w:rsid w:val="00400F34"/>
    <w:rsid w:val="004136DB"/>
    <w:rsid w:val="004221E4"/>
    <w:rsid w:val="004229A7"/>
    <w:rsid w:val="004514DB"/>
    <w:rsid w:val="0045588F"/>
    <w:rsid w:val="0046096B"/>
    <w:rsid w:val="00461C8E"/>
    <w:rsid w:val="00464BB0"/>
    <w:rsid w:val="00471088"/>
    <w:rsid w:val="004837E2"/>
    <w:rsid w:val="00483AF9"/>
    <w:rsid w:val="00486235"/>
    <w:rsid w:val="004A4A82"/>
    <w:rsid w:val="004B1CCB"/>
    <w:rsid w:val="004B4223"/>
    <w:rsid w:val="004C08E4"/>
    <w:rsid w:val="004C7B73"/>
    <w:rsid w:val="004D20B5"/>
    <w:rsid w:val="004D73A5"/>
    <w:rsid w:val="004E1031"/>
    <w:rsid w:val="004E2198"/>
    <w:rsid w:val="00511E46"/>
    <w:rsid w:val="00532CF5"/>
    <w:rsid w:val="005376E9"/>
    <w:rsid w:val="005528CB"/>
    <w:rsid w:val="005641E1"/>
    <w:rsid w:val="00566771"/>
    <w:rsid w:val="00580C7E"/>
    <w:rsid w:val="00581E2E"/>
    <w:rsid w:val="00584F15"/>
    <w:rsid w:val="005877B0"/>
    <w:rsid w:val="005A18DB"/>
    <w:rsid w:val="005A5ABD"/>
    <w:rsid w:val="005B73B7"/>
    <w:rsid w:val="005C443B"/>
    <w:rsid w:val="005C7BAF"/>
    <w:rsid w:val="005D73CB"/>
    <w:rsid w:val="005F00E3"/>
    <w:rsid w:val="005F2B07"/>
    <w:rsid w:val="005F4046"/>
    <w:rsid w:val="005F4893"/>
    <w:rsid w:val="005F5BE7"/>
    <w:rsid w:val="005F7713"/>
    <w:rsid w:val="006115FE"/>
    <w:rsid w:val="00614BF8"/>
    <w:rsid w:val="006163F7"/>
    <w:rsid w:val="00617FC5"/>
    <w:rsid w:val="0062382E"/>
    <w:rsid w:val="00645BB3"/>
    <w:rsid w:val="00652606"/>
    <w:rsid w:val="00661ABB"/>
    <w:rsid w:val="006633A1"/>
    <w:rsid w:val="00682505"/>
    <w:rsid w:val="00682754"/>
    <w:rsid w:val="006847BF"/>
    <w:rsid w:val="00686A50"/>
    <w:rsid w:val="00687032"/>
    <w:rsid w:val="00693F7F"/>
    <w:rsid w:val="006A1AF8"/>
    <w:rsid w:val="006A4E50"/>
    <w:rsid w:val="006A58A9"/>
    <w:rsid w:val="006A606D"/>
    <w:rsid w:val="006B6633"/>
    <w:rsid w:val="006B7F7A"/>
    <w:rsid w:val="006C0371"/>
    <w:rsid w:val="006C089B"/>
    <w:rsid w:val="006C08B6"/>
    <w:rsid w:val="006C0B1A"/>
    <w:rsid w:val="006C3C2B"/>
    <w:rsid w:val="006C4384"/>
    <w:rsid w:val="006C6065"/>
    <w:rsid w:val="006C7F9F"/>
    <w:rsid w:val="006D45DF"/>
    <w:rsid w:val="006D61AF"/>
    <w:rsid w:val="006E2F6D"/>
    <w:rsid w:val="006E4083"/>
    <w:rsid w:val="006E58F6"/>
    <w:rsid w:val="006E77E1"/>
    <w:rsid w:val="006F131D"/>
    <w:rsid w:val="006F32A7"/>
    <w:rsid w:val="006F4F39"/>
    <w:rsid w:val="0070115D"/>
    <w:rsid w:val="0072069B"/>
    <w:rsid w:val="0072537B"/>
    <w:rsid w:val="007363EA"/>
    <w:rsid w:val="00745B93"/>
    <w:rsid w:val="0074619C"/>
    <w:rsid w:val="00752BCD"/>
    <w:rsid w:val="007654F5"/>
    <w:rsid w:val="00766368"/>
    <w:rsid w:val="00766DA1"/>
    <w:rsid w:val="007866A6"/>
    <w:rsid w:val="00792ED7"/>
    <w:rsid w:val="00796375"/>
    <w:rsid w:val="007A130D"/>
    <w:rsid w:val="007A258B"/>
    <w:rsid w:val="007B398B"/>
    <w:rsid w:val="007C2239"/>
    <w:rsid w:val="007D192C"/>
    <w:rsid w:val="007D4102"/>
    <w:rsid w:val="007D5097"/>
    <w:rsid w:val="007D5159"/>
    <w:rsid w:val="007D5305"/>
    <w:rsid w:val="007E5921"/>
    <w:rsid w:val="007F4604"/>
    <w:rsid w:val="00804ED4"/>
    <w:rsid w:val="00805291"/>
    <w:rsid w:val="00816A65"/>
    <w:rsid w:val="00821FFC"/>
    <w:rsid w:val="008221DD"/>
    <w:rsid w:val="008271CA"/>
    <w:rsid w:val="00837EB5"/>
    <w:rsid w:val="008419F6"/>
    <w:rsid w:val="008436BD"/>
    <w:rsid w:val="008467D5"/>
    <w:rsid w:val="00854ED1"/>
    <w:rsid w:val="00856D9F"/>
    <w:rsid w:val="008575B3"/>
    <w:rsid w:val="00860C68"/>
    <w:rsid w:val="008656ED"/>
    <w:rsid w:val="00865D71"/>
    <w:rsid w:val="00866F6D"/>
    <w:rsid w:val="00870224"/>
    <w:rsid w:val="00872E67"/>
    <w:rsid w:val="008801B1"/>
    <w:rsid w:val="00882F31"/>
    <w:rsid w:val="008A46AE"/>
    <w:rsid w:val="008A4DC4"/>
    <w:rsid w:val="008B1ECB"/>
    <w:rsid w:val="008B56B1"/>
    <w:rsid w:val="008B6308"/>
    <w:rsid w:val="008C54BD"/>
    <w:rsid w:val="008E24A8"/>
    <w:rsid w:val="008E2D2A"/>
    <w:rsid w:val="008E598B"/>
    <w:rsid w:val="008F7CFE"/>
    <w:rsid w:val="00903ADE"/>
    <w:rsid w:val="009067A4"/>
    <w:rsid w:val="0090722E"/>
    <w:rsid w:val="00922335"/>
    <w:rsid w:val="009340DB"/>
    <w:rsid w:val="00957417"/>
    <w:rsid w:val="00963307"/>
    <w:rsid w:val="00972498"/>
    <w:rsid w:val="00974818"/>
    <w:rsid w:val="00974CC6"/>
    <w:rsid w:val="00974F93"/>
    <w:rsid w:val="00976AD4"/>
    <w:rsid w:val="009823AA"/>
    <w:rsid w:val="00993A33"/>
    <w:rsid w:val="009A312F"/>
    <w:rsid w:val="009A5348"/>
    <w:rsid w:val="009A67BB"/>
    <w:rsid w:val="009B6936"/>
    <w:rsid w:val="009C2BEB"/>
    <w:rsid w:val="009C6C37"/>
    <w:rsid w:val="009C76D5"/>
    <w:rsid w:val="009D45BA"/>
    <w:rsid w:val="009D6256"/>
    <w:rsid w:val="009F2776"/>
    <w:rsid w:val="009F7AA4"/>
    <w:rsid w:val="00A008A8"/>
    <w:rsid w:val="00A13B42"/>
    <w:rsid w:val="00A141B7"/>
    <w:rsid w:val="00A15F43"/>
    <w:rsid w:val="00A25F6C"/>
    <w:rsid w:val="00A37072"/>
    <w:rsid w:val="00A51445"/>
    <w:rsid w:val="00A559DB"/>
    <w:rsid w:val="00A57430"/>
    <w:rsid w:val="00A611F8"/>
    <w:rsid w:val="00A62F1D"/>
    <w:rsid w:val="00A75AF2"/>
    <w:rsid w:val="00A827E1"/>
    <w:rsid w:val="00A828C4"/>
    <w:rsid w:val="00A843B4"/>
    <w:rsid w:val="00A85AD1"/>
    <w:rsid w:val="00AA35BF"/>
    <w:rsid w:val="00AA7815"/>
    <w:rsid w:val="00AB3657"/>
    <w:rsid w:val="00AB45FC"/>
    <w:rsid w:val="00AC10FF"/>
    <w:rsid w:val="00AD4558"/>
    <w:rsid w:val="00AE3657"/>
    <w:rsid w:val="00AF35FC"/>
    <w:rsid w:val="00B03639"/>
    <w:rsid w:val="00B0605C"/>
    <w:rsid w:val="00B0652A"/>
    <w:rsid w:val="00B12552"/>
    <w:rsid w:val="00B239E5"/>
    <w:rsid w:val="00B31D2E"/>
    <w:rsid w:val="00B326FC"/>
    <w:rsid w:val="00B3757D"/>
    <w:rsid w:val="00B40937"/>
    <w:rsid w:val="00B423EF"/>
    <w:rsid w:val="00B453DE"/>
    <w:rsid w:val="00B47127"/>
    <w:rsid w:val="00B4742F"/>
    <w:rsid w:val="00B550D4"/>
    <w:rsid w:val="00B64007"/>
    <w:rsid w:val="00B74F6A"/>
    <w:rsid w:val="00B901F9"/>
    <w:rsid w:val="00B93602"/>
    <w:rsid w:val="00BB5B47"/>
    <w:rsid w:val="00BB7795"/>
    <w:rsid w:val="00BC5261"/>
    <w:rsid w:val="00BD6563"/>
    <w:rsid w:val="00BD6651"/>
    <w:rsid w:val="00BD6EFB"/>
    <w:rsid w:val="00BE1150"/>
    <w:rsid w:val="00BF4BAC"/>
    <w:rsid w:val="00BF7D0A"/>
    <w:rsid w:val="00C13F27"/>
    <w:rsid w:val="00C15BE2"/>
    <w:rsid w:val="00C17632"/>
    <w:rsid w:val="00C22219"/>
    <w:rsid w:val="00C3447F"/>
    <w:rsid w:val="00C36FA7"/>
    <w:rsid w:val="00C43D0E"/>
    <w:rsid w:val="00C46E5C"/>
    <w:rsid w:val="00C81491"/>
    <w:rsid w:val="00C81676"/>
    <w:rsid w:val="00C92CC4"/>
    <w:rsid w:val="00C96625"/>
    <w:rsid w:val="00CA0AFB"/>
    <w:rsid w:val="00CA2C5C"/>
    <w:rsid w:val="00CA2CE1"/>
    <w:rsid w:val="00CA3976"/>
    <w:rsid w:val="00CA45FB"/>
    <w:rsid w:val="00CA757B"/>
    <w:rsid w:val="00CB23E1"/>
    <w:rsid w:val="00CB24E9"/>
    <w:rsid w:val="00CC06EA"/>
    <w:rsid w:val="00CC1787"/>
    <w:rsid w:val="00CC182C"/>
    <w:rsid w:val="00CC5A1C"/>
    <w:rsid w:val="00CD0824"/>
    <w:rsid w:val="00CD2908"/>
    <w:rsid w:val="00CD62B5"/>
    <w:rsid w:val="00CE6A81"/>
    <w:rsid w:val="00CF1524"/>
    <w:rsid w:val="00CF1F0C"/>
    <w:rsid w:val="00CF7AB9"/>
    <w:rsid w:val="00D03A82"/>
    <w:rsid w:val="00D05259"/>
    <w:rsid w:val="00D15344"/>
    <w:rsid w:val="00D26F38"/>
    <w:rsid w:val="00D2721D"/>
    <w:rsid w:val="00D31BEC"/>
    <w:rsid w:val="00D3248C"/>
    <w:rsid w:val="00D472FE"/>
    <w:rsid w:val="00D507A2"/>
    <w:rsid w:val="00D63150"/>
    <w:rsid w:val="00D64A32"/>
    <w:rsid w:val="00D64EFC"/>
    <w:rsid w:val="00D66774"/>
    <w:rsid w:val="00D75295"/>
    <w:rsid w:val="00D76CE9"/>
    <w:rsid w:val="00D96FEC"/>
    <w:rsid w:val="00D97F12"/>
    <w:rsid w:val="00DA6732"/>
    <w:rsid w:val="00DB42E7"/>
    <w:rsid w:val="00DE03F1"/>
    <w:rsid w:val="00DE5727"/>
    <w:rsid w:val="00DE7109"/>
    <w:rsid w:val="00DF32C2"/>
    <w:rsid w:val="00E01F0D"/>
    <w:rsid w:val="00E04AA9"/>
    <w:rsid w:val="00E10B29"/>
    <w:rsid w:val="00E10D92"/>
    <w:rsid w:val="00E12603"/>
    <w:rsid w:val="00E2027D"/>
    <w:rsid w:val="00E279FA"/>
    <w:rsid w:val="00E341FE"/>
    <w:rsid w:val="00E471A7"/>
    <w:rsid w:val="00E556CB"/>
    <w:rsid w:val="00E575C6"/>
    <w:rsid w:val="00E635CF"/>
    <w:rsid w:val="00E67A2E"/>
    <w:rsid w:val="00E74988"/>
    <w:rsid w:val="00E84154"/>
    <w:rsid w:val="00E86A18"/>
    <w:rsid w:val="00E903BA"/>
    <w:rsid w:val="00EA6890"/>
    <w:rsid w:val="00EB138A"/>
    <w:rsid w:val="00EB5410"/>
    <w:rsid w:val="00EC1B47"/>
    <w:rsid w:val="00EC411A"/>
    <w:rsid w:val="00EC6E0A"/>
    <w:rsid w:val="00ED4E18"/>
    <w:rsid w:val="00ED752F"/>
    <w:rsid w:val="00EE1F37"/>
    <w:rsid w:val="00EE6E9B"/>
    <w:rsid w:val="00EE7591"/>
    <w:rsid w:val="00EF2484"/>
    <w:rsid w:val="00EF4729"/>
    <w:rsid w:val="00F002DE"/>
    <w:rsid w:val="00F0159C"/>
    <w:rsid w:val="00F05EB7"/>
    <w:rsid w:val="00F105B7"/>
    <w:rsid w:val="00F1273B"/>
    <w:rsid w:val="00F1614D"/>
    <w:rsid w:val="00F17A21"/>
    <w:rsid w:val="00F264FD"/>
    <w:rsid w:val="00F47503"/>
    <w:rsid w:val="00F50E91"/>
    <w:rsid w:val="00F57D29"/>
    <w:rsid w:val="00F700DE"/>
    <w:rsid w:val="00F92A99"/>
    <w:rsid w:val="00F96201"/>
    <w:rsid w:val="00FB460F"/>
    <w:rsid w:val="00FC30E9"/>
    <w:rsid w:val="00FD0B18"/>
    <w:rsid w:val="00FD0F82"/>
    <w:rsid w:val="00FD2AF4"/>
    <w:rsid w:val="00FD4968"/>
    <w:rsid w:val="00FE2BA2"/>
    <w:rsid w:val="00FE3F11"/>
    <w:rsid w:val="00FE714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2C592E02"/>
  <w15:docId w15:val="{A1B49F82-D53A-47A1-AC49-F5BCF2C6B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9">
    <w:name w:val="heading 9"/>
    <w:basedOn w:val="Normal"/>
    <w:next w:val="Normal"/>
    <w:link w:val="Heading9Char"/>
    <w:uiPriority w:val="9"/>
    <w:qFormat/>
    <w:rsid w:val="009C2BEB"/>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59"/>
    <w:rsid w:val="00FD0F82"/>
    <w:pPr>
      <w:spacing w:after="0" w:line="240" w:lineRule="auto"/>
    </w:pPr>
    <w:rPr>
      <w:rFonts w:ascii="Calibri"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unhideWhenUsed/>
    <w:rsid w:val="00B4742F"/>
  </w:style>
  <w:style w:type="character" w:customStyle="1" w:styleId="EndnoteTextChar">
    <w:name w:val="Endnote Text Char"/>
    <w:basedOn w:val="DefaultParagraphFont"/>
    <w:link w:val="EndnoteText"/>
    <w:uiPriority w:val="99"/>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unhideWhenUsed/>
    <w:rsid w:val="00B4742F"/>
    <w:rPr>
      <w:vertAlign w:val="superscript"/>
    </w:rPr>
  </w:style>
  <w:style w:type="character" w:customStyle="1" w:styleId="Heading9Char">
    <w:name w:val="Heading 9 Char"/>
    <w:basedOn w:val="DefaultParagraphFont"/>
    <w:link w:val="Heading9"/>
    <w:uiPriority w:val="9"/>
    <w:rsid w:val="009C2BEB"/>
    <w:rPr>
      <w:rFonts w:ascii="Times New Roman" w:eastAsia="Times New Roman" w:hAnsi="Times New Roman" w:cs="Times New Roman"/>
      <w:b/>
      <w:sz w:val="18"/>
      <w:szCs w:val="20"/>
      <w:lang w:val="en-AU"/>
    </w:rPr>
  </w:style>
  <w:style w:type="table" w:customStyle="1" w:styleId="TableGrid1">
    <w:name w:val="Table Grid1"/>
    <w:basedOn w:val="TableNormal"/>
    <w:next w:val="TableGrid"/>
    <w:rsid w:val="009C2BEB"/>
    <w:pPr>
      <w:spacing w:after="0" w:line="240" w:lineRule="auto"/>
    </w:pPr>
    <w:rPr>
      <w:rFonts w:ascii="Calibri"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AB45FC"/>
    <w:rPr>
      <w:color w:val="808080"/>
      <w:shd w:val="clear" w:color="auto" w:fill="E6E6E6"/>
    </w:rPr>
  </w:style>
  <w:style w:type="character" w:customStyle="1" w:styleId="trbempqt">
    <w:name w:val="trb_em_pq_t"/>
    <w:basedOn w:val="DefaultParagraphFont"/>
    <w:rsid w:val="00AB45FC"/>
  </w:style>
  <w:style w:type="character" w:customStyle="1" w:styleId="trbempqc">
    <w:name w:val="trb_em_pq_c"/>
    <w:basedOn w:val="DefaultParagraphFont"/>
    <w:rsid w:val="00AB45FC"/>
  </w:style>
  <w:style w:type="character" w:styleId="FollowedHyperlink">
    <w:name w:val="FollowedHyperlink"/>
    <w:basedOn w:val="DefaultParagraphFont"/>
    <w:uiPriority w:val="99"/>
    <w:semiHidden/>
    <w:unhideWhenUsed/>
    <w:rsid w:val="00FE2BA2"/>
    <w:rPr>
      <w:color w:val="800080" w:themeColor="followedHyperlink"/>
      <w:u w:val="single"/>
    </w:rPr>
  </w:style>
  <w:style w:type="character" w:customStyle="1" w:styleId="UnresolvedMention2">
    <w:name w:val="Unresolved Mention2"/>
    <w:basedOn w:val="DefaultParagraphFont"/>
    <w:uiPriority w:val="99"/>
    <w:semiHidden/>
    <w:unhideWhenUsed/>
    <w:rsid w:val="000073A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513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671AC1-4E96-4728-8B9C-50173AB9E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4275</Words>
  <Characters>24370</Characters>
  <Application>Microsoft Office Word</Application>
  <DocSecurity>0</DocSecurity>
  <Lines>203</Lines>
  <Paragraphs>57</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Ivey Business School</Company>
  <LinksUpToDate>false</LinksUpToDate>
  <CharactersWithSpaces>28588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Schaeken, Charlotte</cp:lastModifiedBy>
  <cp:revision>5</cp:revision>
  <cp:lastPrinted>2016-03-28T20:19:00Z</cp:lastPrinted>
  <dcterms:created xsi:type="dcterms:W3CDTF">2017-12-11T16:02:00Z</dcterms:created>
  <dcterms:modified xsi:type="dcterms:W3CDTF">2018-02-13T20:10:00Z</dcterms:modified>
</cp:coreProperties>
</file>