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274D31" w:rsidTr="008679F8">
        <w:tc>
          <w:tcPr>
            <w:tcW w:w="4680" w:type="dxa"/>
          </w:tcPr>
          <w:p w:rsidR="00274D31" w:rsidRDefault="00274D31" w:rsidP="008679F8">
            <w:pP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54B546BD" wp14:editId="4967B44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274D31" w:rsidRDefault="00274D31" w:rsidP="008679F8">
            <w:pPr>
              <w:tabs>
                <w:tab w:val="left" w:pos="-1440"/>
                <w:tab w:val="left" w:pos="-720"/>
                <w:tab w:val="left" w:pos="1"/>
              </w:tabs>
              <w:jc w:val="right"/>
              <w:rPr>
                <w:rFonts w:ascii="Arial" w:hAnsi="Arial"/>
                <w:b/>
                <w:sz w:val="24"/>
              </w:rPr>
            </w:pPr>
            <w:r>
              <w:rPr>
                <w:rFonts w:ascii="IveyVHWLogos" w:eastAsia="SimSun" w:hAnsi="IveyVHWLogos"/>
                <w:noProof/>
                <w:sz w:val="44"/>
                <w:szCs w:val="44"/>
                <w:lang w:val="en-GB" w:eastAsia="en-GB"/>
              </w:rPr>
              <w:drawing>
                <wp:inline distT="0" distB="0" distL="0" distR="0" wp14:anchorId="2A7BC5AF" wp14:editId="695BA5C2">
                  <wp:extent cx="1328580" cy="548640"/>
                  <wp:effectExtent l="0" t="0" r="5080" b="3810"/>
                  <wp:docPr id="3" name="Picture 3"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746D18" w:rsidP="00F105B7">
      <w:pPr>
        <w:pStyle w:val="ProductNumber"/>
      </w:pPr>
      <w:r>
        <w:t>9B17B001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746D18" w:rsidP="00013360">
      <w:pPr>
        <w:pStyle w:val="CaseTitle"/>
        <w:spacing w:after="0" w:line="240" w:lineRule="auto"/>
        <w:rPr>
          <w:sz w:val="20"/>
          <w:szCs w:val="20"/>
        </w:rPr>
      </w:pPr>
      <w:r>
        <w:rPr>
          <w:rFonts w:eastAsia="Times New Roman"/>
          <w:szCs w:val="20"/>
        </w:rPr>
        <w:t>the game of financial ratios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46D18" w:rsidP="00627C63">
      <w:pPr>
        <w:pStyle w:val="StyleCopyrightStatementAfter0ptBottomSinglesolidline1"/>
      </w:pPr>
      <w:r>
        <w:t xml:space="preserve">Professors Pooja Gupta, </w:t>
      </w:r>
      <w:proofErr w:type="spellStart"/>
      <w:r>
        <w:t>Madhvi</w:t>
      </w:r>
      <w:proofErr w:type="spellEnd"/>
      <w:r>
        <w:t xml:space="preserve"> </w:t>
      </w:r>
      <w:proofErr w:type="spellStart"/>
      <w:r>
        <w:t>Sethi</w:t>
      </w:r>
      <w:proofErr w:type="spellEnd"/>
      <w:r w:rsidR="003E7527">
        <w:t>,</w:t>
      </w:r>
      <w:r>
        <w:t xml:space="preserve"> and Rick Robertson</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746D18">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746D18">
        <w:t>2017</w:t>
      </w:r>
      <w:r w:rsidR="001C7777">
        <w:t>-</w:t>
      </w:r>
      <w:r w:rsidR="00746D18">
        <w:t>01</w:t>
      </w:r>
      <w:r w:rsidR="00751E0B">
        <w:t>-</w:t>
      </w:r>
      <w:r w:rsidR="003E7527">
        <w:t>16</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746D18" w:rsidRPr="00746D18" w:rsidRDefault="00746D18" w:rsidP="00746D18">
      <w:pPr>
        <w:pStyle w:val="BodyTextMain"/>
        <w:rPr>
          <w:lang w:val="en-GB"/>
        </w:rPr>
      </w:pPr>
      <w:proofErr w:type="spellStart"/>
      <w:r w:rsidRPr="00746D18">
        <w:rPr>
          <w:lang w:val="en-GB"/>
        </w:rPr>
        <w:t>Priyankar</w:t>
      </w:r>
      <w:proofErr w:type="spellEnd"/>
      <w:r w:rsidRPr="00746D18">
        <w:rPr>
          <w:lang w:val="en-GB"/>
        </w:rPr>
        <w:t xml:space="preserve"> Sarkar was a financial wizard who was adept at doing financial analysis. In late 2014, at a meeting of representatives from leading investment banks with the governor of the Reserve Bank of India, he encountered </w:t>
      </w:r>
      <w:proofErr w:type="spellStart"/>
      <w:r w:rsidRPr="00746D18">
        <w:rPr>
          <w:lang w:val="en-GB"/>
        </w:rPr>
        <w:t>Rohit</w:t>
      </w:r>
      <w:proofErr w:type="spellEnd"/>
      <w:r w:rsidRPr="00746D18">
        <w:rPr>
          <w:lang w:val="en-GB"/>
        </w:rPr>
        <w:t xml:space="preserve"> </w:t>
      </w:r>
      <w:proofErr w:type="spellStart"/>
      <w:r w:rsidRPr="00746D18">
        <w:rPr>
          <w:lang w:val="en-GB"/>
        </w:rPr>
        <w:t>Jhunjhunwala</w:t>
      </w:r>
      <w:proofErr w:type="spellEnd"/>
      <w:r w:rsidRPr="00746D18">
        <w:rPr>
          <w:lang w:val="en-GB"/>
        </w:rPr>
        <w:t xml:space="preserve">. </w:t>
      </w:r>
      <w:proofErr w:type="spellStart"/>
      <w:r w:rsidRPr="00746D18">
        <w:rPr>
          <w:lang w:val="en-GB"/>
        </w:rPr>
        <w:t>Jhunjhunwala</w:t>
      </w:r>
      <w:proofErr w:type="spellEnd"/>
      <w:r w:rsidRPr="00746D18" w:rsidDel="006C0F9B">
        <w:rPr>
          <w:lang w:val="en-GB"/>
        </w:rPr>
        <w:t xml:space="preserve"> </w:t>
      </w:r>
      <w:r w:rsidRPr="00746D18">
        <w:rPr>
          <w:lang w:val="en-GB"/>
        </w:rPr>
        <w:t>and Sarkar had been rivals since they were contemporaries at a famous business school. They had both been high achievers in their school, and they had always competed against each other—whether in financial analysis quizzes or mergers and acquisitions projects. They had also competed for the same kind of jobs on campus, so it was no surprise to any of their classmates when they both got jobs in top, but rival, investment banks. Over the years, the rivalry between them had increased significantly.</w:t>
      </w:r>
    </w:p>
    <w:p w:rsidR="00746D18" w:rsidRPr="00746D18" w:rsidRDefault="00746D18" w:rsidP="00746D18">
      <w:pPr>
        <w:pStyle w:val="BodyTextMain"/>
        <w:rPr>
          <w:lang w:val="en-GB"/>
        </w:rPr>
      </w:pPr>
    </w:p>
    <w:p w:rsidR="00746D18" w:rsidRPr="00746D18" w:rsidRDefault="00746D18" w:rsidP="00746D18">
      <w:pPr>
        <w:pStyle w:val="BodyTextMain"/>
        <w:rPr>
          <w:spacing w:val="-2"/>
          <w:lang w:val="en-GB"/>
        </w:rPr>
      </w:pPr>
      <w:r w:rsidRPr="00746D18">
        <w:rPr>
          <w:spacing w:val="-2"/>
          <w:lang w:val="en-GB"/>
        </w:rPr>
        <w:t xml:space="preserve">In an arrogant tone, </w:t>
      </w:r>
      <w:proofErr w:type="spellStart"/>
      <w:r w:rsidRPr="00746D18">
        <w:rPr>
          <w:spacing w:val="-2"/>
          <w:lang w:val="en-GB"/>
        </w:rPr>
        <w:t>Jhunjhunwala</w:t>
      </w:r>
      <w:proofErr w:type="spellEnd"/>
      <w:r w:rsidRPr="00746D18">
        <w:rPr>
          <w:spacing w:val="-2"/>
          <w:lang w:val="en-GB"/>
        </w:rPr>
        <w:t xml:space="preserve"> said to Sarkar, “You are wrong about the forecast you made a couple of days back regarding the valuation of the information technology sector. I have done a similar analysis, and unlike you, I feel the sector is overvalued and due for a massive correction in the near future.” Sarkar replied, “Whatever you may feel, I stand by my analysis. Remember last month when you said that the banking sector was overvalued? You were wrong, as the sector has gone from strength to strength since then.”</w:t>
      </w:r>
    </w:p>
    <w:p w:rsidR="00746D18" w:rsidRPr="00746D18" w:rsidRDefault="00746D18" w:rsidP="00746D18">
      <w:pPr>
        <w:pStyle w:val="BodyTextMain"/>
        <w:rPr>
          <w:lang w:val="en-GB"/>
        </w:rPr>
      </w:pPr>
    </w:p>
    <w:p w:rsidR="00746D18" w:rsidRPr="00746D18" w:rsidRDefault="00746D18" w:rsidP="00746D18">
      <w:pPr>
        <w:pStyle w:val="BodyTextMain"/>
        <w:rPr>
          <w:lang w:val="en-GB"/>
        </w:rPr>
      </w:pPr>
      <w:proofErr w:type="spellStart"/>
      <w:r w:rsidRPr="00746D18">
        <w:rPr>
          <w:lang w:val="en-GB"/>
        </w:rPr>
        <w:t>Jhunjhunwala</w:t>
      </w:r>
      <w:proofErr w:type="spellEnd"/>
      <w:r w:rsidRPr="00746D18">
        <w:rPr>
          <w:lang w:val="en-GB"/>
        </w:rPr>
        <w:t xml:space="preserve"> believed Sarkar was overconfident in his analytical abilities. He pointed out that Sarkar had downgraded the pharmaceutical sector in one of his recent reports, whereas </w:t>
      </w:r>
      <w:proofErr w:type="spellStart"/>
      <w:r w:rsidRPr="00746D18">
        <w:rPr>
          <w:lang w:val="en-GB"/>
        </w:rPr>
        <w:t>Jhunjhunwala</w:t>
      </w:r>
      <w:proofErr w:type="spellEnd"/>
      <w:r w:rsidRPr="00746D18">
        <w:rPr>
          <w:lang w:val="en-GB"/>
        </w:rPr>
        <w:t xml:space="preserve"> believed that any fresh graduate would have been able to see the growth potential in the sector.</w:t>
      </w:r>
    </w:p>
    <w:p w:rsidR="00746D18" w:rsidRPr="00746D18" w:rsidRDefault="00746D18" w:rsidP="00746D18">
      <w:pPr>
        <w:pStyle w:val="BodyTextMain"/>
        <w:rPr>
          <w:lang w:val="en-GB"/>
        </w:rPr>
      </w:pPr>
    </w:p>
    <w:p w:rsidR="00746D18" w:rsidRPr="00746D18" w:rsidRDefault="00746D18" w:rsidP="00746D18">
      <w:pPr>
        <w:pStyle w:val="BodyTextMain"/>
        <w:rPr>
          <w:spacing w:val="-2"/>
          <w:lang w:val="en-GB"/>
        </w:rPr>
      </w:pPr>
      <w:proofErr w:type="spellStart"/>
      <w:r w:rsidRPr="00746D18">
        <w:rPr>
          <w:spacing w:val="-2"/>
          <w:lang w:val="en-GB"/>
        </w:rPr>
        <w:t>Sudarshan</w:t>
      </w:r>
      <w:proofErr w:type="spellEnd"/>
      <w:r w:rsidRPr="00746D18">
        <w:rPr>
          <w:spacing w:val="-2"/>
          <w:lang w:val="en-GB"/>
        </w:rPr>
        <w:t xml:space="preserve"> R., a senior investment banker who carried great influence in financial circles, was passing by and commented: “My, my! You both are at it again! The whole financial community is sick and tired of your one-upmanship. Let us once and for all put this to rest and determine who is a better financial analyst.”</w:t>
      </w:r>
    </w:p>
    <w:p w:rsidR="00746D18" w:rsidRPr="00746D18" w:rsidRDefault="00746D18" w:rsidP="00746D18">
      <w:pPr>
        <w:pStyle w:val="BodyTextMain"/>
        <w:rPr>
          <w:lang w:val="en-GB"/>
        </w:rPr>
      </w:pPr>
    </w:p>
    <w:p w:rsidR="00746D18" w:rsidRPr="00746D18" w:rsidRDefault="00746D18" w:rsidP="00746D18">
      <w:pPr>
        <w:pStyle w:val="BodyTextMain"/>
        <w:rPr>
          <w:lang w:val="en-GB"/>
        </w:rPr>
      </w:pPr>
      <w:proofErr w:type="spellStart"/>
      <w:r w:rsidRPr="00746D18">
        <w:rPr>
          <w:lang w:val="en-GB"/>
        </w:rPr>
        <w:t>Sudarshan</w:t>
      </w:r>
      <w:proofErr w:type="spellEnd"/>
      <w:r w:rsidRPr="00746D18">
        <w:rPr>
          <w:lang w:val="en-GB"/>
        </w:rPr>
        <w:t xml:space="preserve"> drafted a challenge for the two of them. “Why don’t you take up my challenge?” he asked. Neither </w:t>
      </w:r>
      <w:proofErr w:type="spellStart"/>
      <w:r w:rsidRPr="00746D18">
        <w:rPr>
          <w:lang w:val="en-GB"/>
        </w:rPr>
        <w:t>Jhunjhunwala</w:t>
      </w:r>
      <w:proofErr w:type="spellEnd"/>
      <w:r w:rsidRPr="00746D18">
        <w:rPr>
          <w:lang w:val="en-GB"/>
        </w:rPr>
        <w:t xml:space="preserve"> nor Sarkar could say no. </w:t>
      </w:r>
    </w:p>
    <w:p w:rsidR="00746D18" w:rsidRPr="00746D18" w:rsidRDefault="00746D18" w:rsidP="00746D18">
      <w:pPr>
        <w:pStyle w:val="BodyTextMain"/>
        <w:rPr>
          <w:lang w:val="en-GB"/>
        </w:rPr>
      </w:pPr>
    </w:p>
    <w:p w:rsidR="00746D18" w:rsidRPr="00746D18" w:rsidRDefault="00746D18" w:rsidP="00746D18">
      <w:pPr>
        <w:pStyle w:val="BodyTextMain"/>
        <w:rPr>
          <w:spacing w:val="-2"/>
          <w:lang w:val="en-GB"/>
        </w:rPr>
      </w:pPr>
      <w:proofErr w:type="spellStart"/>
      <w:r w:rsidRPr="00746D18">
        <w:rPr>
          <w:spacing w:val="-2"/>
          <w:lang w:val="en-GB"/>
        </w:rPr>
        <w:t>Sudarshan</w:t>
      </w:r>
      <w:proofErr w:type="spellEnd"/>
      <w:r w:rsidRPr="00746D18">
        <w:rPr>
          <w:spacing w:val="-2"/>
          <w:lang w:val="en-GB"/>
        </w:rPr>
        <w:t xml:space="preserve"> provided the two men with financial data for 10 anonymous companies (see Exhibit 1). He asked them to match the financial data with specific industries from a list (see Exhibit 2). The challenge was timed, and the winner would be determined on the basis of who came up with the right combinations first.</w:t>
      </w:r>
    </w:p>
    <w:p w:rsidR="000306D2" w:rsidRDefault="000306D2">
      <w:pPr>
        <w:spacing w:after="200" w:line="276" w:lineRule="auto"/>
        <w:sectPr w:rsidR="000306D2" w:rsidSect="00751E0B">
          <w:headerReference w:type="default" r:id="rId13"/>
          <w:pgSz w:w="12240" w:h="15840" w:code="1"/>
          <w:pgMar w:top="1080" w:right="1440" w:bottom="1440" w:left="1440" w:header="1080" w:footer="720" w:gutter="0"/>
          <w:cols w:space="720"/>
          <w:titlePg/>
          <w:docGrid w:linePitch="360"/>
        </w:sectPr>
      </w:pPr>
    </w:p>
    <w:p w:rsidR="00746D18" w:rsidRPr="00A4091E" w:rsidRDefault="00746D18" w:rsidP="003E7527">
      <w:pPr>
        <w:pStyle w:val="Casehead1"/>
        <w:jc w:val="center"/>
        <w:rPr>
          <w:lang w:val="en-GB"/>
        </w:rPr>
      </w:pPr>
      <w:r w:rsidRPr="00A4091E">
        <w:rPr>
          <w:lang w:val="en-GB"/>
        </w:rPr>
        <w:lastRenderedPageBreak/>
        <w:t>EXHIBIT 1: Financial Data from anonymous companies</w:t>
      </w:r>
      <w:r>
        <w:rPr>
          <w:lang w:val="en-GB"/>
        </w:rPr>
        <w:t xml:space="preserve"> </w:t>
      </w:r>
      <w:r w:rsidRPr="00164F36">
        <w:rPr>
          <w:lang w:val="en-GB" w:eastAsia="en-IN"/>
        </w:rPr>
        <w:t xml:space="preserve">(in </w:t>
      </w:r>
      <w:r w:rsidRPr="00A4091E">
        <w:rPr>
          <w:lang w:val="en-GB" w:eastAsia="en-IN"/>
        </w:rPr>
        <w:t>million IN</w:t>
      </w:r>
      <w:r w:rsidRPr="00164F36">
        <w:rPr>
          <w:lang w:val="en-GB" w:eastAsia="en-IN"/>
        </w:rPr>
        <w:t>R</w:t>
      </w:r>
      <w:r w:rsidRPr="00A4091E">
        <w:rPr>
          <w:lang w:val="en-GB" w:eastAsia="en-IN"/>
        </w:rPr>
        <w:t xml:space="preserve">, </w:t>
      </w:r>
      <w:r w:rsidRPr="00164F36">
        <w:rPr>
          <w:lang w:val="en-GB" w:eastAsia="en-IN"/>
        </w:rPr>
        <w:t>non</w:t>
      </w:r>
      <w:r>
        <w:rPr>
          <w:lang w:val="en-GB" w:eastAsia="en-IN"/>
        </w:rPr>
        <w:t>-</w:t>
      </w:r>
      <w:r w:rsidRPr="00164F36">
        <w:rPr>
          <w:lang w:val="en-GB" w:eastAsia="en-IN"/>
        </w:rPr>
        <w:t>annuali</w:t>
      </w:r>
      <w:r>
        <w:rPr>
          <w:lang w:val="en-GB" w:eastAsia="en-IN"/>
        </w:rPr>
        <w:t>z</w:t>
      </w:r>
      <w:r w:rsidRPr="00164F36">
        <w:rPr>
          <w:lang w:val="en-GB" w:eastAsia="en-IN"/>
        </w:rPr>
        <w:t>ed)</w:t>
      </w:r>
    </w:p>
    <w:p w:rsidR="00746D18" w:rsidRDefault="00746D18" w:rsidP="00746D18">
      <w:pPr>
        <w:pStyle w:val="BodyTextMain"/>
        <w:rPr>
          <w:lang w:val="en-GB"/>
        </w:rPr>
      </w:pPr>
    </w:p>
    <w:tbl>
      <w:tblPr>
        <w:tblW w:w="13520" w:type="dxa"/>
        <w:jc w:val="center"/>
        <w:tblLook w:val="04A0" w:firstRow="1" w:lastRow="0" w:firstColumn="1" w:lastColumn="0" w:noHBand="0" w:noVBand="1"/>
      </w:tblPr>
      <w:tblGrid>
        <w:gridCol w:w="2465"/>
        <w:gridCol w:w="1080"/>
        <w:gridCol w:w="1080"/>
        <w:gridCol w:w="1170"/>
        <w:gridCol w:w="1080"/>
        <w:gridCol w:w="1053"/>
        <w:gridCol w:w="1107"/>
        <w:gridCol w:w="1135"/>
        <w:gridCol w:w="1044"/>
        <w:gridCol w:w="1189"/>
        <w:gridCol w:w="1117"/>
      </w:tblGrid>
      <w:tr w:rsidR="000306D2" w:rsidRPr="000306D2" w:rsidTr="000306D2">
        <w:trPr>
          <w:trHeight w:val="20"/>
          <w:jc w:val="center"/>
        </w:trPr>
        <w:tc>
          <w:tcPr>
            <w:tcW w:w="2465" w:type="dxa"/>
            <w:tcBorders>
              <w:top w:val="nil"/>
              <w:left w:val="nil"/>
              <w:bottom w:val="single" w:sz="4" w:space="0" w:color="auto"/>
              <w:right w:val="nil"/>
            </w:tcBorders>
            <w:shd w:val="clear" w:color="auto" w:fill="FFFFFF" w:themeFill="background1"/>
            <w:vAlign w:val="bottom"/>
            <w:hideMark/>
          </w:tcPr>
          <w:p w:rsidR="000306D2" w:rsidRPr="000306D2" w:rsidRDefault="000306D2" w:rsidP="000306D2">
            <w:pPr>
              <w:rPr>
                <w:rFonts w:ascii="Arial" w:hAnsi="Arial" w:cs="Arial"/>
                <w:color w:val="000000"/>
                <w:sz w:val="18"/>
                <w:szCs w:val="18"/>
                <w:lang w:val="en-GB" w:eastAsia="en-IN"/>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A</w:t>
            </w:r>
          </w:p>
        </w:tc>
        <w:tc>
          <w:tcPr>
            <w:tcW w:w="1080"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B</w:t>
            </w:r>
          </w:p>
        </w:tc>
        <w:tc>
          <w:tcPr>
            <w:tcW w:w="1170"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C</w:t>
            </w:r>
          </w:p>
        </w:tc>
        <w:tc>
          <w:tcPr>
            <w:tcW w:w="1080"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D</w:t>
            </w:r>
          </w:p>
        </w:tc>
        <w:tc>
          <w:tcPr>
            <w:tcW w:w="1053"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E</w:t>
            </w:r>
          </w:p>
        </w:tc>
        <w:tc>
          <w:tcPr>
            <w:tcW w:w="1107"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F</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G</w:t>
            </w:r>
          </w:p>
        </w:tc>
        <w:tc>
          <w:tcPr>
            <w:tcW w:w="1044"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H</w:t>
            </w:r>
          </w:p>
        </w:tc>
        <w:tc>
          <w:tcPr>
            <w:tcW w:w="1189"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I</w:t>
            </w:r>
          </w:p>
        </w:tc>
        <w:tc>
          <w:tcPr>
            <w:tcW w:w="1117" w:type="dxa"/>
            <w:tcBorders>
              <w:top w:val="single" w:sz="4" w:space="0" w:color="auto"/>
              <w:left w:val="nil"/>
              <w:bottom w:val="single" w:sz="4" w:space="0" w:color="auto"/>
              <w:right w:val="single" w:sz="4" w:space="0" w:color="auto"/>
            </w:tcBorders>
            <w:shd w:val="clear" w:color="auto" w:fill="FFFFFF" w:themeFill="background1"/>
            <w:vAlign w:val="bottom"/>
            <w:hideMark/>
          </w:tcPr>
          <w:p w:rsidR="000306D2" w:rsidRPr="000306D2" w:rsidRDefault="000306D2" w:rsidP="000306D2">
            <w:pPr>
              <w:jc w:val="cente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J</w:t>
            </w:r>
          </w:p>
        </w:tc>
      </w:tr>
      <w:tr w:rsidR="000306D2" w:rsidRPr="000306D2" w:rsidTr="000306D2">
        <w:trPr>
          <w:trHeight w:val="20"/>
          <w:jc w:val="center"/>
        </w:trPr>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Year ended</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Dec. 2013</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2013</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Mar. 2014</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 xml:space="preserve">Sales </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123,756</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410,575</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499,185</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94,821</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271,935</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19,295</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443,410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17,246</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865,789</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1,536,362</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Total expenses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118,541</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394,746</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443,101</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85,295</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255,929</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26,137</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367,420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16,234</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719,517</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1,457,915</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Raw materials, stores, and spares (included in operating expenses)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20,028</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176,382</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23,442</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184,276</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210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3,976</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41,961</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Purchase of finished goods (included in operating expenses)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2,329</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205</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7,734</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672</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31</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Total operating expenses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108,295</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339,964</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328,726</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78,277</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237,881</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15,533</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323,190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14,839</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629,882</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1,219,964</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Reported profit after tax</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10,930</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34,608</w:t>
            </w:r>
          </w:p>
        </w:tc>
        <w:tc>
          <w:tcPr>
            <w:tcW w:w="1170" w:type="dxa"/>
            <w:tcBorders>
              <w:top w:val="nil"/>
              <w:left w:val="nil"/>
              <w:bottom w:val="nil"/>
              <w:right w:val="nil"/>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66,002</w:t>
            </w:r>
          </w:p>
        </w:tc>
        <w:tc>
          <w:tcPr>
            <w:tcW w:w="10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13,883</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21,091</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−5,898</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101,941</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1,258</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209,257</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108,912</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Net fixed assets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55,040</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46,929</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398,782</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35,242</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22,433</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16,974</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57,320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5,288</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799,242</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77,165</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Inventories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11,215</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97,976</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25,112</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6,696</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402</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324</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57,044</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bookmarkStart w:id="0" w:name="_GoBack"/>
        <w:bookmarkEnd w:id="0"/>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Sundry debtors and bills receivable</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7,329</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438,029</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46,635</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19,251</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10,008</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1,717</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112,290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109</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104,287</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315,492</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Cash and bank balances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5,034</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118,729</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4,953</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464</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1,175</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444</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250,770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232</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132,186</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1,325,496</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Short-term loans and advances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12,262</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113,321</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293,563</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23,023</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21,318</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16,224</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26,570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1,299</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683,164</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12,217,092</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Total assets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123,517</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845,780</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1,120,348</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142,730</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112,166</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69,373</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532,110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8,830</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2,228,653</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17,945,700</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Current liabilities and provisions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37,463</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487,495</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323,624</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29,538</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53,277</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12,828</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108,160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2,571</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770,541</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935,751</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Sundry creditors (included in current liabilities)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7,093</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94,096</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62,663</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10,069</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22,906</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1,967</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680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2,204</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82,638</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 </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bottom"/>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Shareholders’ funds</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78,248</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330,471</w:t>
            </w:r>
          </w:p>
        </w:tc>
        <w:tc>
          <w:tcPr>
            <w:tcW w:w="117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664,851</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100,826</w:t>
            </w:r>
          </w:p>
        </w:tc>
        <w:tc>
          <w:tcPr>
            <w:tcW w:w="1053"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55,999</w:t>
            </w:r>
          </w:p>
        </w:tc>
        <w:tc>
          <w:tcPr>
            <w:tcW w:w="110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26,891</w:t>
            </w:r>
          </w:p>
        </w:tc>
        <w:tc>
          <w:tcPr>
            <w:tcW w:w="1135"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420,920</w:t>
            </w:r>
          </w:p>
        </w:tc>
        <w:tc>
          <w:tcPr>
            <w:tcW w:w="1044"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5,635</w:t>
            </w:r>
          </w:p>
        </w:tc>
        <w:tc>
          <w:tcPr>
            <w:tcW w:w="1189"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1,229,674</w:t>
            </w:r>
          </w:p>
        </w:tc>
        <w:tc>
          <w:tcPr>
            <w:tcW w:w="1117" w:type="dxa"/>
            <w:tcBorders>
              <w:top w:val="nil"/>
              <w:left w:val="nil"/>
              <w:bottom w:val="single" w:sz="4" w:space="0" w:color="auto"/>
              <w:right w:val="single" w:sz="4" w:space="0" w:color="auto"/>
            </w:tcBorders>
            <w:shd w:val="clear" w:color="auto" w:fill="FFFFFF" w:themeFill="background1"/>
            <w:noWrap/>
            <w:vAlign w:val="bottom"/>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1,182,823</w:t>
            </w:r>
          </w:p>
        </w:tc>
      </w:tr>
      <w:tr w:rsidR="000306D2" w:rsidRPr="000306D2" w:rsidTr="000306D2">
        <w:trPr>
          <w:trHeight w:val="20"/>
          <w:jc w:val="center"/>
        </w:trPr>
        <w:tc>
          <w:tcPr>
            <w:tcW w:w="2465" w:type="dxa"/>
            <w:tcBorders>
              <w:top w:val="nil"/>
              <w:left w:val="single" w:sz="4" w:space="0" w:color="auto"/>
              <w:bottom w:val="single" w:sz="4" w:space="0" w:color="auto"/>
              <w:right w:val="single" w:sz="4" w:space="0" w:color="auto"/>
            </w:tcBorders>
            <w:shd w:val="clear" w:color="auto" w:fill="FFFFFF" w:themeFill="background1"/>
            <w:vAlign w:val="center"/>
            <w:hideMark/>
          </w:tcPr>
          <w:p w:rsidR="000306D2" w:rsidRPr="000306D2" w:rsidRDefault="000306D2" w:rsidP="000306D2">
            <w:pPr>
              <w:rPr>
                <w:rFonts w:ascii="Arial" w:hAnsi="Arial" w:cs="Arial"/>
                <w:b/>
                <w:bCs/>
                <w:color w:val="000000"/>
                <w:sz w:val="18"/>
                <w:szCs w:val="18"/>
                <w:lang w:val="en-GB" w:eastAsia="en-IN"/>
              </w:rPr>
            </w:pPr>
            <w:r w:rsidRPr="000306D2">
              <w:rPr>
                <w:rFonts w:ascii="Arial" w:hAnsi="Arial" w:cs="Arial"/>
                <w:b/>
                <w:bCs/>
                <w:color w:val="000000"/>
                <w:sz w:val="18"/>
                <w:szCs w:val="18"/>
                <w:lang w:val="en-GB" w:eastAsia="en-IN"/>
              </w:rPr>
              <w:t>Borrowings</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350</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27,332</w:t>
            </w:r>
          </w:p>
        </w:tc>
        <w:tc>
          <w:tcPr>
            <w:tcW w:w="1170"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103,654</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9,163</w:t>
            </w:r>
          </w:p>
        </w:tc>
        <w:tc>
          <w:tcPr>
            <w:tcW w:w="1053"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2,843</w:t>
            </w:r>
          </w:p>
        </w:tc>
        <w:tc>
          <w:tcPr>
            <w:tcW w:w="1107"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26,906</w:t>
            </w:r>
          </w:p>
        </w:tc>
        <w:tc>
          <w:tcPr>
            <w:tcW w:w="1135"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p>
        </w:tc>
        <w:tc>
          <w:tcPr>
            <w:tcW w:w="1044"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144</w:t>
            </w:r>
          </w:p>
        </w:tc>
        <w:tc>
          <w:tcPr>
            <w:tcW w:w="1189"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p>
        </w:tc>
        <w:tc>
          <w:tcPr>
            <w:tcW w:w="1117" w:type="dxa"/>
            <w:tcBorders>
              <w:top w:val="nil"/>
              <w:left w:val="nil"/>
              <w:bottom w:val="single" w:sz="4" w:space="0" w:color="auto"/>
              <w:right w:val="single" w:sz="4" w:space="0" w:color="auto"/>
            </w:tcBorders>
            <w:shd w:val="clear" w:color="auto" w:fill="FFFFFF" w:themeFill="background1"/>
            <w:noWrap/>
            <w:vAlign w:val="center"/>
            <w:hideMark/>
          </w:tcPr>
          <w:p w:rsidR="000306D2" w:rsidRPr="000306D2" w:rsidRDefault="000306D2" w:rsidP="000306D2">
            <w:pPr>
              <w:jc w:val="right"/>
              <w:rPr>
                <w:rFonts w:ascii="Arial" w:eastAsiaTheme="minorHAnsi" w:hAnsi="Arial" w:cs="Arial"/>
                <w:color w:val="000000"/>
                <w:sz w:val="18"/>
                <w:szCs w:val="18"/>
                <w:lang w:val="en-GB"/>
              </w:rPr>
            </w:pPr>
            <w:r w:rsidRPr="000306D2">
              <w:rPr>
                <w:rFonts w:ascii="Arial" w:eastAsiaTheme="minorHAnsi" w:hAnsi="Arial" w:cs="Arial"/>
                <w:color w:val="000000"/>
                <w:sz w:val="18"/>
                <w:szCs w:val="18"/>
                <w:lang w:val="en-GB"/>
              </w:rPr>
              <w:t>1,831,309</w:t>
            </w:r>
          </w:p>
        </w:tc>
      </w:tr>
    </w:tbl>
    <w:p w:rsidR="000306D2" w:rsidRDefault="000306D2" w:rsidP="000306D2">
      <w:pPr>
        <w:jc w:val="both"/>
        <w:rPr>
          <w:rFonts w:ascii="Arial" w:hAnsi="Arial" w:cs="Arial"/>
          <w:sz w:val="17"/>
          <w:szCs w:val="17"/>
          <w:lang w:val="en-GB"/>
        </w:rPr>
      </w:pPr>
    </w:p>
    <w:p w:rsidR="000306D2" w:rsidRPr="000306D2" w:rsidRDefault="000306D2" w:rsidP="000306D2">
      <w:pPr>
        <w:jc w:val="both"/>
        <w:rPr>
          <w:rFonts w:ascii="Arial" w:hAnsi="Arial" w:cs="Arial"/>
          <w:sz w:val="16"/>
          <w:szCs w:val="16"/>
          <w:lang w:val="en-GB"/>
        </w:rPr>
      </w:pPr>
      <w:r w:rsidRPr="000306D2">
        <w:rPr>
          <w:rFonts w:ascii="Arial" w:hAnsi="Arial" w:cs="Arial"/>
          <w:sz w:val="17"/>
          <w:szCs w:val="17"/>
          <w:lang w:val="en-GB"/>
        </w:rPr>
        <w:t>Note: INR = Indian rupee = ₹; all currency amounts are in ₹ unless otherwise specified; US$1.00 = ₹68.76 on November 24, 2016.</w:t>
      </w:r>
    </w:p>
    <w:p w:rsidR="000306D2" w:rsidRPr="00746D18" w:rsidRDefault="000306D2" w:rsidP="000306D2">
      <w:pPr>
        <w:pStyle w:val="BodyTextMain"/>
        <w:rPr>
          <w:lang w:val="en-GB"/>
        </w:rPr>
      </w:pPr>
      <w:r w:rsidRPr="000306D2">
        <w:rPr>
          <w:rFonts w:ascii="Arial" w:eastAsiaTheme="minorHAnsi" w:hAnsi="Arial" w:cs="Arial"/>
          <w:sz w:val="17"/>
          <w:szCs w:val="17"/>
          <w:lang w:val="en-GB"/>
        </w:rPr>
        <w:t xml:space="preserve">Source: Centre for Monitoring Indian Economy </w:t>
      </w:r>
      <w:proofErr w:type="spellStart"/>
      <w:r w:rsidRPr="000306D2">
        <w:rPr>
          <w:rFonts w:ascii="Arial" w:eastAsiaTheme="minorHAnsi" w:hAnsi="Arial" w:cs="Arial"/>
          <w:sz w:val="17"/>
          <w:szCs w:val="17"/>
          <w:lang w:val="en-GB"/>
        </w:rPr>
        <w:t>Pvt.</w:t>
      </w:r>
      <w:proofErr w:type="spellEnd"/>
      <w:r w:rsidRPr="000306D2">
        <w:rPr>
          <w:rFonts w:ascii="Arial" w:eastAsiaTheme="minorHAnsi" w:hAnsi="Arial" w:cs="Arial"/>
          <w:sz w:val="17"/>
          <w:szCs w:val="17"/>
          <w:lang w:val="en-GB"/>
        </w:rPr>
        <w:t xml:space="preserve"> Ltd. (CMIE), Prowess database, accessed on April, 14, 2014.</w:t>
      </w:r>
    </w:p>
    <w:p w:rsidR="000306D2" w:rsidRDefault="000306D2" w:rsidP="00746D18">
      <w:pPr>
        <w:pStyle w:val="BodyTextMain"/>
      </w:pPr>
    </w:p>
    <w:p w:rsidR="000306D2" w:rsidRDefault="000306D2" w:rsidP="00746D18">
      <w:pPr>
        <w:pStyle w:val="BodyTextMain"/>
        <w:sectPr w:rsidR="000306D2" w:rsidSect="000306D2">
          <w:headerReference w:type="default" r:id="rId14"/>
          <w:pgSz w:w="15840" w:h="12240" w:orient="landscape" w:code="1"/>
          <w:pgMar w:top="1440" w:right="1440" w:bottom="1440" w:left="1440" w:header="1080" w:footer="720" w:gutter="0"/>
          <w:cols w:space="720"/>
          <w:docGrid w:linePitch="360"/>
        </w:sectPr>
      </w:pPr>
    </w:p>
    <w:p w:rsidR="000306D2" w:rsidRPr="000306D2" w:rsidRDefault="000306D2" w:rsidP="000306D2">
      <w:pPr>
        <w:jc w:val="center"/>
        <w:rPr>
          <w:rFonts w:ascii="Arial Bold" w:eastAsiaTheme="minorHAnsi" w:hAnsi="Arial Bold" w:cs="Arial"/>
          <w:b/>
          <w:caps/>
          <w:lang w:val="en-GB"/>
        </w:rPr>
      </w:pPr>
      <w:r w:rsidRPr="000306D2">
        <w:rPr>
          <w:rFonts w:ascii="Arial Bold" w:eastAsiaTheme="minorHAnsi" w:hAnsi="Arial Bold" w:cs="Arial"/>
          <w:b/>
          <w:caps/>
          <w:lang w:val="en-GB"/>
        </w:rPr>
        <w:lastRenderedPageBreak/>
        <w:t>Exhibit 2: List of Industries and their respective product lines</w:t>
      </w:r>
    </w:p>
    <w:p w:rsidR="000306D2" w:rsidRPr="000306D2" w:rsidRDefault="000306D2" w:rsidP="000306D2">
      <w:pPr>
        <w:jc w:val="both"/>
        <w:rPr>
          <w:rFonts w:eastAsiaTheme="minorHAnsi"/>
          <w:sz w:val="22"/>
          <w:szCs w:val="22"/>
          <w:lang w:val="en-GB"/>
        </w:rPr>
      </w:pPr>
    </w:p>
    <w:tbl>
      <w:tblPr>
        <w:tblStyle w:val="TableGrid1"/>
        <w:tblW w:w="0" w:type="auto"/>
        <w:jc w:val="center"/>
        <w:tblInd w:w="189" w:type="dxa"/>
        <w:tblLook w:val="04A0" w:firstRow="1" w:lastRow="0" w:firstColumn="1" w:lastColumn="0" w:noHBand="0" w:noVBand="1"/>
      </w:tblPr>
      <w:tblGrid>
        <w:gridCol w:w="2790"/>
        <w:gridCol w:w="6399"/>
      </w:tblGrid>
      <w:tr w:rsidR="000306D2" w:rsidRPr="000306D2" w:rsidTr="000306D2">
        <w:trPr>
          <w:jc w:val="center"/>
        </w:trPr>
        <w:tc>
          <w:tcPr>
            <w:tcW w:w="2790" w:type="dxa"/>
          </w:tcPr>
          <w:p w:rsidR="000306D2" w:rsidRPr="000306D2" w:rsidRDefault="000306D2" w:rsidP="000306D2">
            <w:pPr>
              <w:jc w:val="both"/>
              <w:rPr>
                <w:rFonts w:ascii="Arial" w:eastAsiaTheme="minorHAnsi" w:hAnsi="Arial" w:cs="Arial"/>
                <w:b/>
                <w:lang w:val="en-GB"/>
              </w:rPr>
            </w:pPr>
            <w:r w:rsidRPr="000306D2">
              <w:rPr>
                <w:rFonts w:ascii="Arial" w:eastAsiaTheme="minorHAnsi" w:hAnsi="Arial" w:cs="Arial"/>
                <w:b/>
                <w:lang w:val="en-GB"/>
              </w:rPr>
              <w:t>Industry</w:t>
            </w:r>
          </w:p>
        </w:tc>
        <w:tc>
          <w:tcPr>
            <w:tcW w:w="6399" w:type="dxa"/>
          </w:tcPr>
          <w:p w:rsidR="000306D2" w:rsidRPr="000306D2" w:rsidRDefault="000306D2" w:rsidP="000306D2">
            <w:pPr>
              <w:jc w:val="center"/>
              <w:rPr>
                <w:rFonts w:ascii="Arial" w:eastAsiaTheme="minorHAnsi" w:hAnsi="Arial" w:cs="Arial"/>
                <w:b/>
                <w:lang w:val="en-GB"/>
              </w:rPr>
            </w:pPr>
            <w:r w:rsidRPr="000306D2">
              <w:rPr>
                <w:rFonts w:ascii="Arial" w:eastAsiaTheme="minorHAnsi" w:hAnsi="Arial" w:cs="Arial"/>
                <w:b/>
                <w:lang w:val="en-GB"/>
              </w:rPr>
              <w:t>Products/Services Offered</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 xml:space="preserve">Cement </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clinker, grey cement, ready-mix concrete</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Retail food</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bakery products, beverages, desserts, dips</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Oil and gas</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 xml:space="preserve">crude oil, natural gas, liquefied petroleum gas, naphtha, kerosene </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Hospitality</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rooms, restaurants, other facilities</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Automobile (two-wheeler)</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motorcycles, scooters, spares</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Telecommunications</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mobile telephone services</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Banking</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financial services</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Information technology</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software development services</w:t>
            </w:r>
          </w:p>
        </w:tc>
      </w:tr>
      <w:tr w:rsidR="000306D2" w:rsidRPr="000306D2" w:rsidTr="000306D2">
        <w:trPr>
          <w:jc w:val="center"/>
        </w:trPr>
        <w:tc>
          <w:tcPr>
            <w:tcW w:w="2790" w:type="dxa"/>
            <w:vAlign w:val="bottom"/>
          </w:tcPr>
          <w:p w:rsidR="000306D2" w:rsidRPr="000306D2" w:rsidRDefault="000306D2" w:rsidP="000306D2">
            <w:pPr>
              <w:rPr>
                <w:rFonts w:ascii="Arial" w:eastAsiaTheme="minorHAnsi" w:hAnsi="Arial" w:cs="Arial"/>
                <w:lang w:val="en-GB"/>
              </w:rPr>
            </w:pPr>
            <w:r w:rsidRPr="000306D2">
              <w:rPr>
                <w:rFonts w:ascii="Arial" w:eastAsiaTheme="minorHAnsi" w:hAnsi="Arial" w:cs="Arial"/>
                <w:lang w:val="en-GB"/>
              </w:rPr>
              <w:t>Pharmaceutical</w:t>
            </w:r>
          </w:p>
        </w:tc>
        <w:tc>
          <w:tcPr>
            <w:tcW w:w="6399" w:type="dxa"/>
          </w:tcPr>
          <w:p w:rsidR="000306D2" w:rsidRPr="000306D2" w:rsidRDefault="000306D2" w:rsidP="000306D2">
            <w:pPr>
              <w:rPr>
                <w:rFonts w:ascii="Arial" w:eastAsiaTheme="minorHAnsi" w:hAnsi="Arial" w:cs="Arial"/>
                <w:lang w:val="en-GB"/>
              </w:rPr>
            </w:pPr>
            <w:r w:rsidRPr="000306D2">
              <w:rPr>
                <w:rFonts w:ascii="Arial" w:eastAsiaTheme="minorHAnsi" w:hAnsi="Arial" w:cs="Arial"/>
                <w:lang w:val="en-GB"/>
              </w:rPr>
              <w:t>chemicals, including malts, liquids, injections, tablets, capsules, and creams</w:t>
            </w:r>
          </w:p>
        </w:tc>
      </w:tr>
      <w:tr w:rsidR="000306D2" w:rsidRPr="000306D2" w:rsidTr="000306D2">
        <w:trPr>
          <w:jc w:val="center"/>
        </w:trPr>
        <w:tc>
          <w:tcPr>
            <w:tcW w:w="2790"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Heavy engineering</w:t>
            </w:r>
          </w:p>
        </w:tc>
        <w:tc>
          <w:tcPr>
            <w:tcW w:w="6399" w:type="dxa"/>
          </w:tcPr>
          <w:p w:rsidR="000306D2" w:rsidRPr="000306D2" w:rsidRDefault="000306D2" w:rsidP="000306D2">
            <w:pPr>
              <w:jc w:val="both"/>
              <w:rPr>
                <w:rFonts w:ascii="Arial" w:eastAsiaTheme="minorHAnsi" w:hAnsi="Arial" w:cs="Arial"/>
                <w:lang w:val="en-GB"/>
              </w:rPr>
            </w:pPr>
            <w:r w:rsidRPr="000306D2">
              <w:rPr>
                <w:rFonts w:ascii="Arial" w:eastAsiaTheme="minorHAnsi" w:hAnsi="Arial" w:cs="Arial"/>
                <w:lang w:val="en-GB"/>
              </w:rPr>
              <w:t>thermal-, hydro-, and gas-based turnkey power projects; substation projects; rehabilitation projects; transformers; compressors; motors; valves and oil field equipment; electrostatic precipitators; photovoltaic equipment; insulators; heat exchangers; switchgears; castings and forgings</w:t>
            </w:r>
          </w:p>
        </w:tc>
      </w:tr>
    </w:tbl>
    <w:p w:rsidR="000306D2" w:rsidRPr="000306D2" w:rsidRDefault="000306D2" w:rsidP="000306D2">
      <w:pPr>
        <w:jc w:val="both"/>
        <w:rPr>
          <w:rFonts w:ascii="Arial" w:eastAsiaTheme="minorHAnsi" w:hAnsi="Arial" w:cs="Arial"/>
          <w:sz w:val="16"/>
          <w:szCs w:val="16"/>
          <w:lang w:val="en-GB"/>
        </w:rPr>
      </w:pPr>
    </w:p>
    <w:p w:rsidR="000306D2" w:rsidRPr="000306D2" w:rsidRDefault="000306D2" w:rsidP="000306D2">
      <w:pPr>
        <w:jc w:val="both"/>
        <w:rPr>
          <w:rFonts w:eastAsiaTheme="minorHAnsi"/>
          <w:sz w:val="17"/>
          <w:szCs w:val="17"/>
          <w:lang w:val="en-GB"/>
        </w:rPr>
      </w:pPr>
      <w:r w:rsidRPr="000306D2">
        <w:rPr>
          <w:rFonts w:ascii="Arial" w:eastAsiaTheme="minorHAnsi" w:hAnsi="Arial" w:cs="Arial"/>
          <w:sz w:val="17"/>
          <w:szCs w:val="17"/>
          <w:lang w:val="en-GB"/>
        </w:rPr>
        <w:t xml:space="preserve">Source: </w:t>
      </w:r>
      <w:proofErr w:type="spellStart"/>
      <w:r w:rsidRPr="000306D2">
        <w:rPr>
          <w:rFonts w:ascii="Arial" w:eastAsiaTheme="minorHAnsi" w:hAnsi="Arial" w:cs="Arial"/>
          <w:sz w:val="17"/>
          <w:szCs w:val="17"/>
          <w:lang w:val="en-GB"/>
        </w:rPr>
        <w:t>Capitaline</w:t>
      </w:r>
      <w:proofErr w:type="spellEnd"/>
      <w:r w:rsidRPr="000306D2">
        <w:rPr>
          <w:rFonts w:ascii="Arial" w:eastAsiaTheme="minorHAnsi" w:hAnsi="Arial" w:cs="Arial"/>
          <w:sz w:val="17"/>
          <w:szCs w:val="17"/>
          <w:lang w:val="en-GB"/>
        </w:rPr>
        <w:t xml:space="preserve"> </w:t>
      </w:r>
      <w:proofErr w:type="gramStart"/>
      <w:r w:rsidRPr="000306D2">
        <w:rPr>
          <w:rFonts w:ascii="Arial" w:eastAsiaTheme="minorHAnsi" w:hAnsi="Arial" w:cs="Arial"/>
          <w:sz w:val="17"/>
          <w:szCs w:val="17"/>
          <w:lang w:val="en-GB"/>
        </w:rPr>
        <w:t>Database,</w:t>
      </w:r>
      <w:proofErr w:type="gramEnd"/>
      <w:r w:rsidRPr="000306D2">
        <w:rPr>
          <w:rFonts w:ascii="Arial" w:eastAsiaTheme="minorHAnsi" w:hAnsi="Arial" w:cs="Arial"/>
          <w:sz w:val="17"/>
          <w:szCs w:val="17"/>
          <w:lang w:val="en-GB"/>
        </w:rPr>
        <w:t xml:space="preserve"> accessed on April 14, 2014.</w:t>
      </w:r>
    </w:p>
    <w:p w:rsidR="000306D2" w:rsidRPr="000306D2" w:rsidRDefault="000306D2" w:rsidP="000306D2">
      <w:pPr>
        <w:jc w:val="both"/>
        <w:rPr>
          <w:rFonts w:eastAsiaTheme="minorHAnsi"/>
          <w:sz w:val="22"/>
          <w:szCs w:val="22"/>
          <w:lang w:val="en-GB"/>
        </w:rPr>
      </w:pPr>
    </w:p>
    <w:p w:rsidR="00746D18" w:rsidRPr="000306D2" w:rsidRDefault="00746D18" w:rsidP="000306D2">
      <w:pPr>
        <w:pStyle w:val="BodyTextMain"/>
        <w:rPr>
          <w:lang w:val="en-GB"/>
        </w:rPr>
      </w:pPr>
    </w:p>
    <w:p w:rsidR="000306D2" w:rsidRPr="009C2666" w:rsidRDefault="000306D2" w:rsidP="000306D2">
      <w:pPr>
        <w:pStyle w:val="BodyTextMain"/>
      </w:pPr>
    </w:p>
    <w:sectPr w:rsidR="000306D2" w:rsidRPr="009C2666" w:rsidSect="000306D2">
      <w:headerReference w:type="default" r:id="rId15"/>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306D2">
      <w:rPr>
        <w:rFonts w:ascii="Arial" w:hAnsi="Arial"/>
        <w:b/>
        <w:noProof/>
      </w:rPr>
      <w:t>2</w:t>
    </w:r>
    <w:r>
      <w:rPr>
        <w:rFonts w:ascii="Arial" w:hAnsi="Arial"/>
        <w:b/>
      </w:rPr>
      <w:fldChar w:fldCharType="end"/>
    </w:r>
    <w:r>
      <w:rPr>
        <w:rFonts w:ascii="Arial" w:hAnsi="Arial"/>
        <w:b/>
      </w:rPr>
      <w:tab/>
    </w:r>
    <w:r w:rsidR="00746D18">
      <w:rPr>
        <w:rFonts w:ascii="Arial" w:hAnsi="Arial"/>
        <w:b/>
      </w:rPr>
      <w:t>9B17B001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6D2" w:rsidRPr="00C92CC4" w:rsidRDefault="000306D2" w:rsidP="000306D2">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E7527">
      <w:rPr>
        <w:rFonts w:ascii="Arial" w:hAnsi="Arial"/>
        <w:b/>
        <w:noProof/>
      </w:rPr>
      <w:t>2</w:t>
    </w:r>
    <w:r>
      <w:rPr>
        <w:rFonts w:ascii="Arial" w:hAnsi="Arial"/>
        <w:b/>
      </w:rPr>
      <w:fldChar w:fldCharType="end"/>
    </w:r>
    <w:r>
      <w:rPr>
        <w:rFonts w:ascii="Arial" w:hAnsi="Arial"/>
        <w:b/>
      </w:rPr>
      <w:tab/>
      <w:t>9B17B001</w:t>
    </w:r>
  </w:p>
  <w:p w:rsidR="000306D2" w:rsidRDefault="000306D2" w:rsidP="000306D2">
    <w:pPr>
      <w:pStyle w:val="Header"/>
      <w:tabs>
        <w:tab w:val="clear" w:pos="4680"/>
        <w:tab w:val="clear" w:pos="9360"/>
        <w:tab w:val="right" w:pos="12960"/>
      </w:tabs>
      <w:rPr>
        <w:sz w:val="18"/>
        <w:szCs w:val="18"/>
      </w:rPr>
    </w:pPr>
  </w:p>
  <w:p w:rsidR="000306D2" w:rsidRPr="00C92CC4" w:rsidRDefault="000306D2" w:rsidP="000306D2">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6D2" w:rsidRPr="00C92CC4" w:rsidRDefault="000306D2" w:rsidP="000306D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E7527">
      <w:rPr>
        <w:rFonts w:ascii="Arial" w:hAnsi="Arial"/>
        <w:b/>
        <w:noProof/>
      </w:rPr>
      <w:t>3</w:t>
    </w:r>
    <w:r>
      <w:rPr>
        <w:rFonts w:ascii="Arial" w:hAnsi="Arial"/>
        <w:b/>
      </w:rPr>
      <w:fldChar w:fldCharType="end"/>
    </w:r>
    <w:r>
      <w:rPr>
        <w:rFonts w:ascii="Arial" w:hAnsi="Arial"/>
        <w:b/>
      </w:rPr>
      <w:tab/>
      <w:t>9B17B001</w:t>
    </w:r>
  </w:p>
  <w:p w:rsidR="000306D2" w:rsidRDefault="000306D2" w:rsidP="000306D2">
    <w:pPr>
      <w:pStyle w:val="Header"/>
      <w:tabs>
        <w:tab w:val="clear" w:pos="4680"/>
      </w:tabs>
      <w:rPr>
        <w:sz w:val="18"/>
        <w:szCs w:val="18"/>
      </w:rPr>
    </w:pPr>
  </w:p>
  <w:p w:rsidR="000306D2" w:rsidRPr="00C92CC4" w:rsidRDefault="000306D2" w:rsidP="000306D2">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06D2"/>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74D31"/>
    <w:rsid w:val="002F460C"/>
    <w:rsid w:val="002F48D6"/>
    <w:rsid w:val="00317391"/>
    <w:rsid w:val="00326216"/>
    <w:rsid w:val="00336580"/>
    <w:rsid w:val="00354899"/>
    <w:rsid w:val="00355FD6"/>
    <w:rsid w:val="00364A5C"/>
    <w:rsid w:val="00365AD0"/>
    <w:rsid w:val="00373FB1"/>
    <w:rsid w:val="00396C76"/>
    <w:rsid w:val="003B30D8"/>
    <w:rsid w:val="003B7EF2"/>
    <w:rsid w:val="003C3FA4"/>
    <w:rsid w:val="003E7527"/>
    <w:rsid w:val="003F2B0C"/>
    <w:rsid w:val="003F43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46D18"/>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03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03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E2E6A-F6B5-4C46-8748-AFBB815DA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2017-01-10T15:26:00Z</dcterms:created>
  <dcterms:modified xsi:type="dcterms:W3CDTF">2017-01-16T20:05:00Z</dcterms:modified>
</cp:coreProperties>
</file>