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3C5360" w14:textId="7E418BF1" w:rsidR="008467D5" w:rsidRDefault="00060A2D" w:rsidP="00013360">
      <w:pPr>
        <w:tabs>
          <w:tab w:val="left" w:pos="-1440"/>
          <w:tab w:val="left" w:pos="-720"/>
          <w:tab w:val="left" w:pos="1"/>
          <w:tab w:val="right" w:pos="9360"/>
        </w:tabs>
        <w:jc w:val="both"/>
        <w:rPr>
          <w:rFonts w:ascii="Arial" w:hAnsi="Arial"/>
          <w:sz w:val="24"/>
        </w:rPr>
      </w:pPr>
      <w:r w:rsidRPr="00060A2D">
        <w:rPr>
          <w:rFonts w:ascii="Arial" w:hAnsi="Arial"/>
          <w:b/>
          <w:noProof/>
          <w:sz w:val="24"/>
          <w:lang w:eastAsia="en-GB"/>
        </w:rPr>
        <w:drawing>
          <wp:inline distT="0" distB="0" distL="0" distR="0" wp14:anchorId="33A29722" wp14:editId="7F8CD37B">
            <wp:extent cx="2613804" cy="55124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lishing-Logo.jpg"/>
                    <pic:cNvPicPr/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656" cy="55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AFEA" w14:textId="77777777" w:rsidR="00856D9F" w:rsidRDefault="00856D9F" w:rsidP="008467D5">
      <w:pPr>
        <w:pBdr>
          <w:bottom w:val="single" w:sz="18" w:space="1" w:color="auto"/>
        </w:pBdr>
        <w:tabs>
          <w:tab w:val="left" w:pos="-1440"/>
          <w:tab w:val="left" w:pos="-720"/>
          <w:tab w:val="left" w:pos="1"/>
        </w:tabs>
        <w:jc w:val="both"/>
        <w:rPr>
          <w:rFonts w:ascii="Arial" w:hAnsi="Arial"/>
          <w:b/>
          <w:sz w:val="24"/>
        </w:rPr>
      </w:pPr>
    </w:p>
    <w:p w14:paraId="48069107" w14:textId="79160B2B" w:rsidR="00D75295" w:rsidRDefault="00060A2D" w:rsidP="008C2FD6">
      <w:pPr>
        <w:pStyle w:val="ProductNumber"/>
        <w:outlineLvl w:val="0"/>
      </w:pPr>
      <w:r>
        <w:t>9B17B</w:t>
      </w:r>
      <w:r w:rsidR="002D2003">
        <w:t>002</w:t>
      </w:r>
    </w:p>
    <w:p w14:paraId="3EF69E66" w14:textId="77777777" w:rsidR="00D75295" w:rsidRDefault="00D75295" w:rsidP="00D75295">
      <w:pPr>
        <w:jc w:val="right"/>
        <w:rPr>
          <w:rFonts w:ascii="Arial" w:hAnsi="Arial"/>
          <w:b/>
          <w:sz w:val="28"/>
          <w:szCs w:val="28"/>
        </w:rPr>
      </w:pPr>
    </w:p>
    <w:p w14:paraId="16277544" w14:textId="77777777" w:rsidR="00866F6D" w:rsidRDefault="00866F6D" w:rsidP="00D75295">
      <w:pPr>
        <w:jc w:val="right"/>
        <w:rPr>
          <w:rFonts w:ascii="Arial" w:hAnsi="Arial"/>
          <w:b/>
          <w:sz w:val="28"/>
          <w:szCs w:val="28"/>
        </w:rPr>
      </w:pPr>
    </w:p>
    <w:p w14:paraId="02CA6CC0" w14:textId="6392C166" w:rsidR="00013360" w:rsidRPr="00361C8E" w:rsidRDefault="00B6530D" w:rsidP="00013360">
      <w:pPr>
        <w:pStyle w:val="CaseTitle"/>
        <w:spacing w:after="0" w:line="240" w:lineRule="auto"/>
      </w:pPr>
      <w:r>
        <w:t xml:space="preserve">joneja bright steels: </w:t>
      </w:r>
      <w:r w:rsidR="00CF47BB">
        <w:t xml:space="preserve">THE CASH </w:t>
      </w:r>
      <w:r w:rsidR="006E6C34">
        <w:t xml:space="preserve">discount decision </w:t>
      </w:r>
    </w:p>
    <w:p w14:paraId="2ABABA53" w14:textId="77777777" w:rsidR="00013360" w:rsidRDefault="00013360" w:rsidP="00013360">
      <w:pPr>
        <w:pStyle w:val="CaseTitle"/>
        <w:spacing w:after="0" w:line="240" w:lineRule="auto"/>
        <w:rPr>
          <w:sz w:val="20"/>
          <w:szCs w:val="20"/>
        </w:rPr>
      </w:pPr>
    </w:p>
    <w:p w14:paraId="588ABAF3" w14:textId="77777777" w:rsidR="00CA3976" w:rsidRDefault="00CA3976" w:rsidP="00013360">
      <w:pPr>
        <w:pStyle w:val="CaseTitle"/>
        <w:spacing w:after="0" w:line="240" w:lineRule="auto"/>
        <w:rPr>
          <w:sz w:val="20"/>
          <w:szCs w:val="20"/>
        </w:rPr>
      </w:pPr>
    </w:p>
    <w:p w14:paraId="5D32E0FB" w14:textId="77777777" w:rsidR="00013360" w:rsidRPr="00013360" w:rsidRDefault="00013360" w:rsidP="00013360">
      <w:pPr>
        <w:pStyle w:val="CaseTitle"/>
        <w:spacing w:after="0" w:line="240" w:lineRule="auto"/>
        <w:rPr>
          <w:sz w:val="20"/>
          <w:szCs w:val="20"/>
        </w:rPr>
      </w:pPr>
    </w:p>
    <w:p w14:paraId="03EDDBD2" w14:textId="77777777" w:rsidR="00013360" w:rsidRDefault="00B6530D" w:rsidP="00104567">
      <w:pPr>
        <w:pStyle w:val="StyleCopyrightStatementAfter0ptBottomSinglesolidline1"/>
      </w:pPr>
      <w:r>
        <w:t xml:space="preserve">Surya </w:t>
      </w:r>
      <w:proofErr w:type="spellStart"/>
      <w:r>
        <w:t>Bhushan</w:t>
      </w:r>
      <w:proofErr w:type="spellEnd"/>
      <w:r>
        <w:t xml:space="preserve"> Kumar, Vinay </w:t>
      </w:r>
      <w:proofErr w:type="spellStart"/>
      <w:r>
        <w:t>Goyal</w:t>
      </w:r>
      <w:proofErr w:type="spellEnd"/>
      <w:r>
        <w:t xml:space="preserve">, and </w:t>
      </w:r>
      <w:proofErr w:type="spellStart"/>
      <w:r>
        <w:t>Subrata</w:t>
      </w:r>
      <w:proofErr w:type="spellEnd"/>
      <w:r>
        <w:t xml:space="preserve"> Kumar </w:t>
      </w:r>
      <w:proofErr w:type="spellStart"/>
      <w:r>
        <w:t>Mitra</w:t>
      </w:r>
      <w:proofErr w:type="spellEnd"/>
      <w:r w:rsidR="007E5921">
        <w:t xml:space="preserve"> wrote this case sol</w:t>
      </w:r>
      <w:r w:rsidR="00D75295" w:rsidRPr="00104567">
        <w:t>ely to provide material for class discussion. The</w:t>
      </w:r>
      <w:r w:rsidR="00D75295">
        <w:t xml:space="preserve"> authors do not intend to illustrate either effective or ineffective handling of a managerial situation. The authors may have disguised certain names and other identifying information to protect confidentiality.</w:t>
      </w:r>
    </w:p>
    <w:p w14:paraId="5716CA93" w14:textId="77777777" w:rsidR="00013360" w:rsidRDefault="00013360" w:rsidP="00104567">
      <w:pPr>
        <w:pStyle w:val="StyleCopyrightStatementAfter0ptBottomSinglesolidline1"/>
      </w:pPr>
    </w:p>
    <w:p w14:paraId="667A4662" w14:textId="77777777" w:rsidR="00060A2D" w:rsidRDefault="00060A2D" w:rsidP="004A5418">
      <w:pPr>
        <w:jc w:val="both"/>
        <w:rPr>
          <w:rFonts w:ascii="Arial" w:hAnsi="Arial" w:cs="Arial"/>
          <w:i/>
          <w:iCs/>
          <w:sz w:val="16"/>
          <w:szCs w:val="16"/>
          <w:lang w:val="en-CA"/>
        </w:rPr>
      </w:pPr>
      <w:r>
        <w:rPr>
          <w:rFonts w:ascii="Arial" w:hAnsi="Arial" w:cs="Arial"/>
          <w:i/>
          <w:iCs/>
          <w:sz w:val="16"/>
          <w:szCs w:val="16"/>
          <w:lang w:val="en-CA"/>
        </w:rPr>
        <w:t xml:space="preserve">This publication </w:t>
      </w:r>
      <w:proofErr w:type="gramStart"/>
      <w:r>
        <w:rPr>
          <w:rFonts w:ascii="Arial" w:hAnsi="Arial" w:cs="Arial"/>
          <w:i/>
          <w:iCs/>
          <w:sz w:val="16"/>
          <w:szCs w:val="16"/>
          <w:lang w:val="en-CA"/>
        </w:rPr>
        <w:t>may not be transmitted, photocopied, digitized or otherwise reproduced in any form or by any means without the permission of the copyright holder</w:t>
      </w:r>
      <w:proofErr w:type="gramEnd"/>
      <w:r>
        <w:rPr>
          <w:rFonts w:ascii="Arial" w:hAnsi="Arial" w:cs="Arial"/>
          <w:i/>
          <w:iCs/>
          <w:sz w:val="16"/>
          <w:szCs w:val="16"/>
          <w:lang w:val="en-CA"/>
        </w:rPr>
        <w:t xml:space="preserve">. Reproduction of this material </w:t>
      </w:r>
      <w:proofErr w:type="gramStart"/>
      <w:r>
        <w:rPr>
          <w:rFonts w:ascii="Arial" w:hAnsi="Arial" w:cs="Arial"/>
          <w:i/>
          <w:iCs/>
          <w:sz w:val="16"/>
          <w:szCs w:val="16"/>
          <w:lang w:val="en-CA"/>
        </w:rPr>
        <w:t>is not covered</w:t>
      </w:r>
      <w:proofErr w:type="gramEnd"/>
      <w:r>
        <w:rPr>
          <w:rFonts w:ascii="Arial" w:hAnsi="Arial" w:cs="Arial"/>
          <w:i/>
          <w:iCs/>
          <w:sz w:val="16"/>
          <w:szCs w:val="16"/>
          <w:lang w:val="en-CA"/>
        </w:rPr>
        <w:t xml:space="preserve"> under authorization by any reproduction rights organization. To order copies or request permission to reproduce materials, contact Ivey Publishing, Ivey Business School, Western University, London, Ontario, Canada, N6G 0N1; (t) 519.661.3208; (e) </w:t>
      </w:r>
      <w:hyperlink r:id="rId9" w:history="1">
        <w:r w:rsidRPr="00452769">
          <w:rPr>
            <w:rFonts w:ascii="Arial" w:hAnsi="Arial" w:cs="Arial"/>
            <w:i/>
            <w:iCs/>
            <w:sz w:val="16"/>
            <w:szCs w:val="16"/>
            <w:lang w:val="en-CA"/>
          </w:rPr>
          <w:t>cases@ivey.ca</w:t>
        </w:r>
      </w:hyperlink>
      <w:r>
        <w:rPr>
          <w:rFonts w:ascii="Arial" w:hAnsi="Arial" w:cs="Arial"/>
          <w:i/>
          <w:iCs/>
          <w:sz w:val="16"/>
          <w:szCs w:val="16"/>
          <w:lang w:val="en-CA"/>
        </w:rPr>
        <w:t xml:space="preserve">; </w:t>
      </w:r>
      <w:hyperlink r:id="rId10" w:history="1">
        <w:r w:rsidRPr="00452769">
          <w:rPr>
            <w:rFonts w:ascii="Arial" w:hAnsi="Arial" w:cs="Arial"/>
            <w:i/>
            <w:iCs/>
            <w:sz w:val="16"/>
            <w:szCs w:val="16"/>
            <w:lang w:val="en-CA"/>
          </w:rPr>
          <w:t>www.iveycases.com</w:t>
        </w:r>
      </w:hyperlink>
      <w:r>
        <w:rPr>
          <w:rFonts w:ascii="Arial" w:hAnsi="Arial" w:cs="Arial"/>
          <w:i/>
          <w:iCs/>
          <w:sz w:val="16"/>
          <w:szCs w:val="16"/>
          <w:lang w:val="en-CA"/>
        </w:rPr>
        <w:t>.</w:t>
      </w:r>
    </w:p>
    <w:p w14:paraId="7BEB1B67" w14:textId="77777777" w:rsidR="00060A2D" w:rsidRDefault="00060A2D" w:rsidP="004A5418">
      <w:pPr>
        <w:pStyle w:val="StyleCopyrightStatementAfter0ptBottomSinglesolidline1"/>
        <w:pBdr>
          <w:top w:val="none" w:sz="0" w:space="0" w:color="auto"/>
        </w:pBdr>
      </w:pPr>
    </w:p>
    <w:p w14:paraId="4EB8E60D" w14:textId="6AF6F832" w:rsidR="003B7EF2" w:rsidRDefault="00060A2D" w:rsidP="00060A2D">
      <w:pPr>
        <w:pStyle w:val="StyleStyleCopyrightStatementAfter0ptBottomSinglesolid"/>
      </w:pPr>
      <w:r>
        <w:t>Copyright © 2017, Richard Ivey School of Business Foundation</w:t>
      </w:r>
      <w:r w:rsidR="003B7EF2">
        <w:tab/>
        <w:t xml:space="preserve">Version: </w:t>
      </w:r>
      <w:r w:rsidR="00361C8E">
        <w:t>201</w:t>
      </w:r>
      <w:r w:rsidR="002726D0">
        <w:t>7</w:t>
      </w:r>
      <w:r w:rsidR="00361C8E">
        <w:t>-</w:t>
      </w:r>
      <w:r w:rsidR="000B4998">
        <w:t>02</w:t>
      </w:r>
      <w:r w:rsidR="00361C8E">
        <w:t>-</w:t>
      </w:r>
      <w:r w:rsidR="000B4998">
        <w:t>21</w:t>
      </w:r>
    </w:p>
    <w:p w14:paraId="265E6222" w14:textId="77777777" w:rsidR="003B7EF2" w:rsidRPr="003B7EF2" w:rsidRDefault="003B7EF2" w:rsidP="00104567">
      <w:pPr>
        <w:pStyle w:val="StyleCopyrightStatementAfter0ptBottomSinglesolidline1"/>
        <w:rPr>
          <w:rFonts w:ascii="Times New Roman" w:hAnsi="Times New Roman"/>
          <w:sz w:val="20"/>
        </w:rPr>
      </w:pPr>
    </w:p>
    <w:p w14:paraId="0DE76AED" w14:textId="77777777" w:rsidR="003B7EF2" w:rsidRDefault="003B7EF2" w:rsidP="006B7F7A">
      <w:pPr>
        <w:pStyle w:val="BodyTextMain"/>
      </w:pPr>
    </w:p>
    <w:p w14:paraId="60DCAC46" w14:textId="537F5816" w:rsidR="0079464D" w:rsidRDefault="00B6530D" w:rsidP="00D37A5B">
      <w:pPr>
        <w:pStyle w:val="BodyTextMain"/>
      </w:pPr>
      <w:r w:rsidRPr="00D37A5B">
        <w:t xml:space="preserve">Sitting inside the office of his company’s headquarters </w:t>
      </w:r>
      <w:r w:rsidR="00E82BF0">
        <w:t>in</w:t>
      </w:r>
      <w:r w:rsidR="00E82BF0" w:rsidRPr="00D37A5B">
        <w:t xml:space="preserve"> </w:t>
      </w:r>
      <w:r w:rsidRPr="00D37A5B">
        <w:t>Faridabad</w:t>
      </w:r>
      <w:r w:rsidR="00E82BF0">
        <w:t>,</w:t>
      </w:r>
      <w:r w:rsidRPr="00D37A5B">
        <w:t xml:space="preserve"> India, </w:t>
      </w:r>
      <w:proofErr w:type="spellStart"/>
      <w:r w:rsidRPr="00D37A5B">
        <w:t>Ajai</w:t>
      </w:r>
      <w:proofErr w:type="spellEnd"/>
      <w:r w:rsidRPr="00D37A5B">
        <w:t xml:space="preserve"> </w:t>
      </w:r>
      <w:proofErr w:type="spellStart"/>
      <w:r w:rsidRPr="00D37A5B">
        <w:t>Joneja</w:t>
      </w:r>
      <w:proofErr w:type="spellEnd"/>
      <w:r w:rsidRPr="00D37A5B">
        <w:t xml:space="preserve">, </w:t>
      </w:r>
      <w:r w:rsidR="00E82BF0">
        <w:t>j</w:t>
      </w:r>
      <w:r w:rsidRPr="00D37A5B">
        <w:t xml:space="preserve">oint </w:t>
      </w:r>
      <w:r w:rsidR="00E82BF0">
        <w:t>m</w:t>
      </w:r>
      <w:r w:rsidRPr="00D37A5B">
        <w:t xml:space="preserve">anaging </w:t>
      </w:r>
      <w:r w:rsidR="00E82BF0">
        <w:t>d</w:t>
      </w:r>
      <w:r w:rsidRPr="00D37A5B">
        <w:t xml:space="preserve">irector of </w:t>
      </w:r>
      <w:proofErr w:type="spellStart"/>
      <w:r w:rsidRPr="00D37A5B">
        <w:t>Joneja</w:t>
      </w:r>
      <w:proofErr w:type="spellEnd"/>
      <w:r w:rsidRPr="00D37A5B">
        <w:t xml:space="preserve"> Bright Steels Private Limited (</w:t>
      </w:r>
      <w:r w:rsidR="00E82BF0">
        <w:t>JBS</w:t>
      </w:r>
      <w:r w:rsidRPr="00D37A5B">
        <w:t>), was thinking about the current situation of the steel market in India. It was March 21, 2016</w:t>
      </w:r>
      <w:r w:rsidR="00E82BF0">
        <w:t>,</w:t>
      </w:r>
      <w:r w:rsidRPr="00D37A5B">
        <w:t xml:space="preserve"> and </w:t>
      </w:r>
      <w:proofErr w:type="spellStart"/>
      <w:r w:rsidRPr="00D37A5B">
        <w:t>Ajai</w:t>
      </w:r>
      <w:proofErr w:type="spellEnd"/>
      <w:r w:rsidRPr="00D37A5B">
        <w:t xml:space="preserve"> was worried by the continuing decline in profitability and </w:t>
      </w:r>
      <w:r w:rsidR="00E82BF0">
        <w:t xml:space="preserve">the </w:t>
      </w:r>
      <w:proofErr w:type="gramStart"/>
      <w:r w:rsidR="005A123B">
        <w:t>firm’s</w:t>
      </w:r>
      <w:proofErr w:type="gramEnd"/>
      <w:r w:rsidR="005A123B">
        <w:t xml:space="preserve"> </w:t>
      </w:r>
      <w:r w:rsidRPr="00D37A5B">
        <w:t xml:space="preserve">stressed liquidity situation. Declines in sales concerned </w:t>
      </w:r>
      <w:proofErr w:type="spellStart"/>
      <w:r w:rsidRPr="00D37A5B">
        <w:t>Ajai</w:t>
      </w:r>
      <w:proofErr w:type="spellEnd"/>
      <w:r w:rsidRPr="00D37A5B">
        <w:t xml:space="preserve">; he had expressed these and other, similar concerns at meetings where some of the top-level executives in the industry gathered. These executives seemed to be confronting many of the same business challenges. Accordingly, </w:t>
      </w:r>
      <w:proofErr w:type="spellStart"/>
      <w:r w:rsidRPr="00D37A5B">
        <w:t>Ajai</w:t>
      </w:r>
      <w:proofErr w:type="spellEnd"/>
      <w:r w:rsidRPr="00D37A5B">
        <w:t xml:space="preserve"> was creat</w:t>
      </w:r>
      <w:r w:rsidR="00AA4D11">
        <w:t>ing</w:t>
      </w:r>
      <w:r w:rsidRPr="00D37A5B">
        <w:t xml:space="preserve"> a plan to improve the company’s profitability and liquidity position before competitors could surpass </w:t>
      </w:r>
      <w:r w:rsidR="00423A97">
        <w:t>JBS’s</w:t>
      </w:r>
      <w:r w:rsidR="00423A97" w:rsidRPr="00D37A5B">
        <w:t xml:space="preserve"> </w:t>
      </w:r>
      <w:r w:rsidRPr="00D37A5B">
        <w:t xml:space="preserve">position in the industry. </w:t>
      </w:r>
    </w:p>
    <w:p w14:paraId="35C64F39" w14:textId="77777777" w:rsidR="0079464D" w:rsidRDefault="0079464D" w:rsidP="00D37A5B">
      <w:pPr>
        <w:pStyle w:val="BodyTextMain"/>
      </w:pPr>
    </w:p>
    <w:p w14:paraId="01FDBEE6" w14:textId="15708490" w:rsidR="00B6530D" w:rsidRPr="00D37A5B" w:rsidRDefault="00B6530D" w:rsidP="00D37A5B">
      <w:pPr>
        <w:pStyle w:val="BodyTextMain"/>
      </w:pPr>
      <w:r w:rsidRPr="00D37A5B">
        <w:t xml:space="preserve">The proposal that </w:t>
      </w:r>
      <w:proofErr w:type="spellStart"/>
      <w:r w:rsidRPr="00D37A5B">
        <w:t>Ajai</w:t>
      </w:r>
      <w:proofErr w:type="spellEnd"/>
      <w:r w:rsidRPr="00D37A5B">
        <w:t xml:space="preserve"> considered was to offer a cash discount to the </w:t>
      </w:r>
      <w:r w:rsidR="00C81DEC">
        <w:t xml:space="preserve">company’s </w:t>
      </w:r>
      <w:r w:rsidR="00AA4D11">
        <w:t>customers</w:t>
      </w:r>
      <w:r w:rsidRPr="00D37A5B">
        <w:t xml:space="preserve">. He believed that offering an incentive to </w:t>
      </w:r>
      <w:r w:rsidR="00AA4D11">
        <w:t>customers</w:t>
      </w:r>
      <w:r w:rsidR="00AA4D11" w:rsidRPr="00D37A5B">
        <w:t xml:space="preserve"> </w:t>
      </w:r>
      <w:r w:rsidRPr="00D37A5B">
        <w:t>in the form of a cash discount would encourage them to make early payments. His managers were not at ease with this proposal, believing that it m</w:t>
      </w:r>
      <w:r w:rsidR="004A5418">
        <w:t>ight</w:t>
      </w:r>
      <w:r w:rsidRPr="00D37A5B">
        <w:t xml:space="preserve"> not have an impact and </w:t>
      </w:r>
      <w:r w:rsidR="00DE3B3F">
        <w:t xml:space="preserve">would not </w:t>
      </w:r>
      <w:r w:rsidRPr="00D37A5B">
        <w:t xml:space="preserve">increase the company’s profitability. Historically, </w:t>
      </w:r>
      <w:r w:rsidR="00E82BF0">
        <w:t>JBS</w:t>
      </w:r>
      <w:r w:rsidRPr="00D37A5B">
        <w:t xml:space="preserve"> had not offer</w:t>
      </w:r>
      <w:r w:rsidR="00DE3B3F">
        <w:t>ed</w:t>
      </w:r>
      <w:r w:rsidRPr="00D37A5B">
        <w:t xml:space="preserve"> this discount because of its business model, which </w:t>
      </w:r>
      <w:proofErr w:type="gramStart"/>
      <w:r w:rsidRPr="00D37A5B">
        <w:t>was based</w:t>
      </w:r>
      <w:proofErr w:type="gramEnd"/>
      <w:r w:rsidRPr="00D37A5B">
        <w:t xml:space="preserve"> on low business margins. </w:t>
      </w:r>
      <w:proofErr w:type="gramStart"/>
      <w:r w:rsidR="00DE3B3F">
        <w:t>But</w:t>
      </w:r>
      <w:proofErr w:type="gramEnd"/>
      <w:r w:rsidR="00DE3B3F">
        <w:t xml:space="preserve"> w</w:t>
      </w:r>
      <w:r w:rsidRPr="00D37A5B">
        <w:t>ith its recent capacity expansion, the company had created un</w:t>
      </w:r>
      <w:r w:rsidR="00CF0623">
        <w:t>used</w:t>
      </w:r>
      <w:r w:rsidRPr="00D37A5B">
        <w:t xml:space="preserve"> capacity that could bring in extra profit</w:t>
      </w:r>
      <w:r w:rsidR="004A5418">
        <w:t>s</w:t>
      </w:r>
      <w:r w:rsidRPr="00D37A5B">
        <w:t xml:space="preserve">. Based on his experience, </w:t>
      </w:r>
      <w:proofErr w:type="spellStart"/>
      <w:r w:rsidRPr="00D37A5B">
        <w:t>Ajai</w:t>
      </w:r>
      <w:proofErr w:type="spellEnd"/>
      <w:r w:rsidRPr="00D37A5B">
        <w:t xml:space="preserve"> believed that offering a discount to </w:t>
      </w:r>
      <w:r w:rsidR="00CF0623">
        <w:t>customers</w:t>
      </w:r>
      <w:r w:rsidR="00CF0623" w:rsidRPr="00D37A5B">
        <w:t xml:space="preserve"> </w:t>
      </w:r>
      <w:r w:rsidRPr="00D37A5B">
        <w:t xml:space="preserve">would improve the company’s overall credit collection period. However, he was uncertain </w:t>
      </w:r>
      <w:r w:rsidR="0055611D">
        <w:t>about</w:t>
      </w:r>
      <w:r w:rsidR="0055611D" w:rsidRPr="00D37A5B">
        <w:t xml:space="preserve"> </w:t>
      </w:r>
      <w:r w:rsidRPr="00D37A5B">
        <w:t xml:space="preserve">the impact that this type of discount would have on </w:t>
      </w:r>
      <w:r w:rsidR="00E82BF0">
        <w:t>JBS</w:t>
      </w:r>
      <w:r w:rsidRPr="00D37A5B">
        <w:t>’s overall profitability and stressed cash position.</w:t>
      </w:r>
    </w:p>
    <w:p w14:paraId="7E9124E3" w14:textId="77777777" w:rsidR="00B6530D" w:rsidRPr="00D37A5B" w:rsidRDefault="00B6530D" w:rsidP="00D37A5B">
      <w:pPr>
        <w:pStyle w:val="BodyTextMain"/>
      </w:pPr>
    </w:p>
    <w:p w14:paraId="21412689" w14:textId="77777777" w:rsidR="00B6530D" w:rsidRPr="00D37A5B" w:rsidRDefault="00B6530D" w:rsidP="00D37A5B">
      <w:pPr>
        <w:pStyle w:val="BodyTextMain"/>
      </w:pPr>
    </w:p>
    <w:p w14:paraId="5B7008F2" w14:textId="77777777" w:rsidR="00B6530D" w:rsidRPr="00231E55" w:rsidRDefault="00B6530D" w:rsidP="008C2FD6">
      <w:pPr>
        <w:pStyle w:val="Casehead1"/>
        <w:outlineLvl w:val="0"/>
        <w:rPr>
          <w:lang w:val="en-CA"/>
        </w:rPr>
      </w:pPr>
      <w:r w:rsidRPr="00231E55">
        <w:rPr>
          <w:lang w:val="en-CA"/>
        </w:rPr>
        <w:t>Bright Steel Industry</w:t>
      </w:r>
    </w:p>
    <w:p w14:paraId="74140813" w14:textId="77777777" w:rsidR="00B6530D" w:rsidRPr="00D37A5B" w:rsidRDefault="00B6530D" w:rsidP="00D37A5B">
      <w:pPr>
        <w:pStyle w:val="BodyTextMain"/>
      </w:pPr>
    </w:p>
    <w:p w14:paraId="3F86AAC7" w14:textId="277EFC0C" w:rsidR="00B6530D" w:rsidRDefault="00B6530D" w:rsidP="00D37A5B">
      <w:pPr>
        <w:pStyle w:val="BodyTextMain"/>
      </w:pPr>
      <w:r w:rsidRPr="00D37A5B">
        <w:t>In India, bright steel manufacturing was a growth industry due to its direct link to the automobile sector.</w:t>
      </w:r>
      <w:r w:rsidR="00BE19D1">
        <w:t xml:space="preserve"> Bright </w:t>
      </w:r>
      <w:r w:rsidR="002E0BBF">
        <w:t xml:space="preserve">steel </w:t>
      </w:r>
      <w:r w:rsidR="00BE19D1">
        <w:t xml:space="preserve">products are essentially products </w:t>
      </w:r>
      <w:r w:rsidR="004A5418">
        <w:t xml:space="preserve">that </w:t>
      </w:r>
      <w:proofErr w:type="gramStart"/>
      <w:r w:rsidR="00BE19D1">
        <w:t>are created</w:t>
      </w:r>
      <w:proofErr w:type="gramEnd"/>
      <w:r w:rsidR="00BE19D1">
        <w:t xml:space="preserve"> from black steel with further processing of annealing, tempering, and/or rolling at room temperature (normally). </w:t>
      </w:r>
      <w:r w:rsidR="008C4C6B">
        <w:t xml:space="preserve">These products have a superior surface finish and better tolerance, concentricity, and straightness. </w:t>
      </w:r>
      <w:r w:rsidRPr="00D37A5B">
        <w:t xml:space="preserve">The overall growth rate for the industry was 11 per cent from </w:t>
      </w:r>
      <w:r w:rsidR="00023A58">
        <w:t xml:space="preserve">fiscal year 2010/11 to </w:t>
      </w:r>
      <w:r w:rsidR="00DE3B3F">
        <w:t>fiscal year (</w:t>
      </w:r>
      <w:r w:rsidRPr="00D37A5B">
        <w:t>FY</w:t>
      </w:r>
      <w:r w:rsidR="00DE3B3F">
        <w:t>)</w:t>
      </w:r>
      <w:r w:rsidRPr="00D37A5B">
        <w:t xml:space="preserve"> 2014</w:t>
      </w:r>
      <w:r w:rsidR="009426DF">
        <w:t>/</w:t>
      </w:r>
      <w:r w:rsidRPr="00D37A5B">
        <w:t xml:space="preserve">15, commensurate with the growth rate </w:t>
      </w:r>
      <w:r w:rsidRPr="00D2174C">
        <w:lastRenderedPageBreak/>
        <w:t>of the automobile industry.</w:t>
      </w:r>
      <w:r w:rsidRPr="00D2174C">
        <w:rPr>
          <w:rStyle w:val="FootnoteReference"/>
          <w:rFonts w:ascii="Times New Roman" w:hAnsi="Times New Roman"/>
          <w:sz w:val="22"/>
        </w:rPr>
        <w:footnoteReference w:id="1"/>
      </w:r>
      <w:r w:rsidRPr="00D2174C">
        <w:t xml:space="preserve"> That growth </w:t>
      </w:r>
      <w:proofErr w:type="gramStart"/>
      <w:r w:rsidRPr="00D2174C">
        <w:t>was also expected</w:t>
      </w:r>
      <w:proofErr w:type="gramEnd"/>
      <w:r w:rsidRPr="00D2174C">
        <w:t xml:space="preserve"> to increase due to the higher number of global automobile giants conducting business in India.</w:t>
      </w:r>
      <w:r w:rsidRPr="00D2174C">
        <w:rPr>
          <w:rStyle w:val="FootnoteReference"/>
          <w:rFonts w:ascii="Times New Roman" w:hAnsi="Times New Roman"/>
          <w:sz w:val="22"/>
        </w:rPr>
        <w:footnoteReference w:id="2"/>
      </w:r>
      <w:r w:rsidRPr="00D2174C">
        <w:t xml:space="preserve"> Daimler</w:t>
      </w:r>
      <w:r w:rsidR="000A42A9" w:rsidRPr="00D2174C">
        <w:t xml:space="preserve"> and </w:t>
      </w:r>
      <w:r w:rsidR="00ED5314" w:rsidRPr="00D2174C">
        <w:t>Mercedes</w:t>
      </w:r>
      <w:r w:rsidR="000A42A9" w:rsidRPr="00D2174C">
        <w:t>-Benz</w:t>
      </w:r>
      <w:r w:rsidRPr="00D2174C">
        <w:t>, Ford, Volkswagen, BMW, Hyundai, Nissan, and many other automobile manufacturers were establishing production facilities in the country. The Indian Government’s Ministry of Heavy Industries and Public Enterprises had developed a</w:t>
      </w:r>
      <w:r w:rsidR="00583F62" w:rsidRPr="00D2174C">
        <w:t xml:space="preserve"> m</w:t>
      </w:r>
      <w:r w:rsidRPr="00D2174C">
        <w:t xml:space="preserve">ission </w:t>
      </w:r>
      <w:r w:rsidR="00583F62" w:rsidRPr="00D2174C">
        <w:t>p</w:t>
      </w:r>
      <w:r w:rsidRPr="00D2174C">
        <w:t xml:space="preserve">lan </w:t>
      </w:r>
      <w:r w:rsidR="00583F62" w:rsidRPr="00D2174C">
        <w:t>for the automotive sector</w:t>
      </w:r>
      <w:r w:rsidRPr="00D2174C">
        <w:t xml:space="preserve"> in which it estimated that India would emerge as a preferred destination for designing and manufacturing automobiles and automotive components.</w:t>
      </w:r>
      <w:r w:rsidRPr="00D2174C">
        <w:rPr>
          <w:rStyle w:val="FootnoteReference"/>
          <w:rFonts w:ascii="Times New Roman" w:hAnsi="Times New Roman"/>
          <w:sz w:val="22"/>
        </w:rPr>
        <w:footnoteReference w:id="3"/>
      </w:r>
      <w:r w:rsidRPr="00D2174C">
        <w:rPr>
          <w:vertAlign w:val="superscript"/>
        </w:rPr>
        <w:t xml:space="preserve"> </w:t>
      </w:r>
      <w:r w:rsidRPr="00D2174C">
        <w:t>The industry had the potential to generate up to US$145 billion,</w:t>
      </w:r>
      <w:r w:rsidR="000A42A9" w:rsidRPr="00D2174C">
        <w:rPr>
          <w:rStyle w:val="FootnoteReference"/>
          <w:rFonts w:ascii="Times New Roman" w:hAnsi="Times New Roman"/>
          <w:sz w:val="22"/>
        </w:rPr>
        <w:footnoteReference w:id="4"/>
      </w:r>
      <w:r w:rsidRPr="00D2174C">
        <w:t xml:space="preserve"> which would account for 10 per cent of the gross domestic product in India by 2016.</w:t>
      </w:r>
      <w:r w:rsidRPr="00D2174C">
        <w:rPr>
          <w:rStyle w:val="FootnoteReference"/>
          <w:rFonts w:ascii="Times New Roman" w:hAnsi="Times New Roman"/>
          <w:sz w:val="22"/>
        </w:rPr>
        <w:footnoteReference w:id="5"/>
      </w:r>
    </w:p>
    <w:p w14:paraId="0DF4FDD5" w14:textId="77777777" w:rsidR="00D37A5B" w:rsidRPr="00D37A5B" w:rsidRDefault="00D37A5B" w:rsidP="00D37A5B">
      <w:pPr>
        <w:pStyle w:val="BodyTextMain"/>
      </w:pPr>
    </w:p>
    <w:p w14:paraId="130935B0" w14:textId="0322541C" w:rsidR="0095776B" w:rsidRDefault="00B6530D" w:rsidP="00D37A5B">
      <w:pPr>
        <w:pStyle w:val="BodyTextMain"/>
      </w:pPr>
      <w:r w:rsidRPr="00D37A5B">
        <w:t>The state of the brigh</w:t>
      </w:r>
      <w:r w:rsidR="000D0F39">
        <w:t xml:space="preserve">t steels industry in India </w:t>
      </w:r>
      <w:proofErr w:type="gramStart"/>
      <w:r w:rsidR="000D0F39">
        <w:t>could</w:t>
      </w:r>
      <w:r w:rsidRPr="00D37A5B">
        <w:t xml:space="preserve"> be seen</w:t>
      </w:r>
      <w:proofErr w:type="gramEnd"/>
      <w:r w:rsidRPr="00D37A5B">
        <w:t xml:space="preserve"> as competitive, with both large and small players. Jindal Steel and Power </w:t>
      </w:r>
      <w:r w:rsidR="000C21D0" w:rsidRPr="00D37A5B">
        <w:t>L</w:t>
      </w:r>
      <w:r w:rsidR="000C21D0">
        <w:t>imited</w:t>
      </w:r>
      <w:r w:rsidRPr="00D37A5B">
        <w:t xml:space="preserve"> and </w:t>
      </w:r>
      <w:proofErr w:type="spellStart"/>
      <w:r w:rsidRPr="00D37A5B">
        <w:t>Bhushan</w:t>
      </w:r>
      <w:proofErr w:type="spellEnd"/>
      <w:r w:rsidRPr="00D37A5B">
        <w:t xml:space="preserve"> Steel </w:t>
      </w:r>
      <w:r w:rsidR="000C21D0">
        <w:t>Limited</w:t>
      </w:r>
      <w:r w:rsidRPr="00D37A5B">
        <w:t xml:space="preserve"> </w:t>
      </w:r>
      <w:r w:rsidR="000D0F39">
        <w:t>were</w:t>
      </w:r>
      <w:r w:rsidRPr="00D37A5B">
        <w:t xml:space="preserve"> two of the larger</w:t>
      </w:r>
      <w:r w:rsidR="002E0BBF">
        <w:t>,</w:t>
      </w:r>
      <w:r w:rsidR="002E0BBF" w:rsidRPr="002E0BBF">
        <w:t xml:space="preserve"> </w:t>
      </w:r>
      <w:r w:rsidR="002E0BBF">
        <w:t xml:space="preserve">more </w:t>
      </w:r>
      <w:r w:rsidR="002E0BBF" w:rsidRPr="00D37A5B">
        <w:t>reputable</w:t>
      </w:r>
      <w:r w:rsidRPr="00D37A5B">
        <w:t xml:space="preserve"> players. These companies operate</w:t>
      </w:r>
      <w:r w:rsidR="000D0F39">
        <w:t>d</w:t>
      </w:r>
      <w:r w:rsidRPr="00D37A5B">
        <w:t xml:space="preserve"> in multiple steel product market segments</w:t>
      </w:r>
      <w:r w:rsidR="000C21D0">
        <w:t>;</w:t>
      </w:r>
      <w:r w:rsidRPr="00D37A5B">
        <w:t xml:space="preserve"> bright steel </w:t>
      </w:r>
      <w:r w:rsidR="000D0F39">
        <w:t>was</w:t>
      </w:r>
      <w:r w:rsidRPr="00D37A5B">
        <w:t xml:space="preserve"> just one part of their overall product portfolio. Many smaller players that produce</w:t>
      </w:r>
      <w:r w:rsidR="000D0F39">
        <w:t>d</w:t>
      </w:r>
      <w:r w:rsidRPr="00D37A5B">
        <w:t xml:space="preserve"> bright steel products</w:t>
      </w:r>
      <w:r w:rsidR="005759C5">
        <w:t>,</w:t>
      </w:r>
      <w:r w:rsidRPr="00D37A5B">
        <w:t xml:space="preserve"> located all across India</w:t>
      </w:r>
      <w:r w:rsidR="005759C5">
        <w:t>, were among JBS’s competitors</w:t>
      </w:r>
      <w:r w:rsidRPr="00D37A5B">
        <w:t xml:space="preserve">. </w:t>
      </w:r>
      <w:proofErr w:type="spellStart"/>
      <w:r w:rsidR="000C21D0">
        <w:t>Ajai</w:t>
      </w:r>
      <w:proofErr w:type="spellEnd"/>
      <w:r w:rsidR="000C21D0">
        <w:t xml:space="preserve"> considered </w:t>
      </w:r>
      <w:r w:rsidRPr="00D37A5B">
        <w:t>C. Lal Alloy</w:t>
      </w:r>
      <w:r w:rsidR="000C21D0">
        <w:t>s</w:t>
      </w:r>
      <w:r w:rsidRPr="00D37A5B">
        <w:t xml:space="preserve"> </w:t>
      </w:r>
      <w:proofErr w:type="spellStart"/>
      <w:r w:rsidRPr="00D37A5B">
        <w:t>Pvt.</w:t>
      </w:r>
      <w:proofErr w:type="spellEnd"/>
      <w:r w:rsidRPr="00D37A5B">
        <w:t xml:space="preserve"> Ltd., </w:t>
      </w:r>
      <w:proofErr w:type="spellStart"/>
      <w:r w:rsidRPr="00D37A5B">
        <w:t>Gopalsons</w:t>
      </w:r>
      <w:proofErr w:type="spellEnd"/>
      <w:r w:rsidRPr="00D37A5B">
        <w:t xml:space="preserve"> Steels </w:t>
      </w:r>
      <w:proofErr w:type="spellStart"/>
      <w:r w:rsidRPr="00D37A5B">
        <w:t>Pvt.</w:t>
      </w:r>
      <w:proofErr w:type="spellEnd"/>
      <w:r w:rsidRPr="00D37A5B">
        <w:t xml:space="preserve"> Ltd.</w:t>
      </w:r>
      <w:r w:rsidR="0091130E">
        <w:t xml:space="preserve">, and JBS </w:t>
      </w:r>
      <w:r w:rsidR="000C21D0">
        <w:t>to be</w:t>
      </w:r>
      <w:r w:rsidR="000C21D0" w:rsidRPr="00D37A5B">
        <w:t xml:space="preserve"> </w:t>
      </w:r>
      <w:r w:rsidR="000C21D0">
        <w:t>among</w:t>
      </w:r>
      <w:r w:rsidRPr="00D37A5B">
        <w:t xml:space="preserve"> the more</w:t>
      </w:r>
      <w:r w:rsidR="000C21D0">
        <w:t xml:space="preserve"> </w:t>
      </w:r>
      <w:r w:rsidRPr="00D37A5B">
        <w:t>prominent smaller industry players</w:t>
      </w:r>
      <w:r w:rsidR="00060A2D">
        <w:t xml:space="preserve"> (see Exhibits 1 to </w:t>
      </w:r>
      <w:r w:rsidR="005759C5">
        <w:t>3)</w:t>
      </w:r>
      <w:r w:rsidRPr="00D37A5B">
        <w:t xml:space="preserve">. These companies </w:t>
      </w:r>
      <w:r w:rsidR="000D0F39">
        <w:t>were</w:t>
      </w:r>
      <w:r w:rsidRPr="00D37A5B">
        <w:t xml:space="preserve"> relatively capital</w:t>
      </w:r>
      <w:r w:rsidR="004A5418">
        <w:t>-</w:t>
      </w:r>
      <w:r w:rsidRPr="00D37A5B">
        <w:t>intensive</w:t>
      </w:r>
      <w:r w:rsidR="00BC5C7A">
        <w:t xml:space="preserve"> because</w:t>
      </w:r>
      <w:r w:rsidRPr="00D37A5B">
        <w:t xml:space="preserve"> the production equipment </w:t>
      </w:r>
      <w:r w:rsidR="000D0F39">
        <w:t>was</w:t>
      </w:r>
      <w:r w:rsidRPr="00D37A5B">
        <w:t xml:space="preserve"> expensive and the length of the production process </w:t>
      </w:r>
      <w:r w:rsidR="000D0F39">
        <w:t>ranged</w:t>
      </w:r>
      <w:r w:rsidRPr="00D37A5B">
        <w:t xml:space="preserve"> from </w:t>
      </w:r>
      <w:r w:rsidR="004A5418">
        <w:t>one to three</w:t>
      </w:r>
      <w:r w:rsidRPr="00D37A5B">
        <w:t xml:space="preserve"> years, depending on capacity. </w:t>
      </w:r>
    </w:p>
    <w:p w14:paraId="1025A50B" w14:textId="77777777" w:rsidR="0095776B" w:rsidRDefault="0095776B" w:rsidP="00D37A5B">
      <w:pPr>
        <w:pStyle w:val="BodyTextMain"/>
      </w:pPr>
    </w:p>
    <w:p w14:paraId="2C526119" w14:textId="6D70F934" w:rsidR="00B6530D" w:rsidRPr="00D37A5B" w:rsidRDefault="00B6530D" w:rsidP="00D37A5B">
      <w:pPr>
        <w:pStyle w:val="BodyTextMain"/>
      </w:pPr>
      <w:r w:rsidRPr="00D37A5B">
        <w:t xml:space="preserve">Automobile manufacturers and their ancillary companies </w:t>
      </w:r>
      <w:r w:rsidR="000D0F39">
        <w:t>were</w:t>
      </w:r>
      <w:r w:rsidRPr="00D37A5B">
        <w:t xml:space="preserve"> the major buyers of bright steel, but the product </w:t>
      </w:r>
      <w:proofErr w:type="gramStart"/>
      <w:r w:rsidR="000D0F39">
        <w:t>was</w:t>
      </w:r>
      <w:r w:rsidRPr="00D37A5B">
        <w:t xml:space="preserve"> used</w:t>
      </w:r>
      <w:proofErr w:type="gramEnd"/>
      <w:r w:rsidRPr="00D37A5B">
        <w:t xml:space="preserve"> in other industries too. Construction companies, railways, textile machine manufacturing companies, accuracy-based fabrication manufacturers, and the defence sectors (for arms and ammunitions) </w:t>
      </w:r>
      <w:r w:rsidR="000D0F39">
        <w:t>were</w:t>
      </w:r>
      <w:r w:rsidRPr="00D37A5B">
        <w:t xml:space="preserve"> some of the industries that also use</w:t>
      </w:r>
      <w:r w:rsidR="000D0F39">
        <w:t>d</w:t>
      </w:r>
      <w:r w:rsidRPr="00D37A5B">
        <w:t xml:space="preserve"> </w:t>
      </w:r>
      <w:r w:rsidR="002E0BBF" w:rsidRPr="00D37A5B">
        <w:t>bright steel</w:t>
      </w:r>
      <w:r w:rsidR="002E0BBF">
        <w:t xml:space="preserve"> </w:t>
      </w:r>
      <w:r w:rsidRPr="00D37A5B">
        <w:t>products.</w:t>
      </w:r>
      <w:r w:rsidRPr="005379D2">
        <w:rPr>
          <w:rStyle w:val="FootnoteReference"/>
          <w:rFonts w:ascii="Times New Roman" w:hAnsi="Times New Roman"/>
          <w:sz w:val="22"/>
        </w:rPr>
        <w:footnoteReference w:id="6"/>
      </w:r>
    </w:p>
    <w:p w14:paraId="6F63B686" w14:textId="77777777" w:rsidR="00B6530D" w:rsidRPr="00D37A5B" w:rsidRDefault="00B6530D" w:rsidP="00D37A5B">
      <w:pPr>
        <w:pStyle w:val="BodyTextMain"/>
      </w:pPr>
    </w:p>
    <w:p w14:paraId="5F5E2698" w14:textId="77777777" w:rsidR="00B6530D" w:rsidRPr="00D37A5B" w:rsidRDefault="00B6530D" w:rsidP="00D37A5B">
      <w:pPr>
        <w:pStyle w:val="BodyTextMain"/>
      </w:pPr>
    </w:p>
    <w:p w14:paraId="39FB6F0F" w14:textId="224061F3" w:rsidR="00B6530D" w:rsidRDefault="002A0E93" w:rsidP="008C2FD6">
      <w:pPr>
        <w:pStyle w:val="Casehead1"/>
        <w:outlineLvl w:val="0"/>
        <w:rPr>
          <w:lang w:val="en-CA"/>
        </w:rPr>
      </w:pPr>
      <w:r>
        <w:rPr>
          <w:lang w:val="en-CA"/>
        </w:rPr>
        <w:t xml:space="preserve">steel and automotive </w:t>
      </w:r>
      <w:r w:rsidR="00F046F3">
        <w:rPr>
          <w:lang w:val="en-CA"/>
        </w:rPr>
        <w:t>industry trends</w:t>
      </w:r>
    </w:p>
    <w:p w14:paraId="7DE0641E" w14:textId="77777777" w:rsidR="00B6530D" w:rsidRPr="00DD0DB7" w:rsidRDefault="00B6530D" w:rsidP="00D37A5B">
      <w:pPr>
        <w:pStyle w:val="BodyTextMain"/>
        <w:rPr>
          <w:lang w:val="en-CA"/>
        </w:rPr>
      </w:pPr>
    </w:p>
    <w:p w14:paraId="246DD2A7" w14:textId="2657A4E9" w:rsidR="00B6530D" w:rsidRPr="002726D0" w:rsidRDefault="00B6530D" w:rsidP="00D37A5B">
      <w:pPr>
        <w:pStyle w:val="BodyTextMain"/>
        <w:rPr>
          <w:lang w:val="en-CA"/>
        </w:rPr>
      </w:pPr>
      <w:r w:rsidRPr="00D37A5B">
        <w:t xml:space="preserve">Bright steel was a ray of hope for the overall steel industry. </w:t>
      </w:r>
      <w:r w:rsidR="00AC2462" w:rsidRPr="00D37A5B">
        <w:t xml:space="preserve">Overall, the Indian steel industry was expected to be sluggish in the near future, and prices were expected to be low </w:t>
      </w:r>
      <w:proofErr w:type="gramStart"/>
      <w:r w:rsidR="00AC2462" w:rsidRPr="00D37A5B">
        <w:t>as a result</w:t>
      </w:r>
      <w:proofErr w:type="gramEnd"/>
      <w:r w:rsidR="00AC2462" w:rsidRPr="00D37A5B">
        <w:t xml:space="preserve"> of weak global demand (mainly due to the slowdown of the Chinese economy).</w:t>
      </w:r>
      <w:r w:rsidR="00AC2462" w:rsidRPr="005379D2">
        <w:rPr>
          <w:rStyle w:val="FootnoteReference"/>
          <w:rFonts w:ascii="Times New Roman" w:hAnsi="Times New Roman"/>
          <w:sz w:val="22"/>
        </w:rPr>
        <w:footnoteReference w:id="7"/>
      </w:r>
      <w:r w:rsidR="00AC2462" w:rsidRPr="00763892">
        <w:t xml:space="preserve"> </w:t>
      </w:r>
      <w:r w:rsidR="001545D9" w:rsidRPr="001545D9">
        <w:rPr>
          <w:lang w:val="en-CA"/>
        </w:rPr>
        <w:t xml:space="preserve">The Centre for Monitoring Indian Economy Pvt. Ltd. (CMIE), an economic research organization, estimated that due to weak global demand, the price of steel </w:t>
      </w:r>
      <w:proofErr w:type="gramStart"/>
      <w:r w:rsidR="001545D9" w:rsidRPr="001545D9">
        <w:rPr>
          <w:lang w:val="en-CA"/>
        </w:rPr>
        <w:t xml:space="preserve">was </w:t>
      </w:r>
      <w:r w:rsidR="00023A58">
        <w:rPr>
          <w:lang w:val="en-CA"/>
        </w:rPr>
        <w:t>expected</w:t>
      </w:r>
      <w:proofErr w:type="gramEnd"/>
      <w:r w:rsidR="00023A58">
        <w:rPr>
          <w:lang w:val="en-CA"/>
        </w:rPr>
        <w:t xml:space="preserve"> to remain stable in </w:t>
      </w:r>
      <w:r w:rsidR="004A5418">
        <w:rPr>
          <w:lang w:val="en-CA"/>
        </w:rPr>
        <w:t xml:space="preserve">the </w:t>
      </w:r>
      <w:r w:rsidR="00023A58">
        <w:rPr>
          <w:lang w:val="en-CA"/>
        </w:rPr>
        <w:t xml:space="preserve">near future </w:t>
      </w:r>
      <w:r w:rsidR="001545D9" w:rsidRPr="001545D9">
        <w:rPr>
          <w:lang w:val="en-CA"/>
        </w:rPr>
        <w:t xml:space="preserve">(see Exhibit </w:t>
      </w:r>
      <w:r w:rsidR="006E2A4F">
        <w:rPr>
          <w:lang w:val="en-CA"/>
        </w:rPr>
        <w:t>4</w:t>
      </w:r>
      <w:r w:rsidR="001545D9" w:rsidRPr="001545D9">
        <w:rPr>
          <w:lang w:val="en-CA"/>
        </w:rPr>
        <w:t>).</w:t>
      </w:r>
      <w:r w:rsidR="001545D9" w:rsidRPr="001545D9">
        <w:rPr>
          <w:vertAlign w:val="superscript"/>
        </w:rPr>
        <w:footnoteReference w:id="8"/>
      </w:r>
      <w:r w:rsidR="001545D9" w:rsidRPr="001545D9">
        <w:rPr>
          <w:vertAlign w:val="superscript"/>
        </w:rPr>
        <w:t xml:space="preserve"> </w:t>
      </w:r>
      <w:r w:rsidR="004A5418">
        <w:t xml:space="preserve">However, </w:t>
      </w:r>
      <w:r w:rsidR="00AC2462">
        <w:t>t</w:t>
      </w:r>
      <w:r w:rsidRPr="00D37A5B">
        <w:t xml:space="preserve">he market dynamics of bright steel products </w:t>
      </w:r>
      <w:proofErr w:type="gramStart"/>
      <w:r w:rsidRPr="00D37A5B">
        <w:t>were closely linked</w:t>
      </w:r>
      <w:proofErr w:type="gramEnd"/>
      <w:r w:rsidRPr="00D37A5B">
        <w:t xml:space="preserve"> to the automobile sector, and trends in both industries (automobile manufacturing and bright steel manufacturing) were expected to be similar. </w:t>
      </w:r>
      <w:r w:rsidR="004C47DA">
        <w:t>India’s</w:t>
      </w:r>
      <w:r w:rsidR="004C47DA" w:rsidRPr="00D37A5B">
        <w:t xml:space="preserve"> </w:t>
      </w:r>
      <w:r w:rsidRPr="00D37A5B">
        <w:t xml:space="preserve">domestic economy was still healthy, and the domestic demand for automobile products was strong. According to the Society of </w:t>
      </w:r>
      <w:r w:rsidR="000E7B24">
        <w:t xml:space="preserve">Indian </w:t>
      </w:r>
      <w:r w:rsidRPr="00D37A5B">
        <w:t xml:space="preserve">Automobile Manufacturers (SIAM), the automobile industry’s passenger vehicle segment grew 3.2 per cent in </w:t>
      </w:r>
      <w:r w:rsidR="004C47DA">
        <w:t>FY</w:t>
      </w:r>
      <w:r w:rsidRPr="00D37A5B">
        <w:t xml:space="preserve"> 20</w:t>
      </w:r>
      <w:r w:rsidR="004C47DA">
        <w:t>14/</w:t>
      </w:r>
      <w:r w:rsidRPr="00D37A5B">
        <w:t>15 on a year-to-year basis. Sales of three-wheelers and two-wheelers also showed year-to-year growth of 12.5 per cent and 9.5 per cent, respectively.</w:t>
      </w:r>
      <w:r w:rsidRPr="005379D2">
        <w:rPr>
          <w:rStyle w:val="FootnoteReference"/>
          <w:rFonts w:ascii="Times New Roman" w:hAnsi="Times New Roman"/>
          <w:sz w:val="22"/>
        </w:rPr>
        <w:footnoteReference w:id="9"/>
      </w:r>
      <w:r w:rsidRPr="00D37A5B">
        <w:t xml:space="preserve"> The future of Indian automobile manufacturers was looking promising. SIAM estimated that the passenger car segment </w:t>
      </w:r>
      <w:r w:rsidR="004C47DA">
        <w:t>would</w:t>
      </w:r>
      <w:r w:rsidRPr="00D37A5B">
        <w:t xml:space="preserve"> grow 6</w:t>
      </w:r>
      <w:r w:rsidR="004C47DA">
        <w:t>–8</w:t>
      </w:r>
      <w:r w:rsidRPr="00D37A5B">
        <w:t xml:space="preserve"> per </w:t>
      </w:r>
      <w:r w:rsidRPr="00D37A5B">
        <w:lastRenderedPageBreak/>
        <w:t xml:space="preserve">cent in </w:t>
      </w:r>
      <w:r w:rsidR="00DE3B3F">
        <w:t>FY</w:t>
      </w:r>
      <w:r w:rsidRPr="00D37A5B">
        <w:t xml:space="preserve"> 2015</w:t>
      </w:r>
      <w:r w:rsidR="004C47DA">
        <w:t>/</w:t>
      </w:r>
      <w:r w:rsidRPr="00D37A5B">
        <w:t xml:space="preserve">16, and </w:t>
      </w:r>
      <w:r w:rsidR="00E241D6">
        <w:t xml:space="preserve">that </w:t>
      </w:r>
      <w:r w:rsidRPr="00D37A5B">
        <w:t>the medium and heavy vehicle segment</w:t>
      </w:r>
      <w:r w:rsidR="00E026B2">
        <w:t>s</w:t>
      </w:r>
      <w:r w:rsidRPr="00D37A5B">
        <w:t xml:space="preserve"> </w:t>
      </w:r>
      <w:r w:rsidR="00A368CA">
        <w:t>would</w:t>
      </w:r>
      <w:r w:rsidRPr="00D37A5B">
        <w:t xml:space="preserve"> experience a double-digit growth rate during the same </w:t>
      </w:r>
      <w:proofErr w:type="gramStart"/>
      <w:r w:rsidRPr="00D37A5B">
        <w:t>time period</w:t>
      </w:r>
      <w:proofErr w:type="gramEnd"/>
      <w:r w:rsidRPr="00D37A5B">
        <w:t>.</w:t>
      </w:r>
      <w:r w:rsidRPr="005379D2">
        <w:rPr>
          <w:rStyle w:val="FootnoteReference"/>
          <w:rFonts w:ascii="Times New Roman" w:hAnsi="Times New Roman"/>
          <w:sz w:val="22"/>
        </w:rPr>
        <w:footnoteReference w:id="10"/>
      </w:r>
    </w:p>
    <w:p w14:paraId="74E9EE2C" w14:textId="77777777" w:rsidR="005759C5" w:rsidRDefault="005759C5" w:rsidP="00D37A5B">
      <w:pPr>
        <w:pStyle w:val="BodyTextMain"/>
      </w:pPr>
    </w:p>
    <w:p w14:paraId="71ABE2D0" w14:textId="77777777" w:rsidR="00B6530D" w:rsidRPr="00D37A5B" w:rsidRDefault="00B6530D" w:rsidP="00D37A5B">
      <w:pPr>
        <w:pStyle w:val="BodyTextMain"/>
      </w:pPr>
    </w:p>
    <w:p w14:paraId="6A2933C8" w14:textId="72890E67" w:rsidR="00B6530D" w:rsidRDefault="00A856B5" w:rsidP="008C2FD6">
      <w:pPr>
        <w:pStyle w:val="Casehead1"/>
        <w:outlineLvl w:val="0"/>
        <w:rPr>
          <w:lang w:val="en-CA"/>
        </w:rPr>
      </w:pPr>
      <w:r>
        <w:rPr>
          <w:lang w:val="en-CA"/>
        </w:rPr>
        <w:t>Joneja Bright Steels</w:t>
      </w:r>
    </w:p>
    <w:p w14:paraId="49B460FD" w14:textId="77777777" w:rsidR="00B6530D" w:rsidRDefault="00B6530D" w:rsidP="00B6530D">
      <w:pPr>
        <w:pStyle w:val="BodyTextMain"/>
        <w:rPr>
          <w:lang w:val="en-CA"/>
        </w:rPr>
      </w:pPr>
    </w:p>
    <w:p w14:paraId="596817D9" w14:textId="5118D5E1" w:rsidR="00C75023" w:rsidRDefault="00E82BF0" w:rsidP="00D37A5B">
      <w:pPr>
        <w:pStyle w:val="BodyTextMain"/>
      </w:pPr>
      <w:r>
        <w:t>JBS</w:t>
      </w:r>
      <w:r w:rsidR="00B6530D" w:rsidRPr="00D37A5B">
        <w:t xml:space="preserve"> </w:t>
      </w:r>
      <w:r w:rsidR="000D0F39">
        <w:t>was</w:t>
      </w:r>
      <w:r w:rsidR="00B6530D" w:rsidRPr="00D37A5B">
        <w:t xml:space="preserve"> one of the largest manufacturers of bright </w:t>
      </w:r>
      <w:r w:rsidR="00B6530D" w:rsidRPr="00DA0EB2">
        <w:t>steel products in Faridabad</w:t>
      </w:r>
      <w:r w:rsidR="00A856B5" w:rsidRPr="00DA0EB2">
        <w:t>,</w:t>
      </w:r>
      <w:r w:rsidR="006E6C34" w:rsidRPr="003F69A1">
        <w:rPr>
          <w:rStyle w:val="FootnoteReference"/>
          <w:rFonts w:ascii="Times New Roman" w:hAnsi="Times New Roman"/>
          <w:sz w:val="22"/>
        </w:rPr>
        <w:footnoteReference w:id="11"/>
      </w:r>
      <w:r w:rsidR="00B6530D" w:rsidRPr="00DA0EB2">
        <w:t xml:space="preserve"> a part of</w:t>
      </w:r>
      <w:r w:rsidR="00B6530D" w:rsidRPr="00D37A5B">
        <w:t xml:space="preserve"> the New Delhi National Capital Region in India. It </w:t>
      </w:r>
      <w:r w:rsidR="000D0F39">
        <w:t>was</w:t>
      </w:r>
      <w:r w:rsidR="00B6530D" w:rsidRPr="00D37A5B">
        <w:t xml:space="preserve"> a major supplier of bright steel products and </w:t>
      </w:r>
      <w:r w:rsidR="000D0F39">
        <w:t>served</w:t>
      </w:r>
      <w:r w:rsidR="00B6530D" w:rsidRPr="00D37A5B">
        <w:t xml:space="preserve"> many renowned automobile manufacturers across India. By </w:t>
      </w:r>
      <w:r w:rsidR="00A856B5">
        <w:t>2016</w:t>
      </w:r>
      <w:r w:rsidR="00B6530D" w:rsidRPr="00D37A5B">
        <w:t xml:space="preserve">, </w:t>
      </w:r>
      <w:r w:rsidR="00A856B5">
        <w:t>JBS</w:t>
      </w:r>
      <w:r w:rsidR="00A856B5" w:rsidRPr="00D37A5B">
        <w:t xml:space="preserve"> </w:t>
      </w:r>
      <w:r w:rsidR="00B6530D" w:rsidRPr="00D37A5B">
        <w:t xml:space="preserve">had emerged as a one-stop shop that enabled automobile manufacturers to meet </w:t>
      </w:r>
      <w:r w:rsidR="00A856B5">
        <w:t xml:space="preserve">all </w:t>
      </w:r>
      <w:r w:rsidR="00B6530D" w:rsidRPr="00D37A5B">
        <w:t xml:space="preserve">their requirements for bright steel. </w:t>
      </w:r>
      <w:r w:rsidR="00C75023" w:rsidRPr="00D37A5B">
        <w:t xml:space="preserve">In Northern India, almost every automobile manufacturer was on </w:t>
      </w:r>
      <w:r w:rsidR="00C75023">
        <w:t>JBS</w:t>
      </w:r>
      <w:r w:rsidR="00C75023" w:rsidRPr="00D37A5B">
        <w:t xml:space="preserve">’s client list, including the largest passenger car manufacturer, </w:t>
      </w:r>
      <w:proofErr w:type="spellStart"/>
      <w:r w:rsidR="00C75023" w:rsidRPr="00D37A5B">
        <w:t>Maruti</w:t>
      </w:r>
      <w:proofErr w:type="spellEnd"/>
      <w:r w:rsidR="00C75023" w:rsidRPr="00D37A5B">
        <w:t xml:space="preserve"> Suzuki India </w:t>
      </w:r>
      <w:r w:rsidR="00C75023">
        <w:t>Limited</w:t>
      </w:r>
      <w:r w:rsidR="00C75023" w:rsidRPr="00D37A5B">
        <w:t xml:space="preserve">, located in Gurgaon. </w:t>
      </w:r>
    </w:p>
    <w:p w14:paraId="6F8C3C24" w14:textId="77777777" w:rsidR="00C75023" w:rsidRDefault="00C75023" w:rsidP="00D37A5B">
      <w:pPr>
        <w:pStyle w:val="BodyTextMain"/>
      </w:pPr>
    </w:p>
    <w:p w14:paraId="27F9A1E1" w14:textId="475530DF" w:rsidR="00B6530D" w:rsidRDefault="00B6530D" w:rsidP="00D37A5B">
      <w:pPr>
        <w:pStyle w:val="BodyTextMain"/>
      </w:pPr>
      <w:r w:rsidRPr="00D37A5B">
        <w:t xml:space="preserve">During </w:t>
      </w:r>
      <w:r w:rsidR="00DE3B3F">
        <w:t>FY</w:t>
      </w:r>
      <w:r w:rsidRPr="00D37A5B">
        <w:t xml:space="preserve"> 2014</w:t>
      </w:r>
      <w:r w:rsidR="00DE3B3F">
        <w:t>/</w:t>
      </w:r>
      <w:r w:rsidRPr="00D37A5B">
        <w:t>15, the company’s annual turnover</w:t>
      </w:r>
      <w:r w:rsidR="000D0F39">
        <w:t xml:space="preserve"> was</w:t>
      </w:r>
      <w:r w:rsidRPr="00D37A5B">
        <w:t xml:space="preserve"> </w:t>
      </w:r>
      <w:r w:rsidRPr="002D2003">
        <w:rPr>
          <w:rFonts w:ascii="Tahoma" w:hAnsi="Tahoma" w:cs="Tahoma"/>
        </w:rPr>
        <w:t>₹</w:t>
      </w:r>
      <w:r w:rsidRPr="002D2003">
        <w:t>1</w:t>
      </w:r>
      <w:r w:rsidR="00A856B5">
        <w:t>,</w:t>
      </w:r>
      <w:r w:rsidRPr="00D37A5B">
        <w:t>357 million (approx</w:t>
      </w:r>
      <w:r w:rsidR="00A856B5">
        <w:t>imately</w:t>
      </w:r>
      <w:r w:rsidRPr="00D37A5B">
        <w:t xml:space="preserve"> $19.8 million),</w:t>
      </w:r>
      <w:r w:rsidR="004B5AC9" w:rsidRPr="005379D2">
        <w:rPr>
          <w:rStyle w:val="FootnoteReference"/>
          <w:rFonts w:ascii="Times New Roman" w:hAnsi="Times New Roman"/>
          <w:sz w:val="22"/>
        </w:rPr>
        <w:footnoteReference w:id="12"/>
      </w:r>
      <w:r w:rsidRPr="00D37A5B">
        <w:t xml:space="preserve"> in comparison to </w:t>
      </w:r>
      <w:r w:rsidRPr="00D37A5B">
        <w:rPr>
          <w:rFonts w:ascii="Tahoma" w:hAnsi="Tahoma" w:cs="Tahoma"/>
        </w:rPr>
        <w:t>₹</w:t>
      </w:r>
      <w:r w:rsidRPr="00D37A5B">
        <w:t>1</w:t>
      </w:r>
      <w:r w:rsidR="00A856B5">
        <w:t>,</w:t>
      </w:r>
      <w:r w:rsidRPr="00D37A5B">
        <w:t xml:space="preserve">284 million in </w:t>
      </w:r>
      <w:r w:rsidR="00DE3B3F">
        <w:t>FY</w:t>
      </w:r>
      <w:r w:rsidRPr="00D37A5B">
        <w:t xml:space="preserve"> </w:t>
      </w:r>
      <w:r w:rsidR="00DE3B3F">
        <w:t>2013/14</w:t>
      </w:r>
      <w:r w:rsidRPr="00D37A5B">
        <w:t>. This represented an annual growth of 5.69 per cent.</w:t>
      </w:r>
      <w:r w:rsidR="00060A2D">
        <w:t xml:space="preserve"> </w:t>
      </w:r>
      <w:r w:rsidR="000D0F39">
        <w:t>T</w:t>
      </w:r>
      <w:r w:rsidRPr="00D37A5B">
        <w:t xml:space="preserve">he major source of </w:t>
      </w:r>
      <w:r w:rsidR="00E82BF0">
        <w:t>JBS</w:t>
      </w:r>
      <w:r w:rsidRPr="00D37A5B">
        <w:t>’s income</w:t>
      </w:r>
      <w:r w:rsidR="00A856B5">
        <w:t xml:space="preserve"> </w:t>
      </w:r>
      <w:r w:rsidR="00A856B5" w:rsidRPr="00D37A5B">
        <w:t>(approximately 96 per cent)</w:t>
      </w:r>
      <w:r w:rsidRPr="00D37A5B">
        <w:t xml:space="preserve"> was from the sale of bright steel products. Some minor income </w:t>
      </w:r>
      <w:proofErr w:type="gramStart"/>
      <w:r w:rsidRPr="00D37A5B">
        <w:t>was generated</w:t>
      </w:r>
      <w:proofErr w:type="gramEnd"/>
      <w:r w:rsidRPr="00D37A5B">
        <w:t xml:space="preserve"> through the sale of services and from financing activities.</w:t>
      </w:r>
    </w:p>
    <w:p w14:paraId="76EF0FEA" w14:textId="77777777" w:rsidR="005379D2" w:rsidRPr="00D37A5B" w:rsidRDefault="005379D2" w:rsidP="00D37A5B">
      <w:pPr>
        <w:pStyle w:val="BodyTextMain"/>
      </w:pPr>
    </w:p>
    <w:p w14:paraId="2EC3F1A8" w14:textId="0308F770" w:rsidR="00B6530D" w:rsidRPr="00D37A5B" w:rsidRDefault="00E82BF0" w:rsidP="00D37A5B">
      <w:pPr>
        <w:pStyle w:val="BodyTextMain"/>
      </w:pPr>
      <w:r>
        <w:t>JBS</w:t>
      </w:r>
      <w:r w:rsidR="00B6530D" w:rsidRPr="00D37A5B">
        <w:t xml:space="preserve"> </w:t>
      </w:r>
      <w:proofErr w:type="gramStart"/>
      <w:r w:rsidR="00B6530D" w:rsidRPr="00D37A5B">
        <w:t>was founded</w:t>
      </w:r>
      <w:proofErr w:type="gramEnd"/>
      <w:r w:rsidR="00B6530D" w:rsidRPr="00D37A5B">
        <w:t xml:space="preserve"> in 2002 by two young </w:t>
      </w:r>
      <w:r w:rsidR="00446481">
        <w:t>brothers</w:t>
      </w:r>
      <w:r w:rsidR="000D0F39">
        <w:t xml:space="preserve">, </w:t>
      </w:r>
      <w:proofErr w:type="spellStart"/>
      <w:r w:rsidR="000D0F39">
        <w:t>Gurnam</w:t>
      </w:r>
      <w:proofErr w:type="spellEnd"/>
      <w:r w:rsidR="000D0F39">
        <w:t xml:space="preserve"> Singh </w:t>
      </w:r>
      <w:proofErr w:type="spellStart"/>
      <w:r w:rsidR="000D0F39">
        <w:t>Joneja</w:t>
      </w:r>
      <w:proofErr w:type="spellEnd"/>
      <w:r w:rsidR="000D0F39">
        <w:t xml:space="preserve"> and </w:t>
      </w:r>
      <w:proofErr w:type="spellStart"/>
      <w:r w:rsidR="000D0F39">
        <w:t>Ajai</w:t>
      </w:r>
      <w:proofErr w:type="spellEnd"/>
      <w:r w:rsidR="005776B0" w:rsidRPr="005776B0">
        <w:t xml:space="preserve"> </w:t>
      </w:r>
      <w:proofErr w:type="spellStart"/>
      <w:r w:rsidR="005776B0">
        <w:t>Joneja</w:t>
      </w:r>
      <w:proofErr w:type="spellEnd"/>
      <w:r w:rsidR="00A856B5">
        <w:t>,</w:t>
      </w:r>
      <w:r w:rsidR="00B6530D" w:rsidRPr="00D37A5B">
        <w:t xml:space="preserve"> in </w:t>
      </w:r>
      <w:proofErr w:type="spellStart"/>
      <w:r w:rsidR="00B6530D" w:rsidRPr="00D37A5B">
        <w:t>Ballabhgarh</w:t>
      </w:r>
      <w:proofErr w:type="spellEnd"/>
      <w:r w:rsidR="00B6530D" w:rsidRPr="00D37A5B">
        <w:t>, a small town near Faridabad in the state of Haryana, India. Their entrepreneurial journey started from humble origins</w:t>
      </w:r>
      <w:r w:rsidR="00446481">
        <w:t>—</w:t>
      </w:r>
      <w:r w:rsidR="00B6530D" w:rsidRPr="00D37A5B">
        <w:t xml:space="preserve">a small steel scrap trading company created by their late father, Sher Singh </w:t>
      </w:r>
      <w:proofErr w:type="spellStart"/>
      <w:r w:rsidR="00B6530D" w:rsidRPr="00D37A5B">
        <w:t>Joneja</w:t>
      </w:r>
      <w:proofErr w:type="spellEnd"/>
      <w:r w:rsidR="00B6530D" w:rsidRPr="00D37A5B">
        <w:t xml:space="preserve">. The company </w:t>
      </w:r>
      <w:proofErr w:type="gramStart"/>
      <w:r w:rsidR="00B6530D" w:rsidRPr="00D37A5B">
        <w:t>was initially known</w:t>
      </w:r>
      <w:proofErr w:type="gramEnd"/>
      <w:r w:rsidR="00B6530D" w:rsidRPr="00D37A5B">
        <w:t xml:space="preserve"> as </w:t>
      </w:r>
      <w:proofErr w:type="spellStart"/>
      <w:r w:rsidR="00B6530D" w:rsidRPr="00D37A5B">
        <w:t>Joneja</w:t>
      </w:r>
      <w:proofErr w:type="spellEnd"/>
      <w:r w:rsidR="00B6530D" w:rsidRPr="00D37A5B">
        <w:t xml:space="preserve"> Iron and Alloy Steel Company, but changed its name to </w:t>
      </w:r>
      <w:proofErr w:type="spellStart"/>
      <w:r w:rsidR="00B6530D" w:rsidRPr="00D37A5B">
        <w:t>Joneja</w:t>
      </w:r>
      <w:proofErr w:type="spellEnd"/>
      <w:r w:rsidR="00B6530D" w:rsidRPr="00D37A5B">
        <w:t xml:space="preserve"> Bright Steels in 2002. The brothers’ vision, reflecting their belief that customers deserved only the very best, was to create a brand name in processed steel by offering products of the highest quality with timely delivery. </w:t>
      </w:r>
      <w:proofErr w:type="spellStart"/>
      <w:r w:rsidR="00B6530D" w:rsidRPr="00D37A5B">
        <w:t>Gurnam</w:t>
      </w:r>
      <w:proofErr w:type="spellEnd"/>
      <w:r w:rsidR="00B6530D" w:rsidRPr="00D37A5B">
        <w:t xml:space="preserve">, the elder of the two brothers, was technically very efficient and managed the administrative part of the company. </w:t>
      </w:r>
      <w:proofErr w:type="spellStart"/>
      <w:r w:rsidR="00B6530D" w:rsidRPr="00D37A5B">
        <w:t>Ajai</w:t>
      </w:r>
      <w:proofErr w:type="spellEnd"/>
      <w:r w:rsidR="00B6530D" w:rsidRPr="00D37A5B">
        <w:t xml:space="preserve">, the younger brother, was very people-oriented. Using his strong business acumen, </w:t>
      </w:r>
      <w:proofErr w:type="spellStart"/>
      <w:r w:rsidR="00B6530D" w:rsidRPr="00D37A5B">
        <w:t>Ajai</w:t>
      </w:r>
      <w:proofErr w:type="spellEnd"/>
      <w:r w:rsidR="00B6530D" w:rsidRPr="00D37A5B">
        <w:t xml:space="preserve"> was responsible for the commercial aspects of the business.</w:t>
      </w:r>
      <w:r w:rsidR="005776B0">
        <w:t xml:space="preserve"> </w:t>
      </w:r>
    </w:p>
    <w:p w14:paraId="2E1A875C" w14:textId="554F622A" w:rsidR="00B6530D" w:rsidRPr="00D37A5B" w:rsidRDefault="00294353" w:rsidP="00D37A5B">
      <w:pPr>
        <w:pStyle w:val="BodyTextMain"/>
      </w:pPr>
      <w:r>
        <w:t xml:space="preserve"> </w:t>
      </w:r>
    </w:p>
    <w:p w14:paraId="4AC79948" w14:textId="7656A720" w:rsidR="00B6530D" w:rsidRPr="00D37A5B" w:rsidRDefault="00B24429" w:rsidP="00D37A5B">
      <w:pPr>
        <w:pStyle w:val="BodyTextMain"/>
      </w:pPr>
      <w:r>
        <w:t>T</w:t>
      </w:r>
      <w:r w:rsidRPr="00D37A5B">
        <w:t>he auto</w:t>
      </w:r>
      <w:r>
        <w:t>motive</w:t>
      </w:r>
      <w:r w:rsidRPr="00D37A5B">
        <w:t xml:space="preserve"> industry </w:t>
      </w:r>
      <w:r>
        <w:t xml:space="preserve">boom </w:t>
      </w:r>
      <w:r w:rsidRPr="00D37A5B">
        <w:t>in India</w:t>
      </w:r>
      <w:r>
        <w:t>, starting in 2000,</w:t>
      </w:r>
      <w:r w:rsidRPr="00D37A5B">
        <w:t xml:space="preserve"> </w:t>
      </w:r>
      <w:r>
        <w:t>led to</w:t>
      </w:r>
      <w:r w:rsidRPr="00D37A5B">
        <w:t xml:space="preserve"> an accompanying meteoric rise in demand for </w:t>
      </w:r>
      <w:r>
        <w:t>JBS</w:t>
      </w:r>
      <w:r w:rsidRPr="00D37A5B">
        <w:t xml:space="preserve">’s products. </w:t>
      </w:r>
      <w:r w:rsidR="00294353">
        <w:t>JBS</w:t>
      </w:r>
      <w:r w:rsidR="00294353" w:rsidRPr="00D37A5B" w:rsidDel="00294353">
        <w:t xml:space="preserve"> </w:t>
      </w:r>
      <w:r w:rsidR="00B6530D" w:rsidRPr="00D37A5B">
        <w:t>had grown from having only one unit for manufacturing steel bars</w:t>
      </w:r>
      <w:r w:rsidR="00B67278">
        <w:t xml:space="preserve">, acquired by </w:t>
      </w:r>
      <w:r w:rsidR="00294353">
        <w:t xml:space="preserve">the brothers’ </w:t>
      </w:r>
      <w:r w:rsidR="00B67278">
        <w:t>father</w:t>
      </w:r>
      <w:r w:rsidR="00B6530D" w:rsidRPr="00D37A5B">
        <w:t xml:space="preserve"> in 1987</w:t>
      </w:r>
      <w:r w:rsidR="00B67278">
        <w:t xml:space="preserve">, </w:t>
      </w:r>
      <w:r w:rsidR="00B6530D" w:rsidRPr="00D37A5B">
        <w:t xml:space="preserve">to </w:t>
      </w:r>
      <w:r w:rsidR="00B67278">
        <w:t>adding</w:t>
      </w:r>
      <w:r w:rsidR="00B67278" w:rsidRPr="00D37A5B">
        <w:t xml:space="preserve"> </w:t>
      </w:r>
      <w:r w:rsidR="00B6530D" w:rsidRPr="00D37A5B">
        <w:t xml:space="preserve">another unit </w:t>
      </w:r>
      <w:r w:rsidR="00B67278">
        <w:t>in 2002 to</w:t>
      </w:r>
      <w:r w:rsidR="00B67278" w:rsidRPr="00D37A5B">
        <w:t xml:space="preserve"> </w:t>
      </w:r>
      <w:r w:rsidR="00B6530D" w:rsidRPr="00D37A5B">
        <w:t>manufactur</w:t>
      </w:r>
      <w:r w:rsidR="00B67278">
        <w:t>e</w:t>
      </w:r>
      <w:r w:rsidR="00B6530D" w:rsidRPr="00D37A5B">
        <w:t xml:space="preserve"> cold heading quality wires. </w:t>
      </w:r>
      <w:r>
        <w:t>In 2003, t</w:t>
      </w:r>
      <w:r w:rsidRPr="00D37A5B">
        <w:t>he brothers visit</w:t>
      </w:r>
      <w:r>
        <w:t>ed</w:t>
      </w:r>
      <w:r w:rsidRPr="00D37A5B">
        <w:t xml:space="preserve"> </w:t>
      </w:r>
      <w:r>
        <w:t>Japan—a visit</w:t>
      </w:r>
      <w:r w:rsidRPr="00D37A5B">
        <w:t xml:space="preserve"> </w:t>
      </w:r>
      <w:r>
        <w:t xml:space="preserve">that </w:t>
      </w:r>
      <w:r w:rsidRPr="00D37A5B">
        <w:t>helped transform them into tech</w:t>
      </w:r>
      <w:r>
        <w:t>nology</w:t>
      </w:r>
      <w:r w:rsidRPr="00D37A5B">
        <w:t xml:space="preserve">-savvy manufacturers and effective leaders in the processed steel industry. </w:t>
      </w:r>
      <w:r w:rsidR="00B6530D" w:rsidRPr="00D37A5B">
        <w:t xml:space="preserve">By 2004, </w:t>
      </w:r>
      <w:r>
        <w:t xml:space="preserve">they had added </w:t>
      </w:r>
      <w:r w:rsidR="00B6530D" w:rsidRPr="00D37A5B">
        <w:t xml:space="preserve">a third plant </w:t>
      </w:r>
      <w:r>
        <w:t xml:space="preserve">to JBS </w:t>
      </w:r>
      <w:r w:rsidR="00B6530D" w:rsidRPr="00D37A5B">
        <w:t xml:space="preserve">for manufacturing bar products. The existence of all three plants greatly increased </w:t>
      </w:r>
      <w:r w:rsidR="00E82BF0">
        <w:t>JBS</w:t>
      </w:r>
      <w:r w:rsidR="00B6530D" w:rsidRPr="00D37A5B">
        <w:t xml:space="preserve">’s strength in terms of product variability and the overall product portfolio. </w:t>
      </w:r>
      <w:r w:rsidR="00E82BF0">
        <w:t>JBS</w:t>
      </w:r>
      <w:r w:rsidR="00B6530D" w:rsidRPr="00D37A5B">
        <w:t>’s capabilities extended from bright wires to bright bars, with diameter ranges varying from 1.40 m</w:t>
      </w:r>
      <w:r w:rsidR="0079229D">
        <w:t>illi</w:t>
      </w:r>
      <w:r w:rsidR="00B6530D" w:rsidRPr="00D37A5B">
        <w:t>m</w:t>
      </w:r>
      <w:r w:rsidR="0079229D">
        <w:t>etres (mm)</w:t>
      </w:r>
      <w:r w:rsidR="00B6530D" w:rsidRPr="00D37A5B">
        <w:t xml:space="preserve"> to 40 mm for wires</w:t>
      </w:r>
      <w:r w:rsidR="0079229D">
        <w:t>,</w:t>
      </w:r>
      <w:r w:rsidR="00B6530D" w:rsidRPr="00D37A5B">
        <w:t xml:space="preserve"> and from 3 mm to 80 mm for bar products. </w:t>
      </w:r>
      <w:r w:rsidR="00F643BD">
        <w:t>As a result, t</w:t>
      </w:r>
      <w:r w:rsidR="00B6530D" w:rsidRPr="00D37A5B">
        <w:t xml:space="preserve">he company </w:t>
      </w:r>
      <w:r w:rsidR="00F643BD">
        <w:t xml:space="preserve">was able to </w:t>
      </w:r>
      <w:r w:rsidR="00B6530D" w:rsidRPr="00D37A5B">
        <w:t xml:space="preserve">launch two </w:t>
      </w:r>
      <w:r w:rsidR="00F643BD">
        <w:t>new</w:t>
      </w:r>
      <w:r w:rsidR="00B6530D" w:rsidRPr="00D37A5B">
        <w:t xml:space="preserve"> projects, one for auto</w:t>
      </w:r>
      <w:r w:rsidR="00F643BD">
        <w:t>mobile</w:t>
      </w:r>
      <w:r w:rsidR="00B6530D" w:rsidRPr="00D37A5B">
        <w:t xml:space="preserve"> components</w:t>
      </w:r>
      <w:r w:rsidR="005E3CFA">
        <w:t xml:space="preserve"> (in 2006)</w:t>
      </w:r>
      <w:r w:rsidR="00B6530D" w:rsidRPr="00D37A5B">
        <w:t xml:space="preserve"> and another for high carbon and fine wires</w:t>
      </w:r>
      <w:r w:rsidR="00721D48">
        <w:t xml:space="preserve"> (in 2010</w:t>
      </w:r>
      <w:r w:rsidR="005E3CFA">
        <w:t>)</w:t>
      </w:r>
      <w:r w:rsidR="00B6530D" w:rsidRPr="00D37A5B">
        <w:t xml:space="preserve">. </w:t>
      </w:r>
    </w:p>
    <w:p w14:paraId="66503639" w14:textId="77777777" w:rsidR="00B6530D" w:rsidRPr="00D37A5B" w:rsidRDefault="00B6530D" w:rsidP="00D37A5B">
      <w:pPr>
        <w:pStyle w:val="BodyTextMain"/>
      </w:pPr>
    </w:p>
    <w:p w14:paraId="766AF913" w14:textId="5EBDA908" w:rsidR="00B6530D" w:rsidRPr="00D37A5B" w:rsidRDefault="00B6530D" w:rsidP="00D37A5B">
      <w:pPr>
        <w:pStyle w:val="BodyTextMain"/>
      </w:pPr>
      <w:r w:rsidRPr="00D37A5B">
        <w:t xml:space="preserve">The company’s focus on quality was a differentiating factor for major buyers of its products. Those major buyers included </w:t>
      </w:r>
      <w:r w:rsidR="00F643BD">
        <w:t>o</w:t>
      </w:r>
      <w:r w:rsidRPr="00D37A5B">
        <w:t xml:space="preserve">riginal </w:t>
      </w:r>
      <w:r w:rsidR="00F643BD">
        <w:t>e</w:t>
      </w:r>
      <w:r w:rsidRPr="00D37A5B">
        <w:t xml:space="preserve">quipment </w:t>
      </w:r>
      <w:r w:rsidR="00F643BD">
        <w:t>m</w:t>
      </w:r>
      <w:r w:rsidRPr="00D37A5B">
        <w:t>anufacturers (OEMs) that supplied their final products to auto</w:t>
      </w:r>
      <w:r w:rsidR="00F643BD">
        <w:t>mobile</w:t>
      </w:r>
      <w:r w:rsidRPr="00D37A5B">
        <w:t xml:space="preserve"> manufacturers. In order to ensure high quality standards, </w:t>
      </w:r>
      <w:r w:rsidR="00E82BF0">
        <w:t>JBS</w:t>
      </w:r>
      <w:r w:rsidRPr="00D37A5B">
        <w:t xml:space="preserve"> established its own steel testing laboratory, which </w:t>
      </w:r>
      <w:proofErr w:type="gramStart"/>
      <w:r w:rsidRPr="00D37A5B">
        <w:t>was approved</w:t>
      </w:r>
      <w:proofErr w:type="gramEnd"/>
      <w:r w:rsidRPr="00D37A5B">
        <w:t xml:space="preserve"> by the National Accreditation Board for Testing and Calibration Laboratories. The company’s international practices brought dividends in the form of an ISO/TS-16949 certification, the first </w:t>
      </w:r>
      <w:r w:rsidRPr="00D37A5B">
        <w:lastRenderedPageBreak/>
        <w:t xml:space="preserve">of its kind for any bright steel bar </w:t>
      </w:r>
      <w:r w:rsidRPr="00187F75">
        <w:t>manufacturer in India.</w:t>
      </w:r>
      <w:r w:rsidR="00A96E0A" w:rsidRPr="00187F75">
        <w:rPr>
          <w:rStyle w:val="FootnoteReference"/>
          <w:rFonts w:ascii="Times New Roman" w:hAnsi="Times New Roman"/>
          <w:sz w:val="22"/>
        </w:rPr>
        <w:footnoteReference w:id="13"/>
      </w:r>
      <w:r w:rsidRPr="00187F75">
        <w:t xml:space="preserve"> When awarded this certification, </w:t>
      </w:r>
      <w:proofErr w:type="spellStart"/>
      <w:r w:rsidRPr="00187F75">
        <w:t>Gurnam</w:t>
      </w:r>
      <w:proofErr w:type="spellEnd"/>
      <w:r w:rsidRPr="00187F75">
        <w:t xml:space="preserve"> said</w:t>
      </w:r>
      <w:r w:rsidR="00833602" w:rsidRPr="00187F75">
        <w:t>,</w:t>
      </w:r>
      <w:r w:rsidRPr="00187F75">
        <w:t xml:space="preserve"> “We were the first company in the field of bright steel bar manufacturing to get an ISO/TS-16949. We are dedicated to operating with integrity and providing value</w:t>
      </w:r>
      <w:r w:rsidR="00833602" w:rsidRPr="00187F75">
        <w:t>-</w:t>
      </w:r>
      <w:r w:rsidRPr="00187F75">
        <w:t>added services to all our customers with the best quality products on time, every time.”</w:t>
      </w:r>
      <w:r w:rsidRPr="005379D2">
        <w:rPr>
          <w:vertAlign w:val="superscript"/>
        </w:rPr>
        <w:t xml:space="preserve"> </w:t>
      </w:r>
    </w:p>
    <w:p w14:paraId="00E24F4F" w14:textId="77777777" w:rsidR="00B6530D" w:rsidRPr="00D37A5B" w:rsidRDefault="00B6530D" w:rsidP="00D37A5B">
      <w:pPr>
        <w:pStyle w:val="BodyTextMain"/>
      </w:pPr>
    </w:p>
    <w:p w14:paraId="0509317D" w14:textId="77777777" w:rsidR="00B6530D" w:rsidRPr="00D37A5B" w:rsidRDefault="00B6530D" w:rsidP="00D37A5B">
      <w:pPr>
        <w:pStyle w:val="BodyTextMain"/>
      </w:pPr>
    </w:p>
    <w:p w14:paraId="4CBC4D32" w14:textId="77777777" w:rsidR="00B6530D" w:rsidRPr="00231E55" w:rsidRDefault="00B6530D" w:rsidP="008C2FD6">
      <w:pPr>
        <w:pStyle w:val="Casehead1"/>
        <w:outlineLvl w:val="0"/>
        <w:rPr>
          <w:lang w:val="en-CA"/>
        </w:rPr>
      </w:pPr>
      <w:r w:rsidRPr="00231E55">
        <w:rPr>
          <w:lang w:val="en-CA"/>
        </w:rPr>
        <w:t xml:space="preserve">Company </w:t>
      </w:r>
      <w:r>
        <w:rPr>
          <w:lang w:val="en-CA"/>
        </w:rPr>
        <w:t>G</w:t>
      </w:r>
      <w:r w:rsidRPr="00231E55">
        <w:rPr>
          <w:lang w:val="en-CA"/>
        </w:rPr>
        <w:t>rowth</w:t>
      </w:r>
    </w:p>
    <w:p w14:paraId="5F377481" w14:textId="122CE0ED" w:rsidR="00970F02" w:rsidRDefault="00970F02" w:rsidP="00D37A5B">
      <w:pPr>
        <w:pStyle w:val="BodyTextMain"/>
      </w:pPr>
    </w:p>
    <w:p w14:paraId="27A4F135" w14:textId="62CECE58" w:rsidR="00B6530D" w:rsidRPr="00D37A5B" w:rsidRDefault="003F7618" w:rsidP="00D37A5B">
      <w:pPr>
        <w:pStyle w:val="BodyTextMain"/>
      </w:pPr>
      <w:r>
        <w:t>T</w:t>
      </w:r>
      <w:r w:rsidR="00BF5CE6">
        <w:t>he company’s</w:t>
      </w:r>
      <w:r w:rsidR="00BF5CE6" w:rsidRPr="00D37A5B">
        <w:t xml:space="preserve"> </w:t>
      </w:r>
      <w:r w:rsidR="00B6530D" w:rsidRPr="00D37A5B">
        <w:t xml:space="preserve">net profit </w:t>
      </w:r>
      <w:r w:rsidR="00F046F3">
        <w:t xml:space="preserve">had </w:t>
      </w:r>
      <w:r w:rsidR="00B6530D" w:rsidRPr="00D37A5B">
        <w:t xml:space="preserve">decreased to </w:t>
      </w:r>
      <w:r w:rsidR="00B6530D" w:rsidRPr="00D37A5B">
        <w:rPr>
          <w:rFonts w:ascii="Tahoma" w:hAnsi="Tahoma" w:cs="Tahoma"/>
        </w:rPr>
        <w:t>₹</w:t>
      </w:r>
      <w:r w:rsidR="00B6530D" w:rsidRPr="00D37A5B">
        <w:t xml:space="preserve">5.4 million in </w:t>
      </w:r>
      <w:r w:rsidR="00DE3B3F">
        <w:t>FY</w:t>
      </w:r>
      <w:r w:rsidR="00B6530D" w:rsidRPr="00D37A5B">
        <w:t xml:space="preserve"> </w:t>
      </w:r>
      <w:r w:rsidR="00DE3B3F">
        <w:t>2014/15</w:t>
      </w:r>
      <w:r w:rsidR="00BF5CE6">
        <w:t xml:space="preserve"> (see Exhibit </w:t>
      </w:r>
      <w:r w:rsidR="006E2A4F">
        <w:t>5</w:t>
      </w:r>
      <w:r w:rsidR="00BF5CE6">
        <w:t>)</w:t>
      </w:r>
      <w:r w:rsidR="00B6530D" w:rsidRPr="00D37A5B">
        <w:t>.</w:t>
      </w:r>
      <w:r w:rsidR="00BF5CE6">
        <w:t xml:space="preserve"> </w:t>
      </w:r>
      <w:r w:rsidR="00B6530D" w:rsidRPr="00D37A5B">
        <w:t>In the past, the cost of goods sold had ranged from approximately 76</w:t>
      </w:r>
      <w:r w:rsidR="00BF5CE6">
        <w:t>–80</w:t>
      </w:r>
      <w:r w:rsidR="00B6530D" w:rsidRPr="00D37A5B">
        <w:t xml:space="preserve"> per cent of the company’s annual income (</w:t>
      </w:r>
      <w:r w:rsidR="00BF5CE6">
        <w:t xml:space="preserve">see </w:t>
      </w:r>
      <w:r w:rsidR="00B6530D" w:rsidRPr="00D37A5B">
        <w:t xml:space="preserve">Exhibit </w:t>
      </w:r>
      <w:r w:rsidR="006E2A4F">
        <w:t>5</w:t>
      </w:r>
      <w:r w:rsidR="00B6530D" w:rsidRPr="00D37A5B">
        <w:t xml:space="preserve">). </w:t>
      </w:r>
      <w:proofErr w:type="gramStart"/>
      <w:r w:rsidR="00BF5CE6">
        <w:t>But</w:t>
      </w:r>
      <w:proofErr w:type="gramEnd"/>
      <w:r w:rsidR="00B6530D" w:rsidRPr="00D37A5B">
        <w:t xml:space="preserve"> the company expected its other operating expenses to increase by 2</w:t>
      </w:r>
      <w:r w:rsidR="00BF5CE6">
        <w:t>–</w:t>
      </w:r>
      <w:r w:rsidR="00B6530D" w:rsidRPr="00D37A5B">
        <w:t xml:space="preserve">3 per cent in </w:t>
      </w:r>
      <w:r w:rsidR="00BF5CE6">
        <w:t xml:space="preserve">FY </w:t>
      </w:r>
      <w:r w:rsidR="00B6530D" w:rsidRPr="00D37A5B">
        <w:t>20</w:t>
      </w:r>
      <w:r w:rsidR="00BF5CE6">
        <w:t>15/</w:t>
      </w:r>
      <w:r w:rsidR="00B6530D" w:rsidRPr="00D37A5B">
        <w:t xml:space="preserve">16. </w:t>
      </w:r>
      <w:r w:rsidR="00BF5CE6">
        <w:t>Thus, i</w:t>
      </w:r>
      <w:r w:rsidR="00B6530D" w:rsidRPr="00D37A5B">
        <w:t xml:space="preserve">n keeping with prior experience, </w:t>
      </w:r>
      <w:r w:rsidR="00E82BF0">
        <w:t>JBS</w:t>
      </w:r>
      <w:r w:rsidR="00B6530D" w:rsidRPr="00D37A5B">
        <w:t xml:space="preserve"> expected that profit levels would </w:t>
      </w:r>
      <w:r w:rsidR="003C0EB7">
        <w:t>not increase</w:t>
      </w:r>
      <w:r w:rsidR="00B6530D" w:rsidRPr="00D37A5B">
        <w:t xml:space="preserve"> unless the company took some steps to increase revenue</w:t>
      </w:r>
      <w:r w:rsidR="004508B5">
        <w:t xml:space="preserve">. </w:t>
      </w:r>
      <w:r w:rsidR="007A2804">
        <w:t>Furthermore</w:t>
      </w:r>
      <w:r w:rsidR="004508B5">
        <w:t xml:space="preserve">, the financial strength of the company </w:t>
      </w:r>
      <w:r w:rsidR="00074C21">
        <w:t xml:space="preserve">had </w:t>
      </w:r>
      <w:r w:rsidR="004508B5">
        <w:t xml:space="preserve">increased considerably during the past </w:t>
      </w:r>
      <w:r w:rsidR="00A3728C">
        <w:t>five</w:t>
      </w:r>
      <w:r w:rsidR="004508B5">
        <w:t xml:space="preserve"> years (</w:t>
      </w:r>
      <w:r w:rsidR="00A3728C">
        <w:t xml:space="preserve">see </w:t>
      </w:r>
      <w:r w:rsidR="004508B5">
        <w:t>Exhibit</w:t>
      </w:r>
      <w:r w:rsidR="00A3728C">
        <w:t xml:space="preserve"> </w:t>
      </w:r>
      <w:r w:rsidR="006E2A4F">
        <w:t>6</w:t>
      </w:r>
      <w:r w:rsidR="004508B5">
        <w:t>)</w:t>
      </w:r>
      <w:r w:rsidR="00B6530D" w:rsidRPr="00D37A5B">
        <w:t>.</w:t>
      </w:r>
    </w:p>
    <w:p w14:paraId="7DC63C37" w14:textId="77777777" w:rsidR="00B6530D" w:rsidRPr="00D37A5B" w:rsidRDefault="00B6530D" w:rsidP="00D37A5B">
      <w:pPr>
        <w:pStyle w:val="BodyTextMain"/>
      </w:pPr>
    </w:p>
    <w:p w14:paraId="3EE3C625" w14:textId="2D0A75F1" w:rsidR="007E096E" w:rsidRDefault="004255CE" w:rsidP="007E096E">
      <w:pPr>
        <w:pStyle w:val="BodyTextMain"/>
      </w:pPr>
      <w:r>
        <w:t>JBS</w:t>
      </w:r>
      <w:r w:rsidRPr="00D37A5B">
        <w:t xml:space="preserve"> </w:t>
      </w:r>
      <w:proofErr w:type="gramStart"/>
      <w:r w:rsidRPr="00D37A5B">
        <w:t>had from its beginnings competed</w:t>
      </w:r>
      <w:proofErr w:type="gramEnd"/>
      <w:r w:rsidRPr="00D37A5B">
        <w:t xml:space="preserve"> with industry stalwarts, and </w:t>
      </w:r>
      <w:proofErr w:type="spellStart"/>
      <w:r w:rsidRPr="00D37A5B">
        <w:t>Gurnam</w:t>
      </w:r>
      <w:proofErr w:type="spellEnd"/>
      <w:r w:rsidRPr="00D37A5B">
        <w:t xml:space="preserve"> had successfully kept the company afloat through many market fluctuations. </w:t>
      </w:r>
      <w:r w:rsidR="00B6530D" w:rsidRPr="00D37A5B">
        <w:t xml:space="preserve">Through private logistics facilities and highly customized products, </w:t>
      </w:r>
      <w:r w:rsidR="00E82BF0">
        <w:t>JBS</w:t>
      </w:r>
      <w:r w:rsidR="00B6530D" w:rsidRPr="00D37A5B">
        <w:t xml:space="preserve"> had received a substantial amount of business from automobile manufacturers. These measures helped </w:t>
      </w:r>
      <w:r w:rsidR="00E82BF0">
        <w:t>JBS</w:t>
      </w:r>
      <w:r w:rsidR="00B6530D" w:rsidRPr="00D37A5B">
        <w:t xml:space="preserve"> to harness the benefits of a solid </w:t>
      </w:r>
      <w:r>
        <w:t>j</w:t>
      </w:r>
      <w:r w:rsidR="00B6530D" w:rsidRPr="00D37A5B">
        <w:t>ust-in-</w:t>
      </w:r>
      <w:r>
        <w:t>t</w:t>
      </w:r>
      <w:r w:rsidR="00B6530D" w:rsidRPr="00D37A5B">
        <w:t>ime inventory system. In FY 20</w:t>
      </w:r>
      <w:r>
        <w:t>12/</w:t>
      </w:r>
      <w:r w:rsidR="00B6530D" w:rsidRPr="00D37A5B">
        <w:t xml:space="preserve">13, </w:t>
      </w:r>
      <w:r w:rsidR="00E82BF0">
        <w:t>JBS</w:t>
      </w:r>
      <w:r w:rsidR="00B6530D" w:rsidRPr="00D37A5B">
        <w:t xml:space="preserve"> increased its production capacities</w:t>
      </w:r>
      <w:r>
        <w:t xml:space="preserve"> </w:t>
      </w:r>
      <w:r w:rsidRPr="00D37A5B">
        <w:t>for bright steel products</w:t>
      </w:r>
      <w:r w:rsidR="00B6530D" w:rsidRPr="00D37A5B">
        <w:t xml:space="preserve">. </w:t>
      </w:r>
    </w:p>
    <w:p w14:paraId="6D02C2C5" w14:textId="77777777" w:rsidR="007E096E" w:rsidRDefault="007E096E" w:rsidP="007E096E">
      <w:pPr>
        <w:pStyle w:val="BodyTextMain"/>
      </w:pPr>
    </w:p>
    <w:p w14:paraId="41024A2D" w14:textId="490C517E" w:rsidR="00B6530D" w:rsidRPr="00D37A5B" w:rsidRDefault="007E096E" w:rsidP="00D37A5B">
      <w:pPr>
        <w:pStyle w:val="BodyTextMain"/>
      </w:pPr>
      <w:r w:rsidRPr="00D37A5B">
        <w:t>The company’s revenue was primarily</w:t>
      </w:r>
      <w:r>
        <w:t xml:space="preserve"> dependent on orders from OEMs</w:t>
      </w:r>
      <w:r w:rsidRPr="00D37A5B">
        <w:t xml:space="preserve">. With </w:t>
      </w:r>
      <w:r w:rsidR="0054657C">
        <w:t xml:space="preserve">the existing </w:t>
      </w:r>
      <w:r>
        <w:t xml:space="preserve">orders from </w:t>
      </w:r>
      <w:r w:rsidRPr="00D37A5B">
        <w:t xml:space="preserve">OEMs, approximately 20 per cent of the company’s capacity </w:t>
      </w:r>
      <w:r>
        <w:t>was un</w:t>
      </w:r>
      <w:r w:rsidR="0054657C">
        <w:t>used</w:t>
      </w:r>
      <w:r>
        <w:t xml:space="preserve">. </w:t>
      </w:r>
      <w:r w:rsidR="00E82BF0">
        <w:t>JBS</w:t>
      </w:r>
      <w:r w:rsidR="00B6530D" w:rsidRPr="00D37A5B">
        <w:t xml:space="preserve"> was selling its products to OEMs on a 45-day credit period throughout the year</w:t>
      </w:r>
      <w:r>
        <w:t>.</w:t>
      </w:r>
      <w:r w:rsidR="00B6530D" w:rsidRPr="00D37A5B">
        <w:t xml:space="preserve"> The </w:t>
      </w:r>
      <w:r>
        <w:t>c</w:t>
      </w:r>
      <w:r w:rsidR="00B6530D" w:rsidRPr="00D37A5B">
        <w:t>ompany had taken its working capital loan from a commercial bank at a fixed interest rate of 18 per cent per annum.</w:t>
      </w:r>
    </w:p>
    <w:p w14:paraId="6AA64B44" w14:textId="77777777" w:rsidR="00D37A5B" w:rsidRPr="00D37A5B" w:rsidRDefault="00D37A5B" w:rsidP="00D37A5B">
      <w:pPr>
        <w:pStyle w:val="BodyTextMain"/>
      </w:pPr>
    </w:p>
    <w:p w14:paraId="5F222A4C" w14:textId="77777777" w:rsidR="00B6530D" w:rsidRDefault="00B6530D" w:rsidP="00D37A5B">
      <w:pPr>
        <w:pStyle w:val="BodyTextMain"/>
        <w:rPr>
          <w:lang w:val="en-CA"/>
        </w:rPr>
      </w:pPr>
    </w:p>
    <w:p w14:paraId="3CBD9F98" w14:textId="684AE803" w:rsidR="00B6530D" w:rsidRPr="00B63F69" w:rsidRDefault="00D85ACC" w:rsidP="002726D0">
      <w:pPr>
        <w:pStyle w:val="Casehead1"/>
        <w:rPr>
          <w:lang w:val="en-CA"/>
        </w:rPr>
      </w:pPr>
      <w:r>
        <w:rPr>
          <w:lang w:val="en-CA"/>
        </w:rPr>
        <w:t>The M</w:t>
      </w:r>
      <w:r w:rsidR="00B6530D">
        <w:rPr>
          <w:lang w:val="en-CA"/>
        </w:rPr>
        <w:t>anager’s</w:t>
      </w:r>
      <w:r w:rsidR="00B6530D" w:rsidRPr="00197B8C">
        <w:rPr>
          <w:lang w:val="en-CA"/>
        </w:rPr>
        <w:t xml:space="preserve"> </w:t>
      </w:r>
      <w:r>
        <w:rPr>
          <w:lang w:val="en-CA"/>
        </w:rPr>
        <w:t>D</w:t>
      </w:r>
      <w:r w:rsidR="00B6530D" w:rsidRPr="00197B8C">
        <w:rPr>
          <w:lang w:val="en-CA"/>
        </w:rPr>
        <w:t>ilemma</w:t>
      </w:r>
    </w:p>
    <w:p w14:paraId="1CB3AA49" w14:textId="77777777" w:rsidR="00D85ACC" w:rsidRDefault="00D85ACC" w:rsidP="00D37A5B">
      <w:pPr>
        <w:pStyle w:val="BodyTextMain"/>
      </w:pPr>
    </w:p>
    <w:p w14:paraId="23E8E6A2" w14:textId="05232ED7" w:rsidR="00B062DB" w:rsidRDefault="00B6530D" w:rsidP="00D37A5B">
      <w:pPr>
        <w:pStyle w:val="BodyTextMain"/>
      </w:pPr>
      <w:r w:rsidRPr="00D37A5B">
        <w:t xml:space="preserve">Recent capacity expansion had provided </w:t>
      </w:r>
      <w:r w:rsidR="00E82BF0">
        <w:t>JBS</w:t>
      </w:r>
      <w:r w:rsidRPr="00D37A5B">
        <w:t xml:space="preserve"> with an extra avenue for earning income. In FY </w:t>
      </w:r>
      <w:r w:rsidR="00DE3B3F">
        <w:t>2014/15</w:t>
      </w:r>
      <w:r w:rsidRPr="00D37A5B">
        <w:t xml:space="preserve">, 20 per cent of the company’s capacity </w:t>
      </w:r>
      <w:proofErr w:type="gramStart"/>
      <w:r w:rsidRPr="00D37A5B">
        <w:t xml:space="preserve">was </w:t>
      </w:r>
      <w:r w:rsidR="006E367B">
        <w:t xml:space="preserve">not </w:t>
      </w:r>
      <w:r w:rsidRPr="00D37A5B">
        <w:t>utilized</w:t>
      </w:r>
      <w:proofErr w:type="gramEnd"/>
      <w:r w:rsidRPr="00D37A5B">
        <w:t xml:space="preserve">. In previous years, the company had experienced some decline </w:t>
      </w:r>
      <w:proofErr w:type="gramStart"/>
      <w:r w:rsidRPr="00D37A5B">
        <w:t>in its revenue due to the sudden drop in demand for its products</w:t>
      </w:r>
      <w:proofErr w:type="gramEnd"/>
      <w:r w:rsidR="006E367B">
        <w:t>;</w:t>
      </w:r>
      <w:r w:rsidRPr="00D37A5B">
        <w:t xml:space="preserve"> </w:t>
      </w:r>
      <w:r w:rsidR="006E367B">
        <w:t>however, t</w:t>
      </w:r>
      <w:r w:rsidR="001B7902">
        <w:t xml:space="preserve">he increase in demand </w:t>
      </w:r>
      <w:r w:rsidR="006E367B">
        <w:t xml:space="preserve">for </w:t>
      </w:r>
      <w:r w:rsidR="001B7902">
        <w:t>automobile</w:t>
      </w:r>
      <w:r w:rsidR="006E367B">
        <w:t>s</w:t>
      </w:r>
      <w:r w:rsidR="001B7902">
        <w:t xml:space="preserve"> in India was encouraging. </w:t>
      </w:r>
      <w:r w:rsidR="006E367B">
        <w:t>T</w:t>
      </w:r>
      <w:r w:rsidR="001B7902">
        <w:t xml:space="preserve">he important point to decide was pricing. </w:t>
      </w:r>
    </w:p>
    <w:p w14:paraId="33688384" w14:textId="77777777" w:rsidR="00B062DB" w:rsidRDefault="00B062DB" w:rsidP="00D37A5B">
      <w:pPr>
        <w:pStyle w:val="BodyTextMain"/>
      </w:pPr>
    </w:p>
    <w:p w14:paraId="6E235003" w14:textId="25D86452" w:rsidR="001B7902" w:rsidRDefault="00B062DB" w:rsidP="00D37A5B">
      <w:pPr>
        <w:pStyle w:val="BodyTextMain"/>
      </w:pPr>
      <w:r>
        <w:t xml:space="preserve">The company’s current revenue was declining </w:t>
      </w:r>
      <w:proofErr w:type="gramStart"/>
      <w:r>
        <w:t>as a result</w:t>
      </w:r>
      <w:proofErr w:type="gramEnd"/>
      <w:r>
        <w:t xml:space="preserve"> of pricing pressure. </w:t>
      </w:r>
      <w:proofErr w:type="spellStart"/>
      <w:r w:rsidR="001B7902">
        <w:t>Ajai</w:t>
      </w:r>
      <w:proofErr w:type="spellEnd"/>
      <w:r w:rsidR="001B7902">
        <w:t xml:space="preserve"> </w:t>
      </w:r>
      <w:r>
        <w:t>knew</w:t>
      </w:r>
      <w:r w:rsidR="001B7902">
        <w:t xml:space="preserve"> </w:t>
      </w:r>
      <w:r w:rsidR="006E367B">
        <w:t>that if he</w:t>
      </w:r>
      <w:r w:rsidR="001B7902">
        <w:t xml:space="preserve"> price</w:t>
      </w:r>
      <w:r w:rsidR="006E367B">
        <w:t>d</w:t>
      </w:r>
      <w:r w:rsidR="001B7902">
        <w:t xml:space="preserve"> his product effectively, the </w:t>
      </w:r>
      <w:r w:rsidR="006E367B">
        <w:t xml:space="preserve">company’s </w:t>
      </w:r>
      <w:r w:rsidR="001B7902">
        <w:t xml:space="preserve">revenue </w:t>
      </w:r>
      <w:r w:rsidR="006E367B">
        <w:t xml:space="preserve">would </w:t>
      </w:r>
      <w:r w:rsidR="001B7902">
        <w:t>definitely increase. At the same time</w:t>
      </w:r>
      <w:r w:rsidR="006E367B">
        <w:t>,</w:t>
      </w:r>
      <w:r w:rsidR="001B7902">
        <w:t xml:space="preserve"> he was aware that </w:t>
      </w:r>
      <w:r w:rsidR="006E367B">
        <w:t xml:space="preserve">he needed to </w:t>
      </w:r>
      <w:r>
        <w:t>ensure</w:t>
      </w:r>
      <w:r w:rsidR="006E367B">
        <w:t xml:space="preserve"> </w:t>
      </w:r>
      <w:r w:rsidR="00A3728C">
        <w:t xml:space="preserve">that </w:t>
      </w:r>
      <w:r w:rsidR="001B7902">
        <w:t xml:space="preserve">his cash flow and profit </w:t>
      </w:r>
      <w:proofErr w:type="gramStart"/>
      <w:r>
        <w:t xml:space="preserve">were </w:t>
      </w:r>
      <w:r w:rsidR="001B7902">
        <w:t>not affected</w:t>
      </w:r>
      <w:proofErr w:type="gramEnd"/>
      <w:r w:rsidR="001B7902">
        <w:t xml:space="preserve"> </w:t>
      </w:r>
      <w:r>
        <w:t xml:space="preserve">by </w:t>
      </w:r>
      <w:r w:rsidR="0002118A">
        <w:t xml:space="preserve">a change in </w:t>
      </w:r>
      <w:r w:rsidR="001B7902">
        <w:t xml:space="preserve">pricing. </w:t>
      </w:r>
      <w:r>
        <w:t>T</w:t>
      </w:r>
      <w:r w:rsidR="001B7902">
        <w:t xml:space="preserve">he best </w:t>
      </w:r>
      <w:r>
        <w:t xml:space="preserve">solution </w:t>
      </w:r>
      <w:r w:rsidR="001B7902">
        <w:t xml:space="preserve">he could </w:t>
      </w:r>
      <w:r>
        <w:t xml:space="preserve">think </w:t>
      </w:r>
      <w:r w:rsidR="001B7902">
        <w:t xml:space="preserve">of </w:t>
      </w:r>
      <w:r>
        <w:t>in the</w:t>
      </w:r>
      <w:r w:rsidR="001B7902">
        <w:t xml:space="preserve"> present </w:t>
      </w:r>
      <w:r>
        <w:t xml:space="preserve">circumstances </w:t>
      </w:r>
      <w:r w:rsidR="001B7902">
        <w:t xml:space="preserve">was </w:t>
      </w:r>
      <w:r>
        <w:t xml:space="preserve">to make a </w:t>
      </w:r>
      <w:r w:rsidR="001B7902">
        <w:t xml:space="preserve">change in </w:t>
      </w:r>
      <w:r>
        <w:t xml:space="preserve">the </w:t>
      </w:r>
      <w:r w:rsidR="001B7902">
        <w:t xml:space="preserve">discount policy. </w:t>
      </w:r>
      <w:r w:rsidR="00B6530D" w:rsidRPr="00D37A5B">
        <w:t xml:space="preserve">Traditionally, </w:t>
      </w:r>
      <w:r w:rsidR="00E82BF0">
        <w:t>JBS</w:t>
      </w:r>
      <w:r w:rsidR="00B6530D" w:rsidRPr="00D37A5B">
        <w:t xml:space="preserve"> followed a conservative credit policy and had not </w:t>
      </w:r>
      <w:r w:rsidR="00415724">
        <w:t>offered</w:t>
      </w:r>
      <w:r w:rsidR="00B6530D" w:rsidRPr="00D37A5B">
        <w:t xml:space="preserve"> </w:t>
      </w:r>
      <w:r w:rsidR="00415724">
        <w:t>a</w:t>
      </w:r>
      <w:r w:rsidR="00415724" w:rsidRPr="00D37A5B">
        <w:t xml:space="preserve"> </w:t>
      </w:r>
      <w:r w:rsidR="00B6530D" w:rsidRPr="00D37A5B">
        <w:t xml:space="preserve">cash discount for reducing the </w:t>
      </w:r>
      <w:r w:rsidR="00415724">
        <w:t xml:space="preserve">company’s standard </w:t>
      </w:r>
      <w:r w:rsidR="00B6530D" w:rsidRPr="00D37A5B">
        <w:t xml:space="preserve">credit period of 45 days </w:t>
      </w:r>
      <w:r w:rsidR="006651A3">
        <w:t>to make payment in full (</w:t>
      </w:r>
      <w:r w:rsidR="00B6530D" w:rsidRPr="00D37A5B">
        <w:t>net</w:t>
      </w:r>
      <w:r w:rsidR="006A275E">
        <w:t xml:space="preserve"> 45</w:t>
      </w:r>
      <w:r w:rsidR="006651A3">
        <w:t xml:space="preserve"> days)</w:t>
      </w:r>
      <w:r w:rsidR="00415724">
        <w:t>.</w:t>
      </w:r>
      <w:r w:rsidR="00B6530D" w:rsidRPr="005379D2">
        <w:rPr>
          <w:rStyle w:val="FootnoteReference"/>
          <w:rFonts w:ascii="Times New Roman" w:hAnsi="Times New Roman"/>
          <w:sz w:val="22"/>
        </w:rPr>
        <w:footnoteReference w:id="14"/>
      </w:r>
      <w:r w:rsidR="00B6530D" w:rsidRPr="00D37A5B">
        <w:t xml:space="preserve"> </w:t>
      </w:r>
      <w:proofErr w:type="spellStart"/>
      <w:r w:rsidR="00B6530D" w:rsidRPr="00D37A5B">
        <w:t>Ajai</w:t>
      </w:r>
      <w:proofErr w:type="spellEnd"/>
      <w:r w:rsidR="00B6530D" w:rsidRPr="00D37A5B">
        <w:t xml:space="preserve"> was </w:t>
      </w:r>
      <w:r w:rsidR="006651A3">
        <w:t xml:space="preserve">now considering a change in that policy, </w:t>
      </w:r>
      <w:r w:rsidR="00B6530D" w:rsidRPr="00D37A5B">
        <w:t>propos</w:t>
      </w:r>
      <w:r w:rsidR="006651A3">
        <w:t>ing</w:t>
      </w:r>
      <w:r w:rsidR="00B6530D" w:rsidRPr="00D37A5B">
        <w:t xml:space="preserve"> </w:t>
      </w:r>
      <w:r w:rsidR="006651A3">
        <w:t xml:space="preserve">to keep the credit period of 45 days, but offer </w:t>
      </w:r>
      <w:r w:rsidR="00B6530D" w:rsidRPr="00D37A5B">
        <w:t xml:space="preserve">a </w:t>
      </w:r>
      <w:r w:rsidR="006651A3">
        <w:t>2 per cent discount if the customer paid within 10 days (</w:t>
      </w:r>
      <w:r w:rsidR="00B6530D" w:rsidRPr="00D37A5B">
        <w:t xml:space="preserve">2/10 </w:t>
      </w:r>
      <w:r w:rsidR="006651A3">
        <w:t>net</w:t>
      </w:r>
      <w:r w:rsidR="00B6530D" w:rsidRPr="00D37A5B">
        <w:t xml:space="preserve"> 45 days</w:t>
      </w:r>
      <w:r w:rsidR="006651A3">
        <w:t>)</w:t>
      </w:r>
      <w:r w:rsidR="00B6530D" w:rsidRPr="00D37A5B">
        <w:t>.</w:t>
      </w:r>
      <w:r w:rsidR="00B6530D" w:rsidRPr="005379D2">
        <w:rPr>
          <w:rStyle w:val="FootnoteReference"/>
          <w:rFonts w:ascii="Times New Roman" w:hAnsi="Times New Roman"/>
          <w:sz w:val="22"/>
        </w:rPr>
        <w:footnoteReference w:id="15"/>
      </w:r>
      <w:r w:rsidR="00B6530D" w:rsidRPr="00D37A5B">
        <w:t xml:space="preserve"> </w:t>
      </w:r>
    </w:p>
    <w:p w14:paraId="074B1F41" w14:textId="77777777" w:rsidR="001B7902" w:rsidRDefault="001B7902" w:rsidP="00D37A5B">
      <w:pPr>
        <w:pStyle w:val="BodyTextMain"/>
      </w:pPr>
    </w:p>
    <w:p w14:paraId="264D720D" w14:textId="4AAEED03" w:rsidR="00D0017F" w:rsidRDefault="00D0017F" w:rsidP="00D37A5B">
      <w:pPr>
        <w:pStyle w:val="BodyTextMain"/>
      </w:pPr>
      <w:proofErr w:type="spellStart"/>
      <w:r>
        <w:t>Ajai</w:t>
      </w:r>
      <w:proofErr w:type="spellEnd"/>
      <w:r>
        <w:t xml:space="preserve"> discussed the issue of a discount with his field sales managers. They predicted that </w:t>
      </w:r>
      <w:r w:rsidRPr="00D37A5B">
        <w:t xml:space="preserve">approximately 50 per cent of </w:t>
      </w:r>
      <w:r>
        <w:t>JBS</w:t>
      </w:r>
      <w:r w:rsidRPr="00D37A5B">
        <w:t xml:space="preserve">’s customers would </w:t>
      </w:r>
      <w:r>
        <w:t>take advantage</w:t>
      </w:r>
      <w:r w:rsidRPr="00D37A5B">
        <w:t xml:space="preserve"> of the cash discount proposal</w:t>
      </w:r>
      <w:r>
        <w:t xml:space="preserve">. </w:t>
      </w:r>
      <w:proofErr w:type="spellStart"/>
      <w:r>
        <w:t>Ajai</w:t>
      </w:r>
      <w:proofErr w:type="spellEnd"/>
      <w:r w:rsidRPr="00D37A5B">
        <w:t xml:space="preserve"> concluded that the </w:t>
      </w:r>
      <w:r w:rsidRPr="00D37A5B">
        <w:lastRenderedPageBreak/>
        <w:t xml:space="preserve">company’s revenue </w:t>
      </w:r>
      <w:proofErr w:type="gramStart"/>
      <w:r w:rsidRPr="00D37A5B">
        <w:t>could be increased</w:t>
      </w:r>
      <w:proofErr w:type="gramEnd"/>
      <w:r w:rsidRPr="00D37A5B">
        <w:t xml:space="preserve"> by 8 per cent by </w:t>
      </w:r>
      <w:r w:rsidR="00E87CF8" w:rsidRPr="00D37A5B">
        <w:t>201</w:t>
      </w:r>
      <w:r w:rsidR="00E87CF8">
        <w:t xml:space="preserve">6/17 </w:t>
      </w:r>
      <w:r w:rsidRPr="00D37A5B">
        <w:t xml:space="preserve">if the cash discounts </w:t>
      </w:r>
      <w:r>
        <w:t xml:space="preserve">were offered </w:t>
      </w:r>
      <w:r w:rsidRPr="00D37A5B">
        <w:t xml:space="preserve">to </w:t>
      </w:r>
      <w:r>
        <w:t>customers.</w:t>
      </w:r>
      <w:r w:rsidRPr="00D37A5B">
        <w:t xml:space="preserve"> </w:t>
      </w:r>
      <w:r>
        <w:t xml:space="preserve">This would be </w:t>
      </w:r>
      <w:r w:rsidRPr="00D37A5B">
        <w:t xml:space="preserve">2 per cent </w:t>
      </w:r>
      <w:r>
        <w:t xml:space="preserve">less than an </w:t>
      </w:r>
      <w:r w:rsidRPr="00D37A5B">
        <w:t>earlier e</w:t>
      </w:r>
      <w:r>
        <w:t xml:space="preserve">stimation of 10 per cent growth but would benefit JBS by decreasing its commitment to working capital. </w:t>
      </w:r>
      <w:r w:rsidRPr="00D37A5B">
        <w:t xml:space="preserve">The existing opportunity cost of </w:t>
      </w:r>
      <w:r>
        <w:t>investing</w:t>
      </w:r>
      <w:r w:rsidRPr="00D37A5B">
        <w:t xml:space="preserve"> fund</w:t>
      </w:r>
      <w:r>
        <w:t>s</w:t>
      </w:r>
      <w:r w:rsidRPr="00D37A5B">
        <w:t xml:space="preserve"> in the market was usually </w:t>
      </w:r>
      <w:r>
        <w:t>estimated</w:t>
      </w:r>
      <w:r w:rsidRPr="00D37A5B">
        <w:t xml:space="preserve"> a</w:t>
      </w:r>
      <w:r>
        <w:t>t</w:t>
      </w:r>
      <w:r w:rsidRPr="00D37A5B">
        <w:t xml:space="preserve"> 18 per cent per annum</w:t>
      </w:r>
      <w:r w:rsidR="00EA070B">
        <w:t xml:space="preserve"> (consider as total interest charges to be paid in case of raising any further working capital loan from the market)</w:t>
      </w:r>
      <w:r w:rsidRPr="00D37A5B">
        <w:t xml:space="preserve">. </w:t>
      </w:r>
    </w:p>
    <w:p w14:paraId="49F4D572" w14:textId="77777777" w:rsidR="00D0017F" w:rsidRPr="00D37A5B" w:rsidRDefault="00D0017F" w:rsidP="00D37A5B">
      <w:pPr>
        <w:pStyle w:val="BodyTextMain"/>
      </w:pPr>
    </w:p>
    <w:p w14:paraId="68EB8555" w14:textId="70C6CDAE" w:rsidR="00B6530D" w:rsidRDefault="00B6530D" w:rsidP="002726D0">
      <w:pPr>
        <w:pStyle w:val="BodyTextMain"/>
        <w:rPr>
          <w:lang w:val="en-CA"/>
        </w:rPr>
      </w:pPr>
      <w:proofErr w:type="spellStart"/>
      <w:r w:rsidRPr="00D37A5B">
        <w:t>Ajai</w:t>
      </w:r>
      <w:proofErr w:type="spellEnd"/>
      <w:r w:rsidRPr="00D37A5B">
        <w:t xml:space="preserve"> was </w:t>
      </w:r>
      <w:r w:rsidR="00D0017F">
        <w:t xml:space="preserve">conflicted. </w:t>
      </w:r>
      <w:r w:rsidRPr="00D37A5B">
        <w:t xml:space="preserve">He thought that trying </w:t>
      </w:r>
      <w:r w:rsidR="00D0017F">
        <w:t>the discount</w:t>
      </w:r>
      <w:r w:rsidRPr="00D37A5B">
        <w:t xml:space="preserve"> might be a good way to increase the company’s market share, but </w:t>
      </w:r>
      <w:r w:rsidR="00D0017F">
        <w:t xml:space="preserve">he was </w:t>
      </w:r>
      <w:proofErr w:type="spellStart"/>
      <w:r w:rsidR="00D0017F" w:rsidRPr="00D37A5B">
        <w:t>skeptical</w:t>
      </w:r>
      <w:proofErr w:type="spellEnd"/>
      <w:r w:rsidR="00D0017F" w:rsidRPr="00D37A5B">
        <w:t xml:space="preserve"> about the impact that such a discount would have on </w:t>
      </w:r>
      <w:r w:rsidR="00D0017F">
        <w:t>JBS</w:t>
      </w:r>
      <w:r w:rsidR="00D0017F" w:rsidRPr="00D37A5B">
        <w:t xml:space="preserve">’s profitability. </w:t>
      </w:r>
      <w:r w:rsidRPr="00D37A5B">
        <w:t xml:space="preserve">He </w:t>
      </w:r>
      <w:r w:rsidR="0058785A">
        <w:t xml:space="preserve">wanted more information before making his </w:t>
      </w:r>
      <w:r w:rsidRPr="00D37A5B">
        <w:t>decision</w:t>
      </w:r>
      <w:r w:rsidR="0058785A">
        <w:t xml:space="preserve">. He asked </w:t>
      </w:r>
      <w:r w:rsidR="0058785A" w:rsidRPr="00D37A5B">
        <w:t xml:space="preserve">the head of the finance department to </w:t>
      </w:r>
      <w:r w:rsidR="0058785A">
        <w:t xml:space="preserve">provide information </w:t>
      </w:r>
      <w:r w:rsidR="0058785A" w:rsidRPr="00D37A5B">
        <w:t xml:space="preserve">about the </w:t>
      </w:r>
      <w:r w:rsidR="0058785A">
        <w:t>firm’s liquidity and financials:</w:t>
      </w:r>
      <w:r w:rsidRPr="00D37A5B">
        <w:t xml:space="preserve"> What was the status of the working capital in his company? </w:t>
      </w:r>
      <w:r w:rsidR="0058785A">
        <w:t>How did</w:t>
      </w:r>
      <w:r w:rsidRPr="00D37A5B">
        <w:t xml:space="preserve"> the company</w:t>
      </w:r>
      <w:r w:rsidR="0058785A">
        <w:t xml:space="preserve">’s working capital compare </w:t>
      </w:r>
      <w:r w:rsidRPr="00D37A5B">
        <w:t>to the working capital of its competitors? How profitable would the company be if the cash discount proposal turned out to be positive in the future?</w:t>
      </w:r>
      <w:r>
        <w:rPr>
          <w:lang w:val="en-CA"/>
        </w:rPr>
        <w:br w:type="page"/>
      </w:r>
    </w:p>
    <w:p w14:paraId="7976B1F5" w14:textId="15CD8885" w:rsidR="006845A9" w:rsidRDefault="00B6530D" w:rsidP="008C2FD6">
      <w:pPr>
        <w:pStyle w:val="ExhibitHeading"/>
        <w:outlineLvl w:val="0"/>
        <w:rPr>
          <w:lang w:val="en-CA"/>
        </w:rPr>
      </w:pPr>
      <w:r w:rsidRPr="00D37A5B">
        <w:lastRenderedPageBreak/>
        <w:t>EXHIBIT</w:t>
      </w:r>
      <w:r w:rsidRPr="00197B8C">
        <w:rPr>
          <w:lang w:val="en-CA"/>
        </w:rPr>
        <w:t xml:space="preserve"> 1: KEY FINANCIAL INFORMATION FOR </w:t>
      </w:r>
      <w:r w:rsidR="00E82BF0">
        <w:rPr>
          <w:lang w:val="en-CA"/>
        </w:rPr>
        <w:t>JBS</w:t>
      </w:r>
      <w:r w:rsidRPr="00197B8C">
        <w:rPr>
          <w:lang w:val="en-CA"/>
        </w:rPr>
        <w:t>’S COMPETITORS</w:t>
      </w:r>
      <w:r w:rsidR="00FB246D">
        <w:rPr>
          <w:lang w:val="en-CA"/>
        </w:rPr>
        <w:t xml:space="preserve"> </w:t>
      </w:r>
    </w:p>
    <w:p w14:paraId="2E66ECBE" w14:textId="023D198D" w:rsidR="00B6530D" w:rsidRPr="00197B8C" w:rsidRDefault="00B6530D" w:rsidP="008C2FD6">
      <w:pPr>
        <w:pStyle w:val="ExhibitHeading"/>
        <w:outlineLvl w:val="0"/>
        <w:rPr>
          <w:lang w:val="en-CA"/>
        </w:rPr>
      </w:pPr>
      <w:r>
        <w:rPr>
          <w:lang w:val="en-CA"/>
        </w:rPr>
        <w:t>F</w:t>
      </w:r>
      <w:r w:rsidR="006845A9">
        <w:rPr>
          <w:lang w:val="en-CA"/>
        </w:rPr>
        <w:t xml:space="preserve">iscal </w:t>
      </w:r>
      <w:r>
        <w:rPr>
          <w:lang w:val="en-CA"/>
        </w:rPr>
        <w:t>Y</w:t>
      </w:r>
      <w:r w:rsidR="006845A9">
        <w:rPr>
          <w:lang w:val="en-CA"/>
        </w:rPr>
        <w:t>ear</w:t>
      </w:r>
      <w:r w:rsidR="00292BF8">
        <w:rPr>
          <w:lang w:val="en-CA"/>
        </w:rPr>
        <w:t xml:space="preserve"> 2014</w:t>
      </w:r>
      <w:r w:rsidR="006845A9">
        <w:rPr>
          <w:lang w:val="en-CA"/>
        </w:rPr>
        <w:t>/</w:t>
      </w:r>
      <w:r w:rsidRPr="00197B8C">
        <w:rPr>
          <w:lang w:val="en-CA"/>
        </w:rPr>
        <w:t>15</w:t>
      </w:r>
      <w:r w:rsidR="006845A9">
        <w:rPr>
          <w:lang w:val="en-CA"/>
        </w:rPr>
        <w:t xml:space="preserve">, </w:t>
      </w:r>
      <w:r w:rsidR="00897074">
        <w:rPr>
          <w:lang w:val="en-CA"/>
        </w:rPr>
        <w:t>in ₹ millions</w:t>
      </w:r>
    </w:p>
    <w:p w14:paraId="3D94F251" w14:textId="77777777" w:rsidR="00B6530D" w:rsidRPr="00231E55" w:rsidRDefault="00B6530D" w:rsidP="00B6530D">
      <w:pPr>
        <w:pStyle w:val="BodyTextMain"/>
        <w:rPr>
          <w:lang w:val="en-CA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2088"/>
        <w:gridCol w:w="1906"/>
        <w:gridCol w:w="2361"/>
      </w:tblGrid>
      <w:tr w:rsidR="00B6530D" w:rsidRPr="00464838" w14:paraId="03EC3CD6" w14:textId="77777777" w:rsidTr="00D67DAD">
        <w:trPr>
          <w:trHeight w:val="288"/>
          <w:jc w:val="center"/>
        </w:trPr>
        <w:tc>
          <w:tcPr>
            <w:tcW w:w="3002" w:type="dxa"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</w:tcPr>
          <w:p w14:paraId="3146D0AA" w14:textId="77777777" w:rsidR="00B6530D" w:rsidRPr="00464838" w:rsidRDefault="00B6530D" w:rsidP="00897074">
            <w:pPr>
              <w:jc w:val="center"/>
              <w:rPr>
                <w:rFonts w:ascii="Arial" w:hAnsi="Arial" w:cs="Arial"/>
                <w:b/>
                <w:lang w:val="en-CA"/>
              </w:rPr>
            </w:pPr>
            <w:r w:rsidRPr="00464838">
              <w:rPr>
                <w:rFonts w:ascii="Arial" w:hAnsi="Arial" w:cs="Arial"/>
                <w:b/>
                <w:lang w:val="en-CA"/>
              </w:rPr>
              <w:t>Name</w:t>
            </w:r>
          </w:p>
        </w:tc>
        <w:tc>
          <w:tcPr>
            <w:tcW w:w="2086" w:type="dxa"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</w:tcPr>
          <w:p w14:paraId="04BFD48A" w14:textId="77777777" w:rsidR="00B6530D" w:rsidRPr="00464838" w:rsidRDefault="00B6530D" w:rsidP="00897074">
            <w:pPr>
              <w:jc w:val="center"/>
              <w:rPr>
                <w:rFonts w:ascii="Arial" w:hAnsi="Arial" w:cs="Arial"/>
                <w:b/>
                <w:lang w:val="en-CA"/>
              </w:rPr>
            </w:pPr>
            <w:r w:rsidRPr="00464838">
              <w:rPr>
                <w:rFonts w:ascii="Arial" w:hAnsi="Arial" w:cs="Arial"/>
                <w:b/>
                <w:lang w:val="en-CA"/>
              </w:rPr>
              <w:t>Revenue</w:t>
            </w:r>
          </w:p>
        </w:tc>
        <w:tc>
          <w:tcPr>
            <w:tcW w:w="1904" w:type="dxa"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</w:tcPr>
          <w:p w14:paraId="4E49703F" w14:textId="77777777" w:rsidR="00B6530D" w:rsidRPr="00464838" w:rsidRDefault="00B6530D" w:rsidP="00897074">
            <w:pPr>
              <w:jc w:val="center"/>
              <w:rPr>
                <w:rFonts w:ascii="Arial" w:hAnsi="Arial" w:cs="Arial"/>
                <w:b/>
                <w:lang w:val="en-CA"/>
              </w:rPr>
            </w:pPr>
            <w:r w:rsidRPr="00464838">
              <w:rPr>
                <w:rFonts w:ascii="Arial" w:hAnsi="Arial" w:cs="Arial"/>
                <w:b/>
                <w:lang w:val="en-CA"/>
              </w:rPr>
              <w:t>Net Profit</w:t>
            </w:r>
          </w:p>
        </w:tc>
        <w:tc>
          <w:tcPr>
            <w:tcW w:w="2358" w:type="dxa"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</w:tcPr>
          <w:p w14:paraId="726410FA" w14:textId="77777777" w:rsidR="00B6530D" w:rsidRPr="00464838" w:rsidRDefault="00B6530D" w:rsidP="00897074">
            <w:pPr>
              <w:jc w:val="center"/>
              <w:rPr>
                <w:rFonts w:ascii="Arial" w:hAnsi="Arial" w:cs="Arial"/>
                <w:b/>
                <w:lang w:val="en-CA"/>
              </w:rPr>
            </w:pPr>
            <w:r w:rsidRPr="00464838">
              <w:rPr>
                <w:rFonts w:ascii="Arial" w:hAnsi="Arial" w:cs="Arial"/>
                <w:b/>
                <w:lang w:val="en-CA"/>
              </w:rPr>
              <w:t>Total Assets</w:t>
            </w:r>
          </w:p>
        </w:tc>
      </w:tr>
      <w:tr w:rsidR="00B6530D" w:rsidRPr="00464838" w14:paraId="5FA369A7" w14:textId="77777777" w:rsidTr="00D67DAD">
        <w:trPr>
          <w:trHeight w:val="288"/>
          <w:jc w:val="center"/>
        </w:trPr>
        <w:tc>
          <w:tcPr>
            <w:tcW w:w="3002" w:type="dxa"/>
            <w:tcBorders>
              <w:top w:val="single" w:sz="12" w:space="0" w:color="auto"/>
            </w:tcBorders>
            <w:vAlign w:val="center"/>
          </w:tcPr>
          <w:p w14:paraId="18E69484" w14:textId="7D09E81F" w:rsidR="00B6530D" w:rsidRPr="00464838" w:rsidRDefault="00B6530D" w:rsidP="00897074">
            <w:pPr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Omega Bright Steel Pvt. Ltd.</w:t>
            </w:r>
          </w:p>
        </w:tc>
        <w:tc>
          <w:tcPr>
            <w:tcW w:w="2086" w:type="dxa"/>
            <w:tcBorders>
              <w:top w:val="single" w:sz="12" w:space="0" w:color="auto"/>
            </w:tcBorders>
            <w:tcMar>
              <w:left w:w="115" w:type="dxa"/>
              <w:right w:w="504" w:type="dxa"/>
            </w:tcMar>
            <w:vAlign w:val="center"/>
          </w:tcPr>
          <w:p w14:paraId="60DC5D53" w14:textId="77777777" w:rsidR="00B6530D" w:rsidRPr="00464838" w:rsidRDefault="00B6530D" w:rsidP="00897074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141.00</w:t>
            </w:r>
          </w:p>
        </w:tc>
        <w:tc>
          <w:tcPr>
            <w:tcW w:w="1904" w:type="dxa"/>
            <w:tcBorders>
              <w:top w:val="single" w:sz="12" w:space="0" w:color="auto"/>
            </w:tcBorders>
            <w:tcMar>
              <w:left w:w="115" w:type="dxa"/>
              <w:right w:w="504" w:type="dxa"/>
            </w:tcMar>
            <w:vAlign w:val="center"/>
          </w:tcPr>
          <w:p w14:paraId="00F51D09" w14:textId="77777777" w:rsidR="00B6530D" w:rsidRPr="00464838" w:rsidRDefault="00B6530D" w:rsidP="00897074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5.64</w:t>
            </w:r>
          </w:p>
        </w:tc>
        <w:tc>
          <w:tcPr>
            <w:tcW w:w="2358" w:type="dxa"/>
            <w:tcBorders>
              <w:top w:val="single" w:sz="12" w:space="0" w:color="auto"/>
            </w:tcBorders>
            <w:tcMar>
              <w:left w:w="115" w:type="dxa"/>
              <w:right w:w="504" w:type="dxa"/>
            </w:tcMar>
            <w:vAlign w:val="center"/>
          </w:tcPr>
          <w:p w14:paraId="56679A9D" w14:textId="77777777" w:rsidR="00B6530D" w:rsidRPr="00464838" w:rsidRDefault="00B6530D" w:rsidP="00897074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127.97</w:t>
            </w:r>
          </w:p>
        </w:tc>
      </w:tr>
      <w:tr w:rsidR="00B6530D" w:rsidRPr="00464838" w14:paraId="7C3C5964" w14:textId="77777777" w:rsidTr="00D67DAD">
        <w:trPr>
          <w:trHeight w:val="288"/>
          <w:jc w:val="center"/>
        </w:trPr>
        <w:tc>
          <w:tcPr>
            <w:tcW w:w="3002" w:type="dxa"/>
            <w:vAlign w:val="center"/>
          </w:tcPr>
          <w:p w14:paraId="1B191133" w14:textId="6A08531E" w:rsidR="00B6530D" w:rsidRPr="00464838" w:rsidRDefault="00B6530D" w:rsidP="00897074">
            <w:pPr>
              <w:rPr>
                <w:rFonts w:ascii="Arial" w:hAnsi="Arial" w:cs="Arial"/>
                <w:lang w:val="en-CA"/>
              </w:rPr>
            </w:pPr>
            <w:proofErr w:type="spellStart"/>
            <w:r w:rsidRPr="00464838">
              <w:rPr>
                <w:rFonts w:ascii="Arial" w:hAnsi="Arial" w:cs="Arial"/>
                <w:lang w:val="en-CA"/>
              </w:rPr>
              <w:t>Gopalsons</w:t>
            </w:r>
            <w:proofErr w:type="spellEnd"/>
            <w:r w:rsidRPr="00464838">
              <w:rPr>
                <w:rFonts w:ascii="Arial" w:hAnsi="Arial" w:cs="Arial"/>
                <w:lang w:val="en-CA"/>
              </w:rPr>
              <w:t xml:space="preserve"> </w:t>
            </w:r>
            <w:r w:rsidR="00583F62">
              <w:rPr>
                <w:rFonts w:ascii="Arial" w:hAnsi="Arial" w:cs="Arial"/>
                <w:lang w:val="en-CA"/>
              </w:rPr>
              <w:t xml:space="preserve">Steels </w:t>
            </w:r>
            <w:r w:rsidRPr="00464838">
              <w:rPr>
                <w:rFonts w:ascii="Arial" w:hAnsi="Arial" w:cs="Arial"/>
                <w:lang w:val="en-CA"/>
              </w:rPr>
              <w:t>Pvt. Ltd.</w:t>
            </w:r>
          </w:p>
        </w:tc>
        <w:tc>
          <w:tcPr>
            <w:tcW w:w="2086" w:type="dxa"/>
            <w:tcMar>
              <w:left w:w="115" w:type="dxa"/>
              <w:right w:w="504" w:type="dxa"/>
            </w:tcMar>
            <w:vAlign w:val="center"/>
          </w:tcPr>
          <w:p w14:paraId="2BB589BA" w14:textId="77777777" w:rsidR="00B6530D" w:rsidRPr="00464838" w:rsidRDefault="00B6530D" w:rsidP="00897074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48.82</w:t>
            </w:r>
          </w:p>
        </w:tc>
        <w:tc>
          <w:tcPr>
            <w:tcW w:w="1904" w:type="dxa"/>
            <w:tcMar>
              <w:left w:w="115" w:type="dxa"/>
              <w:right w:w="504" w:type="dxa"/>
            </w:tcMar>
            <w:vAlign w:val="center"/>
          </w:tcPr>
          <w:p w14:paraId="6E7160E3" w14:textId="77777777" w:rsidR="00B6530D" w:rsidRPr="00464838" w:rsidRDefault="00B6530D" w:rsidP="00897074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0.37</w:t>
            </w:r>
          </w:p>
        </w:tc>
        <w:tc>
          <w:tcPr>
            <w:tcW w:w="2358" w:type="dxa"/>
            <w:tcMar>
              <w:left w:w="115" w:type="dxa"/>
              <w:right w:w="504" w:type="dxa"/>
            </w:tcMar>
            <w:vAlign w:val="center"/>
          </w:tcPr>
          <w:p w14:paraId="0E9EC6C6" w14:textId="77777777" w:rsidR="00B6530D" w:rsidRPr="00464838" w:rsidRDefault="00B6530D" w:rsidP="00897074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29.26</w:t>
            </w:r>
          </w:p>
        </w:tc>
      </w:tr>
      <w:tr w:rsidR="00B6530D" w:rsidRPr="00464838" w14:paraId="753A6FB8" w14:textId="77777777" w:rsidTr="00D67DAD">
        <w:trPr>
          <w:trHeight w:val="288"/>
          <w:jc w:val="center"/>
        </w:trPr>
        <w:tc>
          <w:tcPr>
            <w:tcW w:w="3002" w:type="dxa"/>
            <w:tcBorders>
              <w:bottom w:val="single" w:sz="4" w:space="0" w:color="auto"/>
            </w:tcBorders>
            <w:vAlign w:val="center"/>
          </w:tcPr>
          <w:p w14:paraId="323E4BC3" w14:textId="77777777" w:rsidR="00B6530D" w:rsidRPr="00464838" w:rsidRDefault="00B6530D" w:rsidP="00897074">
            <w:pPr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C. Lal Alloys Pvt. Ltd.</w:t>
            </w:r>
          </w:p>
        </w:tc>
        <w:tc>
          <w:tcPr>
            <w:tcW w:w="2086" w:type="dxa"/>
            <w:tcBorders>
              <w:bottom w:val="single" w:sz="4" w:space="0" w:color="auto"/>
            </w:tcBorders>
            <w:tcMar>
              <w:left w:w="115" w:type="dxa"/>
              <w:right w:w="504" w:type="dxa"/>
            </w:tcMar>
            <w:vAlign w:val="center"/>
          </w:tcPr>
          <w:p w14:paraId="1AED4A30" w14:textId="77777777" w:rsidR="00B6530D" w:rsidRPr="00464838" w:rsidRDefault="00B6530D" w:rsidP="00897074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52.17</w:t>
            </w:r>
          </w:p>
        </w:tc>
        <w:tc>
          <w:tcPr>
            <w:tcW w:w="1904" w:type="dxa"/>
            <w:tcBorders>
              <w:bottom w:val="single" w:sz="4" w:space="0" w:color="auto"/>
            </w:tcBorders>
            <w:tcMar>
              <w:left w:w="115" w:type="dxa"/>
              <w:right w:w="504" w:type="dxa"/>
            </w:tcMar>
            <w:vAlign w:val="center"/>
          </w:tcPr>
          <w:p w14:paraId="1C43DED1" w14:textId="77777777" w:rsidR="00B6530D" w:rsidRPr="00464838" w:rsidRDefault="00B6530D" w:rsidP="00897074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0.05</w:t>
            </w:r>
          </w:p>
        </w:tc>
        <w:tc>
          <w:tcPr>
            <w:tcW w:w="2358" w:type="dxa"/>
            <w:tcBorders>
              <w:bottom w:val="single" w:sz="4" w:space="0" w:color="auto"/>
            </w:tcBorders>
            <w:tcMar>
              <w:left w:w="115" w:type="dxa"/>
              <w:right w:w="504" w:type="dxa"/>
            </w:tcMar>
            <w:vAlign w:val="center"/>
          </w:tcPr>
          <w:p w14:paraId="72C7C76C" w14:textId="77777777" w:rsidR="00B6530D" w:rsidRPr="00464838" w:rsidRDefault="00B6530D" w:rsidP="00897074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30.87</w:t>
            </w:r>
          </w:p>
        </w:tc>
      </w:tr>
    </w:tbl>
    <w:p w14:paraId="5DDCDEDA" w14:textId="77777777" w:rsidR="00B6530D" w:rsidRDefault="00B6530D" w:rsidP="00B6530D">
      <w:pPr>
        <w:pStyle w:val="BodyTextMain"/>
        <w:rPr>
          <w:lang w:val="en-CA"/>
        </w:rPr>
      </w:pPr>
    </w:p>
    <w:p w14:paraId="7D5E3885" w14:textId="0EC1A2C2" w:rsidR="00B6530D" w:rsidRPr="003A4EB5" w:rsidRDefault="00B6530D" w:rsidP="00B6530D">
      <w:pPr>
        <w:pStyle w:val="Footnote"/>
      </w:pPr>
      <w:r w:rsidRPr="003A4EB5">
        <w:t>So</w:t>
      </w:r>
      <w:r w:rsidR="00292BF8">
        <w:t xml:space="preserve">urce: </w:t>
      </w:r>
      <w:proofErr w:type="gramStart"/>
      <w:r w:rsidR="00292BF8">
        <w:t>Annual reports of Indian private l</w:t>
      </w:r>
      <w:r w:rsidRPr="003A4EB5">
        <w:t xml:space="preserve">imited companies </w:t>
      </w:r>
      <w:r w:rsidR="00292BF8">
        <w:t>were</w:t>
      </w:r>
      <w:r w:rsidRPr="003A4EB5">
        <w:t xml:space="preserve"> provided by </w:t>
      </w:r>
      <w:r w:rsidR="0040065C">
        <w:t>MCA Services</w:t>
      </w:r>
      <w:proofErr w:type="gramEnd"/>
      <w:r w:rsidR="0040065C">
        <w:t>,</w:t>
      </w:r>
      <w:r w:rsidRPr="003A4EB5">
        <w:t xml:space="preserve"> Ministry of Corporate Affairs</w:t>
      </w:r>
      <w:r w:rsidR="0040065C">
        <w:t>, Government of India,</w:t>
      </w:r>
      <w:r w:rsidRPr="003A4EB5">
        <w:t xml:space="preserve"> accessed March 24, 2016</w:t>
      </w:r>
      <w:r w:rsidR="0040065C">
        <w:t>,</w:t>
      </w:r>
      <w:r w:rsidRPr="003A4EB5">
        <w:t xml:space="preserve"> www.mca.gov.in/mcafoportal/login.do</w:t>
      </w:r>
      <w:r>
        <w:t>.</w:t>
      </w:r>
      <w:r w:rsidRPr="003A4EB5">
        <w:rPr>
          <w:rStyle w:val="CommentReference"/>
          <w:sz w:val="17"/>
          <w:szCs w:val="17"/>
        </w:rPr>
        <w:t xml:space="preserve"> </w:t>
      </w:r>
    </w:p>
    <w:p w14:paraId="22AB32AA" w14:textId="77777777" w:rsidR="00B6530D" w:rsidRDefault="00B6530D" w:rsidP="00B6530D">
      <w:pPr>
        <w:pStyle w:val="BodyTextMain"/>
        <w:rPr>
          <w:lang w:val="en-CA"/>
        </w:rPr>
      </w:pPr>
    </w:p>
    <w:p w14:paraId="1CC37069" w14:textId="77777777" w:rsidR="00B6530D" w:rsidRDefault="00B6530D" w:rsidP="00B6530D">
      <w:pPr>
        <w:pStyle w:val="BodyTextMain"/>
        <w:rPr>
          <w:lang w:val="en-CA"/>
        </w:rPr>
      </w:pPr>
    </w:p>
    <w:p w14:paraId="592E8F93" w14:textId="77777777" w:rsidR="006E2A4F" w:rsidRDefault="00B6530D" w:rsidP="00060A2D">
      <w:pPr>
        <w:pStyle w:val="ExhibitHeading"/>
        <w:outlineLvl w:val="0"/>
        <w:rPr>
          <w:lang w:val="en-CA"/>
        </w:rPr>
      </w:pPr>
      <w:r w:rsidRPr="00231E55">
        <w:rPr>
          <w:lang w:val="en-CA"/>
        </w:rPr>
        <w:t>Exhibit</w:t>
      </w:r>
      <w:r>
        <w:rPr>
          <w:lang w:val="en-CA"/>
        </w:rPr>
        <w:t xml:space="preserve"> 2</w:t>
      </w:r>
      <w:r w:rsidRPr="00231E55">
        <w:rPr>
          <w:lang w:val="en-CA"/>
        </w:rPr>
        <w:t xml:space="preserve">: Income </w:t>
      </w:r>
      <w:r>
        <w:rPr>
          <w:lang w:val="en-CA"/>
        </w:rPr>
        <w:t>S</w:t>
      </w:r>
      <w:r w:rsidRPr="00231E55">
        <w:rPr>
          <w:lang w:val="en-CA"/>
        </w:rPr>
        <w:t>tatement</w:t>
      </w:r>
      <w:r>
        <w:rPr>
          <w:lang w:val="en-CA"/>
        </w:rPr>
        <w:t>s</w:t>
      </w:r>
      <w:r w:rsidRPr="00231E55">
        <w:rPr>
          <w:lang w:val="en-CA"/>
        </w:rPr>
        <w:t xml:space="preserve"> </w:t>
      </w:r>
      <w:r>
        <w:rPr>
          <w:lang w:val="en-CA"/>
        </w:rPr>
        <w:t xml:space="preserve">for </w:t>
      </w:r>
      <w:r w:rsidR="00E82BF0">
        <w:rPr>
          <w:lang w:val="en-CA"/>
        </w:rPr>
        <w:t>JBS</w:t>
      </w:r>
      <w:r>
        <w:rPr>
          <w:lang w:val="en-CA"/>
        </w:rPr>
        <w:t>’s Competitors</w:t>
      </w:r>
      <w:r w:rsidR="00060A2D">
        <w:rPr>
          <w:lang w:val="en-CA"/>
        </w:rPr>
        <w:t xml:space="preserve"> </w:t>
      </w:r>
    </w:p>
    <w:p w14:paraId="10BC3F05" w14:textId="6A46D0CB" w:rsidR="00B6530D" w:rsidRDefault="00B6530D" w:rsidP="00060A2D">
      <w:pPr>
        <w:pStyle w:val="ExhibitHeading"/>
        <w:outlineLvl w:val="0"/>
        <w:rPr>
          <w:lang w:val="en-CA"/>
        </w:rPr>
      </w:pPr>
      <w:r>
        <w:rPr>
          <w:lang w:val="en-CA"/>
        </w:rPr>
        <w:t>F</w:t>
      </w:r>
      <w:r w:rsidR="006845A9">
        <w:rPr>
          <w:lang w:val="en-CA"/>
        </w:rPr>
        <w:t xml:space="preserve">iscal </w:t>
      </w:r>
      <w:r>
        <w:rPr>
          <w:lang w:val="en-CA"/>
        </w:rPr>
        <w:t>Y</w:t>
      </w:r>
      <w:r w:rsidR="006845A9">
        <w:rPr>
          <w:lang w:val="en-CA"/>
        </w:rPr>
        <w:t>ear</w:t>
      </w:r>
      <w:r w:rsidR="00292BF8">
        <w:rPr>
          <w:lang w:val="en-CA"/>
        </w:rPr>
        <w:t xml:space="preserve"> 2014</w:t>
      </w:r>
      <w:r w:rsidR="006845A9">
        <w:rPr>
          <w:lang w:val="en-CA"/>
        </w:rPr>
        <w:t>/</w:t>
      </w:r>
      <w:r>
        <w:rPr>
          <w:lang w:val="en-CA"/>
        </w:rPr>
        <w:t>15</w:t>
      </w:r>
      <w:r w:rsidR="006845A9">
        <w:rPr>
          <w:lang w:val="en-CA"/>
        </w:rPr>
        <w:t xml:space="preserve">, </w:t>
      </w:r>
      <w:r w:rsidR="00292BF8">
        <w:rPr>
          <w:lang w:val="en-CA"/>
        </w:rPr>
        <w:t xml:space="preserve">in </w:t>
      </w:r>
      <w:r>
        <w:rPr>
          <w:lang w:val="en-CA"/>
        </w:rPr>
        <w:t>₹ millions</w:t>
      </w:r>
    </w:p>
    <w:p w14:paraId="20CA5240" w14:textId="77777777" w:rsidR="00B6530D" w:rsidRPr="00231E55" w:rsidRDefault="00B6530D" w:rsidP="00B6530D">
      <w:pPr>
        <w:pStyle w:val="BodyTextMain"/>
        <w:rPr>
          <w:lang w:val="en-CA"/>
        </w:rPr>
      </w:pP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336"/>
        <w:gridCol w:w="2341"/>
        <w:gridCol w:w="2341"/>
        <w:gridCol w:w="2342"/>
      </w:tblGrid>
      <w:tr w:rsidR="00292BF8" w:rsidRPr="00464838" w14:paraId="3C74CF91" w14:textId="77777777" w:rsidTr="00D67DAD">
        <w:trPr>
          <w:trHeight w:val="288"/>
          <w:jc w:val="center"/>
        </w:trPr>
        <w:tc>
          <w:tcPr>
            <w:tcW w:w="233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0CC213E8" w14:textId="49B8A3A7" w:rsidR="00B6530D" w:rsidRPr="00464838" w:rsidRDefault="008C2FD6" w:rsidP="000D0F39">
            <w:p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 </w:t>
            </w:r>
          </w:p>
        </w:tc>
        <w:tc>
          <w:tcPr>
            <w:tcW w:w="23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C8256AB" w14:textId="6D95E282" w:rsidR="00B6530D" w:rsidRPr="00292BF8" w:rsidRDefault="00B6530D" w:rsidP="00292BF8">
            <w:pPr>
              <w:jc w:val="center"/>
              <w:rPr>
                <w:rFonts w:ascii="Arial" w:hAnsi="Arial" w:cs="Arial"/>
                <w:b/>
                <w:lang w:val="en-CA"/>
              </w:rPr>
            </w:pPr>
            <w:r w:rsidRPr="00292BF8">
              <w:rPr>
                <w:rFonts w:ascii="Arial" w:hAnsi="Arial" w:cs="Arial"/>
                <w:b/>
                <w:lang w:val="en-CA"/>
              </w:rPr>
              <w:t>Omega Bright Steel Pvt. Ltd.</w:t>
            </w:r>
          </w:p>
        </w:tc>
        <w:tc>
          <w:tcPr>
            <w:tcW w:w="23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41B2393" w14:textId="77777777" w:rsidR="00B43D1A" w:rsidRDefault="00B6530D" w:rsidP="00292BF8">
            <w:pPr>
              <w:jc w:val="center"/>
              <w:rPr>
                <w:rFonts w:ascii="Arial" w:hAnsi="Arial" w:cs="Arial"/>
                <w:b/>
                <w:lang w:val="en-CA"/>
              </w:rPr>
            </w:pPr>
            <w:proofErr w:type="spellStart"/>
            <w:r w:rsidRPr="00292BF8">
              <w:rPr>
                <w:rFonts w:ascii="Arial" w:hAnsi="Arial" w:cs="Arial"/>
                <w:b/>
                <w:lang w:val="en-CA"/>
              </w:rPr>
              <w:t>Gopalsons</w:t>
            </w:r>
            <w:proofErr w:type="spellEnd"/>
            <w:r w:rsidR="00510166">
              <w:rPr>
                <w:rFonts w:ascii="Arial" w:hAnsi="Arial" w:cs="Arial"/>
                <w:b/>
                <w:lang w:val="en-CA"/>
              </w:rPr>
              <w:t xml:space="preserve"> Steels</w:t>
            </w:r>
          </w:p>
          <w:p w14:paraId="7F43981D" w14:textId="2A1F8087" w:rsidR="00B6530D" w:rsidRPr="00292BF8" w:rsidRDefault="00B6530D" w:rsidP="00292BF8">
            <w:pPr>
              <w:jc w:val="center"/>
              <w:rPr>
                <w:rFonts w:ascii="Arial" w:hAnsi="Arial" w:cs="Arial"/>
                <w:b/>
                <w:lang w:val="en-CA"/>
              </w:rPr>
            </w:pPr>
            <w:r w:rsidRPr="00292BF8">
              <w:rPr>
                <w:rFonts w:ascii="Arial" w:hAnsi="Arial" w:cs="Arial"/>
                <w:b/>
                <w:lang w:val="en-CA"/>
              </w:rPr>
              <w:t>Pvt. Ltd.</w:t>
            </w:r>
          </w:p>
        </w:tc>
        <w:tc>
          <w:tcPr>
            <w:tcW w:w="2342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F2F8100" w14:textId="4F91C4BE" w:rsidR="00B6530D" w:rsidRPr="00292BF8" w:rsidRDefault="00B6530D">
            <w:pPr>
              <w:jc w:val="center"/>
              <w:rPr>
                <w:rFonts w:ascii="Arial" w:hAnsi="Arial" w:cs="Arial"/>
                <w:b/>
                <w:lang w:val="en-CA"/>
              </w:rPr>
            </w:pPr>
            <w:r w:rsidRPr="00292BF8">
              <w:rPr>
                <w:rFonts w:ascii="Arial" w:hAnsi="Arial" w:cs="Arial"/>
                <w:b/>
                <w:lang w:val="en-CA"/>
              </w:rPr>
              <w:t>C. Lal Alloys Pvt. Ltd.</w:t>
            </w:r>
          </w:p>
        </w:tc>
      </w:tr>
      <w:tr w:rsidR="00292BF8" w:rsidRPr="00464838" w14:paraId="3CA35D2C" w14:textId="77777777" w:rsidTr="00D67DAD">
        <w:trPr>
          <w:trHeight w:val="288"/>
          <w:jc w:val="center"/>
        </w:trPr>
        <w:tc>
          <w:tcPr>
            <w:tcW w:w="2336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684BBD19" w14:textId="77777777" w:rsidR="00B6530D" w:rsidRPr="00464838" w:rsidRDefault="00B6530D" w:rsidP="00292BF8">
            <w:pPr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 xml:space="preserve">Revenue </w:t>
            </w:r>
          </w:p>
        </w:tc>
        <w:tc>
          <w:tcPr>
            <w:tcW w:w="2341" w:type="dxa"/>
            <w:tcBorders>
              <w:top w:val="single" w:sz="12" w:space="0" w:color="auto"/>
            </w:tcBorders>
            <w:shd w:val="clear" w:color="auto" w:fill="auto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3CA2569A" w14:textId="3CE5CE39" w:rsidR="00B6530D" w:rsidRPr="00464838" w:rsidRDefault="00B6530D" w:rsidP="00292BF8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1</w:t>
            </w:r>
            <w:r w:rsidR="00230A67">
              <w:rPr>
                <w:rFonts w:ascii="Arial" w:hAnsi="Arial" w:cs="Arial"/>
                <w:lang w:val="en-CA"/>
              </w:rPr>
              <w:t>,</w:t>
            </w:r>
            <w:r w:rsidRPr="00464838">
              <w:rPr>
                <w:rFonts w:ascii="Arial" w:hAnsi="Arial" w:cs="Arial"/>
                <w:lang w:val="en-CA"/>
              </w:rPr>
              <w:t>410</w:t>
            </w:r>
            <w:r>
              <w:rPr>
                <w:rFonts w:ascii="Arial" w:hAnsi="Arial" w:cs="Arial"/>
                <w:lang w:val="en-CA"/>
              </w:rPr>
              <w:t>.0</w:t>
            </w:r>
            <w:r w:rsidR="00D67DAD">
              <w:rPr>
                <w:rFonts w:ascii="Arial" w:hAnsi="Arial" w:cs="Arial"/>
                <w:lang w:val="en-CA"/>
              </w:rPr>
              <w:t>0</w:t>
            </w:r>
          </w:p>
        </w:tc>
        <w:tc>
          <w:tcPr>
            <w:tcW w:w="2341" w:type="dxa"/>
            <w:tcBorders>
              <w:top w:val="single" w:sz="12" w:space="0" w:color="auto"/>
            </w:tcBorders>
            <w:shd w:val="clear" w:color="auto" w:fill="auto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3AE128B7" w14:textId="62ACCD89" w:rsidR="00B6530D" w:rsidRPr="00464838" w:rsidRDefault="00B6530D" w:rsidP="00292BF8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488.2</w:t>
            </w:r>
            <w:r w:rsidR="00D67DAD">
              <w:rPr>
                <w:rFonts w:ascii="Arial" w:hAnsi="Arial" w:cs="Arial"/>
                <w:lang w:val="en-CA"/>
              </w:rPr>
              <w:t>0</w:t>
            </w:r>
          </w:p>
        </w:tc>
        <w:tc>
          <w:tcPr>
            <w:tcW w:w="2342" w:type="dxa"/>
            <w:tcBorders>
              <w:top w:val="single" w:sz="12" w:space="0" w:color="auto"/>
            </w:tcBorders>
            <w:shd w:val="clear" w:color="auto" w:fill="auto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6AE3B4FE" w14:textId="060F36D7" w:rsidR="00B6530D" w:rsidRPr="00464838" w:rsidRDefault="00B6530D" w:rsidP="00292BF8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521.7</w:t>
            </w:r>
            <w:r w:rsidR="00D67DAD">
              <w:rPr>
                <w:rFonts w:ascii="Arial" w:hAnsi="Arial" w:cs="Arial"/>
                <w:lang w:val="en-CA"/>
              </w:rPr>
              <w:t>0</w:t>
            </w:r>
          </w:p>
        </w:tc>
      </w:tr>
      <w:tr w:rsidR="00292BF8" w:rsidRPr="00464838" w14:paraId="3AEBF9FE" w14:textId="77777777" w:rsidTr="00D67DAD">
        <w:trPr>
          <w:trHeight w:val="288"/>
          <w:jc w:val="center"/>
        </w:trPr>
        <w:tc>
          <w:tcPr>
            <w:tcW w:w="2336" w:type="dxa"/>
            <w:shd w:val="clear" w:color="auto" w:fill="auto"/>
            <w:vAlign w:val="center"/>
            <w:hideMark/>
          </w:tcPr>
          <w:p w14:paraId="623A4636" w14:textId="77777777" w:rsidR="00B6530D" w:rsidRPr="00464838" w:rsidRDefault="00B6530D" w:rsidP="00292BF8">
            <w:pPr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Cost of goods sold (COGS)</w:t>
            </w:r>
          </w:p>
        </w:tc>
        <w:tc>
          <w:tcPr>
            <w:tcW w:w="2341" w:type="dxa"/>
            <w:shd w:val="clear" w:color="auto" w:fill="auto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70A46EAA" w14:textId="57252989" w:rsidR="00B6530D" w:rsidRPr="00464838" w:rsidRDefault="00B6530D" w:rsidP="00292BF8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1</w:t>
            </w:r>
            <w:r w:rsidR="00230A67">
              <w:rPr>
                <w:rFonts w:ascii="Arial" w:hAnsi="Arial" w:cs="Arial"/>
                <w:lang w:val="en-CA"/>
              </w:rPr>
              <w:t>,</w:t>
            </w:r>
            <w:r w:rsidRPr="00464838">
              <w:rPr>
                <w:rFonts w:ascii="Arial" w:hAnsi="Arial" w:cs="Arial"/>
                <w:lang w:val="en-CA"/>
              </w:rPr>
              <w:t>170</w:t>
            </w:r>
            <w:r>
              <w:rPr>
                <w:rFonts w:ascii="Arial" w:hAnsi="Arial" w:cs="Arial"/>
                <w:lang w:val="en-CA"/>
              </w:rPr>
              <w:t>.0</w:t>
            </w:r>
            <w:r w:rsidR="00D67DAD">
              <w:rPr>
                <w:rFonts w:ascii="Arial" w:hAnsi="Arial" w:cs="Arial"/>
                <w:lang w:val="en-CA"/>
              </w:rPr>
              <w:t>0</w:t>
            </w:r>
          </w:p>
        </w:tc>
        <w:tc>
          <w:tcPr>
            <w:tcW w:w="2341" w:type="dxa"/>
            <w:shd w:val="clear" w:color="auto" w:fill="auto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6F3662EC" w14:textId="1A55FEF4" w:rsidR="00B6530D" w:rsidRPr="00464838" w:rsidRDefault="00B6530D" w:rsidP="00292BF8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386.2</w:t>
            </w:r>
            <w:r w:rsidR="00D67DAD">
              <w:rPr>
                <w:rFonts w:ascii="Arial" w:hAnsi="Arial" w:cs="Arial"/>
                <w:lang w:val="en-CA"/>
              </w:rPr>
              <w:t>0</w:t>
            </w:r>
          </w:p>
        </w:tc>
        <w:tc>
          <w:tcPr>
            <w:tcW w:w="2342" w:type="dxa"/>
            <w:shd w:val="clear" w:color="auto" w:fill="auto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147DD89F" w14:textId="10B79A98" w:rsidR="00B6530D" w:rsidRPr="00464838" w:rsidRDefault="00B6530D" w:rsidP="00292BF8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396.5</w:t>
            </w:r>
            <w:r w:rsidR="00D67DAD">
              <w:rPr>
                <w:rFonts w:ascii="Arial" w:hAnsi="Arial" w:cs="Arial"/>
                <w:lang w:val="en-CA"/>
              </w:rPr>
              <w:t>0</w:t>
            </w:r>
          </w:p>
        </w:tc>
      </w:tr>
      <w:tr w:rsidR="00292BF8" w:rsidRPr="00464838" w14:paraId="65C7C106" w14:textId="77777777" w:rsidTr="00D67DAD">
        <w:trPr>
          <w:trHeight w:val="288"/>
          <w:jc w:val="center"/>
        </w:trPr>
        <w:tc>
          <w:tcPr>
            <w:tcW w:w="2336" w:type="dxa"/>
            <w:shd w:val="clear" w:color="auto" w:fill="auto"/>
            <w:vAlign w:val="center"/>
            <w:hideMark/>
          </w:tcPr>
          <w:p w14:paraId="09E261E3" w14:textId="77777777" w:rsidR="00B6530D" w:rsidRPr="00464838" w:rsidRDefault="00B6530D" w:rsidP="00292BF8">
            <w:pPr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Operating expenses</w:t>
            </w:r>
          </w:p>
        </w:tc>
        <w:tc>
          <w:tcPr>
            <w:tcW w:w="2341" w:type="dxa"/>
            <w:shd w:val="clear" w:color="auto" w:fill="auto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4CD2086C" w14:textId="41809BD7" w:rsidR="00B6530D" w:rsidRPr="00464838" w:rsidRDefault="00B6530D" w:rsidP="00292BF8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144.5</w:t>
            </w:r>
            <w:r w:rsidR="00D67DAD">
              <w:rPr>
                <w:rFonts w:ascii="Arial" w:hAnsi="Arial" w:cs="Arial"/>
                <w:lang w:val="en-CA"/>
              </w:rPr>
              <w:t>0</w:t>
            </w:r>
          </w:p>
        </w:tc>
        <w:tc>
          <w:tcPr>
            <w:tcW w:w="2341" w:type="dxa"/>
            <w:shd w:val="clear" w:color="auto" w:fill="auto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3099F199" w14:textId="7022859E" w:rsidR="00B6530D" w:rsidRPr="00464838" w:rsidRDefault="00B6530D" w:rsidP="00292BF8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461.1</w:t>
            </w:r>
            <w:r w:rsidR="00D67DAD">
              <w:rPr>
                <w:rFonts w:ascii="Arial" w:hAnsi="Arial" w:cs="Arial"/>
                <w:lang w:val="en-CA"/>
              </w:rPr>
              <w:t>0</w:t>
            </w:r>
          </w:p>
        </w:tc>
        <w:tc>
          <w:tcPr>
            <w:tcW w:w="2342" w:type="dxa"/>
            <w:shd w:val="clear" w:color="auto" w:fill="auto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1CD656AC" w14:textId="6EB26D71" w:rsidR="00B6530D" w:rsidRPr="00464838" w:rsidRDefault="00B6530D" w:rsidP="00292BF8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102.5</w:t>
            </w:r>
            <w:r w:rsidR="00D67DAD">
              <w:rPr>
                <w:rFonts w:ascii="Arial" w:hAnsi="Arial" w:cs="Arial"/>
                <w:lang w:val="en-CA"/>
              </w:rPr>
              <w:t>0</w:t>
            </w:r>
          </w:p>
        </w:tc>
      </w:tr>
      <w:tr w:rsidR="00292BF8" w:rsidRPr="00464838" w14:paraId="79E38B6C" w14:textId="77777777" w:rsidTr="00D67DAD">
        <w:trPr>
          <w:trHeight w:val="288"/>
          <w:jc w:val="center"/>
        </w:trPr>
        <w:tc>
          <w:tcPr>
            <w:tcW w:w="2336" w:type="dxa"/>
            <w:shd w:val="clear" w:color="auto" w:fill="auto"/>
            <w:vAlign w:val="center"/>
            <w:hideMark/>
          </w:tcPr>
          <w:p w14:paraId="3B44FA64" w14:textId="77777777" w:rsidR="00B6530D" w:rsidRPr="00464838" w:rsidRDefault="00B6530D" w:rsidP="00292BF8">
            <w:pPr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Interest expenses</w:t>
            </w:r>
          </w:p>
        </w:tc>
        <w:tc>
          <w:tcPr>
            <w:tcW w:w="2341" w:type="dxa"/>
            <w:shd w:val="clear" w:color="auto" w:fill="auto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6046A7CA" w14:textId="7DE75434" w:rsidR="00B6530D" w:rsidRPr="00464838" w:rsidRDefault="00B6530D" w:rsidP="00292BF8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9.4</w:t>
            </w:r>
            <w:r w:rsidR="00D67DAD">
              <w:rPr>
                <w:rFonts w:ascii="Arial" w:hAnsi="Arial" w:cs="Arial"/>
                <w:lang w:val="en-CA"/>
              </w:rPr>
              <w:t>0</w:t>
            </w:r>
          </w:p>
        </w:tc>
        <w:tc>
          <w:tcPr>
            <w:tcW w:w="2341" w:type="dxa"/>
            <w:shd w:val="clear" w:color="auto" w:fill="auto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119FEBF1" w14:textId="776CFA54" w:rsidR="00B6530D" w:rsidRPr="00464838" w:rsidRDefault="00B6530D" w:rsidP="00292BF8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23.2</w:t>
            </w:r>
            <w:r w:rsidR="00D67DAD">
              <w:rPr>
                <w:rFonts w:ascii="Arial" w:hAnsi="Arial" w:cs="Arial"/>
                <w:lang w:val="en-CA"/>
              </w:rPr>
              <w:t>0</w:t>
            </w:r>
          </w:p>
        </w:tc>
        <w:tc>
          <w:tcPr>
            <w:tcW w:w="2342" w:type="dxa"/>
            <w:shd w:val="clear" w:color="auto" w:fill="auto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3F2B442F" w14:textId="4E1D790B" w:rsidR="00B6530D" w:rsidRPr="00464838" w:rsidRDefault="00B6530D" w:rsidP="00292BF8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22.7</w:t>
            </w:r>
            <w:r w:rsidR="00D67DAD">
              <w:rPr>
                <w:rFonts w:ascii="Arial" w:hAnsi="Arial" w:cs="Arial"/>
                <w:lang w:val="en-CA"/>
              </w:rPr>
              <w:t>0</w:t>
            </w:r>
          </w:p>
        </w:tc>
      </w:tr>
      <w:tr w:rsidR="00292BF8" w:rsidRPr="00464838" w14:paraId="5119F2E2" w14:textId="77777777" w:rsidTr="00D67DAD">
        <w:trPr>
          <w:trHeight w:val="288"/>
          <w:jc w:val="center"/>
        </w:trPr>
        <w:tc>
          <w:tcPr>
            <w:tcW w:w="2336" w:type="dxa"/>
            <w:shd w:val="clear" w:color="auto" w:fill="auto"/>
            <w:vAlign w:val="center"/>
            <w:hideMark/>
          </w:tcPr>
          <w:p w14:paraId="2968B1F6" w14:textId="77777777" w:rsidR="00B6530D" w:rsidRPr="00464838" w:rsidRDefault="00B6530D" w:rsidP="00292BF8">
            <w:pPr>
              <w:rPr>
                <w:rFonts w:ascii="Arial" w:hAnsi="Arial" w:cs="Arial"/>
                <w:b/>
                <w:lang w:val="en-CA"/>
              </w:rPr>
            </w:pPr>
            <w:r w:rsidRPr="00464838">
              <w:rPr>
                <w:rFonts w:ascii="Arial" w:hAnsi="Arial" w:cs="Arial"/>
                <w:b/>
                <w:lang w:val="en-CA"/>
              </w:rPr>
              <w:t>Profit before taxes</w:t>
            </w:r>
          </w:p>
        </w:tc>
        <w:tc>
          <w:tcPr>
            <w:tcW w:w="2341" w:type="dxa"/>
            <w:shd w:val="clear" w:color="auto" w:fill="auto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307FEA6F" w14:textId="2E964B93" w:rsidR="00B6530D" w:rsidRPr="00464838" w:rsidRDefault="00B6530D" w:rsidP="00292BF8">
            <w:pPr>
              <w:jc w:val="right"/>
              <w:rPr>
                <w:rFonts w:ascii="Arial" w:hAnsi="Arial" w:cs="Arial"/>
                <w:b/>
                <w:lang w:val="en-CA"/>
              </w:rPr>
            </w:pPr>
            <w:r w:rsidRPr="00464838">
              <w:rPr>
                <w:rFonts w:ascii="Arial" w:hAnsi="Arial" w:cs="Arial"/>
                <w:b/>
                <w:lang w:val="en-CA"/>
              </w:rPr>
              <w:t>86.1</w:t>
            </w:r>
            <w:r w:rsidR="00D67DAD">
              <w:rPr>
                <w:rFonts w:ascii="Arial" w:hAnsi="Arial" w:cs="Arial"/>
                <w:b/>
                <w:lang w:val="en-CA"/>
              </w:rPr>
              <w:t>0</w:t>
            </w:r>
          </w:p>
        </w:tc>
        <w:tc>
          <w:tcPr>
            <w:tcW w:w="2341" w:type="dxa"/>
            <w:shd w:val="clear" w:color="auto" w:fill="auto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3651636A" w14:textId="2ACC5324" w:rsidR="00B6530D" w:rsidRPr="00464838" w:rsidRDefault="00B6530D" w:rsidP="00292BF8">
            <w:pPr>
              <w:jc w:val="right"/>
              <w:rPr>
                <w:rFonts w:ascii="Arial" w:hAnsi="Arial" w:cs="Arial"/>
                <w:b/>
                <w:lang w:val="en-CA"/>
              </w:rPr>
            </w:pPr>
            <w:r w:rsidRPr="00464838">
              <w:rPr>
                <w:rFonts w:ascii="Arial" w:hAnsi="Arial" w:cs="Arial"/>
                <w:b/>
                <w:lang w:val="en-CA"/>
              </w:rPr>
              <w:t>5.2</w:t>
            </w:r>
            <w:r w:rsidR="00D67DAD">
              <w:rPr>
                <w:rFonts w:ascii="Arial" w:hAnsi="Arial" w:cs="Arial"/>
                <w:b/>
                <w:lang w:val="en-CA"/>
              </w:rPr>
              <w:t>0</w:t>
            </w:r>
          </w:p>
        </w:tc>
        <w:tc>
          <w:tcPr>
            <w:tcW w:w="2342" w:type="dxa"/>
            <w:shd w:val="clear" w:color="auto" w:fill="auto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6B5FB119" w14:textId="5BB97189" w:rsidR="00B6530D" w:rsidRPr="00464838" w:rsidRDefault="00B6530D" w:rsidP="00292BF8">
            <w:pPr>
              <w:jc w:val="right"/>
              <w:rPr>
                <w:rFonts w:ascii="Arial" w:hAnsi="Arial" w:cs="Arial"/>
                <w:b/>
                <w:lang w:val="en-CA"/>
              </w:rPr>
            </w:pPr>
            <w:r w:rsidRPr="00464838">
              <w:rPr>
                <w:rFonts w:ascii="Arial" w:hAnsi="Arial" w:cs="Arial"/>
                <w:b/>
                <w:lang w:val="en-CA"/>
              </w:rPr>
              <w:t>0.7</w:t>
            </w:r>
            <w:r w:rsidR="00D67DAD">
              <w:rPr>
                <w:rFonts w:ascii="Arial" w:hAnsi="Arial" w:cs="Arial"/>
                <w:b/>
                <w:lang w:val="en-CA"/>
              </w:rPr>
              <w:t>0</w:t>
            </w:r>
          </w:p>
        </w:tc>
      </w:tr>
      <w:tr w:rsidR="00292BF8" w:rsidRPr="00464838" w14:paraId="733F2B3B" w14:textId="77777777" w:rsidTr="00D67DAD">
        <w:trPr>
          <w:trHeight w:val="288"/>
          <w:jc w:val="center"/>
        </w:trPr>
        <w:tc>
          <w:tcPr>
            <w:tcW w:w="2336" w:type="dxa"/>
            <w:shd w:val="clear" w:color="auto" w:fill="auto"/>
            <w:vAlign w:val="center"/>
            <w:hideMark/>
          </w:tcPr>
          <w:p w14:paraId="6B87AA08" w14:textId="77777777" w:rsidR="00B6530D" w:rsidRPr="00464838" w:rsidRDefault="00B6530D" w:rsidP="00292BF8">
            <w:pPr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Income tax</w:t>
            </w:r>
          </w:p>
        </w:tc>
        <w:tc>
          <w:tcPr>
            <w:tcW w:w="2341" w:type="dxa"/>
            <w:shd w:val="clear" w:color="auto" w:fill="auto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4E92DE41" w14:textId="56DE0378" w:rsidR="00B6530D" w:rsidRPr="00464838" w:rsidRDefault="00B6530D" w:rsidP="00292BF8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29.7</w:t>
            </w:r>
            <w:r w:rsidR="00D67DAD">
              <w:rPr>
                <w:rFonts w:ascii="Arial" w:hAnsi="Arial" w:cs="Arial"/>
                <w:lang w:val="en-CA"/>
              </w:rPr>
              <w:t>0</w:t>
            </w:r>
          </w:p>
        </w:tc>
        <w:tc>
          <w:tcPr>
            <w:tcW w:w="2341" w:type="dxa"/>
            <w:shd w:val="clear" w:color="auto" w:fill="auto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73654C6F" w14:textId="7B9E51D5" w:rsidR="00B6530D" w:rsidRPr="00464838" w:rsidRDefault="00B6530D" w:rsidP="00292BF8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1.5</w:t>
            </w:r>
            <w:r w:rsidR="00D67DAD">
              <w:rPr>
                <w:rFonts w:ascii="Arial" w:hAnsi="Arial" w:cs="Arial"/>
                <w:lang w:val="en-CA"/>
              </w:rPr>
              <w:t>0</w:t>
            </w:r>
          </w:p>
        </w:tc>
        <w:tc>
          <w:tcPr>
            <w:tcW w:w="2342" w:type="dxa"/>
            <w:shd w:val="clear" w:color="auto" w:fill="auto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103242F3" w14:textId="74458D1A" w:rsidR="00B6530D" w:rsidRPr="00464838" w:rsidRDefault="00B6530D" w:rsidP="00292BF8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0.3</w:t>
            </w:r>
            <w:r w:rsidR="00D67DAD">
              <w:rPr>
                <w:rFonts w:ascii="Arial" w:hAnsi="Arial" w:cs="Arial"/>
                <w:lang w:val="en-CA"/>
              </w:rPr>
              <w:t>0</w:t>
            </w:r>
          </w:p>
        </w:tc>
      </w:tr>
      <w:tr w:rsidR="00292BF8" w:rsidRPr="00464838" w14:paraId="18D942C3" w14:textId="77777777" w:rsidTr="00D67DAD">
        <w:trPr>
          <w:trHeight w:val="288"/>
          <w:jc w:val="center"/>
        </w:trPr>
        <w:tc>
          <w:tcPr>
            <w:tcW w:w="23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6A7729" w14:textId="77777777" w:rsidR="00B6530D" w:rsidRPr="00464838" w:rsidRDefault="00B6530D" w:rsidP="00292BF8">
            <w:pPr>
              <w:rPr>
                <w:rFonts w:ascii="Arial" w:hAnsi="Arial" w:cs="Arial"/>
                <w:b/>
                <w:lang w:val="en-CA"/>
              </w:rPr>
            </w:pPr>
            <w:r w:rsidRPr="00464838">
              <w:rPr>
                <w:rFonts w:ascii="Arial" w:hAnsi="Arial" w:cs="Arial"/>
                <w:b/>
                <w:lang w:val="en-CA"/>
              </w:rPr>
              <w:t>Net profit</w:t>
            </w:r>
          </w:p>
        </w:tc>
        <w:tc>
          <w:tcPr>
            <w:tcW w:w="2341" w:type="dxa"/>
            <w:tcBorders>
              <w:bottom w:val="single" w:sz="4" w:space="0" w:color="auto"/>
            </w:tcBorders>
            <w:shd w:val="clear" w:color="auto" w:fill="auto"/>
            <w:noWrap/>
            <w:tcMar>
              <w:left w:w="115" w:type="dxa"/>
              <w:right w:w="504" w:type="dxa"/>
            </w:tcMar>
            <w:vAlign w:val="center"/>
          </w:tcPr>
          <w:p w14:paraId="646A3C21" w14:textId="1E37EDDC" w:rsidR="00B6530D" w:rsidRPr="00464838" w:rsidRDefault="00B6530D" w:rsidP="00292BF8">
            <w:pPr>
              <w:jc w:val="right"/>
              <w:rPr>
                <w:rFonts w:ascii="Arial" w:hAnsi="Arial" w:cs="Arial"/>
                <w:b/>
                <w:lang w:val="en-CA"/>
              </w:rPr>
            </w:pPr>
            <w:r w:rsidRPr="00464838">
              <w:rPr>
                <w:rFonts w:ascii="Arial" w:hAnsi="Arial" w:cs="Arial"/>
                <w:b/>
                <w:lang w:val="en-CA"/>
              </w:rPr>
              <w:t>56.4</w:t>
            </w:r>
            <w:r w:rsidR="00D67DAD">
              <w:rPr>
                <w:rFonts w:ascii="Arial" w:hAnsi="Arial" w:cs="Arial"/>
                <w:b/>
                <w:lang w:val="en-CA"/>
              </w:rPr>
              <w:t>0</w:t>
            </w:r>
          </w:p>
        </w:tc>
        <w:tc>
          <w:tcPr>
            <w:tcW w:w="2341" w:type="dxa"/>
            <w:tcBorders>
              <w:bottom w:val="single" w:sz="4" w:space="0" w:color="auto"/>
            </w:tcBorders>
            <w:shd w:val="clear" w:color="auto" w:fill="auto"/>
            <w:noWrap/>
            <w:tcMar>
              <w:left w:w="115" w:type="dxa"/>
              <w:right w:w="504" w:type="dxa"/>
            </w:tcMar>
            <w:vAlign w:val="center"/>
          </w:tcPr>
          <w:p w14:paraId="5A91AED4" w14:textId="03B65CB5" w:rsidR="00B6530D" w:rsidRPr="00464838" w:rsidRDefault="00B6530D" w:rsidP="00292BF8">
            <w:pPr>
              <w:jc w:val="right"/>
              <w:rPr>
                <w:rFonts w:ascii="Arial" w:hAnsi="Arial" w:cs="Arial"/>
                <w:b/>
                <w:lang w:val="en-CA"/>
              </w:rPr>
            </w:pPr>
            <w:r w:rsidRPr="00464838">
              <w:rPr>
                <w:rFonts w:ascii="Arial" w:hAnsi="Arial" w:cs="Arial"/>
                <w:b/>
                <w:lang w:val="en-CA"/>
              </w:rPr>
              <w:t>3.7</w:t>
            </w:r>
            <w:r w:rsidR="00D67DAD">
              <w:rPr>
                <w:rFonts w:ascii="Arial" w:hAnsi="Arial" w:cs="Arial"/>
                <w:b/>
                <w:lang w:val="en-CA"/>
              </w:rPr>
              <w:t>0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shd w:val="clear" w:color="auto" w:fill="auto"/>
            <w:noWrap/>
            <w:tcMar>
              <w:left w:w="115" w:type="dxa"/>
              <w:right w:w="504" w:type="dxa"/>
            </w:tcMar>
            <w:vAlign w:val="center"/>
          </w:tcPr>
          <w:p w14:paraId="21ECE9FD" w14:textId="2B4313B6" w:rsidR="00B6530D" w:rsidRPr="00464838" w:rsidRDefault="00B6530D" w:rsidP="00292BF8">
            <w:pPr>
              <w:jc w:val="right"/>
              <w:rPr>
                <w:rFonts w:ascii="Arial" w:hAnsi="Arial" w:cs="Arial"/>
                <w:b/>
                <w:lang w:val="en-CA"/>
              </w:rPr>
            </w:pPr>
            <w:r w:rsidRPr="00464838">
              <w:rPr>
                <w:rFonts w:ascii="Arial" w:hAnsi="Arial" w:cs="Arial"/>
                <w:b/>
                <w:lang w:val="en-CA"/>
              </w:rPr>
              <w:t>0.5</w:t>
            </w:r>
            <w:r w:rsidR="00D67DAD">
              <w:rPr>
                <w:rFonts w:ascii="Arial" w:hAnsi="Arial" w:cs="Arial"/>
                <w:b/>
                <w:lang w:val="en-CA"/>
              </w:rPr>
              <w:t>0</w:t>
            </w:r>
          </w:p>
        </w:tc>
      </w:tr>
      <w:tr w:rsidR="00292BF8" w:rsidRPr="00464838" w14:paraId="730D8D24" w14:textId="77777777" w:rsidTr="00D67DAD">
        <w:trPr>
          <w:trHeight w:val="288"/>
          <w:jc w:val="center"/>
        </w:trPr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5F708B" w14:textId="77777777" w:rsidR="00B6530D" w:rsidRPr="00464838" w:rsidRDefault="00B6530D" w:rsidP="00292BF8">
            <w:pPr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Purchases during the year</w:t>
            </w:r>
          </w:p>
        </w:tc>
        <w:tc>
          <w:tcPr>
            <w:tcW w:w="2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left w:w="115" w:type="dxa"/>
              <w:right w:w="504" w:type="dxa"/>
            </w:tcMar>
            <w:vAlign w:val="center"/>
          </w:tcPr>
          <w:p w14:paraId="3A6D8B5E" w14:textId="47B75BE3" w:rsidR="00B6530D" w:rsidRPr="00464838" w:rsidRDefault="00B6530D" w:rsidP="00292BF8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1</w:t>
            </w:r>
            <w:r w:rsidR="00230A67">
              <w:rPr>
                <w:rFonts w:ascii="Arial" w:hAnsi="Arial" w:cs="Arial"/>
                <w:lang w:val="en-CA"/>
              </w:rPr>
              <w:t>,</w:t>
            </w:r>
            <w:r w:rsidRPr="00464838">
              <w:rPr>
                <w:rFonts w:ascii="Arial" w:hAnsi="Arial" w:cs="Arial"/>
                <w:lang w:val="en-CA"/>
              </w:rPr>
              <w:t>156.20</w:t>
            </w:r>
          </w:p>
        </w:tc>
        <w:tc>
          <w:tcPr>
            <w:tcW w:w="2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left w:w="115" w:type="dxa"/>
              <w:right w:w="504" w:type="dxa"/>
            </w:tcMar>
            <w:vAlign w:val="center"/>
          </w:tcPr>
          <w:p w14:paraId="17886D31" w14:textId="77777777" w:rsidR="00B6530D" w:rsidRPr="00464838" w:rsidRDefault="00B6530D" w:rsidP="00292BF8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380.80</w:t>
            </w:r>
          </w:p>
        </w:tc>
        <w:tc>
          <w:tcPr>
            <w:tcW w:w="23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left w:w="115" w:type="dxa"/>
              <w:right w:w="504" w:type="dxa"/>
            </w:tcMar>
            <w:vAlign w:val="center"/>
          </w:tcPr>
          <w:p w14:paraId="67D1B4AF" w14:textId="77777777" w:rsidR="00B6530D" w:rsidRPr="00464838" w:rsidRDefault="00B6530D" w:rsidP="00292BF8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417.36</w:t>
            </w:r>
          </w:p>
        </w:tc>
      </w:tr>
    </w:tbl>
    <w:p w14:paraId="69EC89AC" w14:textId="77777777" w:rsidR="00B6530D" w:rsidRDefault="00B6530D" w:rsidP="00B6530D">
      <w:pPr>
        <w:pStyle w:val="BodyTextMain"/>
        <w:rPr>
          <w:lang w:val="en-CA"/>
        </w:rPr>
      </w:pPr>
    </w:p>
    <w:p w14:paraId="326A8565" w14:textId="358DA306" w:rsidR="00B6530D" w:rsidRDefault="00D67DAD" w:rsidP="00D67DAD">
      <w:pPr>
        <w:pStyle w:val="Footnote"/>
        <w:rPr>
          <w:lang w:val="en-CA"/>
        </w:rPr>
      </w:pPr>
      <w:r w:rsidRPr="003A4EB5">
        <w:t>So</w:t>
      </w:r>
      <w:r>
        <w:t xml:space="preserve">urce: </w:t>
      </w:r>
      <w:proofErr w:type="gramStart"/>
      <w:r>
        <w:t>Annual reports of Indian private l</w:t>
      </w:r>
      <w:r w:rsidRPr="003A4EB5">
        <w:t xml:space="preserve">imited companies </w:t>
      </w:r>
      <w:r>
        <w:t>were</w:t>
      </w:r>
      <w:r w:rsidRPr="003A4EB5">
        <w:t xml:space="preserve"> provided by </w:t>
      </w:r>
      <w:r>
        <w:t>MCA Services</w:t>
      </w:r>
      <w:proofErr w:type="gramEnd"/>
      <w:r>
        <w:t>,</w:t>
      </w:r>
      <w:r w:rsidRPr="003A4EB5">
        <w:t xml:space="preserve"> Ministry of Corporate Affairs</w:t>
      </w:r>
      <w:r>
        <w:t>, Government of India,</w:t>
      </w:r>
      <w:r w:rsidRPr="003A4EB5">
        <w:t xml:space="preserve"> accessed March 24, 2016</w:t>
      </w:r>
      <w:r>
        <w:t>,</w:t>
      </w:r>
      <w:r w:rsidRPr="003A4EB5">
        <w:t xml:space="preserve"> www.mca.gov.in/mcafoportal/login.do</w:t>
      </w:r>
      <w:r w:rsidR="00B6530D">
        <w:rPr>
          <w:lang w:val="en-CA"/>
        </w:rPr>
        <w:t>.</w:t>
      </w:r>
    </w:p>
    <w:p w14:paraId="3B8C3B79" w14:textId="0D3D24BE" w:rsidR="00B6530D" w:rsidRDefault="00B6530D">
      <w:pPr>
        <w:spacing w:after="200" w:line="276" w:lineRule="auto"/>
        <w:rPr>
          <w:sz w:val="22"/>
          <w:szCs w:val="22"/>
          <w:lang w:val="en-CA"/>
        </w:rPr>
      </w:pPr>
      <w:r>
        <w:rPr>
          <w:lang w:val="en-CA"/>
        </w:rPr>
        <w:br w:type="page"/>
      </w:r>
    </w:p>
    <w:p w14:paraId="0DD26B40" w14:textId="47243BAA" w:rsidR="00B6530D" w:rsidRDefault="00B6530D" w:rsidP="002D2003">
      <w:pPr>
        <w:pStyle w:val="ExhibitHeading"/>
        <w:outlineLvl w:val="0"/>
        <w:rPr>
          <w:lang w:val="en-CA"/>
        </w:rPr>
      </w:pPr>
      <w:r w:rsidRPr="00231E55">
        <w:rPr>
          <w:lang w:val="en-CA"/>
        </w:rPr>
        <w:lastRenderedPageBreak/>
        <w:t>Exhibit</w:t>
      </w:r>
      <w:r>
        <w:rPr>
          <w:lang w:val="en-CA"/>
        </w:rPr>
        <w:t xml:space="preserve"> 3</w:t>
      </w:r>
      <w:r w:rsidRPr="00231E55">
        <w:rPr>
          <w:lang w:val="en-CA"/>
        </w:rPr>
        <w:t>: Balance Sheet</w:t>
      </w:r>
      <w:r>
        <w:rPr>
          <w:lang w:val="en-CA"/>
        </w:rPr>
        <w:t>s</w:t>
      </w:r>
      <w:r w:rsidRPr="00231E55">
        <w:rPr>
          <w:lang w:val="en-CA"/>
        </w:rPr>
        <w:t xml:space="preserve"> </w:t>
      </w:r>
      <w:r>
        <w:rPr>
          <w:lang w:val="en-CA"/>
        </w:rPr>
        <w:t xml:space="preserve">for </w:t>
      </w:r>
      <w:r w:rsidR="00E82BF0">
        <w:rPr>
          <w:lang w:val="en-CA"/>
        </w:rPr>
        <w:t>JBS</w:t>
      </w:r>
      <w:r>
        <w:rPr>
          <w:lang w:val="en-CA"/>
        </w:rPr>
        <w:t>’s Competitors</w:t>
      </w:r>
      <w:r w:rsidR="00060A2D">
        <w:rPr>
          <w:lang w:val="en-CA"/>
        </w:rPr>
        <w:t xml:space="preserve"> </w:t>
      </w:r>
      <w:r>
        <w:rPr>
          <w:lang w:val="en-CA"/>
        </w:rPr>
        <w:t>F</w:t>
      </w:r>
      <w:r w:rsidR="006845A9">
        <w:rPr>
          <w:lang w:val="en-CA"/>
        </w:rPr>
        <w:t xml:space="preserve">iscal </w:t>
      </w:r>
      <w:r>
        <w:rPr>
          <w:lang w:val="en-CA"/>
        </w:rPr>
        <w:t>Y</w:t>
      </w:r>
      <w:r w:rsidR="006845A9">
        <w:rPr>
          <w:lang w:val="en-CA"/>
        </w:rPr>
        <w:t>ear</w:t>
      </w:r>
      <w:r w:rsidR="00FB246D">
        <w:rPr>
          <w:lang w:val="en-CA"/>
        </w:rPr>
        <w:t xml:space="preserve"> </w:t>
      </w:r>
      <w:r w:rsidRPr="00231E55">
        <w:rPr>
          <w:lang w:val="en-CA"/>
        </w:rPr>
        <w:t>2014</w:t>
      </w:r>
      <w:r w:rsidR="006845A9">
        <w:rPr>
          <w:lang w:val="en-CA"/>
        </w:rPr>
        <w:t>/</w:t>
      </w:r>
      <w:r w:rsidRPr="00231E55">
        <w:rPr>
          <w:lang w:val="en-CA"/>
        </w:rPr>
        <w:t>15</w:t>
      </w:r>
      <w:r w:rsidR="006845A9">
        <w:rPr>
          <w:lang w:val="en-CA"/>
        </w:rPr>
        <w:t>,</w:t>
      </w:r>
      <w:r w:rsidR="00FB246D">
        <w:rPr>
          <w:lang w:val="en-CA"/>
        </w:rPr>
        <w:t xml:space="preserve"> in</w:t>
      </w:r>
      <w:r>
        <w:rPr>
          <w:lang w:val="en-CA"/>
        </w:rPr>
        <w:t xml:space="preserve"> ₹ millions</w:t>
      </w:r>
    </w:p>
    <w:p w14:paraId="5C692501" w14:textId="77777777" w:rsidR="00B6530D" w:rsidRPr="00231E55" w:rsidRDefault="00B6530D" w:rsidP="00B6530D">
      <w:pPr>
        <w:pStyle w:val="BodyTextMain"/>
        <w:rPr>
          <w:lang w:val="en-CA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341"/>
        <w:gridCol w:w="2341"/>
        <w:gridCol w:w="2342"/>
      </w:tblGrid>
      <w:tr w:rsidR="00D67DAD" w:rsidRPr="00D67DAD" w14:paraId="6A9DB718" w14:textId="77777777" w:rsidTr="00FE1105">
        <w:trPr>
          <w:trHeight w:val="288"/>
          <w:jc w:val="center"/>
        </w:trPr>
        <w:tc>
          <w:tcPr>
            <w:tcW w:w="2336" w:type="dxa"/>
            <w:tcBorders>
              <w:top w:val="single" w:sz="4" w:space="0" w:color="auto"/>
              <w:bottom w:val="single" w:sz="12" w:space="0" w:color="auto"/>
            </w:tcBorders>
            <w:noWrap/>
            <w:vAlign w:val="center"/>
            <w:hideMark/>
          </w:tcPr>
          <w:p w14:paraId="48BD7E64" w14:textId="320B0C68" w:rsidR="00B6530D" w:rsidRPr="00D67DAD" w:rsidRDefault="00B6530D" w:rsidP="00D67DAD">
            <w:pPr>
              <w:jc w:val="center"/>
              <w:rPr>
                <w:rFonts w:ascii="Arial" w:hAnsi="Arial" w:cs="Arial"/>
                <w:b/>
                <w:lang w:val="en-CA"/>
              </w:rPr>
            </w:pPr>
          </w:p>
        </w:tc>
        <w:tc>
          <w:tcPr>
            <w:tcW w:w="2341" w:type="dxa"/>
            <w:tcBorders>
              <w:top w:val="single" w:sz="4" w:space="0" w:color="auto"/>
              <w:bottom w:val="single" w:sz="12" w:space="0" w:color="auto"/>
            </w:tcBorders>
            <w:noWrap/>
            <w:vAlign w:val="center"/>
            <w:hideMark/>
          </w:tcPr>
          <w:p w14:paraId="28A692CE" w14:textId="148EEBE3" w:rsidR="00B6530D" w:rsidRPr="00D67DAD" w:rsidRDefault="00B6530D" w:rsidP="00D67DAD">
            <w:pPr>
              <w:jc w:val="center"/>
              <w:rPr>
                <w:rFonts w:ascii="Arial" w:hAnsi="Arial" w:cs="Arial"/>
                <w:b/>
                <w:lang w:val="en-CA"/>
              </w:rPr>
            </w:pPr>
            <w:r w:rsidRPr="00D67DAD">
              <w:rPr>
                <w:rFonts w:ascii="Arial" w:hAnsi="Arial" w:cs="Arial"/>
                <w:b/>
                <w:lang w:val="en-CA"/>
              </w:rPr>
              <w:t>Omega Bright Steel Pvt. Ltd.</w:t>
            </w:r>
          </w:p>
        </w:tc>
        <w:tc>
          <w:tcPr>
            <w:tcW w:w="2341" w:type="dxa"/>
            <w:tcBorders>
              <w:top w:val="single" w:sz="4" w:space="0" w:color="auto"/>
              <w:bottom w:val="single" w:sz="12" w:space="0" w:color="auto"/>
            </w:tcBorders>
            <w:noWrap/>
            <w:vAlign w:val="center"/>
            <w:hideMark/>
          </w:tcPr>
          <w:p w14:paraId="20313AF7" w14:textId="77777777" w:rsidR="00B43D1A" w:rsidRDefault="00B6530D" w:rsidP="00D67DAD">
            <w:pPr>
              <w:jc w:val="center"/>
              <w:rPr>
                <w:rFonts w:ascii="Arial" w:hAnsi="Arial" w:cs="Arial"/>
                <w:b/>
                <w:lang w:val="en-CA"/>
              </w:rPr>
            </w:pPr>
            <w:proofErr w:type="spellStart"/>
            <w:r w:rsidRPr="00D67DAD">
              <w:rPr>
                <w:rFonts w:ascii="Arial" w:hAnsi="Arial" w:cs="Arial"/>
                <w:b/>
                <w:lang w:val="en-CA"/>
              </w:rPr>
              <w:t>Gopalsons</w:t>
            </w:r>
            <w:proofErr w:type="spellEnd"/>
            <w:r w:rsidRPr="00D67DAD">
              <w:rPr>
                <w:rFonts w:ascii="Arial" w:hAnsi="Arial" w:cs="Arial"/>
                <w:b/>
                <w:lang w:val="en-CA"/>
              </w:rPr>
              <w:t xml:space="preserve"> </w:t>
            </w:r>
            <w:r w:rsidR="00510166">
              <w:rPr>
                <w:rFonts w:ascii="Arial" w:hAnsi="Arial" w:cs="Arial"/>
                <w:b/>
                <w:lang w:val="en-CA"/>
              </w:rPr>
              <w:t>Steels</w:t>
            </w:r>
          </w:p>
          <w:p w14:paraId="195A9F76" w14:textId="4264E0D0" w:rsidR="00B6530D" w:rsidRPr="00D67DAD" w:rsidRDefault="00B6530D" w:rsidP="00D67DAD">
            <w:pPr>
              <w:jc w:val="center"/>
              <w:rPr>
                <w:rFonts w:ascii="Arial" w:hAnsi="Arial" w:cs="Arial"/>
                <w:b/>
                <w:lang w:val="en-CA"/>
              </w:rPr>
            </w:pPr>
            <w:r w:rsidRPr="00D67DAD">
              <w:rPr>
                <w:rFonts w:ascii="Arial" w:hAnsi="Arial" w:cs="Arial"/>
                <w:b/>
                <w:lang w:val="en-CA"/>
              </w:rPr>
              <w:t>Pvt. Ltd.</w:t>
            </w:r>
          </w:p>
        </w:tc>
        <w:tc>
          <w:tcPr>
            <w:tcW w:w="2342" w:type="dxa"/>
            <w:tcBorders>
              <w:top w:val="single" w:sz="4" w:space="0" w:color="auto"/>
              <w:bottom w:val="single" w:sz="12" w:space="0" w:color="auto"/>
            </w:tcBorders>
            <w:noWrap/>
            <w:vAlign w:val="center"/>
            <w:hideMark/>
          </w:tcPr>
          <w:p w14:paraId="44A4354D" w14:textId="77777777" w:rsidR="00B6530D" w:rsidRPr="00D67DAD" w:rsidRDefault="00B6530D" w:rsidP="00D67DAD">
            <w:pPr>
              <w:jc w:val="center"/>
              <w:rPr>
                <w:rFonts w:ascii="Arial" w:hAnsi="Arial" w:cs="Arial"/>
                <w:b/>
                <w:lang w:val="en-CA"/>
              </w:rPr>
            </w:pPr>
            <w:r w:rsidRPr="00D67DAD">
              <w:rPr>
                <w:rFonts w:ascii="Arial" w:hAnsi="Arial" w:cs="Arial"/>
                <w:b/>
                <w:lang w:val="en-CA"/>
              </w:rPr>
              <w:t>C. Lal Alloys Pvt. Ltd.</w:t>
            </w:r>
          </w:p>
        </w:tc>
      </w:tr>
      <w:tr w:rsidR="00D67DAD" w:rsidRPr="003A4EB5" w14:paraId="2D2E0EBD" w14:textId="77777777" w:rsidTr="00FE1105">
        <w:trPr>
          <w:trHeight w:val="288"/>
          <w:jc w:val="center"/>
        </w:trPr>
        <w:tc>
          <w:tcPr>
            <w:tcW w:w="2336" w:type="dxa"/>
            <w:tcBorders>
              <w:top w:val="single" w:sz="12" w:space="0" w:color="auto"/>
            </w:tcBorders>
            <w:vAlign w:val="center"/>
            <w:hideMark/>
          </w:tcPr>
          <w:p w14:paraId="3F85F1AE" w14:textId="49FC1D02" w:rsidR="00B6530D" w:rsidRPr="00464838" w:rsidRDefault="00B6530D" w:rsidP="00D67DAD">
            <w:pPr>
              <w:rPr>
                <w:rFonts w:ascii="Arial" w:hAnsi="Arial" w:cs="Arial"/>
                <w:b/>
                <w:bCs/>
                <w:lang w:val="en-CA"/>
              </w:rPr>
            </w:pPr>
            <w:r w:rsidRPr="00464838">
              <w:rPr>
                <w:rFonts w:ascii="Arial" w:hAnsi="Arial" w:cs="Arial"/>
                <w:b/>
                <w:bCs/>
                <w:lang w:val="en-CA"/>
              </w:rPr>
              <w:t>Assets</w:t>
            </w:r>
          </w:p>
        </w:tc>
        <w:tc>
          <w:tcPr>
            <w:tcW w:w="2341" w:type="dxa"/>
            <w:tcBorders>
              <w:top w:val="single" w:sz="12" w:space="0" w:color="auto"/>
            </w:tcBorders>
            <w:noWrap/>
            <w:tcMar>
              <w:left w:w="115" w:type="dxa"/>
              <w:right w:w="504" w:type="dxa"/>
            </w:tcMar>
            <w:vAlign w:val="center"/>
            <w:hideMark/>
          </w:tcPr>
          <w:p w14:paraId="10957183" w14:textId="34FEF503" w:rsidR="00B6530D" w:rsidRPr="003A4EB5" w:rsidRDefault="008C2FD6" w:rsidP="00D67DAD">
            <w:pPr>
              <w:jc w:val="right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 </w:t>
            </w:r>
          </w:p>
        </w:tc>
        <w:tc>
          <w:tcPr>
            <w:tcW w:w="2341" w:type="dxa"/>
            <w:tcBorders>
              <w:top w:val="single" w:sz="12" w:space="0" w:color="auto"/>
            </w:tcBorders>
            <w:noWrap/>
            <w:tcMar>
              <w:left w:w="115" w:type="dxa"/>
              <w:right w:w="504" w:type="dxa"/>
            </w:tcMar>
            <w:vAlign w:val="center"/>
            <w:hideMark/>
          </w:tcPr>
          <w:p w14:paraId="50306523" w14:textId="0845CD31" w:rsidR="00B6530D" w:rsidRPr="003A4EB5" w:rsidRDefault="008C2FD6" w:rsidP="00D67DAD">
            <w:pPr>
              <w:jc w:val="right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 </w:t>
            </w:r>
          </w:p>
        </w:tc>
        <w:tc>
          <w:tcPr>
            <w:tcW w:w="2342" w:type="dxa"/>
            <w:tcBorders>
              <w:top w:val="single" w:sz="12" w:space="0" w:color="auto"/>
            </w:tcBorders>
            <w:noWrap/>
            <w:tcMar>
              <w:left w:w="115" w:type="dxa"/>
              <w:right w:w="504" w:type="dxa"/>
            </w:tcMar>
            <w:vAlign w:val="center"/>
            <w:hideMark/>
          </w:tcPr>
          <w:p w14:paraId="6BA4D28B" w14:textId="64FA6B88" w:rsidR="00B6530D" w:rsidRPr="003A4EB5" w:rsidRDefault="008C2FD6" w:rsidP="00D67DAD">
            <w:pPr>
              <w:jc w:val="right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 </w:t>
            </w:r>
          </w:p>
        </w:tc>
      </w:tr>
      <w:tr w:rsidR="00D67DAD" w:rsidRPr="003A4EB5" w14:paraId="306FEF64" w14:textId="77777777" w:rsidTr="00FE1105">
        <w:trPr>
          <w:trHeight w:val="288"/>
          <w:jc w:val="center"/>
        </w:trPr>
        <w:tc>
          <w:tcPr>
            <w:tcW w:w="2336" w:type="dxa"/>
            <w:vAlign w:val="center"/>
            <w:hideMark/>
          </w:tcPr>
          <w:p w14:paraId="5AF84665" w14:textId="77777777" w:rsidR="00B6530D" w:rsidRPr="00464838" w:rsidRDefault="00B6530D" w:rsidP="00D67DAD">
            <w:pPr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Cash</w:t>
            </w:r>
          </w:p>
        </w:tc>
        <w:tc>
          <w:tcPr>
            <w:tcW w:w="2341" w:type="dxa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01B17373" w14:textId="77777777" w:rsidR="00B6530D" w:rsidRPr="003A4EB5" w:rsidRDefault="00B6530D" w:rsidP="00D67DAD">
            <w:pPr>
              <w:jc w:val="right"/>
              <w:rPr>
                <w:rFonts w:ascii="Arial" w:hAnsi="Arial" w:cs="Arial"/>
                <w:lang w:val="en-CA"/>
              </w:rPr>
            </w:pPr>
            <w:r w:rsidRPr="003A4EB5">
              <w:rPr>
                <w:rFonts w:ascii="Arial" w:hAnsi="Arial" w:cs="Arial"/>
                <w:lang w:val="en-CA"/>
              </w:rPr>
              <w:t>354.80</w:t>
            </w:r>
          </w:p>
        </w:tc>
        <w:tc>
          <w:tcPr>
            <w:tcW w:w="2341" w:type="dxa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0FA6C5B1" w14:textId="77777777" w:rsidR="00B6530D" w:rsidRPr="003A4EB5" w:rsidRDefault="00B6530D" w:rsidP="00D67DAD">
            <w:pPr>
              <w:jc w:val="right"/>
              <w:rPr>
                <w:rFonts w:ascii="Arial" w:hAnsi="Arial" w:cs="Arial"/>
                <w:lang w:val="en-CA"/>
              </w:rPr>
            </w:pPr>
            <w:r w:rsidRPr="003A4EB5">
              <w:rPr>
                <w:rFonts w:ascii="Arial" w:hAnsi="Arial" w:cs="Arial"/>
                <w:lang w:val="en-CA"/>
              </w:rPr>
              <w:t>0.80</w:t>
            </w:r>
          </w:p>
        </w:tc>
        <w:tc>
          <w:tcPr>
            <w:tcW w:w="2342" w:type="dxa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0BFAD2A6" w14:textId="77777777" w:rsidR="00B6530D" w:rsidRPr="003A4EB5" w:rsidRDefault="00B6530D" w:rsidP="00D67DAD">
            <w:pPr>
              <w:jc w:val="right"/>
              <w:rPr>
                <w:rFonts w:ascii="Arial" w:hAnsi="Arial" w:cs="Arial"/>
                <w:lang w:val="en-CA"/>
              </w:rPr>
            </w:pPr>
            <w:r w:rsidRPr="003A4EB5">
              <w:rPr>
                <w:rFonts w:ascii="Arial" w:hAnsi="Arial" w:cs="Arial"/>
                <w:lang w:val="en-CA"/>
              </w:rPr>
              <w:t>0.60</w:t>
            </w:r>
          </w:p>
        </w:tc>
      </w:tr>
      <w:tr w:rsidR="00D67DAD" w:rsidRPr="003A4EB5" w14:paraId="579A922C" w14:textId="77777777" w:rsidTr="00FE1105">
        <w:trPr>
          <w:trHeight w:val="288"/>
          <w:jc w:val="center"/>
        </w:trPr>
        <w:tc>
          <w:tcPr>
            <w:tcW w:w="2336" w:type="dxa"/>
            <w:vAlign w:val="center"/>
            <w:hideMark/>
          </w:tcPr>
          <w:p w14:paraId="513F94F0" w14:textId="77777777" w:rsidR="00B6530D" w:rsidRPr="00464838" w:rsidRDefault="00B6530D" w:rsidP="00D67DAD">
            <w:pPr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Accounts receivable</w:t>
            </w:r>
          </w:p>
        </w:tc>
        <w:tc>
          <w:tcPr>
            <w:tcW w:w="2341" w:type="dxa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0F418B37" w14:textId="77777777" w:rsidR="00B6530D" w:rsidRPr="003A4EB5" w:rsidRDefault="00B6530D" w:rsidP="00D67DAD">
            <w:pPr>
              <w:jc w:val="right"/>
              <w:rPr>
                <w:rFonts w:ascii="Arial" w:hAnsi="Arial" w:cs="Arial"/>
                <w:lang w:val="en-CA"/>
              </w:rPr>
            </w:pPr>
            <w:r w:rsidRPr="003A4EB5">
              <w:rPr>
                <w:rFonts w:ascii="Arial" w:hAnsi="Arial" w:cs="Arial"/>
                <w:lang w:val="en-CA"/>
              </w:rPr>
              <w:t>377.90</w:t>
            </w:r>
          </w:p>
        </w:tc>
        <w:tc>
          <w:tcPr>
            <w:tcW w:w="2341" w:type="dxa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60867028" w14:textId="77777777" w:rsidR="00B6530D" w:rsidRPr="003A4EB5" w:rsidRDefault="00B6530D" w:rsidP="00D67DAD">
            <w:pPr>
              <w:jc w:val="right"/>
              <w:rPr>
                <w:rFonts w:ascii="Arial" w:hAnsi="Arial" w:cs="Arial"/>
                <w:lang w:val="en-CA"/>
              </w:rPr>
            </w:pPr>
            <w:r w:rsidRPr="003A4EB5">
              <w:rPr>
                <w:rFonts w:ascii="Arial" w:hAnsi="Arial" w:cs="Arial"/>
                <w:lang w:val="en-CA"/>
              </w:rPr>
              <w:t>134.80</w:t>
            </w:r>
          </w:p>
        </w:tc>
        <w:tc>
          <w:tcPr>
            <w:tcW w:w="2342" w:type="dxa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20898AB2" w14:textId="77777777" w:rsidR="00B6530D" w:rsidRPr="003A4EB5" w:rsidRDefault="00B6530D" w:rsidP="00D67DAD">
            <w:pPr>
              <w:jc w:val="right"/>
              <w:rPr>
                <w:rFonts w:ascii="Arial" w:hAnsi="Arial" w:cs="Arial"/>
                <w:lang w:val="en-CA"/>
              </w:rPr>
            </w:pPr>
            <w:r w:rsidRPr="003A4EB5">
              <w:rPr>
                <w:rFonts w:ascii="Arial" w:hAnsi="Arial" w:cs="Arial"/>
                <w:lang w:val="en-CA"/>
              </w:rPr>
              <w:t>110.00</w:t>
            </w:r>
          </w:p>
        </w:tc>
      </w:tr>
      <w:tr w:rsidR="00D67DAD" w:rsidRPr="003A4EB5" w14:paraId="0CECCE64" w14:textId="77777777" w:rsidTr="00FE1105">
        <w:trPr>
          <w:trHeight w:val="288"/>
          <w:jc w:val="center"/>
        </w:trPr>
        <w:tc>
          <w:tcPr>
            <w:tcW w:w="2336" w:type="dxa"/>
            <w:vAlign w:val="center"/>
            <w:hideMark/>
          </w:tcPr>
          <w:p w14:paraId="5FE69513" w14:textId="77777777" w:rsidR="00B6530D" w:rsidRPr="00464838" w:rsidRDefault="00B6530D" w:rsidP="00D67DAD">
            <w:pPr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Inventory</w:t>
            </w:r>
          </w:p>
        </w:tc>
        <w:tc>
          <w:tcPr>
            <w:tcW w:w="2341" w:type="dxa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2BF1D3BE" w14:textId="77777777" w:rsidR="00B6530D" w:rsidRPr="003A4EB5" w:rsidRDefault="00B6530D" w:rsidP="00D67DAD">
            <w:pPr>
              <w:jc w:val="right"/>
              <w:rPr>
                <w:rFonts w:ascii="Arial" w:hAnsi="Arial" w:cs="Arial"/>
                <w:lang w:val="en-CA"/>
              </w:rPr>
            </w:pPr>
            <w:r w:rsidRPr="003A4EB5">
              <w:rPr>
                <w:rFonts w:ascii="Arial" w:hAnsi="Arial" w:cs="Arial"/>
                <w:lang w:val="en-CA"/>
              </w:rPr>
              <w:t>133.90</w:t>
            </w:r>
          </w:p>
        </w:tc>
        <w:tc>
          <w:tcPr>
            <w:tcW w:w="2341" w:type="dxa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7754F1B1" w14:textId="77777777" w:rsidR="00B6530D" w:rsidRPr="003A4EB5" w:rsidRDefault="00B6530D" w:rsidP="00D67DAD">
            <w:pPr>
              <w:jc w:val="right"/>
              <w:rPr>
                <w:rFonts w:ascii="Arial" w:hAnsi="Arial" w:cs="Arial"/>
                <w:lang w:val="en-CA"/>
              </w:rPr>
            </w:pPr>
            <w:r w:rsidRPr="003A4EB5">
              <w:rPr>
                <w:rFonts w:ascii="Arial" w:hAnsi="Arial" w:cs="Arial"/>
                <w:lang w:val="en-CA"/>
              </w:rPr>
              <w:t>66.90</w:t>
            </w:r>
          </w:p>
        </w:tc>
        <w:tc>
          <w:tcPr>
            <w:tcW w:w="2342" w:type="dxa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10C9130F" w14:textId="77777777" w:rsidR="00B6530D" w:rsidRPr="003A4EB5" w:rsidRDefault="00B6530D" w:rsidP="00D67DAD">
            <w:pPr>
              <w:jc w:val="right"/>
              <w:rPr>
                <w:rFonts w:ascii="Arial" w:hAnsi="Arial" w:cs="Arial"/>
                <w:lang w:val="en-CA"/>
              </w:rPr>
            </w:pPr>
            <w:r w:rsidRPr="003A4EB5">
              <w:rPr>
                <w:rFonts w:ascii="Arial" w:hAnsi="Arial" w:cs="Arial"/>
                <w:lang w:val="en-CA"/>
              </w:rPr>
              <w:t>45.40</w:t>
            </w:r>
          </w:p>
        </w:tc>
      </w:tr>
      <w:tr w:rsidR="00D67DAD" w:rsidRPr="003A4EB5" w14:paraId="7183EBB6" w14:textId="77777777" w:rsidTr="00FE1105">
        <w:trPr>
          <w:trHeight w:val="288"/>
          <w:jc w:val="center"/>
        </w:trPr>
        <w:tc>
          <w:tcPr>
            <w:tcW w:w="2336" w:type="dxa"/>
            <w:vAlign w:val="center"/>
            <w:hideMark/>
          </w:tcPr>
          <w:p w14:paraId="73B67EAF" w14:textId="77777777" w:rsidR="00B6530D" w:rsidRPr="00464838" w:rsidRDefault="00B6530D" w:rsidP="00D67DAD">
            <w:pPr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Short-term loans and advances</w:t>
            </w:r>
          </w:p>
        </w:tc>
        <w:tc>
          <w:tcPr>
            <w:tcW w:w="2341" w:type="dxa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3B26EDCB" w14:textId="77777777" w:rsidR="00B6530D" w:rsidRPr="003A4EB5" w:rsidRDefault="00B6530D" w:rsidP="00D67DAD">
            <w:pPr>
              <w:jc w:val="right"/>
              <w:rPr>
                <w:rFonts w:ascii="Arial" w:hAnsi="Arial" w:cs="Arial"/>
                <w:lang w:val="en-CA"/>
              </w:rPr>
            </w:pPr>
            <w:r w:rsidRPr="003A4EB5">
              <w:rPr>
                <w:rFonts w:ascii="Arial" w:hAnsi="Arial" w:cs="Arial"/>
                <w:lang w:val="en-CA"/>
              </w:rPr>
              <w:t>11.90</w:t>
            </w:r>
          </w:p>
        </w:tc>
        <w:tc>
          <w:tcPr>
            <w:tcW w:w="2341" w:type="dxa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5F7D6614" w14:textId="77777777" w:rsidR="00B6530D" w:rsidRPr="003A4EB5" w:rsidRDefault="00B6530D" w:rsidP="00D67DAD">
            <w:pPr>
              <w:jc w:val="right"/>
              <w:rPr>
                <w:rFonts w:ascii="Arial" w:hAnsi="Arial" w:cs="Arial"/>
                <w:lang w:val="en-CA"/>
              </w:rPr>
            </w:pPr>
            <w:r w:rsidRPr="003A4EB5">
              <w:rPr>
                <w:rFonts w:ascii="Arial" w:hAnsi="Arial" w:cs="Arial"/>
                <w:lang w:val="en-CA"/>
              </w:rPr>
              <w:t>2.60</w:t>
            </w:r>
          </w:p>
        </w:tc>
        <w:tc>
          <w:tcPr>
            <w:tcW w:w="2342" w:type="dxa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68C1E53B" w14:textId="77777777" w:rsidR="00B6530D" w:rsidRPr="003A4EB5" w:rsidRDefault="00B6530D" w:rsidP="00D67DAD">
            <w:pPr>
              <w:jc w:val="right"/>
              <w:rPr>
                <w:rFonts w:ascii="Arial" w:hAnsi="Arial" w:cs="Arial"/>
                <w:lang w:val="en-CA"/>
              </w:rPr>
            </w:pPr>
            <w:r w:rsidRPr="003A4EB5">
              <w:rPr>
                <w:rFonts w:ascii="Arial" w:hAnsi="Arial" w:cs="Arial"/>
                <w:lang w:val="en-CA"/>
              </w:rPr>
              <w:t>5.50</w:t>
            </w:r>
          </w:p>
        </w:tc>
      </w:tr>
      <w:tr w:rsidR="00D67DAD" w:rsidRPr="003A4EB5" w14:paraId="70CF300F" w14:textId="77777777" w:rsidTr="00FE1105">
        <w:trPr>
          <w:trHeight w:val="288"/>
          <w:jc w:val="center"/>
        </w:trPr>
        <w:tc>
          <w:tcPr>
            <w:tcW w:w="2336" w:type="dxa"/>
            <w:vAlign w:val="center"/>
            <w:hideMark/>
          </w:tcPr>
          <w:p w14:paraId="6CF698CE" w14:textId="77777777" w:rsidR="00B6530D" w:rsidRPr="00464838" w:rsidRDefault="00B6530D" w:rsidP="00D67DAD">
            <w:pPr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Other current assets</w:t>
            </w:r>
          </w:p>
        </w:tc>
        <w:tc>
          <w:tcPr>
            <w:tcW w:w="2341" w:type="dxa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4B51020F" w14:textId="77777777" w:rsidR="00B6530D" w:rsidRPr="003A4EB5" w:rsidRDefault="00B6530D" w:rsidP="00D67DAD">
            <w:pPr>
              <w:jc w:val="right"/>
              <w:rPr>
                <w:rFonts w:ascii="Arial" w:hAnsi="Arial" w:cs="Arial"/>
                <w:lang w:val="en-CA"/>
              </w:rPr>
            </w:pPr>
            <w:r w:rsidRPr="003A4EB5">
              <w:rPr>
                <w:rFonts w:ascii="Arial" w:hAnsi="Arial" w:cs="Arial"/>
                <w:lang w:val="en-CA"/>
              </w:rPr>
              <w:t>2.00</w:t>
            </w:r>
          </w:p>
        </w:tc>
        <w:tc>
          <w:tcPr>
            <w:tcW w:w="2341" w:type="dxa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7DC8D096" w14:textId="77777777" w:rsidR="00B6530D" w:rsidRPr="003A4EB5" w:rsidRDefault="00B6530D" w:rsidP="00D67DAD">
            <w:pPr>
              <w:jc w:val="right"/>
              <w:rPr>
                <w:rFonts w:ascii="Arial" w:hAnsi="Arial" w:cs="Arial"/>
                <w:lang w:val="en-CA"/>
              </w:rPr>
            </w:pPr>
            <w:r w:rsidRPr="003A4EB5">
              <w:rPr>
                <w:rFonts w:ascii="Arial" w:hAnsi="Arial" w:cs="Arial"/>
                <w:lang w:val="en-CA"/>
              </w:rPr>
              <w:t>10.90</w:t>
            </w:r>
          </w:p>
        </w:tc>
        <w:tc>
          <w:tcPr>
            <w:tcW w:w="2342" w:type="dxa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1BF71437" w14:textId="67F1C2BF" w:rsidR="00B6530D" w:rsidRPr="003A4EB5" w:rsidRDefault="00FB246D" w:rsidP="00D67DAD">
            <w:pPr>
              <w:jc w:val="right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−</w:t>
            </w:r>
          </w:p>
        </w:tc>
      </w:tr>
      <w:tr w:rsidR="00D67DAD" w:rsidRPr="003A4EB5" w14:paraId="2CCE2D77" w14:textId="77777777" w:rsidTr="00FE1105">
        <w:trPr>
          <w:trHeight w:val="288"/>
          <w:jc w:val="center"/>
        </w:trPr>
        <w:tc>
          <w:tcPr>
            <w:tcW w:w="2336" w:type="dxa"/>
            <w:vAlign w:val="center"/>
            <w:hideMark/>
          </w:tcPr>
          <w:p w14:paraId="5773A47C" w14:textId="77777777" w:rsidR="00B6530D" w:rsidRPr="00464838" w:rsidRDefault="00B6530D" w:rsidP="00D67DAD">
            <w:pPr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Non-current assets</w:t>
            </w:r>
          </w:p>
        </w:tc>
        <w:tc>
          <w:tcPr>
            <w:tcW w:w="2341" w:type="dxa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0A7A1EC3" w14:textId="77777777" w:rsidR="00B6530D" w:rsidRPr="003A4EB5" w:rsidRDefault="00B6530D" w:rsidP="00D67DAD">
            <w:pPr>
              <w:jc w:val="right"/>
              <w:rPr>
                <w:rFonts w:ascii="Arial" w:hAnsi="Arial" w:cs="Arial"/>
                <w:lang w:val="en-CA"/>
              </w:rPr>
            </w:pPr>
            <w:r w:rsidRPr="003A4EB5">
              <w:rPr>
                <w:rFonts w:ascii="Arial" w:hAnsi="Arial" w:cs="Arial"/>
                <w:lang w:val="en-CA"/>
              </w:rPr>
              <w:t>399.00</w:t>
            </w:r>
          </w:p>
        </w:tc>
        <w:tc>
          <w:tcPr>
            <w:tcW w:w="2341" w:type="dxa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09FAE008" w14:textId="77777777" w:rsidR="00B6530D" w:rsidRPr="003A4EB5" w:rsidRDefault="00B6530D" w:rsidP="00D67DAD">
            <w:pPr>
              <w:jc w:val="right"/>
              <w:rPr>
                <w:rFonts w:ascii="Arial" w:hAnsi="Arial" w:cs="Arial"/>
                <w:lang w:val="en-CA"/>
              </w:rPr>
            </w:pPr>
            <w:r w:rsidRPr="003A4EB5">
              <w:rPr>
                <w:rFonts w:ascii="Arial" w:hAnsi="Arial" w:cs="Arial"/>
                <w:lang w:val="en-CA"/>
              </w:rPr>
              <w:t>76.50</w:t>
            </w:r>
          </w:p>
        </w:tc>
        <w:tc>
          <w:tcPr>
            <w:tcW w:w="2342" w:type="dxa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7871476E" w14:textId="77777777" w:rsidR="00B6530D" w:rsidRPr="003A4EB5" w:rsidRDefault="00B6530D" w:rsidP="00D67DAD">
            <w:pPr>
              <w:jc w:val="right"/>
              <w:rPr>
                <w:rFonts w:ascii="Arial" w:hAnsi="Arial" w:cs="Arial"/>
                <w:lang w:val="en-CA"/>
              </w:rPr>
            </w:pPr>
            <w:r w:rsidRPr="003A4EB5">
              <w:rPr>
                <w:rFonts w:ascii="Arial" w:hAnsi="Arial" w:cs="Arial"/>
                <w:lang w:val="en-CA"/>
              </w:rPr>
              <w:t>147.20</w:t>
            </w:r>
          </w:p>
        </w:tc>
      </w:tr>
      <w:tr w:rsidR="00D67DAD" w:rsidRPr="003A4EB5" w14:paraId="38AEBDA2" w14:textId="77777777" w:rsidTr="00FE1105">
        <w:trPr>
          <w:trHeight w:val="288"/>
          <w:jc w:val="center"/>
        </w:trPr>
        <w:tc>
          <w:tcPr>
            <w:tcW w:w="2336" w:type="dxa"/>
            <w:tcBorders>
              <w:bottom w:val="single" w:sz="4" w:space="0" w:color="auto"/>
            </w:tcBorders>
            <w:vAlign w:val="center"/>
            <w:hideMark/>
          </w:tcPr>
          <w:p w14:paraId="7CB2F449" w14:textId="77777777" w:rsidR="00B6530D" w:rsidRPr="00464838" w:rsidRDefault="00B6530D" w:rsidP="00D67DAD">
            <w:pPr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Total assets</w:t>
            </w:r>
          </w:p>
        </w:tc>
        <w:tc>
          <w:tcPr>
            <w:tcW w:w="2341" w:type="dxa"/>
            <w:tcBorders>
              <w:bottom w:val="single" w:sz="4" w:space="0" w:color="auto"/>
            </w:tcBorders>
            <w:noWrap/>
            <w:tcMar>
              <w:left w:w="115" w:type="dxa"/>
              <w:right w:w="504" w:type="dxa"/>
            </w:tcMar>
            <w:vAlign w:val="center"/>
            <w:hideMark/>
          </w:tcPr>
          <w:p w14:paraId="78528E5A" w14:textId="604CFB9D" w:rsidR="00B6530D" w:rsidRPr="003A4EB5" w:rsidRDefault="00B6530D" w:rsidP="00D67DAD">
            <w:pPr>
              <w:jc w:val="right"/>
              <w:rPr>
                <w:rFonts w:ascii="Arial" w:hAnsi="Arial" w:cs="Arial"/>
                <w:lang w:val="en-CA"/>
              </w:rPr>
            </w:pPr>
            <w:r w:rsidRPr="003A4EB5">
              <w:rPr>
                <w:rFonts w:ascii="Arial" w:hAnsi="Arial" w:cs="Arial"/>
                <w:lang w:val="en-CA"/>
              </w:rPr>
              <w:t>1</w:t>
            </w:r>
            <w:r w:rsidR="00230A67">
              <w:rPr>
                <w:rFonts w:ascii="Arial" w:hAnsi="Arial" w:cs="Arial"/>
                <w:lang w:val="en-CA"/>
              </w:rPr>
              <w:t>,</w:t>
            </w:r>
            <w:r w:rsidRPr="003A4EB5">
              <w:rPr>
                <w:rFonts w:ascii="Arial" w:hAnsi="Arial" w:cs="Arial"/>
                <w:lang w:val="en-CA"/>
              </w:rPr>
              <w:t>279.70</w:t>
            </w:r>
          </w:p>
        </w:tc>
        <w:tc>
          <w:tcPr>
            <w:tcW w:w="2341" w:type="dxa"/>
            <w:tcBorders>
              <w:bottom w:val="single" w:sz="4" w:space="0" w:color="auto"/>
            </w:tcBorders>
            <w:noWrap/>
            <w:tcMar>
              <w:left w:w="115" w:type="dxa"/>
              <w:right w:w="504" w:type="dxa"/>
            </w:tcMar>
            <w:vAlign w:val="center"/>
            <w:hideMark/>
          </w:tcPr>
          <w:p w14:paraId="122BFA06" w14:textId="77777777" w:rsidR="00B6530D" w:rsidRPr="003A4EB5" w:rsidRDefault="00B6530D" w:rsidP="00D67DAD">
            <w:pPr>
              <w:jc w:val="right"/>
              <w:rPr>
                <w:rFonts w:ascii="Arial" w:hAnsi="Arial" w:cs="Arial"/>
                <w:lang w:val="en-CA"/>
              </w:rPr>
            </w:pPr>
            <w:r w:rsidRPr="003A4EB5">
              <w:rPr>
                <w:rFonts w:ascii="Arial" w:hAnsi="Arial" w:cs="Arial"/>
                <w:lang w:val="en-CA"/>
              </w:rPr>
              <w:t>292.50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noWrap/>
            <w:tcMar>
              <w:left w:w="115" w:type="dxa"/>
              <w:right w:w="504" w:type="dxa"/>
            </w:tcMar>
            <w:vAlign w:val="center"/>
            <w:hideMark/>
          </w:tcPr>
          <w:p w14:paraId="3C237E3D" w14:textId="77777777" w:rsidR="00B6530D" w:rsidRPr="003A4EB5" w:rsidRDefault="00B6530D" w:rsidP="00D67DAD">
            <w:pPr>
              <w:jc w:val="right"/>
              <w:rPr>
                <w:rFonts w:ascii="Arial" w:hAnsi="Arial" w:cs="Arial"/>
                <w:lang w:val="en-CA"/>
              </w:rPr>
            </w:pPr>
            <w:r w:rsidRPr="003A4EB5">
              <w:rPr>
                <w:rFonts w:ascii="Arial" w:hAnsi="Arial" w:cs="Arial"/>
                <w:lang w:val="en-CA"/>
              </w:rPr>
              <w:t>308.70</w:t>
            </w:r>
          </w:p>
        </w:tc>
      </w:tr>
      <w:tr w:rsidR="00D67DAD" w:rsidRPr="003A4EB5" w14:paraId="74209108" w14:textId="77777777" w:rsidTr="00FE1105">
        <w:trPr>
          <w:trHeight w:val="288"/>
          <w:jc w:val="center"/>
        </w:trPr>
        <w:tc>
          <w:tcPr>
            <w:tcW w:w="2336" w:type="dxa"/>
            <w:vAlign w:val="center"/>
          </w:tcPr>
          <w:p w14:paraId="6E606E5D" w14:textId="40C8FE3E" w:rsidR="00B6530D" w:rsidRPr="00464838" w:rsidRDefault="00B6530D" w:rsidP="00D67DAD">
            <w:pPr>
              <w:rPr>
                <w:rFonts w:ascii="Arial" w:hAnsi="Arial" w:cs="Arial"/>
                <w:b/>
                <w:lang w:val="en-CA"/>
              </w:rPr>
            </w:pPr>
            <w:r w:rsidRPr="00464838">
              <w:rPr>
                <w:rFonts w:ascii="Arial" w:hAnsi="Arial" w:cs="Arial"/>
                <w:b/>
                <w:lang w:val="en-CA"/>
              </w:rPr>
              <w:t>Liabilities</w:t>
            </w:r>
          </w:p>
        </w:tc>
        <w:tc>
          <w:tcPr>
            <w:tcW w:w="2341" w:type="dxa"/>
            <w:noWrap/>
            <w:tcMar>
              <w:left w:w="115" w:type="dxa"/>
              <w:right w:w="504" w:type="dxa"/>
            </w:tcMar>
            <w:vAlign w:val="center"/>
          </w:tcPr>
          <w:p w14:paraId="0476D069" w14:textId="77777777" w:rsidR="00B6530D" w:rsidRPr="003A4EB5" w:rsidRDefault="00B6530D" w:rsidP="00D67DAD">
            <w:pPr>
              <w:jc w:val="right"/>
              <w:rPr>
                <w:rFonts w:ascii="Arial" w:hAnsi="Arial" w:cs="Arial"/>
                <w:b/>
                <w:lang w:val="en-CA"/>
              </w:rPr>
            </w:pPr>
          </w:p>
        </w:tc>
        <w:tc>
          <w:tcPr>
            <w:tcW w:w="2341" w:type="dxa"/>
            <w:noWrap/>
            <w:tcMar>
              <w:left w:w="115" w:type="dxa"/>
              <w:right w:w="504" w:type="dxa"/>
            </w:tcMar>
            <w:vAlign w:val="center"/>
          </w:tcPr>
          <w:p w14:paraId="5D2611E7" w14:textId="77777777" w:rsidR="00B6530D" w:rsidRPr="003A4EB5" w:rsidRDefault="00B6530D" w:rsidP="00D67DAD">
            <w:pPr>
              <w:jc w:val="right"/>
              <w:rPr>
                <w:rFonts w:ascii="Arial" w:hAnsi="Arial" w:cs="Arial"/>
                <w:b/>
                <w:lang w:val="en-CA"/>
              </w:rPr>
            </w:pPr>
          </w:p>
        </w:tc>
        <w:tc>
          <w:tcPr>
            <w:tcW w:w="2342" w:type="dxa"/>
            <w:noWrap/>
            <w:tcMar>
              <w:left w:w="115" w:type="dxa"/>
              <w:right w:w="504" w:type="dxa"/>
            </w:tcMar>
            <w:vAlign w:val="center"/>
          </w:tcPr>
          <w:p w14:paraId="1889A8E1" w14:textId="7850A286" w:rsidR="00B6530D" w:rsidRPr="003A4EB5" w:rsidRDefault="008C2FD6" w:rsidP="00D67DAD">
            <w:pPr>
              <w:jc w:val="right"/>
              <w:rPr>
                <w:rFonts w:ascii="Arial" w:hAnsi="Arial" w:cs="Arial"/>
                <w:b/>
                <w:lang w:val="en-CA"/>
              </w:rPr>
            </w:pPr>
            <w:r>
              <w:rPr>
                <w:rFonts w:ascii="Arial" w:hAnsi="Arial" w:cs="Arial"/>
                <w:b/>
                <w:lang w:val="en-CA"/>
              </w:rPr>
              <w:t xml:space="preserve">    </w:t>
            </w:r>
            <w:r w:rsidR="00B6530D" w:rsidRPr="003A4EB5">
              <w:rPr>
                <w:rFonts w:ascii="Arial" w:hAnsi="Arial" w:cs="Arial"/>
                <w:b/>
                <w:lang w:val="en-CA"/>
              </w:rPr>
              <w:t xml:space="preserve"> </w:t>
            </w:r>
          </w:p>
        </w:tc>
      </w:tr>
      <w:tr w:rsidR="00D67DAD" w:rsidRPr="003A4EB5" w14:paraId="0966C76E" w14:textId="77777777" w:rsidTr="00FE1105">
        <w:trPr>
          <w:trHeight w:val="288"/>
          <w:jc w:val="center"/>
        </w:trPr>
        <w:tc>
          <w:tcPr>
            <w:tcW w:w="2336" w:type="dxa"/>
            <w:vAlign w:val="center"/>
            <w:hideMark/>
          </w:tcPr>
          <w:p w14:paraId="2068E32F" w14:textId="77777777" w:rsidR="00B6530D" w:rsidRPr="00464838" w:rsidRDefault="00B6530D" w:rsidP="00D67DAD">
            <w:pPr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Current liabilities</w:t>
            </w:r>
          </w:p>
        </w:tc>
        <w:tc>
          <w:tcPr>
            <w:tcW w:w="2341" w:type="dxa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72E03E8A" w14:textId="679E057B" w:rsidR="00B6530D" w:rsidRPr="003A4EB5" w:rsidRDefault="008C2FD6" w:rsidP="00D67DAD">
            <w:pPr>
              <w:jc w:val="right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 </w:t>
            </w:r>
          </w:p>
        </w:tc>
        <w:tc>
          <w:tcPr>
            <w:tcW w:w="2341" w:type="dxa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1FCC2461" w14:textId="1000CC15" w:rsidR="00B6530D" w:rsidRPr="003A4EB5" w:rsidRDefault="008C2FD6" w:rsidP="00D67DAD">
            <w:pPr>
              <w:jc w:val="right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   </w:t>
            </w:r>
          </w:p>
        </w:tc>
        <w:tc>
          <w:tcPr>
            <w:tcW w:w="2342" w:type="dxa"/>
            <w:noWrap/>
            <w:tcMar>
              <w:left w:w="115" w:type="dxa"/>
              <w:right w:w="504" w:type="dxa"/>
            </w:tcMar>
            <w:vAlign w:val="center"/>
          </w:tcPr>
          <w:p w14:paraId="759C549B" w14:textId="77777777" w:rsidR="00B6530D" w:rsidRPr="003A4EB5" w:rsidRDefault="00B6530D" w:rsidP="00D67DAD">
            <w:pPr>
              <w:jc w:val="right"/>
              <w:rPr>
                <w:rFonts w:ascii="Arial" w:hAnsi="Arial" w:cs="Arial"/>
                <w:lang w:val="en-CA"/>
              </w:rPr>
            </w:pPr>
          </w:p>
        </w:tc>
      </w:tr>
      <w:tr w:rsidR="00D67DAD" w:rsidRPr="003A4EB5" w14:paraId="7A3750E2" w14:textId="77777777" w:rsidTr="00FE1105">
        <w:trPr>
          <w:trHeight w:val="288"/>
          <w:jc w:val="center"/>
        </w:trPr>
        <w:tc>
          <w:tcPr>
            <w:tcW w:w="2336" w:type="dxa"/>
            <w:vAlign w:val="center"/>
            <w:hideMark/>
          </w:tcPr>
          <w:p w14:paraId="46FD8A06" w14:textId="77777777" w:rsidR="00B6530D" w:rsidRPr="00464838" w:rsidRDefault="00B6530D" w:rsidP="002726D0">
            <w:pPr>
              <w:ind w:left="144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Accounts payable</w:t>
            </w:r>
          </w:p>
        </w:tc>
        <w:tc>
          <w:tcPr>
            <w:tcW w:w="2341" w:type="dxa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07A4D177" w14:textId="77777777" w:rsidR="00B6530D" w:rsidRPr="003A4EB5" w:rsidRDefault="00B6530D" w:rsidP="00D67DAD">
            <w:pPr>
              <w:jc w:val="right"/>
              <w:rPr>
                <w:rFonts w:ascii="Arial" w:hAnsi="Arial" w:cs="Arial"/>
                <w:lang w:val="en-CA"/>
              </w:rPr>
            </w:pPr>
            <w:r w:rsidRPr="003A4EB5">
              <w:rPr>
                <w:rFonts w:ascii="Arial" w:hAnsi="Arial" w:cs="Arial"/>
                <w:lang w:val="en-CA"/>
              </w:rPr>
              <w:t>103.00</w:t>
            </w:r>
          </w:p>
        </w:tc>
        <w:tc>
          <w:tcPr>
            <w:tcW w:w="2341" w:type="dxa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59046811" w14:textId="77777777" w:rsidR="00B6530D" w:rsidRPr="003A4EB5" w:rsidRDefault="00B6530D" w:rsidP="00D67DAD">
            <w:pPr>
              <w:jc w:val="right"/>
              <w:rPr>
                <w:rFonts w:ascii="Arial" w:hAnsi="Arial" w:cs="Arial"/>
                <w:lang w:val="en-CA"/>
              </w:rPr>
            </w:pPr>
            <w:r w:rsidRPr="003A4EB5">
              <w:rPr>
                <w:rFonts w:ascii="Arial" w:hAnsi="Arial" w:cs="Arial"/>
                <w:lang w:val="en-CA"/>
              </w:rPr>
              <w:t>99.90</w:t>
            </w:r>
          </w:p>
        </w:tc>
        <w:tc>
          <w:tcPr>
            <w:tcW w:w="2342" w:type="dxa"/>
            <w:noWrap/>
            <w:tcMar>
              <w:left w:w="115" w:type="dxa"/>
              <w:right w:w="504" w:type="dxa"/>
            </w:tcMar>
            <w:vAlign w:val="center"/>
          </w:tcPr>
          <w:p w14:paraId="191949F7" w14:textId="77777777" w:rsidR="00B6530D" w:rsidRPr="003A4EB5" w:rsidRDefault="00B6530D" w:rsidP="00D67DAD">
            <w:pPr>
              <w:jc w:val="right"/>
              <w:rPr>
                <w:rFonts w:ascii="Arial" w:hAnsi="Arial" w:cs="Arial"/>
                <w:lang w:val="en-CA"/>
              </w:rPr>
            </w:pPr>
            <w:r w:rsidRPr="003A4EB5">
              <w:rPr>
                <w:rFonts w:ascii="Arial" w:hAnsi="Arial" w:cs="Arial"/>
                <w:lang w:val="en-CA"/>
              </w:rPr>
              <w:t>15.20</w:t>
            </w:r>
          </w:p>
        </w:tc>
      </w:tr>
      <w:tr w:rsidR="00D67DAD" w:rsidRPr="003A4EB5" w14:paraId="089A2066" w14:textId="77777777" w:rsidTr="00FE1105">
        <w:trPr>
          <w:trHeight w:val="288"/>
          <w:jc w:val="center"/>
        </w:trPr>
        <w:tc>
          <w:tcPr>
            <w:tcW w:w="2336" w:type="dxa"/>
            <w:vAlign w:val="center"/>
            <w:hideMark/>
          </w:tcPr>
          <w:p w14:paraId="3726EB3C" w14:textId="77777777" w:rsidR="00B6530D" w:rsidRPr="00464838" w:rsidRDefault="00B6530D" w:rsidP="002726D0">
            <w:pPr>
              <w:ind w:left="144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Short-term borrowing</w:t>
            </w:r>
          </w:p>
        </w:tc>
        <w:tc>
          <w:tcPr>
            <w:tcW w:w="2341" w:type="dxa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6B1B1D75" w14:textId="77777777" w:rsidR="00B6530D" w:rsidRPr="003A4EB5" w:rsidRDefault="00B6530D" w:rsidP="00D67DAD">
            <w:pPr>
              <w:jc w:val="right"/>
              <w:rPr>
                <w:rFonts w:ascii="Arial" w:hAnsi="Arial" w:cs="Arial"/>
                <w:lang w:val="en-CA"/>
              </w:rPr>
            </w:pPr>
            <w:r w:rsidRPr="003A4EB5">
              <w:rPr>
                <w:rFonts w:ascii="Arial" w:hAnsi="Arial" w:cs="Arial"/>
                <w:lang w:val="en-CA"/>
              </w:rPr>
              <w:t>60.70</w:t>
            </w:r>
          </w:p>
        </w:tc>
        <w:tc>
          <w:tcPr>
            <w:tcW w:w="2341" w:type="dxa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0A460858" w14:textId="77777777" w:rsidR="00B6530D" w:rsidRPr="003A4EB5" w:rsidRDefault="00B6530D" w:rsidP="00D67DAD">
            <w:pPr>
              <w:jc w:val="right"/>
              <w:rPr>
                <w:rFonts w:ascii="Arial" w:hAnsi="Arial" w:cs="Arial"/>
                <w:lang w:val="en-CA"/>
              </w:rPr>
            </w:pPr>
            <w:r w:rsidRPr="003A4EB5">
              <w:rPr>
                <w:rFonts w:ascii="Arial" w:hAnsi="Arial" w:cs="Arial"/>
                <w:lang w:val="en-CA"/>
              </w:rPr>
              <w:t>86.00</w:t>
            </w:r>
          </w:p>
        </w:tc>
        <w:tc>
          <w:tcPr>
            <w:tcW w:w="2342" w:type="dxa"/>
            <w:noWrap/>
            <w:tcMar>
              <w:left w:w="115" w:type="dxa"/>
              <w:right w:w="504" w:type="dxa"/>
            </w:tcMar>
            <w:vAlign w:val="center"/>
          </w:tcPr>
          <w:p w14:paraId="3BBACEBE" w14:textId="77777777" w:rsidR="00B6530D" w:rsidRPr="003A4EB5" w:rsidRDefault="00B6530D" w:rsidP="00D67DAD">
            <w:pPr>
              <w:jc w:val="right"/>
              <w:rPr>
                <w:rFonts w:ascii="Arial" w:hAnsi="Arial" w:cs="Arial"/>
                <w:lang w:val="en-CA"/>
              </w:rPr>
            </w:pPr>
            <w:r w:rsidRPr="003A4EB5">
              <w:rPr>
                <w:rFonts w:ascii="Arial" w:hAnsi="Arial" w:cs="Arial"/>
                <w:lang w:val="en-CA"/>
              </w:rPr>
              <w:t>119.20</w:t>
            </w:r>
          </w:p>
        </w:tc>
      </w:tr>
      <w:tr w:rsidR="00D67DAD" w:rsidRPr="00464838" w14:paraId="78288D2C" w14:textId="77777777" w:rsidTr="00FE1105">
        <w:trPr>
          <w:trHeight w:val="288"/>
          <w:jc w:val="center"/>
        </w:trPr>
        <w:tc>
          <w:tcPr>
            <w:tcW w:w="2336" w:type="dxa"/>
            <w:vAlign w:val="center"/>
            <w:hideMark/>
          </w:tcPr>
          <w:p w14:paraId="1BD9A693" w14:textId="77777777" w:rsidR="00B6530D" w:rsidRPr="00464838" w:rsidRDefault="00B6530D" w:rsidP="002726D0">
            <w:pPr>
              <w:ind w:left="144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Short-term provisions</w:t>
            </w:r>
          </w:p>
        </w:tc>
        <w:tc>
          <w:tcPr>
            <w:tcW w:w="2341" w:type="dxa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07D80DC1" w14:textId="77777777" w:rsidR="00B6530D" w:rsidRPr="00464838" w:rsidRDefault="00B6530D" w:rsidP="00D67DAD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5.2</w:t>
            </w:r>
            <w:r>
              <w:rPr>
                <w:rFonts w:ascii="Arial" w:hAnsi="Arial" w:cs="Arial"/>
                <w:lang w:val="en-CA"/>
              </w:rPr>
              <w:t>0</w:t>
            </w:r>
          </w:p>
        </w:tc>
        <w:tc>
          <w:tcPr>
            <w:tcW w:w="2341" w:type="dxa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06944902" w14:textId="77777777" w:rsidR="00B6530D" w:rsidRPr="00464838" w:rsidRDefault="00B6530D" w:rsidP="00D67DAD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0.3</w:t>
            </w:r>
            <w:r>
              <w:rPr>
                <w:rFonts w:ascii="Arial" w:hAnsi="Arial" w:cs="Arial"/>
                <w:lang w:val="en-CA"/>
              </w:rPr>
              <w:t>0</w:t>
            </w:r>
          </w:p>
        </w:tc>
        <w:tc>
          <w:tcPr>
            <w:tcW w:w="2342" w:type="dxa"/>
            <w:noWrap/>
            <w:tcMar>
              <w:left w:w="115" w:type="dxa"/>
              <w:right w:w="504" w:type="dxa"/>
            </w:tcMar>
            <w:vAlign w:val="center"/>
          </w:tcPr>
          <w:p w14:paraId="01C1856E" w14:textId="77777777" w:rsidR="00B6530D" w:rsidRPr="00464838" w:rsidRDefault="00B6530D" w:rsidP="00D67DAD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0.2</w:t>
            </w:r>
            <w:r>
              <w:rPr>
                <w:rFonts w:ascii="Arial" w:hAnsi="Arial" w:cs="Arial"/>
                <w:lang w:val="en-CA"/>
              </w:rPr>
              <w:t>0</w:t>
            </w:r>
          </w:p>
        </w:tc>
      </w:tr>
      <w:tr w:rsidR="00D67DAD" w:rsidRPr="00464838" w14:paraId="2106093E" w14:textId="77777777" w:rsidTr="00FE1105">
        <w:trPr>
          <w:trHeight w:val="288"/>
          <w:jc w:val="center"/>
        </w:trPr>
        <w:tc>
          <w:tcPr>
            <w:tcW w:w="2336" w:type="dxa"/>
            <w:vAlign w:val="center"/>
            <w:hideMark/>
          </w:tcPr>
          <w:p w14:paraId="46BCC460" w14:textId="77777777" w:rsidR="00B6530D" w:rsidRPr="00464838" w:rsidRDefault="00B6530D" w:rsidP="002726D0">
            <w:pPr>
              <w:ind w:left="144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Other current liabilities</w:t>
            </w:r>
          </w:p>
        </w:tc>
        <w:tc>
          <w:tcPr>
            <w:tcW w:w="2341" w:type="dxa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52C67D4D" w14:textId="77777777" w:rsidR="00B6530D" w:rsidRPr="00464838" w:rsidRDefault="00B6530D" w:rsidP="00D67DAD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36.9</w:t>
            </w:r>
            <w:r>
              <w:rPr>
                <w:rFonts w:ascii="Arial" w:hAnsi="Arial" w:cs="Arial"/>
                <w:lang w:val="en-CA"/>
              </w:rPr>
              <w:t>0</w:t>
            </w:r>
          </w:p>
        </w:tc>
        <w:tc>
          <w:tcPr>
            <w:tcW w:w="2341" w:type="dxa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23C1D86D" w14:textId="77777777" w:rsidR="00B6530D" w:rsidRPr="00464838" w:rsidRDefault="00B6530D" w:rsidP="00D67DAD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17.8</w:t>
            </w:r>
            <w:r>
              <w:rPr>
                <w:rFonts w:ascii="Arial" w:hAnsi="Arial" w:cs="Arial"/>
                <w:lang w:val="en-CA"/>
              </w:rPr>
              <w:t>0</w:t>
            </w:r>
          </w:p>
        </w:tc>
        <w:tc>
          <w:tcPr>
            <w:tcW w:w="2342" w:type="dxa"/>
            <w:noWrap/>
            <w:tcMar>
              <w:left w:w="115" w:type="dxa"/>
              <w:right w:w="504" w:type="dxa"/>
            </w:tcMar>
            <w:vAlign w:val="center"/>
          </w:tcPr>
          <w:p w14:paraId="5E98A530" w14:textId="77777777" w:rsidR="00B6530D" w:rsidRPr="00464838" w:rsidRDefault="00B6530D" w:rsidP="00D67DAD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14</w:t>
            </w:r>
            <w:r>
              <w:rPr>
                <w:rFonts w:ascii="Arial" w:hAnsi="Arial" w:cs="Arial"/>
                <w:lang w:val="en-CA"/>
              </w:rPr>
              <w:t>.00</w:t>
            </w:r>
          </w:p>
        </w:tc>
      </w:tr>
      <w:tr w:rsidR="00D67DAD" w:rsidRPr="00464838" w14:paraId="1E14B155" w14:textId="77777777" w:rsidTr="00FE1105">
        <w:trPr>
          <w:trHeight w:val="288"/>
          <w:jc w:val="center"/>
        </w:trPr>
        <w:tc>
          <w:tcPr>
            <w:tcW w:w="2336" w:type="dxa"/>
            <w:vAlign w:val="center"/>
            <w:hideMark/>
          </w:tcPr>
          <w:p w14:paraId="7F9D4B16" w14:textId="77777777" w:rsidR="00B6530D" w:rsidRPr="00464838" w:rsidRDefault="00B6530D" w:rsidP="00D67DAD">
            <w:pPr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Non-current liabilities</w:t>
            </w:r>
          </w:p>
        </w:tc>
        <w:tc>
          <w:tcPr>
            <w:tcW w:w="2341" w:type="dxa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50569AB4" w14:textId="77777777" w:rsidR="00B6530D" w:rsidRPr="00464838" w:rsidRDefault="00B6530D" w:rsidP="00D67DAD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45.6</w:t>
            </w:r>
            <w:r>
              <w:rPr>
                <w:rFonts w:ascii="Arial" w:hAnsi="Arial" w:cs="Arial"/>
                <w:lang w:val="en-CA"/>
              </w:rPr>
              <w:t>0</w:t>
            </w:r>
          </w:p>
        </w:tc>
        <w:tc>
          <w:tcPr>
            <w:tcW w:w="2341" w:type="dxa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2579D438" w14:textId="77777777" w:rsidR="00B6530D" w:rsidRPr="00464838" w:rsidRDefault="00B6530D" w:rsidP="00D67DAD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28.2</w:t>
            </w:r>
            <w:r>
              <w:rPr>
                <w:rFonts w:ascii="Arial" w:hAnsi="Arial" w:cs="Arial"/>
                <w:lang w:val="en-CA"/>
              </w:rPr>
              <w:t>0</w:t>
            </w:r>
          </w:p>
        </w:tc>
        <w:tc>
          <w:tcPr>
            <w:tcW w:w="2342" w:type="dxa"/>
            <w:noWrap/>
            <w:tcMar>
              <w:left w:w="115" w:type="dxa"/>
              <w:right w:w="504" w:type="dxa"/>
            </w:tcMar>
            <w:vAlign w:val="center"/>
          </w:tcPr>
          <w:p w14:paraId="4DCF203D" w14:textId="77777777" w:rsidR="00B6530D" w:rsidRPr="00464838" w:rsidRDefault="00B6530D" w:rsidP="00D67DAD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59.5</w:t>
            </w:r>
            <w:r>
              <w:rPr>
                <w:rFonts w:ascii="Arial" w:hAnsi="Arial" w:cs="Arial"/>
                <w:lang w:val="en-CA"/>
              </w:rPr>
              <w:t>0</w:t>
            </w:r>
          </w:p>
        </w:tc>
      </w:tr>
      <w:tr w:rsidR="00D67DAD" w:rsidRPr="00464838" w14:paraId="3589A8DE" w14:textId="77777777" w:rsidTr="00FE1105">
        <w:trPr>
          <w:trHeight w:val="288"/>
          <w:jc w:val="center"/>
        </w:trPr>
        <w:tc>
          <w:tcPr>
            <w:tcW w:w="2336" w:type="dxa"/>
            <w:vAlign w:val="center"/>
            <w:hideMark/>
          </w:tcPr>
          <w:p w14:paraId="1AE3D64F" w14:textId="77777777" w:rsidR="00B6530D" w:rsidRPr="00464838" w:rsidRDefault="00B6530D" w:rsidP="002726D0">
            <w:pPr>
              <w:ind w:left="144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Shareholders’ capital</w:t>
            </w:r>
          </w:p>
        </w:tc>
        <w:tc>
          <w:tcPr>
            <w:tcW w:w="2341" w:type="dxa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31A152AB" w14:textId="77777777" w:rsidR="00B6530D" w:rsidRPr="00464838" w:rsidRDefault="00B6530D" w:rsidP="00D67DAD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194.2</w:t>
            </w:r>
            <w:r>
              <w:rPr>
                <w:rFonts w:ascii="Arial" w:hAnsi="Arial" w:cs="Arial"/>
                <w:lang w:val="en-CA"/>
              </w:rPr>
              <w:t>0</w:t>
            </w:r>
          </w:p>
        </w:tc>
        <w:tc>
          <w:tcPr>
            <w:tcW w:w="2341" w:type="dxa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14ED25EB" w14:textId="77777777" w:rsidR="00B6530D" w:rsidRPr="00464838" w:rsidRDefault="00B6530D" w:rsidP="00D67DAD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18</w:t>
            </w:r>
            <w:r>
              <w:rPr>
                <w:rFonts w:ascii="Arial" w:hAnsi="Arial" w:cs="Arial"/>
                <w:lang w:val="en-CA"/>
              </w:rPr>
              <w:t>.00</w:t>
            </w:r>
          </w:p>
        </w:tc>
        <w:tc>
          <w:tcPr>
            <w:tcW w:w="2342" w:type="dxa"/>
            <w:noWrap/>
            <w:tcMar>
              <w:left w:w="115" w:type="dxa"/>
              <w:right w:w="504" w:type="dxa"/>
            </w:tcMar>
            <w:vAlign w:val="center"/>
          </w:tcPr>
          <w:p w14:paraId="68D459E6" w14:textId="77777777" w:rsidR="00B6530D" w:rsidRPr="00464838" w:rsidRDefault="00B6530D" w:rsidP="00D67DAD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14</w:t>
            </w:r>
            <w:r>
              <w:rPr>
                <w:rFonts w:ascii="Arial" w:hAnsi="Arial" w:cs="Arial"/>
                <w:lang w:val="en-CA"/>
              </w:rPr>
              <w:t>.00</w:t>
            </w:r>
          </w:p>
        </w:tc>
      </w:tr>
      <w:tr w:rsidR="00D67DAD" w:rsidRPr="00464838" w14:paraId="735EA033" w14:textId="77777777" w:rsidTr="00FE1105">
        <w:trPr>
          <w:trHeight w:val="288"/>
          <w:jc w:val="center"/>
        </w:trPr>
        <w:tc>
          <w:tcPr>
            <w:tcW w:w="2336" w:type="dxa"/>
            <w:vAlign w:val="center"/>
            <w:hideMark/>
          </w:tcPr>
          <w:p w14:paraId="7D201E18" w14:textId="77777777" w:rsidR="00B6530D" w:rsidRPr="00464838" w:rsidRDefault="00B6530D" w:rsidP="002726D0">
            <w:pPr>
              <w:ind w:left="144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Reserves and surplus</w:t>
            </w:r>
          </w:p>
        </w:tc>
        <w:tc>
          <w:tcPr>
            <w:tcW w:w="2341" w:type="dxa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542F6991" w14:textId="77777777" w:rsidR="00B6530D" w:rsidRPr="00464838" w:rsidRDefault="00B6530D" w:rsidP="00D67DAD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824.8</w:t>
            </w:r>
            <w:r>
              <w:rPr>
                <w:rFonts w:ascii="Arial" w:hAnsi="Arial" w:cs="Arial"/>
                <w:lang w:val="en-CA"/>
              </w:rPr>
              <w:t>0</w:t>
            </w:r>
          </w:p>
        </w:tc>
        <w:tc>
          <w:tcPr>
            <w:tcW w:w="2341" w:type="dxa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39F1BA6A" w14:textId="77777777" w:rsidR="00B6530D" w:rsidRPr="00464838" w:rsidRDefault="00B6530D" w:rsidP="00D67DAD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42.3</w:t>
            </w:r>
            <w:r>
              <w:rPr>
                <w:rFonts w:ascii="Arial" w:hAnsi="Arial" w:cs="Arial"/>
                <w:lang w:val="en-CA"/>
              </w:rPr>
              <w:t>0</w:t>
            </w:r>
          </w:p>
        </w:tc>
        <w:tc>
          <w:tcPr>
            <w:tcW w:w="2342" w:type="dxa"/>
            <w:noWrap/>
            <w:tcMar>
              <w:left w:w="115" w:type="dxa"/>
              <w:right w:w="504" w:type="dxa"/>
            </w:tcMar>
            <w:vAlign w:val="center"/>
            <w:hideMark/>
          </w:tcPr>
          <w:p w14:paraId="09894D14" w14:textId="77777777" w:rsidR="00B6530D" w:rsidRPr="00464838" w:rsidRDefault="00B6530D" w:rsidP="00D67DAD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86.6</w:t>
            </w:r>
            <w:r>
              <w:rPr>
                <w:rFonts w:ascii="Arial" w:hAnsi="Arial" w:cs="Arial"/>
                <w:lang w:val="en-CA"/>
              </w:rPr>
              <w:t>0</w:t>
            </w:r>
          </w:p>
        </w:tc>
      </w:tr>
      <w:tr w:rsidR="00D67DAD" w:rsidRPr="00464838" w14:paraId="1DC03C50" w14:textId="77777777" w:rsidTr="00FE1105">
        <w:trPr>
          <w:trHeight w:val="288"/>
          <w:jc w:val="center"/>
        </w:trPr>
        <w:tc>
          <w:tcPr>
            <w:tcW w:w="2336" w:type="dxa"/>
            <w:tcBorders>
              <w:bottom w:val="single" w:sz="4" w:space="0" w:color="auto"/>
            </w:tcBorders>
            <w:vAlign w:val="center"/>
            <w:hideMark/>
          </w:tcPr>
          <w:p w14:paraId="1034BD9D" w14:textId="77777777" w:rsidR="00B6530D" w:rsidRPr="00464838" w:rsidRDefault="00B6530D" w:rsidP="00D67DAD">
            <w:pPr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Total liabilities and shareholders’ equity</w:t>
            </w:r>
          </w:p>
        </w:tc>
        <w:tc>
          <w:tcPr>
            <w:tcW w:w="2341" w:type="dxa"/>
            <w:tcBorders>
              <w:bottom w:val="single" w:sz="4" w:space="0" w:color="auto"/>
            </w:tcBorders>
            <w:noWrap/>
            <w:tcMar>
              <w:left w:w="115" w:type="dxa"/>
              <w:right w:w="504" w:type="dxa"/>
            </w:tcMar>
            <w:vAlign w:val="center"/>
            <w:hideMark/>
          </w:tcPr>
          <w:p w14:paraId="525AF7E4" w14:textId="045DA24F" w:rsidR="00B6530D" w:rsidRPr="00464838" w:rsidRDefault="00B6530D" w:rsidP="00D67DAD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1</w:t>
            </w:r>
            <w:r w:rsidR="00230A67">
              <w:rPr>
                <w:rFonts w:ascii="Arial" w:hAnsi="Arial" w:cs="Arial"/>
                <w:lang w:val="en-CA"/>
              </w:rPr>
              <w:t>,</w:t>
            </w:r>
            <w:r w:rsidRPr="00464838">
              <w:rPr>
                <w:rFonts w:ascii="Arial" w:hAnsi="Arial" w:cs="Arial"/>
                <w:lang w:val="en-CA"/>
              </w:rPr>
              <w:t>279.7</w:t>
            </w:r>
            <w:r>
              <w:rPr>
                <w:rFonts w:ascii="Arial" w:hAnsi="Arial" w:cs="Arial"/>
                <w:lang w:val="en-CA"/>
              </w:rPr>
              <w:t>0</w:t>
            </w:r>
          </w:p>
        </w:tc>
        <w:tc>
          <w:tcPr>
            <w:tcW w:w="2341" w:type="dxa"/>
            <w:tcBorders>
              <w:bottom w:val="single" w:sz="4" w:space="0" w:color="auto"/>
            </w:tcBorders>
            <w:noWrap/>
            <w:tcMar>
              <w:left w:w="115" w:type="dxa"/>
              <w:right w:w="504" w:type="dxa"/>
            </w:tcMar>
            <w:vAlign w:val="center"/>
            <w:hideMark/>
          </w:tcPr>
          <w:p w14:paraId="06E4C717" w14:textId="77777777" w:rsidR="00B6530D" w:rsidRPr="00464838" w:rsidRDefault="00B6530D" w:rsidP="00D67DAD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292.5</w:t>
            </w:r>
            <w:r>
              <w:rPr>
                <w:rFonts w:ascii="Arial" w:hAnsi="Arial" w:cs="Arial"/>
                <w:lang w:val="en-CA"/>
              </w:rPr>
              <w:t>0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noWrap/>
            <w:tcMar>
              <w:left w:w="115" w:type="dxa"/>
              <w:right w:w="504" w:type="dxa"/>
            </w:tcMar>
            <w:vAlign w:val="center"/>
            <w:hideMark/>
          </w:tcPr>
          <w:p w14:paraId="11B667FE" w14:textId="77777777" w:rsidR="00B6530D" w:rsidRPr="00464838" w:rsidRDefault="00B6530D" w:rsidP="00D67DAD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308.7</w:t>
            </w:r>
            <w:r>
              <w:rPr>
                <w:rFonts w:ascii="Arial" w:hAnsi="Arial" w:cs="Arial"/>
                <w:lang w:val="en-CA"/>
              </w:rPr>
              <w:t>0</w:t>
            </w:r>
          </w:p>
        </w:tc>
      </w:tr>
    </w:tbl>
    <w:p w14:paraId="72D69603" w14:textId="77777777" w:rsidR="00B6530D" w:rsidRDefault="00B6530D" w:rsidP="00B6530D">
      <w:pPr>
        <w:pStyle w:val="BodyTextMain"/>
        <w:rPr>
          <w:lang w:val="en-CA"/>
        </w:rPr>
      </w:pPr>
    </w:p>
    <w:p w14:paraId="15EB089A" w14:textId="15B40003" w:rsidR="007D552B" w:rsidRDefault="00B6530D" w:rsidP="002726D0">
      <w:pPr>
        <w:pStyle w:val="Footnote"/>
        <w:rPr>
          <w:lang w:val="en-CA"/>
        </w:rPr>
      </w:pPr>
      <w:r w:rsidRPr="00464838">
        <w:t xml:space="preserve">Source: </w:t>
      </w:r>
      <w:proofErr w:type="gramStart"/>
      <w:r w:rsidR="00A61293">
        <w:t>Annual reports of Indian private l</w:t>
      </w:r>
      <w:r w:rsidR="00A61293" w:rsidRPr="003A4EB5">
        <w:t xml:space="preserve">imited companies </w:t>
      </w:r>
      <w:r w:rsidR="00A61293">
        <w:t>were</w:t>
      </w:r>
      <w:r w:rsidR="00A61293" w:rsidRPr="003A4EB5">
        <w:t xml:space="preserve"> provided by </w:t>
      </w:r>
      <w:r w:rsidR="00A61293">
        <w:t>MCA Services</w:t>
      </w:r>
      <w:proofErr w:type="gramEnd"/>
      <w:r w:rsidR="00A61293">
        <w:t>,</w:t>
      </w:r>
      <w:r w:rsidR="00A61293" w:rsidRPr="003A4EB5">
        <w:t xml:space="preserve"> Ministry of Corporate Affairs</w:t>
      </w:r>
      <w:r w:rsidR="00A61293">
        <w:t>, Government of India,</w:t>
      </w:r>
      <w:r w:rsidR="00A61293" w:rsidRPr="003A4EB5">
        <w:t xml:space="preserve"> accessed March 24, 2016</w:t>
      </w:r>
      <w:r w:rsidR="00A61293">
        <w:t>,</w:t>
      </w:r>
      <w:r w:rsidR="00A61293" w:rsidRPr="003A4EB5">
        <w:t xml:space="preserve"> www.mca.gov.in/mcafoportal/login.do</w:t>
      </w:r>
      <w:r>
        <w:rPr>
          <w:lang w:val="en-CA"/>
        </w:rPr>
        <w:t>.</w:t>
      </w:r>
    </w:p>
    <w:p w14:paraId="4011B624" w14:textId="35F32D74" w:rsidR="00293885" w:rsidRDefault="00293885" w:rsidP="002726D0">
      <w:pPr>
        <w:pStyle w:val="ExhibitText"/>
        <w:rPr>
          <w:lang w:val="en-CA"/>
        </w:rPr>
      </w:pPr>
    </w:p>
    <w:p w14:paraId="3C75A503" w14:textId="77777777" w:rsidR="006E2A4F" w:rsidRDefault="006E2A4F" w:rsidP="006E2A4F">
      <w:pPr>
        <w:pStyle w:val="ExhibitHeading"/>
        <w:rPr>
          <w:lang w:val="en-CA"/>
        </w:rPr>
      </w:pPr>
    </w:p>
    <w:p w14:paraId="69A093B2" w14:textId="484965E2" w:rsidR="006E2A4F" w:rsidRPr="00231E55" w:rsidRDefault="006E2A4F" w:rsidP="006E2A4F">
      <w:pPr>
        <w:pStyle w:val="ExhibitHeading"/>
        <w:rPr>
          <w:lang w:val="en-CA"/>
        </w:rPr>
      </w:pPr>
      <w:r w:rsidRPr="00231E55">
        <w:rPr>
          <w:lang w:val="en-CA"/>
        </w:rPr>
        <w:t>Exhibit</w:t>
      </w:r>
      <w:r>
        <w:rPr>
          <w:lang w:val="en-CA"/>
        </w:rPr>
        <w:t xml:space="preserve"> 4</w:t>
      </w:r>
      <w:r w:rsidRPr="00231E55">
        <w:rPr>
          <w:lang w:val="en-CA"/>
        </w:rPr>
        <w:t xml:space="preserve">: Forecasted Production </w:t>
      </w:r>
      <w:r>
        <w:rPr>
          <w:lang w:val="en-CA"/>
        </w:rPr>
        <w:t xml:space="preserve">(in tonnes) </w:t>
      </w:r>
      <w:r w:rsidRPr="00231E55">
        <w:rPr>
          <w:lang w:val="en-CA"/>
        </w:rPr>
        <w:t xml:space="preserve">and Average </w:t>
      </w:r>
      <w:r>
        <w:rPr>
          <w:lang w:val="en-CA"/>
        </w:rPr>
        <w:t>P</w:t>
      </w:r>
      <w:r w:rsidRPr="00231E55">
        <w:rPr>
          <w:lang w:val="en-CA"/>
        </w:rPr>
        <w:t>rices</w:t>
      </w:r>
      <w:r w:rsidR="002D2003">
        <w:rPr>
          <w:lang w:val="en-CA"/>
        </w:rPr>
        <w:t xml:space="preserve"> (₹ </w:t>
      </w:r>
      <w:r>
        <w:rPr>
          <w:lang w:val="en-CA"/>
        </w:rPr>
        <w:t>THOUSANDS per Tonne)</w:t>
      </w:r>
      <w:r w:rsidRPr="00231E55">
        <w:rPr>
          <w:lang w:val="en-CA"/>
        </w:rPr>
        <w:t xml:space="preserve"> of </w:t>
      </w:r>
      <w:r>
        <w:rPr>
          <w:lang w:val="en-CA"/>
        </w:rPr>
        <w:t xml:space="preserve">Finished </w:t>
      </w:r>
      <w:r w:rsidRPr="00231E55">
        <w:rPr>
          <w:lang w:val="en-CA"/>
        </w:rPr>
        <w:t>Steel in India</w:t>
      </w:r>
    </w:p>
    <w:p w14:paraId="504F093A" w14:textId="77777777" w:rsidR="006E2A4F" w:rsidRPr="00231E55" w:rsidRDefault="006E2A4F" w:rsidP="006E2A4F">
      <w:pPr>
        <w:pStyle w:val="BodyTextMain"/>
        <w:rPr>
          <w:lang w:val="en-CA"/>
        </w:rPr>
      </w:pP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470"/>
        <w:gridCol w:w="1578"/>
        <w:gridCol w:w="1578"/>
        <w:gridCol w:w="1578"/>
        <w:gridCol w:w="1578"/>
        <w:gridCol w:w="1578"/>
      </w:tblGrid>
      <w:tr w:rsidR="006E2A4F" w:rsidRPr="00A61293" w14:paraId="266093CA" w14:textId="77777777" w:rsidTr="006E2A4F">
        <w:trPr>
          <w:trHeight w:val="288"/>
          <w:jc w:val="center"/>
        </w:trPr>
        <w:tc>
          <w:tcPr>
            <w:tcW w:w="147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0321CFB0" w14:textId="77777777" w:rsidR="006E2A4F" w:rsidRPr="00A61293" w:rsidRDefault="006E2A4F" w:rsidP="006E2A4F">
            <w:pPr>
              <w:rPr>
                <w:rFonts w:ascii="Arial" w:hAnsi="Arial" w:cs="Arial"/>
                <w:b/>
                <w:color w:val="000000"/>
                <w:lang w:val="en-CA"/>
              </w:rPr>
            </w:pPr>
            <w:r>
              <w:rPr>
                <w:rFonts w:ascii="Arial" w:hAnsi="Arial" w:cs="Arial"/>
                <w:b/>
                <w:color w:val="000000"/>
                <w:lang w:val="en-CA"/>
              </w:rPr>
              <w:t xml:space="preserve">Fiscal </w:t>
            </w:r>
            <w:r w:rsidRPr="00A61293">
              <w:rPr>
                <w:rFonts w:ascii="Arial" w:hAnsi="Arial" w:cs="Arial"/>
                <w:b/>
                <w:color w:val="000000"/>
                <w:lang w:val="en-CA"/>
              </w:rPr>
              <w:t>Year</w:t>
            </w:r>
          </w:p>
        </w:tc>
        <w:tc>
          <w:tcPr>
            <w:tcW w:w="1578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43294FB4" w14:textId="77777777" w:rsidR="006E2A4F" w:rsidRPr="00A61293" w:rsidRDefault="006E2A4F" w:rsidP="006E2A4F">
            <w:pPr>
              <w:jc w:val="right"/>
              <w:rPr>
                <w:rFonts w:ascii="Arial" w:hAnsi="Arial" w:cs="Arial"/>
                <w:b/>
                <w:i/>
                <w:color w:val="000000"/>
                <w:lang w:val="en-CA"/>
              </w:rPr>
            </w:pPr>
            <w:r w:rsidRPr="00A61293">
              <w:rPr>
                <w:rFonts w:ascii="Arial" w:hAnsi="Arial" w:cs="Arial"/>
                <w:b/>
                <w:color w:val="000000"/>
                <w:lang w:val="en-CA"/>
              </w:rPr>
              <w:t>Consumption</w:t>
            </w:r>
          </w:p>
        </w:tc>
        <w:tc>
          <w:tcPr>
            <w:tcW w:w="1578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2E39226" w14:textId="77777777" w:rsidR="006E2A4F" w:rsidRPr="00A61293" w:rsidRDefault="006E2A4F" w:rsidP="006E2A4F">
            <w:pPr>
              <w:jc w:val="right"/>
              <w:rPr>
                <w:rFonts w:ascii="Arial" w:hAnsi="Arial" w:cs="Arial"/>
                <w:b/>
                <w:i/>
                <w:color w:val="000000"/>
                <w:lang w:val="en-CA"/>
              </w:rPr>
            </w:pPr>
            <w:r w:rsidRPr="00A61293">
              <w:rPr>
                <w:rFonts w:ascii="Arial" w:hAnsi="Arial" w:cs="Arial"/>
                <w:b/>
                <w:color w:val="000000"/>
                <w:lang w:val="en-CA"/>
              </w:rPr>
              <w:t>Production</w:t>
            </w:r>
          </w:p>
        </w:tc>
        <w:tc>
          <w:tcPr>
            <w:tcW w:w="1578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0F6A798D" w14:textId="77777777" w:rsidR="006E2A4F" w:rsidRPr="00A61293" w:rsidRDefault="006E2A4F" w:rsidP="006E2A4F">
            <w:pPr>
              <w:jc w:val="right"/>
              <w:rPr>
                <w:rFonts w:ascii="Arial" w:hAnsi="Arial" w:cs="Arial"/>
                <w:b/>
                <w:i/>
                <w:color w:val="000000"/>
                <w:lang w:val="en-CA"/>
              </w:rPr>
            </w:pPr>
            <w:r w:rsidRPr="00A61293">
              <w:rPr>
                <w:rFonts w:ascii="Arial" w:hAnsi="Arial" w:cs="Arial"/>
                <w:b/>
                <w:color w:val="000000"/>
                <w:lang w:val="en-CA"/>
              </w:rPr>
              <w:t>Imports</w:t>
            </w:r>
          </w:p>
        </w:tc>
        <w:tc>
          <w:tcPr>
            <w:tcW w:w="1578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02C5BD1D" w14:textId="77777777" w:rsidR="006E2A4F" w:rsidRPr="00A61293" w:rsidRDefault="006E2A4F" w:rsidP="006E2A4F">
            <w:pPr>
              <w:jc w:val="right"/>
              <w:rPr>
                <w:rFonts w:ascii="Arial" w:hAnsi="Arial" w:cs="Arial"/>
                <w:b/>
                <w:i/>
                <w:color w:val="000000"/>
                <w:lang w:val="en-CA"/>
              </w:rPr>
            </w:pPr>
            <w:r w:rsidRPr="00A61293">
              <w:rPr>
                <w:rFonts w:ascii="Arial" w:hAnsi="Arial" w:cs="Arial"/>
                <w:b/>
                <w:color w:val="000000"/>
                <w:lang w:val="en-CA"/>
              </w:rPr>
              <w:t>Exports</w:t>
            </w:r>
          </w:p>
        </w:tc>
        <w:tc>
          <w:tcPr>
            <w:tcW w:w="1578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76F4BF6C" w14:textId="77777777" w:rsidR="006E2A4F" w:rsidRPr="00A61293" w:rsidRDefault="006E2A4F" w:rsidP="006E2A4F">
            <w:pPr>
              <w:jc w:val="right"/>
              <w:rPr>
                <w:rFonts w:ascii="Arial" w:hAnsi="Arial" w:cs="Arial"/>
                <w:b/>
                <w:i/>
                <w:color w:val="000000"/>
                <w:lang w:val="en-CA"/>
              </w:rPr>
            </w:pPr>
            <w:r w:rsidRPr="00A61293">
              <w:rPr>
                <w:rFonts w:ascii="Arial" w:hAnsi="Arial" w:cs="Arial"/>
                <w:b/>
                <w:color w:val="000000"/>
                <w:lang w:val="en-CA"/>
              </w:rPr>
              <w:t>Prices</w:t>
            </w:r>
          </w:p>
        </w:tc>
      </w:tr>
      <w:tr w:rsidR="006E2A4F" w:rsidRPr="00464838" w14:paraId="479C12B9" w14:textId="77777777" w:rsidTr="006E2A4F">
        <w:trPr>
          <w:trHeight w:val="288"/>
          <w:jc w:val="center"/>
        </w:trPr>
        <w:tc>
          <w:tcPr>
            <w:tcW w:w="147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2127908" w14:textId="77777777" w:rsidR="006E2A4F" w:rsidRPr="00464838" w:rsidRDefault="006E2A4F" w:rsidP="006E2A4F">
            <w:pPr>
              <w:rPr>
                <w:rFonts w:ascii="Arial" w:hAnsi="Arial" w:cs="Arial"/>
                <w:color w:val="000000"/>
                <w:lang w:val="en-CA"/>
              </w:rPr>
            </w:pPr>
            <w:r w:rsidRPr="00464838">
              <w:rPr>
                <w:rFonts w:ascii="Arial" w:hAnsi="Arial" w:cs="Arial"/>
                <w:color w:val="000000"/>
                <w:lang w:val="en-CA"/>
              </w:rPr>
              <w:t>2015</w:t>
            </w:r>
            <w:r>
              <w:rPr>
                <w:rFonts w:ascii="Arial" w:hAnsi="Arial" w:cs="Arial"/>
                <w:color w:val="000000"/>
                <w:lang w:val="en-CA"/>
              </w:rPr>
              <w:t>/</w:t>
            </w:r>
            <w:r w:rsidRPr="00464838">
              <w:rPr>
                <w:rFonts w:ascii="Arial" w:hAnsi="Arial" w:cs="Arial"/>
                <w:color w:val="000000"/>
                <w:lang w:val="en-CA"/>
              </w:rPr>
              <w:t>16</w:t>
            </w:r>
          </w:p>
        </w:tc>
        <w:tc>
          <w:tcPr>
            <w:tcW w:w="1578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9BA2123" w14:textId="77777777" w:rsidR="006E2A4F" w:rsidRPr="00464838" w:rsidRDefault="006E2A4F" w:rsidP="006E2A4F">
            <w:pPr>
              <w:jc w:val="right"/>
              <w:rPr>
                <w:rFonts w:ascii="Arial" w:hAnsi="Arial" w:cs="Arial"/>
                <w:color w:val="000000"/>
                <w:lang w:val="en-CA"/>
              </w:rPr>
            </w:pPr>
            <w:r w:rsidRPr="00464838">
              <w:rPr>
                <w:rFonts w:ascii="Arial" w:hAnsi="Arial" w:cs="Arial"/>
                <w:color w:val="000000"/>
                <w:lang w:val="en-CA"/>
              </w:rPr>
              <w:t>99,230.00</w:t>
            </w:r>
          </w:p>
        </w:tc>
        <w:tc>
          <w:tcPr>
            <w:tcW w:w="1578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49637DE" w14:textId="77777777" w:rsidR="006E2A4F" w:rsidRPr="00464838" w:rsidRDefault="006E2A4F" w:rsidP="006E2A4F">
            <w:pPr>
              <w:jc w:val="right"/>
              <w:rPr>
                <w:rFonts w:ascii="Arial" w:hAnsi="Arial" w:cs="Arial"/>
                <w:color w:val="000000"/>
                <w:lang w:val="en-CA"/>
              </w:rPr>
            </w:pPr>
            <w:r w:rsidRPr="00464838">
              <w:rPr>
                <w:rFonts w:ascii="Arial" w:hAnsi="Arial" w:cs="Arial"/>
                <w:color w:val="000000"/>
                <w:lang w:val="en-CA"/>
              </w:rPr>
              <w:t>93,664.00</w:t>
            </w:r>
          </w:p>
        </w:tc>
        <w:tc>
          <w:tcPr>
            <w:tcW w:w="1578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1EA3F1A" w14:textId="77777777" w:rsidR="006E2A4F" w:rsidRPr="00464838" w:rsidRDefault="006E2A4F" w:rsidP="006E2A4F">
            <w:pPr>
              <w:jc w:val="right"/>
              <w:rPr>
                <w:rFonts w:ascii="Arial" w:hAnsi="Arial" w:cs="Arial"/>
                <w:color w:val="000000"/>
                <w:lang w:val="en-CA"/>
              </w:rPr>
            </w:pPr>
            <w:r w:rsidRPr="00464838">
              <w:rPr>
                <w:rFonts w:ascii="Arial" w:hAnsi="Arial" w:cs="Arial"/>
                <w:color w:val="000000"/>
                <w:lang w:val="en-CA"/>
              </w:rPr>
              <w:t>11,171.90</w:t>
            </w:r>
          </w:p>
        </w:tc>
        <w:tc>
          <w:tcPr>
            <w:tcW w:w="1578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283A13C" w14:textId="77777777" w:rsidR="006E2A4F" w:rsidRPr="00464838" w:rsidRDefault="006E2A4F" w:rsidP="006E2A4F">
            <w:pPr>
              <w:jc w:val="right"/>
              <w:rPr>
                <w:rFonts w:ascii="Arial" w:hAnsi="Arial" w:cs="Arial"/>
                <w:color w:val="000000"/>
                <w:lang w:val="en-CA"/>
              </w:rPr>
            </w:pPr>
            <w:r w:rsidRPr="00464838">
              <w:rPr>
                <w:rFonts w:ascii="Arial" w:hAnsi="Arial" w:cs="Arial"/>
                <w:color w:val="000000"/>
                <w:lang w:val="en-CA"/>
              </w:rPr>
              <w:t>11,171.90</w:t>
            </w:r>
          </w:p>
        </w:tc>
        <w:tc>
          <w:tcPr>
            <w:tcW w:w="1578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ECD5E01" w14:textId="77777777" w:rsidR="006E2A4F" w:rsidRPr="00464838" w:rsidRDefault="006E2A4F" w:rsidP="006E2A4F">
            <w:pPr>
              <w:jc w:val="right"/>
              <w:rPr>
                <w:rFonts w:ascii="Arial" w:hAnsi="Arial" w:cs="Arial"/>
                <w:color w:val="000000"/>
                <w:lang w:val="en-CA"/>
              </w:rPr>
            </w:pPr>
            <w:r w:rsidRPr="00464838">
              <w:rPr>
                <w:rFonts w:ascii="Arial" w:hAnsi="Arial" w:cs="Arial"/>
                <w:color w:val="000000"/>
                <w:lang w:val="en-CA"/>
              </w:rPr>
              <w:t>39,016.90</w:t>
            </w:r>
          </w:p>
        </w:tc>
      </w:tr>
      <w:tr w:rsidR="006E2A4F" w:rsidRPr="00464838" w14:paraId="1B9DBBBE" w14:textId="77777777" w:rsidTr="006E2A4F">
        <w:trPr>
          <w:trHeight w:val="288"/>
          <w:jc w:val="center"/>
        </w:trPr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49870C30" w14:textId="77777777" w:rsidR="006E2A4F" w:rsidRPr="00464838" w:rsidRDefault="006E2A4F" w:rsidP="006E2A4F">
            <w:pPr>
              <w:rPr>
                <w:rFonts w:ascii="Arial" w:hAnsi="Arial" w:cs="Arial"/>
                <w:color w:val="000000"/>
                <w:lang w:val="en-CA"/>
              </w:rPr>
            </w:pPr>
            <w:r w:rsidRPr="00464838">
              <w:rPr>
                <w:rFonts w:ascii="Arial" w:hAnsi="Arial" w:cs="Arial"/>
                <w:color w:val="000000"/>
                <w:lang w:val="en-CA"/>
              </w:rPr>
              <w:t>2016</w:t>
            </w:r>
            <w:r>
              <w:rPr>
                <w:rFonts w:ascii="Arial" w:hAnsi="Arial" w:cs="Arial"/>
                <w:color w:val="000000"/>
                <w:lang w:val="en-CA"/>
              </w:rPr>
              <w:t>/</w:t>
            </w:r>
            <w:r w:rsidRPr="00464838">
              <w:rPr>
                <w:rFonts w:ascii="Arial" w:hAnsi="Arial" w:cs="Arial"/>
                <w:color w:val="000000"/>
                <w:lang w:val="en-CA"/>
              </w:rPr>
              <w:t>17</w:t>
            </w:r>
          </w:p>
        </w:tc>
        <w:tc>
          <w:tcPr>
            <w:tcW w:w="1578" w:type="dxa"/>
            <w:shd w:val="clear" w:color="auto" w:fill="auto"/>
            <w:noWrap/>
            <w:vAlign w:val="center"/>
            <w:hideMark/>
          </w:tcPr>
          <w:p w14:paraId="5CEB6421" w14:textId="77777777" w:rsidR="006E2A4F" w:rsidRPr="00464838" w:rsidRDefault="006E2A4F" w:rsidP="006E2A4F">
            <w:pPr>
              <w:jc w:val="right"/>
              <w:rPr>
                <w:rFonts w:ascii="Arial" w:hAnsi="Arial" w:cs="Arial"/>
                <w:color w:val="000000"/>
                <w:lang w:val="en-CA"/>
              </w:rPr>
            </w:pPr>
            <w:r w:rsidRPr="00464838">
              <w:rPr>
                <w:rFonts w:ascii="Arial" w:hAnsi="Arial" w:cs="Arial"/>
                <w:color w:val="000000"/>
                <w:lang w:val="en-CA"/>
              </w:rPr>
              <w:t>106,154.00</w:t>
            </w:r>
          </w:p>
        </w:tc>
        <w:tc>
          <w:tcPr>
            <w:tcW w:w="1578" w:type="dxa"/>
            <w:shd w:val="clear" w:color="auto" w:fill="auto"/>
            <w:noWrap/>
            <w:vAlign w:val="center"/>
            <w:hideMark/>
          </w:tcPr>
          <w:p w14:paraId="4D6D25E5" w14:textId="77777777" w:rsidR="006E2A4F" w:rsidRPr="00464838" w:rsidRDefault="006E2A4F" w:rsidP="006E2A4F">
            <w:pPr>
              <w:jc w:val="right"/>
              <w:rPr>
                <w:rFonts w:ascii="Arial" w:hAnsi="Arial" w:cs="Arial"/>
                <w:color w:val="000000"/>
                <w:lang w:val="en-CA"/>
              </w:rPr>
            </w:pPr>
            <w:r w:rsidRPr="00464838">
              <w:rPr>
                <w:rFonts w:ascii="Arial" w:hAnsi="Arial" w:cs="Arial"/>
                <w:color w:val="000000"/>
                <w:lang w:val="en-CA"/>
              </w:rPr>
              <w:t>99,000.00</w:t>
            </w:r>
          </w:p>
        </w:tc>
        <w:tc>
          <w:tcPr>
            <w:tcW w:w="1578" w:type="dxa"/>
            <w:shd w:val="clear" w:color="auto" w:fill="auto"/>
            <w:noWrap/>
            <w:vAlign w:val="center"/>
            <w:hideMark/>
          </w:tcPr>
          <w:p w14:paraId="6F53AF36" w14:textId="77777777" w:rsidR="006E2A4F" w:rsidRPr="00464838" w:rsidRDefault="006E2A4F" w:rsidP="006E2A4F">
            <w:pPr>
              <w:jc w:val="right"/>
              <w:rPr>
                <w:rFonts w:ascii="Arial" w:hAnsi="Arial" w:cs="Arial"/>
                <w:color w:val="000000"/>
                <w:lang w:val="en-CA"/>
              </w:rPr>
            </w:pPr>
            <w:r w:rsidRPr="00464838">
              <w:rPr>
                <w:rFonts w:ascii="Arial" w:hAnsi="Arial" w:cs="Arial"/>
                <w:color w:val="000000"/>
                <w:lang w:val="en-CA"/>
              </w:rPr>
              <w:t>9,250.00</w:t>
            </w:r>
          </w:p>
        </w:tc>
        <w:tc>
          <w:tcPr>
            <w:tcW w:w="1578" w:type="dxa"/>
            <w:shd w:val="clear" w:color="auto" w:fill="auto"/>
            <w:noWrap/>
            <w:vAlign w:val="center"/>
            <w:hideMark/>
          </w:tcPr>
          <w:p w14:paraId="78758F78" w14:textId="77777777" w:rsidR="006E2A4F" w:rsidRPr="00464838" w:rsidRDefault="006E2A4F" w:rsidP="006E2A4F">
            <w:pPr>
              <w:jc w:val="right"/>
              <w:rPr>
                <w:rFonts w:ascii="Arial" w:hAnsi="Arial" w:cs="Arial"/>
                <w:color w:val="000000"/>
                <w:lang w:val="en-CA"/>
              </w:rPr>
            </w:pPr>
            <w:r w:rsidRPr="00464838">
              <w:rPr>
                <w:rFonts w:ascii="Arial" w:hAnsi="Arial" w:cs="Arial"/>
                <w:color w:val="000000"/>
                <w:lang w:val="en-CA"/>
              </w:rPr>
              <w:t>9,250.00</w:t>
            </w:r>
          </w:p>
        </w:tc>
        <w:tc>
          <w:tcPr>
            <w:tcW w:w="1578" w:type="dxa"/>
            <w:shd w:val="clear" w:color="auto" w:fill="auto"/>
            <w:noWrap/>
            <w:vAlign w:val="center"/>
            <w:hideMark/>
          </w:tcPr>
          <w:p w14:paraId="510DDB2A" w14:textId="77777777" w:rsidR="006E2A4F" w:rsidRPr="00464838" w:rsidRDefault="006E2A4F" w:rsidP="006E2A4F">
            <w:pPr>
              <w:jc w:val="right"/>
              <w:rPr>
                <w:rFonts w:ascii="Arial" w:hAnsi="Arial" w:cs="Arial"/>
                <w:color w:val="000000"/>
                <w:lang w:val="en-CA"/>
              </w:rPr>
            </w:pPr>
            <w:r w:rsidRPr="00464838">
              <w:rPr>
                <w:rFonts w:ascii="Arial" w:hAnsi="Arial" w:cs="Arial"/>
                <w:color w:val="000000"/>
                <w:lang w:val="en-CA"/>
              </w:rPr>
              <w:t>40,575.00</w:t>
            </w:r>
          </w:p>
        </w:tc>
      </w:tr>
      <w:tr w:rsidR="006E2A4F" w:rsidRPr="00464838" w14:paraId="41A508E9" w14:textId="77777777" w:rsidTr="006E2A4F">
        <w:trPr>
          <w:trHeight w:val="288"/>
          <w:jc w:val="center"/>
        </w:trPr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0D382791" w14:textId="77777777" w:rsidR="006E2A4F" w:rsidRPr="00464838" w:rsidRDefault="006E2A4F" w:rsidP="006E2A4F">
            <w:pPr>
              <w:rPr>
                <w:rFonts w:ascii="Arial" w:hAnsi="Arial" w:cs="Arial"/>
                <w:color w:val="000000"/>
                <w:lang w:val="en-CA"/>
              </w:rPr>
            </w:pPr>
            <w:r w:rsidRPr="00464838">
              <w:rPr>
                <w:rFonts w:ascii="Arial" w:hAnsi="Arial" w:cs="Arial"/>
                <w:color w:val="000000"/>
                <w:lang w:val="en-CA"/>
              </w:rPr>
              <w:t>2017</w:t>
            </w:r>
            <w:r>
              <w:rPr>
                <w:rFonts w:ascii="Arial" w:hAnsi="Arial" w:cs="Arial"/>
                <w:color w:val="000000"/>
                <w:lang w:val="en-CA"/>
              </w:rPr>
              <w:t>/</w:t>
            </w:r>
            <w:r w:rsidRPr="00464838">
              <w:rPr>
                <w:rFonts w:ascii="Arial" w:hAnsi="Arial" w:cs="Arial"/>
                <w:color w:val="000000"/>
                <w:lang w:val="en-CA"/>
              </w:rPr>
              <w:t>18</w:t>
            </w:r>
          </w:p>
        </w:tc>
        <w:tc>
          <w:tcPr>
            <w:tcW w:w="1578" w:type="dxa"/>
            <w:shd w:val="clear" w:color="auto" w:fill="auto"/>
            <w:noWrap/>
            <w:vAlign w:val="center"/>
            <w:hideMark/>
          </w:tcPr>
          <w:p w14:paraId="3E529A5A" w14:textId="77777777" w:rsidR="006E2A4F" w:rsidRPr="00464838" w:rsidRDefault="006E2A4F" w:rsidP="006E2A4F">
            <w:pPr>
              <w:jc w:val="right"/>
              <w:rPr>
                <w:rFonts w:ascii="Arial" w:hAnsi="Arial" w:cs="Arial"/>
                <w:color w:val="000000"/>
                <w:lang w:val="en-CA"/>
              </w:rPr>
            </w:pPr>
            <w:r w:rsidRPr="00464838">
              <w:rPr>
                <w:rFonts w:ascii="Arial" w:hAnsi="Arial" w:cs="Arial"/>
                <w:color w:val="000000"/>
                <w:lang w:val="en-CA"/>
              </w:rPr>
              <w:t>113,725.00</w:t>
            </w:r>
          </w:p>
        </w:tc>
        <w:tc>
          <w:tcPr>
            <w:tcW w:w="1578" w:type="dxa"/>
            <w:shd w:val="clear" w:color="auto" w:fill="auto"/>
            <w:noWrap/>
            <w:vAlign w:val="center"/>
            <w:hideMark/>
          </w:tcPr>
          <w:p w14:paraId="01F83CC6" w14:textId="77777777" w:rsidR="006E2A4F" w:rsidRPr="00464838" w:rsidRDefault="006E2A4F" w:rsidP="006E2A4F">
            <w:pPr>
              <w:jc w:val="right"/>
              <w:rPr>
                <w:rFonts w:ascii="Arial" w:hAnsi="Arial" w:cs="Arial"/>
                <w:color w:val="000000"/>
                <w:lang w:val="en-CA"/>
              </w:rPr>
            </w:pPr>
            <w:r w:rsidRPr="00464838">
              <w:rPr>
                <w:rFonts w:ascii="Arial" w:hAnsi="Arial" w:cs="Arial"/>
                <w:color w:val="000000"/>
                <w:lang w:val="en-CA"/>
              </w:rPr>
              <w:t>106,400.00</w:t>
            </w:r>
          </w:p>
        </w:tc>
        <w:tc>
          <w:tcPr>
            <w:tcW w:w="1578" w:type="dxa"/>
            <w:shd w:val="clear" w:color="auto" w:fill="auto"/>
            <w:noWrap/>
            <w:vAlign w:val="center"/>
            <w:hideMark/>
          </w:tcPr>
          <w:p w14:paraId="2B4035BF" w14:textId="77777777" w:rsidR="006E2A4F" w:rsidRPr="00464838" w:rsidRDefault="006E2A4F" w:rsidP="006E2A4F">
            <w:pPr>
              <w:jc w:val="right"/>
              <w:rPr>
                <w:rFonts w:ascii="Arial" w:hAnsi="Arial" w:cs="Arial"/>
                <w:color w:val="000000"/>
                <w:lang w:val="en-CA"/>
              </w:rPr>
            </w:pPr>
            <w:r w:rsidRPr="00464838">
              <w:rPr>
                <w:rFonts w:ascii="Arial" w:hAnsi="Arial" w:cs="Arial"/>
                <w:color w:val="000000"/>
                <w:lang w:val="en-CA"/>
              </w:rPr>
              <w:t>8,450.00</w:t>
            </w:r>
          </w:p>
        </w:tc>
        <w:tc>
          <w:tcPr>
            <w:tcW w:w="1578" w:type="dxa"/>
            <w:shd w:val="clear" w:color="auto" w:fill="auto"/>
            <w:noWrap/>
            <w:vAlign w:val="center"/>
            <w:hideMark/>
          </w:tcPr>
          <w:p w14:paraId="595AB49B" w14:textId="77777777" w:rsidR="006E2A4F" w:rsidRPr="00464838" w:rsidRDefault="006E2A4F" w:rsidP="006E2A4F">
            <w:pPr>
              <w:jc w:val="right"/>
              <w:rPr>
                <w:rFonts w:ascii="Arial" w:hAnsi="Arial" w:cs="Arial"/>
                <w:color w:val="000000"/>
                <w:lang w:val="en-CA"/>
              </w:rPr>
            </w:pPr>
            <w:r w:rsidRPr="00464838">
              <w:rPr>
                <w:rFonts w:ascii="Arial" w:hAnsi="Arial" w:cs="Arial"/>
                <w:color w:val="000000"/>
                <w:lang w:val="en-CA"/>
              </w:rPr>
              <w:t>8,450.00</w:t>
            </w:r>
          </w:p>
        </w:tc>
        <w:tc>
          <w:tcPr>
            <w:tcW w:w="1578" w:type="dxa"/>
            <w:shd w:val="clear" w:color="auto" w:fill="auto"/>
            <w:noWrap/>
            <w:vAlign w:val="center"/>
            <w:hideMark/>
          </w:tcPr>
          <w:p w14:paraId="07CF9573" w14:textId="77777777" w:rsidR="006E2A4F" w:rsidRPr="00464838" w:rsidRDefault="006E2A4F" w:rsidP="006E2A4F">
            <w:pPr>
              <w:jc w:val="right"/>
              <w:rPr>
                <w:rFonts w:ascii="Arial" w:hAnsi="Arial" w:cs="Arial"/>
                <w:color w:val="000000"/>
                <w:lang w:val="en-CA"/>
              </w:rPr>
            </w:pPr>
            <w:r w:rsidRPr="00464838">
              <w:rPr>
                <w:rFonts w:ascii="Arial" w:hAnsi="Arial" w:cs="Arial"/>
                <w:color w:val="000000"/>
                <w:lang w:val="en-CA"/>
              </w:rPr>
              <w:t>43,250.00</w:t>
            </w:r>
          </w:p>
        </w:tc>
      </w:tr>
      <w:tr w:rsidR="006E2A4F" w:rsidRPr="00464838" w14:paraId="03EB86D9" w14:textId="77777777" w:rsidTr="006E2A4F">
        <w:trPr>
          <w:trHeight w:val="288"/>
          <w:jc w:val="center"/>
        </w:trPr>
        <w:tc>
          <w:tcPr>
            <w:tcW w:w="1470" w:type="dxa"/>
            <w:shd w:val="clear" w:color="auto" w:fill="auto"/>
            <w:noWrap/>
            <w:vAlign w:val="center"/>
            <w:hideMark/>
          </w:tcPr>
          <w:p w14:paraId="7353ABF5" w14:textId="77777777" w:rsidR="006E2A4F" w:rsidRPr="00464838" w:rsidRDefault="006E2A4F" w:rsidP="006E2A4F">
            <w:pPr>
              <w:rPr>
                <w:rFonts w:ascii="Arial" w:hAnsi="Arial" w:cs="Arial"/>
                <w:color w:val="000000"/>
                <w:lang w:val="en-CA"/>
              </w:rPr>
            </w:pPr>
            <w:r w:rsidRPr="00464838">
              <w:rPr>
                <w:rFonts w:ascii="Arial" w:hAnsi="Arial" w:cs="Arial"/>
                <w:color w:val="000000"/>
                <w:lang w:val="en-CA"/>
              </w:rPr>
              <w:t>2018</w:t>
            </w:r>
            <w:r>
              <w:rPr>
                <w:rFonts w:ascii="Arial" w:hAnsi="Arial" w:cs="Arial"/>
                <w:color w:val="000000"/>
                <w:lang w:val="en-CA"/>
              </w:rPr>
              <w:t>/</w:t>
            </w:r>
            <w:r w:rsidRPr="00464838">
              <w:rPr>
                <w:rFonts w:ascii="Arial" w:hAnsi="Arial" w:cs="Arial"/>
                <w:color w:val="000000"/>
                <w:lang w:val="en-CA"/>
              </w:rPr>
              <w:t>19</w:t>
            </w:r>
          </w:p>
        </w:tc>
        <w:tc>
          <w:tcPr>
            <w:tcW w:w="1578" w:type="dxa"/>
            <w:shd w:val="clear" w:color="auto" w:fill="auto"/>
            <w:noWrap/>
            <w:vAlign w:val="center"/>
            <w:hideMark/>
          </w:tcPr>
          <w:p w14:paraId="6BF8C39F" w14:textId="77777777" w:rsidR="006E2A4F" w:rsidRPr="00464838" w:rsidRDefault="006E2A4F" w:rsidP="006E2A4F">
            <w:pPr>
              <w:jc w:val="right"/>
              <w:rPr>
                <w:rFonts w:ascii="Arial" w:hAnsi="Arial" w:cs="Arial"/>
                <w:color w:val="000000"/>
                <w:lang w:val="en-CA"/>
              </w:rPr>
            </w:pPr>
            <w:r w:rsidRPr="00464838">
              <w:rPr>
                <w:rFonts w:ascii="Arial" w:hAnsi="Arial" w:cs="Arial"/>
                <w:color w:val="000000"/>
                <w:lang w:val="en-CA"/>
              </w:rPr>
              <w:t>122,850.00</w:t>
            </w:r>
          </w:p>
        </w:tc>
        <w:tc>
          <w:tcPr>
            <w:tcW w:w="1578" w:type="dxa"/>
            <w:shd w:val="clear" w:color="auto" w:fill="auto"/>
            <w:noWrap/>
            <w:vAlign w:val="center"/>
            <w:hideMark/>
          </w:tcPr>
          <w:p w14:paraId="4175A113" w14:textId="77777777" w:rsidR="006E2A4F" w:rsidRPr="00464838" w:rsidRDefault="006E2A4F" w:rsidP="006E2A4F">
            <w:pPr>
              <w:jc w:val="right"/>
              <w:rPr>
                <w:rFonts w:ascii="Arial" w:hAnsi="Arial" w:cs="Arial"/>
                <w:color w:val="000000"/>
                <w:lang w:val="en-CA"/>
              </w:rPr>
            </w:pPr>
            <w:r w:rsidRPr="00464838">
              <w:rPr>
                <w:rFonts w:ascii="Arial" w:hAnsi="Arial" w:cs="Arial"/>
                <w:color w:val="000000"/>
                <w:lang w:val="en-CA"/>
              </w:rPr>
              <w:t>114,700.00</w:t>
            </w:r>
          </w:p>
        </w:tc>
        <w:tc>
          <w:tcPr>
            <w:tcW w:w="1578" w:type="dxa"/>
            <w:shd w:val="clear" w:color="auto" w:fill="auto"/>
            <w:noWrap/>
            <w:vAlign w:val="center"/>
            <w:hideMark/>
          </w:tcPr>
          <w:p w14:paraId="58B1288C" w14:textId="77777777" w:rsidR="006E2A4F" w:rsidRPr="00464838" w:rsidRDefault="006E2A4F" w:rsidP="006E2A4F">
            <w:pPr>
              <w:jc w:val="right"/>
              <w:rPr>
                <w:rFonts w:ascii="Arial" w:hAnsi="Arial" w:cs="Arial"/>
                <w:color w:val="000000"/>
                <w:lang w:val="en-CA"/>
              </w:rPr>
            </w:pPr>
            <w:r w:rsidRPr="00464838">
              <w:rPr>
                <w:rFonts w:ascii="Arial" w:hAnsi="Arial" w:cs="Arial"/>
                <w:color w:val="000000"/>
                <w:lang w:val="en-CA"/>
              </w:rPr>
              <w:t>8,560.00</w:t>
            </w:r>
          </w:p>
        </w:tc>
        <w:tc>
          <w:tcPr>
            <w:tcW w:w="1578" w:type="dxa"/>
            <w:shd w:val="clear" w:color="auto" w:fill="auto"/>
            <w:noWrap/>
            <w:vAlign w:val="center"/>
            <w:hideMark/>
          </w:tcPr>
          <w:p w14:paraId="1F6D6A1D" w14:textId="77777777" w:rsidR="006E2A4F" w:rsidRPr="00464838" w:rsidRDefault="006E2A4F" w:rsidP="006E2A4F">
            <w:pPr>
              <w:jc w:val="right"/>
              <w:rPr>
                <w:rFonts w:ascii="Arial" w:hAnsi="Arial" w:cs="Arial"/>
                <w:color w:val="000000"/>
                <w:lang w:val="en-CA"/>
              </w:rPr>
            </w:pPr>
            <w:r w:rsidRPr="00464838">
              <w:rPr>
                <w:rFonts w:ascii="Arial" w:hAnsi="Arial" w:cs="Arial"/>
                <w:color w:val="000000"/>
                <w:lang w:val="en-CA"/>
              </w:rPr>
              <w:t>8,560.00</w:t>
            </w:r>
          </w:p>
        </w:tc>
        <w:tc>
          <w:tcPr>
            <w:tcW w:w="1578" w:type="dxa"/>
            <w:shd w:val="clear" w:color="auto" w:fill="auto"/>
            <w:noWrap/>
            <w:vAlign w:val="center"/>
            <w:hideMark/>
          </w:tcPr>
          <w:p w14:paraId="438C998D" w14:textId="77777777" w:rsidR="006E2A4F" w:rsidRPr="00464838" w:rsidRDefault="006E2A4F" w:rsidP="006E2A4F">
            <w:pPr>
              <w:jc w:val="right"/>
              <w:rPr>
                <w:rFonts w:ascii="Arial" w:hAnsi="Arial" w:cs="Arial"/>
                <w:color w:val="000000"/>
                <w:lang w:val="en-CA"/>
              </w:rPr>
            </w:pPr>
            <w:r w:rsidRPr="00464838">
              <w:rPr>
                <w:rFonts w:ascii="Arial" w:hAnsi="Arial" w:cs="Arial"/>
                <w:color w:val="000000"/>
                <w:lang w:val="en-CA"/>
              </w:rPr>
              <w:t>45,250.00</w:t>
            </w:r>
          </w:p>
        </w:tc>
      </w:tr>
      <w:tr w:rsidR="006E2A4F" w:rsidRPr="00464838" w14:paraId="6532B90C" w14:textId="77777777" w:rsidTr="006E2A4F">
        <w:trPr>
          <w:trHeight w:val="288"/>
          <w:jc w:val="center"/>
        </w:trPr>
        <w:tc>
          <w:tcPr>
            <w:tcW w:w="14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0F763" w14:textId="77777777" w:rsidR="006E2A4F" w:rsidRPr="00464838" w:rsidRDefault="006E2A4F" w:rsidP="006E2A4F">
            <w:pPr>
              <w:rPr>
                <w:rFonts w:ascii="Arial" w:hAnsi="Arial" w:cs="Arial"/>
                <w:color w:val="000000"/>
                <w:lang w:val="en-CA"/>
              </w:rPr>
            </w:pPr>
            <w:r w:rsidRPr="00464838">
              <w:rPr>
                <w:rFonts w:ascii="Arial" w:hAnsi="Arial" w:cs="Arial"/>
                <w:color w:val="000000"/>
                <w:lang w:val="en-CA"/>
              </w:rPr>
              <w:t>2019</w:t>
            </w:r>
            <w:r>
              <w:rPr>
                <w:rFonts w:ascii="Arial" w:hAnsi="Arial" w:cs="Arial"/>
                <w:color w:val="000000"/>
                <w:lang w:val="en-CA"/>
              </w:rPr>
              <w:t>/</w:t>
            </w:r>
            <w:r w:rsidRPr="00464838">
              <w:rPr>
                <w:rFonts w:ascii="Arial" w:hAnsi="Arial" w:cs="Arial"/>
                <w:color w:val="000000"/>
                <w:lang w:val="en-CA"/>
              </w:rPr>
              <w:t>20</w:t>
            </w:r>
          </w:p>
        </w:tc>
        <w:tc>
          <w:tcPr>
            <w:tcW w:w="157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F98E3" w14:textId="77777777" w:rsidR="006E2A4F" w:rsidRPr="00464838" w:rsidRDefault="006E2A4F" w:rsidP="006E2A4F">
            <w:pPr>
              <w:jc w:val="right"/>
              <w:rPr>
                <w:rFonts w:ascii="Arial" w:hAnsi="Arial" w:cs="Arial"/>
                <w:color w:val="000000"/>
                <w:lang w:val="en-CA"/>
              </w:rPr>
            </w:pPr>
            <w:r w:rsidRPr="00464838">
              <w:rPr>
                <w:rFonts w:ascii="Arial" w:hAnsi="Arial" w:cs="Arial"/>
                <w:color w:val="000000"/>
                <w:lang w:val="en-CA"/>
              </w:rPr>
              <w:t>132,800.00</w:t>
            </w:r>
          </w:p>
        </w:tc>
        <w:tc>
          <w:tcPr>
            <w:tcW w:w="157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902F9" w14:textId="77777777" w:rsidR="006E2A4F" w:rsidRPr="00464838" w:rsidRDefault="006E2A4F" w:rsidP="006E2A4F">
            <w:pPr>
              <w:jc w:val="right"/>
              <w:rPr>
                <w:rFonts w:ascii="Arial" w:hAnsi="Arial" w:cs="Arial"/>
                <w:color w:val="000000"/>
                <w:lang w:val="en-CA"/>
              </w:rPr>
            </w:pPr>
            <w:r w:rsidRPr="00464838">
              <w:rPr>
                <w:rFonts w:ascii="Arial" w:hAnsi="Arial" w:cs="Arial"/>
                <w:color w:val="000000"/>
                <w:lang w:val="en-CA"/>
              </w:rPr>
              <w:t>124,600.00</w:t>
            </w:r>
          </w:p>
        </w:tc>
        <w:tc>
          <w:tcPr>
            <w:tcW w:w="157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3E15F" w14:textId="77777777" w:rsidR="006E2A4F" w:rsidRPr="00464838" w:rsidRDefault="006E2A4F" w:rsidP="006E2A4F">
            <w:pPr>
              <w:jc w:val="right"/>
              <w:rPr>
                <w:rFonts w:ascii="Arial" w:hAnsi="Arial" w:cs="Arial"/>
                <w:color w:val="000000"/>
                <w:lang w:val="en-CA"/>
              </w:rPr>
            </w:pPr>
            <w:r w:rsidRPr="00464838">
              <w:rPr>
                <w:rFonts w:ascii="Arial" w:hAnsi="Arial" w:cs="Arial"/>
                <w:color w:val="000000"/>
                <w:lang w:val="en-CA"/>
              </w:rPr>
              <w:t>8,725.00</w:t>
            </w:r>
          </w:p>
        </w:tc>
        <w:tc>
          <w:tcPr>
            <w:tcW w:w="157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9EE54" w14:textId="77777777" w:rsidR="006E2A4F" w:rsidRPr="00464838" w:rsidRDefault="006E2A4F" w:rsidP="006E2A4F">
            <w:pPr>
              <w:jc w:val="right"/>
              <w:rPr>
                <w:rFonts w:ascii="Arial" w:hAnsi="Arial" w:cs="Arial"/>
                <w:color w:val="000000"/>
                <w:lang w:val="en-CA"/>
              </w:rPr>
            </w:pPr>
            <w:r w:rsidRPr="00464838">
              <w:rPr>
                <w:rFonts w:ascii="Arial" w:hAnsi="Arial" w:cs="Arial"/>
                <w:color w:val="000000"/>
                <w:lang w:val="en-CA"/>
              </w:rPr>
              <w:t>8,725.00</w:t>
            </w:r>
          </w:p>
        </w:tc>
        <w:tc>
          <w:tcPr>
            <w:tcW w:w="157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8C6E2" w14:textId="77777777" w:rsidR="006E2A4F" w:rsidRPr="00464838" w:rsidRDefault="006E2A4F" w:rsidP="006E2A4F">
            <w:pPr>
              <w:jc w:val="right"/>
              <w:rPr>
                <w:rFonts w:ascii="Arial" w:hAnsi="Arial" w:cs="Arial"/>
                <w:color w:val="000000"/>
                <w:lang w:val="en-CA"/>
              </w:rPr>
            </w:pPr>
            <w:r w:rsidRPr="00464838">
              <w:rPr>
                <w:rFonts w:ascii="Arial" w:hAnsi="Arial" w:cs="Arial"/>
                <w:color w:val="000000"/>
                <w:lang w:val="en-CA"/>
              </w:rPr>
              <w:t>47,250.00</w:t>
            </w:r>
          </w:p>
        </w:tc>
      </w:tr>
    </w:tbl>
    <w:p w14:paraId="65F1DF3E" w14:textId="77777777" w:rsidR="006E2A4F" w:rsidRPr="00464838" w:rsidRDefault="006E2A4F" w:rsidP="006E2A4F">
      <w:pPr>
        <w:pStyle w:val="BodyTextMain"/>
      </w:pPr>
    </w:p>
    <w:p w14:paraId="0B0E3E38" w14:textId="77777777" w:rsidR="006E2A4F" w:rsidRDefault="006E2A4F" w:rsidP="006E2A4F">
      <w:pPr>
        <w:pStyle w:val="Footnote"/>
      </w:pPr>
      <w:r w:rsidRPr="00464838">
        <w:t>Source:</w:t>
      </w:r>
      <w:r>
        <w:t xml:space="preserve"> “</w:t>
      </w:r>
      <w:r w:rsidRPr="00D85ACC">
        <w:t>Steel Data</w:t>
      </w:r>
      <w:r>
        <w:t xml:space="preserve">: </w:t>
      </w:r>
      <w:r w:rsidRPr="00D85ACC">
        <w:t>Production, Imports, Exports, Consumption and Prices of Finished Steel,” CMIE Industry Outlook, accessed March 24, 2016</w:t>
      </w:r>
      <w:r>
        <w:t>.</w:t>
      </w:r>
    </w:p>
    <w:p w14:paraId="4D2389E4" w14:textId="77777777" w:rsidR="007D552B" w:rsidRPr="00DD0DB7" w:rsidRDefault="007D552B" w:rsidP="002726D0">
      <w:pPr>
        <w:pStyle w:val="ExhibitText"/>
      </w:pPr>
    </w:p>
    <w:p w14:paraId="3203FC52" w14:textId="77777777" w:rsidR="006E2A4F" w:rsidRDefault="006E2A4F" w:rsidP="002726D0">
      <w:pPr>
        <w:pStyle w:val="ExhibitText"/>
        <w:rPr>
          <w:lang w:val="en-CA"/>
        </w:rPr>
      </w:pPr>
    </w:p>
    <w:p w14:paraId="5DF398B3" w14:textId="77777777" w:rsidR="006E2A4F" w:rsidRDefault="006E2A4F" w:rsidP="002726D0">
      <w:pPr>
        <w:pStyle w:val="ExhibitText"/>
        <w:rPr>
          <w:lang w:val="en-CA"/>
        </w:rPr>
      </w:pPr>
    </w:p>
    <w:p w14:paraId="6535ECBB" w14:textId="77777777" w:rsidR="006E2A4F" w:rsidRDefault="006E2A4F" w:rsidP="002726D0">
      <w:pPr>
        <w:pStyle w:val="ExhibitText"/>
        <w:rPr>
          <w:lang w:val="en-CA"/>
        </w:rPr>
      </w:pPr>
    </w:p>
    <w:p w14:paraId="0848468D" w14:textId="77777777" w:rsidR="006E2A4F" w:rsidRDefault="006E2A4F" w:rsidP="002726D0">
      <w:pPr>
        <w:pStyle w:val="ExhibitText"/>
        <w:rPr>
          <w:lang w:val="en-CA"/>
        </w:rPr>
      </w:pPr>
    </w:p>
    <w:p w14:paraId="57C73642" w14:textId="77777777" w:rsidR="006E2A4F" w:rsidRDefault="006E2A4F" w:rsidP="002726D0">
      <w:pPr>
        <w:pStyle w:val="ExhibitText"/>
        <w:rPr>
          <w:lang w:val="en-CA"/>
        </w:rPr>
      </w:pPr>
    </w:p>
    <w:p w14:paraId="60C7BCBD" w14:textId="77777777" w:rsidR="006E2A4F" w:rsidRDefault="006E2A4F" w:rsidP="002726D0">
      <w:pPr>
        <w:pStyle w:val="ExhibitText"/>
        <w:rPr>
          <w:lang w:val="en-CA"/>
        </w:rPr>
      </w:pPr>
    </w:p>
    <w:p w14:paraId="1DF65EC1" w14:textId="35713CF8" w:rsidR="00B6530D" w:rsidRDefault="00B6530D" w:rsidP="008C2FD6">
      <w:pPr>
        <w:pStyle w:val="ExhibitHeading"/>
        <w:outlineLvl w:val="0"/>
      </w:pPr>
      <w:r w:rsidRPr="00231E55">
        <w:rPr>
          <w:lang w:val="en-CA"/>
        </w:rPr>
        <w:lastRenderedPageBreak/>
        <w:t>Exhibit</w:t>
      </w:r>
      <w:r>
        <w:rPr>
          <w:lang w:val="en-CA"/>
        </w:rPr>
        <w:t xml:space="preserve"> </w:t>
      </w:r>
      <w:r w:rsidR="006E2A4F">
        <w:rPr>
          <w:lang w:val="en-CA"/>
        </w:rPr>
        <w:t>5</w:t>
      </w:r>
      <w:r w:rsidRPr="00231E55">
        <w:rPr>
          <w:lang w:val="en-CA"/>
        </w:rPr>
        <w:t xml:space="preserve">: Summary of </w:t>
      </w:r>
      <w:r w:rsidR="00E82BF0">
        <w:rPr>
          <w:lang w:val="en-CA"/>
        </w:rPr>
        <w:t>JBS</w:t>
      </w:r>
      <w:r>
        <w:rPr>
          <w:lang w:val="en-CA"/>
        </w:rPr>
        <w:t xml:space="preserve"> </w:t>
      </w:r>
      <w:r w:rsidRPr="00231E55">
        <w:rPr>
          <w:lang w:val="en-CA"/>
        </w:rPr>
        <w:t xml:space="preserve">Income </w:t>
      </w:r>
      <w:r w:rsidRPr="00464838">
        <w:t>Statements</w:t>
      </w:r>
      <w:r>
        <w:t>,</w:t>
      </w:r>
      <w:r w:rsidRPr="00464838">
        <w:t xml:space="preserve"> 2010</w:t>
      </w:r>
      <w:r w:rsidR="00FB246D">
        <w:t>–</w:t>
      </w:r>
      <w:r w:rsidRPr="00464838">
        <w:t xml:space="preserve">2015 (in </w:t>
      </w:r>
      <w:r w:rsidR="00FB246D">
        <w:t xml:space="preserve">₹ </w:t>
      </w:r>
      <w:r w:rsidRPr="00464838">
        <w:t>millions)</w:t>
      </w:r>
    </w:p>
    <w:p w14:paraId="0F9DD51A" w14:textId="77777777" w:rsidR="00B6530D" w:rsidRPr="00231E55" w:rsidRDefault="00B6530D" w:rsidP="00B6530D">
      <w:pPr>
        <w:pStyle w:val="BodyTextMain"/>
        <w:rPr>
          <w:lang w:val="en-CA"/>
        </w:rPr>
      </w:pP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787"/>
        <w:gridCol w:w="1314"/>
        <w:gridCol w:w="1315"/>
        <w:gridCol w:w="1314"/>
        <w:gridCol w:w="1315"/>
        <w:gridCol w:w="1315"/>
      </w:tblGrid>
      <w:tr w:rsidR="00B6530D" w:rsidRPr="00464838" w14:paraId="7FBF9B16" w14:textId="77777777" w:rsidTr="002726D0">
        <w:trPr>
          <w:trHeight w:val="288"/>
          <w:jc w:val="center"/>
        </w:trPr>
        <w:tc>
          <w:tcPr>
            <w:tcW w:w="278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350508C2" w14:textId="7564A981" w:rsidR="00B6530D" w:rsidRPr="00464838" w:rsidRDefault="006845A9" w:rsidP="002726D0">
            <w:pPr>
              <w:jc w:val="right"/>
              <w:rPr>
                <w:rFonts w:ascii="Arial" w:hAnsi="Arial" w:cs="Arial"/>
                <w:b/>
                <w:bCs/>
                <w:lang w:val="en-CA"/>
              </w:rPr>
            </w:pPr>
            <w:r>
              <w:rPr>
                <w:rFonts w:ascii="Arial" w:hAnsi="Arial" w:cs="Arial"/>
                <w:b/>
                <w:bCs/>
                <w:lang w:val="en-CA"/>
              </w:rPr>
              <w:t>Fiscal Year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1D2DCACD" w14:textId="52C7778D" w:rsidR="00B6530D" w:rsidRPr="00464838" w:rsidRDefault="00B6530D" w:rsidP="002726D0">
            <w:pPr>
              <w:jc w:val="right"/>
              <w:rPr>
                <w:rFonts w:ascii="Arial" w:hAnsi="Arial" w:cs="Arial"/>
                <w:b/>
                <w:bCs/>
                <w:lang w:val="en-CA"/>
              </w:rPr>
            </w:pPr>
            <w:r w:rsidRPr="00464838">
              <w:rPr>
                <w:rFonts w:ascii="Arial" w:hAnsi="Arial" w:cs="Arial"/>
                <w:b/>
                <w:bCs/>
                <w:lang w:val="en-CA"/>
              </w:rPr>
              <w:t>2010</w:t>
            </w:r>
            <w:r w:rsidR="006845A9">
              <w:rPr>
                <w:rFonts w:ascii="Arial" w:hAnsi="Arial" w:cs="Arial"/>
                <w:b/>
                <w:bCs/>
                <w:lang w:val="en-CA"/>
              </w:rPr>
              <w:t>/</w:t>
            </w:r>
            <w:r w:rsidRPr="00464838">
              <w:rPr>
                <w:rFonts w:ascii="Arial" w:hAnsi="Arial" w:cs="Arial"/>
                <w:b/>
                <w:bCs/>
                <w:lang w:val="en-CA"/>
              </w:rPr>
              <w:t>11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00C9E987" w14:textId="0BEFF7B0" w:rsidR="00B6530D" w:rsidRPr="00464838" w:rsidRDefault="00B6530D" w:rsidP="002726D0">
            <w:pPr>
              <w:jc w:val="right"/>
              <w:rPr>
                <w:rFonts w:ascii="Arial" w:hAnsi="Arial" w:cs="Arial"/>
                <w:b/>
                <w:bCs/>
                <w:lang w:val="en-CA"/>
              </w:rPr>
            </w:pPr>
            <w:r w:rsidRPr="00464838">
              <w:rPr>
                <w:rFonts w:ascii="Arial" w:hAnsi="Arial" w:cs="Arial"/>
                <w:b/>
                <w:bCs/>
                <w:lang w:val="en-CA"/>
              </w:rPr>
              <w:t>2011</w:t>
            </w:r>
            <w:r w:rsidR="006845A9">
              <w:rPr>
                <w:rFonts w:ascii="Arial" w:hAnsi="Arial" w:cs="Arial"/>
                <w:b/>
                <w:bCs/>
                <w:lang w:val="en-CA"/>
              </w:rPr>
              <w:t>/</w:t>
            </w:r>
            <w:r w:rsidRPr="00464838">
              <w:rPr>
                <w:rFonts w:ascii="Arial" w:hAnsi="Arial" w:cs="Arial"/>
                <w:b/>
                <w:bCs/>
                <w:lang w:val="en-CA"/>
              </w:rPr>
              <w:t>12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5D10855B" w14:textId="15D37678" w:rsidR="00B6530D" w:rsidRPr="00464838" w:rsidRDefault="00B6530D" w:rsidP="002726D0">
            <w:pPr>
              <w:jc w:val="right"/>
              <w:rPr>
                <w:rFonts w:ascii="Arial" w:hAnsi="Arial" w:cs="Arial"/>
                <w:b/>
                <w:bCs/>
                <w:lang w:val="en-CA"/>
              </w:rPr>
            </w:pPr>
            <w:r w:rsidRPr="00464838">
              <w:rPr>
                <w:rFonts w:ascii="Arial" w:hAnsi="Arial" w:cs="Arial"/>
                <w:b/>
                <w:bCs/>
                <w:lang w:val="en-CA"/>
              </w:rPr>
              <w:t>2012</w:t>
            </w:r>
            <w:r w:rsidR="006845A9">
              <w:rPr>
                <w:rFonts w:ascii="Arial" w:hAnsi="Arial" w:cs="Arial"/>
                <w:b/>
                <w:bCs/>
                <w:lang w:val="en-CA"/>
              </w:rPr>
              <w:t>/</w:t>
            </w:r>
            <w:r w:rsidRPr="00464838">
              <w:rPr>
                <w:rFonts w:ascii="Arial" w:hAnsi="Arial" w:cs="Arial"/>
                <w:b/>
                <w:bCs/>
                <w:lang w:val="en-CA"/>
              </w:rPr>
              <w:t>13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5DD8DF6E" w14:textId="4F715068" w:rsidR="00B6530D" w:rsidRPr="00464838" w:rsidRDefault="00B6530D" w:rsidP="002726D0">
            <w:pPr>
              <w:jc w:val="right"/>
              <w:rPr>
                <w:rFonts w:ascii="Arial" w:hAnsi="Arial" w:cs="Arial"/>
                <w:b/>
                <w:bCs/>
                <w:lang w:val="en-CA"/>
              </w:rPr>
            </w:pPr>
            <w:r w:rsidRPr="00464838">
              <w:rPr>
                <w:rFonts w:ascii="Arial" w:hAnsi="Arial" w:cs="Arial"/>
                <w:b/>
                <w:bCs/>
                <w:lang w:val="en-CA"/>
              </w:rPr>
              <w:t>2013</w:t>
            </w:r>
            <w:r w:rsidR="006845A9">
              <w:rPr>
                <w:rFonts w:ascii="Arial" w:hAnsi="Arial" w:cs="Arial"/>
                <w:b/>
                <w:bCs/>
                <w:lang w:val="en-CA"/>
              </w:rPr>
              <w:t>/</w:t>
            </w:r>
            <w:r w:rsidRPr="00464838">
              <w:rPr>
                <w:rFonts w:ascii="Arial" w:hAnsi="Arial" w:cs="Arial"/>
                <w:b/>
                <w:bCs/>
                <w:lang w:val="en-CA"/>
              </w:rPr>
              <w:t>14</w:t>
            </w:r>
          </w:p>
        </w:tc>
        <w:tc>
          <w:tcPr>
            <w:tcW w:w="131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64006F6D" w14:textId="6705F0E5" w:rsidR="00B6530D" w:rsidRPr="00464838" w:rsidRDefault="00B6530D" w:rsidP="002726D0">
            <w:pPr>
              <w:jc w:val="right"/>
              <w:rPr>
                <w:rFonts w:ascii="Arial" w:hAnsi="Arial" w:cs="Arial"/>
                <w:b/>
                <w:bCs/>
                <w:lang w:val="en-CA"/>
              </w:rPr>
            </w:pPr>
            <w:r w:rsidRPr="00464838">
              <w:rPr>
                <w:rFonts w:ascii="Arial" w:hAnsi="Arial" w:cs="Arial"/>
                <w:b/>
                <w:bCs/>
                <w:lang w:val="en-CA"/>
              </w:rPr>
              <w:t>2014</w:t>
            </w:r>
            <w:r w:rsidR="006845A9">
              <w:rPr>
                <w:rFonts w:ascii="Arial" w:hAnsi="Arial" w:cs="Arial"/>
                <w:b/>
                <w:bCs/>
                <w:lang w:val="en-CA"/>
              </w:rPr>
              <w:t>/</w:t>
            </w:r>
            <w:r w:rsidRPr="00464838">
              <w:rPr>
                <w:rFonts w:ascii="Arial" w:hAnsi="Arial" w:cs="Arial"/>
                <w:b/>
                <w:bCs/>
                <w:lang w:val="en-CA"/>
              </w:rPr>
              <w:t>15</w:t>
            </w:r>
          </w:p>
        </w:tc>
      </w:tr>
      <w:tr w:rsidR="00B6530D" w:rsidRPr="00464838" w14:paraId="38A27A39" w14:textId="77777777" w:rsidTr="002726D0">
        <w:trPr>
          <w:trHeight w:val="312"/>
          <w:jc w:val="center"/>
        </w:trPr>
        <w:tc>
          <w:tcPr>
            <w:tcW w:w="2787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74AD89CF" w14:textId="77777777" w:rsidR="00B6530D" w:rsidRPr="00464838" w:rsidRDefault="00B6530D" w:rsidP="00FE1105">
            <w:pPr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Revenue</w:t>
            </w:r>
          </w:p>
        </w:tc>
        <w:tc>
          <w:tcPr>
            <w:tcW w:w="1314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408CBCEA" w14:textId="1728763C" w:rsidR="00B6530D" w:rsidRPr="00464838" w:rsidRDefault="00B6530D" w:rsidP="00FE1105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1</w:t>
            </w:r>
            <w:r w:rsidR="00230A67">
              <w:rPr>
                <w:rFonts w:ascii="Arial" w:hAnsi="Arial" w:cs="Arial"/>
                <w:lang w:val="en-CA"/>
              </w:rPr>
              <w:t>,</w:t>
            </w:r>
            <w:r w:rsidRPr="00464838">
              <w:rPr>
                <w:rFonts w:ascii="Arial" w:hAnsi="Arial" w:cs="Arial"/>
                <w:lang w:val="en-CA"/>
              </w:rPr>
              <w:t>079</w:t>
            </w:r>
            <w:r>
              <w:rPr>
                <w:rFonts w:ascii="Arial" w:hAnsi="Arial" w:cs="Arial"/>
                <w:lang w:val="en-CA"/>
              </w:rPr>
              <w:t>.00</w:t>
            </w:r>
          </w:p>
        </w:tc>
        <w:tc>
          <w:tcPr>
            <w:tcW w:w="1315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72383A71" w14:textId="064CA4DB" w:rsidR="00B6530D" w:rsidRPr="00464838" w:rsidRDefault="00B6530D" w:rsidP="00FE1105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1</w:t>
            </w:r>
            <w:r w:rsidR="00230A67">
              <w:rPr>
                <w:rFonts w:ascii="Arial" w:hAnsi="Arial" w:cs="Arial"/>
                <w:lang w:val="en-CA"/>
              </w:rPr>
              <w:t>,</w:t>
            </w:r>
            <w:r w:rsidRPr="00464838">
              <w:rPr>
                <w:rFonts w:ascii="Arial" w:hAnsi="Arial" w:cs="Arial"/>
                <w:lang w:val="en-CA"/>
              </w:rPr>
              <w:t>269.4</w:t>
            </w:r>
            <w:r>
              <w:rPr>
                <w:rFonts w:ascii="Arial" w:hAnsi="Arial" w:cs="Arial"/>
                <w:lang w:val="en-CA"/>
              </w:rPr>
              <w:t>0</w:t>
            </w:r>
          </w:p>
        </w:tc>
        <w:tc>
          <w:tcPr>
            <w:tcW w:w="1314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7226EE4B" w14:textId="455D1CDB" w:rsidR="00B6530D" w:rsidRPr="00464838" w:rsidRDefault="00B6530D" w:rsidP="00FE1105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1</w:t>
            </w:r>
            <w:r w:rsidR="00230A67">
              <w:rPr>
                <w:rFonts w:ascii="Arial" w:hAnsi="Arial" w:cs="Arial"/>
                <w:lang w:val="en-CA"/>
              </w:rPr>
              <w:t>,</w:t>
            </w:r>
            <w:r w:rsidRPr="00464838">
              <w:rPr>
                <w:rFonts w:ascii="Arial" w:hAnsi="Arial" w:cs="Arial"/>
                <w:lang w:val="en-CA"/>
              </w:rPr>
              <w:t>343.3</w:t>
            </w:r>
            <w:r>
              <w:rPr>
                <w:rFonts w:ascii="Arial" w:hAnsi="Arial" w:cs="Arial"/>
                <w:lang w:val="en-CA"/>
              </w:rPr>
              <w:t>0</w:t>
            </w:r>
          </w:p>
        </w:tc>
        <w:tc>
          <w:tcPr>
            <w:tcW w:w="1315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5A90AD27" w14:textId="5A26F25D" w:rsidR="00B6530D" w:rsidRPr="00464838" w:rsidRDefault="00B6530D" w:rsidP="00FE1105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1</w:t>
            </w:r>
            <w:r w:rsidR="00230A67">
              <w:rPr>
                <w:rFonts w:ascii="Arial" w:hAnsi="Arial" w:cs="Arial"/>
                <w:lang w:val="en-CA"/>
              </w:rPr>
              <w:t>,</w:t>
            </w:r>
            <w:r w:rsidRPr="00464838">
              <w:rPr>
                <w:rFonts w:ascii="Arial" w:hAnsi="Arial" w:cs="Arial"/>
                <w:lang w:val="en-CA"/>
              </w:rPr>
              <w:t>284</w:t>
            </w:r>
            <w:r>
              <w:rPr>
                <w:rFonts w:ascii="Arial" w:hAnsi="Arial" w:cs="Arial"/>
                <w:lang w:val="en-CA"/>
              </w:rPr>
              <w:t>.00</w:t>
            </w:r>
          </w:p>
        </w:tc>
        <w:tc>
          <w:tcPr>
            <w:tcW w:w="1315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7B4F9F62" w14:textId="061345DE" w:rsidR="00B6530D" w:rsidRPr="00464838" w:rsidRDefault="00B6530D" w:rsidP="00FE1105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1</w:t>
            </w:r>
            <w:r w:rsidR="00230A67">
              <w:rPr>
                <w:rFonts w:ascii="Arial" w:hAnsi="Arial" w:cs="Arial"/>
                <w:lang w:val="en-CA"/>
              </w:rPr>
              <w:t>,</w:t>
            </w:r>
            <w:r w:rsidRPr="00464838">
              <w:rPr>
                <w:rFonts w:ascii="Arial" w:hAnsi="Arial" w:cs="Arial"/>
                <w:lang w:val="en-CA"/>
              </w:rPr>
              <w:t>357</w:t>
            </w:r>
            <w:r>
              <w:rPr>
                <w:rFonts w:ascii="Arial" w:hAnsi="Arial" w:cs="Arial"/>
                <w:lang w:val="en-CA"/>
              </w:rPr>
              <w:t>.00</w:t>
            </w:r>
          </w:p>
        </w:tc>
      </w:tr>
      <w:tr w:rsidR="00B6530D" w:rsidRPr="00464838" w14:paraId="02EA8A28" w14:textId="77777777" w:rsidTr="00FE1105">
        <w:trPr>
          <w:trHeight w:val="288"/>
          <w:jc w:val="center"/>
        </w:trPr>
        <w:tc>
          <w:tcPr>
            <w:tcW w:w="2787" w:type="dxa"/>
            <w:shd w:val="clear" w:color="auto" w:fill="auto"/>
            <w:vAlign w:val="center"/>
            <w:hideMark/>
          </w:tcPr>
          <w:p w14:paraId="4C37ADDB" w14:textId="77777777" w:rsidR="00B6530D" w:rsidRPr="00464838" w:rsidRDefault="00B6530D" w:rsidP="00FE1105">
            <w:pPr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Cost of goods sold (COGS)</w:t>
            </w:r>
          </w:p>
        </w:tc>
        <w:tc>
          <w:tcPr>
            <w:tcW w:w="1314" w:type="dxa"/>
            <w:shd w:val="clear" w:color="auto" w:fill="auto"/>
            <w:vAlign w:val="center"/>
            <w:hideMark/>
          </w:tcPr>
          <w:p w14:paraId="0F157989" w14:textId="77777777" w:rsidR="00B6530D" w:rsidRPr="00464838" w:rsidRDefault="00B6530D" w:rsidP="00FE1105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820</w:t>
            </w:r>
            <w:r>
              <w:rPr>
                <w:rFonts w:ascii="Arial" w:hAnsi="Arial" w:cs="Arial"/>
                <w:lang w:val="en-CA"/>
              </w:rPr>
              <w:t>.00</w:t>
            </w:r>
          </w:p>
        </w:tc>
        <w:tc>
          <w:tcPr>
            <w:tcW w:w="1315" w:type="dxa"/>
            <w:shd w:val="clear" w:color="auto" w:fill="auto"/>
            <w:vAlign w:val="center"/>
            <w:hideMark/>
          </w:tcPr>
          <w:p w14:paraId="45E4417B" w14:textId="77777777" w:rsidR="00B6530D" w:rsidRPr="00464838" w:rsidRDefault="00B6530D" w:rsidP="00FE1105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990</w:t>
            </w:r>
            <w:r>
              <w:rPr>
                <w:rFonts w:ascii="Arial" w:hAnsi="Arial" w:cs="Arial"/>
                <w:lang w:val="en-CA"/>
              </w:rPr>
              <w:t>.00</w:t>
            </w:r>
          </w:p>
        </w:tc>
        <w:tc>
          <w:tcPr>
            <w:tcW w:w="1314" w:type="dxa"/>
            <w:shd w:val="clear" w:color="auto" w:fill="auto"/>
            <w:vAlign w:val="center"/>
            <w:hideMark/>
          </w:tcPr>
          <w:p w14:paraId="60B0D4D0" w14:textId="2028D959" w:rsidR="00B6530D" w:rsidRPr="00464838" w:rsidRDefault="00B6530D" w:rsidP="00FE1105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1</w:t>
            </w:r>
            <w:r w:rsidR="00230A67">
              <w:rPr>
                <w:rFonts w:ascii="Arial" w:hAnsi="Arial" w:cs="Arial"/>
                <w:lang w:val="en-CA"/>
              </w:rPr>
              <w:t>,</w:t>
            </w:r>
            <w:r w:rsidRPr="00464838">
              <w:rPr>
                <w:rFonts w:ascii="Arial" w:hAnsi="Arial" w:cs="Arial"/>
                <w:lang w:val="en-CA"/>
              </w:rPr>
              <w:t>070</w:t>
            </w:r>
            <w:r>
              <w:rPr>
                <w:rFonts w:ascii="Arial" w:hAnsi="Arial" w:cs="Arial"/>
                <w:lang w:val="en-CA"/>
              </w:rPr>
              <w:t>.00</w:t>
            </w:r>
          </w:p>
        </w:tc>
        <w:tc>
          <w:tcPr>
            <w:tcW w:w="1315" w:type="dxa"/>
            <w:shd w:val="clear" w:color="auto" w:fill="auto"/>
            <w:vAlign w:val="center"/>
            <w:hideMark/>
          </w:tcPr>
          <w:p w14:paraId="7AE11430" w14:textId="232CBB1E" w:rsidR="00B6530D" w:rsidRPr="00464838" w:rsidRDefault="00B6530D" w:rsidP="00FE1105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1</w:t>
            </w:r>
            <w:r w:rsidR="00230A67">
              <w:rPr>
                <w:rFonts w:ascii="Arial" w:hAnsi="Arial" w:cs="Arial"/>
                <w:lang w:val="en-CA"/>
              </w:rPr>
              <w:t>,</w:t>
            </w:r>
            <w:r w:rsidRPr="00464838">
              <w:rPr>
                <w:rFonts w:ascii="Arial" w:hAnsi="Arial" w:cs="Arial"/>
                <w:lang w:val="en-CA"/>
              </w:rPr>
              <w:t>029.3</w:t>
            </w:r>
            <w:r>
              <w:rPr>
                <w:rFonts w:ascii="Arial" w:hAnsi="Arial" w:cs="Arial"/>
                <w:lang w:val="en-CA"/>
              </w:rPr>
              <w:t>0</w:t>
            </w:r>
          </w:p>
        </w:tc>
        <w:tc>
          <w:tcPr>
            <w:tcW w:w="1315" w:type="dxa"/>
            <w:shd w:val="clear" w:color="auto" w:fill="auto"/>
            <w:vAlign w:val="center"/>
            <w:hideMark/>
          </w:tcPr>
          <w:p w14:paraId="27D07378" w14:textId="2C6C1291" w:rsidR="00B6530D" w:rsidRPr="00464838" w:rsidRDefault="00B6530D" w:rsidP="00FE1105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1</w:t>
            </w:r>
            <w:r w:rsidR="00230A67">
              <w:rPr>
                <w:rFonts w:ascii="Arial" w:hAnsi="Arial" w:cs="Arial"/>
                <w:lang w:val="en-CA"/>
              </w:rPr>
              <w:t>,</w:t>
            </w:r>
            <w:r w:rsidRPr="00464838">
              <w:rPr>
                <w:rFonts w:ascii="Arial" w:hAnsi="Arial" w:cs="Arial"/>
                <w:lang w:val="en-CA"/>
              </w:rPr>
              <w:t>069.5</w:t>
            </w:r>
            <w:r>
              <w:rPr>
                <w:rFonts w:ascii="Arial" w:hAnsi="Arial" w:cs="Arial"/>
                <w:lang w:val="en-CA"/>
              </w:rPr>
              <w:t>0</w:t>
            </w:r>
          </w:p>
        </w:tc>
      </w:tr>
      <w:tr w:rsidR="00B6530D" w:rsidRPr="00464838" w14:paraId="63E6B88E" w14:textId="77777777" w:rsidTr="00FE1105">
        <w:trPr>
          <w:trHeight w:val="288"/>
          <w:jc w:val="center"/>
        </w:trPr>
        <w:tc>
          <w:tcPr>
            <w:tcW w:w="2787" w:type="dxa"/>
            <w:shd w:val="clear" w:color="auto" w:fill="auto"/>
            <w:vAlign w:val="center"/>
            <w:hideMark/>
          </w:tcPr>
          <w:p w14:paraId="7AC2BF8C" w14:textId="77777777" w:rsidR="00B6530D" w:rsidRPr="00464838" w:rsidRDefault="00B6530D" w:rsidP="00FE1105">
            <w:pPr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Operating expenses (including depreciation)</w:t>
            </w:r>
          </w:p>
        </w:tc>
        <w:tc>
          <w:tcPr>
            <w:tcW w:w="1314" w:type="dxa"/>
            <w:shd w:val="clear" w:color="auto" w:fill="auto"/>
            <w:vAlign w:val="center"/>
            <w:hideMark/>
          </w:tcPr>
          <w:p w14:paraId="1C3B65B6" w14:textId="77777777" w:rsidR="00B6530D" w:rsidRPr="00464838" w:rsidRDefault="00B6530D" w:rsidP="00FE1105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148.2</w:t>
            </w:r>
            <w:r>
              <w:rPr>
                <w:rFonts w:ascii="Arial" w:hAnsi="Arial" w:cs="Arial"/>
                <w:lang w:val="en-CA"/>
              </w:rPr>
              <w:t>0</w:t>
            </w:r>
          </w:p>
        </w:tc>
        <w:tc>
          <w:tcPr>
            <w:tcW w:w="1315" w:type="dxa"/>
            <w:shd w:val="clear" w:color="auto" w:fill="auto"/>
            <w:vAlign w:val="center"/>
            <w:hideMark/>
          </w:tcPr>
          <w:p w14:paraId="2DB9A74C" w14:textId="77777777" w:rsidR="00B6530D" w:rsidRPr="00464838" w:rsidRDefault="00B6530D" w:rsidP="00FE1105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165.6</w:t>
            </w:r>
            <w:r>
              <w:rPr>
                <w:rFonts w:ascii="Arial" w:hAnsi="Arial" w:cs="Arial"/>
                <w:lang w:val="en-CA"/>
              </w:rPr>
              <w:t>0</w:t>
            </w:r>
          </w:p>
        </w:tc>
        <w:tc>
          <w:tcPr>
            <w:tcW w:w="1314" w:type="dxa"/>
            <w:shd w:val="clear" w:color="auto" w:fill="auto"/>
            <w:vAlign w:val="center"/>
            <w:hideMark/>
          </w:tcPr>
          <w:p w14:paraId="4653E095" w14:textId="77777777" w:rsidR="00B6530D" w:rsidRPr="00464838" w:rsidRDefault="00B6530D" w:rsidP="00FE1105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188.5</w:t>
            </w:r>
            <w:r>
              <w:rPr>
                <w:rFonts w:ascii="Arial" w:hAnsi="Arial" w:cs="Arial"/>
                <w:lang w:val="en-CA"/>
              </w:rPr>
              <w:t>0</w:t>
            </w:r>
          </w:p>
        </w:tc>
        <w:tc>
          <w:tcPr>
            <w:tcW w:w="1315" w:type="dxa"/>
            <w:shd w:val="clear" w:color="auto" w:fill="auto"/>
            <w:vAlign w:val="center"/>
            <w:hideMark/>
          </w:tcPr>
          <w:p w14:paraId="1ADB8308" w14:textId="77777777" w:rsidR="00B6530D" w:rsidRPr="00464838" w:rsidRDefault="00B6530D" w:rsidP="00FE1105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209.7</w:t>
            </w:r>
            <w:r>
              <w:rPr>
                <w:rFonts w:ascii="Arial" w:hAnsi="Arial" w:cs="Arial"/>
                <w:lang w:val="en-CA"/>
              </w:rPr>
              <w:t>0</w:t>
            </w:r>
          </w:p>
        </w:tc>
        <w:tc>
          <w:tcPr>
            <w:tcW w:w="1315" w:type="dxa"/>
            <w:shd w:val="clear" w:color="auto" w:fill="auto"/>
            <w:vAlign w:val="center"/>
            <w:hideMark/>
          </w:tcPr>
          <w:p w14:paraId="723E87A5" w14:textId="77777777" w:rsidR="00B6530D" w:rsidRPr="00464838" w:rsidRDefault="00B6530D" w:rsidP="00FE1105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248.5</w:t>
            </w:r>
            <w:r>
              <w:rPr>
                <w:rFonts w:ascii="Arial" w:hAnsi="Arial" w:cs="Arial"/>
                <w:lang w:val="en-CA"/>
              </w:rPr>
              <w:t>0</w:t>
            </w:r>
          </w:p>
        </w:tc>
      </w:tr>
      <w:tr w:rsidR="00B6530D" w:rsidRPr="00464838" w14:paraId="7B000983" w14:textId="77777777" w:rsidTr="00FE1105">
        <w:trPr>
          <w:trHeight w:val="288"/>
          <w:jc w:val="center"/>
        </w:trPr>
        <w:tc>
          <w:tcPr>
            <w:tcW w:w="2787" w:type="dxa"/>
            <w:shd w:val="clear" w:color="auto" w:fill="auto"/>
            <w:vAlign w:val="center"/>
            <w:hideMark/>
          </w:tcPr>
          <w:p w14:paraId="254303EB" w14:textId="77777777" w:rsidR="00B6530D" w:rsidRPr="00464838" w:rsidRDefault="00B6530D" w:rsidP="00FE1105">
            <w:pPr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Interest expenses</w:t>
            </w:r>
          </w:p>
        </w:tc>
        <w:tc>
          <w:tcPr>
            <w:tcW w:w="1314" w:type="dxa"/>
            <w:shd w:val="clear" w:color="auto" w:fill="auto"/>
            <w:vAlign w:val="center"/>
            <w:hideMark/>
          </w:tcPr>
          <w:p w14:paraId="16FA0A2B" w14:textId="77777777" w:rsidR="00B6530D" w:rsidRPr="00464838" w:rsidRDefault="00B6530D" w:rsidP="00FE1105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12.4</w:t>
            </w:r>
            <w:r>
              <w:rPr>
                <w:rFonts w:ascii="Arial" w:hAnsi="Arial" w:cs="Arial"/>
                <w:lang w:val="en-CA"/>
              </w:rPr>
              <w:t>0</w:t>
            </w:r>
          </w:p>
        </w:tc>
        <w:tc>
          <w:tcPr>
            <w:tcW w:w="1315" w:type="dxa"/>
            <w:shd w:val="clear" w:color="auto" w:fill="auto"/>
            <w:vAlign w:val="center"/>
            <w:hideMark/>
          </w:tcPr>
          <w:p w14:paraId="1164C527" w14:textId="77777777" w:rsidR="00B6530D" w:rsidRPr="00464838" w:rsidRDefault="00B6530D" w:rsidP="00FE1105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12.9</w:t>
            </w:r>
            <w:r>
              <w:rPr>
                <w:rFonts w:ascii="Arial" w:hAnsi="Arial" w:cs="Arial"/>
                <w:lang w:val="en-CA"/>
              </w:rPr>
              <w:t>0</w:t>
            </w:r>
          </w:p>
        </w:tc>
        <w:tc>
          <w:tcPr>
            <w:tcW w:w="1314" w:type="dxa"/>
            <w:shd w:val="clear" w:color="auto" w:fill="auto"/>
            <w:vAlign w:val="center"/>
            <w:hideMark/>
          </w:tcPr>
          <w:p w14:paraId="61EC1F1D" w14:textId="77777777" w:rsidR="00B6530D" w:rsidRPr="00464838" w:rsidRDefault="00B6530D" w:rsidP="00FE1105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19.7</w:t>
            </w:r>
            <w:r>
              <w:rPr>
                <w:rFonts w:ascii="Arial" w:hAnsi="Arial" w:cs="Arial"/>
                <w:lang w:val="en-CA"/>
              </w:rPr>
              <w:t>0</w:t>
            </w:r>
          </w:p>
        </w:tc>
        <w:tc>
          <w:tcPr>
            <w:tcW w:w="1315" w:type="dxa"/>
            <w:shd w:val="clear" w:color="auto" w:fill="auto"/>
            <w:vAlign w:val="center"/>
            <w:hideMark/>
          </w:tcPr>
          <w:p w14:paraId="3A729359" w14:textId="77777777" w:rsidR="00B6530D" w:rsidRPr="00464838" w:rsidRDefault="00B6530D" w:rsidP="00FE1105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19.8</w:t>
            </w:r>
            <w:r>
              <w:rPr>
                <w:rFonts w:ascii="Arial" w:hAnsi="Arial" w:cs="Arial"/>
                <w:lang w:val="en-CA"/>
              </w:rPr>
              <w:t>0</w:t>
            </w:r>
          </w:p>
        </w:tc>
        <w:tc>
          <w:tcPr>
            <w:tcW w:w="1315" w:type="dxa"/>
            <w:shd w:val="clear" w:color="auto" w:fill="auto"/>
            <w:vAlign w:val="center"/>
            <w:hideMark/>
          </w:tcPr>
          <w:p w14:paraId="588B81D1" w14:textId="77777777" w:rsidR="00B6530D" w:rsidRPr="00464838" w:rsidRDefault="00B6530D" w:rsidP="00FE1105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30.1</w:t>
            </w:r>
            <w:r>
              <w:rPr>
                <w:rFonts w:ascii="Arial" w:hAnsi="Arial" w:cs="Arial"/>
                <w:lang w:val="en-CA"/>
              </w:rPr>
              <w:t>0</w:t>
            </w:r>
          </w:p>
        </w:tc>
      </w:tr>
      <w:tr w:rsidR="00B6530D" w:rsidRPr="00464838" w14:paraId="284222B7" w14:textId="77777777" w:rsidTr="00FE1105">
        <w:trPr>
          <w:trHeight w:val="288"/>
          <w:jc w:val="center"/>
        </w:trPr>
        <w:tc>
          <w:tcPr>
            <w:tcW w:w="2787" w:type="dxa"/>
            <w:shd w:val="clear" w:color="auto" w:fill="auto"/>
            <w:vAlign w:val="center"/>
            <w:hideMark/>
          </w:tcPr>
          <w:p w14:paraId="4B79D795" w14:textId="77777777" w:rsidR="00B6530D" w:rsidRPr="00464838" w:rsidRDefault="00B6530D" w:rsidP="00FE1105">
            <w:pPr>
              <w:rPr>
                <w:rFonts w:ascii="Arial" w:hAnsi="Arial" w:cs="Arial"/>
                <w:b/>
                <w:bCs/>
                <w:lang w:val="en-CA"/>
              </w:rPr>
            </w:pPr>
            <w:r w:rsidRPr="00464838">
              <w:rPr>
                <w:rFonts w:ascii="Arial" w:hAnsi="Arial" w:cs="Arial"/>
                <w:b/>
                <w:bCs/>
                <w:lang w:val="en-CA"/>
              </w:rPr>
              <w:t>Profit before taxes</w:t>
            </w:r>
          </w:p>
        </w:tc>
        <w:tc>
          <w:tcPr>
            <w:tcW w:w="1314" w:type="dxa"/>
            <w:shd w:val="clear" w:color="auto" w:fill="auto"/>
            <w:vAlign w:val="center"/>
            <w:hideMark/>
          </w:tcPr>
          <w:p w14:paraId="1C5045AC" w14:textId="77777777" w:rsidR="00B6530D" w:rsidRPr="00464838" w:rsidRDefault="00B6530D" w:rsidP="00FE1105">
            <w:pPr>
              <w:jc w:val="right"/>
              <w:rPr>
                <w:rFonts w:ascii="Arial" w:hAnsi="Arial" w:cs="Arial"/>
                <w:b/>
                <w:lang w:val="en-CA"/>
              </w:rPr>
            </w:pPr>
            <w:r w:rsidRPr="00464838">
              <w:rPr>
                <w:rFonts w:ascii="Arial" w:hAnsi="Arial" w:cs="Arial"/>
                <w:b/>
                <w:lang w:val="en-CA"/>
              </w:rPr>
              <w:t>98.4</w:t>
            </w:r>
            <w:r>
              <w:rPr>
                <w:rFonts w:ascii="Arial" w:hAnsi="Arial" w:cs="Arial"/>
                <w:b/>
                <w:lang w:val="en-CA"/>
              </w:rPr>
              <w:t>0</w:t>
            </w:r>
          </w:p>
        </w:tc>
        <w:tc>
          <w:tcPr>
            <w:tcW w:w="1315" w:type="dxa"/>
            <w:shd w:val="clear" w:color="auto" w:fill="auto"/>
            <w:vAlign w:val="center"/>
            <w:hideMark/>
          </w:tcPr>
          <w:p w14:paraId="4E8DA975" w14:textId="77777777" w:rsidR="00B6530D" w:rsidRPr="00464838" w:rsidRDefault="00B6530D" w:rsidP="00FE1105">
            <w:pPr>
              <w:jc w:val="right"/>
              <w:rPr>
                <w:rFonts w:ascii="Arial" w:hAnsi="Arial" w:cs="Arial"/>
                <w:b/>
                <w:lang w:val="en-CA"/>
              </w:rPr>
            </w:pPr>
            <w:r w:rsidRPr="00464838">
              <w:rPr>
                <w:rFonts w:ascii="Arial" w:hAnsi="Arial" w:cs="Arial"/>
                <w:b/>
                <w:lang w:val="en-CA"/>
              </w:rPr>
              <w:t>100.9</w:t>
            </w:r>
            <w:r>
              <w:rPr>
                <w:rFonts w:ascii="Arial" w:hAnsi="Arial" w:cs="Arial"/>
                <w:b/>
                <w:lang w:val="en-CA"/>
              </w:rPr>
              <w:t>0</w:t>
            </w:r>
          </w:p>
        </w:tc>
        <w:tc>
          <w:tcPr>
            <w:tcW w:w="1314" w:type="dxa"/>
            <w:shd w:val="clear" w:color="auto" w:fill="auto"/>
            <w:vAlign w:val="center"/>
            <w:hideMark/>
          </w:tcPr>
          <w:p w14:paraId="2BAABC68" w14:textId="77777777" w:rsidR="00B6530D" w:rsidRPr="00464838" w:rsidRDefault="00B6530D" w:rsidP="00FE1105">
            <w:pPr>
              <w:jc w:val="right"/>
              <w:rPr>
                <w:rFonts w:ascii="Arial" w:hAnsi="Arial" w:cs="Arial"/>
                <w:b/>
                <w:lang w:val="en-CA"/>
              </w:rPr>
            </w:pPr>
            <w:r w:rsidRPr="00464838">
              <w:rPr>
                <w:rFonts w:ascii="Arial" w:hAnsi="Arial" w:cs="Arial"/>
                <w:b/>
                <w:lang w:val="en-CA"/>
              </w:rPr>
              <w:t>65.1</w:t>
            </w:r>
            <w:r>
              <w:rPr>
                <w:rFonts w:ascii="Arial" w:hAnsi="Arial" w:cs="Arial"/>
                <w:b/>
                <w:lang w:val="en-CA"/>
              </w:rPr>
              <w:t>0</w:t>
            </w:r>
          </w:p>
        </w:tc>
        <w:tc>
          <w:tcPr>
            <w:tcW w:w="1315" w:type="dxa"/>
            <w:shd w:val="clear" w:color="auto" w:fill="auto"/>
            <w:vAlign w:val="center"/>
            <w:hideMark/>
          </w:tcPr>
          <w:p w14:paraId="500A9F86" w14:textId="77777777" w:rsidR="00B6530D" w:rsidRPr="00464838" w:rsidRDefault="00B6530D" w:rsidP="00FE1105">
            <w:pPr>
              <w:jc w:val="right"/>
              <w:rPr>
                <w:rFonts w:ascii="Arial" w:hAnsi="Arial" w:cs="Arial"/>
                <w:b/>
                <w:lang w:val="en-CA"/>
              </w:rPr>
            </w:pPr>
            <w:r w:rsidRPr="00464838">
              <w:rPr>
                <w:rFonts w:ascii="Arial" w:hAnsi="Arial" w:cs="Arial"/>
                <w:b/>
                <w:lang w:val="en-CA"/>
              </w:rPr>
              <w:t>25.2</w:t>
            </w:r>
            <w:r>
              <w:rPr>
                <w:rFonts w:ascii="Arial" w:hAnsi="Arial" w:cs="Arial"/>
                <w:b/>
                <w:lang w:val="en-CA"/>
              </w:rPr>
              <w:t>0</w:t>
            </w:r>
          </w:p>
        </w:tc>
        <w:tc>
          <w:tcPr>
            <w:tcW w:w="1315" w:type="dxa"/>
            <w:shd w:val="clear" w:color="auto" w:fill="auto"/>
            <w:vAlign w:val="center"/>
            <w:hideMark/>
          </w:tcPr>
          <w:p w14:paraId="4296A4EE" w14:textId="77777777" w:rsidR="00B6530D" w:rsidRPr="00464838" w:rsidRDefault="00B6530D" w:rsidP="00FE1105">
            <w:pPr>
              <w:jc w:val="right"/>
              <w:rPr>
                <w:rFonts w:ascii="Arial" w:hAnsi="Arial" w:cs="Arial"/>
                <w:b/>
                <w:lang w:val="en-CA"/>
              </w:rPr>
            </w:pPr>
            <w:r w:rsidRPr="00464838">
              <w:rPr>
                <w:rFonts w:ascii="Arial" w:hAnsi="Arial" w:cs="Arial"/>
                <w:b/>
                <w:lang w:val="en-CA"/>
              </w:rPr>
              <w:t>8.9</w:t>
            </w:r>
            <w:r>
              <w:rPr>
                <w:rFonts w:ascii="Arial" w:hAnsi="Arial" w:cs="Arial"/>
                <w:b/>
                <w:lang w:val="en-CA"/>
              </w:rPr>
              <w:t>0</w:t>
            </w:r>
          </w:p>
        </w:tc>
      </w:tr>
      <w:tr w:rsidR="00B6530D" w:rsidRPr="00464838" w14:paraId="49DED309" w14:textId="77777777" w:rsidTr="00FE1105">
        <w:trPr>
          <w:trHeight w:val="288"/>
          <w:jc w:val="center"/>
        </w:trPr>
        <w:tc>
          <w:tcPr>
            <w:tcW w:w="2787" w:type="dxa"/>
            <w:shd w:val="clear" w:color="auto" w:fill="auto"/>
            <w:vAlign w:val="center"/>
            <w:hideMark/>
          </w:tcPr>
          <w:p w14:paraId="0C3AA1AC" w14:textId="77777777" w:rsidR="00B6530D" w:rsidRPr="00464838" w:rsidRDefault="00B6530D" w:rsidP="00FE1105">
            <w:pPr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Income tax</w:t>
            </w:r>
          </w:p>
        </w:tc>
        <w:tc>
          <w:tcPr>
            <w:tcW w:w="1314" w:type="dxa"/>
            <w:shd w:val="clear" w:color="auto" w:fill="auto"/>
            <w:vAlign w:val="center"/>
            <w:hideMark/>
          </w:tcPr>
          <w:p w14:paraId="4058F922" w14:textId="77777777" w:rsidR="00B6530D" w:rsidRPr="00464838" w:rsidRDefault="00B6530D" w:rsidP="00FE1105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32.5</w:t>
            </w:r>
            <w:r>
              <w:rPr>
                <w:rFonts w:ascii="Arial" w:hAnsi="Arial" w:cs="Arial"/>
                <w:lang w:val="en-CA"/>
              </w:rPr>
              <w:t>0</w:t>
            </w:r>
          </w:p>
        </w:tc>
        <w:tc>
          <w:tcPr>
            <w:tcW w:w="1315" w:type="dxa"/>
            <w:shd w:val="clear" w:color="auto" w:fill="auto"/>
            <w:vAlign w:val="center"/>
            <w:hideMark/>
          </w:tcPr>
          <w:p w14:paraId="305A694A" w14:textId="77777777" w:rsidR="00B6530D" w:rsidRPr="00464838" w:rsidRDefault="00B6530D" w:rsidP="00FE1105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32.7</w:t>
            </w:r>
            <w:r>
              <w:rPr>
                <w:rFonts w:ascii="Arial" w:hAnsi="Arial" w:cs="Arial"/>
                <w:lang w:val="en-CA"/>
              </w:rPr>
              <w:t>0</w:t>
            </w:r>
          </w:p>
        </w:tc>
        <w:tc>
          <w:tcPr>
            <w:tcW w:w="1314" w:type="dxa"/>
            <w:shd w:val="clear" w:color="auto" w:fill="auto"/>
            <w:vAlign w:val="center"/>
            <w:hideMark/>
          </w:tcPr>
          <w:p w14:paraId="178610DB" w14:textId="77777777" w:rsidR="00B6530D" w:rsidRPr="00464838" w:rsidRDefault="00B6530D" w:rsidP="00FE1105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24.4</w:t>
            </w:r>
            <w:r>
              <w:rPr>
                <w:rFonts w:ascii="Arial" w:hAnsi="Arial" w:cs="Arial"/>
                <w:lang w:val="en-CA"/>
              </w:rPr>
              <w:t>0</w:t>
            </w:r>
          </w:p>
        </w:tc>
        <w:tc>
          <w:tcPr>
            <w:tcW w:w="1315" w:type="dxa"/>
            <w:shd w:val="clear" w:color="auto" w:fill="auto"/>
            <w:vAlign w:val="center"/>
            <w:hideMark/>
          </w:tcPr>
          <w:p w14:paraId="0D41544A" w14:textId="77777777" w:rsidR="00B6530D" w:rsidRPr="00464838" w:rsidRDefault="00B6530D" w:rsidP="00FE1105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5.7</w:t>
            </w:r>
            <w:r>
              <w:rPr>
                <w:rFonts w:ascii="Arial" w:hAnsi="Arial" w:cs="Arial"/>
                <w:lang w:val="en-CA"/>
              </w:rPr>
              <w:t>0</w:t>
            </w:r>
          </w:p>
        </w:tc>
        <w:tc>
          <w:tcPr>
            <w:tcW w:w="1315" w:type="dxa"/>
            <w:shd w:val="clear" w:color="auto" w:fill="auto"/>
            <w:vAlign w:val="center"/>
            <w:hideMark/>
          </w:tcPr>
          <w:p w14:paraId="1E4B4D3D" w14:textId="77777777" w:rsidR="00B6530D" w:rsidRPr="00464838" w:rsidRDefault="00B6530D" w:rsidP="00FE1105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3.5</w:t>
            </w:r>
            <w:r>
              <w:rPr>
                <w:rFonts w:ascii="Arial" w:hAnsi="Arial" w:cs="Arial"/>
                <w:lang w:val="en-CA"/>
              </w:rPr>
              <w:t>0</w:t>
            </w:r>
          </w:p>
        </w:tc>
      </w:tr>
      <w:tr w:rsidR="00B6530D" w:rsidRPr="00464838" w14:paraId="7A0F3550" w14:textId="77777777" w:rsidTr="00FE1105">
        <w:trPr>
          <w:trHeight w:val="288"/>
          <w:jc w:val="center"/>
        </w:trPr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452CAC1" w14:textId="77777777" w:rsidR="00B6530D" w:rsidRPr="00464838" w:rsidRDefault="00B6530D" w:rsidP="00FE1105">
            <w:pPr>
              <w:rPr>
                <w:rFonts w:ascii="Arial" w:hAnsi="Arial" w:cs="Arial"/>
                <w:b/>
                <w:bCs/>
                <w:lang w:val="en-CA"/>
              </w:rPr>
            </w:pPr>
            <w:r w:rsidRPr="00464838">
              <w:rPr>
                <w:rFonts w:ascii="Arial" w:hAnsi="Arial" w:cs="Arial"/>
                <w:b/>
                <w:bCs/>
                <w:lang w:val="en-CA"/>
              </w:rPr>
              <w:t>Net profit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738F05A" w14:textId="77777777" w:rsidR="00B6530D" w:rsidRPr="00464838" w:rsidRDefault="00B6530D" w:rsidP="00FE1105">
            <w:pPr>
              <w:jc w:val="right"/>
              <w:rPr>
                <w:rFonts w:ascii="Arial" w:hAnsi="Arial" w:cs="Arial"/>
                <w:b/>
                <w:lang w:val="en-CA"/>
              </w:rPr>
            </w:pPr>
            <w:r w:rsidRPr="00464838">
              <w:rPr>
                <w:rFonts w:ascii="Arial" w:hAnsi="Arial" w:cs="Arial"/>
                <w:b/>
                <w:lang w:val="en-CA"/>
              </w:rPr>
              <w:t>65.9</w:t>
            </w:r>
            <w:r>
              <w:rPr>
                <w:rFonts w:ascii="Arial" w:hAnsi="Arial" w:cs="Arial"/>
                <w:b/>
                <w:lang w:val="en-CA"/>
              </w:rPr>
              <w:t>0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E69AD45" w14:textId="77777777" w:rsidR="00B6530D" w:rsidRPr="00464838" w:rsidRDefault="00B6530D" w:rsidP="00FE1105">
            <w:pPr>
              <w:jc w:val="right"/>
              <w:rPr>
                <w:rFonts w:ascii="Arial" w:hAnsi="Arial" w:cs="Arial"/>
                <w:b/>
                <w:lang w:val="en-CA"/>
              </w:rPr>
            </w:pPr>
            <w:r w:rsidRPr="00464838">
              <w:rPr>
                <w:rFonts w:ascii="Arial" w:hAnsi="Arial" w:cs="Arial"/>
                <w:b/>
                <w:lang w:val="en-CA"/>
              </w:rPr>
              <w:t>68.2</w:t>
            </w:r>
            <w:r>
              <w:rPr>
                <w:rFonts w:ascii="Arial" w:hAnsi="Arial" w:cs="Arial"/>
                <w:b/>
                <w:lang w:val="en-CA"/>
              </w:rPr>
              <w:t>0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7292495" w14:textId="77777777" w:rsidR="00B6530D" w:rsidRPr="00464838" w:rsidRDefault="00B6530D" w:rsidP="00FE1105">
            <w:pPr>
              <w:jc w:val="right"/>
              <w:rPr>
                <w:rFonts w:ascii="Arial" w:hAnsi="Arial" w:cs="Arial"/>
                <w:b/>
                <w:lang w:val="en-CA"/>
              </w:rPr>
            </w:pPr>
            <w:r w:rsidRPr="00464838">
              <w:rPr>
                <w:rFonts w:ascii="Arial" w:hAnsi="Arial" w:cs="Arial"/>
                <w:b/>
                <w:lang w:val="en-CA"/>
              </w:rPr>
              <w:t>40.7</w:t>
            </w:r>
            <w:r>
              <w:rPr>
                <w:rFonts w:ascii="Arial" w:hAnsi="Arial" w:cs="Arial"/>
                <w:b/>
                <w:lang w:val="en-CA"/>
              </w:rPr>
              <w:t>0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06D2CEA" w14:textId="77777777" w:rsidR="00B6530D" w:rsidRPr="00464838" w:rsidRDefault="00B6530D" w:rsidP="00FE1105">
            <w:pPr>
              <w:jc w:val="right"/>
              <w:rPr>
                <w:rFonts w:ascii="Arial" w:hAnsi="Arial" w:cs="Arial"/>
                <w:b/>
                <w:lang w:val="en-CA"/>
              </w:rPr>
            </w:pPr>
            <w:r w:rsidRPr="00464838">
              <w:rPr>
                <w:rFonts w:ascii="Arial" w:hAnsi="Arial" w:cs="Arial"/>
                <w:b/>
                <w:lang w:val="en-CA"/>
              </w:rPr>
              <w:t>19.5</w:t>
            </w:r>
            <w:r>
              <w:rPr>
                <w:rFonts w:ascii="Arial" w:hAnsi="Arial" w:cs="Arial"/>
                <w:b/>
                <w:lang w:val="en-CA"/>
              </w:rPr>
              <w:t>0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760DD1C" w14:textId="77777777" w:rsidR="00B6530D" w:rsidRPr="00464838" w:rsidRDefault="00B6530D" w:rsidP="00FE1105">
            <w:pPr>
              <w:jc w:val="right"/>
              <w:rPr>
                <w:rFonts w:ascii="Arial" w:hAnsi="Arial" w:cs="Arial"/>
                <w:b/>
                <w:lang w:val="en-CA"/>
              </w:rPr>
            </w:pPr>
            <w:r w:rsidRPr="00464838">
              <w:rPr>
                <w:rFonts w:ascii="Arial" w:hAnsi="Arial" w:cs="Arial"/>
                <w:b/>
                <w:lang w:val="en-CA"/>
              </w:rPr>
              <w:t>5.4</w:t>
            </w:r>
            <w:r>
              <w:rPr>
                <w:rFonts w:ascii="Arial" w:hAnsi="Arial" w:cs="Arial"/>
                <w:b/>
                <w:lang w:val="en-CA"/>
              </w:rPr>
              <w:t>0</w:t>
            </w:r>
          </w:p>
        </w:tc>
      </w:tr>
      <w:tr w:rsidR="00B6530D" w:rsidRPr="00464838" w14:paraId="3452192D" w14:textId="77777777" w:rsidTr="00FE1105">
        <w:trPr>
          <w:trHeight w:val="288"/>
          <w:jc w:val="center"/>
        </w:trPr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6F77F4" w14:textId="42D65F33" w:rsidR="00B6530D" w:rsidRPr="00464838" w:rsidRDefault="00B6530D" w:rsidP="00FB246D">
            <w:pPr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Purchases during the fiscal year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599FA3" w14:textId="77777777" w:rsidR="00B6530D" w:rsidRPr="00464838" w:rsidRDefault="00B6530D" w:rsidP="00FE1105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863.80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4DFB71" w14:textId="77777777" w:rsidR="00B6530D" w:rsidRPr="00464838" w:rsidRDefault="00B6530D" w:rsidP="00FE1105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984.34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B405FA" w14:textId="77777777" w:rsidR="00B6530D" w:rsidRPr="00464838" w:rsidRDefault="00B6530D" w:rsidP="00FE1105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1,078.32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561F30" w14:textId="77777777" w:rsidR="00B6530D" w:rsidRPr="00464838" w:rsidRDefault="00B6530D" w:rsidP="00FE1105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1,051.11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F74656" w14:textId="77777777" w:rsidR="00B6530D" w:rsidRPr="00464838" w:rsidRDefault="00B6530D" w:rsidP="00FE1105">
            <w:pPr>
              <w:jc w:val="right"/>
              <w:rPr>
                <w:rFonts w:ascii="Arial" w:hAnsi="Arial" w:cs="Arial"/>
                <w:lang w:val="en-CA"/>
              </w:rPr>
            </w:pPr>
            <w:r w:rsidRPr="00464838">
              <w:rPr>
                <w:rFonts w:ascii="Arial" w:hAnsi="Arial" w:cs="Arial"/>
                <w:lang w:val="en-CA"/>
              </w:rPr>
              <w:t>1,072.55</w:t>
            </w:r>
          </w:p>
        </w:tc>
      </w:tr>
    </w:tbl>
    <w:p w14:paraId="4C9C9536" w14:textId="77777777" w:rsidR="00B6530D" w:rsidRDefault="00B6530D" w:rsidP="00B6530D">
      <w:pPr>
        <w:pStyle w:val="BodyTextMain"/>
        <w:rPr>
          <w:lang w:val="en-CA"/>
        </w:rPr>
      </w:pPr>
    </w:p>
    <w:p w14:paraId="48147230" w14:textId="543CD3AE" w:rsidR="0089190E" w:rsidRDefault="00B6530D" w:rsidP="00DD0DB7">
      <w:pPr>
        <w:pStyle w:val="Footnote"/>
      </w:pPr>
      <w:r w:rsidRPr="00464838">
        <w:t xml:space="preserve">Source: </w:t>
      </w:r>
      <w:r w:rsidR="00FB246D">
        <w:t>Company documents</w:t>
      </w:r>
      <w:r w:rsidRPr="00464838">
        <w:t>.</w:t>
      </w:r>
    </w:p>
    <w:p w14:paraId="536D6E28" w14:textId="77777777" w:rsidR="0089190E" w:rsidRDefault="0089190E" w:rsidP="00DD0DB7">
      <w:pPr>
        <w:pStyle w:val="Footnote"/>
      </w:pPr>
    </w:p>
    <w:p w14:paraId="3F233AB9" w14:textId="77777777" w:rsidR="0089190E" w:rsidRDefault="0089190E" w:rsidP="00DD0DB7">
      <w:pPr>
        <w:pStyle w:val="Footnote"/>
      </w:pPr>
    </w:p>
    <w:p w14:paraId="1BB5DCA8" w14:textId="3728F10F" w:rsidR="00B6530D" w:rsidRDefault="00B6530D" w:rsidP="00DD0DB7">
      <w:pPr>
        <w:pStyle w:val="Casehead1"/>
        <w:jc w:val="center"/>
      </w:pPr>
      <w:r w:rsidRPr="00464838">
        <w:t xml:space="preserve">Exhibit </w:t>
      </w:r>
      <w:r w:rsidR="006E2A4F">
        <w:t>6</w:t>
      </w:r>
      <w:r w:rsidRPr="00464838">
        <w:t xml:space="preserve">: Summary </w:t>
      </w:r>
      <w:r w:rsidRPr="003A4EB5">
        <w:t xml:space="preserve">of </w:t>
      </w:r>
      <w:r w:rsidR="00E82BF0">
        <w:t>JBS</w:t>
      </w:r>
      <w:r w:rsidRPr="003A4EB5">
        <w:t>’s Balance</w:t>
      </w:r>
      <w:r>
        <w:t xml:space="preserve"> Sheets, 2010</w:t>
      </w:r>
      <w:r w:rsidR="00FB246D">
        <w:t>–</w:t>
      </w:r>
      <w:r w:rsidRPr="00464838">
        <w:t>2015</w:t>
      </w:r>
      <w:r w:rsidR="00FB246D">
        <w:t xml:space="preserve"> </w:t>
      </w:r>
      <w:r>
        <w:t>(</w:t>
      </w:r>
      <w:r w:rsidR="00FB246D">
        <w:t xml:space="preserve">in </w:t>
      </w:r>
      <w:r w:rsidRPr="00FD05B7">
        <w:rPr>
          <w:lang w:val="en-CA"/>
        </w:rPr>
        <w:t>₹</w:t>
      </w:r>
      <w:r>
        <w:rPr>
          <w:lang w:val="en-CA"/>
        </w:rPr>
        <w:t xml:space="preserve"> million</w:t>
      </w:r>
      <w:r w:rsidR="00FB246D">
        <w:rPr>
          <w:lang w:val="en-CA"/>
        </w:rPr>
        <w:t>s</w:t>
      </w:r>
      <w:r w:rsidRPr="00464838">
        <w:t>)</w:t>
      </w:r>
    </w:p>
    <w:p w14:paraId="2ADECCCF" w14:textId="77777777" w:rsidR="00B6530D" w:rsidRPr="00464838" w:rsidRDefault="00B6530D" w:rsidP="00B6530D">
      <w:pPr>
        <w:pStyle w:val="BodyTextMain"/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314"/>
        <w:gridCol w:w="1314"/>
        <w:gridCol w:w="1332"/>
        <w:gridCol w:w="1296"/>
        <w:gridCol w:w="1314"/>
      </w:tblGrid>
      <w:tr w:rsidR="003211CB" w:rsidRPr="00464838" w14:paraId="4CD82FA7" w14:textId="77777777" w:rsidTr="002726D0">
        <w:trPr>
          <w:trHeight w:val="288"/>
          <w:jc w:val="center"/>
        </w:trPr>
        <w:tc>
          <w:tcPr>
            <w:tcW w:w="2790" w:type="dxa"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</w:tcPr>
          <w:p w14:paraId="4063E862" w14:textId="484FD5BA" w:rsidR="00B6530D" w:rsidRPr="00464838" w:rsidRDefault="00230A67" w:rsidP="002726D0">
            <w:pPr>
              <w:jc w:val="right"/>
              <w:rPr>
                <w:rFonts w:ascii="Arial" w:hAnsi="Arial" w:cs="Arial"/>
                <w:b/>
                <w:bCs/>
                <w:color w:val="000000"/>
                <w:lang w:val="en-CA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CA"/>
              </w:rPr>
              <w:t>Fiscal Year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</w:tcPr>
          <w:p w14:paraId="53D6C082" w14:textId="283E4972" w:rsidR="00B6530D" w:rsidRPr="00464838" w:rsidRDefault="00B6530D" w:rsidP="002726D0">
            <w:pPr>
              <w:jc w:val="right"/>
              <w:rPr>
                <w:rFonts w:ascii="Arial" w:hAnsi="Arial" w:cs="Arial"/>
                <w:b/>
                <w:bCs/>
                <w:color w:val="000000"/>
                <w:lang w:val="en-CA"/>
              </w:rPr>
            </w:pPr>
            <w:r w:rsidRPr="00464838">
              <w:rPr>
                <w:rFonts w:ascii="Arial" w:hAnsi="Arial" w:cs="Arial"/>
                <w:b/>
                <w:bCs/>
                <w:color w:val="000000"/>
                <w:lang w:val="en-CA"/>
              </w:rPr>
              <w:t>2010</w:t>
            </w:r>
            <w:r w:rsidR="00230A67">
              <w:rPr>
                <w:rFonts w:ascii="Arial" w:hAnsi="Arial" w:cs="Arial"/>
                <w:b/>
                <w:bCs/>
                <w:color w:val="000000"/>
                <w:lang w:val="en-CA"/>
              </w:rPr>
              <w:t>/</w:t>
            </w:r>
            <w:r w:rsidRPr="00464838">
              <w:rPr>
                <w:rFonts w:ascii="Arial" w:hAnsi="Arial" w:cs="Arial"/>
                <w:b/>
                <w:bCs/>
                <w:color w:val="000000"/>
                <w:lang w:val="en-CA"/>
              </w:rPr>
              <w:t>11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</w:tcPr>
          <w:p w14:paraId="70A40AF3" w14:textId="6ECFFABA" w:rsidR="00B6530D" w:rsidRPr="00464838" w:rsidRDefault="00B6530D" w:rsidP="002726D0">
            <w:pPr>
              <w:jc w:val="right"/>
              <w:rPr>
                <w:rFonts w:ascii="Arial" w:hAnsi="Arial" w:cs="Arial"/>
                <w:b/>
                <w:bCs/>
                <w:color w:val="000000"/>
                <w:lang w:val="en-CA"/>
              </w:rPr>
            </w:pPr>
            <w:r w:rsidRPr="00464838">
              <w:rPr>
                <w:rFonts w:ascii="Arial" w:hAnsi="Arial" w:cs="Arial"/>
                <w:b/>
                <w:bCs/>
                <w:color w:val="000000"/>
                <w:lang w:val="en-CA"/>
              </w:rPr>
              <w:t>2011</w:t>
            </w:r>
            <w:r w:rsidR="00230A67">
              <w:rPr>
                <w:rFonts w:ascii="Arial" w:hAnsi="Arial" w:cs="Arial"/>
                <w:b/>
                <w:bCs/>
                <w:color w:val="000000"/>
                <w:lang w:val="en-CA"/>
              </w:rPr>
              <w:t>/</w:t>
            </w:r>
            <w:r w:rsidRPr="00464838">
              <w:rPr>
                <w:rFonts w:ascii="Arial" w:hAnsi="Arial" w:cs="Arial"/>
                <w:b/>
                <w:bCs/>
                <w:color w:val="000000"/>
                <w:lang w:val="en-CA"/>
              </w:rPr>
              <w:t>12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</w:tcPr>
          <w:p w14:paraId="6044F04E" w14:textId="1B909AF9" w:rsidR="00B6530D" w:rsidRPr="00464838" w:rsidRDefault="00B6530D" w:rsidP="002726D0">
            <w:pPr>
              <w:jc w:val="right"/>
              <w:rPr>
                <w:rFonts w:ascii="Arial" w:hAnsi="Arial" w:cs="Arial"/>
                <w:b/>
                <w:bCs/>
                <w:color w:val="000000"/>
                <w:lang w:val="en-CA"/>
              </w:rPr>
            </w:pPr>
            <w:r w:rsidRPr="00464838">
              <w:rPr>
                <w:rFonts w:ascii="Arial" w:hAnsi="Arial" w:cs="Arial"/>
                <w:b/>
                <w:bCs/>
                <w:color w:val="000000"/>
                <w:lang w:val="en-CA"/>
              </w:rPr>
              <w:t>2012</w:t>
            </w:r>
            <w:r w:rsidR="00230A67">
              <w:rPr>
                <w:rFonts w:ascii="Arial" w:hAnsi="Arial" w:cs="Arial"/>
                <w:b/>
                <w:bCs/>
                <w:color w:val="000000"/>
                <w:lang w:val="en-CA"/>
              </w:rPr>
              <w:t>/</w:t>
            </w:r>
            <w:r w:rsidRPr="00464838">
              <w:rPr>
                <w:rFonts w:ascii="Arial" w:hAnsi="Arial" w:cs="Arial"/>
                <w:b/>
                <w:bCs/>
                <w:color w:val="000000"/>
                <w:lang w:val="en-CA"/>
              </w:rPr>
              <w:t>13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</w:tcPr>
          <w:p w14:paraId="4FC3CD0E" w14:textId="391654CF" w:rsidR="00B6530D" w:rsidRPr="00464838" w:rsidRDefault="00B6530D" w:rsidP="002726D0">
            <w:pPr>
              <w:jc w:val="right"/>
              <w:rPr>
                <w:rFonts w:ascii="Arial" w:hAnsi="Arial" w:cs="Arial"/>
                <w:b/>
                <w:bCs/>
                <w:color w:val="000000"/>
                <w:lang w:val="en-CA"/>
              </w:rPr>
            </w:pPr>
            <w:r w:rsidRPr="00464838">
              <w:rPr>
                <w:rFonts w:ascii="Arial" w:hAnsi="Arial" w:cs="Arial"/>
                <w:b/>
                <w:bCs/>
                <w:color w:val="000000"/>
                <w:lang w:val="en-CA"/>
              </w:rPr>
              <w:t>2013</w:t>
            </w:r>
            <w:r w:rsidR="00230A67">
              <w:rPr>
                <w:rFonts w:ascii="Arial" w:hAnsi="Arial" w:cs="Arial"/>
                <w:b/>
                <w:bCs/>
                <w:color w:val="000000"/>
                <w:lang w:val="en-CA"/>
              </w:rPr>
              <w:t>/</w:t>
            </w:r>
            <w:r w:rsidRPr="00464838">
              <w:rPr>
                <w:rFonts w:ascii="Arial" w:hAnsi="Arial" w:cs="Arial"/>
                <w:b/>
                <w:bCs/>
                <w:color w:val="000000"/>
                <w:lang w:val="en-CA"/>
              </w:rPr>
              <w:t>14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</w:tcPr>
          <w:p w14:paraId="259E816E" w14:textId="78D7DA77" w:rsidR="00B6530D" w:rsidRPr="00464838" w:rsidRDefault="00B6530D" w:rsidP="002726D0">
            <w:pPr>
              <w:jc w:val="right"/>
              <w:rPr>
                <w:rFonts w:ascii="Arial" w:hAnsi="Arial" w:cs="Arial"/>
                <w:b/>
                <w:bCs/>
                <w:color w:val="000000"/>
                <w:lang w:val="en-CA"/>
              </w:rPr>
            </w:pPr>
            <w:r w:rsidRPr="00464838">
              <w:rPr>
                <w:rFonts w:ascii="Arial" w:hAnsi="Arial" w:cs="Arial"/>
                <w:b/>
                <w:bCs/>
                <w:color w:val="000000"/>
                <w:lang w:val="en-CA"/>
              </w:rPr>
              <w:t>2014</w:t>
            </w:r>
            <w:r w:rsidR="00230A67">
              <w:rPr>
                <w:rFonts w:ascii="Arial" w:hAnsi="Arial" w:cs="Arial"/>
                <w:b/>
                <w:bCs/>
                <w:color w:val="000000"/>
                <w:lang w:val="en-CA"/>
              </w:rPr>
              <w:t>/</w:t>
            </w:r>
            <w:r w:rsidRPr="00464838">
              <w:rPr>
                <w:rFonts w:ascii="Arial" w:hAnsi="Arial" w:cs="Arial"/>
                <w:b/>
                <w:bCs/>
                <w:color w:val="000000"/>
                <w:lang w:val="en-CA"/>
              </w:rPr>
              <w:t>15</w:t>
            </w:r>
          </w:p>
        </w:tc>
      </w:tr>
      <w:tr w:rsidR="003211CB" w:rsidRPr="00464838" w14:paraId="4A473C87" w14:textId="77777777" w:rsidTr="002726D0">
        <w:trPr>
          <w:trHeight w:val="288"/>
          <w:jc w:val="center"/>
        </w:trPr>
        <w:tc>
          <w:tcPr>
            <w:tcW w:w="2790" w:type="dxa"/>
            <w:tcBorders>
              <w:top w:val="single" w:sz="12" w:space="0" w:color="auto"/>
            </w:tcBorders>
            <w:vAlign w:val="center"/>
            <w:hideMark/>
          </w:tcPr>
          <w:p w14:paraId="1CA8F994" w14:textId="0BE4F408" w:rsidR="00B6530D" w:rsidRPr="00464838" w:rsidRDefault="00B6530D" w:rsidP="003211CB">
            <w:pPr>
              <w:pStyle w:val="ExhibitText"/>
              <w:jc w:val="left"/>
              <w:rPr>
                <w:lang w:val="en-CA"/>
              </w:rPr>
            </w:pPr>
            <w:r w:rsidRPr="00464838">
              <w:rPr>
                <w:lang w:val="en-CA"/>
              </w:rPr>
              <w:t xml:space="preserve">Current </w:t>
            </w:r>
            <w:r w:rsidR="003211CB">
              <w:rPr>
                <w:lang w:val="en-CA"/>
              </w:rPr>
              <w:t>a</w:t>
            </w:r>
            <w:r w:rsidRPr="00464838">
              <w:rPr>
                <w:lang w:val="en-CA"/>
              </w:rPr>
              <w:t>ssets</w:t>
            </w:r>
          </w:p>
        </w:tc>
        <w:tc>
          <w:tcPr>
            <w:tcW w:w="1314" w:type="dxa"/>
            <w:tcBorders>
              <w:top w:val="single" w:sz="12" w:space="0" w:color="auto"/>
            </w:tcBorders>
            <w:vAlign w:val="center"/>
            <w:hideMark/>
          </w:tcPr>
          <w:p w14:paraId="197B696D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 xml:space="preserve"> </w:t>
            </w:r>
          </w:p>
        </w:tc>
        <w:tc>
          <w:tcPr>
            <w:tcW w:w="1314" w:type="dxa"/>
            <w:tcBorders>
              <w:top w:val="single" w:sz="12" w:space="0" w:color="auto"/>
            </w:tcBorders>
            <w:vAlign w:val="center"/>
            <w:hideMark/>
          </w:tcPr>
          <w:p w14:paraId="2E883917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</w:p>
        </w:tc>
        <w:tc>
          <w:tcPr>
            <w:tcW w:w="1332" w:type="dxa"/>
            <w:tcBorders>
              <w:top w:val="single" w:sz="12" w:space="0" w:color="auto"/>
            </w:tcBorders>
            <w:vAlign w:val="center"/>
            <w:hideMark/>
          </w:tcPr>
          <w:p w14:paraId="3B02ED90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</w:p>
        </w:tc>
        <w:tc>
          <w:tcPr>
            <w:tcW w:w="1296" w:type="dxa"/>
            <w:tcBorders>
              <w:top w:val="single" w:sz="12" w:space="0" w:color="auto"/>
            </w:tcBorders>
            <w:vAlign w:val="center"/>
            <w:hideMark/>
          </w:tcPr>
          <w:p w14:paraId="7A608EB7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</w:p>
        </w:tc>
        <w:tc>
          <w:tcPr>
            <w:tcW w:w="1314" w:type="dxa"/>
            <w:tcBorders>
              <w:top w:val="single" w:sz="12" w:space="0" w:color="auto"/>
            </w:tcBorders>
            <w:vAlign w:val="center"/>
            <w:hideMark/>
          </w:tcPr>
          <w:p w14:paraId="655007C7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</w:p>
        </w:tc>
      </w:tr>
      <w:tr w:rsidR="003211CB" w:rsidRPr="00464838" w14:paraId="0B399367" w14:textId="77777777" w:rsidTr="002726D0">
        <w:trPr>
          <w:trHeight w:val="288"/>
          <w:jc w:val="center"/>
        </w:trPr>
        <w:tc>
          <w:tcPr>
            <w:tcW w:w="2790" w:type="dxa"/>
            <w:vAlign w:val="center"/>
            <w:hideMark/>
          </w:tcPr>
          <w:p w14:paraId="29E9DBB7" w14:textId="77777777" w:rsidR="00B6530D" w:rsidRPr="00464838" w:rsidRDefault="00B6530D" w:rsidP="003211CB">
            <w:pPr>
              <w:pStyle w:val="ExhibitText"/>
              <w:ind w:left="144"/>
              <w:jc w:val="left"/>
              <w:rPr>
                <w:lang w:val="en-CA"/>
              </w:rPr>
            </w:pPr>
            <w:r w:rsidRPr="00464838">
              <w:rPr>
                <w:lang w:val="en-CA"/>
              </w:rPr>
              <w:t>Cash</w:t>
            </w:r>
          </w:p>
        </w:tc>
        <w:tc>
          <w:tcPr>
            <w:tcW w:w="1314" w:type="dxa"/>
            <w:vAlign w:val="center"/>
            <w:hideMark/>
          </w:tcPr>
          <w:p w14:paraId="0B9EB8B3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 xml:space="preserve"> 7.29 </w:t>
            </w:r>
          </w:p>
        </w:tc>
        <w:tc>
          <w:tcPr>
            <w:tcW w:w="1314" w:type="dxa"/>
            <w:vAlign w:val="center"/>
            <w:hideMark/>
          </w:tcPr>
          <w:p w14:paraId="63206DDD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 xml:space="preserve"> 17.16 </w:t>
            </w:r>
          </w:p>
        </w:tc>
        <w:tc>
          <w:tcPr>
            <w:tcW w:w="1332" w:type="dxa"/>
            <w:vAlign w:val="center"/>
            <w:hideMark/>
          </w:tcPr>
          <w:p w14:paraId="6E239205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 xml:space="preserve"> 7.55 </w:t>
            </w:r>
          </w:p>
        </w:tc>
        <w:tc>
          <w:tcPr>
            <w:tcW w:w="1296" w:type="dxa"/>
            <w:vAlign w:val="center"/>
            <w:hideMark/>
          </w:tcPr>
          <w:p w14:paraId="65A5C8BE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 xml:space="preserve"> 7.27 </w:t>
            </w:r>
          </w:p>
        </w:tc>
        <w:tc>
          <w:tcPr>
            <w:tcW w:w="1314" w:type="dxa"/>
            <w:vAlign w:val="center"/>
            <w:hideMark/>
          </w:tcPr>
          <w:p w14:paraId="241315D7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>8.52</w:t>
            </w:r>
          </w:p>
        </w:tc>
      </w:tr>
      <w:tr w:rsidR="003211CB" w:rsidRPr="00464838" w14:paraId="5E1D28A1" w14:textId="77777777" w:rsidTr="002726D0">
        <w:trPr>
          <w:trHeight w:val="288"/>
          <w:jc w:val="center"/>
        </w:trPr>
        <w:tc>
          <w:tcPr>
            <w:tcW w:w="2790" w:type="dxa"/>
            <w:vAlign w:val="center"/>
            <w:hideMark/>
          </w:tcPr>
          <w:p w14:paraId="3AD89608" w14:textId="77777777" w:rsidR="00B6530D" w:rsidRPr="00464838" w:rsidRDefault="00B6530D" w:rsidP="003211CB">
            <w:pPr>
              <w:pStyle w:val="ExhibitText"/>
              <w:ind w:left="144"/>
              <w:jc w:val="left"/>
              <w:rPr>
                <w:lang w:val="en-CA"/>
              </w:rPr>
            </w:pPr>
            <w:r w:rsidRPr="00464838">
              <w:rPr>
                <w:lang w:val="en-CA"/>
              </w:rPr>
              <w:t>Accounts receivable</w:t>
            </w:r>
          </w:p>
        </w:tc>
        <w:tc>
          <w:tcPr>
            <w:tcW w:w="1314" w:type="dxa"/>
            <w:vAlign w:val="center"/>
            <w:hideMark/>
          </w:tcPr>
          <w:p w14:paraId="220092EA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 xml:space="preserve"> 235.69 </w:t>
            </w:r>
          </w:p>
        </w:tc>
        <w:tc>
          <w:tcPr>
            <w:tcW w:w="1314" w:type="dxa"/>
            <w:vAlign w:val="center"/>
            <w:hideMark/>
          </w:tcPr>
          <w:p w14:paraId="0B10E4F7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 xml:space="preserve"> 294.54 </w:t>
            </w:r>
          </w:p>
        </w:tc>
        <w:tc>
          <w:tcPr>
            <w:tcW w:w="1332" w:type="dxa"/>
            <w:vAlign w:val="center"/>
            <w:hideMark/>
          </w:tcPr>
          <w:p w14:paraId="222C95EC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 xml:space="preserve"> 314.77 </w:t>
            </w:r>
          </w:p>
        </w:tc>
        <w:tc>
          <w:tcPr>
            <w:tcW w:w="1296" w:type="dxa"/>
            <w:vAlign w:val="center"/>
            <w:hideMark/>
          </w:tcPr>
          <w:p w14:paraId="23804F6F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 xml:space="preserve"> 297.18 </w:t>
            </w:r>
          </w:p>
        </w:tc>
        <w:tc>
          <w:tcPr>
            <w:tcW w:w="1314" w:type="dxa"/>
            <w:vAlign w:val="center"/>
            <w:hideMark/>
          </w:tcPr>
          <w:p w14:paraId="0C7420DB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>271.25</w:t>
            </w:r>
          </w:p>
        </w:tc>
      </w:tr>
      <w:tr w:rsidR="003211CB" w:rsidRPr="00464838" w14:paraId="1CA7C2B3" w14:textId="77777777" w:rsidTr="002726D0">
        <w:trPr>
          <w:trHeight w:val="288"/>
          <w:jc w:val="center"/>
        </w:trPr>
        <w:tc>
          <w:tcPr>
            <w:tcW w:w="2790" w:type="dxa"/>
            <w:vAlign w:val="center"/>
            <w:hideMark/>
          </w:tcPr>
          <w:p w14:paraId="1FAC95BC" w14:textId="77777777" w:rsidR="00B6530D" w:rsidRPr="00464838" w:rsidRDefault="00B6530D" w:rsidP="003211CB">
            <w:pPr>
              <w:pStyle w:val="ExhibitText"/>
              <w:ind w:left="144"/>
              <w:jc w:val="left"/>
              <w:rPr>
                <w:lang w:val="en-CA"/>
              </w:rPr>
            </w:pPr>
            <w:r w:rsidRPr="00464838">
              <w:rPr>
                <w:lang w:val="en-CA"/>
              </w:rPr>
              <w:t>Inventory</w:t>
            </w:r>
          </w:p>
        </w:tc>
        <w:tc>
          <w:tcPr>
            <w:tcW w:w="1314" w:type="dxa"/>
            <w:vAlign w:val="center"/>
            <w:hideMark/>
          </w:tcPr>
          <w:p w14:paraId="3AF920B1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 xml:space="preserve"> 116.36 </w:t>
            </w:r>
          </w:p>
        </w:tc>
        <w:tc>
          <w:tcPr>
            <w:tcW w:w="1314" w:type="dxa"/>
            <w:vAlign w:val="center"/>
            <w:hideMark/>
          </w:tcPr>
          <w:p w14:paraId="02680683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 xml:space="preserve"> 102.99 </w:t>
            </w:r>
          </w:p>
        </w:tc>
        <w:tc>
          <w:tcPr>
            <w:tcW w:w="1332" w:type="dxa"/>
            <w:vAlign w:val="center"/>
            <w:hideMark/>
          </w:tcPr>
          <w:p w14:paraId="6BCE8BC1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 xml:space="preserve"> 109.85 </w:t>
            </w:r>
          </w:p>
        </w:tc>
        <w:tc>
          <w:tcPr>
            <w:tcW w:w="1296" w:type="dxa"/>
            <w:vAlign w:val="center"/>
            <w:hideMark/>
          </w:tcPr>
          <w:p w14:paraId="6DD465D8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 xml:space="preserve"> 131.64 </w:t>
            </w:r>
          </w:p>
        </w:tc>
        <w:tc>
          <w:tcPr>
            <w:tcW w:w="1314" w:type="dxa"/>
            <w:vAlign w:val="center"/>
            <w:hideMark/>
          </w:tcPr>
          <w:p w14:paraId="0854149F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>134.71</w:t>
            </w:r>
          </w:p>
        </w:tc>
      </w:tr>
      <w:tr w:rsidR="003211CB" w:rsidRPr="00464838" w14:paraId="7BDDD2D2" w14:textId="77777777" w:rsidTr="002726D0">
        <w:trPr>
          <w:trHeight w:val="288"/>
          <w:jc w:val="center"/>
        </w:trPr>
        <w:tc>
          <w:tcPr>
            <w:tcW w:w="2790" w:type="dxa"/>
            <w:vAlign w:val="center"/>
            <w:hideMark/>
          </w:tcPr>
          <w:p w14:paraId="6AE50393" w14:textId="77777777" w:rsidR="00B6530D" w:rsidRPr="00464838" w:rsidRDefault="00B6530D" w:rsidP="003211CB">
            <w:pPr>
              <w:pStyle w:val="ExhibitText"/>
              <w:ind w:left="144"/>
              <w:jc w:val="left"/>
              <w:rPr>
                <w:lang w:val="en-CA"/>
              </w:rPr>
            </w:pPr>
            <w:r w:rsidRPr="00464838">
              <w:rPr>
                <w:lang w:val="en-CA"/>
              </w:rPr>
              <w:t>Short-term loans and advances</w:t>
            </w:r>
          </w:p>
        </w:tc>
        <w:tc>
          <w:tcPr>
            <w:tcW w:w="1314" w:type="dxa"/>
            <w:vAlign w:val="center"/>
            <w:hideMark/>
          </w:tcPr>
          <w:p w14:paraId="6EC7013B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 xml:space="preserve"> 54.33 </w:t>
            </w:r>
          </w:p>
        </w:tc>
        <w:tc>
          <w:tcPr>
            <w:tcW w:w="1314" w:type="dxa"/>
            <w:vAlign w:val="center"/>
            <w:hideMark/>
          </w:tcPr>
          <w:p w14:paraId="638724C0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 xml:space="preserve"> 52.69 </w:t>
            </w:r>
          </w:p>
        </w:tc>
        <w:tc>
          <w:tcPr>
            <w:tcW w:w="1332" w:type="dxa"/>
            <w:vAlign w:val="center"/>
            <w:hideMark/>
          </w:tcPr>
          <w:p w14:paraId="5299BE61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 xml:space="preserve"> 138.92 </w:t>
            </w:r>
          </w:p>
        </w:tc>
        <w:tc>
          <w:tcPr>
            <w:tcW w:w="1296" w:type="dxa"/>
            <w:vAlign w:val="center"/>
            <w:hideMark/>
          </w:tcPr>
          <w:p w14:paraId="6F2966E7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 xml:space="preserve"> 71.23 </w:t>
            </w:r>
          </w:p>
        </w:tc>
        <w:tc>
          <w:tcPr>
            <w:tcW w:w="1314" w:type="dxa"/>
            <w:vAlign w:val="center"/>
            <w:hideMark/>
          </w:tcPr>
          <w:p w14:paraId="225D99B1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>70.28</w:t>
            </w:r>
          </w:p>
        </w:tc>
      </w:tr>
      <w:tr w:rsidR="003211CB" w:rsidRPr="00464838" w14:paraId="7C067077" w14:textId="77777777" w:rsidTr="002726D0">
        <w:trPr>
          <w:trHeight w:val="288"/>
          <w:jc w:val="center"/>
        </w:trPr>
        <w:tc>
          <w:tcPr>
            <w:tcW w:w="2790" w:type="dxa"/>
            <w:vAlign w:val="center"/>
            <w:hideMark/>
          </w:tcPr>
          <w:p w14:paraId="07EDB2FC" w14:textId="77777777" w:rsidR="00B6530D" w:rsidRPr="00464838" w:rsidRDefault="00B6530D" w:rsidP="003211CB">
            <w:pPr>
              <w:pStyle w:val="ExhibitText"/>
              <w:jc w:val="left"/>
              <w:rPr>
                <w:lang w:val="en-CA"/>
              </w:rPr>
            </w:pPr>
            <w:r w:rsidRPr="00464838">
              <w:rPr>
                <w:lang w:val="en-CA"/>
              </w:rPr>
              <w:t>Non-current assets</w:t>
            </w:r>
          </w:p>
        </w:tc>
        <w:tc>
          <w:tcPr>
            <w:tcW w:w="1314" w:type="dxa"/>
            <w:vAlign w:val="center"/>
            <w:hideMark/>
          </w:tcPr>
          <w:p w14:paraId="44F82837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 xml:space="preserve"> 176.15 </w:t>
            </w:r>
          </w:p>
        </w:tc>
        <w:tc>
          <w:tcPr>
            <w:tcW w:w="1314" w:type="dxa"/>
            <w:vAlign w:val="center"/>
            <w:hideMark/>
          </w:tcPr>
          <w:p w14:paraId="7F2BA86F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 xml:space="preserve"> 252.82 </w:t>
            </w:r>
          </w:p>
        </w:tc>
        <w:tc>
          <w:tcPr>
            <w:tcW w:w="1332" w:type="dxa"/>
            <w:vAlign w:val="center"/>
            <w:hideMark/>
          </w:tcPr>
          <w:p w14:paraId="48E99E17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 xml:space="preserve"> 181.40 </w:t>
            </w:r>
          </w:p>
        </w:tc>
        <w:tc>
          <w:tcPr>
            <w:tcW w:w="1296" w:type="dxa"/>
            <w:vAlign w:val="center"/>
            <w:hideMark/>
          </w:tcPr>
          <w:p w14:paraId="4562A442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 xml:space="preserve"> 283.71 </w:t>
            </w:r>
          </w:p>
        </w:tc>
        <w:tc>
          <w:tcPr>
            <w:tcW w:w="1314" w:type="dxa"/>
            <w:vAlign w:val="center"/>
            <w:hideMark/>
          </w:tcPr>
          <w:p w14:paraId="744451E3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>283.03</w:t>
            </w:r>
          </w:p>
        </w:tc>
      </w:tr>
      <w:tr w:rsidR="003211CB" w:rsidRPr="003211CB" w14:paraId="4E8B79B9" w14:textId="77777777" w:rsidTr="002726D0">
        <w:trPr>
          <w:trHeight w:val="288"/>
          <w:jc w:val="center"/>
        </w:trPr>
        <w:tc>
          <w:tcPr>
            <w:tcW w:w="2790" w:type="dxa"/>
            <w:tcBorders>
              <w:bottom w:val="single" w:sz="4" w:space="0" w:color="auto"/>
            </w:tcBorders>
            <w:vAlign w:val="center"/>
            <w:hideMark/>
          </w:tcPr>
          <w:p w14:paraId="1E1580F1" w14:textId="77777777" w:rsidR="00B6530D" w:rsidRPr="003211CB" w:rsidRDefault="00B6530D" w:rsidP="003211CB">
            <w:pPr>
              <w:pStyle w:val="ExhibitText"/>
              <w:jc w:val="left"/>
              <w:rPr>
                <w:b/>
                <w:bCs/>
                <w:lang w:val="en-CA"/>
              </w:rPr>
            </w:pPr>
            <w:r w:rsidRPr="003211CB">
              <w:rPr>
                <w:b/>
                <w:bCs/>
                <w:lang w:val="en-CA"/>
              </w:rPr>
              <w:t>Total assets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vAlign w:val="center"/>
            <w:hideMark/>
          </w:tcPr>
          <w:p w14:paraId="3A004CD5" w14:textId="77777777" w:rsidR="00B6530D" w:rsidRPr="003211CB" w:rsidRDefault="00B6530D" w:rsidP="003211CB">
            <w:pPr>
              <w:pStyle w:val="ExhibitText"/>
              <w:jc w:val="right"/>
              <w:rPr>
                <w:b/>
                <w:bCs/>
                <w:lang w:val="en-CA"/>
              </w:rPr>
            </w:pPr>
            <w:r w:rsidRPr="0082242C">
              <w:rPr>
                <w:b/>
                <w:bCs/>
                <w:lang w:val="en-CA"/>
              </w:rPr>
              <w:t xml:space="preserve"> 589.82 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vAlign w:val="center"/>
            <w:hideMark/>
          </w:tcPr>
          <w:p w14:paraId="38905275" w14:textId="77777777" w:rsidR="00B6530D" w:rsidRPr="003211CB" w:rsidRDefault="00B6530D" w:rsidP="003211CB">
            <w:pPr>
              <w:pStyle w:val="ExhibitText"/>
              <w:jc w:val="right"/>
              <w:rPr>
                <w:b/>
                <w:bCs/>
                <w:lang w:val="en-CA"/>
              </w:rPr>
            </w:pPr>
            <w:r w:rsidRPr="003211CB">
              <w:rPr>
                <w:b/>
                <w:bCs/>
                <w:lang w:val="en-CA"/>
              </w:rPr>
              <w:t xml:space="preserve"> 720.21 </w:t>
            </w:r>
          </w:p>
        </w:tc>
        <w:tc>
          <w:tcPr>
            <w:tcW w:w="1332" w:type="dxa"/>
            <w:tcBorders>
              <w:bottom w:val="single" w:sz="4" w:space="0" w:color="auto"/>
            </w:tcBorders>
            <w:vAlign w:val="center"/>
            <w:hideMark/>
          </w:tcPr>
          <w:p w14:paraId="13B82C7F" w14:textId="77777777" w:rsidR="00B6530D" w:rsidRPr="003211CB" w:rsidRDefault="00B6530D" w:rsidP="003211CB">
            <w:pPr>
              <w:pStyle w:val="ExhibitText"/>
              <w:jc w:val="right"/>
              <w:rPr>
                <w:b/>
                <w:bCs/>
                <w:lang w:val="en-CA"/>
              </w:rPr>
            </w:pPr>
            <w:r w:rsidRPr="003211CB">
              <w:rPr>
                <w:b/>
                <w:bCs/>
                <w:lang w:val="en-CA"/>
              </w:rPr>
              <w:t xml:space="preserve"> 752.48 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  <w:hideMark/>
          </w:tcPr>
          <w:p w14:paraId="1B8FBD62" w14:textId="77777777" w:rsidR="00B6530D" w:rsidRPr="003211CB" w:rsidRDefault="00B6530D" w:rsidP="003211CB">
            <w:pPr>
              <w:pStyle w:val="ExhibitText"/>
              <w:jc w:val="right"/>
              <w:rPr>
                <w:b/>
                <w:bCs/>
                <w:lang w:val="en-CA"/>
              </w:rPr>
            </w:pPr>
            <w:r w:rsidRPr="003211CB">
              <w:rPr>
                <w:b/>
                <w:bCs/>
                <w:lang w:val="en-CA"/>
              </w:rPr>
              <w:t xml:space="preserve"> 791.03 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vAlign w:val="center"/>
            <w:hideMark/>
          </w:tcPr>
          <w:p w14:paraId="746129BF" w14:textId="77777777" w:rsidR="00B6530D" w:rsidRPr="002726D0" w:rsidRDefault="00B6530D" w:rsidP="003211CB">
            <w:pPr>
              <w:pStyle w:val="ExhibitText"/>
              <w:jc w:val="right"/>
              <w:rPr>
                <w:b/>
                <w:lang w:val="en-CA"/>
              </w:rPr>
            </w:pPr>
            <w:r w:rsidRPr="002726D0">
              <w:rPr>
                <w:b/>
                <w:lang w:val="en-CA"/>
              </w:rPr>
              <w:t>767.79</w:t>
            </w:r>
          </w:p>
        </w:tc>
      </w:tr>
      <w:tr w:rsidR="003211CB" w:rsidRPr="00464838" w14:paraId="49618574" w14:textId="77777777" w:rsidTr="002726D0">
        <w:trPr>
          <w:trHeight w:val="288"/>
          <w:jc w:val="center"/>
        </w:trPr>
        <w:tc>
          <w:tcPr>
            <w:tcW w:w="2790" w:type="dxa"/>
            <w:tcBorders>
              <w:top w:val="single" w:sz="4" w:space="0" w:color="auto"/>
            </w:tcBorders>
            <w:vAlign w:val="center"/>
            <w:hideMark/>
          </w:tcPr>
          <w:p w14:paraId="57C9996E" w14:textId="77777777" w:rsidR="00B6530D" w:rsidRPr="00464838" w:rsidRDefault="00B6530D" w:rsidP="003211CB">
            <w:pPr>
              <w:pStyle w:val="ExhibitText"/>
              <w:jc w:val="left"/>
              <w:rPr>
                <w:lang w:val="en-CA"/>
              </w:rPr>
            </w:pPr>
            <w:r w:rsidRPr="00464838">
              <w:rPr>
                <w:lang w:val="en-CA"/>
              </w:rPr>
              <w:t>Current liabilities</w:t>
            </w:r>
          </w:p>
        </w:tc>
        <w:tc>
          <w:tcPr>
            <w:tcW w:w="1314" w:type="dxa"/>
            <w:tcBorders>
              <w:top w:val="single" w:sz="4" w:space="0" w:color="auto"/>
            </w:tcBorders>
            <w:vAlign w:val="center"/>
            <w:hideMark/>
          </w:tcPr>
          <w:p w14:paraId="6C0FE806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>
              <w:rPr>
                <w:lang w:val="en-CA"/>
              </w:rPr>
              <w:t xml:space="preserve"> </w:t>
            </w:r>
          </w:p>
        </w:tc>
        <w:tc>
          <w:tcPr>
            <w:tcW w:w="1314" w:type="dxa"/>
            <w:tcBorders>
              <w:top w:val="single" w:sz="4" w:space="0" w:color="auto"/>
            </w:tcBorders>
            <w:vAlign w:val="center"/>
            <w:hideMark/>
          </w:tcPr>
          <w:p w14:paraId="394530EE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</w:p>
        </w:tc>
        <w:tc>
          <w:tcPr>
            <w:tcW w:w="1332" w:type="dxa"/>
            <w:tcBorders>
              <w:top w:val="single" w:sz="4" w:space="0" w:color="auto"/>
            </w:tcBorders>
            <w:vAlign w:val="center"/>
            <w:hideMark/>
          </w:tcPr>
          <w:p w14:paraId="2E72F2F4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  <w:hideMark/>
          </w:tcPr>
          <w:p w14:paraId="0ADF41FA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</w:p>
        </w:tc>
        <w:tc>
          <w:tcPr>
            <w:tcW w:w="1314" w:type="dxa"/>
            <w:tcBorders>
              <w:top w:val="single" w:sz="4" w:space="0" w:color="auto"/>
            </w:tcBorders>
            <w:vAlign w:val="center"/>
            <w:hideMark/>
          </w:tcPr>
          <w:p w14:paraId="31F2C44D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</w:p>
        </w:tc>
      </w:tr>
      <w:tr w:rsidR="003211CB" w:rsidRPr="00464838" w14:paraId="5ECA534E" w14:textId="77777777" w:rsidTr="002726D0">
        <w:trPr>
          <w:trHeight w:val="288"/>
          <w:jc w:val="center"/>
        </w:trPr>
        <w:tc>
          <w:tcPr>
            <w:tcW w:w="2790" w:type="dxa"/>
            <w:vAlign w:val="center"/>
            <w:hideMark/>
          </w:tcPr>
          <w:p w14:paraId="3D4997EB" w14:textId="77777777" w:rsidR="00B6530D" w:rsidRPr="00464838" w:rsidRDefault="00B6530D" w:rsidP="003211CB">
            <w:pPr>
              <w:pStyle w:val="ExhibitText"/>
              <w:ind w:left="144"/>
              <w:jc w:val="left"/>
              <w:rPr>
                <w:lang w:val="en-CA"/>
              </w:rPr>
            </w:pPr>
            <w:r w:rsidRPr="00464838">
              <w:rPr>
                <w:lang w:val="en-CA"/>
              </w:rPr>
              <w:t>Accounts payable</w:t>
            </w:r>
          </w:p>
        </w:tc>
        <w:tc>
          <w:tcPr>
            <w:tcW w:w="1314" w:type="dxa"/>
            <w:vAlign w:val="center"/>
            <w:hideMark/>
          </w:tcPr>
          <w:p w14:paraId="4B55F7F9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 xml:space="preserve"> 84.76 </w:t>
            </w:r>
          </w:p>
        </w:tc>
        <w:tc>
          <w:tcPr>
            <w:tcW w:w="1314" w:type="dxa"/>
            <w:vAlign w:val="center"/>
            <w:hideMark/>
          </w:tcPr>
          <w:p w14:paraId="3C16F0FC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 xml:space="preserve"> 136.22 </w:t>
            </w:r>
          </w:p>
        </w:tc>
        <w:tc>
          <w:tcPr>
            <w:tcW w:w="1332" w:type="dxa"/>
            <w:vAlign w:val="center"/>
            <w:hideMark/>
          </w:tcPr>
          <w:p w14:paraId="5727D21B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 xml:space="preserve"> 89.48 </w:t>
            </w:r>
          </w:p>
        </w:tc>
        <w:tc>
          <w:tcPr>
            <w:tcW w:w="1296" w:type="dxa"/>
            <w:vAlign w:val="center"/>
            <w:hideMark/>
          </w:tcPr>
          <w:p w14:paraId="2DB4387E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 xml:space="preserve"> 64.35 </w:t>
            </w:r>
          </w:p>
        </w:tc>
        <w:tc>
          <w:tcPr>
            <w:tcW w:w="1314" w:type="dxa"/>
            <w:vAlign w:val="center"/>
            <w:hideMark/>
          </w:tcPr>
          <w:p w14:paraId="75E7F5B7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>47.13</w:t>
            </w:r>
          </w:p>
        </w:tc>
      </w:tr>
      <w:tr w:rsidR="003211CB" w:rsidRPr="00464838" w14:paraId="3C6B28FC" w14:textId="77777777" w:rsidTr="002726D0">
        <w:trPr>
          <w:trHeight w:val="288"/>
          <w:jc w:val="center"/>
        </w:trPr>
        <w:tc>
          <w:tcPr>
            <w:tcW w:w="2790" w:type="dxa"/>
            <w:vAlign w:val="center"/>
            <w:hideMark/>
          </w:tcPr>
          <w:p w14:paraId="12EAD1D9" w14:textId="77777777" w:rsidR="00B6530D" w:rsidRPr="00464838" w:rsidRDefault="00B6530D" w:rsidP="003211CB">
            <w:pPr>
              <w:pStyle w:val="ExhibitText"/>
              <w:ind w:left="144"/>
              <w:jc w:val="left"/>
              <w:rPr>
                <w:lang w:val="en-CA"/>
              </w:rPr>
            </w:pPr>
            <w:r w:rsidRPr="00464838">
              <w:rPr>
                <w:lang w:val="en-CA"/>
              </w:rPr>
              <w:t>Short-term borrowing</w:t>
            </w:r>
          </w:p>
        </w:tc>
        <w:tc>
          <w:tcPr>
            <w:tcW w:w="1314" w:type="dxa"/>
            <w:vAlign w:val="center"/>
            <w:hideMark/>
          </w:tcPr>
          <w:p w14:paraId="558124A2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 xml:space="preserve"> 34.46 </w:t>
            </w:r>
          </w:p>
        </w:tc>
        <w:tc>
          <w:tcPr>
            <w:tcW w:w="1314" w:type="dxa"/>
            <w:vAlign w:val="center"/>
            <w:hideMark/>
          </w:tcPr>
          <w:p w14:paraId="56673A89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 xml:space="preserve"> 100.85 </w:t>
            </w:r>
          </w:p>
        </w:tc>
        <w:tc>
          <w:tcPr>
            <w:tcW w:w="1332" w:type="dxa"/>
            <w:vAlign w:val="center"/>
            <w:hideMark/>
          </w:tcPr>
          <w:p w14:paraId="513D71E2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 xml:space="preserve"> 152.38 </w:t>
            </w:r>
          </w:p>
        </w:tc>
        <w:tc>
          <w:tcPr>
            <w:tcW w:w="1296" w:type="dxa"/>
            <w:vAlign w:val="center"/>
            <w:hideMark/>
          </w:tcPr>
          <w:p w14:paraId="3D46DC52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 xml:space="preserve"> 167.87 </w:t>
            </w:r>
          </w:p>
        </w:tc>
        <w:tc>
          <w:tcPr>
            <w:tcW w:w="1314" w:type="dxa"/>
            <w:vAlign w:val="center"/>
            <w:hideMark/>
          </w:tcPr>
          <w:p w14:paraId="627EFADF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>176.64</w:t>
            </w:r>
          </w:p>
        </w:tc>
      </w:tr>
      <w:tr w:rsidR="003211CB" w:rsidRPr="00464838" w14:paraId="2D38A20D" w14:textId="77777777" w:rsidTr="002726D0">
        <w:trPr>
          <w:trHeight w:val="288"/>
          <w:jc w:val="center"/>
        </w:trPr>
        <w:tc>
          <w:tcPr>
            <w:tcW w:w="2790" w:type="dxa"/>
            <w:vAlign w:val="center"/>
            <w:hideMark/>
          </w:tcPr>
          <w:p w14:paraId="76101B91" w14:textId="77777777" w:rsidR="00B6530D" w:rsidRPr="00464838" w:rsidRDefault="00B6530D" w:rsidP="003211CB">
            <w:pPr>
              <w:pStyle w:val="ExhibitText"/>
              <w:ind w:left="144"/>
              <w:jc w:val="left"/>
              <w:rPr>
                <w:lang w:val="en-CA"/>
              </w:rPr>
            </w:pPr>
            <w:r w:rsidRPr="00464838">
              <w:rPr>
                <w:lang w:val="en-CA"/>
              </w:rPr>
              <w:t>Short-term provisions</w:t>
            </w:r>
          </w:p>
        </w:tc>
        <w:tc>
          <w:tcPr>
            <w:tcW w:w="1314" w:type="dxa"/>
            <w:vAlign w:val="center"/>
            <w:hideMark/>
          </w:tcPr>
          <w:p w14:paraId="62FE8994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 xml:space="preserve"> 34.46 </w:t>
            </w:r>
          </w:p>
        </w:tc>
        <w:tc>
          <w:tcPr>
            <w:tcW w:w="1314" w:type="dxa"/>
            <w:vAlign w:val="center"/>
            <w:hideMark/>
          </w:tcPr>
          <w:p w14:paraId="59F0CF00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 xml:space="preserve"> 38.33 </w:t>
            </w:r>
          </w:p>
        </w:tc>
        <w:tc>
          <w:tcPr>
            <w:tcW w:w="1332" w:type="dxa"/>
            <w:vAlign w:val="center"/>
            <w:hideMark/>
          </w:tcPr>
          <w:p w14:paraId="064223D9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 xml:space="preserve"> 21.00 </w:t>
            </w:r>
          </w:p>
        </w:tc>
        <w:tc>
          <w:tcPr>
            <w:tcW w:w="1296" w:type="dxa"/>
            <w:vAlign w:val="center"/>
            <w:hideMark/>
          </w:tcPr>
          <w:p w14:paraId="3265DE13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 xml:space="preserve"> 13.22 </w:t>
            </w:r>
          </w:p>
        </w:tc>
        <w:tc>
          <w:tcPr>
            <w:tcW w:w="1314" w:type="dxa"/>
            <w:vAlign w:val="center"/>
            <w:hideMark/>
          </w:tcPr>
          <w:p w14:paraId="0905591F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>7.05</w:t>
            </w:r>
          </w:p>
        </w:tc>
      </w:tr>
      <w:tr w:rsidR="003211CB" w:rsidRPr="00464838" w14:paraId="79C73845" w14:textId="77777777" w:rsidTr="002726D0">
        <w:trPr>
          <w:trHeight w:val="288"/>
          <w:jc w:val="center"/>
        </w:trPr>
        <w:tc>
          <w:tcPr>
            <w:tcW w:w="2790" w:type="dxa"/>
            <w:vAlign w:val="center"/>
            <w:hideMark/>
          </w:tcPr>
          <w:p w14:paraId="70AD9181" w14:textId="77777777" w:rsidR="00B6530D" w:rsidRPr="00464838" w:rsidRDefault="00B6530D" w:rsidP="003211CB">
            <w:pPr>
              <w:pStyle w:val="ExhibitText"/>
              <w:jc w:val="left"/>
              <w:rPr>
                <w:lang w:val="en-CA"/>
              </w:rPr>
            </w:pPr>
            <w:r w:rsidRPr="00464838">
              <w:rPr>
                <w:lang w:val="en-CA"/>
              </w:rPr>
              <w:t>Non-current liabilities</w:t>
            </w:r>
          </w:p>
        </w:tc>
        <w:tc>
          <w:tcPr>
            <w:tcW w:w="1314" w:type="dxa"/>
            <w:vAlign w:val="center"/>
            <w:hideMark/>
          </w:tcPr>
          <w:p w14:paraId="4DB3F853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 xml:space="preserve"> 165.55 </w:t>
            </w:r>
          </w:p>
        </w:tc>
        <w:tc>
          <w:tcPr>
            <w:tcW w:w="1314" w:type="dxa"/>
            <w:vAlign w:val="center"/>
            <w:hideMark/>
          </w:tcPr>
          <w:p w14:paraId="0C4A68BD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 xml:space="preserve"> 105.99 </w:t>
            </w:r>
          </w:p>
        </w:tc>
        <w:tc>
          <w:tcPr>
            <w:tcW w:w="1332" w:type="dxa"/>
            <w:vAlign w:val="center"/>
            <w:hideMark/>
          </w:tcPr>
          <w:p w14:paraId="1DA0D34F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 xml:space="preserve"> 434.04 </w:t>
            </w:r>
          </w:p>
        </w:tc>
        <w:tc>
          <w:tcPr>
            <w:tcW w:w="1296" w:type="dxa"/>
            <w:vAlign w:val="center"/>
            <w:hideMark/>
          </w:tcPr>
          <w:p w14:paraId="3DD73D77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 xml:space="preserve"> 146.54 </w:t>
            </w:r>
          </w:p>
        </w:tc>
        <w:tc>
          <w:tcPr>
            <w:tcW w:w="1314" w:type="dxa"/>
            <w:vAlign w:val="center"/>
            <w:hideMark/>
          </w:tcPr>
          <w:p w14:paraId="055DC7D0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>108.77</w:t>
            </w:r>
          </w:p>
        </w:tc>
      </w:tr>
      <w:tr w:rsidR="003211CB" w:rsidRPr="00464838" w14:paraId="2882E4FD" w14:textId="77777777" w:rsidTr="002726D0">
        <w:trPr>
          <w:trHeight w:val="288"/>
          <w:jc w:val="center"/>
        </w:trPr>
        <w:tc>
          <w:tcPr>
            <w:tcW w:w="2790" w:type="dxa"/>
            <w:vAlign w:val="center"/>
            <w:hideMark/>
          </w:tcPr>
          <w:p w14:paraId="6AC6BABB" w14:textId="77777777" w:rsidR="00B6530D" w:rsidRPr="00464838" w:rsidRDefault="00B6530D" w:rsidP="003211CB">
            <w:pPr>
              <w:pStyle w:val="ExhibitText"/>
              <w:jc w:val="left"/>
              <w:rPr>
                <w:lang w:val="en-CA"/>
              </w:rPr>
            </w:pPr>
            <w:r w:rsidRPr="00464838">
              <w:rPr>
                <w:lang w:val="en-CA"/>
              </w:rPr>
              <w:t>Shareholders’ capital</w:t>
            </w:r>
          </w:p>
        </w:tc>
        <w:tc>
          <w:tcPr>
            <w:tcW w:w="1314" w:type="dxa"/>
            <w:vAlign w:val="center"/>
            <w:hideMark/>
          </w:tcPr>
          <w:p w14:paraId="64F687F3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 xml:space="preserve"> 19.59 </w:t>
            </w:r>
          </w:p>
        </w:tc>
        <w:tc>
          <w:tcPr>
            <w:tcW w:w="1314" w:type="dxa"/>
            <w:vAlign w:val="center"/>
            <w:hideMark/>
          </w:tcPr>
          <w:p w14:paraId="60CA6465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 xml:space="preserve"> 19.59 </w:t>
            </w:r>
          </w:p>
        </w:tc>
        <w:tc>
          <w:tcPr>
            <w:tcW w:w="1332" w:type="dxa"/>
            <w:vAlign w:val="center"/>
            <w:hideMark/>
          </w:tcPr>
          <w:p w14:paraId="4F7A5ED7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 xml:space="preserve"> 19.59 </w:t>
            </w:r>
          </w:p>
        </w:tc>
        <w:tc>
          <w:tcPr>
            <w:tcW w:w="1296" w:type="dxa"/>
            <w:vAlign w:val="center"/>
            <w:hideMark/>
          </w:tcPr>
          <w:p w14:paraId="24954A61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 xml:space="preserve"> 19.59 </w:t>
            </w:r>
          </w:p>
        </w:tc>
        <w:tc>
          <w:tcPr>
            <w:tcW w:w="1314" w:type="dxa"/>
            <w:vAlign w:val="center"/>
            <w:hideMark/>
          </w:tcPr>
          <w:p w14:paraId="0E5330C6" w14:textId="77777777" w:rsidR="00B6530D" w:rsidRPr="00464838" w:rsidRDefault="00B6530D" w:rsidP="003211CB">
            <w:pPr>
              <w:pStyle w:val="ExhibitText"/>
              <w:jc w:val="right"/>
              <w:rPr>
                <w:lang w:val="en-CA"/>
              </w:rPr>
            </w:pPr>
            <w:r w:rsidRPr="00464838">
              <w:rPr>
                <w:lang w:val="en-CA"/>
              </w:rPr>
              <w:t>20.59</w:t>
            </w:r>
          </w:p>
        </w:tc>
      </w:tr>
      <w:tr w:rsidR="003211CB" w:rsidRPr="003211CB" w14:paraId="584ED2CA" w14:textId="77777777" w:rsidTr="002726D0">
        <w:trPr>
          <w:trHeight w:val="288"/>
          <w:jc w:val="center"/>
        </w:trPr>
        <w:tc>
          <w:tcPr>
            <w:tcW w:w="2790" w:type="dxa"/>
            <w:vAlign w:val="center"/>
            <w:hideMark/>
          </w:tcPr>
          <w:p w14:paraId="40977535" w14:textId="77777777" w:rsidR="00B6530D" w:rsidRPr="003211CB" w:rsidRDefault="00B6530D" w:rsidP="003211CB">
            <w:pPr>
              <w:pStyle w:val="ExhibitText"/>
              <w:jc w:val="left"/>
              <w:rPr>
                <w:b/>
                <w:bCs/>
                <w:lang w:val="en-CA"/>
              </w:rPr>
            </w:pPr>
            <w:r w:rsidRPr="003211CB">
              <w:rPr>
                <w:b/>
                <w:bCs/>
                <w:lang w:val="en-CA"/>
              </w:rPr>
              <w:t>Reserves and surplus</w:t>
            </w:r>
          </w:p>
        </w:tc>
        <w:tc>
          <w:tcPr>
            <w:tcW w:w="1314" w:type="dxa"/>
            <w:vAlign w:val="center"/>
            <w:hideMark/>
          </w:tcPr>
          <w:p w14:paraId="0D784E0B" w14:textId="77777777" w:rsidR="00B6530D" w:rsidRPr="003211CB" w:rsidRDefault="00B6530D" w:rsidP="003211CB">
            <w:pPr>
              <w:pStyle w:val="ExhibitText"/>
              <w:jc w:val="right"/>
              <w:rPr>
                <w:b/>
                <w:bCs/>
                <w:lang w:val="en-CA"/>
              </w:rPr>
            </w:pPr>
            <w:r w:rsidRPr="0082242C">
              <w:rPr>
                <w:b/>
                <w:bCs/>
                <w:lang w:val="en-CA"/>
              </w:rPr>
              <w:t xml:space="preserve"> 251.00 </w:t>
            </w:r>
          </w:p>
        </w:tc>
        <w:tc>
          <w:tcPr>
            <w:tcW w:w="1314" w:type="dxa"/>
            <w:vAlign w:val="center"/>
            <w:hideMark/>
          </w:tcPr>
          <w:p w14:paraId="5B56C307" w14:textId="77777777" w:rsidR="00B6530D" w:rsidRPr="003211CB" w:rsidRDefault="00B6530D" w:rsidP="003211CB">
            <w:pPr>
              <w:pStyle w:val="ExhibitText"/>
              <w:jc w:val="right"/>
              <w:rPr>
                <w:b/>
                <w:bCs/>
                <w:lang w:val="en-CA"/>
              </w:rPr>
            </w:pPr>
            <w:r w:rsidRPr="003211CB">
              <w:rPr>
                <w:b/>
                <w:bCs/>
                <w:lang w:val="en-CA"/>
              </w:rPr>
              <w:t xml:space="preserve"> 319.22 </w:t>
            </w:r>
          </w:p>
        </w:tc>
        <w:tc>
          <w:tcPr>
            <w:tcW w:w="1332" w:type="dxa"/>
            <w:vAlign w:val="center"/>
            <w:hideMark/>
          </w:tcPr>
          <w:p w14:paraId="2A84C4E0" w14:textId="77777777" w:rsidR="00B6530D" w:rsidRPr="003211CB" w:rsidRDefault="00B6530D" w:rsidP="003211CB">
            <w:pPr>
              <w:pStyle w:val="ExhibitText"/>
              <w:jc w:val="right"/>
              <w:rPr>
                <w:b/>
                <w:bCs/>
                <w:lang w:val="en-CA"/>
              </w:rPr>
            </w:pPr>
            <w:r w:rsidRPr="003211CB">
              <w:rPr>
                <w:b/>
                <w:bCs/>
                <w:lang w:val="en-CA"/>
              </w:rPr>
              <w:t xml:space="preserve"> 36.00 </w:t>
            </w:r>
          </w:p>
        </w:tc>
        <w:tc>
          <w:tcPr>
            <w:tcW w:w="1296" w:type="dxa"/>
            <w:vAlign w:val="center"/>
            <w:hideMark/>
          </w:tcPr>
          <w:p w14:paraId="42819D57" w14:textId="77777777" w:rsidR="00B6530D" w:rsidRPr="003211CB" w:rsidRDefault="00B6530D" w:rsidP="003211CB">
            <w:pPr>
              <w:pStyle w:val="ExhibitText"/>
              <w:jc w:val="right"/>
              <w:rPr>
                <w:b/>
                <w:bCs/>
                <w:lang w:val="en-CA"/>
              </w:rPr>
            </w:pPr>
            <w:r w:rsidRPr="003211CB">
              <w:rPr>
                <w:b/>
                <w:bCs/>
                <w:lang w:val="en-CA"/>
              </w:rPr>
              <w:t xml:space="preserve"> 379.46 </w:t>
            </w:r>
          </w:p>
        </w:tc>
        <w:tc>
          <w:tcPr>
            <w:tcW w:w="1314" w:type="dxa"/>
            <w:vAlign w:val="center"/>
            <w:hideMark/>
          </w:tcPr>
          <w:p w14:paraId="017DF5E4" w14:textId="77777777" w:rsidR="00B6530D" w:rsidRPr="002726D0" w:rsidRDefault="00B6530D" w:rsidP="003211CB">
            <w:pPr>
              <w:pStyle w:val="ExhibitText"/>
              <w:jc w:val="right"/>
              <w:rPr>
                <w:b/>
                <w:lang w:val="en-CA"/>
              </w:rPr>
            </w:pPr>
            <w:r w:rsidRPr="002726D0">
              <w:rPr>
                <w:b/>
                <w:lang w:val="en-CA"/>
              </w:rPr>
              <w:t>407.61</w:t>
            </w:r>
          </w:p>
        </w:tc>
      </w:tr>
      <w:tr w:rsidR="003211CB" w:rsidRPr="003211CB" w14:paraId="6235BF54" w14:textId="77777777" w:rsidTr="002726D0">
        <w:trPr>
          <w:trHeight w:val="288"/>
          <w:jc w:val="center"/>
        </w:trPr>
        <w:tc>
          <w:tcPr>
            <w:tcW w:w="2790" w:type="dxa"/>
            <w:tcBorders>
              <w:bottom w:val="single" w:sz="4" w:space="0" w:color="auto"/>
            </w:tcBorders>
            <w:vAlign w:val="center"/>
            <w:hideMark/>
          </w:tcPr>
          <w:p w14:paraId="62F97A9B" w14:textId="77777777" w:rsidR="00B6530D" w:rsidRPr="0082242C" w:rsidRDefault="00B6530D" w:rsidP="003211CB">
            <w:pPr>
              <w:pStyle w:val="ExhibitText"/>
              <w:jc w:val="left"/>
              <w:rPr>
                <w:b/>
                <w:bCs/>
                <w:lang w:val="en-CA"/>
              </w:rPr>
            </w:pPr>
            <w:r w:rsidRPr="003211CB">
              <w:rPr>
                <w:b/>
                <w:bCs/>
                <w:lang w:val="en-CA"/>
              </w:rPr>
              <w:t>Total liabilities and shareholders’ equity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vAlign w:val="center"/>
            <w:hideMark/>
          </w:tcPr>
          <w:p w14:paraId="17E16ED8" w14:textId="77777777" w:rsidR="00B6530D" w:rsidRPr="003211CB" w:rsidRDefault="00B6530D" w:rsidP="003211CB">
            <w:pPr>
              <w:pStyle w:val="ExhibitText"/>
              <w:jc w:val="right"/>
              <w:rPr>
                <w:b/>
                <w:bCs/>
                <w:lang w:val="en-CA"/>
              </w:rPr>
            </w:pPr>
            <w:r w:rsidRPr="003211CB">
              <w:rPr>
                <w:b/>
                <w:bCs/>
                <w:lang w:val="en-CA"/>
              </w:rPr>
              <w:t xml:space="preserve"> 589.82 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vAlign w:val="center"/>
            <w:hideMark/>
          </w:tcPr>
          <w:p w14:paraId="3E66027A" w14:textId="77777777" w:rsidR="00B6530D" w:rsidRPr="003211CB" w:rsidRDefault="00B6530D" w:rsidP="003211CB">
            <w:pPr>
              <w:pStyle w:val="ExhibitText"/>
              <w:jc w:val="right"/>
              <w:rPr>
                <w:b/>
                <w:bCs/>
                <w:lang w:val="en-CA"/>
              </w:rPr>
            </w:pPr>
            <w:r w:rsidRPr="003211CB">
              <w:rPr>
                <w:b/>
                <w:bCs/>
                <w:lang w:val="en-CA"/>
              </w:rPr>
              <w:t xml:space="preserve"> 720.21 </w:t>
            </w:r>
          </w:p>
        </w:tc>
        <w:tc>
          <w:tcPr>
            <w:tcW w:w="1332" w:type="dxa"/>
            <w:tcBorders>
              <w:bottom w:val="single" w:sz="4" w:space="0" w:color="auto"/>
            </w:tcBorders>
            <w:vAlign w:val="center"/>
            <w:hideMark/>
          </w:tcPr>
          <w:p w14:paraId="6A79CA06" w14:textId="77777777" w:rsidR="00B6530D" w:rsidRPr="003211CB" w:rsidRDefault="00B6530D" w:rsidP="003211CB">
            <w:pPr>
              <w:pStyle w:val="ExhibitText"/>
              <w:jc w:val="right"/>
              <w:rPr>
                <w:b/>
                <w:bCs/>
                <w:lang w:val="en-CA"/>
              </w:rPr>
            </w:pPr>
            <w:r w:rsidRPr="003211CB">
              <w:rPr>
                <w:b/>
                <w:bCs/>
                <w:lang w:val="en-CA"/>
              </w:rPr>
              <w:t xml:space="preserve"> 752.48 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  <w:hideMark/>
          </w:tcPr>
          <w:p w14:paraId="5D4841DD" w14:textId="77777777" w:rsidR="00B6530D" w:rsidRPr="003211CB" w:rsidRDefault="00B6530D" w:rsidP="003211CB">
            <w:pPr>
              <w:pStyle w:val="ExhibitText"/>
              <w:jc w:val="right"/>
              <w:rPr>
                <w:b/>
                <w:bCs/>
                <w:lang w:val="en-CA"/>
              </w:rPr>
            </w:pPr>
            <w:r w:rsidRPr="003211CB">
              <w:rPr>
                <w:b/>
                <w:bCs/>
                <w:lang w:val="en-CA"/>
              </w:rPr>
              <w:t xml:space="preserve"> 791.03 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vAlign w:val="center"/>
            <w:hideMark/>
          </w:tcPr>
          <w:p w14:paraId="38139487" w14:textId="77777777" w:rsidR="00B6530D" w:rsidRPr="002726D0" w:rsidRDefault="00B6530D" w:rsidP="003211CB">
            <w:pPr>
              <w:pStyle w:val="ExhibitText"/>
              <w:jc w:val="right"/>
              <w:rPr>
                <w:b/>
                <w:lang w:val="en-CA"/>
              </w:rPr>
            </w:pPr>
            <w:r w:rsidRPr="002726D0">
              <w:rPr>
                <w:b/>
                <w:lang w:val="en-CA"/>
              </w:rPr>
              <w:t>767.79</w:t>
            </w:r>
          </w:p>
        </w:tc>
      </w:tr>
    </w:tbl>
    <w:p w14:paraId="42F9F3E0" w14:textId="77777777" w:rsidR="00B6530D" w:rsidRDefault="00B6530D" w:rsidP="00B6530D">
      <w:pPr>
        <w:rPr>
          <w:i/>
          <w:lang w:val="en-CA"/>
        </w:rPr>
      </w:pPr>
    </w:p>
    <w:p w14:paraId="0A0DA39B" w14:textId="6972807D" w:rsidR="00293885" w:rsidRDefault="00B6530D" w:rsidP="008C2FD6">
      <w:pPr>
        <w:pStyle w:val="Footnote"/>
        <w:outlineLvl w:val="0"/>
      </w:pPr>
      <w:r w:rsidRPr="00464838">
        <w:t xml:space="preserve">Source: </w:t>
      </w:r>
      <w:r w:rsidR="00890612">
        <w:t>Company documents</w:t>
      </w:r>
      <w:r w:rsidRPr="00464838">
        <w:t>.</w:t>
      </w:r>
    </w:p>
    <w:p w14:paraId="5FC06DE5" w14:textId="77777777" w:rsidR="007D552B" w:rsidRDefault="007D552B" w:rsidP="002726D0">
      <w:pPr>
        <w:pStyle w:val="ExhibitText"/>
      </w:pPr>
    </w:p>
    <w:p w14:paraId="2D71FE1E" w14:textId="11AD6434" w:rsidR="00293885" w:rsidRDefault="00293885" w:rsidP="002726D0">
      <w:pPr>
        <w:pStyle w:val="ExhibitText"/>
      </w:pPr>
    </w:p>
    <w:p w14:paraId="130CA695" w14:textId="2564A350" w:rsidR="00B6530D" w:rsidRDefault="00B6530D" w:rsidP="00DD0DB7">
      <w:pPr>
        <w:pStyle w:val="Footnote"/>
        <w:jc w:val="center"/>
      </w:pPr>
    </w:p>
    <w:sectPr w:rsidR="00B6530D" w:rsidSect="00EB5410">
      <w:headerReference w:type="default" r:id="rId11"/>
      <w:endnotePr>
        <w:numFmt w:val="decimal"/>
      </w:endnotePr>
      <w:pgSz w:w="12240" w:h="15840"/>
      <w:pgMar w:top="1080" w:right="1440" w:bottom="1440" w:left="144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7B0FAD" w14:textId="77777777" w:rsidR="00DD0DB7" w:rsidRDefault="00DD0DB7" w:rsidP="00D75295">
      <w:r>
        <w:separator/>
      </w:r>
    </w:p>
  </w:endnote>
  <w:endnote w:type="continuationSeparator" w:id="0">
    <w:p w14:paraId="67F12B01" w14:textId="77777777" w:rsidR="00DD0DB7" w:rsidRDefault="00DD0DB7" w:rsidP="00D75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34844C" w14:textId="77777777" w:rsidR="00DD0DB7" w:rsidRDefault="00DD0DB7" w:rsidP="00D75295">
      <w:r>
        <w:separator/>
      </w:r>
    </w:p>
  </w:footnote>
  <w:footnote w:type="continuationSeparator" w:id="0">
    <w:p w14:paraId="2728ABC8" w14:textId="77777777" w:rsidR="00DD0DB7" w:rsidRDefault="00DD0DB7" w:rsidP="00D75295">
      <w:r>
        <w:continuationSeparator/>
      </w:r>
    </w:p>
  </w:footnote>
  <w:footnote w:id="1">
    <w:p w14:paraId="1A887BB5" w14:textId="1967D88D" w:rsidR="00DD0DB7" w:rsidRPr="00D85ACC" w:rsidRDefault="00DD0DB7" w:rsidP="000B4998">
      <w:pPr>
        <w:pStyle w:val="Footnote"/>
        <w:jc w:val="both"/>
      </w:pPr>
      <w:r w:rsidRPr="00D85ACC">
        <w:rPr>
          <w:rStyle w:val="FootnoteReference"/>
        </w:rPr>
        <w:footnoteRef/>
      </w:r>
      <w:r w:rsidRPr="00D85ACC">
        <w:t xml:space="preserve"> India Brand Equity Foundation, </w:t>
      </w:r>
      <w:r w:rsidRPr="002726D0">
        <w:rPr>
          <w:i/>
        </w:rPr>
        <w:t>Automobiles</w:t>
      </w:r>
      <w:r w:rsidRPr="00D85ACC">
        <w:t xml:space="preserve"> </w:t>
      </w:r>
      <w:r>
        <w:t>(</w:t>
      </w:r>
      <w:proofErr w:type="spellStart"/>
      <w:r>
        <w:t>TechSci</w:t>
      </w:r>
      <w:proofErr w:type="spellEnd"/>
      <w:r>
        <w:t xml:space="preserve"> Research, </w:t>
      </w:r>
      <w:r w:rsidRPr="00D85ACC">
        <w:t>August</w:t>
      </w:r>
      <w:r>
        <w:t xml:space="preserve"> </w:t>
      </w:r>
      <w:r w:rsidRPr="00D85ACC">
        <w:t>2015</w:t>
      </w:r>
      <w:r>
        <w:t>)</w:t>
      </w:r>
      <w:r w:rsidRPr="00D85ACC">
        <w:t>, accessed March 24, 2016, www.ibef.org/download/Automobile-August-2015.pdf.</w:t>
      </w:r>
    </w:p>
  </w:footnote>
  <w:footnote w:id="2">
    <w:p w14:paraId="00FE86BB" w14:textId="4FD1234A" w:rsidR="00DD0DB7" w:rsidRPr="00D85ACC" w:rsidRDefault="00DD0DB7" w:rsidP="000B4998">
      <w:pPr>
        <w:pStyle w:val="Footnote"/>
        <w:jc w:val="both"/>
      </w:pPr>
      <w:r w:rsidRPr="00D85ACC">
        <w:rPr>
          <w:rStyle w:val="FootnoteReference"/>
        </w:rPr>
        <w:footnoteRef/>
      </w:r>
      <w:r w:rsidRPr="00D85ACC">
        <w:t xml:space="preserve"> </w:t>
      </w:r>
      <w:r>
        <w:t xml:space="preserve">Ibid. </w:t>
      </w:r>
    </w:p>
  </w:footnote>
  <w:footnote w:id="3">
    <w:p w14:paraId="3F835B59" w14:textId="4A9CE3E0" w:rsidR="00DD0DB7" w:rsidRPr="002D2003" w:rsidRDefault="00DD0DB7" w:rsidP="000B4998">
      <w:pPr>
        <w:pStyle w:val="Footnote"/>
        <w:jc w:val="both"/>
        <w:rPr>
          <w:spacing w:val="-8"/>
          <w:kern w:val="17"/>
        </w:rPr>
      </w:pPr>
      <w:r w:rsidRPr="002D2003">
        <w:rPr>
          <w:rStyle w:val="FootnoteReference"/>
          <w:spacing w:val="-8"/>
          <w:kern w:val="17"/>
        </w:rPr>
        <w:footnoteRef/>
      </w:r>
      <w:r w:rsidRPr="002D2003">
        <w:rPr>
          <w:spacing w:val="-8"/>
          <w:kern w:val="17"/>
        </w:rPr>
        <w:t xml:space="preserve"> </w:t>
      </w:r>
      <w:r w:rsidRPr="002D2003">
        <w:rPr>
          <w:rStyle w:val="selectable"/>
          <w:spacing w:val="-8"/>
          <w:kern w:val="17"/>
        </w:rPr>
        <w:t xml:space="preserve">Ministry of Heavy Industries &amp; Public Enterprises, </w:t>
      </w:r>
      <w:r w:rsidRPr="002D2003">
        <w:rPr>
          <w:rStyle w:val="selectable"/>
          <w:i/>
          <w:spacing w:val="-8"/>
          <w:kern w:val="17"/>
        </w:rPr>
        <w:t>Automotive Mission Plan 2006–2016: A Mission for Development of Indian Automotive Industry</w:t>
      </w:r>
      <w:r w:rsidRPr="002D2003">
        <w:rPr>
          <w:rStyle w:val="selectable"/>
          <w:spacing w:val="-8"/>
          <w:kern w:val="17"/>
        </w:rPr>
        <w:t xml:space="preserve"> (New Delhi: Government of India, 2006), accessed March 24, 2016, www.siamindia.com/uploads/filemanager/20AMP-2006-16.pdf.</w:t>
      </w:r>
    </w:p>
  </w:footnote>
  <w:footnote w:id="4">
    <w:p w14:paraId="143E22DD" w14:textId="236D1AC3" w:rsidR="00DD0DB7" w:rsidRDefault="00DD0DB7" w:rsidP="000B4998">
      <w:pPr>
        <w:pStyle w:val="Footnote"/>
        <w:jc w:val="both"/>
      </w:pPr>
      <w:r>
        <w:rPr>
          <w:rStyle w:val="FootnoteReference"/>
        </w:rPr>
        <w:footnoteRef/>
      </w:r>
      <w:r>
        <w:t xml:space="preserve"> </w:t>
      </w:r>
      <w:r w:rsidRPr="00457211">
        <w:t xml:space="preserve">All </w:t>
      </w:r>
      <w:r>
        <w:t>dollar</w:t>
      </w:r>
      <w:r w:rsidDel="00933797">
        <w:t xml:space="preserve"> amounts</w:t>
      </w:r>
      <w:r w:rsidRPr="00457211" w:rsidDel="00933797">
        <w:t xml:space="preserve"> </w:t>
      </w:r>
      <w:r w:rsidRPr="00457211">
        <w:t>are in US</w:t>
      </w:r>
      <w:r>
        <w:t xml:space="preserve">$ </w:t>
      </w:r>
      <w:r w:rsidRPr="00457211">
        <w:t>unless ot</w:t>
      </w:r>
      <w:r>
        <w:t xml:space="preserve">herwise </w:t>
      </w:r>
      <w:r w:rsidDel="00933797">
        <w:t>specified</w:t>
      </w:r>
      <w:r>
        <w:t>.</w:t>
      </w:r>
    </w:p>
  </w:footnote>
  <w:footnote w:id="5">
    <w:p w14:paraId="2D542DA4" w14:textId="075CA703" w:rsidR="00DD0DB7" w:rsidRPr="00D85ACC" w:rsidRDefault="00DD0DB7" w:rsidP="000B4998">
      <w:pPr>
        <w:pStyle w:val="Footnote"/>
        <w:jc w:val="both"/>
      </w:pPr>
      <w:r w:rsidRPr="00D85ACC">
        <w:rPr>
          <w:rStyle w:val="FootnoteReference"/>
        </w:rPr>
        <w:footnoteRef/>
      </w:r>
      <w:r w:rsidRPr="00D85ACC">
        <w:rPr>
          <w:rStyle w:val="FootnoteReference"/>
          <w:vertAlign w:val="baseline"/>
        </w:rPr>
        <w:t xml:space="preserve"> </w:t>
      </w:r>
      <w:r w:rsidRPr="00D85ACC">
        <w:rPr>
          <w:rStyle w:val="selectable"/>
        </w:rPr>
        <w:t xml:space="preserve">Ministry of Heavy Industries &amp; Public Enterprises, </w:t>
      </w:r>
      <w:r w:rsidRPr="00060A2D">
        <w:rPr>
          <w:rStyle w:val="selectable"/>
        </w:rPr>
        <w:t>op. cit.</w:t>
      </w:r>
    </w:p>
  </w:footnote>
  <w:footnote w:id="6">
    <w:p w14:paraId="52CCA438" w14:textId="48253ACC" w:rsidR="00DD0DB7" w:rsidRPr="002D2003" w:rsidRDefault="00DD0DB7" w:rsidP="000B4998">
      <w:pPr>
        <w:pStyle w:val="Footnote"/>
        <w:jc w:val="both"/>
        <w:rPr>
          <w:spacing w:val="-10"/>
          <w:kern w:val="17"/>
        </w:rPr>
      </w:pPr>
      <w:r w:rsidRPr="002D2003">
        <w:rPr>
          <w:rStyle w:val="FootnoteReference"/>
          <w:spacing w:val="-10"/>
          <w:kern w:val="17"/>
        </w:rPr>
        <w:footnoteRef/>
      </w:r>
      <w:r w:rsidRPr="002D2003">
        <w:rPr>
          <w:spacing w:val="-10"/>
          <w:kern w:val="17"/>
        </w:rPr>
        <w:t xml:space="preserve"> “Bright Bar Applications,” </w:t>
      </w:r>
      <w:r w:rsidRPr="002D2003">
        <w:rPr>
          <w:rStyle w:val="selectable"/>
          <w:spacing w:val="-10"/>
          <w:kern w:val="17"/>
        </w:rPr>
        <w:t>Prakash Steel Products Private Limited, accessed March 24, 2016, www.prakashsteel.com/brightbarapplications.html</w:t>
      </w:r>
      <w:r w:rsidRPr="002D2003">
        <w:rPr>
          <w:spacing w:val="-10"/>
          <w:kern w:val="17"/>
        </w:rPr>
        <w:t>.</w:t>
      </w:r>
    </w:p>
  </w:footnote>
  <w:footnote w:id="7">
    <w:p w14:paraId="46216041" w14:textId="4DCA14CD" w:rsidR="00DD0DB7" w:rsidRPr="002D2003" w:rsidRDefault="00DD0DB7" w:rsidP="000B4998">
      <w:pPr>
        <w:pStyle w:val="Footnote"/>
        <w:jc w:val="both"/>
        <w:rPr>
          <w:spacing w:val="-4"/>
          <w:kern w:val="17"/>
        </w:rPr>
      </w:pPr>
      <w:r w:rsidRPr="002D2003">
        <w:rPr>
          <w:rStyle w:val="FootnoteReference"/>
          <w:spacing w:val="-4"/>
          <w:kern w:val="17"/>
        </w:rPr>
        <w:footnoteRef/>
      </w:r>
      <w:r w:rsidRPr="002D2003">
        <w:rPr>
          <w:spacing w:val="-4"/>
          <w:kern w:val="17"/>
        </w:rPr>
        <w:t xml:space="preserve"> </w:t>
      </w:r>
      <w:r w:rsidRPr="002D2003">
        <w:rPr>
          <w:rStyle w:val="selectable"/>
          <w:spacing w:val="-4"/>
          <w:kern w:val="17"/>
        </w:rPr>
        <w:t>Tata Steel Limited, “Chairman’</w:t>
      </w:r>
      <w:r w:rsidR="000B4998">
        <w:rPr>
          <w:rStyle w:val="selectable"/>
          <w:spacing w:val="-4"/>
          <w:kern w:val="17"/>
        </w:rPr>
        <w:t xml:space="preserve">s Statement,” </w:t>
      </w:r>
      <w:r w:rsidRPr="002D2003">
        <w:rPr>
          <w:rStyle w:val="selectable"/>
          <w:i/>
          <w:spacing w:val="-4"/>
          <w:kern w:val="17"/>
        </w:rPr>
        <w:t>Tata Steel 108th Annual Report 2014–2015: Responding to Challenges. Creating Long-Term Value</w:t>
      </w:r>
      <w:r w:rsidRPr="002D2003">
        <w:rPr>
          <w:rStyle w:val="selectable"/>
          <w:spacing w:val="-4"/>
          <w:kern w:val="17"/>
        </w:rPr>
        <w:t>, 2–3, accessed March 24, 2016, www.tatasteel.com/investors/annual-report-2014-15/annual-report-2014-15.pdf.</w:t>
      </w:r>
    </w:p>
  </w:footnote>
  <w:footnote w:id="8">
    <w:p w14:paraId="12CF52E4" w14:textId="77777777" w:rsidR="00DD0DB7" w:rsidRPr="00D85ACC" w:rsidRDefault="00DD0DB7" w:rsidP="000B4998">
      <w:pPr>
        <w:pStyle w:val="Footnote"/>
        <w:jc w:val="both"/>
      </w:pPr>
      <w:r w:rsidRPr="00D85ACC">
        <w:rPr>
          <w:rStyle w:val="FootnoteReference"/>
        </w:rPr>
        <w:footnoteRef/>
      </w:r>
      <w:r w:rsidRPr="00D85ACC">
        <w:t xml:space="preserve"> </w:t>
      </w:r>
      <w:r>
        <w:t>“</w:t>
      </w:r>
      <w:r w:rsidRPr="00D85ACC">
        <w:t>Steel Data</w:t>
      </w:r>
      <w:r>
        <w:t xml:space="preserve">: </w:t>
      </w:r>
      <w:r w:rsidRPr="00D85ACC">
        <w:t>Production, Imports, Exports, Consumption and Prices of Finished Steel,” CMIE Industry Outlook, accessed March 24, 2016.</w:t>
      </w:r>
    </w:p>
  </w:footnote>
  <w:footnote w:id="9">
    <w:p w14:paraId="32634C16" w14:textId="64A83207" w:rsidR="00DD0DB7" w:rsidRPr="00D85ACC" w:rsidRDefault="00DD0DB7" w:rsidP="000B4998">
      <w:pPr>
        <w:pStyle w:val="Footnote"/>
        <w:jc w:val="both"/>
      </w:pPr>
      <w:r w:rsidRPr="00D85ACC">
        <w:rPr>
          <w:rStyle w:val="FootnoteReference"/>
        </w:rPr>
        <w:footnoteRef/>
      </w:r>
      <w:r w:rsidRPr="00D85ACC">
        <w:t xml:space="preserve"> India Brand Equity Foundation</w:t>
      </w:r>
      <w:r w:rsidRPr="00187F75">
        <w:t xml:space="preserve">, </w:t>
      </w:r>
      <w:r w:rsidRPr="00DD0DB7">
        <w:t>op. cit</w:t>
      </w:r>
      <w:r w:rsidRPr="00187F75">
        <w:t>.</w:t>
      </w:r>
    </w:p>
  </w:footnote>
  <w:footnote w:id="10">
    <w:p w14:paraId="266AB7A5" w14:textId="3B1CA4D9" w:rsidR="00DD0DB7" w:rsidRPr="00D85ACC" w:rsidRDefault="00DD0DB7" w:rsidP="000B4998">
      <w:pPr>
        <w:pStyle w:val="Footnote"/>
        <w:jc w:val="both"/>
        <w:rPr>
          <w:rStyle w:val="FootnoteReference"/>
          <w:vertAlign w:val="baseline"/>
        </w:rPr>
      </w:pPr>
      <w:r w:rsidRPr="00D85ACC">
        <w:rPr>
          <w:rStyle w:val="FootnoteReference"/>
        </w:rPr>
        <w:footnoteRef/>
      </w:r>
      <w:r w:rsidRPr="00D85ACC">
        <w:rPr>
          <w:rStyle w:val="FootnoteReference"/>
          <w:vertAlign w:val="baseline"/>
        </w:rPr>
        <w:t xml:space="preserve"> </w:t>
      </w:r>
      <w:proofErr w:type="spellStart"/>
      <w:r w:rsidRPr="00D85ACC">
        <w:rPr>
          <w:rStyle w:val="selectable"/>
        </w:rPr>
        <w:t>Nabeel</w:t>
      </w:r>
      <w:proofErr w:type="spellEnd"/>
      <w:r w:rsidRPr="00D85ACC">
        <w:rPr>
          <w:rStyle w:val="selectable"/>
        </w:rPr>
        <w:t xml:space="preserve"> A</w:t>
      </w:r>
      <w:r>
        <w:rPr>
          <w:rStyle w:val="selectable"/>
        </w:rPr>
        <w:t>.</w:t>
      </w:r>
      <w:r w:rsidRPr="00D85ACC">
        <w:rPr>
          <w:rStyle w:val="selectable"/>
        </w:rPr>
        <w:t xml:space="preserve"> Khan, “Passenger Vehicle Sales May Grow 6</w:t>
      </w:r>
      <w:r>
        <w:rPr>
          <w:rStyle w:val="selectable"/>
        </w:rPr>
        <w:t>–</w:t>
      </w:r>
      <w:r w:rsidRPr="00D85ACC">
        <w:rPr>
          <w:rStyle w:val="selectable"/>
        </w:rPr>
        <w:t>8% in FY 2015</w:t>
      </w:r>
      <w:r>
        <w:rPr>
          <w:rStyle w:val="selectable"/>
        </w:rPr>
        <w:t>–</w:t>
      </w:r>
      <w:r w:rsidRPr="00D85ACC">
        <w:rPr>
          <w:rStyle w:val="selectable"/>
        </w:rPr>
        <w:t xml:space="preserve">16: SIAM,” </w:t>
      </w:r>
      <w:r w:rsidRPr="002726D0">
        <w:rPr>
          <w:rStyle w:val="selectable"/>
          <w:i/>
        </w:rPr>
        <w:t>Economic Times</w:t>
      </w:r>
      <w:r w:rsidRPr="00D85ACC">
        <w:rPr>
          <w:rStyle w:val="selectable"/>
        </w:rPr>
        <w:t>, October 10, 2015, accessed March 24, 2016, http://economictimes.indiatimes.com/industry/auto/news/industry/passenger-vehicle-sales-may-grow-6-8-in-fy-2015-16-siam/articleshow/49294937.cms</w:t>
      </w:r>
      <w:r w:rsidRPr="00D85ACC">
        <w:t>.</w:t>
      </w:r>
      <w:r w:rsidRPr="00D85ACC">
        <w:tab/>
      </w:r>
    </w:p>
  </w:footnote>
  <w:footnote w:id="11">
    <w:p w14:paraId="5D955376" w14:textId="23942A76" w:rsidR="00DD0DB7" w:rsidRPr="00D85ACC" w:rsidRDefault="00DD0DB7" w:rsidP="000B4998">
      <w:pPr>
        <w:pStyle w:val="Footnote"/>
        <w:jc w:val="both"/>
        <w:rPr>
          <w:lang w:val="en-IN"/>
        </w:rPr>
      </w:pPr>
      <w:r w:rsidRPr="00D85ACC">
        <w:rPr>
          <w:rStyle w:val="FootnoteReference"/>
        </w:rPr>
        <w:footnoteRef/>
      </w:r>
      <w:r w:rsidRPr="00D85ACC">
        <w:t xml:space="preserve"> </w:t>
      </w:r>
      <w:r w:rsidRPr="00D85ACC">
        <w:rPr>
          <w:lang w:val="en-IN"/>
        </w:rPr>
        <w:t xml:space="preserve">Faridabad </w:t>
      </w:r>
      <w:r>
        <w:rPr>
          <w:lang w:val="en-IN"/>
        </w:rPr>
        <w:t>wa</w:t>
      </w:r>
      <w:r w:rsidRPr="00D85ACC">
        <w:rPr>
          <w:lang w:val="en-IN"/>
        </w:rPr>
        <w:t>s the manufacturing hub in the state of Haryana, India. Many small, medium</w:t>
      </w:r>
      <w:r>
        <w:rPr>
          <w:lang w:val="en-IN"/>
        </w:rPr>
        <w:t>,</w:t>
      </w:r>
      <w:r w:rsidRPr="00D85ACC">
        <w:rPr>
          <w:lang w:val="en-IN"/>
        </w:rPr>
        <w:t xml:space="preserve"> and </w:t>
      </w:r>
      <w:r>
        <w:rPr>
          <w:lang w:val="en-IN"/>
        </w:rPr>
        <w:t>large</w:t>
      </w:r>
      <w:r w:rsidRPr="00D85ACC">
        <w:rPr>
          <w:lang w:val="en-IN"/>
        </w:rPr>
        <w:t xml:space="preserve"> steel industries ha</w:t>
      </w:r>
      <w:r>
        <w:rPr>
          <w:lang w:val="en-IN"/>
        </w:rPr>
        <w:t>d</w:t>
      </w:r>
      <w:r w:rsidRPr="00D85ACC">
        <w:rPr>
          <w:lang w:val="en-IN"/>
        </w:rPr>
        <w:t xml:space="preserve"> their manufacturing units </w:t>
      </w:r>
      <w:r>
        <w:rPr>
          <w:lang w:val="en-IN"/>
        </w:rPr>
        <w:t>t</w:t>
      </w:r>
      <w:r w:rsidRPr="00D85ACC">
        <w:rPr>
          <w:lang w:val="en-IN"/>
        </w:rPr>
        <w:t xml:space="preserve">here. </w:t>
      </w:r>
      <w:r>
        <w:rPr>
          <w:lang w:val="en-IN"/>
        </w:rPr>
        <w:t xml:space="preserve"> </w:t>
      </w:r>
    </w:p>
  </w:footnote>
  <w:footnote w:id="12">
    <w:p w14:paraId="30E2EE29" w14:textId="3A9017A7" w:rsidR="00DD0DB7" w:rsidRPr="00D85ACC" w:rsidRDefault="00DD0DB7" w:rsidP="000B4998">
      <w:pPr>
        <w:pStyle w:val="Footnote"/>
        <w:jc w:val="both"/>
      </w:pPr>
      <w:r w:rsidRPr="00D85ACC">
        <w:rPr>
          <w:rStyle w:val="FootnoteReference"/>
        </w:rPr>
        <w:footnoteRef/>
      </w:r>
      <w:r w:rsidRPr="00D85ACC">
        <w:t xml:space="preserve"> ₹ = INR = Indian rupee; </w:t>
      </w:r>
      <w:r>
        <w:t>US$1 = ₹66.47</w:t>
      </w:r>
      <w:r w:rsidRPr="00D85ACC">
        <w:t xml:space="preserve"> on </w:t>
      </w:r>
      <w:r>
        <w:t>March 21</w:t>
      </w:r>
      <w:r w:rsidRPr="00D85ACC">
        <w:t>, 2016.</w:t>
      </w:r>
    </w:p>
  </w:footnote>
  <w:footnote w:id="13">
    <w:p w14:paraId="0658C8C4" w14:textId="284402EF" w:rsidR="00DD0DB7" w:rsidRDefault="00DD0DB7" w:rsidP="000B4998">
      <w:pPr>
        <w:pStyle w:val="Footnote"/>
        <w:jc w:val="both"/>
      </w:pPr>
      <w:r>
        <w:rPr>
          <w:rStyle w:val="FootnoteReference"/>
        </w:rPr>
        <w:footnoteRef/>
      </w:r>
      <w:r>
        <w:t xml:space="preserve"> ISO/TS16949 was a quality-management certification jointly developed by the International Automotive Task Force and the International Organization for Standardization. The certification attested to a manufacturer’s </w:t>
      </w:r>
      <w:r w:rsidRPr="00A96E0A">
        <w:rPr>
          <w:lang w:val="en-US"/>
        </w:rPr>
        <w:t xml:space="preserve">continual improvement, </w:t>
      </w:r>
      <w:r w:rsidRPr="002726D0">
        <w:t>defect</w:t>
      </w:r>
      <w:r w:rsidRPr="00A96E0A">
        <w:rPr>
          <w:lang w:val="en-US"/>
        </w:rPr>
        <w:t> prevention</w:t>
      </w:r>
      <w:r>
        <w:rPr>
          <w:lang w:val="en-US"/>
        </w:rPr>
        <w:t>,</w:t>
      </w:r>
      <w:r w:rsidRPr="00A96E0A">
        <w:rPr>
          <w:lang w:val="en-US"/>
        </w:rPr>
        <w:t xml:space="preserve"> and reduction of variation and w</w:t>
      </w:r>
      <w:r w:rsidR="000B4998">
        <w:rPr>
          <w:lang w:val="en-US"/>
        </w:rPr>
        <w:t xml:space="preserve">aste in the automotive industry </w:t>
      </w:r>
      <w:bookmarkStart w:id="0" w:name="_GoBack"/>
      <w:bookmarkEnd w:id="0"/>
      <w:r w:rsidRPr="002726D0">
        <w:t>supply chain</w:t>
      </w:r>
      <w:r>
        <w:t xml:space="preserve">. </w:t>
      </w:r>
    </w:p>
  </w:footnote>
  <w:footnote w:id="14">
    <w:p w14:paraId="5BF17D20" w14:textId="66D51BBC" w:rsidR="00DD0DB7" w:rsidRPr="00D85ACC" w:rsidRDefault="00DD0DB7" w:rsidP="000B4998">
      <w:pPr>
        <w:pStyle w:val="Footnote"/>
        <w:jc w:val="both"/>
      </w:pPr>
      <w:r w:rsidRPr="00D85ACC">
        <w:rPr>
          <w:rStyle w:val="FootnoteReference"/>
        </w:rPr>
        <w:footnoteRef/>
      </w:r>
      <w:r w:rsidRPr="00D85ACC">
        <w:rPr>
          <w:vertAlign w:val="superscript"/>
        </w:rPr>
        <w:t xml:space="preserve"> </w:t>
      </w:r>
      <w:r w:rsidRPr="00D85ACC">
        <w:t xml:space="preserve">Buyers were paying </w:t>
      </w:r>
      <w:r>
        <w:t>JBS</w:t>
      </w:r>
      <w:r w:rsidRPr="00D85ACC">
        <w:t xml:space="preserve"> within 45 days without incurring any penalty. </w:t>
      </w:r>
    </w:p>
  </w:footnote>
  <w:footnote w:id="15">
    <w:p w14:paraId="5A5A174E" w14:textId="7654B647" w:rsidR="00DD0DB7" w:rsidRPr="00D85ACC" w:rsidRDefault="00DD0DB7" w:rsidP="000B4998">
      <w:pPr>
        <w:pStyle w:val="Footnote"/>
        <w:jc w:val="both"/>
      </w:pPr>
      <w:r w:rsidRPr="00D85ACC">
        <w:rPr>
          <w:rStyle w:val="FootnoteReference"/>
        </w:rPr>
        <w:footnoteRef/>
      </w:r>
      <w:r w:rsidRPr="00D85ACC">
        <w:t xml:space="preserve"> Customers </w:t>
      </w:r>
      <w:r>
        <w:t xml:space="preserve">would </w:t>
      </w:r>
      <w:r w:rsidRPr="00D85ACC">
        <w:t xml:space="preserve">receive no discount if they paid </w:t>
      </w:r>
      <w:r>
        <w:t xml:space="preserve">at </w:t>
      </w:r>
      <w:r w:rsidRPr="00D85ACC">
        <w:t xml:space="preserve">any time from the 11th to </w:t>
      </w:r>
      <w:r>
        <w:t xml:space="preserve">the </w:t>
      </w:r>
      <w:r w:rsidRPr="00D85ACC">
        <w:t>45th day after the date of purchase.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D910" w14:textId="2E961AAC" w:rsidR="00DD0DB7" w:rsidRDefault="00DD0DB7" w:rsidP="006A58A9">
    <w:pPr>
      <w:pBdr>
        <w:bottom w:val="single" w:sz="18" w:space="1" w:color="auto"/>
      </w:pBdr>
      <w:tabs>
        <w:tab w:val="left" w:pos="-1440"/>
        <w:tab w:val="left" w:pos="-720"/>
        <w:tab w:val="right" w:pos="9360"/>
        <w:tab w:val="right" w:pos="10800"/>
      </w:tabs>
      <w:rPr>
        <w:rFonts w:ascii="Arial" w:hAnsi="Arial"/>
      </w:rPr>
    </w:pPr>
    <w:r>
      <w:rPr>
        <w:rFonts w:ascii="Arial" w:hAnsi="Arial"/>
        <w:b/>
      </w:rPr>
      <w:t xml:space="preserve">Page </w:t>
    </w:r>
    <w:r>
      <w:rPr>
        <w:rFonts w:ascii="Arial" w:hAnsi="Arial"/>
        <w:b/>
      </w:rPr>
      <w:fldChar w:fldCharType="begin"/>
    </w:r>
    <w:r>
      <w:rPr>
        <w:rFonts w:ascii="Arial" w:hAnsi="Arial"/>
        <w:b/>
      </w:rPr>
      <w:instrText>PAGE</w:instrText>
    </w:r>
    <w:r>
      <w:rPr>
        <w:rFonts w:ascii="Arial" w:hAnsi="Arial"/>
        <w:b/>
      </w:rPr>
      <w:fldChar w:fldCharType="separate"/>
    </w:r>
    <w:r w:rsidR="000B4998">
      <w:rPr>
        <w:rFonts w:ascii="Arial" w:hAnsi="Arial"/>
        <w:b/>
        <w:noProof/>
      </w:rPr>
      <w:t>8</w:t>
    </w:r>
    <w:r>
      <w:rPr>
        <w:rFonts w:ascii="Arial" w:hAnsi="Arial"/>
        <w:b/>
      </w:rPr>
      <w:fldChar w:fldCharType="end"/>
    </w:r>
    <w:r>
      <w:rPr>
        <w:rFonts w:ascii="Arial" w:hAnsi="Arial"/>
        <w:b/>
      </w:rPr>
      <w:tab/>
      <w:t>9B17B</w:t>
    </w:r>
    <w:r w:rsidR="002D2003">
      <w:rPr>
        <w:rFonts w:ascii="Arial" w:hAnsi="Arial"/>
        <w:b/>
      </w:rPr>
      <w:t>002</w:t>
    </w:r>
  </w:p>
  <w:p w14:paraId="4539048B" w14:textId="77777777" w:rsidR="00DD0DB7" w:rsidRPr="00C92CC4" w:rsidRDefault="00DD0DB7">
    <w:pPr>
      <w:pStyle w:val="Header"/>
      <w:rPr>
        <w:sz w:val="18"/>
        <w:szCs w:val="18"/>
      </w:rPr>
    </w:pPr>
  </w:p>
  <w:p w14:paraId="37701825" w14:textId="77777777" w:rsidR="00DD0DB7" w:rsidRPr="00C92CC4" w:rsidRDefault="00DD0DB7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25A2D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680637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F61ACC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1AB87E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F048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F7DE8C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CAC75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3544C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FC0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E705D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8D425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CC62955"/>
    <w:multiLevelType w:val="hybridMultilevel"/>
    <w:tmpl w:val="297CE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787BCD"/>
    <w:multiLevelType w:val="hybridMultilevel"/>
    <w:tmpl w:val="E7122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A66AFC"/>
    <w:multiLevelType w:val="hybridMultilevel"/>
    <w:tmpl w:val="31B2B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F83088"/>
    <w:multiLevelType w:val="hybridMultilevel"/>
    <w:tmpl w:val="44C6C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1E73C8"/>
    <w:multiLevelType w:val="hybridMultilevel"/>
    <w:tmpl w:val="1C0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4162743"/>
    <w:multiLevelType w:val="hybridMultilevel"/>
    <w:tmpl w:val="297CE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FC145C"/>
    <w:multiLevelType w:val="hybridMultilevel"/>
    <w:tmpl w:val="672CA20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42E6B4B"/>
    <w:multiLevelType w:val="hybridMultilevel"/>
    <w:tmpl w:val="AA925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9E34667"/>
    <w:multiLevelType w:val="hybridMultilevel"/>
    <w:tmpl w:val="568A6C28"/>
    <w:lvl w:ilvl="0" w:tplc="935A5A8E">
      <w:start w:val="20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0" w15:restartNumberingAfterBreak="0">
    <w:nsid w:val="542E2A27"/>
    <w:multiLevelType w:val="hybridMultilevel"/>
    <w:tmpl w:val="FBEE91EC"/>
    <w:lvl w:ilvl="0" w:tplc="BD5E4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82A13C0"/>
    <w:multiLevelType w:val="hybridMultilevel"/>
    <w:tmpl w:val="A746AFAE"/>
    <w:lvl w:ilvl="0" w:tplc="EB862D92">
      <w:start w:val="7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2" w15:restartNumberingAfterBreak="0">
    <w:nsid w:val="60B37735"/>
    <w:multiLevelType w:val="hybridMultilevel"/>
    <w:tmpl w:val="F182BBFA"/>
    <w:lvl w:ilvl="0" w:tplc="7DF80D64">
      <w:start w:val="15"/>
      <w:numFmt w:val="bullet"/>
      <w:lvlText w:val=""/>
      <w:lvlJc w:val="left"/>
      <w:pPr>
        <w:ind w:left="36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3" w15:restartNumberingAfterBreak="0">
    <w:nsid w:val="66B46081"/>
    <w:multiLevelType w:val="multilevel"/>
    <w:tmpl w:val="0F54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4" w15:restartNumberingAfterBreak="0">
    <w:nsid w:val="71AF048E"/>
    <w:multiLevelType w:val="hybridMultilevel"/>
    <w:tmpl w:val="BD341B84"/>
    <w:lvl w:ilvl="0" w:tplc="1206B5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AEA4386"/>
    <w:multiLevelType w:val="multilevel"/>
    <w:tmpl w:val="0000000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4"/>
  </w:num>
  <w:num w:numId="12">
    <w:abstractNumId w:val="19"/>
  </w:num>
  <w:num w:numId="13">
    <w:abstractNumId w:val="13"/>
  </w:num>
  <w:num w:numId="14">
    <w:abstractNumId w:val="20"/>
  </w:num>
  <w:num w:numId="15">
    <w:abstractNumId w:val="21"/>
  </w:num>
  <w:num w:numId="16">
    <w:abstractNumId w:val="22"/>
  </w:num>
  <w:num w:numId="17">
    <w:abstractNumId w:val="16"/>
  </w:num>
  <w:num w:numId="18">
    <w:abstractNumId w:val="23"/>
  </w:num>
  <w:num w:numId="19">
    <w:abstractNumId w:val="12"/>
  </w:num>
  <w:num w:numId="20">
    <w:abstractNumId w:val="11"/>
  </w:num>
  <w:num w:numId="21">
    <w:abstractNumId w:val="24"/>
  </w:num>
  <w:num w:numId="22">
    <w:abstractNumId w:val="18"/>
  </w:num>
  <w:num w:numId="23">
    <w:abstractNumId w:val="25"/>
    <w:lvlOverride w:ilvl="0">
      <w:lvl w:ilvl="0">
        <w:start w:val="1"/>
        <w:numFmt w:val="decimal"/>
        <w:lvlText w:val="%1)"/>
        <w:lvlJc w:val="left"/>
      </w:lvl>
    </w:lvlOverride>
    <w:lvlOverride w:ilvl="1">
      <w:lvl w:ilvl="1">
        <w:start w:val="1"/>
        <w:numFmt w:val="lowerLetter"/>
        <w:lvlText w:val="%2)"/>
        <w:lvlJc w:val="left"/>
      </w:lvl>
    </w:lvlOverride>
    <w:lvlOverride w:ilvl="2">
      <w:lvl w:ilvl="2">
        <w:start w:val="1"/>
        <w:numFmt w:val="lowerRoman"/>
        <w:lvlText w:val="%3)"/>
        <w:lvlJc w:val="left"/>
      </w:lvl>
    </w:lvlOverride>
    <w:lvlOverride w:ilvl="3">
      <w:lvl w:ilvl="3">
        <w:start w:val="1"/>
        <w:numFmt w:val="decimal"/>
        <w:lvlText w:val="(%4)"/>
        <w:lvlJc w:val="left"/>
      </w:lvl>
    </w:lvlOverride>
    <w:lvlOverride w:ilvl="4">
      <w:lvl w:ilvl="4">
        <w:start w:val="1"/>
        <w:numFmt w:val="lowerLetter"/>
        <w:lvlText w:val="(%5)"/>
        <w:lvlJc w:val="left"/>
      </w:lvl>
    </w:lvlOverride>
    <w:lvlOverride w:ilvl="5">
      <w:lvl w:ilvl="5">
        <w:start w:val="1"/>
        <w:numFmt w:val="lowerRoman"/>
        <w:lvlText w:val="(%6)"/>
        <w:lvlJc w:val="left"/>
      </w:lvl>
    </w:lvlOverride>
    <w:lvlOverride w:ilvl="6">
      <w:lvl w:ilvl="6">
        <w:start w:val="1"/>
        <w:numFmt w:val="decimal"/>
        <w:lvlText w:val="%7."/>
        <w:lvlJc w:val="left"/>
      </w:lvl>
    </w:lvlOverride>
    <w:lvlOverride w:ilvl="7">
      <w:lvl w:ilvl="7">
        <w:start w:val="1"/>
        <w:numFmt w:val="lowerLetter"/>
        <w:lvlText w:val="%8."/>
        <w:lvlJc w:val="left"/>
      </w:lvl>
    </w:lvlOverride>
    <w:lvlOverride w:ilvl="8">
      <w:lvl w:ilvl="8">
        <w:start w:val="1"/>
        <w:numFmt w:val="lowerRoman"/>
        <w:lvlText w:val="%9."/>
        <w:lvlJc w:val="left"/>
      </w:lvl>
    </w:lvlOverride>
  </w:num>
  <w:num w:numId="24">
    <w:abstractNumId w:val="25"/>
    <w:lvlOverride w:ilvl="0">
      <w:lvl w:ilvl="0">
        <w:start w:val="1"/>
        <w:numFmt w:val="upperRoman"/>
        <w:lvlText w:val="%1."/>
        <w:lvlJc w:val="left"/>
      </w:lvl>
    </w:lvlOverride>
    <w:lvlOverride w:ilvl="1">
      <w:lvl w:ilvl="1">
        <w:start w:val="1"/>
        <w:numFmt w:val="upp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</w:lvl>
    </w:lvlOverride>
    <w:lvlOverride w:ilvl="3">
      <w:lvl w:ilvl="3">
        <w:start w:val="1"/>
        <w:numFmt w:val="lowerLetter"/>
        <w:lvlText w:val="%4)"/>
        <w:lvlJc w:val="left"/>
      </w:lvl>
    </w:lvlOverride>
    <w:lvlOverride w:ilvl="4">
      <w:lvl w:ilvl="4">
        <w:start w:val="1"/>
        <w:numFmt w:val="decimal"/>
        <w:lvlText w:val="(%5)"/>
        <w:lvlJc w:val="left"/>
      </w:lvl>
    </w:lvlOverride>
    <w:lvlOverride w:ilvl="5">
      <w:lvl w:ilvl="5">
        <w:start w:val="1"/>
        <w:numFmt w:val="lowerLetter"/>
        <w:lvlText w:val="(%6)"/>
        <w:lvlJc w:val="left"/>
      </w:lvl>
    </w:lvlOverride>
    <w:lvlOverride w:ilvl="6">
      <w:lvl w:ilvl="6">
        <w:start w:val="1"/>
        <w:numFmt w:val="lowerRoman"/>
        <w:lvlText w:val="(%7)"/>
        <w:lvlJc w:val="left"/>
      </w:lvl>
    </w:lvlOverride>
    <w:lvlOverride w:ilvl="7">
      <w:lvl w:ilvl="7">
        <w:start w:val="1"/>
        <w:numFmt w:val="lowerLetter"/>
        <w:lvlText w:val="(%8)"/>
        <w:lvlJc w:val="left"/>
      </w:lvl>
    </w:lvlOverride>
    <w:lvlOverride w:ilvl="8">
      <w:lvl w:ilvl="8">
        <w:start w:val="1"/>
        <w:numFmt w:val="lowerRoman"/>
        <w:lvlText w:val="(%9)"/>
        <w:lvlJc w:val="left"/>
      </w:lvl>
    </w:lvlOverride>
  </w:num>
  <w:num w:numId="25">
    <w:abstractNumId w:val="25"/>
    <w:lvlOverride w:ilvl="0">
      <w:lvl w:ilvl="0">
        <w:start w:val="1"/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1.%2."/>
        <w:lvlJc w:val="left"/>
      </w:lvl>
    </w:lvlOverride>
    <w:lvlOverride w:ilvl="2">
      <w:lvl w:ilvl="2">
        <w:start w:val="1"/>
        <w:numFmt w:val="decimal"/>
        <w:lvlText w:val="%1.%2.%3."/>
        <w:lvlJc w:val="left"/>
      </w:lvl>
    </w:lvlOverride>
    <w:lvlOverride w:ilvl="3">
      <w:lvl w:ilvl="3">
        <w:start w:val="1"/>
        <w:numFmt w:val="decimal"/>
        <w:lvlText w:val="%1.%2.%3.%4."/>
        <w:lvlJc w:val="left"/>
      </w:lvl>
    </w:lvlOverride>
    <w:lvlOverride w:ilvl="4">
      <w:lvl w:ilvl="4">
        <w:start w:val="1"/>
        <w:numFmt w:val="decimal"/>
        <w:lvlText w:val="%1.%2.%3.%4.%5."/>
        <w:lvlJc w:val="left"/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26">
    <w:abstractNumId w:val="15"/>
  </w:num>
  <w:num w:numId="27">
    <w:abstractNumId w:val="17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C4"/>
    <w:rsid w:val="0000085A"/>
    <w:rsid w:val="00013360"/>
    <w:rsid w:val="0002118A"/>
    <w:rsid w:val="000216CE"/>
    <w:rsid w:val="00023A58"/>
    <w:rsid w:val="00025DC7"/>
    <w:rsid w:val="00026486"/>
    <w:rsid w:val="00044ECC"/>
    <w:rsid w:val="000531D3"/>
    <w:rsid w:val="0005646B"/>
    <w:rsid w:val="00060A2D"/>
    <w:rsid w:val="000663D2"/>
    <w:rsid w:val="00074C21"/>
    <w:rsid w:val="0008102D"/>
    <w:rsid w:val="00081DFA"/>
    <w:rsid w:val="000840BF"/>
    <w:rsid w:val="00094C0E"/>
    <w:rsid w:val="000A42A9"/>
    <w:rsid w:val="000B4998"/>
    <w:rsid w:val="000C21D0"/>
    <w:rsid w:val="000D0F39"/>
    <w:rsid w:val="000E7B24"/>
    <w:rsid w:val="000E7CDC"/>
    <w:rsid w:val="000F0C22"/>
    <w:rsid w:val="000F658C"/>
    <w:rsid w:val="000F6B09"/>
    <w:rsid w:val="000F6FDC"/>
    <w:rsid w:val="00104567"/>
    <w:rsid w:val="0012732D"/>
    <w:rsid w:val="00136F4C"/>
    <w:rsid w:val="00145451"/>
    <w:rsid w:val="001545D9"/>
    <w:rsid w:val="00154FC9"/>
    <w:rsid w:val="00166648"/>
    <w:rsid w:val="0018238D"/>
    <w:rsid w:val="00187F75"/>
    <w:rsid w:val="0019241A"/>
    <w:rsid w:val="00197545"/>
    <w:rsid w:val="00197E4E"/>
    <w:rsid w:val="001A5335"/>
    <w:rsid w:val="001A752D"/>
    <w:rsid w:val="001B5BA3"/>
    <w:rsid w:val="001B7902"/>
    <w:rsid w:val="001D13EA"/>
    <w:rsid w:val="001F4CDD"/>
    <w:rsid w:val="001F5374"/>
    <w:rsid w:val="00203AA1"/>
    <w:rsid w:val="00206BE1"/>
    <w:rsid w:val="00213E98"/>
    <w:rsid w:val="00230A67"/>
    <w:rsid w:val="0024122D"/>
    <w:rsid w:val="002726D0"/>
    <w:rsid w:val="002842A8"/>
    <w:rsid w:val="00291A83"/>
    <w:rsid w:val="00292BF8"/>
    <w:rsid w:val="00293885"/>
    <w:rsid w:val="00294353"/>
    <w:rsid w:val="00295F91"/>
    <w:rsid w:val="002A0E93"/>
    <w:rsid w:val="002A6B38"/>
    <w:rsid w:val="002D2003"/>
    <w:rsid w:val="002E0BBF"/>
    <w:rsid w:val="002E3163"/>
    <w:rsid w:val="002E32F0"/>
    <w:rsid w:val="002E3D2C"/>
    <w:rsid w:val="002F460C"/>
    <w:rsid w:val="002F48D6"/>
    <w:rsid w:val="002F73F5"/>
    <w:rsid w:val="00302623"/>
    <w:rsid w:val="003211CB"/>
    <w:rsid w:val="00343565"/>
    <w:rsid w:val="00354492"/>
    <w:rsid w:val="00354899"/>
    <w:rsid w:val="00355FD6"/>
    <w:rsid w:val="00361C8E"/>
    <w:rsid w:val="00364A5C"/>
    <w:rsid w:val="00373FB1"/>
    <w:rsid w:val="00377018"/>
    <w:rsid w:val="003B30D8"/>
    <w:rsid w:val="003B7EF2"/>
    <w:rsid w:val="003C0EB7"/>
    <w:rsid w:val="003C3FA4"/>
    <w:rsid w:val="003F17FB"/>
    <w:rsid w:val="003F2B0C"/>
    <w:rsid w:val="003F69A1"/>
    <w:rsid w:val="003F7618"/>
    <w:rsid w:val="0040065C"/>
    <w:rsid w:val="00410E3B"/>
    <w:rsid w:val="00413E0A"/>
    <w:rsid w:val="00415724"/>
    <w:rsid w:val="004221E4"/>
    <w:rsid w:val="00423A97"/>
    <w:rsid w:val="004255CE"/>
    <w:rsid w:val="00446481"/>
    <w:rsid w:val="004508B5"/>
    <w:rsid w:val="00460343"/>
    <w:rsid w:val="00471088"/>
    <w:rsid w:val="00483AF9"/>
    <w:rsid w:val="004A5418"/>
    <w:rsid w:val="004A65D2"/>
    <w:rsid w:val="004B1CCB"/>
    <w:rsid w:val="004B5AC9"/>
    <w:rsid w:val="004C47DA"/>
    <w:rsid w:val="004D73A5"/>
    <w:rsid w:val="00510166"/>
    <w:rsid w:val="00532CF5"/>
    <w:rsid w:val="005359BD"/>
    <w:rsid w:val="005379D2"/>
    <w:rsid w:val="0054657C"/>
    <w:rsid w:val="005528CB"/>
    <w:rsid w:val="0055611D"/>
    <w:rsid w:val="00566771"/>
    <w:rsid w:val="005759C5"/>
    <w:rsid w:val="005776B0"/>
    <w:rsid w:val="00581E2E"/>
    <w:rsid w:val="00583F62"/>
    <w:rsid w:val="00584F15"/>
    <w:rsid w:val="00585E7F"/>
    <w:rsid w:val="0058785A"/>
    <w:rsid w:val="005A123B"/>
    <w:rsid w:val="005E3CFA"/>
    <w:rsid w:val="006163F7"/>
    <w:rsid w:val="0062211C"/>
    <w:rsid w:val="00652606"/>
    <w:rsid w:val="006651A3"/>
    <w:rsid w:val="00670F24"/>
    <w:rsid w:val="00682754"/>
    <w:rsid w:val="006845A9"/>
    <w:rsid w:val="00685784"/>
    <w:rsid w:val="006A275E"/>
    <w:rsid w:val="006A58A9"/>
    <w:rsid w:val="006A606D"/>
    <w:rsid w:val="006B2451"/>
    <w:rsid w:val="006B7F7A"/>
    <w:rsid w:val="006C0371"/>
    <w:rsid w:val="006C08B6"/>
    <w:rsid w:val="006C0B1A"/>
    <w:rsid w:val="006C4384"/>
    <w:rsid w:val="006C6065"/>
    <w:rsid w:val="006C7F9F"/>
    <w:rsid w:val="006E2A4F"/>
    <w:rsid w:val="006E2F6D"/>
    <w:rsid w:val="006E367B"/>
    <w:rsid w:val="006E58F6"/>
    <w:rsid w:val="006E6C34"/>
    <w:rsid w:val="006E77E1"/>
    <w:rsid w:val="006F131D"/>
    <w:rsid w:val="0071605E"/>
    <w:rsid w:val="00721D48"/>
    <w:rsid w:val="00752BCD"/>
    <w:rsid w:val="00766DA1"/>
    <w:rsid w:val="00774508"/>
    <w:rsid w:val="0078341C"/>
    <w:rsid w:val="007866A6"/>
    <w:rsid w:val="0079229D"/>
    <w:rsid w:val="0079464D"/>
    <w:rsid w:val="007A130D"/>
    <w:rsid w:val="007A2804"/>
    <w:rsid w:val="007A3457"/>
    <w:rsid w:val="007C0A8F"/>
    <w:rsid w:val="007C4EE8"/>
    <w:rsid w:val="007D4102"/>
    <w:rsid w:val="007D552B"/>
    <w:rsid w:val="007D5955"/>
    <w:rsid w:val="007E096E"/>
    <w:rsid w:val="007E5921"/>
    <w:rsid w:val="007F46E0"/>
    <w:rsid w:val="00821FFC"/>
    <w:rsid w:val="0082242C"/>
    <w:rsid w:val="008271CA"/>
    <w:rsid w:val="00833602"/>
    <w:rsid w:val="008430B3"/>
    <w:rsid w:val="008467D5"/>
    <w:rsid w:val="00856D9F"/>
    <w:rsid w:val="008575B3"/>
    <w:rsid w:val="00866F6D"/>
    <w:rsid w:val="00890612"/>
    <w:rsid w:val="0089190E"/>
    <w:rsid w:val="00897074"/>
    <w:rsid w:val="008A4DC4"/>
    <w:rsid w:val="008C2FD6"/>
    <w:rsid w:val="008C4C6B"/>
    <w:rsid w:val="009067A4"/>
    <w:rsid w:val="0090722E"/>
    <w:rsid w:val="0091130E"/>
    <w:rsid w:val="009340DB"/>
    <w:rsid w:val="00936506"/>
    <w:rsid w:val="009426DF"/>
    <w:rsid w:val="009567D8"/>
    <w:rsid w:val="0095776B"/>
    <w:rsid w:val="0096061A"/>
    <w:rsid w:val="00970F02"/>
    <w:rsid w:val="00972498"/>
    <w:rsid w:val="00972795"/>
    <w:rsid w:val="00974CC6"/>
    <w:rsid w:val="009758DC"/>
    <w:rsid w:val="00976AD4"/>
    <w:rsid w:val="009A312F"/>
    <w:rsid w:val="009A5348"/>
    <w:rsid w:val="009A67BB"/>
    <w:rsid w:val="009C76D5"/>
    <w:rsid w:val="009D15B1"/>
    <w:rsid w:val="009E6FEC"/>
    <w:rsid w:val="009F7AA4"/>
    <w:rsid w:val="00A002DF"/>
    <w:rsid w:val="00A049C5"/>
    <w:rsid w:val="00A368CA"/>
    <w:rsid w:val="00A3728C"/>
    <w:rsid w:val="00A54A25"/>
    <w:rsid w:val="00A559DB"/>
    <w:rsid w:val="00A61293"/>
    <w:rsid w:val="00A856B5"/>
    <w:rsid w:val="00A96E0A"/>
    <w:rsid w:val="00AA4134"/>
    <w:rsid w:val="00AA4D11"/>
    <w:rsid w:val="00AC2462"/>
    <w:rsid w:val="00AD7C12"/>
    <w:rsid w:val="00AF35FC"/>
    <w:rsid w:val="00B03639"/>
    <w:rsid w:val="00B062DB"/>
    <w:rsid w:val="00B0652A"/>
    <w:rsid w:val="00B16DDC"/>
    <w:rsid w:val="00B24429"/>
    <w:rsid w:val="00B3757D"/>
    <w:rsid w:val="00B40937"/>
    <w:rsid w:val="00B423EF"/>
    <w:rsid w:val="00B43D1A"/>
    <w:rsid w:val="00B453DE"/>
    <w:rsid w:val="00B4742F"/>
    <w:rsid w:val="00B6530D"/>
    <w:rsid w:val="00B67278"/>
    <w:rsid w:val="00B67610"/>
    <w:rsid w:val="00B901F9"/>
    <w:rsid w:val="00BA5F23"/>
    <w:rsid w:val="00BB0BB4"/>
    <w:rsid w:val="00BB3CC3"/>
    <w:rsid w:val="00BC5C7A"/>
    <w:rsid w:val="00BC79D2"/>
    <w:rsid w:val="00BD1E66"/>
    <w:rsid w:val="00BD6EFB"/>
    <w:rsid w:val="00BE19D1"/>
    <w:rsid w:val="00BF5CE6"/>
    <w:rsid w:val="00C01F54"/>
    <w:rsid w:val="00C15BE2"/>
    <w:rsid w:val="00C22219"/>
    <w:rsid w:val="00C26E5B"/>
    <w:rsid w:val="00C31D59"/>
    <w:rsid w:val="00C3447F"/>
    <w:rsid w:val="00C473AC"/>
    <w:rsid w:val="00C75023"/>
    <w:rsid w:val="00C81491"/>
    <w:rsid w:val="00C81676"/>
    <w:rsid w:val="00C81DEC"/>
    <w:rsid w:val="00C92CC4"/>
    <w:rsid w:val="00CA0AFB"/>
    <w:rsid w:val="00CA2CE1"/>
    <w:rsid w:val="00CA3976"/>
    <w:rsid w:val="00CA757B"/>
    <w:rsid w:val="00CC1787"/>
    <w:rsid w:val="00CC182C"/>
    <w:rsid w:val="00CC3161"/>
    <w:rsid w:val="00CD0824"/>
    <w:rsid w:val="00CD2908"/>
    <w:rsid w:val="00CF0623"/>
    <w:rsid w:val="00CF47BB"/>
    <w:rsid w:val="00D0017F"/>
    <w:rsid w:val="00D03A82"/>
    <w:rsid w:val="00D14EE1"/>
    <w:rsid w:val="00D15344"/>
    <w:rsid w:val="00D2174C"/>
    <w:rsid w:val="00D260BB"/>
    <w:rsid w:val="00D31BEC"/>
    <w:rsid w:val="00D33B91"/>
    <w:rsid w:val="00D37A5B"/>
    <w:rsid w:val="00D37FE7"/>
    <w:rsid w:val="00D63150"/>
    <w:rsid w:val="00D64A32"/>
    <w:rsid w:val="00D64EFC"/>
    <w:rsid w:val="00D67DAD"/>
    <w:rsid w:val="00D75295"/>
    <w:rsid w:val="00D76CE9"/>
    <w:rsid w:val="00D85ACC"/>
    <w:rsid w:val="00D97F12"/>
    <w:rsid w:val="00DA0EB2"/>
    <w:rsid w:val="00DB42E7"/>
    <w:rsid w:val="00DC3EF8"/>
    <w:rsid w:val="00DD0DB7"/>
    <w:rsid w:val="00DE3B3F"/>
    <w:rsid w:val="00DF32C2"/>
    <w:rsid w:val="00E00A0F"/>
    <w:rsid w:val="00E0221D"/>
    <w:rsid w:val="00E026B2"/>
    <w:rsid w:val="00E03620"/>
    <w:rsid w:val="00E241D6"/>
    <w:rsid w:val="00E26186"/>
    <w:rsid w:val="00E371A3"/>
    <w:rsid w:val="00E471A7"/>
    <w:rsid w:val="00E535E9"/>
    <w:rsid w:val="00E55A60"/>
    <w:rsid w:val="00E635CF"/>
    <w:rsid w:val="00E82BF0"/>
    <w:rsid w:val="00E87CF8"/>
    <w:rsid w:val="00E93C08"/>
    <w:rsid w:val="00EA070B"/>
    <w:rsid w:val="00EA09A2"/>
    <w:rsid w:val="00EB5410"/>
    <w:rsid w:val="00EC6E0A"/>
    <w:rsid w:val="00ED4E18"/>
    <w:rsid w:val="00ED5314"/>
    <w:rsid w:val="00EE1F37"/>
    <w:rsid w:val="00EE7A1C"/>
    <w:rsid w:val="00EF0177"/>
    <w:rsid w:val="00F0159C"/>
    <w:rsid w:val="00F046F3"/>
    <w:rsid w:val="00F105B7"/>
    <w:rsid w:val="00F17A21"/>
    <w:rsid w:val="00F325F7"/>
    <w:rsid w:val="00F50E91"/>
    <w:rsid w:val="00F57D29"/>
    <w:rsid w:val="00F643BD"/>
    <w:rsid w:val="00F73DAE"/>
    <w:rsid w:val="00F92A99"/>
    <w:rsid w:val="00F96201"/>
    <w:rsid w:val="00FB246D"/>
    <w:rsid w:val="00FB253F"/>
    <w:rsid w:val="00FC30E9"/>
    <w:rsid w:val="00FD0B18"/>
    <w:rsid w:val="00FD0F82"/>
    <w:rsid w:val="00FE1105"/>
    <w:rsid w:val="00FE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79B12E6F"/>
  <w15:docId w15:val="{DE19FD13-FF6C-429B-AEAB-1C058E87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95F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7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7D5"/>
    <w:rPr>
      <w:rFonts w:ascii="Tahoma" w:hAnsi="Tahoma" w:cs="Tahoma"/>
      <w:sz w:val="16"/>
      <w:szCs w:val="16"/>
    </w:rPr>
  </w:style>
  <w:style w:type="paragraph" w:customStyle="1" w:styleId="MainTitle">
    <w:name w:val="MainTitle"/>
    <w:basedOn w:val="Normal"/>
    <w:link w:val="MainTitleChar"/>
    <w:uiPriority w:val="99"/>
    <w:rsid w:val="00D75295"/>
    <w:pPr>
      <w:autoSpaceDE w:val="0"/>
      <w:autoSpaceDN w:val="0"/>
      <w:adjustRightInd w:val="0"/>
      <w:spacing w:after="576" w:line="288" w:lineRule="auto"/>
      <w:textAlignment w:val="center"/>
    </w:pPr>
    <w:rPr>
      <w:rFonts w:ascii="Arial" w:eastAsiaTheme="minorHAnsi" w:hAnsi="Arial" w:cs="Arial"/>
      <w:b/>
      <w:bCs/>
      <w:caps/>
      <w:color w:val="000000"/>
      <w:sz w:val="28"/>
      <w:szCs w:val="28"/>
    </w:rPr>
  </w:style>
  <w:style w:type="character" w:customStyle="1" w:styleId="MainTitleChar">
    <w:name w:val="MainTitle Char"/>
    <w:basedOn w:val="DefaultParagraphFont"/>
    <w:link w:val="MainTitle"/>
    <w:uiPriority w:val="99"/>
    <w:rsid w:val="00752BCD"/>
    <w:rPr>
      <w:rFonts w:ascii="Arial" w:hAnsi="Arial" w:cs="Arial"/>
      <w:b/>
      <w:bCs/>
      <w:caps/>
      <w:color w:val="000000"/>
      <w:sz w:val="28"/>
      <w:szCs w:val="28"/>
    </w:rPr>
  </w:style>
  <w:style w:type="paragraph" w:customStyle="1" w:styleId="CopyrightStatement">
    <w:name w:val="CopyrightStatement"/>
    <w:basedOn w:val="Normal"/>
    <w:uiPriority w:val="99"/>
    <w:rsid w:val="00D75295"/>
    <w:pPr>
      <w:pBdr>
        <w:top w:val="single" w:sz="8" w:space="13" w:color="auto"/>
        <w:bottom w:val="single" w:sz="8" w:space="9" w:color="auto"/>
      </w:pBdr>
      <w:tabs>
        <w:tab w:val="right" w:pos="9360"/>
      </w:tabs>
      <w:autoSpaceDE w:val="0"/>
      <w:autoSpaceDN w:val="0"/>
      <w:adjustRightInd w:val="0"/>
      <w:spacing w:after="540" w:line="288" w:lineRule="auto"/>
      <w:jc w:val="both"/>
      <w:textAlignment w:val="center"/>
    </w:pPr>
    <w:rPr>
      <w:rFonts w:ascii="Arial" w:eastAsiaTheme="minorHAnsi" w:hAnsi="Arial" w:cs="Arial"/>
      <w:i/>
      <w:iCs/>
      <w:color w:val="000000"/>
      <w:sz w:val="16"/>
      <w:szCs w:val="16"/>
    </w:rPr>
  </w:style>
  <w:style w:type="paragraph" w:customStyle="1" w:styleId="BodyTextMain">
    <w:name w:val="Body Text Main"/>
    <w:basedOn w:val="Normal"/>
    <w:link w:val="BodyTextMainChar"/>
    <w:qFormat/>
    <w:rsid w:val="000F0C22"/>
    <w:pPr>
      <w:jc w:val="both"/>
    </w:pPr>
    <w:rPr>
      <w:sz w:val="22"/>
      <w:szCs w:val="22"/>
    </w:rPr>
  </w:style>
  <w:style w:type="character" w:customStyle="1" w:styleId="BodyTextMainChar">
    <w:name w:val="Body Text Main Char"/>
    <w:basedOn w:val="DefaultParagraphFont"/>
    <w:link w:val="BodyTextMain"/>
    <w:rsid w:val="000F0C22"/>
    <w:rPr>
      <w:rFonts w:ascii="Times New Roman" w:eastAsia="Times New Roman" w:hAnsi="Times New Roman" w:cs="Times New Roman"/>
    </w:rPr>
  </w:style>
  <w:style w:type="paragraph" w:customStyle="1" w:styleId="Casehead1">
    <w:name w:val="Casehead 1"/>
    <w:basedOn w:val="BodyTextMain"/>
    <w:link w:val="Casehead1Char"/>
    <w:qFormat/>
    <w:rsid w:val="00213E98"/>
    <w:rPr>
      <w:rFonts w:ascii="Arial" w:hAnsi="Arial" w:cs="Arial"/>
      <w:b/>
      <w:caps/>
      <w:sz w:val="20"/>
      <w:szCs w:val="20"/>
    </w:rPr>
  </w:style>
  <w:style w:type="character" w:customStyle="1" w:styleId="Casehead1Char">
    <w:name w:val="Casehead 1 Char"/>
    <w:basedOn w:val="BodyTextMainChar"/>
    <w:link w:val="Casehead1"/>
    <w:rsid w:val="00213E98"/>
    <w:rPr>
      <w:rFonts w:ascii="Arial" w:eastAsia="Times New Roman" w:hAnsi="Arial" w:cs="Arial"/>
      <w:b/>
      <w:caps/>
      <w:sz w:val="20"/>
      <w:szCs w:val="20"/>
    </w:rPr>
  </w:style>
  <w:style w:type="paragraph" w:customStyle="1" w:styleId="Casehead2">
    <w:name w:val="Casehead 2"/>
    <w:basedOn w:val="Casehead1"/>
    <w:link w:val="Casehead2Char"/>
    <w:qFormat/>
    <w:rsid w:val="00213E98"/>
    <w:rPr>
      <w:caps w:val="0"/>
    </w:rPr>
  </w:style>
  <w:style w:type="character" w:customStyle="1" w:styleId="Casehead2Char">
    <w:name w:val="Casehead 2 Char"/>
    <w:basedOn w:val="Casehead1Char"/>
    <w:link w:val="Casehead2"/>
    <w:rsid w:val="00213E98"/>
    <w:rPr>
      <w:rFonts w:ascii="Arial" w:eastAsia="Times New Roman" w:hAnsi="Arial" w:cs="Arial"/>
      <w:b/>
      <w:caps w:val="0"/>
      <w:sz w:val="20"/>
      <w:szCs w:val="20"/>
    </w:rPr>
  </w:style>
  <w:style w:type="paragraph" w:customStyle="1" w:styleId="Casehead3">
    <w:name w:val="Casehead 3"/>
    <w:basedOn w:val="Casehead2"/>
    <w:link w:val="Casehead3Char"/>
    <w:qFormat/>
    <w:rsid w:val="00213E98"/>
    <w:rPr>
      <w:rFonts w:ascii="Times New Roman" w:hAnsi="Times New Roman" w:cs="Times New Roman"/>
      <w:b w:val="0"/>
      <w:sz w:val="22"/>
      <w:szCs w:val="22"/>
      <w:u w:val="single"/>
    </w:rPr>
  </w:style>
  <w:style w:type="character" w:customStyle="1" w:styleId="Casehead3Char">
    <w:name w:val="Casehead 3 Char"/>
    <w:basedOn w:val="Casehead2Char"/>
    <w:link w:val="Casehead3"/>
    <w:rsid w:val="00213E98"/>
    <w:rPr>
      <w:rFonts w:ascii="Times New Roman" w:eastAsia="Times New Roman" w:hAnsi="Times New Roman" w:cs="Times New Roman"/>
      <w:b w:val="0"/>
      <w:caps w:val="0"/>
      <w:sz w:val="20"/>
      <w:szCs w:val="20"/>
      <w:u w:val="single"/>
    </w:rPr>
  </w:style>
  <w:style w:type="paragraph" w:customStyle="1" w:styleId="Casehead4">
    <w:name w:val="Casehead 4"/>
    <w:basedOn w:val="Casehead3"/>
    <w:link w:val="Casehead4Char"/>
    <w:qFormat/>
    <w:rsid w:val="002E32F0"/>
    <w:rPr>
      <w:i/>
      <w:u w:val="none"/>
    </w:rPr>
  </w:style>
  <w:style w:type="character" w:customStyle="1" w:styleId="Casehead4Char">
    <w:name w:val="Casehead 4 Char"/>
    <w:basedOn w:val="Casehead3Char"/>
    <w:link w:val="Casehead4"/>
    <w:rsid w:val="002E32F0"/>
    <w:rPr>
      <w:rFonts w:ascii="Times New Roman" w:eastAsia="Times New Roman" w:hAnsi="Times New Roman" w:cs="Times New Roman"/>
      <w:b w:val="0"/>
      <w:i/>
      <w:caps w:val="0"/>
      <w:sz w:val="20"/>
      <w:szCs w:val="20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6C0B1A"/>
  </w:style>
  <w:style w:type="character" w:customStyle="1" w:styleId="FootnoteTextChar">
    <w:name w:val="Footnote Text Char"/>
    <w:basedOn w:val="DefaultParagraphFont"/>
    <w:link w:val="FootnoteText"/>
    <w:uiPriority w:val="99"/>
    <w:rsid w:val="006C0B1A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qFormat/>
    <w:rsid w:val="00D37A5B"/>
    <w:rPr>
      <w:rFonts w:ascii="Arial" w:hAnsi="Arial"/>
      <w:sz w:val="17"/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583F62"/>
    <w:rPr>
      <w:rFonts w:ascii="Arial" w:hAnsi="Arial" w:cs="Arial"/>
      <w:sz w:val="17"/>
      <w:szCs w:val="17"/>
    </w:rPr>
  </w:style>
  <w:style w:type="character" w:customStyle="1" w:styleId="FootnoteChar">
    <w:name w:val="Footnote Char"/>
    <w:basedOn w:val="FootnoteTextChar"/>
    <w:link w:val="Footnote"/>
    <w:rsid w:val="00583F62"/>
    <w:rPr>
      <w:rFonts w:ascii="Arial" w:eastAsia="Times New Roman" w:hAnsi="Arial" w:cs="Arial"/>
      <w:sz w:val="17"/>
      <w:szCs w:val="17"/>
      <w:lang w:val="en-GB"/>
    </w:rPr>
  </w:style>
  <w:style w:type="paragraph" w:customStyle="1" w:styleId="Quotation3Lines">
    <w:name w:val="Quotation (3+ Lines)"/>
    <w:basedOn w:val="BodyTextMain"/>
    <w:link w:val="Quotation3LinesChar"/>
    <w:rsid w:val="00752BCD"/>
    <w:pPr>
      <w:ind w:left="720" w:right="720"/>
    </w:pPr>
  </w:style>
  <w:style w:type="character" w:customStyle="1" w:styleId="Quotation3LinesChar">
    <w:name w:val="Quotation (3+ Lines) Char"/>
    <w:basedOn w:val="BodyTextMainChar"/>
    <w:link w:val="Quotation3Lines"/>
    <w:rsid w:val="00752BCD"/>
    <w:rPr>
      <w:rFonts w:ascii="Times New Roman" w:eastAsia="Times New Roman" w:hAnsi="Times New Roman" w:cs="Times New Roman"/>
    </w:rPr>
  </w:style>
  <w:style w:type="paragraph" w:customStyle="1" w:styleId="ExhibitNumber">
    <w:name w:val="Exhibit Number"/>
    <w:basedOn w:val="BodyTextMain"/>
    <w:link w:val="ExhibitNumberChar"/>
    <w:qFormat/>
    <w:rsid w:val="00752BCD"/>
    <w:pPr>
      <w:jc w:val="center"/>
    </w:pPr>
    <w:rPr>
      <w:rFonts w:ascii="Arial" w:hAnsi="Arial" w:cs="Arial"/>
      <w:b/>
      <w:sz w:val="20"/>
      <w:szCs w:val="20"/>
    </w:rPr>
  </w:style>
  <w:style w:type="character" w:customStyle="1" w:styleId="ExhibitNumberChar">
    <w:name w:val="Exhibit Number Char"/>
    <w:basedOn w:val="BodyTextMainChar"/>
    <w:link w:val="ExhibitNumber"/>
    <w:rsid w:val="00752BCD"/>
    <w:rPr>
      <w:rFonts w:ascii="Arial" w:eastAsia="Times New Roman" w:hAnsi="Arial" w:cs="Arial"/>
      <w:b/>
      <w:sz w:val="20"/>
      <w:szCs w:val="20"/>
    </w:rPr>
  </w:style>
  <w:style w:type="paragraph" w:customStyle="1" w:styleId="ExhibitHeading">
    <w:name w:val="Exhibit Heading"/>
    <w:basedOn w:val="BodyTextMain"/>
    <w:link w:val="ExhibitHeadingChar"/>
    <w:qFormat/>
    <w:rsid w:val="00752BCD"/>
    <w:pPr>
      <w:jc w:val="center"/>
    </w:pPr>
    <w:rPr>
      <w:rFonts w:ascii="Arial" w:hAnsi="Arial" w:cs="Arial"/>
      <w:b/>
      <w:caps/>
      <w:sz w:val="20"/>
      <w:szCs w:val="20"/>
    </w:rPr>
  </w:style>
  <w:style w:type="character" w:customStyle="1" w:styleId="ExhibitHeadingChar">
    <w:name w:val="Exhibit Heading Char"/>
    <w:basedOn w:val="BodyTextMainChar"/>
    <w:link w:val="ExhibitHeading"/>
    <w:rsid w:val="00752BCD"/>
    <w:rPr>
      <w:rFonts w:ascii="Arial" w:eastAsia="Times New Roman" w:hAnsi="Arial" w:cs="Arial"/>
      <w:b/>
      <w:caps/>
      <w:sz w:val="20"/>
      <w:szCs w:val="20"/>
    </w:rPr>
  </w:style>
  <w:style w:type="paragraph" w:customStyle="1" w:styleId="CaseTitle">
    <w:name w:val="Case Title"/>
    <w:basedOn w:val="MainTitle"/>
    <w:link w:val="CaseTitleChar"/>
    <w:qFormat/>
    <w:rsid w:val="00752BCD"/>
  </w:style>
  <w:style w:type="character" w:customStyle="1" w:styleId="CaseTitleChar">
    <w:name w:val="Case Title Char"/>
    <w:basedOn w:val="MainTitleChar"/>
    <w:link w:val="CaseTitle"/>
    <w:rsid w:val="00752BCD"/>
    <w:rPr>
      <w:rFonts w:ascii="Arial" w:hAnsi="Arial" w:cs="Arial"/>
      <w:b/>
      <w:bCs/>
      <w:caps/>
      <w:color w:val="000000"/>
      <w:sz w:val="28"/>
      <w:szCs w:val="28"/>
    </w:rPr>
  </w:style>
  <w:style w:type="paragraph" w:customStyle="1" w:styleId="TeachingNoteTitle">
    <w:name w:val="Teaching Note Title"/>
    <w:basedOn w:val="CaseTitle"/>
    <w:link w:val="TeachingNoteTitleChar"/>
    <w:qFormat/>
    <w:rsid w:val="00752BCD"/>
    <w:pPr>
      <w:jc w:val="center"/>
    </w:pPr>
  </w:style>
  <w:style w:type="character" w:customStyle="1" w:styleId="TeachingNoteTitleChar">
    <w:name w:val="Teaching Note Title Char"/>
    <w:basedOn w:val="CaseTitleChar"/>
    <w:link w:val="TeachingNoteTitle"/>
    <w:rsid w:val="00752BCD"/>
    <w:rPr>
      <w:rFonts w:ascii="Arial" w:hAnsi="Arial" w:cs="Arial"/>
      <w:b/>
      <w:bCs/>
      <w:caps/>
      <w:color w:val="000000"/>
      <w:sz w:val="28"/>
      <w:szCs w:val="28"/>
    </w:rPr>
  </w:style>
  <w:style w:type="paragraph" w:customStyle="1" w:styleId="ProductNumber">
    <w:name w:val="Product Number"/>
    <w:basedOn w:val="Normal"/>
    <w:link w:val="ProductNumberChar"/>
    <w:qFormat/>
    <w:rsid w:val="00752BCD"/>
    <w:pPr>
      <w:jc w:val="right"/>
    </w:pPr>
    <w:rPr>
      <w:rFonts w:ascii="Arial" w:hAnsi="Arial"/>
      <w:b/>
      <w:caps/>
      <w:sz w:val="24"/>
    </w:rPr>
  </w:style>
  <w:style w:type="character" w:customStyle="1" w:styleId="ProductNumberChar">
    <w:name w:val="Product Number Char"/>
    <w:basedOn w:val="DefaultParagraphFont"/>
    <w:link w:val="ProductNumber"/>
    <w:rsid w:val="00752BCD"/>
    <w:rPr>
      <w:rFonts w:ascii="Arial" w:eastAsia="Times New Roman" w:hAnsi="Arial" w:cs="Times New Roman"/>
      <w:b/>
      <w:caps/>
      <w:sz w:val="24"/>
      <w:szCs w:val="20"/>
    </w:rPr>
  </w:style>
  <w:style w:type="paragraph" w:customStyle="1" w:styleId="ExhibitText">
    <w:name w:val="Exhibit Text"/>
    <w:basedOn w:val="BodyTextMain"/>
    <w:link w:val="ExhibitTextChar"/>
    <w:qFormat/>
    <w:rsid w:val="00F105B7"/>
    <w:rPr>
      <w:rFonts w:ascii="Arial" w:hAnsi="Arial" w:cs="Arial"/>
      <w:sz w:val="20"/>
      <w:szCs w:val="20"/>
    </w:rPr>
  </w:style>
  <w:style w:type="character" w:customStyle="1" w:styleId="ExhibitTextChar">
    <w:name w:val="Exhibit Text Char"/>
    <w:basedOn w:val="BodyTextMainChar"/>
    <w:link w:val="ExhibitText"/>
    <w:rsid w:val="00F105B7"/>
    <w:rPr>
      <w:rFonts w:ascii="Arial" w:eastAsia="Times New Roman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105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05B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105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05B7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3360"/>
    <w:rPr>
      <w:color w:val="0000FF" w:themeColor="hyperlink"/>
      <w:u w:val="single"/>
    </w:rPr>
  </w:style>
  <w:style w:type="paragraph" w:customStyle="1" w:styleId="StyleCopyrightStatementAfter0ptBottomSinglesolidline">
    <w:name w:val="Style CopyrightStatement + After:  0 pt Bottom: (Single solid line..."/>
    <w:basedOn w:val="CopyrightStatement"/>
    <w:rsid w:val="00104567"/>
    <w:pPr>
      <w:pBdr>
        <w:bottom w:val="single" w:sz="8" w:space="1" w:color="auto"/>
      </w:pBdr>
      <w:spacing w:after="0" w:line="240" w:lineRule="auto"/>
    </w:pPr>
    <w:rPr>
      <w:rFonts w:eastAsia="Times New Roman" w:cs="Times New Roman"/>
      <w:szCs w:val="20"/>
    </w:rPr>
  </w:style>
  <w:style w:type="paragraph" w:customStyle="1" w:styleId="StyleCopyrightStatementAfter0ptBottomSinglesolidline1">
    <w:name w:val="Style CopyrightStatement + After:  0 pt Bottom: (Single solid line...1"/>
    <w:basedOn w:val="CopyrightStatement"/>
    <w:rsid w:val="003B7EF2"/>
    <w:pPr>
      <w:pBdr>
        <w:top w:val="single" w:sz="8" w:space="4" w:color="auto"/>
        <w:bottom w:val="none" w:sz="0" w:space="0" w:color="auto"/>
      </w:pBdr>
      <w:spacing w:after="0" w:line="240" w:lineRule="auto"/>
    </w:pPr>
    <w:rPr>
      <w:rFonts w:eastAsia="Times New Roman" w:cs="Times New Roman"/>
      <w:szCs w:val="20"/>
    </w:rPr>
  </w:style>
  <w:style w:type="paragraph" w:customStyle="1" w:styleId="StyleStyleCopyrightStatementAfter0ptBottomSinglesolid">
    <w:name w:val="Style Style CopyrightStatement + After:  0 pt Bottom: (Single solid..."/>
    <w:basedOn w:val="StyleCopyrightStatementAfter0ptBottomSinglesolidline1"/>
    <w:rsid w:val="003B7EF2"/>
    <w:pPr>
      <w:pBdr>
        <w:top w:val="none" w:sz="0" w:space="0" w:color="auto"/>
      </w:pBdr>
    </w:pPr>
  </w:style>
  <w:style w:type="paragraph" w:styleId="BodyText">
    <w:name w:val="Body Text"/>
    <w:basedOn w:val="Normal"/>
    <w:link w:val="BodyTextChar"/>
    <w:unhideWhenUsed/>
    <w:rsid w:val="00CA397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A3976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rsid w:val="00CA3976"/>
    <w:pPr>
      <w:ind w:left="720"/>
      <w:contextualSpacing/>
      <w:jc w:val="both"/>
    </w:pPr>
    <w:rPr>
      <w:rFonts w:eastAsia="Calibr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9A534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A5348"/>
  </w:style>
  <w:style w:type="character" w:customStyle="1" w:styleId="CommentTextChar">
    <w:name w:val="Comment Text Char"/>
    <w:basedOn w:val="DefaultParagraphFont"/>
    <w:link w:val="CommentText"/>
    <w:rsid w:val="009A534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53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534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FootnoteText1">
    <w:name w:val="Footnote Text1"/>
    <w:basedOn w:val="Normal"/>
    <w:next w:val="BodyText"/>
    <w:uiPriority w:val="99"/>
    <w:rsid w:val="009A5348"/>
    <w:pPr>
      <w:tabs>
        <w:tab w:val="left" w:pos="-1440"/>
        <w:tab w:val="left" w:pos="-720"/>
        <w:tab w:val="left" w:pos="1"/>
        <w:tab w:val="right" w:pos="9000"/>
      </w:tabs>
      <w:jc w:val="both"/>
    </w:pPr>
    <w:rPr>
      <w:rFonts w:ascii="Arial" w:hAnsi="Arial" w:cs="Arial"/>
      <w:i/>
      <w:iCs/>
      <w:sz w:val="17"/>
      <w:szCs w:val="17"/>
    </w:rPr>
  </w:style>
  <w:style w:type="paragraph" w:styleId="NormalWeb">
    <w:name w:val="Normal (Web)"/>
    <w:basedOn w:val="Normal"/>
    <w:uiPriority w:val="99"/>
    <w:semiHidden/>
    <w:rsid w:val="00FD0F82"/>
    <w:pPr>
      <w:spacing w:before="100" w:beforeAutospacing="1" w:after="100" w:afterAutospacing="1"/>
    </w:pPr>
    <w:rPr>
      <w:rFonts w:ascii="PMingLiU" w:eastAsiaTheme="minorEastAsia" w:hAnsi="PMingLiU" w:cs="PMingLiU"/>
      <w:sz w:val="24"/>
      <w:szCs w:val="24"/>
      <w:lang w:eastAsia="zh-TW"/>
    </w:rPr>
  </w:style>
  <w:style w:type="numbering" w:customStyle="1" w:styleId="NoList1">
    <w:name w:val="No List1"/>
    <w:next w:val="NoList"/>
    <w:uiPriority w:val="99"/>
    <w:semiHidden/>
    <w:unhideWhenUsed/>
    <w:rsid w:val="00FD0F82"/>
  </w:style>
  <w:style w:type="table" w:styleId="TableGrid">
    <w:name w:val="Table Grid"/>
    <w:basedOn w:val="TableNormal"/>
    <w:uiPriority w:val="99"/>
    <w:rsid w:val="00FD0F82"/>
    <w:pPr>
      <w:spacing w:after="0" w:line="240" w:lineRule="auto"/>
    </w:pPr>
    <w:rPr>
      <w:rFonts w:ascii="Calibri" w:eastAsiaTheme="minorEastAsia" w:hAnsi="Calibri" w:cs="Calibri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rsid w:val="00FD0F82"/>
    <w:rPr>
      <w:rFonts w:ascii="Consolas" w:eastAsiaTheme="minorEastAsia" w:hAnsi="Consolas" w:cs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FD0F82"/>
    <w:rPr>
      <w:rFonts w:ascii="Consolas" w:eastAsiaTheme="minorEastAsia" w:hAnsi="Consolas" w:cs="Consolas"/>
      <w:sz w:val="21"/>
      <w:szCs w:val="21"/>
      <w:lang w:eastAsia="zh-CN"/>
    </w:rPr>
  </w:style>
  <w:style w:type="character" w:styleId="Emphasis">
    <w:name w:val="Emphasis"/>
    <w:basedOn w:val="DefaultParagraphFont"/>
    <w:uiPriority w:val="99"/>
    <w:rsid w:val="00FD0F82"/>
    <w:rPr>
      <w:i/>
      <w:iCs/>
    </w:rPr>
  </w:style>
  <w:style w:type="character" w:styleId="Strong">
    <w:name w:val="Strong"/>
    <w:basedOn w:val="DefaultParagraphFont"/>
    <w:uiPriority w:val="99"/>
    <w:rsid w:val="00FD0F82"/>
    <w:rPr>
      <w:b/>
      <w:bCs/>
    </w:rPr>
  </w:style>
  <w:style w:type="character" w:customStyle="1" w:styleId="Title1">
    <w:name w:val="Title1"/>
    <w:basedOn w:val="DefaultParagraphFont"/>
    <w:uiPriority w:val="99"/>
    <w:rsid w:val="00FD0F82"/>
  </w:style>
  <w:style w:type="paragraph" w:styleId="Revision">
    <w:name w:val="Revision"/>
    <w:hidden/>
    <w:uiPriority w:val="99"/>
    <w:semiHidden/>
    <w:rsid w:val="00FD0F82"/>
    <w:pPr>
      <w:spacing w:after="0" w:line="240" w:lineRule="auto"/>
    </w:pPr>
    <w:rPr>
      <w:rFonts w:ascii="Calibri" w:eastAsiaTheme="minorEastAsia" w:hAnsi="Calibri" w:cs="Calibri"/>
      <w:lang w:eastAsia="zh-CN"/>
    </w:rPr>
  </w:style>
  <w:style w:type="character" w:customStyle="1" w:styleId="apple-converted-space">
    <w:name w:val="apple-converted-space"/>
    <w:basedOn w:val="DefaultParagraphFont"/>
    <w:rsid w:val="00FD0F82"/>
  </w:style>
  <w:style w:type="character" w:customStyle="1" w:styleId="apple-style-span">
    <w:name w:val="apple-style-span"/>
    <w:basedOn w:val="DefaultParagraphFont"/>
    <w:rsid w:val="00682754"/>
    <w:rPr>
      <w:rFonts w:ascii="Times New Roman" w:hAnsi="Times New Roman"/>
      <w:caps w:val="0"/>
      <w:smallCaps w:val="0"/>
      <w:strike w:val="0"/>
      <w:dstrike w:val="0"/>
      <w:vanish w:val="0"/>
      <w:sz w:val="22"/>
      <w:vertAlign w:val="baseli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4742F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4742F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4742F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sid w:val="00B6530D"/>
    <w:rPr>
      <w:i/>
      <w:iCs/>
    </w:rPr>
  </w:style>
  <w:style w:type="character" w:customStyle="1" w:styleId="selectable">
    <w:name w:val="selectable"/>
    <w:basedOn w:val="DefaultParagraphFont"/>
    <w:rsid w:val="00B6530D"/>
  </w:style>
  <w:style w:type="paragraph" w:styleId="DocumentMap">
    <w:name w:val="Document Map"/>
    <w:basedOn w:val="Normal"/>
    <w:link w:val="DocumentMapChar"/>
    <w:uiPriority w:val="99"/>
    <w:semiHidden/>
    <w:unhideWhenUsed/>
    <w:rsid w:val="008C2FD6"/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C2FD6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iveycase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ses@ivey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586B3-5992-44EA-B80B-459E60CDC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2819</Words>
  <Characters>16071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Ivey Business School</Company>
  <LinksUpToDate>false</LinksUpToDate>
  <CharactersWithSpaces>18853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smuir</dc:creator>
  <cp:lastModifiedBy>Anderson, Cassandra</cp:lastModifiedBy>
  <cp:revision>3</cp:revision>
  <cp:lastPrinted>2016-11-17T10:43:00Z</cp:lastPrinted>
  <dcterms:created xsi:type="dcterms:W3CDTF">2017-01-30T18:30:00Z</dcterms:created>
  <dcterms:modified xsi:type="dcterms:W3CDTF">2017-02-21T20:26:00Z</dcterms:modified>
</cp:coreProperties>
</file>