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484E9" w14:textId="64C498EC" w:rsidR="008467D5" w:rsidRPr="008E2DDB" w:rsidRDefault="002C76A4" w:rsidP="00013360">
      <w:pPr>
        <w:tabs>
          <w:tab w:val="left" w:pos="-1440"/>
          <w:tab w:val="left" w:pos="-720"/>
          <w:tab w:val="left" w:pos="1"/>
          <w:tab w:val="right" w:pos="9360"/>
        </w:tabs>
        <w:jc w:val="both"/>
        <w:rPr>
          <w:rFonts w:ascii="Arial" w:hAnsi="Arial"/>
          <w:sz w:val="24"/>
        </w:rPr>
      </w:pPr>
      <w:r w:rsidRPr="002C76A4">
        <w:rPr>
          <w:rFonts w:ascii="Arial" w:hAnsi="Arial"/>
          <w:b/>
          <w:noProof/>
          <w:sz w:val="24"/>
          <w:lang w:eastAsia="en-GB"/>
        </w:rPr>
        <w:drawing>
          <wp:inline distT="0" distB="0" distL="0" distR="0" wp14:anchorId="652B7A49" wp14:editId="4FFF3994">
            <wp:extent cx="2613804" cy="55124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ing-Logo.jpg"/>
                    <pic:cNvPicPr/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56" cy="5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C8A2" w14:textId="77777777" w:rsidR="00856D9F" w:rsidRPr="008E2DDB" w:rsidRDefault="00856D9F" w:rsidP="008467D5">
      <w:pPr>
        <w:pBdr>
          <w:bottom w:val="single" w:sz="18" w:space="1" w:color="auto"/>
        </w:pBdr>
        <w:tabs>
          <w:tab w:val="left" w:pos="-1440"/>
          <w:tab w:val="left" w:pos="-720"/>
          <w:tab w:val="left" w:pos="1"/>
        </w:tabs>
        <w:jc w:val="both"/>
        <w:rPr>
          <w:rFonts w:ascii="Arial" w:hAnsi="Arial"/>
          <w:b/>
          <w:sz w:val="24"/>
        </w:rPr>
      </w:pPr>
    </w:p>
    <w:p w14:paraId="30B5A82C" w14:textId="56E3079A" w:rsidR="00D75295" w:rsidRPr="008E2DDB" w:rsidRDefault="005C4899" w:rsidP="008C6C49">
      <w:pPr>
        <w:pStyle w:val="ProductNumber"/>
        <w:outlineLvl w:val="0"/>
      </w:pPr>
      <w:r>
        <w:t>9B17B003</w:t>
      </w:r>
    </w:p>
    <w:p w14:paraId="4401781A" w14:textId="77777777" w:rsidR="00D75295" w:rsidRPr="008E2DDB" w:rsidRDefault="00D75295" w:rsidP="00D75295">
      <w:pPr>
        <w:jc w:val="right"/>
        <w:rPr>
          <w:rFonts w:ascii="Arial" w:hAnsi="Arial"/>
          <w:b/>
          <w:sz w:val="28"/>
          <w:szCs w:val="28"/>
        </w:rPr>
      </w:pPr>
    </w:p>
    <w:p w14:paraId="0769484D" w14:textId="77777777" w:rsidR="00866F6D" w:rsidRPr="008E2DDB" w:rsidRDefault="00866F6D" w:rsidP="00D75295">
      <w:pPr>
        <w:jc w:val="right"/>
        <w:rPr>
          <w:rFonts w:ascii="Arial" w:hAnsi="Arial"/>
          <w:b/>
          <w:sz w:val="28"/>
          <w:szCs w:val="28"/>
        </w:rPr>
      </w:pPr>
    </w:p>
    <w:p w14:paraId="6D07770E" w14:textId="77777777" w:rsidR="00013360" w:rsidRPr="008E2DDB" w:rsidRDefault="00024D80" w:rsidP="008C6C49">
      <w:pPr>
        <w:pStyle w:val="CaseTitle"/>
        <w:spacing w:after="0" w:line="240" w:lineRule="auto"/>
        <w:outlineLvl w:val="0"/>
        <w:rPr>
          <w:color w:val="auto"/>
        </w:rPr>
      </w:pPr>
      <w:r w:rsidRPr="008E2DDB">
        <w:rPr>
          <w:color w:val="auto"/>
        </w:rPr>
        <w:t>REVENUE MAXIMIZATION: APARTMENT RENTAL UNITS</w:t>
      </w:r>
    </w:p>
    <w:p w14:paraId="526F400F" w14:textId="77777777" w:rsidR="00013360" w:rsidRPr="008E2DDB" w:rsidRDefault="00013360" w:rsidP="00013360">
      <w:pPr>
        <w:pStyle w:val="CaseTitle"/>
        <w:spacing w:after="0" w:line="240" w:lineRule="auto"/>
        <w:rPr>
          <w:color w:val="auto"/>
          <w:sz w:val="20"/>
          <w:szCs w:val="20"/>
        </w:rPr>
      </w:pPr>
    </w:p>
    <w:p w14:paraId="10F94F8D" w14:textId="77777777" w:rsidR="00CA3976" w:rsidRPr="008E2DDB" w:rsidRDefault="00CA3976" w:rsidP="00013360">
      <w:pPr>
        <w:pStyle w:val="CaseTitle"/>
        <w:spacing w:after="0" w:line="240" w:lineRule="auto"/>
        <w:rPr>
          <w:color w:val="auto"/>
          <w:sz w:val="20"/>
          <w:szCs w:val="20"/>
        </w:rPr>
      </w:pPr>
    </w:p>
    <w:p w14:paraId="476D8E5E" w14:textId="77777777" w:rsidR="00013360" w:rsidRPr="008E2DDB" w:rsidRDefault="00013360" w:rsidP="00013360">
      <w:pPr>
        <w:pStyle w:val="CaseTitle"/>
        <w:spacing w:after="0" w:line="240" w:lineRule="auto"/>
        <w:rPr>
          <w:color w:val="auto"/>
          <w:sz w:val="20"/>
          <w:szCs w:val="20"/>
        </w:rPr>
      </w:pPr>
    </w:p>
    <w:p w14:paraId="50FB8430" w14:textId="3A4CB6D2" w:rsidR="00013360" w:rsidRPr="008E2DDB" w:rsidRDefault="00A8602F" w:rsidP="00104567">
      <w:pPr>
        <w:pStyle w:val="StyleCopyrightStatementAfter0ptBottomSinglesolidline1"/>
        <w:rPr>
          <w:color w:val="auto"/>
        </w:rPr>
      </w:pPr>
      <w:r w:rsidRPr="008E2DDB">
        <w:rPr>
          <w:color w:val="auto"/>
        </w:rPr>
        <w:t>Karen Shastri</w:t>
      </w:r>
      <w:r w:rsidR="003B483C">
        <w:rPr>
          <w:color w:val="auto"/>
        </w:rPr>
        <w:t xml:space="preserve"> and Steven </w:t>
      </w:r>
      <w:proofErr w:type="spellStart"/>
      <w:r w:rsidR="003B483C">
        <w:rPr>
          <w:color w:val="auto"/>
        </w:rPr>
        <w:t>Onaitis</w:t>
      </w:r>
      <w:proofErr w:type="spellEnd"/>
      <w:r w:rsidR="007E5921" w:rsidRPr="008E2DDB">
        <w:rPr>
          <w:color w:val="auto"/>
        </w:rPr>
        <w:t xml:space="preserve"> wrote this </w:t>
      </w:r>
      <w:r w:rsidR="00862BAC">
        <w:rPr>
          <w:color w:val="auto"/>
        </w:rPr>
        <w:t>exercise</w:t>
      </w:r>
      <w:r w:rsidR="007E5921" w:rsidRPr="008E2DDB">
        <w:rPr>
          <w:color w:val="auto"/>
        </w:rPr>
        <w:t xml:space="preserve"> sol</w:t>
      </w:r>
      <w:r w:rsidR="00D75295" w:rsidRPr="008E2DDB">
        <w:rPr>
          <w:color w:val="auto"/>
        </w:rPr>
        <w:t>ely to provide material for class discussion. The authors do not intend to illustrate either effective or ineffective handling of a managerial situation. The authors may have disguised certain names and other identifying information to protect confidentiality.</w:t>
      </w:r>
    </w:p>
    <w:p w14:paraId="5C0B0FAF" w14:textId="77777777" w:rsidR="00013360" w:rsidRPr="008E2DDB" w:rsidRDefault="00013360" w:rsidP="00104567">
      <w:pPr>
        <w:pStyle w:val="StyleCopyrightStatementAfter0ptBottomSinglesolidline1"/>
        <w:rPr>
          <w:color w:val="auto"/>
        </w:rPr>
      </w:pPr>
    </w:p>
    <w:p w14:paraId="69FB3964" w14:textId="7949E97B" w:rsidR="002C76A4" w:rsidRDefault="002C76A4" w:rsidP="00704EB0">
      <w:pPr>
        <w:jc w:val="both"/>
        <w:rPr>
          <w:rFonts w:ascii="Arial" w:hAnsi="Arial" w:cs="Arial"/>
          <w:i/>
          <w:iCs/>
          <w:sz w:val="16"/>
          <w:szCs w:val="16"/>
          <w:lang w:val="en-CA"/>
        </w:rPr>
      </w:pPr>
      <w:r>
        <w:rPr>
          <w:rFonts w:ascii="Arial" w:hAnsi="Arial" w:cs="Arial"/>
          <w:i/>
          <w:iCs/>
          <w:sz w:val="16"/>
          <w:szCs w:val="16"/>
          <w:lang w:val="en-CA"/>
        </w:rPr>
        <w:t xml:space="preserve">This publication </w:t>
      </w:r>
      <w:proofErr w:type="gramStart"/>
      <w:r>
        <w:rPr>
          <w:rFonts w:ascii="Arial" w:hAnsi="Arial" w:cs="Arial"/>
          <w:i/>
          <w:iCs/>
          <w:sz w:val="16"/>
          <w:szCs w:val="16"/>
          <w:lang w:val="en-CA"/>
        </w:rPr>
        <w:t>may not be transmitted, photocopied, digitized</w:t>
      </w:r>
      <w:r w:rsidR="008C6C49">
        <w:rPr>
          <w:rFonts w:ascii="Arial" w:hAnsi="Arial" w:cs="Arial"/>
          <w:i/>
          <w:iCs/>
          <w:sz w:val="16"/>
          <w:szCs w:val="16"/>
          <w:lang w:val="en-CA"/>
        </w:rPr>
        <w:t>,</w:t>
      </w:r>
      <w:r>
        <w:rPr>
          <w:rFonts w:ascii="Arial" w:hAnsi="Arial" w:cs="Arial"/>
          <w:i/>
          <w:iCs/>
          <w:sz w:val="16"/>
          <w:szCs w:val="16"/>
          <w:lang w:val="en-CA"/>
        </w:rPr>
        <w:t xml:space="preserve"> or otherwise reproduced in any form or by any means without the permission of the copyright holder</w:t>
      </w:r>
      <w:proofErr w:type="gramEnd"/>
      <w:r>
        <w:rPr>
          <w:rFonts w:ascii="Arial" w:hAnsi="Arial" w:cs="Arial"/>
          <w:i/>
          <w:iCs/>
          <w:sz w:val="16"/>
          <w:szCs w:val="16"/>
          <w:lang w:val="en-CA"/>
        </w:rPr>
        <w:t xml:space="preserve">. Reproduction of this material </w:t>
      </w:r>
      <w:proofErr w:type="gramStart"/>
      <w:r>
        <w:rPr>
          <w:rFonts w:ascii="Arial" w:hAnsi="Arial" w:cs="Arial"/>
          <w:i/>
          <w:iCs/>
          <w:sz w:val="16"/>
          <w:szCs w:val="16"/>
          <w:lang w:val="en-CA"/>
        </w:rPr>
        <w:t>is not covered</w:t>
      </w:r>
      <w:proofErr w:type="gramEnd"/>
      <w:r>
        <w:rPr>
          <w:rFonts w:ascii="Arial" w:hAnsi="Arial" w:cs="Arial"/>
          <w:i/>
          <w:iCs/>
          <w:sz w:val="16"/>
          <w:szCs w:val="16"/>
          <w:lang w:val="en-CA"/>
        </w:rPr>
        <w:t xml:space="preserve"> under authorization by any reproduction rights organization. To order copies or request permission to reproduce materials, contact Ivey Publishing, Ivey Business School, Western University, London, Ontario, Canada, N6G 0N1; (t) 519.661.3208; (e) </w:t>
      </w:r>
      <w:hyperlink r:id="rId9" w:history="1">
        <w:r w:rsidRPr="00452769">
          <w:rPr>
            <w:rFonts w:ascii="Arial" w:hAnsi="Arial" w:cs="Arial"/>
            <w:i/>
            <w:iCs/>
            <w:sz w:val="16"/>
            <w:szCs w:val="16"/>
            <w:lang w:val="en-CA"/>
          </w:rPr>
          <w:t>cases@ivey.ca</w:t>
        </w:r>
      </w:hyperlink>
      <w:r>
        <w:rPr>
          <w:rFonts w:ascii="Arial" w:hAnsi="Arial" w:cs="Arial"/>
          <w:i/>
          <w:iCs/>
          <w:sz w:val="16"/>
          <w:szCs w:val="16"/>
          <w:lang w:val="en-CA"/>
        </w:rPr>
        <w:t xml:space="preserve">; </w:t>
      </w:r>
      <w:hyperlink r:id="rId10" w:history="1">
        <w:r w:rsidRPr="00452769">
          <w:rPr>
            <w:rFonts w:ascii="Arial" w:hAnsi="Arial" w:cs="Arial"/>
            <w:i/>
            <w:iCs/>
            <w:sz w:val="16"/>
            <w:szCs w:val="16"/>
            <w:lang w:val="en-CA"/>
          </w:rPr>
          <w:t>www.iveycases.com</w:t>
        </w:r>
      </w:hyperlink>
      <w:r>
        <w:rPr>
          <w:rFonts w:ascii="Arial" w:hAnsi="Arial" w:cs="Arial"/>
          <w:i/>
          <w:iCs/>
          <w:sz w:val="16"/>
          <w:szCs w:val="16"/>
          <w:lang w:val="en-CA"/>
        </w:rPr>
        <w:t>.</w:t>
      </w:r>
    </w:p>
    <w:p w14:paraId="65D5B221" w14:textId="77777777" w:rsidR="002C76A4" w:rsidRDefault="002C76A4" w:rsidP="00704EB0">
      <w:pPr>
        <w:pStyle w:val="StyleCopyrightStatementAfter0ptBottomSinglesolidline1"/>
        <w:pBdr>
          <w:top w:val="none" w:sz="0" w:space="0" w:color="auto"/>
        </w:pBdr>
      </w:pPr>
    </w:p>
    <w:p w14:paraId="16F30802" w14:textId="7CFDE270" w:rsidR="003B7EF2" w:rsidRPr="002C76A4" w:rsidRDefault="002C76A4" w:rsidP="003B7EF2">
      <w:pPr>
        <w:pStyle w:val="StyleStyleCopyrightStatementAfter0ptBottomSinglesolid"/>
      </w:pPr>
      <w:r>
        <w:t>Copyright © 2017, Richard Ivey School of Business Foundation</w:t>
      </w:r>
      <w:r w:rsidR="003B7EF2" w:rsidRPr="008E2DDB">
        <w:rPr>
          <w:color w:val="auto"/>
        </w:rPr>
        <w:tab/>
        <w:t xml:space="preserve">Version: </w:t>
      </w:r>
      <w:r w:rsidR="00361C8E" w:rsidRPr="008E2DDB">
        <w:rPr>
          <w:color w:val="auto"/>
        </w:rPr>
        <w:t>201</w:t>
      </w:r>
      <w:r>
        <w:rPr>
          <w:color w:val="auto"/>
        </w:rPr>
        <w:t>7</w:t>
      </w:r>
      <w:r w:rsidR="00361C8E" w:rsidRPr="008E2DDB">
        <w:rPr>
          <w:color w:val="auto"/>
        </w:rPr>
        <w:t>-</w:t>
      </w:r>
      <w:r>
        <w:rPr>
          <w:color w:val="auto"/>
        </w:rPr>
        <w:t>02</w:t>
      </w:r>
      <w:r w:rsidR="00024D80" w:rsidRPr="008E2DDB">
        <w:rPr>
          <w:color w:val="auto"/>
        </w:rPr>
        <w:t>-</w:t>
      </w:r>
      <w:r w:rsidR="003B483C">
        <w:rPr>
          <w:color w:val="auto"/>
        </w:rPr>
        <w:t>2</w:t>
      </w:r>
      <w:r w:rsidR="007E11E1">
        <w:rPr>
          <w:color w:val="auto"/>
        </w:rPr>
        <w:t>4</w:t>
      </w:r>
    </w:p>
    <w:p w14:paraId="0486F565" w14:textId="77777777" w:rsidR="003B7EF2" w:rsidRPr="008E2DDB" w:rsidRDefault="003B7EF2" w:rsidP="00104567">
      <w:pPr>
        <w:pStyle w:val="StyleCopyrightStatementAfter0ptBottomSinglesolidline1"/>
        <w:rPr>
          <w:rFonts w:ascii="Times New Roman" w:hAnsi="Times New Roman"/>
          <w:color w:val="auto"/>
          <w:sz w:val="20"/>
        </w:rPr>
      </w:pPr>
    </w:p>
    <w:p w14:paraId="4880CDCD" w14:textId="77777777" w:rsidR="005B3674" w:rsidRPr="008E2DDB" w:rsidRDefault="005B3674" w:rsidP="005B3674">
      <w:pPr>
        <w:pStyle w:val="BodyTextMain"/>
      </w:pPr>
    </w:p>
    <w:p w14:paraId="10640E76" w14:textId="7B02AE6D" w:rsidR="005B3674" w:rsidRPr="008E2DDB" w:rsidRDefault="005B3674" w:rsidP="005B3674">
      <w:pPr>
        <w:pStyle w:val="BodyTextMain"/>
      </w:pPr>
      <w:r w:rsidRPr="008E2DDB">
        <w:t xml:space="preserve">“It’s the combination of rent and occupancy which produces revenue, so we are maximizing that mix,” stated David Romano, </w:t>
      </w:r>
      <w:r w:rsidR="00403226">
        <w:t>v</w:t>
      </w:r>
      <w:r w:rsidRPr="008E2DDB">
        <w:t>ice</w:t>
      </w:r>
      <w:r w:rsidR="008C6C49">
        <w:t>-</w:t>
      </w:r>
      <w:r w:rsidR="00403226">
        <w:t>p</w:t>
      </w:r>
      <w:r w:rsidRPr="008E2DDB">
        <w:t xml:space="preserve">resident of </w:t>
      </w:r>
      <w:r w:rsidR="008C6C49">
        <w:t>p</w:t>
      </w:r>
      <w:r w:rsidRPr="008E2DDB">
        <w:t xml:space="preserve">ricing and </w:t>
      </w:r>
      <w:r w:rsidR="008C6C49">
        <w:t>r</w:t>
      </w:r>
      <w:r w:rsidRPr="008E2DDB">
        <w:t xml:space="preserve">evenue </w:t>
      </w:r>
      <w:r w:rsidR="008C6C49">
        <w:t>m</w:t>
      </w:r>
      <w:r w:rsidRPr="008E2DDB">
        <w:t>anagement for Equity Residential.</w:t>
      </w:r>
      <w:r w:rsidR="005F2AE8">
        <w:rPr>
          <w:rStyle w:val="FootnoteReference"/>
        </w:rPr>
        <w:footnoteReference w:id="1"/>
      </w:r>
      <w:r w:rsidRPr="008E2DDB">
        <w:t xml:space="preserve"> He added that a centralized pricing software system determined the appropriate rent for apartments using a revenue </w:t>
      </w:r>
      <w:proofErr w:type="spellStart"/>
      <w:r w:rsidRPr="008E2DDB">
        <w:t>maximizer</w:t>
      </w:r>
      <w:proofErr w:type="spellEnd"/>
      <w:r w:rsidRPr="008E2DDB">
        <w:t xml:space="preserve"> for given occupancy levels. This tool provided an opportunity for a more objective budget because the number of apartments that rented </w:t>
      </w:r>
      <w:r w:rsidR="008624B4">
        <w:t xml:space="preserve">at the various prices </w:t>
      </w:r>
      <w:proofErr w:type="gramStart"/>
      <w:r w:rsidRPr="008E2DDB">
        <w:t>would be based</w:t>
      </w:r>
      <w:proofErr w:type="gramEnd"/>
      <w:r w:rsidRPr="008E2DDB">
        <w:t xml:space="preserve"> on a model’s forecast. That forecast resulted from identifying the constraint as the number of rooms available</w:t>
      </w:r>
      <w:r w:rsidR="00E46CDE">
        <w:t>,</w:t>
      </w:r>
      <w:r w:rsidRPr="008E2DDB">
        <w:t xml:space="preserve"> and setting the apartment rental fees based on market conditions</w:t>
      </w:r>
      <w:r w:rsidR="0003624D">
        <w:t xml:space="preserve"> instead of</w:t>
      </w:r>
      <w:r w:rsidRPr="008E2DDB">
        <w:t xml:space="preserve"> simply </w:t>
      </w:r>
      <w:r w:rsidR="0003624D">
        <w:t>allowing</w:t>
      </w:r>
      <w:r w:rsidRPr="008E2DDB">
        <w:t xml:space="preserve"> apartment manager</w:t>
      </w:r>
      <w:r w:rsidR="0003624D">
        <w:t>s</w:t>
      </w:r>
      <w:r w:rsidRPr="008E2DDB">
        <w:t xml:space="preserve"> to set price</w:t>
      </w:r>
      <w:r w:rsidR="0003624D">
        <w:t>s</w:t>
      </w:r>
      <w:r w:rsidRPr="008E2DDB">
        <w:t xml:space="preserve"> at</w:t>
      </w:r>
      <w:r w:rsidR="0003624D">
        <w:t xml:space="preserve"> arbitrary</w:t>
      </w:r>
      <w:r w:rsidRPr="008E2DDB">
        <w:t xml:space="preserve"> level</w:t>
      </w:r>
      <w:r w:rsidR="006A6EFA">
        <w:t>s</w:t>
      </w:r>
      <w:r w:rsidRPr="008E2DDB">
        <w:t xml:space="preserve">. </w:t>
      </w:r>
      <w:r w:rsidR="00C10D48">
        <w:t xml:space="preserve">An apartment manager </w:t>
      </w:r>
      <w:r w:rsidR="006A6EFA">
        <w:t xml:space="preserve">and his team </w:t>
      </w:r>
      <w:r w:rsidR="008A4EE1">
        <w:t>wanted to</w:t>
      </w:r>
      <w:r w:rsidR="007A4590">
        <w:t xml:space="preserve"> determine optimal decisions in a</w:t>
      </w:r>
      <w:r w:rsidR="006A6EFA">
        <w:t xml:space="preserve"> particular</w:t>
      </w:r>
      <w:r w:rsidR="007A4590">
        <w:t xml:space="preserve"> rental setting</w:t>
      </w:r>
      <w:r w:rsidR="006A6EFA">
        <w:t>: Pittsburgh, Pennsylvania</w:t>
      </w:r>
      <w:r w:rsidR="007A4590">
        <w:t>.</w:t>
      </w:r>
    </w:p>
    <w:p w14:paraId="698B884D" w14:textId="77777777" w:rsidR="005B3674" w:rsidRPr="008E2DDB" w:rsidRDefault="005B3674" w:rsidP="005B3674">
      <w:pPr>
        <w:pStyle w:val="BodyTextMain"/>
      </w:pPr>
    </w:p>
    <w:p w14:paraId="28F8DE19" w14:textId="77777777" w:rsidR="0067321B" w:rsidRPr="008E2DDB" w:rsidRDefault="0067321B" w:rsidP="005B3674">
      <w:pPr>
        <w:pStyle w:val="BodyTextMain"/>
      </w:pPr>
    </w:p>
    <w:p w14:paraId="6E6D1CAD" w14:textId="77777777" w:rsidR="005B3674" w:rsidRPr="008E2DDB" w:rsidRDefault="005B3674" w:rsidP="008C6C49">
      <w:pPr>
        <w:pStyle w:val="Casehead1"/>
        <w:outlineLvl w:val="0"/>
      </w:pPr>
      <w:r w:rsidRPr="008E2DDB">
        <w:t>PITTSBURGH APARTMENT RENTALS FOR STUDENTS</w:t>
      </w:r>
    </w:p>
    <w:p w14:paraId="6AF21081" w14:textId="77777777" w:rsidR="005B3674" w:rsidRPr="008E2DDB" w:rsidRDefault="005B3674" w:rsidP="005B3674">
      <w:pPr>
        <w:pStyle w:val="BodyTextMain"/>
      </w:pPr>
    </w:p>
    <w:p w14:paraId="63702836" w14:textId="7818BF16" w:rsidR="005B3674" w:rsidRPr="007603F9" w:rsidRDefault="005B3674" w:rsidP="005B3674">
      <w:pPr>
        <w:pStyle w:val="BodyTextMain"/>
        <w:rPr>
          <w:spacing w:val="-6"/>
          <w:kern w:val="22"/>
        </w:rPr>
      </w:pPr>
      <w:r w:rsidRPr="007603F9">
        <w:rPr>
          <w:spacing w:val="-6"/>
          <w:kern w:val="22"/>
        </w:rPr>
        <w:t xml:space="preserve">The </w:t>
      </w:r>
      <w:r w:rsidR="008A4EE1" w:rsidRPr="007603F9">
        <w:rPr>
          <w:spacing w:val="-6"/>
          <w:kern w:val="22"/>
        </w:rPr>
        <w:t xml:space="preserve">U.S. </w:t>
      </w:r>
      <w:r w:rsidRPr="007603F9">
        <w:rPr>
          <w:spacing w:val="-6"/>
          <w:kern w:val="22"/>
        </w:rPr>
        <w:t xml:space="preserve">city of Pittsburgh was </w:t>
      </w:r>
      <w:r w:rsidR="0046067A">
        <w:rPr>
          <w:spacing w:val="-6"/>
          <w:kern w:val="22"/>
        </w:rPr>
        <w:t xml:space="preserve">atypical: out of a </w:t>
      </w:r>
      <w:r w:rsidRPr="007603F9">
        <w:rPr>
          <w:spacing w:val="-6"/>
          <w:kern w:val="22"/>
        </w:rPr>
        <w:t>population</w:t>
      </w:r>
      <w:r w:rsidR="0046067A">
        <w:rPr>
          <w:spacing w:val="-6"/>
          <w:kern w:val="22"/>
        </w:rPr>
        <w:t xml:space="preserve"> that</w:t>
      </w:r>
      <w:r w:rsidR="008A4EE1" w:rsidRPr="007603F9">
        <w:rPr>
          <w:spacing w:val="-6"/>
          <w:kern w:val="22"/>
        </w:rPr>
        <w:t xml:space="preserve"> totalled </w:t>
      </w:r>
      <w:r w:rsidRPr="007603F9">
        <w:rPr>
          <w:spacing w:val="-6"/>
          <w:kern w:val="22"/>
        </w:rPr>
        <w:t>approximately 306,000 people</w:t>
      </w:r>
      <w:r w:rsidR="0046067A">
        <w:rPr>
          <w:spacing w:val="-6"/>
          <w:kern w:val="22"/>
        </w:rPr>
        <w:t xml:space="preserve">, </w:t>
      </w:r>
      <w:r w:rsidR="008A4EE1" w:rsidRPr="007603F9">
        <w:rPr>
          <w:spacing w:val="-6"/>
          <w:kern w:val="22"/>
        </w:rPr>
        <w:t xml:space="preserve">about </w:t>
      </w:r>
      <w:r w:rsidRPr="007603F9">
        <w:rPr>
          <w:spacing w:val="-6"/>
          <w:kern w:val="22"/>
        </w:rPr>
        <w:t>65,</w:t>
      </w:r>
      <w:r w:rsidR="00715A32" w:rsidRPr="007603F9">
        <w:rPr>
          <w:spacing w:val="-6"/>
          <w:kern w:val="22"/>
        </w:rPr>
        <w:t>6</w:t>
      </w:r>
      <w:r w:rsidR="00715A32">
        <w:rPr>
          <w:spacing w:val="-6"/>
          <w:kern w:val="22"/>
        </w:rPr>
        <w:t>00</w:t>
      </w:r>
      <w:r w:rsidR="00715A32" w:rsidRPr="007603F9">
        <w:rPr>
          <w:spacing w:val="-6"/>
          <w:kern w:val="22"/>
        </w:rPr>
        <w:t xml:space="preserve"> </w:t>
      </w:r>
      <w:r w:rsidRPr="007603F9">
        <w:rPr>
          <w:spacing w:val="-6"/>
          <w:kern w:val="22"/>
        </w:rPr>
        <w:t>were students at universities or trade</w:t>
      </w:r>
      <w:r w:rsidR="00715A32">
        <w:rPr>
          <w:spacing w:val="-6"/>
          <w:kern w:val="22"/>
        </w:rPr>
        <w:t xml:space="preserve"> and </w:t>
      </w:r>
      <w:r w:rsidRPr="007603F9">
        <w:rPr>
          <w:spacing w:val="-6"/>
          <w:kern w:val="22"/>
        </w:rPr>
        <w:t>technical schools. Pittsburgh had six major universities</w:t>
      </w:r>
      <w:r w:rsidR="008A4EE1" w:rsidRPr="007603F9">
        <w:rPr>
          <w:spacing w:val="-6"/>
          <w:kern w:val="22"/>
        </w:rPr>
        <w:t>,</w:t>
      </w:r>
      <w:r w:rsidRPr="007603F9">
        <w:rPr>
          <w:spacing w:val="-6"/>
          <w:kern w:val="22"/>
        </w:rPr>
        <w:t xml:space="preserve"> all wi</w:t>
      </w:r>
      <w:r w:rsidR="008E6928" w:rsidRPr="007603F9">
        <w:rPr>
          <w:spacing w:val="-6"/>
          <w:kern w:val="22"/>
        </w:rPr>
        <w:t xml:space="preserve">thin seven miles </w:t>
      </w:r>
      <w:r w:rsidR="008624B4" w:rsidRPr="007603F9">
        <w:rPr>
          <w:spacing w:val="-6"/>
          <w:kern w:val="22"/>
        </w:rPr>
        <w:t>(11.27 k</w:t>
      </w:r>
      <w:r w:rsidR="00715A32">
        <w:rPr>
          <w:spacing w:val="-6"/>
          <w:kern w:val="22"/>
        </w:rPr>
        <w:t>ilo</w:t>
      </w:r>
      <w:r w:rsidR="008624B4" w:rsidRPr="007603F9">
        <w:rPr>
          <w:spacing w:val="-6"/>
          <w:kern w:val="22"/>
        </w:rPr>
        <w:t>m</w:t>
      </w:r>
      <w:r w:rsidR="00715A32">
        <w:rPr>
          <w:spacing w:val="-6"/>
          <w:kern w:val="22"/>
        </w:rPr>
        <w:t>etres</w:t>
      </w:r>
      <w:r w:rsidR="008624B4" w:rsidRPr="007603F9">
        <w:rPr>
          <w:spacing w:val="-6"/>
          <w:kern w:val="22"/>
        </w:rPr>
        <w:t>)</w:t>
      </w:r>
      <w:r w:rsidR="009302E3" w:rsidRPr="007603F9">
        <w:rPr>
          <w:spacing w:val="-6"/>
          <w:kern w:val="22"/>
        </w:rPr>
        <w:t xml:space="preserve"> </w:t>
      </w:r>
      <w:r w:rsidR="008E6928" w:rsidRPr="007603F9">
        <w:rPr>
          <w:spacing w:val="-6"/>
          <w:kern w:val="22"/>
        </w:rPr>
        <w:t>of each other.</w:t>
      </w:r>
      <w:r w:rsidR="00420670" w:rsidRPr="007603F9">
        <w:rPr>
          <w:spacing w:val="-6"/>
          <w:kern w:val="22"/>
        </w:rPr>
        <w:t xml:space="preserve"> Th</w:t>
      </w:r>
      <w:r w:rsidR="00CD7C3D">
        <w:rPr>
          <w:spacing w:val="-6"/>
          <w:kern w:val="22"/>
        </w:rPr>
        <w:t xml:space="preserve">is created a notable </w:t>
      </w:r>
      <w:r w:rsidR="00420670" w:rsidRPr="007603F9">
        <w:rPr>
          <w:spacing w:val="-6"/>
          <w:kern w:val="22"/>
        </w:rPr>
        <w:t xml:space="preserve">demand for </w:t>
      </w:r>
      <w:r w:rsidR="00CD7C3D">
        <w:rPr>
          <w:spacing w:val="-6"/>
          <w:kern w:val="22"/>
        </w:rPr>
        <w:t xml:space="preserve">student </w:t>
      </w:r>
      <w:r w:rsidR="00420670" w:rsidRPr="007603F9">
        <w:rPr>
          <w:spacing w:val="-6"/>
          <w:kern w:val="22"/>
        </w:rPr>
        <w:t>apartments in Pittsburgh</w:t>
      </w:r>
      <w:r w:rsidR="00CD7C3D">
        <w:rPr>
          <w:spacing w:val="-6"/>
          <w:kern w:val="22"/>
        </w:rPr>
        <w:t>, which</w:t>
      </w:r>
      <w:r w:rsidR="00420670" w:rsidRPr="007603F9">
        <w:rPr>
          <w:spacing w:val="-6"/>
          <w:kern w:val="22"/>
        </w:rPr>
        <w:t xml:space="preserve"> serve</w:t>
      </w:r>
      <w:r w:rsidR="00CD7C3D">
        <w:rPr>
          <w:spacing w:val="-6"/>
          <w:kern w:val="22"/>
        </w:rPr>
        <w:t>d</w:t>
      </w:r>
      <w:r w:rsidR="00420670" w:rsidRPr="007603F9">
        <w:rPr>
          <w:spacing w:val="-6"/>
          <w:kern w:val="22"/>
        </w:rPr>
        <w:t xml:space="preserve"> as </w:t>
      </w:r>
      <w:r w:rsidR="00CD7C3D">
        <w:rPr>
          <w:spacing w:val="-6"/>
          <w:kern w:val="22"/>
        </w:rPr>
        <w:t xml:space="preserve">an indicator of </w:t>
      </w:r>
      <w:r w:rsidR="00420670" w:rsidRPr="007603F9">
        <w:rPr>
          <w:spacing w:val="-6"/>
          <w:kern w:val="22"/>
        </w:rPr>
        <w:t xml:space="preserve">the minimum </w:t>
      </w:r>
      <w:r w:rsidR="00CD7C3D">
        <w:rPr>
          <w:spacing w:val="-6"/>
          <w:kern w:val="22"/>
        </w:rPr>
        <w:t xml:space="preserve">number of </w:t>
      </w:r>
      <w:r w:rsidR="00420670" w:rsidRPr="007603F9">
        <w:rPr>
          <w:spacing w:val="-6"/>
          <w:kern w:val="22"/>
        </w:rPr>
        <w:t>rental units required in the city.</w:t>
      </w:r>
    </w:p>
    <w:p w14:paraId="60C3897D" w14:textId="77777777" w:rsidR="005B3674" w:rsidRPr="008E2DDB" w:rsidRDefault="005B3674" w:rsidP="005B3674">
      <w:pPr>
        <w:pStyle w:val="BodyTextMain"/>
      </w:pPr>
    </w:p>
    <w:p w14:paraId="487E7380" w14:textId="77777777" w:rsidR="0067321B" w:rsidRPr="008E2DDB" w:rsidRDefault="0067321B" w:rsidP="005B3674">
      <w:pPr>
        <w:pStyle w:val="BodyTextMain"/>
      </w:pPr>
    </w:p>
    <w:p w14:paraId="3621CF57" w14:textId="77777777" w:rsidR="005B3674" w:rsidRPr="008E2DDB" w:rsidRDefault="005B3674" w:rsidP="008C6C49">
      <w:pPr>
        <w:pStyle w:val="Casehead2"/>
        <w:outlineLvl w:val="0"/>
      </w:pPr>
      <w:r w:rsidRPr="008E2DDB">
        <w:t>Pittsburgh Universities</w:t>
      </w:r>
    </w:p>
    <w:p w14:paraId="482E895E" w14:textId="77777777" w:rsidR="009302E3" w:rsidRPr="008E2DDB" w:rsidRDefault="009302E3" w:rsidP="005B3674">
      <w:pPr>
        <w:pStyle w:val="BodyTextMain"/>
      </w:pPr>
    </w:p>
    <w:p w14:paraId="315C932F" w14:textId="338BB704" w:rsidR="005B3674" w:rsidRPr="008E2DDB" w:rsidRDefault="005B3674" w:rsidP="005B3674">
      <w:pPr>
        <w:pStyle w:val="BodyTextMain"/>
      </w:pPr>
      <w:r w:rsidRPr="008E2DDB">
        <w:t xml:space="preserve">Starting at the </w:t>
      </w:r>
      <w:r w:rsidR="00C46F8F">
        <w:t xml:space="preserve">northeast corner of the city </w:t>
      </w:r>
      <w:r w:rsidR="001E6DFD" w:rsidRPr="008E2DDB">
        <w:t>was Chatham University</w:t>
      </w:r>
      <w:r w:rsidR="00E46CDE">
        <w:t xml:space="preserve"> (Chatham)</w:t>
      </w:r>
      <w:r w:rsidR="001E6DFD" w:rsidRPr="008E2DDB">
        <w:t xml:space="preserve">. </w:t>
      </w:r>
      <w:r w:rsidRPr="008E2DDB">
        <w:t>Chatham had a student body population of 2,224.</w:t>
      </w:r>
      <w:r w:rsidR="001E6DFD" w:rsidRPr="008E2DDB">
        <w:t xml:space="preserve"> </w:t>
      </w:r>
      <w:proofErr w:type="gramStart"/>
      <w:r w:rsidR="00C46F8F">
        <w:t xml:space="preserve">The school </w:t>
      </w:r>
      <w:r w:rsidRPr="008E2DDB">
        <w:t xml:space="preserve">was </w:t>
      </w:r>
      <w:r w:rsidR="00C250E8">
        <w:t xml:space="preserve">widely </w:t>
      </w:r>
      <w:r w:rsidRPr="008E2DDB">
        <w:t>known as a liberal arts college</w:t>
      </w:r>
      <w:r w:rsidR="00C46F8F">
        <w:t>,</w:t>
      </w:r>
      <w:r w:rsidRPr="008E2DDB">
        <w:t xml:space="preserve"> but was growing its reputation as a business school</w:t>
      </w:r>
      <w:r w:rsidR="00AD187A">
        <w:t>.</w:t>
      </w:r>
      <w:proofErr w:type="gramEnd"/>
      <w:r w:rsidRPr="008E2DDB">
        <w:t xml:space="preserve"> </w:t>
      </w:r>
    </w:p>
    <w:p w14:paraId="4787404D" w14:textId="77777777" w:rsidR="005B3674" w:rsidRPr="008E2DDB" w:rsidRDefault="005B3674" w:rsidP="005B3674">
      <w:pPr>
        <w:pStyle w:val="BodyTextMain"/>
      </w:pPr>
    </w:p>
    <w:p w14:paraId="2ABA95BA" w14:textId="2EA17990" w:rsidR="005B3674" w:rsidRPr="008E2DDB" w:rsidRDefault="005B3674" w:rsidP="005B3674">
      <w:pPr>
        <w:pStyle w:val="BodyTextMain"/>
      </w:pPr>
      <w:r w:rsidRPr="008E2DDB">
        <w:t xml:space="preserve">Moving </w:t>
      </w:r>
      <w:r w:rsidR="00C250E8">
        <w:t>west across Pittsburgh,</w:t>
      </w:r>
      <w:r w:rsidRPr="008E2DDB">
        <w:t xml:space="preserve"> </w:t>
      </w:r>
      <w:r w:rsidR="00C250E8">
        <w:t xml:space="preserve">the next school on the map </w:t>
      </w:r>
      <w:r w:rsidRPr="008E2DDB">
        <w:t>was Carnegie</w:t>
      </w:r>
      <w:r w:rsidR="00C250E8">
        <w:t xml:space="preserve"> </w:t>
      </w:r>
      <w:r w:rsidRPr="008E2DDB">
        <w:t xml:space="preserve">Mellon University (CMU) with </w:t>
      </w:r>
      <w:proofErr w:type="gramStart"/>
      <w:r w:rsidRPr="008E2DDB">
        <w:t xml:space="preserve">a </w:t>
      </w:r>
      <w:r w:rsidR="00C250E8">
        <w:t>total of</w:t>
      </w:r>
      <w:r w:rsidRPr="008E2DDB">
        <w:t xml:space="preserve"> 12,891</w:t>
      </w:r>
      <w:proofErr w:type="gramEnd"/>
      <w:r w:rsidR="00C250E8">
        <w:t xml:space="preserve"> students</w:t>
      </w:r>
      <w:r w:rsidRPr="008E2DDB">
        <w:t xml:space="preserve">. CMU </w:t>
      </w:r>
      <w:proofErr w:type="gramStart"/>
      <w:r w:rsidRPr="008E2DDB">
        <w:t>was best known</w:t>
      </w:r>
      <w:proofErr w:type="gramEnd"/>
      <w:r w:rsidRPr="008E2DDB">
        <w:t xml:space="preserve"> for its </w:t>
      </w:r>
      <w:r w:rsidR="00C250E8">
        <w:t>School of C</w:t>
      </w:r>
      <w:r w:rsidRPr="008E2DDB">
        <w:t>omputer</w:t>
      </w:r>
      <w:r w:rsidR="00C250E8">
        <w:t xml:space="preserve"> S</w:t>
      </w:r>
      <w:r w:rsidRPr="008E2DDB">
        <w:t>cience</w:t>
      </w:r>
      <w:r w:rsidR="00C250E8">
        <w:t>,</w:t>
      </w:r>
      <w:r w:rsidRPr="008E2DDB">
        <w:t xml:space="preserve"> one of the best </w:t>
      </w:r>
      <w:r w:rsidRPr="008E2DDB">
        <w:lastRenderedPageBreak/>
        <w:t>engineering programs in the country</w:t>
      </w:r>
      <w:r w:rsidR="00C82486">
        <w:t>, and a well-</w:t>
      </w:r>
      <w:r w:rsidR="00C82486" w:rsidRPr="008E2DDB">
        <w:t>recognized drama program</w:t>
      </w:r>
      <w:r w:rsidRPr="008E2DDB">
        <w:t>.</w:t>
      </w:r>
      <w:r w:rsidR="001E6DFD" w:rsidRPr="008E2DDB">
        <w:t xml:space="preserve"> </w:t>
      </w:r>
      <w:r w:rsidR="00C250E8">
        <w:t>The university</w:t>
      </w:r>
      <w:r w:rsidRPr="008E2DDB">
        <w:t xml:space="preserve"> had been consistently rated </w:t>
      </w:r>
      <w:r w:rsidR="00C250E8">
        <w:t>as one of</w:t>
      </w:r>
      <w:r w:rsidRPr="008E2DDB">
        <w:t xml:space="preserve"> the top 50</w:t>
      </w:r>
      <w:r w:rsidR="00C250E8">
        <w:t xml:space="preserve"> U.S.</w:t>
      </w:r>
      <w:r w:rsidRPr="008E2DDB">
        <w:t xml:space="preserve"> universities overall.</w:t>
      </w:r>
    </w:p>
    <w:p w14:paraId="530ECC8C" w14:textId="77777777" w:rsidR="005B3674" w:rsidRPr="008E2DDB" w:rsidRDefault="005B3674" w:rsidP="005B3674">
      <w:pPr>
        <w:pStyle w:val="BodyTextMain"/>
      </w:pPr>
    </w:p>
    <w:p w14:paraId="79C9F7BD" w14:textId="542F9F7D" w:rsidR="005B3674" w:rsidRPr="008E2DDB" w:rsidRDefault="005B3674" w:rsidP="005B3674">
      <w:pPr>
        <w:pStyle w:val="BodyTextMain"/>
      </w:pPr>
      <w:r w:rsidRPr="008E2DDB">
        <w:t xml:space="preserve">The next university, to the </w:t>
      </w:r>
      <w:r w:rsidR="00C250E8">
        <w:t>west</w:t>
      </w:r>
      <w:r w:rsidRPr="008E2DDB">
        <w:t xml:space="preserve"> of CMU, was the University of Pittsburgh (Pitt)</w:t>
      </w:r>
      <w:r w:rsidR="00C250E8">
        <w:t>,</w:t>
      </w:r>
      <w:r w:rsidRPr="008E2DDB">
        <w:t xml:space="preserve"> with a population of 28,649 students.</w:t>
      </w:r>
      <w:r w:rsidR="001E6DFD" w:rsidRPr="008E2DDB">
        <w:t xml:space="preserve"> </w:t>
      </w:r>
      <w:r w:rsidRPr="008E2DDB">
        <w:t xml:space="preserve">Pitt </w:t>
      </w:r>
      <w:proofErr w:type="gramStart"/>
      <w:r w:rsidRPr="008E2DDB">
        <w:t xml:space="preserve">was </w:t>
      </w:r>
      <w:r w:rsidR="005259AC">
        <w:t>recognized</w:t>
      </w:r>
      <w:proofErr w:type="gramEnd"/>
      <w:r w:rsidRPr="008E2DDB">
        <w:t xml:space="preserve"> for its medical</w:t>
      </w:r>
      <w:r w:rsidR="005259AC">
        <w:t>, philosophy,</w:t>
      </w:r>
      <w:r w:rsidRPr="008E2DDB">
        <w:t xml:space="preserve"> and business </w:t>
      </w:r>
      <w:r w:rsidR="005259AC">
        <w:t xml:space="preserve">programs. </w:t>
      </w:r>
      <w:r w:rsidRPr="008E2DDB">
        <w:t>In addition</w:t>
      </w:r>
      <w:r w:rsidR="005259AC">
        <w:t>,</w:t>
      </w:r>
      <w:r w:rsidRPr="008E2DDB">
        <w:t xml:space="preserve"> the university </w:t>
      </w:r>
      <w:proofErr w:type="gramStart"/>
      <w:r w:rsidRPr="008E2DDB">
        <w:t>was known</w:t>
      </w:r>
      <w:proofErr w:type="gramEnd"/>
      <w:r w:rsidRPr="008E2DDB">
        <w:t xml:space="preserve"> for athletics</w:t>
      </w:r>
      <w:r w:rsidR="005259AC">
        <w:t>—namely,</w:t>
      </w:r>
      <w:r w:rsidRPr="008E2DDB">
        <w:t xml:space="preserve"> its basketball and football programs.</w:t>
      </w:r>
    </w:p>
    <w:p w14:paraId="5432088B" w14:textId="77777777" w:rsidR="005B3674" w:rsidRPr="008E2DDB" w:rsidRDefault="005B3674" w:rsidP="005B3674">
      <w:pPr>
        <w:pStyle w:val="BodyTextMain"/>
      </w:pPr>
    </w:p>
    <w:p w14:paraId="1E7E9224" w14:textId="2DE591DD" w:rsidR="005B3674" w:rsidRPr="008E2DDB" w:rsidRDefault="005259AC" w:rsidP="005B3674">
      <w:pPr>
        <w:pStyle w:val="BodyTextMain"/>
      </w:pPr>
      <w:r>
        <w:t>Slightly southwest of</w:t>
      </w:r>
      <w:r w:rsidR="005B3674" w:rsidRPr="008E2DDB">
        <w:t xml:space="preserve"> Pitt was Carlow University</w:t>
      </w:r>
      <w:r w:rsidR="005E184D">
        <w:t xml:space="preserve"> (Carlow)</w:t>
      </w:r>
      <w:r w:rsidR="005B3674" w:rsidRPr="008E2DDB">
        <w:t>. Carlow had 2,768 students</w:t>
      </w:r>
      <w:r>
        <w:t>, and while its core offering was</w:t>
      </w:r>
      <w:r w:rsidR="005B3674" w:rsidRPr="008E2DDB">
        <w:t xml:space="preserve"> liberal arts</w:t>
      </w:r>
      <w:r>
        <w:t xml:space="preserve">, it had </w:t>
      </w:r>
      <w:r w:rsidR="005B3674" w:rsidRPr="008E2DDB">
        <w:t>recently expanded into business and accounting degrees</w:t>
      </w:r>
      <w:r>
        <w:t xml:space="preserve"> as well</w:t>
      </w:r>
      <w:r w:rsidR="005B3674" w:rsidRPr="008E2DDB">
        <w:t xml:space="preserve">. </w:t>
      </w:r>
    </w:p>
    <w:p w14:paraId="78B93A27" w14:textId="77777777" w:rsidR="005B3674" w:rsidRPr="008E2DDB" w:rsidRDefault="005B3674" w:rsidP="005B3674">
      <w:pPr>
        <w:pStyle w:val="BodyTextMain"/>
      </w:pPr>
    </w:p>
    <w:p w14:paraId="74F8EA84" w14:textId="145C7A9B" w:rsidR="005B3674" w:rsidRPr="008E2DDB" w:rsidRDefault="00F923BA" w:rsidP="005B3674">
      <w:pPr>
        <w:pStyle w:val="BodyTextMain"/>
      </w:pPr>
      <w:r>
        <w:t xml:space="preserve">Still further west was </w:t>
      </w:r>
      <w:r w:rsidR="005B3674" w:rsidRPr="008E2DDB">
        <w:t>Duquesne University</w:t>
      </w:r>
      <w:r>
        <w:t xml:space="preserve"> (Duquesne), with</w:t>
      </w:r>
      <w:r w:rsidR="005B3674" w:rsidRPr="008E2DDB">
        <w:t xml:space="preserve"> 9,956 </w:t>
      </w:r>
      <w:r>
        <w:t xml:space="preserve">graduate and undergraduate </w:t>
      </w:r>
      <w:r w:rsidR="005B3674" w:rsidRPr="008E2DDB">
        <w:t>students.</w:t>
      </w:r>
      <w:r w:rsidR="001E6DFD" w:rsidRPr="008E2DDB">
        <w:t xml:space="preserve"> </w:t>
      </w:r>
      <w:r w:rsidR="005B3674" w:rsidRPr="008E2DDB">
        <w:t xml:space="preserve">Duquesne was one of the first Catholic </w:t>
      </w:r>
      <w:r>
        <w:t>u</w:t>
      </w:r>
      <w:r w:rsidR="005B3674" w:rsidRPr="008E2DDB">
        <w:t xml:space="preserve">niversities </w:t>
      </w:r>
      <w:r>
        <w:t xml:space="preserve">founded </w:t>
      </w:r>
      <w:r w:rsidR="005B3674" w:rsidRPr="008E2DDB">
        <w:t>in the state of Pennsylvania</w:t>
      </w:r>
      <w:r>
        <w:t>, and had prestigious programs in law and business</w:t>
      </w:r>
      <w:r w:rsidR="005B3674" w:rsidRPr="008E2DDB">
        <w:t>.</w:t>
      </w:r>
    </w:p>
    <w:p w14:paraId="0C49D001" w14:textId="77777777" w:rsidR="005B3674" w:rsidRPr="008E2DDB" w:rsidRDefault="005B3674" w:rsidP="005B3674">
      <w:pPr>
        <w:pStyle w:val="BodyTextMain"/>
      </w:pPr>
    </w:p>
    <w:p w14:paraId="06BD6832" w14:textId="03C155E5" w:rsidR="005B3674" w:rsidRPr="008E2DDB" w:rsidRDefault="005B3674" w:rsidP="005B3674">
      <w:pPr>
        <w:pStyle w:val="BodyTextMain"/>
      </w:pPr>
      <w:r w:rsidRPr="008E2DDB">
        <w:t xml:space="preserve">The final university </w:t>
      </w:r>
      <w:r w:rsidR="00F923BA">
        <w:t>to consider</w:t>
      </w:r>
      <w:r w:rsidR="00F923BA" w:rsidRPr="008E2DDB">
        <w:t xml:space="preserve"> </w:t>
      </w:r>
      <w:r w:rsidRPr="008E2DDB">
        <w:t>was Point Park University</w:t>
      </w:r>
      <w:r w:rsidR="00F923BA">
        <w:t xml:space="preserve"> (Point Park),</w:t>
      </w:r>
      <w:r w:rsidRPr="008E2DDB">
        <w:t xml:space="preserve"> with an </w:t>
      </w:r>
      <w:r w:rsidR="00A17CFB" w:rsidRPr="008E2DDB">
        <w:t>enrolment</w:t>
      </w:r>
      <w:r w:rsidRPr="008E2DDB">
        <w:t xml:space="preserve"> of 3,737 students.</w:t>
      </w:r>
      <w:r w:rsidR="001E6DFD" w:rsidRPr="008E2DDB">
        <w:t xml:space="preserve"> </w:t>
      </w:r>
      <w:r w:rsidRPr="008E2DDB">
        <w:t xml:space="preserve">Point Park </w:t>
      </w:r>
      <w:r w:rsidR="00F923BA">
        <w:t xml:space="preserve">had </w:t>
      </w:r>
      <w:r w:rsidRPr="008E2DDB">
        <w:t>increased its enrolment by approximately 10</w:t>
      </w:r>
      <w:r w:rsidR="00A709F1">
        <w:t xml:space="preserve"> per cent</w:t>
      </w:r>
      <w:r w:rsidRPr="008E2DDB">
        <w:t xml:space="preserve"> </w:t>
      </w:r>
      <w:r w:rsidR="00DD0FE9">
        <w:t>from 2011 to 2016</w:t>
      </w:r>
      <w:r w:rsidRPr="008E2DDB">
        <w:t>.</w:t>
      </w:r>
      <w:r w:rsidR="001E6DFD" w:rsidRPr="008E2DDB">
        <w:t xml:space="preserve"> </w:t>
      </w:r>
      <w:r w:rsidR="00F923BA">
        <w:t>The school</w:t>
      </w:r>
      <w:r w:rsidRPr="008E2DDB">
        <w:t xml:space="preserve"> </w:t>
      </w:r>
      <w:proofErr w:type="gramStart"/>
      <w:r w:rsidRPr="008E2DDB">
        <w:t>was known</w:t>
      </w:r>
      <w:proofErr w:type="gramEnd"/>
      <w:r w:rsidRPr="008E2DDB">
        <w:t xml:space="preserve"> for its nursing program</w:t>
      </w:r>
      <w:r w:rsidR="00F923BA">
        <w:t>,</w:t>
      </w:r>
      <w:r w:rsidRPr="008E2DDB">
        <w:t xml:space="preserve"> as well as </w:t>
      </w:r>
      <w:r w:rsidR="00EA0804">
        <w:t xml:space="preserve">for </w:t>
      </w:r>
      <w:r w:rsidRPr="008E2DDB">
        <w:t>its business and liberal arts programs.</w:t>
      </w:r>
    </w:p>
    <w:p w14:paraId="2B52F1A0" w14:textId="77777777" w:rsidR="005B3674" w:rsidRPr="008E2DDB" w:rsidRDefault="005B3674" w:rsidP="005B3674">
      <w:pPr>
        <w:pStyle w:val="BodyTextMain"/>
      </w:pPr>
    </w:p>
    <w:p w14:paraId="280C4817" w14:textId="282F8BB8" w:rsidR="005B3674" w:rsidRPr="008E2DDB" w:rsidRDefault="005B3674" w:rsidP="005B3674">
      <w:pPr>
        <w:pStyle w:val="BodyTextMain"/>
      </w:pPr>
      <w:r w:rsidRPr="008E2DDB">
        <w:t>In addition to these six major universities</w:t>
      </w:r>
      <w:r w:rsidR="00F923BA">
        <w:t>,</w:t>
      </w:r>
      <w:r w:rsidRPr="008E2DDB">
        <w:t xml:space="preserve"> Pittsburgh also had the following trade</w:t>
      </w:r>
      <w:r w:rsidR="00EA0804">
        <w:t xml:space="preserve"> and </w:t>
      </w:r>
      <w:r w:rsidRPr="008E2DDB">
        <w:t>technical schools:</w:t>
      </w:r>
      <w:r w:rsidR="001E6DFD" w:rsidRPr="008E2DDB">
        <w:t xml:space="preserve"> </w:t>
      </w:r>
      <w:r w:rsidRPr="008E2DDB">
        <w:t xml:space="preserve">UPMC Shadyside School of Nursing, Bidwell Training </w:t>
      </w:r>
      <w:proofErr w:type="spellStart"/>
      <w:r w:rsidRPr="008E2DDB">
        <w:t>Center</w:t>
      </w:r>
      <w:proofErr w:type="spellEnd"/>
      <w:r w:rsidRPr="008E2DDB">
        <w:t>, ITT Technical Inst</w:t>
      </w:r>
      <w:r w:rsidR="00A17CFB">
        <w:t>itute, Triangle Tech, Rosedale T</w:t>
      </w:r>
      <w:r w:rsidRPr="008E2DDB">
        <w:t xml:space="preserve">echnical </w:t>
      </w:r>
      <w:r w:rsidR="00DD0FE9">
        <w:t>College</w:t>
      </w:r>
      <w:r w:rsidRPr="008E2DDB">
        <w:t xml:space="preserve">, Vet Tech Institute, </w:t>
      </w:r>
      <w:proofErr w:type="spellStart"/>
      <w:r w:rsidR="00EA0804">
        <w:t>Brightwood</w:t>
      </w:r>
      <w:proofErr w:type="spellEnd"/>
      <w:r w:rsidR="00EA0804" w:rsidRPr="008E2DDB">
        <w:t xml:space="preserve"> </w:t>
      </w:r>
      <w:r w:rsidRPr="008E2DDB">
        <w:t xml:space="preserve">Career Institute, Everest </w:t>
      </w:r>
      <w:r w:rsidR="00EA0804">
        <w:t>College</w:t>
      </w:r>
      <w:r w:rsidR="0016559B">
        <w:t>,</w:t>
      </w:r>
      <w:r w:rsidRPr="008E2DDB">
        <w:t xml:space="preserve"> and Duff’s Business Institute</w:t>
      </w:r>
      <w:r w:rsidR="00EA0804">
        <w:t>.</w:t>
      </w:r>
      <w:r w:rsidRPr="008E2DDB">
        <w:t xml:space="preserve"> </w:t>
      </w:r>
      <w:r w:rsidR="00EA0804">
        <w:t>T</w:t>
      </w:r>
      <w:r w:rsidR="0016559B">
        <w:t xml:space="preserve">hese examples alone accounted for </w:t>
      </w:r>
      <w:r w:rsidRPr="008E2DDB">
        <w:t>5,409</w:t>
      </w:r>
      <w:r w:rsidR="0016559B">
        <w:t xml:space="preserve"> students</w:t>
      </w:r>
      <w:r w:rsidRPr="008E2DDB">
        <w:t>.</w:t>
      </w:r>
    </w:p>
    <w:p w14:paraId="7A366056" w14:textId="77777777" w:rsidR="005B3674" w:rsidRPr="008E2DDB" w:rsidRDefault="005B3674" w:rsidP="005B3674">
      <w:pPr>
        <w:pStyle w:val="BodyTextMain"/>
      </w:pPr>
    </w:p>
    <w:p w14:paraId="131AB61C" w14:textId="11C9ED15" w:rsidR="005B3674" w:rsidRPr="008E2DDB" w:rsidRDefault="00A709F1" w:rsidP="005B3674">
      <w:pPr>
        <w:pStyle w:val="BodyTextMain"/>
      </w:pPr>
      <w:r>
        <w:t>On</w:t>
      </w:r>
      <w:r w:rsidRPr="008E2DDB">
        <w:t xml:space="preserve"> </w:t>
      </w:r>
      <w:r w:rsidR="005B3674" w:rsidRPr="008E2DDB">
        <w:t>average</w:t>
      </w:r>
      <w:r>
        <w:t xml:space="preserve">, 43 per cent </w:t>
      </w:r>
      <w:r w:rsidR="005B3674" w:rsidRPr="008E2DDB">
        <w:t>of students lived in camp</w:t>
      </w:r>
      <w:r w:rsidR="004A0756">
        <w:t>us housing in Pittsburgh</w:t>
      </w:r>
      <w:r>
        <w:t>,</w:t>
      </w:r>
      <w:r w:rsidR="004A0756">
        <w:t xml:space="preserve"> meaning that 57 per cent</w:t>
      </w:r>
      <w:r>
        <w:t>—or at least 37,411 students—</w:t>
      </w:r>
      <w:r w:rsidR="005B3674" w:rsidRPr="008E2DDB">
        <w:t xml:space="preserve">needed to find some </w:t>
      </w:r>
      <w:r>
        <w:t xml:space="preserve">form </w:t>
      </w:r>
      <w:r w:rsidR="005B3674" w:rsidRPr="008E2DDB">
        <w:t>of off</w:t>
      </w:r>
      <w:r>
        <w:t>-</w:t>
      </w:r>
      <w:r w:rsidR="005B3674" w:rsidRPr="008E2DDB">
        <w:t>campus housing</w:t>
      </w:r>
      <w:r>
        <w:t xml:space="preserve">. </w:t>
      </w:r>
      <w:r w:rsidR="005B3674" w:rsidRPr="008E2DDB">
        <w:t xml:space="preserve">This </w:t>
      </w:r>
      <w:r w:rsidR="0016559B">
        <w:t xml:space="preserve">number did not </w:t>
      </w:r>
      <w:r w:rsidR="005B3674" w:rsidRPr="008E2DDB">
        <w:t xml:space="preserve">include the number of recent graduates and families </w:t>
      </w:r>
      <w:r w:rsidR="0016559B">
        <w:t>also looking</w:t>
      </w:r>
      <w:r w:rsidR="005B3674" w:rsidRPr="008E2DDB">
        <w:t xml:space="preserve"> for rental properties.</w:t>
      </w:r>
    </w:p>
    <w:p w14:paraId="02C9152F" w14:textId="77777777" w:rsidR="005B3674" w:rsidRPr="008E2DDB" w:rsidRDefault="005B3674" w:rsidP="005B3674">
      <w:pPr>
        <w:pStyle w:val="BodyTextMain"/>
      </w:pPr>
    </w:p>
    <w:p w14:paraId="773E6AB6" w14:textId="36FD7A27" w:rsidR="005B3674" w:rsidRPr="008E2DDB" w:rsidRDefault="005B3674" w:rsidP="005B3674">
      <w:pPr>
        <w:pStyle w:val="BodyTextMain"/>
      </w:pPr>
      <w:r w:rsidRPr="008E2DDB">
        <w:t xml:space="preserve">In order to determine the optimal rent </w:t>
      </w:r>
      <w:r w:rsidR="009B6741">
        <w:t xml:space="preserve">to </w:t>
      </w:r>
      <w:r w:rsidRPr="008E2DDB">
        <w:t xml:space="preserve">charge, </w:t>
      </w:r>
      <w:r w:rsidR="005E67C9">
        <w:t>according to Romano,</w:t>
      </w:r>
      <w:r w:rsidR="008C6C49">
        <w:t xml:space="preserve"> </w:t>
      </w:r>
      <w:proofErr w:type="gramStart"/>
      <w:r w:rsidR="00AD187A">
        <w:t xml:space="preserve">results </w:t>
      </w:r>
      <w:r w:rsidR="005E67C9">
        <w:t xml:space="preserve">were </w:t>
      </w:r>
      <w:r w:rsidR="00AD187A">
        <w:t>generated by an</w:t>
      </w:r>
      <w:r w:rsidR="008C6C49">
        <w:t xml:space="preserve"> </w:t>
      </w:r>
      <w:r w:rsidRPr="008E2DDB">
        <w:t>optimization model</w:t>
      </w:r>
      <w:r w:rsidR="00AD187A">
        <w:t>, Rainmaker LRO</w:t>
      </w:r>
      <w:proofErr w:type="gramEnd"/>
      <w:r w:rsidR="00640BEB">
        <w:t>.</w:t>
      </w:r>
      <w:r w:rsidR="003B483C">
        <w:rPr>
          <w:rStyle w:val="FootnoteReference"/>
        </w:rPr>
        <w:footnoteReference w:id="2"/>
      </w:r>
      <w:r w:rsidR="00640BEB">
        <w:t xml:space="preserve"> The model</w:t>
      </w:r>
      <w:r w:rsidRPr="008E2DDB">
        <w:t xml:space="preserve"> took into account the demand as well as comparable market rates where rent</w:t>
      </w:r>
      <w:r w:rsidR="00640BEB">
        <w:t xml:space="preserve">s </w:t>
      </w:r>
      <w:proofErr w:type="gramStart"/>
      <w:r w:rsidRPr="008E2DDB">
        <w:t>were based</w:t>
      </w:r>
      <w:proofErr w:type="gramEnd"/>
      <w:r w:rsidRPr="008E2DDB">
        <w:t xml:space="preserve"> on the region’s supply and demand for apartments.</w:t>
      </w:r>
      <w:r w:rsidR="001E6DFD" w:rsidRPr="008E2DDB">
        <w:t xml:space="preserve"> </w:t>
      </w:r>
      <w:r w:rsidRPr="008E2DDB">
        <w:t xml:space="preserve">If a specific apartment </w:t>
      </w:r>
      <w:proofErr w:type="gramStart"/>
      <w:r w:rsidRPr="008E2DDB">
        <w:t>was</w:t>
      </w:r>
      <w:proofErr w:type="gramEnd"/>
      <w:r w:rsidRPr="008E2DDB">
        <w:t xml:space="preserve"> not rented within a few weeks, a rental manager would </w:t>
      </w:r>
      <w:r w:rsidR="004F2FF5">
        <w:t xml:space="preserve">normally </w:t>
      </w:r>
      <w:r w:rsidRPr="008E2DDB">
        <w:t xml:space="preserve">be reluctant to reduce the rate because the set price was a personal decision. </w:t>
      </w:r>
      <w:proofErr w:type="gramStart"/>
      <w:r w:rsidR="004F2FF5">
        <w:t>But</w:t>
      </w:r>
      <w:proofErr w:type="gramEnd"/>
      <w:r w:rsidRPr="008E2DDB">
        <w:t>, a rent</w:t>
      </w:r>
      <w:r w:rsidR="002B5A6E">
        <w:t>-</w:t>
      </w:r>
      <w:r w:rsidRPr="008E2DDB">
        <w:t xml:space="preserve">maximizing software model was </w:t>
      </w:r>
      <w:r w:rsidR="0073242D">
        <w:t>capable of</w:t>
      </w:r>
      <w:r w:rsidR="002B5A6E">
        <w:t xml:space="preserve"> creating </w:t>
      </w:r>
      <w:r w:rsidR="005E67C9">
        <w:t xml:space="preserve">operating </w:t>
      </w:r>
      <w:r w:rsidR="002B5A6E">
        <w:t>budgets and</w:t>
      </w:r>
      <w:r w:rsidRPr="008E2DDB">
        <w:t xml:space="preserve"> determin</w:t>
      </w:r>
      <w:r w:rsidR="0073242D">
        <w:t>ing</w:t>
      </w:r>
      <w:r w:rsidRPr="008E2DDB">
        <w:t xml:space="preserve"> optimal apartment rates</w:t>
      </w:r>
      <w:r w:rsidR="002B5A6E">
        <w:t>.</w:t>
      </w:r>
    </w:p>
    <w:p w14:paraId="3090C2A1" w14:textId="77777777" w:rsidR="005B3674" w:rsidRPr="008E2DDB" w:rsidRDefault="005B3674" w:rsidP="005B3674">
      <w:pPr>
        <w:pStyle w:val="BodyTextMain"/>
      </w:pPr>
    </w:p>
    <w:p w14:paraId="3C87644B" w14:textId="77777777" w:rsidR="005B3674" w:rsidRPr="008E2DDB" w:rsidRDefault="005B3674" w:rsidP="005B3674">
      <w:pPr>
        <w:pStyle w:val="BodyTextMain"/>
      </w:pPr>
    </w:p>
    <w:p w14:paraId="311F67DD" w14:textId="77777777" w:rsidR="005B3674" w:rsidRPr="008E2DDB" w:rsidRDefault="005B3674" w:rsidP="008C6C49">
      <w:pPr>
        <w:pStyle w:val="Casehead1"/>
        <w:outlineLvl w:val="0"/>
      </w:pPr>
      <w:r w:rsidRPr="008E2DDB">
        <w:t>THE MODEL AND RENTAL BACKGROUND</w:t>
      </w:r>
    </w:p>
    <w:p w14:paraId="1CE0623A" w14:textId="77777777" w:rsidR="005B3674" w:rsidRPr="008E2DDB" w:rsidRDefault="005B3674" w:rsidP="005B3674">
      <w:pPr>
        <w:pStyle w:val="BodyTextMain"/>
      </w:pPr>
    </w:p>
    <w:p w14:paraId="69B6F9E6" w14:textId="07CC3C2B" w:rsidR="009C537C" w:rsidRDefault="006B3AD0" w:rsidP="005B3674">
      <w:pPr>
        <w:pStyle w:val="BodyTextMain"/>
        <w:rPr>
          <w:spacing w:val="-2"/>
          <w:kern w:val="22"/>
        </w:rPr>
      </w:pPr>
      <w:r w:rsidRPr="007603F9">
        <w:rPr>
          <w:spacing w:val="-2"/>
          <w:kern w:val="22"/>
        </w:rPr>
        <w:t>As of 2015, o</w:t>
      </w:r>
      <w:r w:rsidR="005B3674" w:rsidRPr="007603F9">
        <w:rPr>
          <w:spacing w:val="-2"/>
          <w:kern w:val="22"/>
        </w:rPr>
        <w:t>ccupancy rates for apartments were more stable</w:t>
      </w:r>
      <w:r w:rsidR="005E67C9" w:rsidRPr="007603F9">
        <w:rPr>
          <w:spacing w:val="-2"/>
          <w:kern w:val="22"/>
        </w:rPr>
        <w:t xml:space="preserve"> than </w:t>
      </w:r>
      <w:r w:rsidR="004F2FF5">
        <w:rPr>
          <w:spacing w:val="-2"/>
          <w:kern w:val="22"/>
        </w:rPr>
        <w:t xml:space="preserve">they had been </w:t>
      </w:r>
      <w:r w:rsidR="005E67C9" w:rsidRPr="007603F9">
        <w:rPr>
          <w:spacing w:val="-2"/>
          <w:kern w:val="22"/>
        </w:rPr>
        <w:t>in 200</w:t>
      </w:r>
      <w:r w:rsidR="00ED7F67" w:rsidRPr="007603F9">
        <w:rPr>
          <w:spacing w:val="-2"/>
          <w:kern w:val="22"/>
        </w:rPr>
        <w:t>0</w:t>
      </w:r>
      <w:r w:rsidR="005B3674" w:rsidRPr="007603F9">
        <w:rPr>
          <w:spacing w:val="-2"/>
          <w:kern w:val="22"/>
        </w:rPr>
        <w:t xml:space="preserve">, </w:t>
      </w:r>
      <w:r w:rsidR="005E67C9" w:rsidRPr="007603F9">
        <w:rPr>
          <w:spacing w:val="-2"/>
          <w:kern w:val="22"/>
        </w:rPr>
        <w:t xml:space="preserve">prior to the use of </w:t>
      </w:r>
      <w:r w:rsidR="005B3674" w:rsidRPr="007603F9">
        <w:rPr>
          <w:spacing w:val="-2"/>
          <w:kern w:val="22"/>
        </w:rPr>
        <w:t xml:space="preserve">revenue maximizing software by rental companies. Brock MacLean of Homes.com, a website with sales and rentals for </w:t>
      </w:r>
      <w:proofErr w:type="gramStart"/>
      <w:r w:rsidR="005B3674" w:rsidRPr="007603F9">
        <w:rPr>
          <w:spacing w:val="-2"/>
          <w:kern w:val="22"/>
        </w:rPr>
        <w:t>landlords</w:t>
      </w:r>
      <w:proofErr w:type="gramEnd"/>
      <w:r w:rsidR="005B3674" w:rsidRPr="007603F9">
        <w:rPr>
          <w:spacing w:val="-2"/>
          <w:kern w:val="22"/>
        </w:rPr>
        <w:t>, stated that the fluctuations in apartment rentals declined with the use of rental revenue maximizing software.</w:t>
      </w:r>
      <w:r w:rsidR="00EB7A48" w:rsidRPr="007603F9">
        <w:rPr>
          <w:rStyle w:val="FootnoteReference"/>
          <w:spacing w:val="-2"/>
          <w:kern w:val="22"/>
        </w:rPr>
        <w:footnoteReference w:id="3"/>
      </w:r>
      <w:r w:rsidR="005B3674" w:rsidRPr="007603F9">
        <w:rPr>
          <w:spacing w:val="-2"/>
          <w:kern w:val="22"/>
        </w:rPr>
        <w:t xml:space="preserve"> Further, o</w:t>
      </w:r>
      <w:r w:rsidR="004A0756" w:rsidRPr="007603F9">
        <w:rPr>
          <w:spacing w:val="-2"/>
          <w:kern w:val="22"/>
        </w:rPr>
        <w:t xml:space="preserve">ccupancy rates stabilized </w:t>
      </w:r>
      <w:r w:rsidR="00246F92">
        <w:rPr>
          <w:spacing w:val="-2"/>
          <w:kern w:val="22"/>
        </w:rPr>
        <w:t>at</w:t>
      </w:r>
      <w:r w:rsidR="00246F92" w:rsidRPr="007603F9">
        <w:rPr>
          <w:spacing w:val="-2"/>
          <w:kern w:val="22"/>
        </w:rPr>
        <w:t xml:space="preserve"> </w:t>
      </w:r>
      <w:r w:rsidR="004A0756" w:rsidRPr="007603F9">
        <w:rPr>
          <w:spacing w:val="-2"/>
          <w:kern w:val="22"/>
        </w:rPr>
        <w:t>95 per cent</w:t>
      </w:r>
      <w:r w:rsidR="005B3674" w:rsidRPr="007603F9">
        <w:rPr>
          <w:spacing w:val="-2"/>
          <w:kern w:val="22"/>
        </w:rPr>
        <w:t>, according to Bryan Pierce, from the Holland Partner Group, a housing management company. Previously, a typical occupancy rate was between 92 and 97</w:t>
      </w:r>
      <w:r w:rsidR="00A709F1" w:rsidRPr="007603F9">
        <w:rPr>
          <w:spacing w:val="-2"/>
          <w:kern w:val="22"/>
        </w:rPr>
        <w:t xml:space="preserve"> per cent</w:t>
      </w:r>
      <w:r w:rsidR="000C5102" w:rsidRPr="007603F9">
        <w:rPr>
          <w:spacing w:val="-2"/>
          <w:kern w:val="22"/>
        </w:rPr>
        <w:t xml:space="preserve"> across the country</w:t>
      </w:r>
      <w:r w:rsidR="005B3674" w:rsidRPr="007603F9">
        <w:rPr>
          <w:spacing w:val="-2"/>
          <w:kern w:val="22"/>
        </w:rPr>
        <w:t>, according to Pierce. This stability facilitated the budgeting process and other management decisions that were part of the rental company’s operations.</w:t>
      </w:r>
      <w:r w:rsidR="00EB7A48" w:rsidRPr="007603F9">
        <w:rPr>
          <w:rStyle w:val="FootnoteReference"/>
          <w:spacing w:val="-2"/>
          <w:kern w:val="22"/>
        </w:rPr>
        <w:footnoteReference w:id="4"/>
      </w:r>
      <w:r w:rsidR="005B3674" w:rsidRPr="007603F9">
        <w:rPr>
          <w:spacing w:val="-2"/>
          <w:kern w:val="22"/>
        </w:rPr>
        <w:t xml:space="preserve"> </w:t>
      </w:r>
    </w:p>
    <w:p w14:paraId="5F779ADC" w14:textId="77777777" w:rsidR="009C537C" w:rsidRDefault="009C537C" w:rsidP="005B3674">
      <w:pPr>
        <w:pStyle w:val="BodyTextMain"/>
        <w:rPr>
          <w:spacing w:val="-2"/>
          <w:kern w:val="22"/>
        </w:rPr>
      </w:pPr>
    </w:p>
    <w:p w14:paraId="7CD816C0" w14:textId="3F24970A" w:rsidR="005B3674" w:rsidRPr="008E2DDB" w:rsidRDefault="009C537C" w:rsidP="005B3674">
      <w:pPr>
        <w:pStyle w:val="BodyTextMain"/>
      </w:pPr>
      <w:r w:rsidRPr="008E2DDB">
        <w:lastRenderedPageBreak/>
        <w:t xml:space="preserve">Software such as Yield Star Price Optimizer (from Real Page) and Rainmaker LRO (Rainmaker) </w:t>
      </w:r>
      <w:proofErr w:type="gramStart"/>
      <w:r w:rsidRPr="008E2DDB">
        <w:t>were created</w:t>
      </w:r>
      <w:proofErr w:type="gramEnd"/>
      <w:r w:rsidRPr="008E2DDB">
        <w:t xml:space="preserve"> specific</w:t>
      </w:r>
      <w:r>
        <w:t>ally</w:t>
      </w:r>
      <w:r w:rsidRPr="008E2DDB">
        <w:t xml:space="preserve"> to determine optimal price configurations.</w:t>
      </w:r>
      <w:r>
        <w:t xml:space="preserve"> </w:t>
      </w:r>
      <w:r w:rsidR="00246F92">
        <w:rPr>
          <w:spacing w:val="-2"/>
          <w:kern w:val="22"/>
        </w:rPr>
        <w:t xml:space="preserve">For example, </w:t>
      </w:r>
      <w:proofErr w:type="spellStart"/>
      <w:r w:rsidR="005B3674" w:rsidRPr="007603F9">
        <w:rPr>
          <w:spacing w:val="-2"/>
          <w:kern w:val="22"/>
        </w:rPr>
        <w:t>Shea</w:t>
      </w:r>
      <w:proofErr w:type="spellEnd"/>
      <w:r w:rsidR="005B3674" w:rsidRPr="007603F9">
        <w:rPr>
          <w:spacing w:val="-2"/>
          <w:kern w:val="22"/>
        </w:rPr>
        <w:t xml:space="preserve"> Property, a division of J. F. </w:t>
      </w:r>
      <w:proofErr w:type="spellStart"/>
      <w:r w:rsidR="005B3674" w:rsidRPr="007603F9">
        <w:rPr>
          <w:spacing w:val="-2"/>
          <w:kern w:val="22"/>
        </w:rPr>
        <w:t>Shea</w:t>
      </w:r>
      <w:proofErr w:type="spellEnd"/>
      <w:r w:rsidR="005B3674" w:rsidRPr="007603F9">
        <w:rPr>
          <w:spacing w:val="-2"/>
          <w:kern w:val="22"/>
        </w:rPr>
        <w:t>, Co. Inc.</w:t>
      </w:r>
      <w:r w:rsidR="00246F92">
        <w:rPr>
          <w:spacing w:val="-2"/>
          <w:kern w:val="22"/>
        </w:rPr>
        <w:t>,</w:t>
      </w:r>
      <w:r w:rsidR="00D93A11" w:rsidRPr="007603F9">
        <w:rPr>
          <w:spacing w:val="-2"/>
          <w:kern w:val="22"/>
        </w:rPr>
        <w:t xml:space="preserve"> located primarily in California</w:t>
      </w:r>
      <w:r w:rsidR="005B3674" w:rsidRPr="007603F9">
        <w:rPr>
          <w:spacing w:val="-2"/>
          <w:kern w:val="22"/>
        </w:rPr>
        <w:t xml:space="preserve">, </w:t>
      </w:r>
      <w:r w:rsidR="004D13EF">
        <w:rPr>
          <w:spacing w:val="-2"/>
          <w:kern w:val="22"/>
        </w:rPr>
        <w:t xml:space="preserve">successfully </w:t>
      </w:r>
      <w:r w:rsidR="005B3674" w:rsidRPr="007603F9">
        <w:rPr>
          <w:spacing w:val="-2"/>
          <w:kern w:val="22"/>
        </w:rPr>
        <w:t xml:space="preserve">charged </w:t>
      </w:r>
      <w:r w:rsidR="00F406A3" w:rsidRPr="007603F9">
        <w:rPr>
          <w:spacing w:val="-2"/>
          <w:kern w:val="22"/>
        </w:rPr>
        <w:t>US$</w:t>
      </w:r>
      <w:r w:rsidR="005B3674" w:rsidRPr="007603F9">
        <w:rPr>
          <w:spacing w:val="-2"/>
          <w:kern w:val="22"/>
        </w:rPr>
        <w:t>3,000</w:t>
      </w:r>
      <w:r w:rsidR="00F406A3" w:rsidRPr="007603F9">
        <w:rPr>
          <w:rStyle w:val="FootnoteReference"/>
          <w:spacing w:val="-2"/>
          <w:kern w:val="22"/>
        </w:rPr>
        <w:footnoteReference w:id="5"/>
      </w:r>
      <w:r w:rsidR="008C6C49">
        <w:rPr>
          <w:spacing w:val="-2"/>
          <w:kern w:val="22"/>
        </w:rPr>
        <w:t xml:space="preserve"> </w:t>
      </w:r>
      <w:r w:rsidR="005B3674" w:rsidRPr="007603F9">
        <w:rPr>
          <w:spacing w:val="-2"/>
          <w:kern w:val="22"/>
        </w:rPr>
        <w:t xml:space="preserve">for a one-month rental </w:t>
      </w:r>
      <w:r w:rsidR="00246F92">
        <w:rPr>
          <w:spacing w:val="-2"/>
          <w:kern w:val="22"/>
        </w:rPr>
        <w:t>of</w:t>
      </w:r>
      <w:r w:rsidR="00246F92" w:rsidRPr="007603F9">
        <w:rPr>
          <w:spacing w:val="-2"/>
          <w:kern w:val="22"/>
        </w:rPr>
        <w:t xml:space="preserve"> </w:t>
      </w:r>
      <w:r w:rsidR="005B3674" w:rsidRPr="007603F9">
        <w:rPr>
          <w:spacing w:val="-2"/>
          <w:kern w:val="22"/>
        </w:rPr>
        <w:t>a unit that typically would rent for $1,200 per month.</w:t>
      </w:r>
      <w:r w:rsidR="00EB7A48" w:rsidRPr="007603F9">
        <w:rPr>
          <w:rStyle w:val="FootnoteReference"/>
          <w:spacing w:val="-2"/>
          <w:kern w:val="22"/>
        </w:rPr>
        <w:footnoteReference w:id="6"/>
      </w:r>
      <w:r w:rsidR="005B3674" w:rsidRPr="007603F9">
        <w:rPr>
          <w:spacing w:val="-2"/>
          <w:kern w:val="22"/>
        </w:rPr>
        <w:t xml:space="preserve"> For many rental companies, switching </w:t>
      </w:r>
      <w:r w:rsidR="00246F92">
        <w:rPr>
          <w:spacing w:val="-2"/>
          <w:kern w:val="22"/>
        </w:rPr>
        <w:t xml:space="preserve">from the earlier model of rental agreements </w:t>
      </w:r>
      <w:r w:rsidR="005B3674" w:rsidRPr="007603F9">
        <w:rPr>
          <w:spacing w:val="-2"/>
          <w:kern w:val="22"/>
        </w:rPr>
        <w:t>to revenue maximizing software resulted in revenue increases.</w:t>
      </w:r>
      <w:r>
        <w:t xml:space="preserve"> </w:t>
      </w:r>
      <w:r w:rsidR="005B3674" w:rsidRPr="008E2DDB">
        <w:t>The software cost to a rental comp</w:t>
      </w:r>
      <w:r w:rsidR="001E6DFD" w:rsidRPr="008E2DDB">
        <w:t xml:space="preserve">any </w:t>
      </w:r>
      <w:proofErr w:type="gramStart"/>
      <w:r w:rsidR="001E6DFD" w:rsidRPr="008E2DDB">
        <w:t>was based</w:t>
      </w:r>
      <w:proofErr w:type="gramEnd"/>
      <w:r w:rsidR="001E6DFD" w:rsidRPr="008E2DDB">
        <w:t xml:space="preserve"> on </w:t>
      </w:r>
      <w:r w:rsidR="005B3674" w:rsidRPr="008E2DDB">
        <w:t xml:space="preserve">an initial setup </w:t>
      </w:r>
      <w:r>
        <w:t>fee</w:t>
      </w:r>
      <w:r w:rsidR="001E6DFD" w:rsidRPr="008E2DDB">
        <w:t xml:space="preserve">, a monthly fixed fee, and </w:t>
      </w:r>
      <w:r w:rsidR="005B3674" w:rsidRPr="008E2DDB">
        <w:t>the number of units</w:t>
      </w:r>
      <w:r w:rsidR="00246F92">
        <w:t xml:space="preserve">, working out to </w:t>
      </w:r>
      <w:r w:rsidR="005B3674" w:rsidRPr="008E2DDB">
        <w:t xml:space="preserve">approximately $2 per unit </w:t>
      </w:r>
      <w:r w:rsidR="00246F92">
        <w:t xml:space="preserve">per month </w:t>
      </w:r>
      <w:r w:rsidR="005B3674" w:rsidRPr="008E2DDB">
        <w:t xml:space="preserve">for each complex, according to Steve Gilmore of </w:t>
      </w:r>
      <w:proofErr w:type="spellStart"/>
      <w:r w:rsidR="005B3674" w:rsidRPr="008E2DDB">
        <w:t>Shea</w:t>
      </w:r>
      <w:proofErr w:type="spellEnd"/>
      <w:r w:rsidR="005B3674" w:rsidRPr="008E2DDB">
        <w:t xml:space="preserve"> Properties.</w:t>
      </w:r>
      <w:r w:rsidR="00B55BA9">
        <w:rPr>
          <w:rStyle w:val="FootnoteReference"/>
        </w:rPr>
        <w:footnoteReference w:id="7"/>
      </w:r>
      <w:r w:rsidR="005B3674" w:rsidRPr="008E2DDB">
        <w:t xml:space="preserve"> </w:t>
      </w:r>
    </w:p>
    <w:p w14:paraId="08EDB485" w14:textId="77777777" w:rsidR="005B3674" w:rsidRPr="008E2DDB" w:rsidRDefault="005B3674" w:rsidP="005B3674">
      <w:pPr>
        <w:pStyle w:val="BodyTextMain"/>
      </w:pPr>
    </w:p>
    <w:p w14:paraId="22331408" w14:textId="34A10F3B" w:rsidR="005B3674" w:rsidRPr="008E2DDB" w:rsidRDefault="005B3674" w:rsidP="005B3674">
      <w:pPr>
        <w:pStyle w:val="BodyTextMain"/>
      </w:pPr>
      <w:r w:rsidRPr="008E2DDB">
        <w:t xml:space="preserve">In addition to the software systems </w:t>
      </w:r>
      <w:r w:rsidR="009C537C">
        <w:t xml:space="preserve">already </w:t>
      </w:r>
      <w:r w:rsidRPr="008E2DDB">
        <w:t>mentioned, standard software was available to solve optimizing problems for apartment rents. Excel’s Solver,</w:t>
      </w:r>
      <w:r w:rsidR="00121478">
        <w:rPr>
          <w:rStyle w:val="FootnoteReference"/>
        </w:rPr>
        <w:footnoteReference w:id="8"/>
      </w:r>
      <w:r w:rsidRPr="008E2DDB">
        <w:t xml:space="preserve"> for example, was </w:t>
      </w:r>
      <w:r w:rsidR="009C537C">
        <w:t xml:space="preserve">a tool </w:t>
      </w:r>
      <w:r w:rsidRPr="008E2DDB">
        <w:t>used for this purpose</w:t>
      </w:r>
      <w:r w:rsidR="00931D11">
        <w:t>,</w:t>
      </w:r>
      <w:r w:rsidRPr="008E2DDB">
        <w:t xml:space="preserve"> as well as for other management decisions that focused on optimization. </w:t>
      </w:r>
    </w:p>
    <w:p w14:paraId="1C9435D9" w14:textId="77777777" w:rsidR="005B3674" w:rsidRPr="008E2DDB" w:rsidRDefault="005B3674" w:rsidP="005B3674">
      <w:pPr>
        <w:pStyle w:val="BodyTextMain"/>
      </w:pPr>
    </w:p>
    <w:p w14:paraId="7CE28F7C" w14:textId="1B1E92A2" w:rsidR="005B3674" w:rsidRPr="008E2DDB" w:rsidRDefault="005B3674" w:rsidP="005B3674">
      <w:pPr>
        <w:pStyle w:val="BodyTextMain"/>
      </w:pPr>
      <w:r w:rsidRPr="008E2DDB">
        <w:t>Homes.com identified its optimal revenue based on calculations for an objective function</w:t>
      </w:r>
      <w:r w:rsidR="00931D11">
        <w:t>,</w:t>
      </w:r>
      <w:r w:rsidRPr="008E2DDB">
        <w:t xml:space="preserve"> and the constraints associated with its objective function. The resulting outcome for Homes.com was a determination of the optimal number of units that could be rented for each apartment during various </w:t>
      </w:r>
      <w:proofErr w:type="gramStart"/>
      <w:r w:rsidRPr="008E2DDB">
        <w:t>time periods</w:t>
      </w:r>
      <w:proofErr w:type="gramEnd"/>
      <w:r w:rsidRPr="008E2DDB">
        <w:t xml:space="preserve">. Apartment management firms were interested in determining the ideal mix of rental types </w:t>
      </w:r>
      <w:r w:rsidR="00931D11">
        <w:t>(</w:t>
      </w:r>
      <w:r w:rsidRPr="008E2DDB">
        <w:t xml:space="preserve">yearly, </w:t>
      </w:r>
      <w:proofErr w:type="spellStart"/>
      <w:r w:rsidRPr="008E2DDB">
        <w:t>semesterly</w:t>
      </w:r>
      <w:proofErr w:type="spellEnd"/>
      <w:r w:rsidR="00931D11">
        <w:t>,</w:t>
      </w:r>
      <w:r w:rsidRPr="008E2DDB">
        <w:t xml:space="preserve"> or monthly</w:t>
      </w:r>
      <w:r w:rsidR="00931D11">
        <w:t>)</w:t>
      </w:r>
      <w:r w:rsidRPr="008E2DDB">
        <w:t xml:space="preserve"> to optimize their revenues.</w:t>
      </w:r>
    </w:p>
    <w:p w14:paraId="1AA77718" w14:textId="77777777" w:rsidR="005B3674" w:rsidRPr="008E2DDB" w:rsidRDefault="005B3674" w:rsidP="005B3674">
      <w:pPr>
        <w:pStyle w:val="BodyTextMain"/>
      </w:pPr>
    </w:p>
    <w:p w14:paraId="25908EB0" w14:textId="77777777" w:rsidR="005B3674" w:rsidRPr="008E2DDB" w:rsidRDefault="005B3674" w:rsidP="005B3674">
      <w:pPr>
        <w:pStyle w:val="BodyTextMain"/>
      </w:pPr>
    </w:p>
    <w:p w14:paraId="35BECDE7" w14:textId="77777777" w:rsidR="005B3674" w:rsidRPr="008E2DDB" w:rsidRDefault="005B3674" w:rsidP="008C6C49">
      <w:pPr>
        <w:pStyle w:val="Casehead1"/>
        <w:outlineLvl w:val="0"/>
      </w:pPr>
      <w:r w:rsidRPr="008E2DDB">
        <w:t>THE CASE FOR MANAGING APARTMENT RENTALS AND BUDGETS</w:t>
      </w:r>
    </w:p>
    <w:p w14:paraId="73EDFA32" w14:textId="77777777" w:rsidR="005B3674" w:rsidRPr="008E2DDB" w:rsidRDefault="005B3674" w:rsidP="0067321B">
      <w:pPr>
        <w:pStyle w:val="BodyTextMain"/>
      </w:pPr>
    </w:p>
    <w:p w14:paraId="0BA443DB" w14:textId="1C5C4269" w:rsidR="005B3674" w:rsidRPr="008E2DDB" w:rsidRDefault="0027602F" w:rsidP="005B3674">
      <w:pPr>
        <w:pStyle w:val="BodyTextMain"/>
      </w:pPr>
      <w:r>
        <w:t>A</w:t>
      </w:r>
      <w:r w:rsidR="005B3674" w:rsidRPr="008E2DDB">
        <w:t xml:space="preserve">n apartment manager needed to identify the best possible mix of units to maximize rental revenues from apartment units in </w:t>
      </w:r>
      <w:r w:rsidR="006923C9">
        <w:t>Pittsburgh</w:t>
      </w:r>
      <w:r w:rsidR="006A2E42">
        <w:t>,</w:t>
      </w:r>
      <w:r w:rsidR="005B3674" w:rsidRPr="008E2DDB">
        <w:t xml:space="preserve"> where </w:t>
      </w:r>
      <w:proofErr w:type="gramStart"/>
      <w:r w:rsidR="005B3674" w:rsidRPr="008E2DDB">
        <w:t>many of the units were rented by students</w:t>
      </w:r>
      <w:proofErr w:type="gramEnd"/>
      <w:r w:rsidR="005B3674" w:rsidRPr="00072934">
        <w:t xml:space="preserve">. </w:t>
      </w:r>
      <w:r w:rsidR="001859B7">
        <w:t>The manager</w:t>
      </w:r>
      <w:r w:rsidR="005B3674" w:rsidRPr="008E2DDB">
        <w:t xml:space="preserve"> had the </w:t>
      </w:r>
      <w:r w:rsidR="006A2E42">
        <w:t>necessary</w:t>
      </w:r>
      <w:r w:rsidR="005B3674" w:rsidRPr="008E2DDB">
        <w:t xml:space="preserve"> information on </w:t>
      </w:r>
      <w:r w:rsidR="006923C9">
        <w:t>yearly</w:t>
      </w:r>
      <w:r w:rsidR="005B3674" w:rsidRPr="008E2DDB">
        <w:t xml:space="preserve">, </w:t>
      </w:r>
      <w:proofErr w:type="spellStart"/>
      <w:r w:rsidR="005B3674" w:rsidRPr="008E2DDB">
        <w:t>semester</w:t>
      </w:r>
      <w:r w:rsidR="006A2E42">
        <w:t>ly</w:t>
      </w:r>
      <w:proofErr w:type="spellEnd"/>
      <w:r w:rsidR="006A2E42">
        <w:t>,</w:t>
      </w:r>
      <w:r w:rsidR="005B3674" w:rsidRPr="008E2DDB">
        <w:t xml:space="preserve"> and monthly rents, as well as the number of apartments that rented at these rates</w:t>
      </w:r>
      <w:r w:rsidR="006A2E42">
        <w:t xml:space="preserve"> (see Exhibit 1)</w:t>
      </w:r>
      <w:r w:rsidR="005B3674" w:rsidRPr="008E2DDB">
        <w:t xml:space="preserve">. </w:t>
      </w:r>
    </w:p>
    <w:p w14:paraId="37CBED6B" w14:textId="77777777" w:rsidR="005B3674" w:rsidRPr="008E2DDB" w:rsidRDefault="005B3674" w:rsidP="005B3674">
      <w:pPr>
        <w:pStyle w:val="BodyTextMain"/>
      </w:pPr>
    </w:p>
    <w:p w14:paraId="255FF8F1" w14:textId="3EF4891F" w:rsidR="005B3674" w:rsidRPr="008E2DDB" w:rsidRDefault="005B3674" w:rsidP="005B3674">
      <w:pPr>
        <w:pStyle w:val="BodyTextMain"/>
      </w:pPr>
      <w:r w:rsidRPr="008E2DDB">
        <w:t xml:space="preserve">Given that only 200 units were available, if 120 </w:t>
      </w:r>
      <w:r w:rsidR="001859B7">
        <w:t>units</w:t>
      </w:r>
      <w:r w:rsidR="001859B7" w:rsidRPr="008E2DDB">
        <w:t xml:space="preserve"> </w:t>
      </w:r>
      <w:proofErr w:type="gramStart"/>
      <w:r w:rsidR="007A4590">
        <w:t>were rented</w:t>
      </w:r>
      <w:proofErr w:type="gramEnd"/>
      <w:r w:rsidR="007A4590">
        <w:t xml:space="preserve"> </w:t>
      </w:r>
      <w:r w:rsidRPr="008E2DDB">
        <w:t xml:space="preserve">for the entire year, 80 </w:t>
      </w:r>
      <w:r w:rsidR="001859B7">
        <w:t>were available</w:t>
      </w:r>
      <w:r w:rsidR="001859B7" w:rsidRPr="008E2DDB">
        <w:t xml:space="preserve"> </w:t>
      </w:r>
      <w:r w:rsidRPr="008E2DDB">
        <w:t xml:space="preserve">to rent </w:t>
      </w:r>
      <w:r w:rsidR="001859B7">
        <w:t>by</w:t>
      </w:r>
      <w:r w:rsidRPr="008E2DDB">
        <w:t xml:space="preserve"> semester. </w:t>
      </w:r>
      <w:r w:rsidR="001859B7">
        <w:t>If 50 of the available</w:t>
      </w:r>
      <w:r w:rsidRPr="008E2DDB">
        <w:t xml:space="preserve"> 80 units </w:t>
      </w:r>
      <w:proofErr w:type="gramStart"/>
      <w:r w:rsidR="007A4590">
        <w:t>were rented</w:t>
      </w:r>
      <w:proofErr w:type="gramEnd"/>
      <w:r w:rsidR="007A4590">
        <w:t xml:space="preserve"> </w:t>
      </w:r>
      <w:r w:rsidRPr="008E2DDB">
        <w:t>for the entire fall semester, 30 units remain</w:t>
      </w:r>
      <w:r w:rsidR="007A4590">
        <w:t>ed</w:t>
      </w:r>
      <w:r w:rsidRPr="008E2DDB">
        <w:t xml:space="preserve"> to rent monthly for each month in the fall term. Likewise, the same </w:t>
      </w:r>
      <w:r w:rsidR="00E55FDB">
        <w:t>assumptions applied</w:t>
      </w:r>
      <w:r w:rsidR="007A4590">
        <w:t xml:space="preserve"> </w:t>
      </w:r>
      <w:r w:rsidRPr="008E2DDB">
        <w:t>for the spring and summer terms.</w:t>
      </w:r>
    </w:p>
    <w:p w14:paraId="6DDDEB92" w14:textId="77777777" w:rsidR="005B3674" w:rsidRPr="008E2DDB" w:rsidRDefault="005B3674" w:rsidP="005B3674">
      <w:pPr>
        <w:pStyle w:val="BodyTextMain"/>
      </w:pPr>
    </w:p>
    <w:p w14:paraId="75A33ED1" w14:textId="06F5E402" w:rsidR="005B3674" w:rsidRPr="008E2DDB" w:rsidRDefault="00285A7F" w:rsidP="005B3674">
      <w:pPr>
        <w:pStyle w:val="BodyTextMain"/>
      </w:pPr>
      <w:r>
        <w:t>T</w:t>
      </w:r>
      <w:r w:rsidR="006A2E42">
        <w:t xml:space="preserve">he number of </w:t>
      </w:r>
      <w:r w:rsidR="005B3674" w:rsidRPr="008E2DDB">
        <w:t>rent</w:t>
      </w:r>
      <w:r w:rsidR="006A2E42">
        <w:t>al</w:t>
      </w:r>
      <w:r w:rsidR="005B3674" w:rsidRPr="008E2DDB">
        <w:t xml:space="preserve">s </w:t>
      </w:r>
      <w:r w:rsidR="006A2E42">
        <w:t>was</w:t>
      </w:r>
      <w:r w:rsidR="006A2E42" w:rsidRPr="008E2DDB">
        <w:t xml:space="preserve"> </w:t>
      </w:r>
      <w:r w:rsidR="005B3674" w:rsidRPr="008E2DDB">
        <w:t>lower</w:t>
      </w:r>
      <w:r w:rsidR="006A2E42">
        <w:t xml:space="preserve"> in the summer</w:t>
      </w:r>
      <w:r w:rsidR="005B3674" w:rsidRPr="008E2DDB">
        <w:t xml:space="preserve"> than</w:t>
      </w:r>
      <w:r w:rsidR="006A2E42">
        <w:t xml:space="preserve"> it was</w:t>
      </w:r>
      <w:r w:rsidR="005B3674" w:rsidRPr="008E2DDB">
        <w:t xml:space="preserve"> for the other terms</w:t>
      </w:r>
      <w:r>
        <w:t>, but this</w:t>
      </w:r>
      <w:r w:rsidR="005B3674" w:rsidRPr="008E2DDB">
        <w:t xml:space="preserve"> was not a surprise given that most universities had fewer students on campus </w:t>
      </w:r>
      <w:r>
        <w:t>in the summer</w:t>
      </w:r>
      <w:r w:rsidR="005B3674" w:rsidRPr="008E2DDB">
        <w:t xml:space="preserve">, causing demand and occupancy rates </w:t>
      </w:r>
      <w:proofErr w:type="gramStart"/>
      <w:r w:rsidR="005B3674" w:rsidRPr="008E2DDB">
        <w:t>to also be</w:t>
      </w:r>
      <w:proofErr w:type="gramEnd"/>
      <w:r w:rsidR="005B3674" w:rsidRPr="008E2DDB">
        <w:t xml:space="preserve"> lower. </w:t>
      </w:r>
      <w:r>
        <w:t xml:space="preserve">The units available on a </w:t>
      </w:r>
      <w:r w:rsidR="005B3674" w:rsidRPr="008E2DDB">
        <w:t xml:space="preserve">monthly </w:t>
      </w:r>
      <w:r>
        <w:t>basis</w:t>
      </w:r>
      <w:r w:rsidRPr="008E2DDB">
        <w:t xml:space="preserve"> </w:t>
      </w:r>
      <w:proofErr w:type="gramStart"/>
      <w:r w:rsidR="005B3674" w:rsidRPr="008E2DDB">
        <w:t>were priced</w:t>
      </w:r>
      <w:proofErr w:type="gramEnd"/>
      <w:r w:rsidR="005B3674" w:rsidRPr="008E2DDB">
        <w:t xml:space="preserve"> at an amount greater than the rent for an entire semester.</w:t>
      </w:r>
    </w:p>
    <w:p w14:paraId="12ADBEA8" w14:textId="77777777" w:rsidR="005B3674" w:rsidRPr="008E2DDB" w:rsidRDefault="005B3674" w:rsidP="005B3674">
      <w:pPr>
        <w:pStyle w:val="BodyTextMain"/>
      </w:pPr>
    </w:p>
    <w:p w14:paraId="2E0F949A" w14:textId="6D1C3320" w:rsidR="00704EB0" w:rsidRDefault="005B3674" w:rsidP="005B3674">
      <w:pPr>
        <w:pStyle w:val="BodyTextMain"/>
      </w:pPr>
      <w:r w:rsidRPr="008E2DDB">
        <w:t xml:space="preserve">The goal was to determine the optimal number of apartments rented for each </w:t>
      </w:r>
      <w:proofErr w:type="gramStart"/>
      <w:r w:rsidRPr="008E2DDB">
        <w:t>time period</w:t>
      </w:r>
      <w:proofErr w:type="gramEnd"/>
      <w:r w:rsidRPr="00072934">
        <w:t xml:space="preserve">. </w:t>
      </w:r>
      <w:r w:rsidR="007A4590" w:rsidRPr="00072934">
        <w:t>A manager</w:t>
      </w:r>
      <w:r w:rsidR="007A4590">
        <w:t xml:space="preserve"> </w:t>
      </w:r>
      <w:r w:rsidR="002D2D52">
        <w:t>c</w:t>
      </w:r>
      <w:r w:rsidR="007A4590">
        <w:t>ould determine</w:t>
      </w:r>
      <w:r w:rsidRPr="008E2DDB">
        <w:t xml:space="preserve"> the proper allocation of units for this problem using Excel Solver (</w:t>
      </w:r>
      <w:r w:rsidR="00E2035B">
        <w:t xml:space="preserve">found </w:t>
      </w:r>
      <w:r w:rsidR="00704EB0">
        <w:t>o</w:t>
      </w:r>
      <w:r w:rsidRPr="008E2DDB">
        <w:t xml:space="preserve">n </w:t>
      </w:r>
      <w:r w:rsidR="00704EB0">
        <w:t>Excel’s</w:t>
      </w:r>
      <w:r w:rsidR="00704EB0" w:rsidRPr="008E2DDB">
        <w:t xml:space="preserve"> </w:t>
      </w:r>
      <w:r w:rsidRPr="008E2DDB">
        <w:t xml:space="preserve">Data </w:t>
      </w:r>
      <w:r w:rsidR="00704EB0">
        <w:t>T</w:t>
      </w:r>
      <w:r w:rsidRPr="008E2DDB">
        <w:t>oolbar o</w:t>
      </w:r>
      <w:r w:rsidR="00704EB0">
        <w:t>r i</w:t>
      </w:r>
      <w:r w:rsidRPr="008E2DDB">
        <w:t>n the menu</w:t>
      </w:r>
      <w:r w:rsidR="00704EB0">
        <w:t xml:space="preserve"> under </w:t>
      </w:r>
      <w:r w:rsidR="00704EB0" w:rsidRPr="005C4899">
        <w:rPr>
          <w:b/>
        </w:rPr>
        <w:t>Tools &gt; Solver</w:t>
      </w:r>
      <w:r w:rsidRPr="008E2DDB">
        <w:t>).</w:t>
      </w:r>
      <w:r w:rsidR="00E2035B">
        <w:t xml:space="preserve"> </w:t>
      </w:r>
    </w:p>
    <w:p w14:paraId="6266C361" w14:textId="77777777" w:rsidR="00704EB0" w:rsidRDefault="00704EB0" w:rsidP="005B3674">
      <w:pPr>
        <w:pStyle w:val="BodyTextMain"/>
      </w:pPr>
    </w:p>
    <w:p w14:paraId="37CC49B4" w14:textId="188BFDF1" w:rsidR="00E2035B" w:rsidRDefault="00E2035B" w:rsidP="005B3674">
      <w:pPr>
        <w:pStyle w:val="BodyTextMain"/>
      </w:pPr>
      <w:r>
        <w:t>First,</w:t>
      </w:r>
      <w:r w:rsidR="005B3674" w:rsidRPr="008E2DDB">
        <w:t xml:space="preserve"> the objective to maximize</w:t>
      </w:r>
      <w:r w:rsidR="00704EB0">
        <w:t xml:space="preserve"> needed to </w:t>
      </w:r>
      <w:proofErr w:type="gramStart"/>
      <w:r w:rsidR="00704EB0">
        <w:t>be defined</w:t>
      </w:r>
      <w:proofErr w:type="gramEnd"/>
      <w:r>
        <w:t>—</w:t>
      </w:r>
      <w:r w:rsidR="005B3674" w:rsidRPr="008E2DDB">
        <w:t>in this case, the total rent revenue from all of the rental time periods</w:t>
      </w:r>
      <w:r w:rsidR="00704EB0">
        <w:t>:</w:t>
      </w:r>
    </w:p>
    <w:p w14:paraId="15B1B6B3" w14:textId="5D136121" w:rsidR="00E2035B" w:rsidRDefault="000C1317" w:rsidP="005C4899">
      <w:pPr>
        <w:pStyle w:val="BodyTextMain"/>
        <w:keepNext/>
      </w:pPr>
      <m:oMathPara>
        <m:oMath>
          <m:r>
            <w:rPr>
              <w:rFonts w:ascii="Cambria Math" w:hAnsi="Cambria Math"/>
            </w:rPr>
            <w:lastRenderedPageBreak/>
            <m:t>Total Revenue=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NRY×Yearly Rate+NRS ×Semesterly Rate+NRM ×Monthly Rate</m:t>
              </m:r>
            </m:e>
          </m:nary>
        </m:oMath>
      </m:oMathPara>
    </w:p>
    <w:p w14:paraId="47C618AB" w14:textId="77777777" w:rsidR="00072934" w:rsidRDefault="00072934" w:rsidP="005B3674">
      <w:pPr>
        <w:pStyle w:val="BodyTextMain"/>
      </w:pPr>
    </w:p>
    <w:p w14:paraId="00820E25" w14:textId="7B0925A8" w:rsidR="00072934" w:rsidRPr="005C4899" w:rsidRDefault="00072934" w:rsidP="005C4899">
      <w:pPr>
        <w:pStyle w:val="BodyTextMain"/>
        <w:keepNext/>
      </w:pPr>
      <w:r w:rsidRPr="005C4899">
        <w:t>Where,</w:t>
      </w:r>
      <w:r w:rsidR="000C1317" w:rsidRPr="005C4899">
        <w:tab/>
      </w:r>
    </w:p>
    <w:p w14:paraId="18655751" w14:textId="6773BED4" w:rsidR="00072934" w:rsidRPr="005C4899" w:rsidRDefault="00072934" w:rsidP="00704EB0">
      <w:pPr>
        <w:pStyle w:val="BodyTextMain"/>
      </w:pPr>
      <w:r w:rsidRPr="005C4899">
        <w:t>NRY = Number of rooms rented for the year</w:t>
      </w:r>
    </w:p>
    <w:p w14:paraId="08380064" w14:textId="0ABEB705" w:rsidR="00072934" w:rsidRPr="005C4899" w:rsidRDefault="00072934" w:rsidP="00704EB0">
      <w:pPr>
        <w:pStyle w:val="BodyTextMain"/>
      </w:pPr>
      <w:r w:rsidRPr="005C4899">
        <w:t>NRS = Number of rooms rented for the semester</w:t>
      </w:r>
    </w:p>
    <w:p w14:paraId="5E6CB092" w14:textId="517FF675" w:rsidR="00072934" w:rsidRPr="005C4899" w:rsidRDefault="00072934" w:rsidP="00704EB0">
      <w:pPr>
        <w:pStyle w:val="BodyTextMain"/>
      </w:pPr>
      <w:r w:rsidRPr="005C4899">
        <w:t>NRM = Number of rooms rented for the month</w:t>
      </w:r>
    </w:p>
    <w:p w14:paraId="15AD42D2" w14:textId="684C3D09" w:rsidR="00072934" w:rsidRDefault="00072934" w:rsidP="00704EB0">
      <w:pPr>
        <w:pStyle w:val="BodyTextMain"/>
      </w:pPr>
    </w:p>
    <w:p w14:paraId="4FCE66D3" w14:textId="77777777" w:rsidR="00121478" w:rsidRPr="00704EB0" w:rsidRDefault="00121478" w:rsidP="00704EB0">
      <w:pPr>
        <w:pStyle w:val="BodyTextMain"/>
      </w:pPr>
    </w:p>
    <w:p w14:paraId="2599CD66" w14:textId="65FB3CA3" w:rsidR="0042164D" w:rsidRDefault="0042164D" w:rsidP="008C6C49">
      <w:pPr>
        <w:pStyle w:val="BodyTextMain"/>
        <w:outlineLvl w:val="0"/>
      </w:pPr>
      <w:r>
        <w:t xml:space="preserve">The rates </w:t>
      </w:r>
      <w:proofErr w:type="gramStart"/>
      <w:r>
        <w:t>were based</w:t>
      </w:r>
      <w:proofErr w:type="gramEnd"/>
      <w:r>
        <w:t xml:space="preserve"> on the appropriate amount for each rental type.</w:t>
      </w:r>
    </w:p>
    <w:p w14:paraId="5B2B4242" w14:textId="77777777" w:rsidR="0042164D" w:rsidRDefault="0042164D" w:rsidP="005B3674">
      <w:pPr>
        <w:pStyle w:val="BodyTextMain"/>
      </w:pPr>
    </w:p>
    <w:p w14:paraId="2E77E7B5" w14:textId="67E15198" w:rsidR="005B3674" w:rsidRPr="008E2DDB" w:rsidRDefault="00E2035B" w:rsidP="005B3674">
      <w:pPr>
        <w:pStyle w:val="BodyTextMain"/>
      </w:pPr>
      <w:r>
        <w:t xml:space="preserve">Second, </w:t>
      </w:r>
      <w:r w:rsidR="00BD56F3">
        <w:t xml:space="preserve">a manager </w:t>
      </w:r>
      <w:r>
        <w:t>had</w:t>
      </w:r>
      <w:r w:rsidR="005B3674" w:rsidRPr="008E2DDB">
        <w:t xml:space="preserve"> to specify the constraints for the number of units to </w:t>
      </w:r>
      <w:proofErr w:type="gramStart"/>
      <w:r w:rsidR="005B3674" w:rsidRPr="008E2DDB">
        <w:t>be rented</w:t>
      </w:r>
      <w:proofErr w:type="gramEnd"/>
      <w:r w:rsidR="005B3674" w:rsidRPr="008E2DDB">
        <w:t xml:space="preserve"> for each year, semester, and month </w:t>
      </w:r>
      <w:r>
        <w:t>(see</w:t>
      </w:r>
      <w:r w:rsidR="008E6928">
        <w:t xml:space="preserve"> Exhibit 1</w:t>
      </w:r>
      <w:r>
        <w:t>)</w:t>
      </w:r>
      <w:r w:rsidR="002B62CC">
        <w:t>.</w:t>
      </w:r>
    </w:p>
    <w:p w14:paraId="0EF27A3E" w14:textId="77777777" w:rsidR="005B3674" w:rsidRPr="008E2DDB" w:rsidRDefault="005B3674" w:rsidP="005B3674">
      <w:pPr>
        <w:pStyle w:val="BodyTextMain"/>
      </w:pPr>
    </w:p>
    <w:p w14:paraId="07485ADE" w14:textId="098F2687" w:rsidR="005B3674" w:rsidRPr="00072934" w:rsidRDefault="005B3674" w:rsidP="005B3674">
      <w:pPr>
        <w:pStyle w:val="BodyTextMain"/>
        <w:rPr>
          <w:spacing w:val="-2"/>
          <w:kern w:val="22"/>
        </w:rPr>
      </w:pPr>
      <w:r w:rsidRPr="00072934">
        <w:rPr>
          <w:spacing w:val="-2"/>
          <w:kern w:val="22"/>
        </w:rPr>
        <w:t xml:space="preserve">By inputting the objective function and these constraints into the Excel Solver model, </w:t>
      </w:r>
      <w:r w:rsidR="00BD56F3" w:rsidRPr="00072934">
        <w:rPr>
          <w:spacing w:val="-2"/>
          <w:kern w:val="22"/>
        </w:rPr>
        <w:t xml:space="preserve">a manager </w:t>
      </w:r>
      <w:r w:rsidR="00E2035B" w:rsidRPr="00072934">
        <w:rPr>
          <w:spacing w:val="-2"/>
          <w:kern w:val="22"/>
        </w:rPr>
        <w:t>arrived at</w:t>
      </w:r>
      <w:r w:rsidRPr="00072934">
        <w:rPr>
          <w:spacing w:val="-2"/>
          <w:kern w:val="22"/>
        </w:rPr>
        <w:t xml:space="preserve"> a solution that determined the number of units </w:t>
      </w:r>
      <w:r w:rsidR="000E2757">
        <w:rPr>
          <w:spacing w:val="-2"/>
          <w:kern w:val="22"/>
        </w:rPr>
        <w:t>to</w:t>
      </w:r>
      <w:r w:rsidR="000E2757" w:rsidRPr="00072934">
        <w:rPr>
          <w:spacing w:val="-2"/>
          <w:kern w:val="22"/>
        </w:rPr>
        <w:t xml:space="preserve"> </w:t>
      </w:r>
      <w:r w:rsidRPr="00072934">
        <w:rPr>
          <w:spacing w:val="-2"/>
          <w:kern w:val="22"/>
        </w:rPr>
        <w:t xml:space="preserve">rent in each category </w:t>
      </w:r>
      <w:r w:rsidR="000E2757">
        <w:rPr>
          <w:spacing w:val="-2"/>
          <w:kern w:val="22"/>
        </w:rPr>
        <w:t>to</w:t>
      </w:r>
      <w:r w:rsidR="000E2757" w:rsidRPr="00072934">
        <w:rPr>
          <w:spacing w:val="-2"/>
          <w:kern w:val="22"/>
        </w:rPr>
        <w:t xml:space="preserve"> </w:t>
      </w:r>
      <w:r w:rsidRPr="00072934">
        <w:rPr>
          <w:spacing w:val="-2"/>
          <w:kern w:val="22"/>
        </w:rPr>
        <w:t xml:space="preserve">optimize revenues. </w:t>
      </w:r>
      <w:r w:rsidR="00E2035B" w:rsidRPr="00072934">
        <w:rPr>
          <w:spacing w:val="-2"/>
          <w:kern w:val="22"/>
        </w:rPr>
        <w:t>H</w:t>
      </w:r>
      <w:r w:rsidRPr="00072934">
        <w:rPr>
          <w:spacing w:val="-2"/>
          <w:kern w:val="22"/>
        </w:rPr>
        <w:t>owever, input guesses were required for the number of units in each cell</w:t>
      </w:r>
      <w:r w:rsidR="00E2035B" w:rsidRPr="00072934">
        <w:rPr>
          <w:spacing w:val="-2"/>
          <w:kern w:val="22"/>
        </w:rPr>
        <w:t>,</w:t>
      </w:r>
      <w:r w:rsidRPr="00072934">
        <w:rPr>
          <w:spacing w:val="-2"/>
          <w:kern w:val="22"/>
        </w:rPr>
        <w:t xml:space="preserve"> along with the appropriate rent for each </w:t>
      </w:r>
      <w:proofErr w:type="gramStart"/>
      <w:r w:rsidRPr="00072934">
        <w:rPr>
          <w:spacing w:val="-2"/>
          <w:kern w:val="22"/>
        </w:rPr>
        <w:t>time period</w:t>
      </w:r>
      <w:proofErr w:type="gramEnd"/>
      <w:r w:rsidR="00E2035B" w:rsidRPr="00072934">
        <w:rPr>
          <w:spacing w:val="-2"/>
          <w:kern w:val="22"/>
        </w:rPr>
        <w:t>,</w:t>
      </w:r>
      <w:r w:rsidRPr="00072934">
        <w:rPr>
          <w:spacing w:val="-2"/>
          <w:kern w:val="22"/>
        </w:rPr>
        <w:t xml:space="preserve"> to give Excel Solver a starting point for making initial calculations</w:t>
      </w:r>
      <w:r w:rsidR="00E2035B" w:rsidRPr="00072934">
        <w:rPr>
          <w:spacing w:val="-2"/>
          <w:kern w:val="22"/>
        </w:rPr>
        <w:t>.</w:t>
      </w:r>
      <w:r w:rsidRPr="00072934">
        <w:rPr>
          <w:spacing w:val="-2"/>
          <w:kern w:val="22"/>
        </w:rPr>
        <w:t xml:space="preserve"> </w:t>
      </w:r>
      <w:r w:rsidR="00E2035B" w:rsidRPr="00072934">
        <w:rPr>
          <w:spacing w:val="-2"/>
          <w:kern w:val="22"/>
        </w:rPr>
        <w:t>T</w:t>
      </w:r>
      <w:r w:rsidRPr="00072934">
        <w:rPr>
          <w:spacing w:val="-2"/>
          <w:kern w:val="22"/>
        </w:rPr>
        <w:t xml:space="preserve">he process continued with reiterations until the maximization problem </w:t>
      </w:r>
      <w:proofErr w:type="gramStart"/>
      <w:r w:rsidRPr="00072934">
        <w:rPr>
          <w:spacing w:val="-2"/>
          <w:kern w:val="22"/>
        </w:rPr>
        <w:t>was solved</w:t>
      </w:r>
      <w:proofErr w:type="gramEnd"/>
      <w:r w:rsidRPr="00072934">
        <w:rPr>
          <w:spacing w:val="-2"/>
          <w:kern w:val="22"/>
        </w:rPr>
        <w:t xml:space="preserve">. Having completed this process for the current inputs and constraints </w:t>
      </w:r>
      <w:r w:rsidR="00E2035B" w:rsidRPr="00072934">
        <w:rPr>
          <w:spacing w:val="-2"/>
          <w:kern w:val="22"/>
        </w:rPr>
        <w:t>(see</w:t>
      </w:r>
      <w:r w:rsidRPr="00072934">
        <w:rPr>
          <w:spacing w:val="-2"/>
          <w:kern w:val="22"/>
        </w:rPr>
        <w:t xml:space="preserve"> </w:t>
      </w:r>
      <w:r w:rsidR="004D5B5E">
        <w:rPr>
          <w:spacing w:val="-2"/>
          <w:kern w:val="22"/>
        </w:rPr>
        <w:t xml:space="preserve">Exhibit </w:t>
      </w:r>
      <w:r w:rsidR="00864A61" w:rsidRPr="00072934">
        <w:rPr>
          <w:spacing w:val="-2"/>
          <w:kern w:val="22"/>
        </w:rPr>
        <w:t>1</w:t>
      </w:r>
      <w:r w:rsidR="00E2035B" w:rsidRPr="00072934">
        <w:rPr>
          <w:spacing w:val="-2"/>
          <w:kern w:val="22"/>
        </w:rPr>
        <w:t>)</w:t>
      </w:r>
      <w:r w:rsidRPr="00072934">
        <w:rPr>
          <w:spacing w:val="-2"/>
          <w:kern w:val="22"/>
        </w:rPr>
        <w:t xml:space="preserve">, </w:t>
      </w:r>
      <w:r w:rsidR="00BD56F3" w:rsidRPr="00072934">
        <w:rPr>
          <w:spacing w:val="-2"/>
          <w:kern w:val="22"/>
        </w:rPr>
        <w:t xml:space="preserve">a manager </w:t>
      </w:r>
      <w:r w:rsidR="008A4039" w:rsidRPr="00072934">
        <w:rPr>
          <w:spacing w:val="-2"/>
          <w:kern w:val="22"/>
        </w:rPr>
        <w:t>next</w:t>
      </w:r>
      <w:r w:rsidR="00E2035B" w:rsidRPr="00072934">
        <w:rPr>
          <w:spacing w:val="-2"/>
          <w:kern w:val="22"/>
        </w:rPr>
        <w:t xml:space="preserve"> determine</w:t>
      </w:r>
      <w:r w:rsidR="008A4039" w:rsidRPr="00072934">
        <w:rPr>
          <w:spacing w:val="-2"/>
          <w:kern w:val="22"/>
        </w:rPr>
        <w:t>d</w:t>
      </w:r>
      <w:r w:rsidR="00E2035B" w:rsidRPr="00072934">
        <w:rPr>
          <w:spacing w:val="-2"/>
          <w:kern w:val="22"/>
        </w:rPr>
        <w:t xml:space="preserve"> the</w:t>
      </w:r>
      <w:r w:rsidRPr="00072934">
        <w:rPr>
          <w:spacing w:val="-2"/>
          <w:kern w:val="22"/>
        </w:rPr>
        <w:t xml:space="preserve"> optimal configuration </w:t>
      </w:r>
      <w:r w:rsidR="00E2035B" w:rsidRPr="00072934">
        <w:rPr>
          <w:spacing w:val="-2"/>
          <w:kern w:val="22"/>
        </w:rPr>
        <w:t>(see</w:t>
      </w:r>
      <w:r w:rsidRPr="00072934">
        <w:rPr>
          <w:spacing w:val="-2"/>
          <w:kern w:val="22"/>
        </w:rPr>
        <w:t xml:space="preserve"> Exhibit </w:t>
      </w:r>
      <w:r w:rsidR="00864A61" w:rsidRPr="00072934">
        <w:rPr>
          <w:spacing w:val="-2"/>
          <w:kern w:val="22"/>
        </w:rPr>
        <w:t>2</w:t>
      </w:r>
      <w:r w:rsidR="00E2035B" w:rsidRPr="00072934">
        <w:rPr>
          <w:spacing w:val="-2"/>
          <w:kern w:val="22"/>
        </w:rPr>
        <w:t>)</w:t>
      </w:r>
      <w:r w:rsidRPr="00072934">
        <w:rPr>
          <w:spacing w:val="-2"/>
          <w:kern w:val="22"/>
        </w:rPr>
        <w:t xml:space="preserve">. </w:t>
      </w:r>
    </w:p>
    <w:p w14:paraId="7DD2AEEB" w14:textId="77777777" w:rsidR="005B3674" w:rsidRPr="008E2DDB" w:rsidRDefault="005B3674" w:rsidP="00BD3DB2">
      <w:pPr>
        <w:pStyle w:val="BodyTextMain"/>
      </w:pPr>
    </w:p>
    <w:p w14:paraId="168D5706" w14:textId="1819FD66" w:rsidR="005B3674" w:rsidRPr="008E2DDB" w:rsidRDefault="005B3674" w:rsidP="005B3674">
      <w:pPr>
        <w:pStyle w:val="BodyTextMain"/>
      </w:pPr>
      <w:r w:rsidRPr="008E2DDB">
        <w:t xml:space="preserve">The total number of </w:t>
      </w:r>
      <w:r w:rsidR="00396E24">
        <w:t>units</w:t>
      </w:r>
      <w:r w:rsidR="00396E24" w:rsidRPr="008E2DDB">
        <w:t xml:space="preserve"> </w:t>
      </w:r>
      <w:r w:rsidRPr="008E2DDB">
        <w:t xml:space="preserve">for each </w:t>
      </w:r>
      <w:proofErr w:type="gramStart"/>
      <w:r w:rsidRPr="008E2DDB">
        <w:t>time period</w:t>
      </w:r>
      <w:proofErr w:type="gramEnd"/>
      <w:r w:rsidRPr="008E2DDB">
        <w:t xml:space="preserve"> (entire year, </w:t>
      </w:r>
      <w:r w:rsidR="00396E24">
        <w:t xml:space="preserve">and </w:t>
      </w:r>
      <w:r w:rsidRPr="008E2DDB">
        <w:t>fall, spring</w:t>
      </w:r>
      <w:r w:rsidR="002D2356">
        <w:t>,</w:t>
      </w:r>
      <w:r w:rsidRPr="008E2DDB">
        <w:t xml:space="preserve"> and summer</w:t>
      </w:r>
      <w:r w:rsidR="00396E24">
        <w:t xml:space="preserve"> semesters</w:t>
      </w:r>
      <w:r w:rsidRPr="008E2DDB">
        <w:t>) did not exceed 200</w:t>
      </w:r>
      <w:r w:rsidR="00162B9D">
        <w:t>—</w:t>
      </w:r>
      <w:r w:rsidRPr="008E2DDB">
        <w:t xml:space="preserve">the maximum number of </w:t>
      </w:r>
      <w:r w:rsidR="00396E24">
        <w:t>units</w:t>
      </w:r>
      <w:r w:rsidR="00396E24" w:rsidRPr="008E2DDB">
        <w:t xml:space="preserve"> </w:t>
      </w:r>
      <w:r w:rsidRPr="008E2DDB">
        <w:t>available for rent.</w:t>
      </w:r>
      <w:r w:rsidR="001E6DFD" w:rsidRPr="008E2DDB">
        <w:t xml:space="preserve"> </w:t>
      </w:r>
      <w:r w:rsidRPr="008E2DDB">
        <w:t xml:space="preserve">The solution </w:t>
      </w:r>
      <w:r w:rsidR="00C642D1">
        <w:t>(see</w:t>
      </w:r>
      <w:r w:rsidRPr="008E2DDB">
        <w:t xml:space="preserve"> Exhibit </w:t>
      </w:r>
      <w:r w:rsidR="008A4039">
        <w:t>3</w:t>
      </w:r>
      <w:r w:rsidR="00C642D1">
        <w:t>)</w:t>
      </w:r>
      <w:r w:rsidRPr="008E2DDB">
        <w:t xml:space="preserve"> indicated that the optimal revenue generation policy was to rent 110 units </w:t>
      </w:r>
      <w:r w:rsidR="00AC7FBA">
        <w:t>yearly</w:t>
      </w:r>
      <w:r w:rsidR="00396E24">
        <w:t>;</w:t>
      </w:r>
      <w:r w:rsidRPr="008E2DDB">
        <w:t xml:space="preserve"> 50 units for </w:t>
      </w:r>
      <w:r w:rsidR="00B2303E">
        <w:t>each of</w:t>
      </w:r>
      <w:r w:rsidR="00B2303E" w:rsidRPr="008E2DDB">
        <w:t xml:space="preserve"> </w:t>
      </w:r>
      <w:r w:rsidRPr="008E2DDB">
        <w:t>the fall and spring terms</w:t>
      </w:r>
      <w:r w:rsidR="00396E24">
        <w:t>;</w:t>
      </w:r>
      <w:r w:rsidRPr="008E2DDB">
        <w:t xml:space="preserve"> 40 units for the entire summer term</w:t>
      </w:r>
      <w:r w:rsidR="00396E24">
        <w:t>;</w:t>
      </w:r>
      <w:r w:rsidRPr="008E2DDB">
        <w:t xml:space="preserve"> </w:t>
      </w:r>
      <w:r w:rsidR="00396E24">
        <w:t xml:space="preserve">and </w:t>
      </w:r>
      <w:r w:rsidRPr="008E2DDB">
        <w:t>40 units on a monthly basis during the fall and spring terms</w:t>
      </w:r>
      <w:r w:rsidR="00396E24">
        <w:t>,</w:t>
      </w:r>
      <w:r w:rsidRPr="008E2DDB">
        <w:t xml:space="preserve"> and 50 during the summer term. The total amount of revenue based on this scenario </w:t>
      </w:r>
      <w:r w:rsidR="00396E24">
        <w:t>would be</w:t>
      </w:r>
      <w:r w:rsidR="00396E24" w:rsidRPr="008E2DDB">
        <w:t xml:space="preserve"> </w:t>
      </w:r>
      <w:r w:rsidRPr="008E2DDB">
        <w:t>$310,500.</w:t>
      </w:r>
    </w:p>
    <w:p w14:paraId="47503927" w14:textId="77777777" w:rsidR="005B3674" w:rsidRPr="008E2DDB" w:rsidRDefault="005B3674" w:rsidP="005B3674">
      <w:pPr>
        <w:pStyle w:val="BodyTextMain"/>
      </w:pPr>
    </w:p>
    <w:p w14:paraId="6BAD5AF1" w14:textId="381AF976" w:rsidR="005B3674" w:rsidRPr="008E2DDB" w:rsidRDefault="005B3674" w:rsidP="005B3674">
      <w:pPr>
        <w:pStyle w:val="BodyTextMain"/>
      </w:pPr>
      <w:r w:rsidRPr="008E2DDB">
        <w:t xml:space="preserve">These results provided a starting point for management in terms of signing lease agreements, </w:t>
      </w:r>
      <w:r w:rsidR="00396E24">
        <w:t xml:space="preserve">and </w:t>
      </w:r>
      <w:r w:rsidRPr="008E2DDB">
        <w:t>budgeting revenues</w:t>
      </w:r>
      <w:r w:rsidR="00396E24">
        <w:t>,</w:t>
      </w:r>
      <w:r w:rsidRPr="008E2DDB">
        <w:t xml:space="preserve"> directly related costs, and</w:t>
      </w:r>
      <w:r w:rsidR="00C642D1">
        <w:t>,</w:t>
      </w:r>
      <w:r w:rsidRPr="008E2DDB">
        <w:t xml:space="preserve"> </w:t>
      </w:r>
      <w:proofErr w:type="gramStart"/>
      <w:r w:rsidRPr="008E2DDB">
        <w:t>to a large extent</w:t>
      </w:r>
      <w:proofErr w:type="gramEnd"/>
      <w:r w:rsidRPr="008E2DDB">
        <w:t>, indirect costs.</w:t>
      </w:r>
    </w:p>
    <w:p w14:paraId="7486BE38" w14:textId="77777777" w:rsidR="005B3674" w:rsidRPr="008E2DDB" w:rsidRDefault="005B3674" w:rsidP="005B3674">
      <w:pPr>
        <w:pStyle w:val="BodyTextMain"/>
      </w:pPr>
    </w:p>
    <w:p w14:paraId="703C4F1F" w14:textId="77777777" w:rsidR="005B3674" w:rsidRPr="008E2DDB" w:rsidRDefault="005B3674" w:rsidP="005B3674">
      <w:pPr>
        <w:pStyle w:val="BodyTextMain"/>
      </w:pPr>
    </w:p>
    <w:p w14:paraId="54B43DF0" w14:textId="568D03CB" w:rsidR="005B3674" w:rsidRPr="008E2DDB" w:rsidRDefault="005B3674" w:rsidP="0067321B">
      <w:pPr>
        <w:pStyle w:val="Casehead1"/>
      </w:pPr>
      <w:r w:rsidRPr="008E2DDB">
        <w:t>USING THE OPTIMIZING (EXCEL SOLVER</w:t>
      </w:r>
      <w:r w:rsidR="005C4899">
        <w:t xml:space="preserve"> ADD-In</w:t>
      </w:r>
      <w:r w:rsidRPr="008E2DDB">
        <w:t>) MODEL AS A MANAGEMENT TOOL: A CHANGE IN MANAGEMENT DECISION</w:t>
      </w:r>
    </w:p>
    <w:p w14:paraId="21B90CC3" w14:textId="77777777" w:rsidR="005B3674" w:rsidRPr="008E2DDB" w:rsidRDefault="005B3674" w:rsidP="005B3674">
      <w:pPr>
        <w:pStyle w:val="BodyTextMain"/>
      </w:pPr>
    </w:p>
    <w:p w14:paraId="532B4FE2" w14:textId="4FC4A2F1" w:rsidR="005B3674" w:rsidRPr="005C4899" w:rsidRDefault="005B3674" w:rsidP="005B3674">
      <w:pPr>
        <w:pStyle w:val="BodyTextMain"/>
        <w:rPr>
          <w:spacing w:val="-2"/>
          <w:kern w:val="22"/>
        </w:rPr>
      </w:pPr>
      <w:r w:rsidRPr="005C4899">
        <w:rPr>
          <w:spacing w:val="-2"/>
          <w:kern w:val="22"/>
        </w:rPr>
        <w:t xml:space="preserve">After </w:t>
      </w:r>
      <w:r w:rsidR="00D01E33" w:rsidRPr="005C4899">
        <w:rPr>
          <w:spacing w:val="-2"/>
          <w:kern w:val="22"/>
        </w:rPr>
        <w:t>studying</w:t>
      </w:r>
      <w:r w:rsidRPr="005C4899">
        <w:rPr>
          <w:spacing w:val="-2"/>
          <w:kern w:val="22"/>
        </w:rPr>
        <w:t xml:space="preserve"> the changes in supply and demand for the local market, </w:t>
      </w:r>
      <w:r w:rsidR="003B483C">
        <w:rPr>
          <w:spacing w:val="-2"/>
          <w:kern w:val="22"/>
        </w:rPr>
        <w:t>the manager</w:t>
      </w:r>
      <w:r w:rsidRPr="005C4899">
        <w:rPr>
          <w:spacing w:val="-2"/>
          <w:kern w:val="22"/>
        </w:rPr>
        <w:t xml:space="preserve"> concluded that more units </w:t>
      </w:r>
      <w:r w:rsidR="00396E24" w:rsidRPr="005C4899">
        <w:rPr>
          <w:spacing w:val="-2"/>
          <w:kern w:val="22"/>
        </w:rPr>
        <w:t xml:space="preserve">than initially assumed </w:t>
      </w:r>
      <w:proofErr w:type="gramStart"/>
      <w:r w:rsidRPr="005C4899">
        <w:rPr>
          <w:spacing w:val="-2"/>
          <w:kern w:val="22"/>
        </w:rPr>
        <w:t>would be rented</w:t>
      </w:r>
      <w:proofErr w:type="gramEnd"/>
      <w:r w:rsidRPr="005C4899">
        <w:rPr>
          <w:spacing w:val="-2"/>
          <w:kern w:val="22"/>
        </w:rPr>
        <w:t xml:space="preserve"> </w:t>
      </w:r>
      <w:r w:rsidR="006923C9" w:rsidRPr="005C4899">
        <w:rPr>
          <w:spacing w:val="-2"/>
          <w:kern w:val="22"/>
        </w:rPr>
        <w:t>yearly</w:t>
      </w:r>
      <w:r w:rsidRPr="005C4899">
        <w:rPr>
          <w:spacing w:val="-2"/>
          <w:kern w:val="22"/>
        </w:rPr>
        <w:t xml:space="preserve"> as part of the sales plan </w:t>
      </w:r>
      <w:r w:rsidR="00396E24" w:rsidRPr="005C4899">
        <w:rPr>
          <w:spacing w:val="-2"/>
          <w:kern w:val="22"/>
        </w:rPr>
        <w:t xml:space="preserve">for </w:t>
      </w:r>
      <w:r w:rsidRPr="005C4899">
        <w:rPr>
          <w:spacing w:val="-2"/>
          <w:kern w:val="22"/>
        </w:rPr>
        <w:t>the upcoming year. The adjusted number of potential rentals available for each of the scenarios was 150 for the yearly rental</w:t>
      </w:r>
      <w:r w:rsidR="00D01E33" w:rsidRPr="005C4899">
        <w:rPr>
          <w:spacing w:val="-2"/>
          <w:kern w:val="22"/>
        </w:rPr>
        <w:t xml:space="preserve"> (</w:t>
      </w:r>
      <w:r w:rsidRPr="005C4899">
        <w:rPr>
          <w:spacing w:val="-2"/>
          <w:kern w:val="22"/>
        </w:rPr>
        <w:t>an increase of 30 units</w:t>
      </w:r>
      <w:r w:rsidR="00D01E33" w:rsidRPr="005C4899">
        <w:rPr>
          <w:spacing w:val="-2"/>
          <w:kern w:val="22"/>
        </w:rPr>
        <w:t>)</w:t>
      </w:r>
      <w:r w:rsidRPr="005C4899">
        <w:rPr>
          <w:spacing w:val="-2"/>
          <w:kern w:val="22"/>
        </w:rPr>
        <w:t xml:space="preserve">, 50 for </w:t>
      </w:r>
      <w:r w:rsidR="00396E24" w:rsidRPr="005C4899">
        <w:rPr>
          <w:spacing w:val="-2"/>
          <w:kern w:val="22"/>
        </w:rPr>
        <w:t xml:space="preserve">each of </w:t>
      </w:r>
      <w:r w:rsidRPr="005C4899">
        <w:rPr>
          <w:spacing w:val="-2"/>
          <w:kern w:val="22"/>
        </w:rPr>
        <w:t xml:space="preserve">the entire fall </w:t>
      </w:r>
      <w:r w:rsidR="00396E24" w:rsidRPr="005C4899">
        <w:rPr>
          <w:spacing w:val="-2"/>
          <w:kern w:val="22"/>
        </w:rPr>
        <w:t xml:space="preserve">and spring </w:t>
      </w:r>
      <w:r w:rsidRPr="005C4899">
        <w:rPr>
          <w:spacing w:val="-2"/>
          <w:kern w:val="22"/>
        </w:rPr>
        <w:t>semester</w:t>
      </w:r>
      <w:r w:rsidR="00396E24" w:rsidRPr="005C4899">
        <w:rPr>
          <w:spacing w:val="-2"/>
          <w:kern w:val="22"/>
        </w:rPr>
        <w:t>s</w:t>
      </w:r>
      <w:r w:rsidRPr="005C4899">
        <w:rPr>
          <w:spacing w:val="-2"/>
          <w:kern w:val="22"/>
        </w:rPr>
        <w:t xml:space="preserve">, 35 for the entire summer semester, 40 for monthly rentals </w:t>
      </w:r>
      <w:r w:rsidR="00396E24" w:rsidRPr="005C4899">
        <w:rPr>
          <w:spacing w:val="-2"/>
          <w:kern w:val="22"/>
        </w:rPr>
        <w:t xml:space="preserve">in </w:t>
      </w:r>
      <w:r w:rsidRPr="005C4899">
        <w:rPr>
          <w:spacing w:val="-2"/>
          <w:kern w:val="22"/>
        </w:rPr>
        <w:t>the fall and spring</w:t>
      </w:r>
      <w:r w:rsidR="00D01E33" w:rsidRPr="005C4899">
        <w:rPr>
          <w:spacing w:val="-2"/>
          <w:kern w:val="22"/>
        </w:rPr>
        <w:t>,</w:t>
      </w:r>
      <w:r w:rsidRPr="005C4899">
        <w:rPr>
          <w:spacing w:val="-2"/>
          <w:kern w:val="22"/>
        </w:rPr>
        <w:t xml:space="preserve"> and 50 for the summer monthly rentals. Even though the demand each semester appeared to exceed the number of available </w:t>
      </w:r>
      <w:r w:rsidR="00396E24" w:rsidRPr="005C4899">
        <w:rPr>
          <w:spacing w:val="-2"/>
          <w:kern w:val="22"/>
        </w:rPr>
        <w:t xml:space="preserve">units </w:t>
      </w:r>
      <w:r w:rsidRPr="005C4899">
        <w:rPr>
          <w:spacing w:val="-2"/>
          <w:kern w:val="22"/>
        </w:rPr>
        <w:t>(</w:t>
      </w:r>
      <w:r w:rsidR="00D01E33" w:rsidRPr="005C4899">
        <w:rPr>
          <w:spacing w:val="-2"/>
          <w:kern w:val="22"/>
        </w:rPr>
        <w:t>e.g.</w:t>
      </w:r>
      <w:r w:rsidRPr="005C4899">
        <w:rPr>
          <w:spacing w:val="-2"/>
          <w:kern w:val="22"/>
        </w:rPr>
        <w:t>, in the fall semester</w:t>
      </w:r>
      <w:r w:rsidR="00D01E33" w:rsidRPr="005C4899">
        <w:rPr>
          <w:spacing w:val="-2"/>
          <w:kern w:val="22"/>
        </w:rPr>
        <w:t>,</w:t>
      </w:r>
      <w:r w:rsidRPr="005C4899">
        <w:rPr>
          <w:spacing w:val="-2"/>
          <w:kern w:val="22"/>
        </w:rPr>
        <w:t xml:space="preserve"> the demand was 150 </w:t>
      </w:r>
      <w:r w:rsidR="00AC7FBA" w:rsidRPr="005C4899">
        <w:rPr>
          <w:spacing w:val="-2"/>
          <w:kern w:val="22"/>
        </w:rPr>
        <w:t>yearly</w:t>
      </w:r>
      <w:r w:rsidRPr="005C4899">
        <w:rPr>
          <w:spacing w:val="-2"/>
          <w:kern w:val="22"/>
        </w:rPr>
        <w:t xml:space="preserve"> rooms, 50 semester rooms</w:t>
      </w:r>
      <w:r w:rsidR="00D01E33" w:rsidRPr="005C4899">
        <w:rPr>
          <w:spacing w:val="-2"/>
          <w:kern w:val="22"/>
        </w:rPr>
        <w:t>,</w:t>
      </w:r>
      <w:r w:rsidRPr="005C4899">
        <w:rPr>
          <w:spacing w:val="-2"/>
          <w:kern w:val="22"/>
        </w:rPr>
        <w:t xml:space="preserve"> and 40 rooms by the month</w:t>
      </w:r>
      <w:r w:rsidR="00D01E33" w:rsidRPr="005C4899">
        <w:rPr>
          <w:spacing w:val="-2"/>
          <w:kern w:val="22"/>
        </w:rPr>
        <w:t>,</w:t>
      </w:r>
      <w:r w:rsidRPr="005C4899">
        <w:rPr>
          <w:spacing w:val="-2"/>
          <w:kern w:val="22"/>
        </w:rPr>
        <w:t xml:space="preserve"> or 240 total rooms)</w:t>
      </w:r>
      <w:r w:rsidR="00B2303E" w:rsidRPr="005C4899">
        <w:rPr>
          <w:spacing w:val="-2"/>
          <w:kern w:val="22"/>
        </w:rPr>
        <w:t>,</w:t>
      </w:r>
      <w:r w:rsidRPr="005C4899">
        <w:rPr>
          <w:spacing w:val="-2"/>
          <w:kern w:val="22"/>
        </w:rPr>
        <w:t xml:space="preserve"> the Solver’s constraint limited the total number of </w:t>
      </w:r>
      <w:r w:rsidR="00B2303E" w:rsidRPr="005C4899">
        <w:rPr>
          <w:spacing w:val="-2"/>
          <w:kern w:val="22"/>
        </w:rPr>
        <w:t xml:space="preserve">units </w:t>
      </w:r>
      <w:r w:rsidRPr="005C4899">
        <w:rPr>
          <w:spacing w:val="-2"/>
          <w:kern w:val="22"/>
        </w:rPr>
        <w:t>rented each semester to only 200.</w:t>
      </w:r>
      <w:r w:rsidR="001E6DFD" w:rsidRPr="005C4899">
        <w:rPr>
          <w:spacing w:val="-2"/>
          <w:kern w:val="22"/>
        </w:rPr>
        <w:t xml:space="preserve"> </w:t>
      </w:r>
      <w:r w:rsidRPr="005C4899">
        <w:rPr>
          <w:spacing w:val="-2"/>
          <w:kern w:val="22"/>
        </w:rPr>
        <w:t xml:space="preserve">Solver maximized total revenue by manipulating the number of each type of </w:t>
      </w:r>
      <w:r w:rsidR="00B2303E" w:rsidRPr="005C4899">
        <w:rPr>
          <w:spacing w:val="-2"/>
          <w:kern w:val="22"/>
        </w:rPr>
        <w:t xml:space="preserve">unit </w:t>
      </w:r>
      <w:r w:rsidRPr="005C4899">
        <w:rPr>
          <w:spacing w:val="-2"/>
          <w:kern w:val="22"/>
        </w:rPr>
        <w:t>rental</w:t>
      </w:r>
      <w:r w:rsidR="00D01E33" w:rsidRPr="005C4899">
        <w:rPr>
          <w:spacing w:val="-2"/>
          <w:kern w:val="22"/>
        </w:rPr>
        <w:t>,</w:t>
      </w:r>
      <w:r w:rsidRPr="005C4899">
        <w:rPr>
          <w:spacing w:val="-2"/>
          <w:kern w:val="22"/>
        </w:rPr>
        <w:t xml:space="preserve"> with the limit being 200 </w:t>
      </w:r>
      <w:r w:rsidR="00B2303E" w:rsidRPr="005C4899">
        <w:rPr>
          <w:spacing w:val="-2"/>
          <w:kern w:val="22"/>
        </w:rPr>
        <w:t xml:space="preserve">units </w:t>
      </w:r>
      <w:r w:rsidRPr="005C4899">
        <w:rPr>
          <w:spacing w:val="-2"/>
          <w:kern w:val="22"/>
        </w:rPr>
        <w:t>per semester.</w:t>
      </w:r>
    </w:p>
    <w:p w14:paraId="3FA47009" w14:textId="77777777" w:rsidR="005B3674" w:rsidRPr="008E2DDB" w:rsidRDefault="005B3674" w:rsidP="005B3674">
      <w:pPr>
        <w:pStyle w:val="BodyTextMain"/>
      </w:pPr>
    </w:p>
    <w:p w14:paraId="226AE86E" w14:textId="34DE9D8F" w:rsidR="005B3674" w:rsidRDefault="005B3674" w:rsidP="005B3674">
      <w:pPr>
        <w:pStyle w:val="BodyTextMain"/>
      </w:pPr>
      <w:r w:rsidRPr="008E2DDB">
        <w:t xml:space="preserve">Further, </w:t>
      </w:r>
      <w:r w:rsidR="003B483C">
        <w:t>the manager</w:t>
      </w:r>
      <w:r w:rsidRPr="008E2DDB">
        <w:t xml:space="preserve"> assumed that rent revenue </w:t>
      </w:r>
      <w:proofErr w:type="gramStart"/>
      <w:r w:rsidRPr="008E2DDB">
        <w:t xml:space="preserve">earned for </w:t>
      </w:r>
      <w:r w:rsidR="00CF4277">
        <w:t>certain</w:t>
      </w:r>
      <w:proofErr w:type="gramEnd"/>
      <w:r w:rsidR="00CF4277" w:rsidRPr="008E2DDB">
        <w:t xml:space="preserve"> </w:t>
      </w:r>
      <w:r w:rsidRPr="008E2DDB">
        <w:t>time periods changed under this new scenario</w:t>
      </w:r>
      <w:r w:rsidR="006828BA">
        <w:t>, requiring</w:t>
      </w:r>
      <w:r w:rsidRPr="008E2DDB">
        <w:t xml:space="preserve"> information for this apartment complex optimization problem </w:t>
      </w:r>
      <w:r w:rsidR="00CF4277">
        <w:t xml:space="preserve">to be </w:t>
      </w:r>
      <w:r w:rsidR="00CF4277" w:rsidRPr="008E2DDB">
        <w:t xml:space="preserve">updated </w:t>
      </w:r>
      <w:r w:rsidRPr="008E2DDB">
        <w:t xml:space="preserve">based on the changes in supply and demand in the local market </w:t>
      </w:r>
      <w:r w:rsidR="006828BA">
        <w:t xml:space="preserve">(see Exhibit </w:t>
      </w:r>
      <w:r w:rsidR="00CA34CE">
        <w:t>4</w:t>
      </w:r>
      <w:r w:rsidR="006828BA">
        <w:t>)</w:t>
      </w:r>
      <w:r w:rsidRPr="008E2DDB">
        <w:t xml:space="preserve">. As noted, the rent for the yearly </w:t>
      </w:r>
      <w:r w:rsidR="00CF4277">
        <w:t>agreement</w:t>
      </w:r>
      <w:r w:rsidR="00CF4277" w:rsidRPr="008E2DDB">
        <w:t xml:space="preserve"> </w:t>
      </w:r>
      <w:r w:rsidRPr="008E2DDB">
        <w:t>increased from $1,300 to $1,375</w:t>
      </w:r>
      <w:r w:rsidR="00CF4277">
        <w:t>;</w:t>
      </w:r>
      <w:r w:rsidRPr="008E2DDB">
        <w:t xml:space="preserve"> the </w:t>
      </w:r>
      <w:proofErr w:type="spellStart"/>
      <w:r w:rsidRPr="008E2DDB">
        <w:t>semester</w:t>
      </w:r>
      <w:r w:rsidR="006828BA">
        <w:t>ly</w:t>
      </w:r>
      <w:proofErr w:type="spellEnd"/>
      <w:r w:rsidRPr="008E2DDB">
        <w:t xml:space="preserve"> rent decreased from $750 to $700 for the fall and spring terms</w:t>
      </w:r>
      <w:r w:rsidR="00CF4277">
        <w:t>;</w:t>
      </w:r>
      <w:r w:rsidRPr="008E2DDB">
        <w:t xml:space="preserve"> and the </w:t>
      </w:r>
      <w:r w:rsidR="00CF4277">
        <w:t xml:space="preserve">rent for the </w:t>
      </w:r>
      <w:r w:rsidRPr="008E2DDB">
        <w:t xml:space="preserve">summer semester did not change. The monthly rent did not change </w:t>
      </w:r>
      <w:r w:rsidRPr="008E2DDB">
        <w:lastRenderedPageBreak/>
        <w:t>for the fall and spring semesters</w:t>
      </w:r>
      <w:r w:rsidR="006828BA">
        <w:t>,</w:t>
      </w:r>
      <w:r w:rsidRPr="008E2DDB">
        <w:t xml:space="preserve"> but decreased to $500 (from $550) in the summer.</w:t>
      </w:r>
      <w:r w:rsidR="001E6DFD" w:rsidRPr="008E2DDB">
        <w:t xml:space="preserve"> </w:t>
      </w:r>
      <w:r w:rsidRPr="008E2DDB">
        <w:t xml:space="preserve">This information </w:t>
      </w:r>
      <w:proofErr w:type="gramStart"/>
      <w:r w:rsidRPr="008E2DDB">
        <w:t>was based</w:t>
      </w:r>
      <w:proofErr w:type="gramEnd"/>
      <w:r w:rsidRPr="008E2DDB">
        <w:t xml:space="preserve"> on data for the local rental market.</w:t>
      </w:r>
    </w:p>
    <w:p w14:paraId="7FCE6ED7" w14:textId="77777777" w:rsidR="00121478" w:rsidRPr="008E2DDB" w:rsidRDefault="00121478" w:rsidP="005B3674">
      <w:pPr>
        <w:pStyle w:val="BodyTextMain"/>
      </w:pPr>
    </w:p>
    <w:p w14:paraId="2313B7C2" w14:textId="6398F7B0" w:rsidR="005B3674" w:rsidRPr="008E2DDB" w:rsidRDefault="005B3674" w:rsidP="005B3674">
      <w:pPr>
        <w:pStyle w:val="BodyTextMain"/>
      </w:pPr>
      <w:r w:rsidRPr="008E2DDB">
        <w:t xml:space="preserve">Based on this model, </w:t>
      </w:r>
      <w:r w:rsidR="003B483C">
        <w:t>the manager</w:t>
      </w:r>
      <w:r w:rsidR="00BD56F3">
        <w:t xml:space="preserve"> prepared </w:t>
      </w:r>
      <w:r w:rsidRPr="008E2DDB">
        <w:t>revised plans for lease contracts</w:t>
      </w:r>
      <w:r w:rsidR="006828BA">
        <w:t xml:space="preserve"> and</w:t>
      </w:r>
      <w:r w:rsidRPr="008E2DDB">
        <w:t xml:space="preserve"> budgets for the next fiscal year. </w:t>
      </w:r>
      <w:proofErr w:type="gramStart"/>
      <w:r w:rsidRPr="008E2DDB">
        <w:t>In order to completely evaluate</w:t>
      </w:r>
      <w:proofErr w:type="gramEnd"/>
      <w:r w:rsidRPr="008E2DDB">
        <w:t xml:space="preserve"> the results for the next year, projections for operating expenses for the rental properties were estimated </w:t>
      </w:r>
      <w:r w:rsidR="00284239">
        <w:t>(</w:t>
      </w:r>
      <w:r w:rsidR="006828BA">
        <w:t xml:space="preserve">see </w:t>
      </w:r>
      <w:r w:rsidRPr="008E2DDB">
        <w:t xml:space="preserve">Exhibit </w:t>
      </w:r>
      <w:r w:rsidR="008E6928">
        <w:t>5</w:t>
      </w:r>
      <w:r w:rsidR="00284239">
        <w:t>)</w:t>
      </w:r>
      <w:r w:rsidRPr="008E2DDB">
        <w:t>.</w:t>
      </w:r>
      <w:r w:rsidR="006828BA">
        <w:t xml:space="preserve"> </w:t>
      </w:r>
      <w:r w:rsidRPr="008E2DDB">
        <w:t xml:space="preserve">One of </w:t>
      </w:r>
      <w:r w:rsidR="003B483C">
        <w:t>the manager’s</w:t>
      </w:r>
      <w:r w:rsidRPr="008E2DDB">
        <w:t xml:space="preserve"> goals was to use the data to prepare a budgeted income statement for the apartment management</w:t>
      </w:r>
      <w:r w:rsidR="006828BA">
        <w:t>, which</w:t>
      </w:r>
      <w:r w:rsidRPr="008E2DDB">
        <w:t xml:space="preserve"> required a revenue schedule derived by Excel Solver, followed by an income statement.</w:t>
      </w:r>
    </w:p>
    <w:p w14:paraId="467D546F" w14:textId="77777777" w:rsidR="005B3674" w:rsidRPr="008E2DDB" w:rsidRDefault="005B3674" w:rsidP="005B3674">
      <w:pPr>
        <w:pStyle w:val="BodyTextMain"/>
      </w:pPr>
    </w:p>
    <w:p w14:paraId="418C89D9" w14:textId="7D415F80" w:rsidR="00E87035" w:rsidRPr="008E6928" w:rsidRDefault="005B3674" w:rsidP="008E6928">
      <w:pPr>
        <w:spacing w:after="200" w:line="276" w:lineRule="auto"/>
        <w:rPr>
          <w:sz w:val="24"/>
          <w:szCs w:val="24"/>
        </w:rPr>
      </w:pPr>
      <w:r w:rsidRPr="008E2DDB">
        <w:rPr>
          <w:sz w:val="24"/>
          <w:szCs w:val="24"/>
        </w:rPr>
        <w:br w:type="page"/>
      </w:r>
    </w:p>
    <w:p w14:paraId="19D403DD" w14:textId="530AE75F" w:rsidR="002B62CC" w:rsidRPr="008E2DDB" w:rsidRDefault="008E6928" w:rsidP="002B62CC">
      <w:pPr>
        <w:pStyle w:val="ExhibitHeading"/>
      </w:pPr>
      <w:r>
        <w:lastRenderedPageBreak/>
        <w:t>Exhibit 1</w:t>
      </w:r>
      <w:r w:rsidR="002B62CC" w:rsidRPr="008E2DDB">
        <w:t xml:space="preserve">: </w:t>
      </w:r>
      <w:r w:rsidR="004D5B5E">
        <w:t>Inputs and Constraints</w:t>
      </w:r>
      <w:r w:rsidR="00CA34CE">
        <w:t xml:space="preserve"> for pittsburgh rentals, 2016</w:t>
      </w:r>
    </w:p>
    <w:p w14:paraId="437503CB" w14:textId="77777777" w:rsidR="002B62CC" w:rsidRDefault="002B62CC" w:rsidP="005C4899">
      <w:pPr>
        <w:pStyle w:val="ExhibitText"/>
      </w:pPr>
    </w:p>
    <w:tbl>
      <w:tblPr>
        <w:tblW w:w="38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6"/>
        <w:gridCol w:w="3554"/>
      </w:tblGrid>
      <w:tr w:rsidR="00F81527" w:rsidRPr="00F81527" w14:paraId="11BB572D" w14:textId="77777777" w:rsidTr="007603F9">
        <w:trPr>
          <w:trHeight w:val="300"/>
          <w:jc w:val="center"/>
        </w:trPr>
        <w:tc>
          <w:tcPr>
            <w:tcW w:w="2456" w:type="pct"/>
            <w:shd w:val="clear" w:color="auto" w:fill="auto"/>
            <w:noWrap/>
            <w:vAlign w:val="center"/>
            <w:hideMark/>
          </w:tcPr>
          <w:p w14:paraId="0ABC4AF9" w14:textId="645B1355" w:rsidR="00F81527" w:rsidRPr="007603F9" w:rsidRDefault="00CF4277" w:rsidP="007603F9">
            <w:pPr>
              <w:pStyle w:val="ExhibitText"/>
              <w:jc w:val="center"/>
              <w:rPr>
                <w:b/>
              </w:rPr>
            </w:pPr>
            <w:r>
              <w:rPr>
                <w:b/>
              </w:rPr>
              <w:t>Rental Term</w:t>
            </w:r>
          </w:p>
        </w:tc>
        <w:tc>
          <w:tcPr>
            <w:tcW w:w="2544" w:type="pct"/>
            <w:shd w:val="clear" w:color="auto" w:fill="auto"/>
            <w:noWrap/>
            <w:vAlign w:val="center"/>
            <w:hideMark/>
          </w:tcPr>
          <w:p w14:paraId="7494F657" w14:textId="77777777" w:rsidR="00F81527" w:rsidRPr="007603F9" w:rsidRDefault="00F81527" w:rsidP="007603F9">
            <w:pPr>
              <w:pStyle w:val="ExhibitText"/>
              <w:jc w:val="center"/>
              <w:rPr>
                <w:b/>
              </w:rPr>
            </w:pPr>
            <w:r w:rsidRPr="007603F9">
              <w:rPr>
                <w:b/>
              </w:rPr>
              <w:t>Constraint</w:t>
            </w:r>
          </w:p>
        </w:tc>
      </w:tr>
      <w:tr w:rsidR="00F81527" w:rsidRPr="00F81527" w14:paraId="6DA5D784" w14:textId="77777777" w:rsidTr="007603F9">
        <w:trPr>
          <w:trHeight w:val="124"/>
          <w:jc w:val="center"/>
        </w:trPr>
        <w:tc>
          <w:tcPr>
            <w:tcW w:w="2456" w:type="pct"/>
            <w:shd w:val="clear" w:color="auto" w:fill="auto"/>
            <w:noWrap/>
            <w:vAlign w:val="center"/>
            <w:hideMark/>
          </w:tcPr>
          <w:p w14:paraId="5B0C1EA8" w14:textId="77777777" w:rsidR="00F81527" w:rsidRPr="00F81527" w:rsidRDefault="00F81527" w:rsidP="007603F9">
            <w:pPr>
              <w:pStyle w:val="ExhibitText"/>
              <w:jc w:val="left"/>
            </w:pPr>
            <w:r w:rsidRPr="00F81527">
              <w:t>For the year</w:t>
            </w:r>
          </w:p>
        </w:tc>
        <w:tc>
          <w:tcPr>
            <w:tcW w:w="2544" w:type="pct"/>
            <w:shd w:val="clear" w:color="auto" w:fill="auto"/>
            <w:noWrap/>
            <w:vAlign w:val="center"/>
            <w:hideMark/>
          </w:tcPr>
          <w:p w14:paraId="7B00ED8B" w14:textId="5725BA07" w:rsidR="00F81527" w:rsidRPr="00F81527" w:rsidRDefault="007603F9" w:rsidP="007603F9">
            <w:pPr>
              <w:pStyle w:val="ExhibitText"/>
              <w:jc w:val="left"/>
            </w:pPr>
            <w:r>
              <w:t>≥</w:t>
            </w:r>
            <w:r w:rsidR="00F81527" w:rsidRPr="00F81527">
              <w:t xml:space="preserve"> 0</w:t>
            </w:r>
          </w:p>
        </w:tc>
      </w:tr>
      <w:tr w:rsidR="00F81527" w:rsidRPr="00F81527" w14:paraId="08B445D8" w14:textId="77777777" w:rsidTr="007603F9">
        <w:trPr>
          <w:trHeight w:val="170"/>
          <w:jc w:val="center"/>
        </w:trPr>
        <w:tc>
          <w:tcPr>
            <w:tcW w:w="2456" w:type="pct"/>
            <w:shd w:val="clear" w:color="auto" w:fill="auto"/>
            <w:noWrap/>
            <w:vAlign w:val="center"/>
            <w:hideMark/>
          </w:tcPr>
          <w:p w14:paraId="0E49E40F" w14:textId="77777777" w:rsidR="00F81527" w:rsidRPr="00F81527" w:rsidRDefault="00F81527" w:rsidP="007603F9">
            <w:pPr>
              <w:pStyle w:val="ExhibitText"/>
              <w:jc w:val="left"/>
            </w:pPr>
            <w:r w:rsidRPr="00F81527">
              <w:t>For the semester</w:t>
            </w:r>
          </w:p>
        </w:tc>
        <w:tc>
          <w:tcPr>
            <w:tcW w:w="2544" w:type="pct"/>
            <w:shd w:val="clear" w:color="auto" w:fill="auto"/>
            <w:noWrap/>
            <w:vAlign w:val="center"/>
            <w:hideMark/>
          </w:tcPr>
          <w:p w14:paraId="43BEC5BA" w14:textId="0DAA3FDB" w:rsidR="00F81527" w:rsidRPr="00F81527" w:rsidRDefault="007603F9" w:rsidP="007603F9">
            <w:pPr>
              <w:pStyle w:val="ExhibitText"/>
              <w:jc w:val="left"/>
            </w:pPr>
            <w:r>
              <w:t>≥</w:t>
            </w:r>
            <w:r w:rsidR="00F81527" w:rsidRPr="00F81527">
              <w:t xml:space="preserve"> 0</w:t>
            </w:r>
          </w:p>
        </w:tc>
      </w:tr>
      <w:tr w:rsidR="00F81527" w:rsidRPr="00F81527" w14:paraId="53309B48" w14:textId="77777777" w:rsidTr="007603F9">
        <w:trPr>
          <w:trHeight w:val="300"/>
          <w:jc w:val="center"/>
        </w:trPr>
        <w:tc>
          <w:tcPr>
            <w:tcW w:w="2456" w:type="pct"/>
            <w:shd w:val="clear" w:color="auto" w:fill="auto"/>
            <w:noWrap/>
            <w:vAlign w:val="center"/>
            <w:hideMark/>
          </w:tcPr>
          <w:p w14:paraId="06E817B6" w14:textId="77777777" w:rsidR="00F81527" w:rsidRPr="00F81527" w:rsidRDefault="00F81527" w:rsidP="007603F9">
            <w:pPr>
              <w:pStyle w:val="ExhibitText"/>
              <w:jc w:val="left"/>
            </w:pPr>
            <w:r w:rsidRPr="00F81527">
              <w:t>For the month</w:t>
            </w:r>
          </w:p>
        </w:tc>
        <w:tc>
          <w:tcPr>
            <w:tcW w:w="2544" w:type="pct"/>
            <w:shd w:val="clear" w:color="auto" w:fill="auto"/>
            <w:noWrap/>
            <w:vAlign w:val="center"/>
            <w:hideMark/>
          </w:tcPr>
          <w:p w14:paraId="10E242FD" w14:textId="2924EBB3" w:rsidR="00F81527" w:rsidRPr="00F81527" w:rsidRDefault="007603F9" w:rsidP="007603F9">
            <w:pPr>
              <w:pStyle w:val="ExhibitText"/>
              <w:jc w:val="left"/>
            </w:pPr>
            <w:r>
              <w:t>≥</w:t>
            </w:r>
            <w:r w:rsidR="00F81527" w:rsidRPr="00F81527">
              <w:t xml:space="preserve"> 0</w:t>
            </w:r>
          </w:p>
        </w:tc>
      </w:tr>
      <w:tr w:rsidR="00F81527" w:rsidRPr="00F81527" w14:paraId="027ED315" w14:textId="77777777" w:rsidTr="007603F9">
        <w:trPr>
          <w:trHeight w:val="178"/>
          <w:jc w:val="center"/>
        </w:trPr>
        <w:tc>
          <w:tcPr>
            <w:tcW w:w="2456" w:type="pct"/>
            <w:shd w:val="clear" w:color="auto" w:fill="auto"/>
            <w:noWrap/>
            <w:vAlign w:val="center"/>
            <w:hideMark/>
          </w:tcPr>
          <w:p w14:paraId="0AC1FBEA" w14:textId="77777777" w:rsidR="00F81527" w:rsidRPr="00F81527" w:rsidRDefault="00F81527" w:rsidP="007603F9">
            <w:pPr>
              <w:pStyle w:val="ExhibitText"/>
              <w:jc w:val="left"/>
            </w:pPr>
            <w:r w:rsidRPr="00F81527">
              <w:t>For the year</w:t>
            </w:r>
          </w:p>
        </w:tc>
        <w:tc>
          <w:tcPr>
            <w:tcW w:w="2544" w:type="pct"/>
            <w:shd w:val="clear" w:color="auto" w:fill="auto"/>
            <w:noWrap/>
            <w:vAlign w:val="center"/>
            <w:hideMark/>
          </w:tcPr>
          <w:p w14:paraId="4EEA02EB" w14:textId="15018C55" w:rsidR="00F81527" w:rsidRPr="00F81527" w:rsidRDefault="007603F9" w:rsidP="001761E3">
            <w:pPr>
              <w:pStyle w:val="ExhibitText"/>
              <w:jc w:val="left"/>
            </w:pPr>
            <w:r>
              <w:t>≤</w:t>
            </w:r>
            <w:r w:rsidR="00F81527" w:rsidRPr="00F81527">
              <w:t xml:space="preserve"> </w:t>
            </w:r>
            <w:r w:rsidR="001761E3">
              <w:t>units</w:t>
            </w:r>
            <w:r w:rsidR="001761E3" w:rsidRPr="00F81527">
              <w:t xml:space="preserve"> </w:t>
            </w:r>
            <w:r w:rsidR="00F81527" w:rsidRPr="00F81527">
              <w:t>available for yearly rental</w:t>
            </w:r>
          </w:p>
        </w:tc>
      </w:tr>
      <w:tr w:rsidR="00F81527" w:rsidRPr="00F81527" w14:paraId="51385FF3" w14:textId="77777777" w:rsidTr="007603F9">
        <w:trPr>
          <w:trHeight w:val="95"/>
          <w:jc w:val="center"/>
        </w:trPr>
        <w:tc>
          <w:tcPr>
            <w:tcW w:w="2456" w:type="pct"/>
            <w:shd w:val="clear" w:color="auto" w:fill="auto"/>
            <w:noWrap/>
            <w:vAlign w:val="center"/>
            <w:hideMark/>
          </w:tcPr>
          <w:p w14:paraId="56747AB5" w14:textId="77777777" w:rsidR="00F81527" w:rsidRPr="00F81527" w:rsidRDefault="00F81527" w:rsidP="007603F9">
            <w:pPr>
              <w:pStyle w:val="ExhibitText"/>
              <w:jc w:val="left"/>
            </w:pPr>
            <w:r w:rsidRPr="00F81527">
              <w:t>For the semester</w:t>
            </w:r>
          </w:p>
        </w:tc>
        <w:tc>
          <w:tcPr>
            <w:tcW w:w="2544" w:type="pct"/>
            <w:shd w:val="clear" w:color="auto" w:fill="auto"/>
            <w:noWrap/>
            <w:vAlign w:val="center"/>
            <w:hideMark/>
          </w:tcPr>
          <w:p w14:paraId="4D9466CB" w14:textId="7771544B" w:rsidR="00F81527" w:rsidRPr="00F81527" w:rsidRDefault="007603F9" w:rsidP="001761E3">
            <w:pPr>
              <w:pStyle w:val="ExhibitText"/>
              <w:jc w:val="left"/>
            </w:pPr>
            <w:r>
              <w:t>≤</w:t>
            </w:r>
            <w:r w:rsidR="00F81527" w:rsidRPr="00F81527">
              <w:t xml:space="preserve"> </w:t>
            </w:r>
            <w:r w:rsidR="001761E3">
              <w:t>units</w:t>
            </w:r>
            <w:r w:rsidR="001761E3" w:rsidRPr="00F81527">
              <w:t xml:space="preserve"> </w:t>
            </w:r>
            <w:r w:rsidR="00F81527" w:rsidRPr="00F81527">
              <w:t xml:space="preserve">available for </w:t>
            </w:r>
            <w:proofErr w:type="spellStart"/>
            <w:r w:rsidR="00F81527" w:rsidRPr="00F81527">
              <w:t>semesterly</w:t>
            </w:r>
            <w:proofErr w:type="spellEnd"/>
            <w:r w:rsidR="00F81527" w:rsidRPr="00F81527">
              <w:t xml:space="preserve"> rental</w:t>
            </w:r>
          </w:p>
        </w:tc>
      </w:tr>
      <w:tr w:rsidR="00F81527" w:rsidRPr="00F81527" w14:paraId="7A65BF22" w14:textId="77777777" w:rsidTr="007603F9">
        <w:trPr>
          <w:trHeight w:val="128"/>
          <w:jc w:val="center"/>
        </w:trPr>
        <w:tc>
          <w:tcPr>
            <w:tcW w:w="2456" w:type="pct"/>
            <w:shd w:val="clear" w:color="auto" w:fill="auto"/>
            <w:noWrap/>
            <w:vAlign w:val="center"/>
            <w:hideMark/>
          </w:tcPr>
          <w:p w14:paraId="7AC5BDD2" w14:textId="77777777" w:rsidR="00F81527" w:rsidRPr="00F81527" w:rsidRDefault="00F81527" w:rsidP="007603F9">
            <w:pPr>
              <w:pStyle w:val="ExhibitText"/>
              <w:jc w:val="left"/>
            </w:pPr>
            <w:r w:rsidRPr="00F81527">
              <w:t>For the month</w:t>
            </w:r>
          </w:p>
        </w:tc>
        <w:tc>
          <w:tcPr>
            <w:tcW w:w="2544" w:type="pct"/>
            <w:shd w:val="clear" w:color="auto" w:fill="auto"/>
            <w:noWrap/>
            <w:vAlign w:val="center"/>
            <w:hideMark/>
          </w:tcPr>
          <w:p w14:paraId="0F102B9C" w14:textId="51BBC305" w:rsidR="00F81527" w:rsidRPr="00F81527" w:rsidRDefault="007603F9" w:rsidP="001761E3">
            <w:pPr>
              <w:pStyle w:val="ExhibitText"/>
              <w:jc w:val="left"/>
            </w:pPr>
            <w:r>
              <w:t>≤</w:t>
            </w:r>
            <w:r w:rsidR="00F81527" w:rsidRPr="00F81527">
              <w:t xml:space="preserve"> </w:t>
            </w:r>
            <w:r w:rsidR="001761E3">
              <w:t>units</w:t>
            </w:r>
            <w:r w:rsidR="001761E3" w:rsidRPr="00F81527">
              <w:t xml:space="preserve"> </w:t>
            </w:r>
            <w:r w:rsidR="00F81527" w:rsidRPr="00F81527">
              <w:t>available for monthly rental</w:t>
            </w:r>
          </w:p>
        </w:tc>
      </w:tr>
      <w:tr w:rsidR="00F81527" w:rsidRPr="00F81527" w14:paraId="2E294B87" w14:textId="77777777" w:rsidTr="007603F9">
        <w:trPr>
          <w:trHeight w:val="300"/>
          <w:jc w:val="center"/>
        </w:trPr>
        <w:tc>
          <w:tcPr>
            <w:tcW w:w="2456" w:type="pct"/>
            <w:shd w:val="clear" w:color="auto" w:fill="auto"/>
            <w:noWrap/>
            <w:vAlign w:val="center"/>
            <w:hideMark/>
          </w:tcPr>
          <w:p w14:paraId="2C6275C9" w14:textId="39056F1B" w:rsidR="00F81527" w:rsidRPr="00F81527" w:rsidRDefault="00CF4277" w:rsidP="00AB38B5">
            <w:pPr>
              <w:pStyle w:val="ExhibitText"/>
              <w:jc w:val="left"/>
            </w:pPr>
            <w:r>
              <w:t>Units</w:t>
            </w:r>
            <w:r w:rsidRPr="00F81527">
              <w:t xml:space="preserve"> </w:t>
            </w:r>
            <w:r w:rsidR="00F81527" w:rsidRPr="00F81527">
              <w:t xml:space="preserve">rented </w:t>
            </w:r>
            <w:r>
              <w:t xml:space="preserve">by the </w:t>
            </w:r>
            <w:r w:rsidR="00F81527" w:rsidRPr="00F81527">
              <w:t xml:space="preserve">year + </w:t>
            </w:r>
            <w:r w:rsidR="00AB38B5">
              <w:t>units</w:t>
            </w:r>
            <w:r w:rsidR="00AB38B5" w:rsidRPr="00F81527">
              <w:t xml:space="preserve"> </w:t>
            </w:r>
            <w:r w:rsidR="00F81527" w:rsidRPr="00F81527">
              <w:t xml:space="preserve">rented </w:t>
            </w:r>
            <w:proofErr w:type="spellStart"/>
            <w:r w:rsidR="00F81527" w:rsidRPr="00F81527">
              <w:t>semesterly</w:t>
            </w:r>
            <w:proofErr w:type="spellEnd"/>
            <w:r w:rsidR="00F81527" w:rsidRPr="00F81527">
              <w:t xml:space="preserve"> + </w:t>
            </w:r>
            <w:r w:rsidR="00AB38B5">
              <w:t>units</w:t>
            </w:r>
            <w:r w:rsidR="00AB38B5" w:rsidRPr="00F81527">
              <w:t xml:space="preserve"> </w:t>
            </w:r>
            <w:r w:rsidR="00F81527" w:rsidRPr="00F81527">
              <w:t>rented monthly</w:t>
            </w:r>
          </w:p>
        </w:tc>
        <w:tc>
          <w:tcPr>
            <w:tcW w:w="2544" w:type="pct"/>
            <w:shd w:val="clear" w:color="auto" w:fill="auto"/>
            <w:noWrap/>
            <w:vAlign w:val="center"/>
            <w:hideMark/>
          </w:tcPr>
          <w:p w14:paraId="584D725D" w14:textId="20842D56" w:rsidR="00F81527" w:rsidRPr="00F81527" w:rsidRDefault="007603F9" w:rsidP="001761E3">
            <w:pPr>
              <w:pStyle w:val="ExhibitText"/>
              <w:jc w:val="left"/>
            </w:pPr>
            <w:r>
              <w:t>≤</w:t>
            </w:r>
            <w:r w:rsidR="00F81527" w:rsidRPr="00F81527">
              <w:t xml:space="preserve"> total </w:t>
            </w:r>
            <w:r w:rsidR="001761E3">
              <w:t>units</w:t>
            </w:r>
            <w:r w:rsidR="001761E3" w:rsidRPr="00F81527">
              <w:t xml:space="preserve"> </w:t>
            </w:r>
            <w:r w:rsidR="00F81527" w:rsidRPr="00F81527">
              <w:t>available rented each semester</w:t>
            </w:r>
          </w:p>
        </w:tc>
      </w:tr>
    </w:tbl>
    <w:p w14:paraId="7B1F4CC6" w14:textId="0986915A" w:rsidR="002B62CC" w:rsidRPr="00F81527" w:rsidRDefault="002B62CC" w:rsidP="005B6022">
      <w:pPr>
        <w:pStyle w:val="ExhibitHeading"/>
      </w:pPr>
    </w:p>
    <w:p w14:paraId="2956F891" w14:textId="71C91FB8" w:rsidR="007603F9" w:rsidRPr="007603F9" w:rsidRDefault="00CA34CE" w:rsidP="00072934">
      <w:pPr>
        <w:pStyle w:val="Footnote"/>
        <w:rPr>
          <w:spacing w:val="-2"/>
          <w:kern w:val="17"/>
        </w:rPr>
      </w:pPr>
      <w:r w:rsidRPr="007603F9">
        <w:rPr>
          <w:spacing w:val="-2"/>
          <w:kern w:val="17"/>
        </w:rPr>
        <w:t xml:space="preserve">Source: </w:t>
      </w:r>
      <w:r w:rsidR="00072934" w:rsidRPr="007603F9">
        <w:rPr>
          <w:spacing w:val="-2"/>
          <w:kern w:val="17"/>
        </w:rPr>
        <w:t>Created by the authors</w:t>
      </w:r>
      <w:r w:rsidR="00F81527" w:rsidRPr="007603F9">
        <w:rPr>
          <w:spacing w:val="-2"/>
          <w:kern w:val="17"/>
        </w:rPr>
        <w:t>,</w:t>
      </w:r>
      <w:r w:rsidR="00072934" w:rsidRPr="007603F9">
        <w:rPr>
          <w:spacing w:val="-2"/>
          <w:kern w:val="17"/>
        </w:rPr>
        <w:t xml:space="preserve"> b</w:t>
      </w:r>
      <w:r w:rsidRPr="007603F9">
        <w:rPr>
          <w:spacing w:val="-2"/>
          <w:kern w:val="17"/>
        </w:rPr>
        <w:t>ased on Matt Hudgins, “When Apartment Rents Climb, Landlords Can Say ‘The Computer Did It</w:t>
      </w:r>
      <w:r w:rsidR="001761E3">
        <w:rPr>
          <w:spacing w:val="-2"/>
          <w:kern w:val="17"/>
        </w:rPr>
        <w:t>,</w:t>
      </w:r>
      <w:r w:rsidRPr="007603F9">
        <w:rPr>
          <w:spacing w:val="-2"/>
          <w:kern w:val="17"/>
        </w:rPr>
        <w:t xml:space="preserve">’” </w:t>
      </w:r>
      <w:r w:rsidRPr="005C4899">
        <w:rPr>
          <w:i/>
          <w:spacing w:val="-2"/>
          <w:kern w:val="17"/>
        </w:rPr>
        <w:t>New York Times</w:t>
      </w:r>
      <w:r w:rsidRPr="007603F9">
        <w:rPr>
          <w:spacing w:val="-2"/>
          <w:kern w:val="17"/>
        </w:rPr>
        <w:t xml:space="preserve">, </w:t>
      </w:r>
      <w:r w:rsidR="001761E3" w:rsidRPr="007603F9">
        <w:rPr>
          <w:spacing w:val="-2"/>
          <w:kern w:val="17"/>
        </w:rPr>
        <w:t>November 29,</w:t>
      </w:r>
      <w:r w:rsidR="001761E3">
        <w:rPr>
          <w:spacing w:val="-2"/>
          <w:kern w:val="17"/>
        </w:rPr>
        <w:t xml:space="preserve"> </w:t>
      </w:r>
      <w:r w:rsidR="001761E3" w:rsidRPr="007603F9">
        <w:rPr>
          <w:spacing w:val="-2"/>
          <w:kern w:val="17"/>
        </w:rPr>
        <w:t xml:space="preserve">2011, </w:t>
      </w:r>
      <w:r w:rsidRPr="007603F9">
        <w:rPr>
          <w:spacing w:val="-2"/>
          <w:kern w:val="17"/>
        </w:rPr>
        <w:t xml:space="preserve">accessed September 10, 2014, </w:t>
      </w:r>
      <w:r w:rsidR="007603F9" w:rsidRPr="007603F9">
        <w:rPr>
          <w:spacing w:val="-2"/>
          <w:kern w:val="17"/>
        </w:rPr>
        <w:t>www.nytimes.com/2011/11/30/realestate/commercial</w:t>
      </w:r>
    </w:p>
    <w:p w14:paraId="55DF416F" w14:textId="4BD2B839" w:rsidR="00CA34CE" w:rsidRPr="008E2DDB" w:rsidRDefault="00CA34CE" w:rsidP="001761E3">
      <w:pPr>
        <w:pStyle w:val="Footnote"/>
      </w:pPr>
      <w:r w:rsidRPr="007603F9">
        <w:rPr>
          <w:spacing w:val="-2"/>
          <w:kern w:val="17"/>
        </w:rPr>
        <w:t>/lanlords-use-computers-to-arrive-at-the-right-rental-fees.html.</w:t>
      </w:r>
    </w:p>
    <w:p w14:paraId="7AD13373" w14:textId="77777777" w:rsidR="002B62CC" w:rsidRDefault="002B62CC" w:rsidP="005C4899">
      <w:pPr>
        <w:pStyle w:val="ExhibitText"/>
      </w:pPr>
    </w:p>
    <w:p w14:paraId="46AFB5CB" w14:textId="77777777" w:rsidR="002B62CC" w:rsidRDefault="002B62CC" w:rsidP="005C4899">
      <w:pPr>
        <w:pStyle w:val="ExhibitText"/>
      </w:pPr>
    </w:p>
    <w:p w14:paraId="649674A1" w14:textId="520A8306" w:rsidR="005B3674" w:rsidRPr="008E2DDB" w:rsidRDefault="005B3674" w:rsidP="005B6022">
      <w:pPr>
        <w:pStyle w:val="ExhibitHeading"/>
      </w:pPr>
      <w:r w:rsidRPr="008E2DDB">
        <w:t>Exhibit</w:t>
      </w:r>
      <w:r w:rsidR="008102D7" w:rsidRPr="008E2DDB">
        <w:t xml:space="preserve"> </w:t>
      </w:r>
      <w:r w:rsidR="008E6928">
        <w:t>2</w:t>
      </w:r>
      <w:r w:rsidRPr="008E2DDB">
        <w:t xml:space="preserve">: </w:t>
      </w:r>
      <w:r w:rsidR="004D5B5E">
        <w:t>Optimal Configuration</w:t>
      </w:r>
      <w:r w:rsidR="00CA34CE">
        <w:t xml:space="preserve"> for PITTSBURGH RENTALS, 2016</w:t>
      </w:r>
    </w:p>
    <w:p w14:paraId="7B0530AE" w14:textId="77777777" w:rsidR="005B6022" w:rsidRPr="008E2DDB" w:rsidRDefault="005B6022" w:rsidP="005C4899">
      <w:pPr>
        <w:pStyle w:val="ExhibitText"/>
      </w:pPr>
    </w:p>
    <w:tbl>
      <w:tblPr>
        <w:tblW w:w="8926" w:type="dxa"/>
        <w:jc w:val="center"/>
        <w:tblLook w:val="04A0" w:firstRow="1" w:lastRow="0" w:firstColumn="1" w:lastColumn="0" w:noHBand="0" w:noVBand="1"/>
      </w:tblPr>
      <w:tblGrid>
        <w:gridCol w:w="3823"/>
        <w:gridCol w:w="1701"/>
        <w:gridCol w:w="1417"/>
        <w:gridCol w:w="1985"/>
      </w:tblGrid>
      <w:tr w:rsidR="006457BB" w:rsidRPr="008E2DDB" w14:paraId="41A1280E" w14:textId="77777777" w:rsidTr="00050FA2">
        <w:trPr>
          <w:trHeight w:val="260"/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8E81" w14:textId="77777777" w:rsidR="00C81E79" w:rsidRPr="008E2DDB" w:rsidRDefault="00C81E79" w:rsidP="005E184D">
            <w:pPr>
              <w:pStyle w:val="ExhibitText"/>
              <w:rPr>
                <w:b/>
                <w:sz w:val="18"/>
                <w:lang w:eastAsia="zh-CN"/>
              </w:rPr>
            </w:pPr>
            <w:r w:rsidRPr="008E2DDB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CB81E" w14:textId="78515DD6" w:rsidR="00C81E79" w:rsidRPr="008E2DDB" w:rsidRDefault="001761E3" w:rsidP="005E184D">
            <w:pPr>
              <w:pStyle w:val="ExhibitText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Units</w:t>
            </w:r>
            <w:r w:rsidRPr="008E2DDB">
              <w:rPr>
                <w:b/>
                <w:sz w:val="18"/>
                <w:lang w:eastAsia="zh-CN"/>
              </w:rPr>
              <w:t xml:space="preserve"> </w:t>
            </w:r>
            <w:r w:rsidR="00C81E79" w:rsidRPr="008E2DDB">
              <w:rPr>
                <w:b/>
                <w:sz w:val="18"/>
                <w:lang w:eastAsia="zh-CN"/>
              </w:rPr>
              <w:t>Available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14CA" w14:textId="29408B93" w:rsidR="00C81E79" w:rsidRPr="008E2DDB" w:rsidRDefault="00C81E79" w:rsidP="005E184D">
            <w:pPr>
              <w:pStyle w:val="ExhibitText"/>
              <w:rPr>
                <w:b/>
                <w:sz w:val="18"/>
                <w:lang w:eastAsia="zh-CN"/>
              </w:rPr>
            </w:pPr>
            <w:r w:rsidRPr="008E2DDB">
              <w:rPr>
                <w:b/>
                <w:sz w:val="18"/>
                <w:lang w:eastAsia="zh-CN"/>
              </w:rPr>
              <w:t>Rent</w:t>
            </w:r>
            <w:r w:rsidR="002A4F36">
              <w:rPr>
                <w:b/>
                <w:sz w:val="18"/>
                <w:lang w:eastAsia="zh-CN"/>
              </w:rPr>
              <w:t xml:space="preserve"> (in US$)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6493" w14:textId="19168F4C" w:rsidR="00C81E79" w:rsidRPr="008E2DDB" w:rsidRDefault="00C81E79" w:rsidP="005E184D">
            <w:pPr>
              <w:pStyle w:val="ExhibitText"/>
              <w:rPr>
                <w:b/>
                <w:sz w:val="18"/>
                <w:lang w:eastAsia="zh-CN"/>
              </w:rPr>
            </w:pPr>
            <w:r w:rsidRPr="008E2DDB">
              <w:rPr>
                <w:b/>
                <w:sz w:val="18"/>
                <w:lang w:eastAsia="zh-CN"/>
              </w:rPr>
              <w:t>Rent is for the</w:t>
            </w:r>
          </w:p>
        </w:tc>
      </w:tr>
      <w:tr w:rsidR="006457BB" w:rsidRPr="008E2DDB" w14:paraId="2A89D35F" w14:textId="77777777" w:rsidTr="00050FA2">
        <w:trPr>
          <w:trHeight w:val="243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73F5" w14:textId="77777777" w:rsidR="00C81E79" w:rsidRPr="008E2DDB" w:rsidRDefault="00C81E79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>Yearly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53CD" w14:textId="77777777" w:rsidR="00C81E79" w:rsidRPr="008E2DDB" w:rsidRDefault="00C81E79" w:rsidP="003B483C">
            <w:pPr>
              <w:pStyle w:val="ExhibitText"/>
              <w:ind w:left="34"/>
              <w:jc w:val="center"/>
              <w:rPr>
                <w:lang w:eastAsia="zh-CN"/>
              </w:rPr>
            </w:pPr>
            <w:r w:rsidRPr="008E2DDB">
              <w:rPr>
                <w:lang w:eastAsia="zh-CN"/>
              </w:rPr>
              <w:t>120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E9221" w14:textId="7DE75A24" w:rsidR="00C81E79" w:rsidRPr="008E2DDB" w:rsidRDefault="00C81E79" w:rsidP="007603F9">
            <w:pPr>
              <w:pStyle w:val="ExhibitText"/>
              <w:jc w:val="center"/>
              <w:rPr>
                <w:lang w:eastAsia="zh-CN"/>
              </w:rPr>
            </w:pPr>
            <w:r w:rsidRPr="008E2DDB">
              <w:rPr>
                <w:lang w:eastAsia="zh-CN"/>
              </w:rPr>
              <w:t>1,300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A760" w14:textId="77777777" w:rsidR="00C81E79" w:rsidRPr="008E2DDB" w:rsidRDefault="00C81E79" w:rsidP="005E184D">
            <w:pPr>
              <w:pStyle w:val="ExhibitText"/>
              <w:rPr>
                <w:lang w:eastAsia="zh-CN"/>
              </w:rPr>
            </w:pPr>
            <w:r w:rsidRPr="008E2DDB">
              <w:rPr>
                <w:lang w:eastAsia="zh-CN"/>
              </w:rPr>
              <w:t>Entire year</w:t>
            </w:r>
          </w:p>
        </w:tc>
      </w:tr>
      <w:tr w:rsidR="006457BB" w:rsidRPr="008E2DDB" w14:paraId="321FE84A" w14:textId="77777777" w:rsidTr="00050FA2">
        <w:trPr>
          <w:trHeight w:val="134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BC45" w14:textId="2F7A0D17" w:rsidR="00C81E79" w:rsidRPr="008E2DDB" w:rsidRDefault="00C81E79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Fall </w:t>
            </w:r>
            <w:r w:rsidR="00DC4FC1">
              <w:rPr>
                <w:lang w:eastAsia="zh-CN"/>
              </w:rPr>
              <w:t>s</w:t>
            </w:r>
            <w:r w:rsidRPr="008E2DDB">
              <w:rPr>
                <w:lang w:eastAsia="zh-CN"/>
              </w:rPr>
              <w:t>emester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9493F" w14:textId="77777777" w:rsidR="00C81E79" w:rsidRPr="008E2DDB" w:rsidRDefault="00C81E79" w:rsidP="003B483C">
            <w:pPr>
              <w:pStyle w:val="ExhibitText"/>
              <w:ind w:left="142"/>
              <w:jc w:val="center"/>
              <w:rPr>
                <w:lang w:eastAsia="zh-CN"/>
              </w:rPr>
            </w:pPr>
            <w:r w:rsidRPr="008E2DDB">
              <w:rPr>
                <w:lang w:eastAsia="zh-CN"/>
              </w:rPr>
              <w:t>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BAB20" w14:textId="63D3BE78" w:rsidR="00C81E79" w:rsidRPr="008E2DDB" w:rsidRDefault="00C81E79" w:rsidP="003B483C">
            <w:pPr>
              <w:pStyle w:val="ExhibitText"/>
              <w:ind w:left="164"/>
              <w:jc w:val="center"/>
              <w:rPr>
                <w:lang w:eastAsia="zh-CN"/>
              </w:rPr>
            </w:pPr>
            <w:r w:rsidRPr="008E2DDB">
              <w:rPr>
                <w:lang w:eastAsia="zh-CN"/>
              </w:rPr>
              <w:t>600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B36B" w14:textId="4D3EEE50" w:rsidR="00C81E79" w:rsidRPr="008E2DDB" w:rsidRDefault="00C81E79" w:rsidP="005E184D">
            <w:pPr>
              <w:pStyle w:val="ExhibitTex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Fall </w:t>
            </w:r>
            <w:r w:rsidR="00DC4FC1">
              <w:rPr>
                <w:lang w:eastAsia="zh-CN"/>
              </w:rPr>
              <w:t>s</w:t>
            </w:r>
            <w:r w:rsidRPr="008E2DDB">
              <w:rPr>
                <w:lang w:eastAsia="zh-CN"/>
              </w:rPr>
              <w:t>emester</w:t>
            </w:r>
          </w:p>
        </w:tc>
      </w:tr>
      <w:tr w:rsidR="006457BB" w:rsidRPr="008E2DDB" w14:paraId="64A8E325" w14:textId="77777777" w:rsidTr="00050FA2">
        <w:trPr>
          <w:trHeight w:val="47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F1F40" w14:textId="02496269" w:rsidR="00C81E79" w:rsidRPr="008E2DDB" w:rsidRDefault="00C81E79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Spring </w:t>
            </w:r>
            <w:r w:rsidR="00DC4FC1">
              <w:rPr>
                <w:lang w:eastAsia="zh-CN"/>
              </w:rPr>
              <w:t>s</w:t>
            </w:r>
            <w:r w:rsidRPr="008E2DDB">
              <w:rPr>
                <w:lang w:eastAsia="zh-CN"/>
              </w:rPr>
              <w:t>emester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E8ED9" w14:textId="77777777" w:rsidR="00C81E79" w:rsidRPr="008E2DDB" w:rsidRDefault="00C81E79" w:rsidP="003B483C">
            <w:pPr>
              <w:pStyle w:val="ExhibitText"/>
              <w:ind w:left="142"/>
              <w:jc w:val="center"/>
              <w:rPr>
                <w:lang w:eastAsia="zh-CN"/>
              </w:rPr>
            </w:pPr>
            <w:r w:rsidRPr="008E2DDB">
              <w:rPr>
                <w:lang w:eastAsia="zh-CN"/>
              </w:rPr>
              <w:t>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084E" w14:textId="43722FDE" w:rsidR="00C81E79" w:rsidRPr="008E2DDB" w:rsidRDefault="00C81E79" w:rsidP="003B483C">
            <w:pPr>
              <w:pStyle w:val="ExhibitText"/>
              <w:ind w:left="164"/>
              <w:jc w:val="center"/>
              <w:rPr>
                <w:lang w:eastAsia="zh-CN"/>
              </w:rPr>
            </w:pPr>
            <w:r w:rsidRPr="008E2DDB">
              <w:rPr>
                <w:lang w:eastAsia="zh-CN"/>
              </w:rPr>
              <w:t>600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5A5A" w14:textId="0EA33550" w:rsidR="00C81E79" w:rsidRPr="008E2DDB" w:rsidRDefault="00C81E79" w:rsidP="005E184D">
            <w:pPr>
              <w:pStyle w:val="ExhibitTex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Spring </w:t>
            </w:r>
            <w:r w:rsidR="00DC4FC1">
              <w:rPr>
                <w:lang w:eastAsia="zh-CN"/>
              </w:rPr>
              <w:t>s</w:t>
            </w:r>
            <w:r w:rsidRPr="008E2DDB">
              <w:rPr>
                <w:lang w:eastAsia="zh-CN"/>
              </w:rPr>
              <w:t>emester</w:t>
            </w:r>
          </w:p>
        </w:tc>
      </w:tr>
      <w:tr w:rsidR="006457BB" w:rsidRPr="008E2DDB" w14:paraId="26E70D86" w14:textId="77777777" w:rsidTr="00050FA2">
        <w:trPr>
          <w:trHeight w:val="70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EE1FA" w14:textId="2640F37D" w:rsidR="00C81E79" w:rsidRPr="008E2DDB" w:rsidRDefault="00C81E79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Summer </w:t>
            </w:r>
            <w:r w:rsidR="00DC4FC1">
              <w:rPr>
                <w:lang w:eastAsia="zh-CN"/>
              </w:rPr>
              <w:t>s</w:t>
            </w:r>
            <w:r w:rsidRPr="008E2DDB">
              <w:rPr>
                <w:lang w:eastAsia="zh-CN"/>
              </w:rPr>
              <w:t>emester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FE00" w14:textId="77777777" w:rsidR="00C81E79" w:rsidRPr="008E2DDB" w:rsidRDefault="00C81E79" w:rsidP="003B483C">
            <w:pPr>
              <w:pStyle w:val="ExhibitText"/>
              <w:ind w:left="142"/>
              <w:jc w:val="center"/>
              <w:rPr>
                <w:lang w:eastAsia="zh-CN"/>
              </w:rPr>
            </w:pPr>
            <w:r w:rsidRPr="008E2DDB">
              <w:rPr>
                <w:lang w:eastAsia="zh-CN"/>
              </w:rPr>
              <w:t>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1918" w14:textId="6C41D561" w:rsidR="00C81E79" w:rsidRPr="008E2DDB" w:rsidRDefault="00C81E79" w:rsidP="003B483C">
            <w:pPr>
              <w:pStyle w:val="ExhibitText"/>
              <w:ind w:left="164"/>
              <w:jc w:val="center"/>
              <w:rPr>
                <w:lang w:eastAsia="zh-CN"/>
              </w:rPr>
            </w:pPr>
            <w:r w:rsidRPr="008E2DDB">
              <w:rPr>
                <w:lang w:eastAsia="zh-CN"/>
              </w:rPr>
              <w:t>500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986B" w14:textId="34A3E892" w:rsidR="00C81E79" w:rsidRPr="008E2DDB" w:rsidRDefault="00C81E79" w:rsidP="005E184D">
            <w:pPr>
              <w:pStyle w:val="ExhibitTex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Summer </w:t>
            </w:r>
            <w:r w:rsidR="00DC4FC1">
              <w:rPr>
                <w:lang w:eastAsia="zh-CN"/>
              </w:rPr>
              <w:t>s</w:t>
            </w:r>
            <w:r w:rsidRPr="008E2DDB">
              <w:rPr>
                <w:lang w:eastAsia="zh-CN"/>
              </w:rPr>
              <w:t>emester</w:t>
            </w:r>
          </w:p>
        </w:tc>
      </w:tr>
      <w:tr w:rsidR="006457BB" w:rsidRPr="008E2DDB" w14:paraId="3053580A" w14:textId="77777777" w:rsidTr="00050FA2">
        <w:trPr>
          <w:trHeight w:val="116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A08E" w14:textId="09117513" w:rsidR="00C81E79" w:rsidRPr="008E2DDB" w:rsidRDefault="00C81E79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Fall </w:t>
            </w:r>
            <w:r w:rsidR="00DC4FC1">
              <w:rPr>
                <w:lang w:eastAsia="zh-CN"/>
              </w:rPr>
              <w:t>t</w:t>
            </w:r>
            <w:r w:rsidRPr="008E2DDB">
              <w:rPr>
                <w:lang w:eastAsia="zh-CN"/>
              </w:rPr>
              <w:t>erm</w:t>
            </w:r>
            <w:r w:rsidR="005259AC">
              <w:rPr>
                <w:lang w:eastAsia="zh-CN"/>
              </w:rPr>
              <w:t>,</w:t>
            </w:r>
            <w:r w:rsidRPr="008E2DDB">
              <w:rPr>
                <w:lang w:eastAsia="zh-CN"/>
              </w:rPr>
              <w:t xml:space="preserve"> by month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21704" w14:textId="77777777" w:rsidR="00C81E79" w:rsidRPr="008E2DDB" w:rsidRDefault="00C81E79" w:rsidP="003B483C">
            <w:pPr>
              <w:pStyle w:val="ExhibitText"/>
              <w:ind w:left="142"/>
              <w:jc w:val="center"/>
              <w:rPr>
                <w:lang w:eastAsia="zh-CN"/>
              </w:rPr>
            </w:pPr>
            <w:r w:rsidRPr="008E2DDB">
              <w:rPr>
                <w:lang w:eastAsia="zh-CN"/>
              </w:rPr>
              <w:t>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9CD77" w14:textId="0CFDC423" w:rsidR="00C81E79" w:rsidRPr="008E2DDB" w:rsidRDefault="00C81E79" w:rsidP="003B483C">
            <w:pPr>
              <w:pStyle w:val="ExhibitText"/>
              <w:ind w:left="164"/>
              <w:jc w:val="center"/>
              <w:rPr>
                <w:lang w:eastAsia="zh-CN"/>
              </w:rPr>
            </w:pPr>
            <w:r w:rsidRPr="008E2DDB">
              <w:rPr>
                <w:lang w:eastAsia="zh-CN"/>
              </w:rPr>
              <w:t>450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4658" w14:textId="6489C0B8" w:rsidR="00C81E79" w:rsidRPr="008E2DDB" w:rsidRDefault="00F5583E" w:rsidP="00F5583E">
            <w:pPr>
              <w:pStyle w:val="ExhibitText"/>
              <w:rPr>
                <w:lang w:eastAsia="zh-CN"/>
              </w:rPr>
            </w:pPr>
            <w:r>
              <w:rPr>
                <w:lang w:eastAsia="zh-CN"/>
              </w:rPr>
              <w:t>Month in the f</w:t>
            </w:r>
            <w:r w:rsidR="00C81E79" w:rsidRPr="008E2DDB">
              <w:rPr>
                <w:lang w:eastAsia="zh-CN"/>
              </w:rPr>
              <w:t xml:space="preserve">all </w:t>
            </w:r>
            <w:r w:rsidR="00DC4FC1">
              <w:rPr>
                <w:lang w:eastAsia="zh-CN"/>
              </w:rPr>
              <w:t>s</w:t>
            </w:r>
            <w:r w:rsidR="00C81E79" w:rsidRPr="008E2DDB">
              <w:rPr>
                <w:lang w:eastAsia="zh-CN"/>
              </w:rPr>
              <w:t>emester</w:t>
            </w:r>
          </w:p>
        </w:tc>
      </w:tr>
      <w:tr w:rsidR="006457BB" w:rsidRPr="008E2DDB" w14:paraId="7AF11362" w14:textId="77777777" w:rsidTr="00050FA2">
        <w:trPr>
          <w:trHeight w:val="162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48B5" w14:textId="62CB7F3B" w:rsidR="00C81E79" w:rsidRPr="008E2DDB" w:rsidRDefault="00C81E79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>Spring term</w:t>
            </w:r>
            <w:r w:rsidR="005259AC">
              <w:rPr>
                <w:lang w:eastAsia="zh-CN"/>
              </w:rPr>
              <w:t>,</w:t>
            </w:r>
            <w:r w:rsidRPr="008E2DDB">
              <w:rPr>
                <w:lang w:eastAsia="zh-CN"/>
              </w:rPr>
              <w:t xml:space="preserve"> by month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30FC3" w14:textId="77777777" w:rsidR="00C81E79" w:rsidRPr="008E2DDB" w:rsidRDefault="00C81E79" w:rsidP="003B483C">
            <w:pPr>
              <w:pStyle w:val="ExhibitText"/>
              <w:ind w:left="142"/>
              <w:jc w:val="center"/>
              <w:rPr>
                <w:lang w:eastAsia="zh-CN"/>
              </w:rPr>
            </w:pPr>
            <w:r w:rsidRPr="008E2DDB">
              <w:rPr>
                <w:lang w:eastAsia="zh-CN"/>
              </w:rPr>
              <w:t>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74AB" w14:textId="3C4C3622" w:rsidR="00C81E79" w:rsidRPr="008E2DDB" w:rsidRDefault="00C81E79" w:rsidP="003B483C">
            <w:pPr>
              <w:pStyle w:val="ExhibitText"/>
              <w:ind w:left="164"/>
              <w:jc w:val="center"/>
              <w:rPr>
                <w:lang w:eastAsia="zh-CN"/>
              </w:rPr>
            </w:pPr>
            <w:r w:rsidRPr="008E2DDB">
              <w:rPr>
                <w:lang w:eastAsia="zh-CN"/>
              </w:rPr>
              <w:t>450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B33D" w14:textId="13B334EE" w:rsidR="00C81E79" w:rsidRPr="008E2DDB" w:rsidRDefault="00F5583E" w:rsidP="00F5583E">
            <w:pPr>
              <w:pStyle w:val="ExhibitText"/>
              <w:rPr>
                <w:lang w:eastAsia="zh-CN"/>
              </w:rPr>
            </w:pPr>
            <w:r>
              <w:rPr>
                <w:lang w:eastAsia="zh-CN"/>
              </w:rPr>
              <w:t>Month in the s</w:t>
            </w:r>
            <w:r w:rsidR="00C81E79" w:rsidRPr="008E2DDB">
              <w:rPr>
                <w:lang w:eastAsia="zh-CN"/>
              </w:rPr>
              <w:t xml:space="preserve">pring </w:t>
            </w:r>
            <w:r w:rsidR="00DC4FC1">
              <w:rPr>
                <w:lang w:eastAsia="zh-CN"/>
              </w:rPr>
              <w:t>s</w:t>
            </w:r>
            <w:r w:rsidR="00C81E79" w:rsidRPr="008E2DDB">
              <w:rPr>
                <w:lang w:eastAsia="zh-CN"/>
              </w:rPr>
              <w:t>emester</w:t>
            </w:r>
          </w:p>
        </w:tc>
      </w:tr>
      <w:tr w:rsidR="006457BB" w:rsidRPr="008E2DDB" w14:paraId="6AC8EB9C" w14:textId="77777777" w:rsidTr="00050FA2">
        <w:trPr>
          <w:trHeight w:val="66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189EB" w14:textId="7FCC3E62" w:rsidR="00C81E79" w:rsidRPr="008E2DDB" w:rsidRDefault="00C81E79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>Summer term</w:t>
            </w:r>
            <w:r w:rsidR="005259AC">
              <w:rPr>
                <w:lang w:eastAsia="zh-CN"/>
              </w:rPr>
              <w:t>,</w:t>
            </w:r>
            <w:r w:rsidRPr="008E2DDB">
              <w:rPr>
                <w:lang w:eastAsia="zh-CN"/>
              </w:rPr>
              <w:t xml:space="preserve"> by month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4C4D4" w14:textId="77777777" w:rsidR="00C81E79" w:rsidRPr="008E2DDB" w:rsidRDefault="00C81E79" w:rsidP="003B483C">
            <w:pPr>
              <w:pStyle w:val="ExhibitText"/>
              <w:ind w:left="142"/>
              <w:jc w:val="center"/>
              <w:rPr>
                <w:lang w:eastAsia="zh-CN"/>
              </w:rPr>
            </w:pPr>
            <w:r w:rsidRPr="008E2DDB">
              <w:rPr>
                <w:lang w:eastAsia="zh-CN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FC54C" w14:textId="73BE6CED" w:rsidR="00C81E79" w:rsidRPr="008E2DDB" w:rsidRDefault="00C81E79" w:rsidP="003B483C">
            <w:pPr>
              <w:pStyle w:val="ExhibitText"/>
              <w:ind w:left="164"/>
              <w:jc w:val="center"/>
              <w:rPr>
                <w:lang w:eastAsia="zh-CN"/>
              </w:rPr>
            </w:pPr>
            <w:r w:rsidRPr="008E2DDB">
              <w:rPr>
                <w:lang w:eastAsia="zh-CN"/>
              </w:rPr>
              <w:t>700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A4A4" w14:textId="5D023905" w:rsidR="00C81E79" w:rsidRPr="008E2DDB" w:rsidRDefault="00F5583E" w:rsidP="00F5583E">
            <w:pPr>
              <w:pStyle w:val="ExhibitText"/>
              <w:rPr>
                <w:lang w:eastAsia="zh-CN"/>
              </w:rPr>
            </w:pPr>
            <w:r>
              <w:rPr>
                <w:lang w:eastAsia="zh-CN"/>
              </w:rPr>
              <w:t>Month in the s</w:t>
            </w:r>
            <w:r w:rsidR="00C81E79" w:rsidRPr="008E2DDB">
              <w:rPr>
                <w:lang w:eastAsia="zh-CN"/>
              </w:rPr>
              <w:t xml:space="preserve">ummer </w:t>
            </w:r>
            <w:r w:rsidR="00DC4FC1">
              <w:rPr>
                <w:lang w:eastAsia="zh-CN"/>
              </w:rPr>
              <w:t>s</w:t>
            </w:r>
            <w:r w:rsidR="00C81E79" w:rsidRPr="008E2DDB">
              <w:rPr>
                <w:lang w:eastAsia="zh-CN"/>
              </w:rPr>
              <w:t>emester</w:t>
            </w:r>
          </w:p>
        </w:tc>
      </w:tr>
      <w:tr w:rsidR="00C81E79" w:rsidRPr="008E2DDB" w14:paraId="207CF98A" w14:textId="77777777" w:rsidTr="00050FA2">
        <w:trPr>
          <w:trHeight w:val="253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BD2E" w14:textId="39525540" w:rsidR="00C81E79" w:rsidRPr="008E2DDB" w:rsidRDefault="00C81E79" w:rsidP="001761E3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Maximum number of </w:t>
            </w:r>
            <w:r w:rsidR="001761E3">
              <w:rPr>
                <w:lang w:eastAsia="zh-CN"/>
              </w:rPr>
              <w:t>units</w:t>
            </w:r>
            <w:r w:rsidR="001761E3" w:rsidRPr="008E2DDB">
              <w:rPr>
                <w:lang w:eastAsia="zh-CN"/>
              </w:rPr>
              <w:t xml:space="preserve"> </w:t>
            </w:r>
            <w:r w:rsidRPr="008E2DDB">
              <w:rPr>
                <w:lang w:eastAsia="zh-CN"/>
              </w:rPr>
              <w:t>available per semester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61B4" w14:textId="77777777" w:rsidR="00C81E79" w:rsidRPr="008E2DDB" w:rsidRDefault="00C81E79" w:rsidP="007603F9">
            <w:pPr>
              <w:pStyle w:val="ExhibitText"/>
              <w:jc w:val="center"/>
              <w:rPr>
                <w:lang w:eastAsia="zh-CN"/>
              </w:rPr>
            </w:pPr>
            <w:r w:rsidRPr="008E2DDB">
              <w:rPr>
                <w:lang w:eastAsia="zh-CN"/>
              </w:rPr>
              <w:t>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A27FB" w14:textId="43C7E0A8" w:rsidR="00C81E79" w:rsidRPr="008E2DDB" w:rsidRDefault="00C81E79" w:rsidP="007603F9">
            <w:pPr>
              <w:pStyle w:val="ExhibitText"/>
              <w:jc w:val="center"/>
              <w:rPr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B01C" w14:textId="269D4953" w:rsidR="00C81E79" w:rsidRPr="008E2DDB" w:rsidRDefault="008C6C49" w:rsidP="005E184D">
            <w:pPr>
              <w:pStyle w:val="ExhibitText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</w:tc>
      </w:tr>
    </w:tbl>
    <w:p w14:paraId="455AF560" w14:textId="77777777" w:rsidR="00072934" w:rsidRDefault="00072934" w:rsidP="005C4899">
      <w:pPr>
        <w:pStyle w:val="ExhibitText"/>
      </w:pPr>
    </w:p>
    <w:p w14:paraId="38C6190A" w14:textId="18EF96BA" w:rsidR="00F81527" w:rsidRPr="00F81527" w:rsidRDefault="00CA34CE" w:rsidP="00072934">
      <w:pPr>
        <w:pStyle w:val="Footnote"/>
        <w:rPr>
          <w:bCs/>
          <w:spacing w:val="-2"/>
          <w:kern w:val="17"/>
        </w:rPr>
      </w:pPr>
      <w:r w:rsidRPr="00F81527">
        <w:rPr>
          <w:spacing w:val="-2"/>
          <w:kern w:val="17"/>
        </w:rPr>
        <w:t xml:space="preserve">Source: </w:t>
      </w:r>
      <w:r w:rsidR="00F81527" w:rsidRPr="00F81527">
        <w:rPr>
          <w:spacing w:val="-2"/>
          <w:kern w:val="17"/>
        </w:rPr>
        <w:t>Created by the authors,</w:t>
      </w:r>
      <w:r w:rsidRPr="00F81527">
        <w:rPr>
          <w:spacing w:val="-2"/>
          <w:kern w:val="17"/>
        </w:rPr>
        <w:t xml:space="preserve"> </w:t>
      </w:r>
      <w:r w:rsidR="00F81527" w:rsidRPr="00F81527">
        <w:rPr>
          <w:spacing w:val="-2"/>
          <w:kern w:val="17"/>
        </w:rPr>
        <w:t>b</w:t>
      </w:r>
      <w:r w:rsidRPr="00F81527">
        <w:rPr>
          <w:spacing w:val="-2"/>
          <w:kern w:val="17"/>
        </w:rPr>
        <w:t xml:space="preserve">ased on </w:t>
      </w:r>
      <w:r w:rsidRPr="00F81527">
        <w:rPr>
          <w:bCs/>
          <w:spacing w:val="-2"/>
          <w:kern w:val="17"/>
        </w:rPr>
        <w:t xml:space="preserve">Matt Hudgins, “When Apartment Rents Climb, Landlords Can Say ‘The Computer Did </w:t>
      </w:r>
      <w:r w:rsidR="001761E3" w:rsidRPr="007603F9">
        <w:rPr>
          <w:spacing w:val="-2"/>
          <w:kern w:val="17"/>
        </w:rPr>
        <w:t>It</w:t>
      </w:r>
      <w:r w:rsidR="001761E3">
        <w:rPr>
          <w:spacing w:val="-2"/>
          <w:kern w:val="17"/>
        </w:rPr>
        <w:t>,</w:t>
      </w:r>
      <w:r w:rsidR="001761E3" w:rsidRPr="007603F9">
        <w:rPr>
          <w:spacing w:val="-2"/>
          <w:kern w:val="17"/>
        </w:rPr>
        <w:t xml:space="preserve">’” </w:t>
      </w:r>
      <w:r w:rsidR="001761E3" w:rsidRPr="004E4EB0">
        <w:rPr>
          <w:i/>
          <w:spacing w:val="-2"/>
          <w:kern w:val="17"/>
        </w:rPr>
        <w:t>New York Times</w:t>
      </w:r>
      <w:r w:rsidR="001761E3" w:rsidRPr="007603F9">
        <w:rPr>
          <w:spacing w:val="-2"/>
          <w:kern w:val="17"/>
        </w:rPr>
        <w:t>, November 29,</w:t>
      </w:r>
      <w:r w:rsidR="001761E3">
        <w:rPr>
          <w:spacing w:val="-2"/>
          <w:kern w:val="17"/>
        </w:rPr>
        <w:t xml:space="preserve"> </w:t>
      </w:r>
      <w:r w:rsidR="001761E3" w:rsidRPr="007603F9">
        <w:rPr>
          <w:spacing w:val="-2"/>
          <w:kern w:val="17"/>
        </w:rPr>
        <w:t xml:space="preserve">2011, </w:t>
      </w:r>
      <w:r w:rsidRPr="00F81527">
        <w:rPr>
          <w:bCs/>
          <w:spacing w:val="-2"/>
          <w:kern w:val="17"/>
        </w:rPr>
        <w:t xml:space="preserve">accessed September 10, 2014, </w:t>
      </w:r>
      <w:r w:rsidR="00F81527" w:rsidRPr="00F81527">
        <w:rPr>
          <w:bCs/>
          <w:spacing w:val="-2"/>
          <w:kern w:val="17"/>
        </w:rPr>
        <w:t>www.nytimes.com/2011/11/30/realestate/commercial</w:t>
      </w:r>
    </w:p>
    <w:p w14:paraId="4C23AF23" w14:textId="7D59EA6B" w:rsidR="00D600CB" w:rsidRDefault="00CA34CE" w:rsidP="005C4899">
      <w:pPr>
        <w:pStyle w:val="Footnote"/>
      </w:pPr>
      <w:r w:rsidRPr="00F81527">
        <w:rPr>
          <w:bCs/>
          <w:spacing w:val="-2"/>
          <w:kern w:val="17"/>
        </w:rPr>
        <w:t>/lanlords-use-computers-to-arrive-at-the-right-rental-fees.html.</w:t>
      </w:r>
      <w:r w:rsidR="00D600CB">
        <w:br w:type="page"/>
      </w:r>
    </w:p>
    <w:p w14:paraId="7201B7BD" w14:textId="3A8F6750" w:rsidR="005B3674" w:rsidRPr="008E2DDB" w:rsidRDefault="005B3674" w:rsidP="00DE6882">
      <w:pPr>
        <w:pStyle w:val="ExhibitHeading"/>
      </w:pPr>
      <w:r w:rsidRPr="008E2DDB">
        <w:lastRenderedPageBreak/>
        <w:t xml:space="preserve">Exhibit </w:t>
      </w:r>
      <w:r w:rsidR="008E6928">
        <w:t>3</w:t>
      </w:r>
      <w:r w:rsidRPr="008E2DDB">
        <w:t xml:space="preserve">: </w:t>
      </w:r>
      <w:r w:rsidR="00162B9D">
        <w:t xml:space="preserve">Optimal </w:t>
      </w:r>
      <w:r w:rsidRPr="008E2DDB">
        <w:t xml:space="preserve">Revenue </w:t>
      </w:r>
      <w:r w:rsidR="00162B9D">
        <w:t>Generation for PITTSBURGH RENTALS, 2016</w:t>
      </w:r>
    </w:p>
    <w:p w14:paraId="46F2B955" w14:textId="77777777" w:rsidR="005B3674" w:rsidRPr="008E2DDB" w:rsidRDefault="005B3674" w:rsidP="005C4899">
      <w:pPr>
        <w:pStyle w:val="ExhibitText"/>
      </w:pPr>
    </w:p>
    <w:tbl>
      <w:tblPr>
        <w:tblW w:w="6741" w:type="dxa"/>
        <w:jc w:val="center"/>
        <w:tblLook w:val="04A0" w:firstRow="1" w:lastRow="0" w:firstColumn="1" w:lastColumn="0" w:noHBand="0" w:noVBand="1"/>
      </w:tblPr>
      <w:tblGrid>
        <w:gridCol w:w="2435"/>
        <w:gridCol w:w="1613"/>
        <w:gridCol w:w="1134"/>
        <w:gridCol w:w="1559"/>
      </w:tblGrid>
      <w:tr w:rsidR="006457BB" w:rsidRPr="008E2DDB" w14:paraId="6DB6119B" w14:textId="77777777" w:rsidTr="00050FA2">
        <w:trPr>
          <w:trHeight w:val="368"/>
          <w:jc w:val="center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CC77" w14:textId="77777777" w:rsidR="00DE6882" w:rsidRPr="008E2DDB" w:rsidRDefault="00DE6882" w:rsidP="00DE6882">
            <w:pPr>
              <w:pStyle w:val="ExhibitText"/>
              <w:jc w:val="center"/>
              <w:rPr>
                <w:b/>
                <w:sz w:val="18"/>
                <w:lang w:eastAsia="zh-CN"/>
              </w:rPr>
            </w:pPr>
            <w:r w:rsidRPr="008E2DDB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CE239" w14:textId="562BC61F" w:rsidR="00DE6882" w:rsidRPr="008E2DDB" w:rsidRDefault="00DE6882" w:rsidP="001761E3">
            <w:pPr>
              <w:pStyle w:val="ExhibitText"/>
              <w:jc w:val="center"/>
              <w:rPr>
                <w:b/>
                <w:sz w:val="18"/>
                <w:lang w:eastAsia="zh-CN"/>
              </w:rPr>
            </w:pPr>
            <w:r w:rsidRPr="008E2DDB">
              <w:rPr>
                <w:b/>
                <w:sz w:val="18"/>
                <w:lang w:eastAsia="zh-CN"/>
              </w:rPr>
              <w:t xml:space="preserve">Number of </w:t>
            </w:r>
            <w:r w:rsidR="001761E3">
              <w:rPr>
                <w:b/>
                <w:sz w:val="18"/>
                <w:lang w:eastAsia="zh-CN"/>
              </w:rPr>
              <w:t>Units</w:t>
            </w:r>
            <w:r w:rsidR="001761E3" w:rsidRPr="008E2DDB">
              <w:rPr>
                <w:b/>
                <w:sz w:val="18"/>
                <w:lang w:eastAsia="zh-CN"/>
              </w:rPr>
              <w:t xml:space="preserve"> </w:t>
            </w:r>
            <w:r w:rsidRPr="008E2DDB">
              <w:rPr>
                <w:b/>
                <w:sz w:val="18"/>
                <w:lang w:eastAsia="zh-CN"/>
              </w:rPr>
              <w:t>to Rent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FBB9" w14:textId="77777777" w:rsidR="00B250CE" w:rsidRDefault="00DE6882" w:rsidP="00DE6882">
            <w:pPr>
              <w:pStyle w:val="ExhibitText"/>
              <w:jc w:val="center"/>
              <w:rPr>
                <w:b/>
                <w:sz w:val="18"/>
                <w:lang w:eastAsia="zh-CN"/>
              </w:rPr>
            </w:pPr>
            <w:r w:rsidRPr="008E2DDB">
              <w:rPr>
                <w:b/>
                <w:sz w:val="18"/>
                <w:lang w:eastAsia="zh-CN"/>
              </w:rPr>
              <w:t>Rent</w:t>
            </w:r>
            <w:r w:rsidR="002A4F36">
              <w:rPr>
                <w:b/>
                <w:sz w:val="18"/>
                <w:lang w:eastAsia="zh-CN"/>
              </w:rPr>
              <w:t xml:space="preserve"> </w:t>
            </w:r>
          </w:p>
          <w:p w14:paraId="597F7B3F" w14:textId="7C2F8533" w:rsidR="00DE6882" w:rsidRPr="008E2DDB" w:rsidRDefault="002A4F36" w:rsidP="00DE6882">
            <w:pPr>
              <w:pStyle w:val="ExhibitText"/>
              <w:jc w:val="center"/>
              <w:rPr>
                <w:b/>
                <w:sz w:val="18"/>
                <w:lang w:eastAsia="zh-CN"/>
              </w:rPr>
            </w:pPr>
            <w:bookmarkStart w:id="0" w:name="_GoBack"/>
            <w:bookmarkEnd w:id="0"/>
            <w:r>
              <w:rPr>
                <w:b/>
                <w:sz w:val="18"/>
                <w:lang w:eastAsia="zh-CN"/>
              </w:rPr>
              <w:t>(in US$)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183A" w14:textId="53D687EB" w:rsidR="00DE6882" w:rsidRPr="008E2DDB" w:rsidRDefault="00DE6882" w:rsidP="00DE6882">
            <w:pPr>
              <w:pStyle w:val="ExhibitText"/>
              <w:jc w:val="center"/>
              <w:rPr>
                <w:b/>
                <w:sz w:val="18"/>
                <w:lang w:eastAsia="zh-CN"/>
              </w:rPr>
            </w:pPr>
            <w:r w:rsidRPr="008E2DDB">
              <w:rPr>
                <w:b/>
                <w:sz w:val="18"/>
                <w:lang w:eastAsia="zh-CN"/>
              </w:rPr>
              <w:t>Total Revenue</w:t>
            </w:r>
            <w:r w:rsidR="002A4F36">
              <w:rPr>
                <w:b/>
                <w:sz w:val="18"/>
                <w:lang w:eastAsia="zh-CN"/>
              </w:rPr>
              <w:t xml:space="preserve"> (in US$)</w:t>
            </w:r>
          </w:p>
        </w:tc>
      </w:tr>
      <w:tr w:rsidR="006457BB" w:rsidRPr="008E2DDB" w14:paraId="43077450" w14:textId="77777777" w:rsidTr="00050FA2">
        <w:trPr>
          <w:trHeight w:val="112"/>
          <w:jc w:val="center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4B69" w14:textId="77777777" w:rsidR="00DE6882" w:rsidRPr="008E2DDB" w:rsidRDefault="00DE6882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>Yearly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FEEC3" w14:textId="77777777" w:rsidR="00DE6882" w:rsidRPr="008E2DDB" w:rsidRDefault="00DE6882" w:rsidP="007E11E1">
            <w:pPr>
              <w:pStyle w:val="ExhibitText"/>
              <w:jc w:val="right"/>
              <w:rPr>
                <w:lang w:eastAsia="zh-CN"/>
              </w:rPr>
            </w:pPr>
            <w:r w:rsidRPr="008E2DDB">
              <w:rPr>
                <w:lang w:eastAsia="zh-CN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76CCD" w14:textId="77777777" w:rsidR="00DE6882" w:rsidRPr="008E2DDB" w:rsidRDefault="00DE6882" w:rsidP="007E11E1">
            <w:pPr>
              <w:pStyle w:val="ExhibitText"/>
              <w:jc w:val="right"/>
              <w:rPr>
                <w:lang w:eastAsia="zh-CN"/>
              </w:rPr>
            </w:pPr>
            <w:r w:rsidRPr="008E2DDB">
              <w:rPr>
                <w:lang w:eastAsia="zh-CN"/>
              </w:rPr>
              <w:t>1</w:t>
            </w:r>
            <w:r w:rsidR="008E2DDB">
              <w:rPr>
                <w:lang w:eastAsia="zh-CN"/>
              </w:rPr>
              <w:t>,</w:t>
            </w:r>
            <w:r w:rsidRPr="008E2DDB">
              <w:rPr>
                <w:lang w:eastAsia="zh-CN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FCFE" w14:textId="2160B78D" w:rsidR="00DE6882" w:rsidRPr="008E2DDB" w:rsidRDefault="00DE6882" w:rsidP="00F82031">
            <w:pPr>
              <w:pStyle w:val="ExhibitText"/>
              <w:jc w:val="righ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 143,000 </w:t>
            </w:r>
          </w:p>
        </w:tc>
      </w:tr>
      <w:tr w:rsidR="006457BB" w:rsidRPr="008E2DDB" w14:paraId="41215419" w14:textId="77777777" w:rsidTr="00050FA2">
        <w:trPr>
          <w:trHeight w:val="59"/>
          <w:jc w:val="center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0B50" w14:textId="166E6162" w:rsidR="00DE6882" w:rsidRPr="008E2DDB" w:rsidRDefault="00DE6882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Fall </w:t>
            </w:r>
            <w:r w:rsidR="00DC4FC1">
              <w:rPr>
                <w:lang w:eastAsia="zh-CN"/>
              </w:rPr>
              <w:t>t</w:t>
            </w:r>
            <w:r w:rsidRPr="008E2DDB">
              <w:rPr>
                <w:lang w:eastAsia="zh-CN"/>
              </w:rPr>
              <w:t>erm</w:t>
            </w:r>
            <w:r w:rsidR="001E6DFD" w:rsidRPr="008E2DDB">
              <w:rPr>
                <w:lang w:eastAsia="zh-CN"/>
              </w:rPr>
              <w:t xml:space="preserve">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C544" w14:textId="77777777" w:rsidR="00DE6882" w:rsidRPr="008E2DDB" w:rsidRDefault="00DE6882" w:rsidP="007E11E1">
            <w:pPr>
              <w:pStyle w:val="ExhibitText"/>
              <w:jc w:val="right"/>
              <w:rPr>
                <w:lang w:eastAsia="zh-CN"/>
              </w:rPr>
            </w:pPr>
            <w:r w:rsidRPr="008E2DDB">
              <w:rPr>
                <w:lang w:eastAsia="zh-CN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8AD4C" w14:textId="77777777" w:rsidR="00DE6882" w:rsidRPr="008E2DDB" w:rsidRDefault="00DE6882" w:rsidP="007E11E1">
            <w:pPr>
              <w:pStyle w:val="ExhibitText"/>
              <w:jc w:val="right"/>
              <w:rPr>
                <w:lang w:eastAsia="zh-CN"/>
              </w:rPr>
            </w:pPr>
            <w:r w:rsidRPr="008E2DDB">
              <w:rPr>
                <w:lang w:eastAsia="zh-CN"/>
              </w:rPr>
              <w:t>600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3685" w14:textId="7AF2A482" w:rsidR="00DE6882" w:rsidRPr="008E2DDB" w:rsidRDefault="008C6C49" w:rsidP="00F82031">
            <w:pPr>
              <w:pStyle w:val="ExhibitText"/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     </w:t>
            </w:r>
            <w:r w:rsidR="00DE6882" w:rsidRPr="008E2DDB">
              <w:rPr>
                <w:lang w:eastAsia="zh-CN"/>
              </w:rPr>
              <w:t xml:space="preserve">30,000 </w:t>
            </w:r>
          </w:p>
        </w:tc>
      </w:tr>
      <w:tr w:rsidR="006457BB" w:rsidRPr="008E2DDB" w14:paraId="1F37EB96" w14:textId="77777777" w:rsidTr="00050FA2">
        <w:trPr>
          <w:trHeight w:val="106"/>
          <w:jc w:val="center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1D5F" w14:textId="4D899A50" w:rsidR="00DE6882" w:rsidRPr="008E2DDB" w:rsidRDefault="00DE6882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Spring </w:t>
            </w:r>
            <w:r w:rsidR="00DC4FC1">
              <w:rPr>
                <w:lang w:eastAsia="zh-CN"/>
              </w:rPr>
              <w:t>t</w:t>
            </w:r>
            <w:r w:rsidRPr="008E2DDB">
              <w:rPr>
                <w:lang w:eastAsia="zh-CN"/>
              </w:rPr>
              <w:t>erm</w:t>
            </w:r>
            <w:r w:rsidR="008C6C49">
              <w:rPr>
                <w:lang w:eastAsia="zh-CN"/>
              </w:rPr>
              <w:t xml:space="preserve">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9AA1" w14:textId="77777777" w:rsidR="00DE6882" w:rsidRPr="008E2DDB" w:rsidRDefault="00DE6882" w:rsidP="007E11E1">
            <w:pPr>
              <w:pStyle w:val="ExhibitText"/>
              <w:jc w:val="right"/>
              <w:rPr>
                <w:lang w:eastAsia="zh-CN"/>
              </w:rPr>
            </w:pPr>
            <w:r w:rsidRPr="008E2DDB">
              <w:rPr>
                <w:lang w:eastAsia="zh-CN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F984" w14:textId="77777777" w:rsidR="00DE6882" w:rsidRPr="008E2DDB" w:rsidRDefault="00DE6882" w:rsidP="007E11E1">
            <w:pPr>
              <w:pStyle w:val="ExhibitText"/>
              <w:jc w:val="right"/>
              <w:rPr>
                <w:lang w:eastAsia="zh-CN"/>
              </w:rPr>
            </w:pPr>
            <w:r w:rsidRPr="008E2DDB">
              <w:rPr>
                <w:lang w:eastAsia="zh-CN"/>
              </w:rPr>
              <w:t>600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0D6E" w14:textId="7011DD1B" w:rsidR="00DE6882" w:rsidRPr="008E2DDB" w:rsidRDefault="008C6C49" w:rsidP="00F82031">
            <w:pPr>
              <w:pStyle w:val="ExhibitText"/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     </w:t>
            </w:r>
            <w:r w:rsidR="00DE6882" w:rsidRPr="008E2DDB">
              <w:rPr>
                <w:lang w:eastAsia="zh-CN"/>
              </w:rPr>
              <w:t xml:space="preserve">30,000 </w:t>
            </w:r>
          </w:p>
        </w:tc>
      </w:tr>
      <w:tr w:rsidR="006457BB" w:rsidRPr="008E2DDB" w14:paraId="1FB75ED7" w14:textId="77777777" w:rsidTr="00050FA2">
        <w:trPr>
          <w:trHeight w:val="47"/>
          <w:jc w:val="center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9CEE" w14:textId="04901B62" w:rsidR="00DE6882" w:rsidRPr="008E2DDB" w:rsidRDefault="00DE6882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Summer </w:t>
            </w:r>
            <w:r w:rsidR="00DC4FC1">
              <w:rPr>
                <w:lang w:eastAsia="zh-CN"/>
              </w:rPr>
              <w:t>t</w:t>
            </w:r>
            <w:r w:rsidRPr="008E2DDB">
              <w:rPr>
                <w:lang w:eastAsia="zh-CN"/>
              </w:rPr>
              <w:t>erm</w:t>
            </w:r>
            <w:r w:rsidR="008C6C49">
              <w:rPr>
                <w:lang w:eastAsia="zh-CN"/>
              </w:rPr>
              <w:t xml:space="preserve">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1C38" w14:textId="77777777" w:rsidR="00DE6882" w:rsidRPr="008E2DDB" w:rsidRDefault="00DE6882" w:rsidP="007E11E1">
            <w:pPr>
              <w:pStyle w:val="ExhibitText"/>
              <w:jc w:val="right"/>
              <w:rPr>
                <w:lang w:eastAsia="zh-CN"/>
              </w:rPr>
            </w:pPr>
            <w:r w:rsidRPr="008E2DDB">
              <w:rPr>
                <w:lang w:eastAsia="zh-CN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6E4D" w14:textId="77777777" w:rsidR="00DE6882" w:rsidRPr="008E2DDB" w:rsidRDefault="00DE6882" w:rsidP="007E11E1">
            <w:pPr>
              <w:pStyle w:val="ExhibitText"/>
              <w:jc w:val="right"/>
              <w:rPr>
                <w:lang w:eastAsia="zh-CN"/>
              </w:rPr>
            </w:pPr>
            <w:r w:rsidRPr="008E2DDB">
              <w:rPr>
                <w:lang w:eastAsia="zh-CN"/>
              </w:rPr>
              <w:t>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77A1" w14:textId="1460708D" w:rsidR="00DE6882" w:rsidRPr="008E2DDB" w:rsidRDefault="008C6C49" w:rsidP="00F82031">
            <w:pPr>
              <w:pStyle w:val="ExhibitText"/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     </w:t>
            </w:r>
            <w:r w:rsidR="00DE6882" w:rsidRPr="008E2DDB">
              <w:rPr>
                <w:lang w:eastAsia="zh-CN"/>
              </w:rPr>
              <w:t xml:space="preserve">20,000 </w:t>
            </w:r>
          </w:p>
        </w:tc>
      </w:tr>
      <w:tr w:rsidR="006457BB" w:rsidRPr="008E2DDB" w14:paraId="0C27A550" w14:textId="77777777" w:rsidTr="00050FA2">
        <w:trPr>
          <w:trHeight w:val="47"/>
          <w:jc w:val="center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219D" w14:textId="069AEFEC" w:rsidR="00DE6882" w:rsidRPr="008E2DDB" w:rsidRDefault="00DE6882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Fall </w:t>
            </w:r>
            <w:r w:rsidR="00DC4FC1">
              <w:rPr>
                <w:lang w:eastAsia="zh-CN"/>
              </w:rPr>
              <w:t>t</w:t>
            </w:r>
            <w:r w:rsidRPr="008E2DDB">
              <w:rPr>
                <w:lang w:eastAsia="zh-CN"/>
              </w:rPr>
              <w:t>erm</w:t>
            </w:r>
            <w:r w:rsidR="00DC4FC1">
              <w:rPr>
                <w:lang w:eastAsia="zh-CN"/>
              </w:rPr>
              <w:t>,</w:t>
            </w:r>
            <w:r w:rsidRPr="008E2DDB">
              <w:rPr>
                <w:lang w:eastAsia="zh-CN"/>
              </w:rPr>
              <w:t xml:space="preserve"> by month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C7721" w14:textId="77777777" w:rsidR="00DE6882" w:rsidRPr="008E2DDB" w:rsidRDefault="00DE6882" w:rsidP="007E11E1">
            <w:pPr>
              <w:pStyle w:val="ExhibitText"/>
              <w:jc w:val="right"/>
              <w:rPr>
                <w:lang w:eastAsia="zh-CN"/>
              </w:rPr>
            </w:pPr>
            <w:r w:rsidRPr="008E2DDB">
              <w:rPr>
                <w:lang w:eastAsia="zh-CN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E078" w14:textId="77777777" w:rsidR="00DE6882" w:rsidRPr="008E2DDB" w:rsidRDefault="00DE6882" w:rsidP="007E11E1">
            <w:pPr>
              <w:pStyle w:val="ExhibitText"/>
              <w:jc w:val="right"/>
              <w:rPr>
                <w:lang w:eastAsia="zh-CN"/>
              </w:rPr>
            </w:pPr>
            <w:r w:rsidRPr="008E2DDB">
              <w:rPr>
                <w:lang w:eastAsia="zh-CN"/>
              </w:rPr>
              <w:t>750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06E7" w14:textId="5DADFC7F" w:rsidR="00DE6882" w:rsidRPr="008E2DDB" w:rsidRDefault="008C6C49" w:rsidP="00F82031">
            <w:pPr>
              <w:pStyle w:val="ExhibitText"/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     </w:t>
            </w:r>
            <w:r w:rsidR="00DE6882" w:rsidRPr="008E2DDB">
              <w:rPr>
                <w:lang w:eastAsia="zh-CN"/>
              </w:rPr>
              <w:t xml:space="preserve">30,000 </w:t>
            </w:r>
          </w:p>
        </w:tc>
      </w:tr>
      <w:tr w:rsidR="006457BB" w:rsidRPr="008E2DDB" w14:paraId="7541502A" w14:textId="77777777" w:rsidTr="00050FA2">
        <w:trPr>
          <w:trHeight w:val="174"/>
          <w:jc w:val="center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95EC" w14:textId="00F2F6A6" w:rsidR="00DE6882" w:rsidRPr="008E2DDB" w:rsidRDefault="00DE6882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>Spring term</w:t>
            </w:r>
            <w:r w:rsidR="00DC4FC1">
              <w:rPr>
                <w:lang w:eastAsia="zh-CN"/>
              </w:rPr>
              <w:t>,</w:t>
            </w:r>
            <w:r w:rsidRPr="008E2DDB">
              <w:rPr>
                <w:lang w:eastAsia="zh-CN"/>
              </w:rPr>
              <w:t xml:space="preserve"> by month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70DB" w14:textId="77777777" w:rsidR="00DE6882" w:rsidRPr="008E2DDB" w:rsidRDefault="00DE6882" w:rsidP="007E11E1">
            <w:pPr>
              <w:pStyle w:val="ExhibitText"/>
              <w:jc w:val="right"/>
              <w:rPr>
                <w:lang w:eastAsia="zh-CN"/>
              </w:rPr>
            </w:pPr>
            <w:r w:rsidRPr="008E2DDB">
              <w:rPr>
                <w:lang w:eastAsia="zh-CN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F272D" w14:textId="77777777" w:rsidR="00DE6882" w:rsidRPr="008E2DDB" w:rsidRDefault="00DE6882" w:rsidP="007E11E1">
            <w:pPr>
              <w:pStyle w:val="ExhibitText"/>
              <w:jc w:val="right"/>
              <w:rPr>
                <w:lang w:eastAsia="zh-CN"/>
              </w:rPr>
            </w:pPr>
            <w:r w:rsidRPr="008E2DDB">
              <w:rPr>
                <w:lang w:eastAsia="zh-CN"/>
              </w:rPr>
              <w:t>750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A3DE" w14:textId="10526273" w:rsidR="00DE6882" w:rsidRPr="008E2DDB" w:rsidRDefault="008C6C49" w:rsidP="00F82031">
            <w:pPr>
              <w:pStyle w:val="ExhibitText"/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     </w:t>
            </w:r>
            <w:r w:rsidR="00DE6882" w:rsidRPr="008E2DDB">
              <w:rPr>
                <w:lang w:eastAsia="zh-CN"/>
              </w:rPr>
              <w:t xml:space="preserve">30,000 </w:t>
            </w:r>
          </w:p>
        </w:tc>
      </w:tr>
      <w:tr w:rsidR="006457BB" w:rsidRPr="008E2DDB" w14:paraId="2C85A793" w14:textId="77777777" w:rsidTr="00050FA2">
        <w:trPr>
          <w:trHeight w:val="50"/>
          <w:jc w:val="center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5743" w14:textId="03ECDD7B" w:rsidR="00DE6882" w:rsidRPr="008E2DDB" w:rsidRDefault="00DE6882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>Summer term</w:t>
            </w:r>
            <w:r w:rsidR="00DC4FC1">
              <w:rPr>
                <w:lang w:eastAsia="zh-CN"/>
              </w:rPr>
              <w:t>,</w:t>
            </w:r>
            <w:r w:rsidRPr="008E2DDB">
              <w:rPr>
                <w:lang w:eastAsia="zh-CN"/>
              </w:rPr>
              <w:t xml:space="preserve"> by month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96DB" w14:textId="77777777" w:rsidR="00DE6882" w:rsidRPr="008E2DDB" w:rsidRDefault="00DE6882" w:rsidP="007E11E1">
            <w:pPr>
              <w:pStyle w:val="ExhibitText"/>
              <w:jc w:val="right"/>
              <w:rPr>
                <w:lang w:eastAsia="zh-CN"/>
              </w:rPr>
            </w:pPr>
            <w:r w:rsidRPr="008E2DDB">
              <w:rPr>
                <w:lang w:eastAsia="zh-CN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D3085" w14:textId="77777777" w:rsidR="00DE6882" w:rsidRPr="008E2DDB" w:rsidRDefault="00DE6882" w:rsidP="007E11E1">
            <w:pPr>
              <w:pStyle w:val="ExhibitText"/>
              <w:jc w:val="right"/>
              <w:rPr>
                <w:lang w:eastAsia="zh-CN"/>
              </w:rPr>
            </w:pPr>
            <w:r w:rsidRPr="008E2DDB">
              <w:rPr>
                <w:lang w:eastAsia="zh-CN"/>
              </w:rPr>
              <w:t>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1370" w14:textId="66229ED6" w:rsidR="00DE6882" w:rsidRPr="008E2DDB" w:rsidRDefault="008C6C49" w:rsidP="00F82031">
            <w:pPr>
              <w:pStyle w:val="ExhibitText"/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     </w:t>
            </w:r>
            <w:r w:rsidR="00DE6882" w:rsidRPr="008E2DDB">
              <w:rPr>
                <w:lang w:eastAsia="zh-CN"/>
              </w:rPr>
              <w:t xml:space="preserve">27,500 </w:t>
            </w:r>
          </w:p>
        </w:tc>
      </w:tr>
      <w:tr w:rsidR="00DE6882" w:rsidRPr="008E2DDB" w14:paraId="4EEC3878" w14:textId="77777777" w:rsidTr="00050FA2">
        <w:trPr>
          <w:trHeight w:val="47"/>
          <w:jc w:val="center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7DDC" w14:textId="77777777" w:rsidR="00DE6882" w:rsidRPr="008E2DDB" w:rsidRDefault="00DE6882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>Total revenue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1106" w14:textId="77777777" w:rsidR="00DE6882" w:rsidRPr="008E2DDB" w:rsidRDefault="00DE6882" w:rsidP="00B62C9B">
            <w:pPr>
              <w:pStyle w:val="ExhibitText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048B" w14:textId="77777777" w:rsidR="00DE6882" w:rsidRPr="008E2DDB" w:rsidRDefault="00DE6882" w:rsidP="00B62C9B">
            <w:pPr>
              <w:pStyle w:val="ExhibitText"/>
              <w:jc w:val="center"/>
              <w:rPr>
                <w:lang w:eastAsia="zh-C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41E2" w14:textId="690CFE08" w:rsidR="00DE6882" w:rsidRPr="008E2DDB" w:rsidRDefault="001E6DFD" w:rsidP="00F82031">
            <w:pPr>
              <w:pStyle w:val="ExhibitText"/>
              <w:jc w:val="righ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 </w:t>
            </w:r>
            <w:r w:rsidR="00DE6882" w:rsidRPr="008E2DDB">
              <w:rPr>
                <w:lang w:eastAsia="zh-CN"/>
              </w:rPr>
              <w:t xml:space="preserve">310,500 </w:t>
            </w:r>
          </w:p>
        </w:tc>
      </w:tr>
    </w:tbl>
    <w:p w14:paraId="1C9EA7E3" w14:textId="77777777" w:rsidR="00072934" w:rsidRDefault="00072934" w:rsidP="005C4899">
      <w:pPr>
        <w:pStyle w:val="ExhibitText"/>
      </w:pPr>
    </w:p>
    <w:p w14:paraId="7DD56BD2" w14:textId="593458EC" w:rsidR="00F81527" w:rsidRPr="00F81527" w:rsidRDefault="00CA34CE" w:rsidP="00F81527">
      <w:pPr>
        <w:pStyle w:val="Footnote"/>
        <w:rPr>
          <w:spacing w:val="-2"/>
          <w:kern w:val="17"/>
        </w:rPr>
      </w:pPr>
      <w:r w:rsidRPr="00F81527">
        <w:rPr>
          <w:spacing w:val="-2"/>
          <w:kern w:val="17"/>
        </w:rPr>
        <w:t xml:space="preserve">Source: </w:t>
      </w:r>
      <w:r w:rsidR="00072934" w:rsidRPr="00F81527">
        <w:rPr>
          <w:spacing w:val="-2"/>
          <w:kern w:val="17"/>
        </w:rPr>
        <w:t xml:space="preserve">Created by the authors, based </w:t>
      </w:r>
      <w:r w:rsidRPr="00F81527">
        <w:rPr>
          <w:spacing w:val="-2"/>
          <w:kern w:val="17"/>
        </w:rPr>
        <w:t xml:space="preserve">on Matt Hudgins, “When Apartment Rents Climb, Landlords Can Say ‘The Computer Did </w:t>
      </w:r>
      <w:r w:rsidR="001761E3" w:rsidRPr="007603F9">
        <w:rPr>
          <w:spacing w:val="-2"/>
          <w:kern w:val="17"/>
        </w:rPr>
        <w:t>It</w:t>
      </w:r>
      <w:r w:rsidR="001761E3">
        <w:rPr>
          <w:spacing w:val="-2"/>
          <w:kern w:val="17"/>
        </w:rPr>
        <w:t>,</w:t>
      </w:r>
      <w:r w:rsidR="001761E3" w:rsidRPr="007603F9">
        <w:rPr>
          <w:spacing w:val="-2"/>
          <w:kern w:val="17"/>
        </w:rPr>
        <w:t xml:space="preserve">’” </w:t>
      </w:r>
      <w:r w:rsidR="001761E3" w:rsidRPr="004E4EB0">
        <w:rPr>
          <w:i/>
          <w:spacing w:val="-2"/>
          <w:kern w:val="17"/>
        </w:rPr>
        <w:t>New York Times</w:t>
      </w:r>
      <w:r w:rsidR="001761E3" w:rsidRPr="007603F9">
        <w:rPr>
          <w:spacing w:val="-2"/>
          <w:kern w:val="17"/>
        </w:rPr>
        <w:t>, November 29,</w:t>
      </w:r>
      <w:r w:rsidR="001761E3">
        <w:rPr>
          <w:spacing w:val="-2"/>
          <w:kern w:val="17"/>
        </w:rPr>
        <w:t xml:space="preserve"> 2011</w:t>
      </w:r>
      <w:r w:rsidRPr="00F81527">
        <w:rPr>
          <w:spacing w:val="-2"/>
          <w:kern w:val="17"/>
        </w:rPr>
        <w:t xml:space="preserve">, accessed September 10, 2014, </w:t>
      </w:r>
      <w:r w:rsidR="00F81527" w:rsidRPr="00F81527">
        <w:rPr>
          <w:spacing w:val="-2"/>
          <w:kern w:val="17"/>
        </w:rPr>
        <w:t>www.nytimes.com/2011/11/30/realestate/commercial</w:t>
      </w:r>
    </w:p>
    <w:p w14:paraId="3E00C887" w14:textId="7F965FF4" w:rsidR="00CA34CE" w:rsidRPr="00F81527" w:rsidRDefault="00CA34CE" w:rsidP="00F81527">
      <w:pPr>
        <w:pStyle w:val="Footnote"/>
        <w:rPr>
          <w:spacing w:val="-2"/>
          <w:kern w:val="17"/>
        </w:rPr>
      </w:pPr>
      <w:r w:rsidRPr="00F81527">
        <w:rPr>
          <w:spacing w:val="-2"/>
          <w:kern w:val="17"/>
        </w:rPr>
        <w:t>/lanlords-use-computers-to-arrive-at-the-right-rental-fees.html</w:t>
      </w:r>
      <w:r w:rsidR="00F81527" w:rsidRPr="00F81527">
        <w:rPr>
          <w:spacing w:val="-2"/>
          <w:kern w:val="17"/>
        </w:rPr>
        <w:t>.</w:t>
      </w:r>
    </w:p>
    <w:p w14:paraId="3F19B6D0" w14:textId="77777777" w:rsidR="00CA34CE" w:rsidRPr="008E2DDB" w:rsidRDefault="00CA34CE" w:rsidP="005C4899">
      <w:pPr>
        <w:pStyle w:val="ExhibitText"/>
      </w:pPr>
    </w:p>
    <w:p w14:paraId="6C831F41" w14:textId="5E8954A3" w:rsidR="002A2FD9" w:rsidRPr="00C24572" w:rsidRDefault="002A2FD9" w:rsidP="005C4899">
      <w:pPr>
        <w:pStyle w:val="ExhibitText"/>
      </w:pPr>
    </w:p>
    <w:p w14:paraId="7D52EE3B" w14:textId="7D2252A8" w:rsidR="005B3674" w:rsidRPr="008E2DDB" w:rsidRDefault="005B3674" w:rsidP="00113267">
      <w:pPr>
        <w:pStyle w:val="ExhibitHeading"/>
      </w:pPr>
      <w:r w:rsidRPr="008E2DDB">
        <w:t xml:space="preserve">Exhibit </w:t>
      </w:r>
      <w:r w:rsidR="008E6928">
        <w:t>4</w:t>
      </w:r>
      <w:r w:rsidRPr="008E2DDB">
        <w:t>: Revised Figures for Optim</w:t>
      </w:r>
      <w:r w:rsidR="00162B9D">
        <w:t>al</w:t>
      </w:r>
      <w:r w:rsidRPr="008E2DDB">
        <w:t xml:space="preserve"> </w:t>
      </w:r>
      <w:r w:rsidR="00162B9D">
        <w:t xml:space="preserve">Revenue Generation for </w:t>
      </w:r>
      <w:r w:rsidR="00CA34CE">
        <w:t>PITTSBURGH RENTAL</w:t>
      </w:r>
      <w:r w:rsidR="00162B9D">
        <w:t>s</w:t>
      </w:r>
      <w:r w:rsidR="00CA34CE">
        <w:t>, 2016</w:t>
      </w:r>
    </w:p>
    <w:p w14:paraId="718A43BE" w14:textId="77777777" w:rsidR="00CB60DE" w:rsidRPr="008E2DDB" w:rsidRDefault="00CB60DE" w:rsidP="00CB60DE">
      <w:pPr>
        <w:pStyle w:val="ExhibitHeading"/>
      </w:pPr>
    </w:p>
    <w:tbl>
      <w:tblPr>
        <w:tblW w:w="9175" w:type="dxa"/>
        <w:jc w:val="center"/>
        <w:tblLook w:val="04A0" w:firstRow="1" w:lastRow="0" w:firstColumn="1" w:lastColumn="0" w:noHBand="0" w:noVBand="1"/>
      </w:tblPr>
      <w:tblGrid>
        <w:gridCol w:w="3660"/>
        <w:gridCol w:w="1918"/>
        <w:gridCol w:w="1550"/>
        <w:gridCol w:w="2047"/>
      </w:tblGrid>
      <w:tr w:rsidR="006457BB" w:rsidRPr="008E2DDB" w14:paraId="686630E7" w14:textId="77777777" w:rsidTr="007603F9">
        <w:trPr>
          <w:trHeight w:val="116"/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C908" w14:textId="77777777" w:rsidR="00132815" w:rsidRPr="008E2DDB" w:rsidRDefault="00132815" w:rsidP="007603F9">
            <w:pPr>
              <w:pStyle w:val="ExhibitText"/>
              <w:jc w:val="center"/>
              <w:rPr>
                <w:b/>
                <w:sz w:val="18"/>
                <w:lang w:eastAsia="zh-CN"/>
              </w:rPr>
            </w:pPr>
            <w:r w:rsidRPr="008E2DDB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E1F3B" w14:textId="28C9F643" w:rsidR="00132815" w:rsidRPr="008E2DDB" w:rsidRDefault="00132815" w:rsidP="001761E3">
            <w:pPr>
              <w:pStyle w:val="ExhibitText"/>
              <w:jc w:val="center"/>
              <w:rPr>
                <w:b/>
                <w:sz w:val="18"/>
                <w:lang w:eastAsia="zh-CN"/>
              </w:rPr>
            </w:pPr>
            <w:r w:rsidRPr="008E2DDB">
              <w:rPr>
                <w:b/>
                <w:sz w:val="18"/>
                <w:lang w:eastAsia="zh-CN"/>
              </w:rPr>
              <w:t xml:space="preserve">Number of </w:t>
            </w:r>
            <w:r w:rsidR="001761E3">
              <w:rPr>
                <w:b/>
                <w:sz w:val="18"/>
                <w:lang w:eastAsia="zh-CN"/>
              </w:rPr>
              <w:t>Units</w:t>
            </w:r>
            <w:r w:rsidR="001761E3" w:rsidRPr="008E2DDB">
              <w:rPr>
                <w:b/>
                <w:sz w:val="18"/>
                <w:lang w:eastAsia="zh-CN"/>
              </w:rPr>
              <w:t xml:space="preserve"> </w:t>
            </w:r>
            <w:r w:rsidRPr="008E2DDB">
              <w:rPr>
                <w:b/>
                <w:sz w:val="18"/>
                <w:lang w:eastAsia="zh-CN"/>
              </w:rPr>
              <w:t>Possibly Available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06C7" w14:textId="598DEEC8" w:rsidR="00132815" w:rsidRPr="008E2DDB" w:rsidRDefault="00132815" w:rsidP="007603F9">
            <w:pPr>
              <w:pStyle w:val="ExhibitText"/>
              <w:jc w:val="center"/>
              <w:rPr>
                <w:b/>
                <w:sz w:val="18"/>
                <w:lang w:eastAsia="zh-CN"/>
              </w:rPr>
            </w:pPr>
            <w:r w:rsidRPr="008E2DDB">
              <w:rPr>
                <w:b/>
                <w:sz w:val="18"/>
                <w:lang w:eastAsia="zh-CN"/>
              </w:rPr>
              <w:t>Rent</w:t>
            </w:r>
            <w:r w:rsidR="002A4F36">
              <w:rPr>
                <w:b/>
                <w:sz w:val="18"/>
                <w:lang w:eastAsia="zh-CN"/>
              </w:rPr>
              <w:t xml:space="preserve"> (in US$)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F328" w14:textId="385765B6" w:rsidR="00132815" w:rsidRPr="008E2DDB" w:rsidRDefault="00132815" w:rsidP="007603F9">
            <w:pPr>
              <w:pStyle w:val="ExhibitText"/>
              <w:jc w:val="center"/>
              <w:rPr>
                <w:b/>
                <w:sz w:val="18"/>
                <w:lang w:eastAsia="zh-CN"/>
              </w:rPr>
            </w:pPr>
            <w:r w:rsidRPr="008E2DDB">
              <w:rPr>
                <w:b/>
                <w:sz w:val="18"/>
                <w:lang w:eastAsia="zh-CN"/>
              </w:rPr>
              <w:t>Rent is for the</w:t>
            </w:r>
          </w:p>
        </w:tc>
      </w:tr>
      <w:tr w:rsidR="006457BB" w:rsidRPr="008E2DDB" w14:paraId="21FBEC23" w14:textId="77777777" w:rsidTr="007E11E1">
        <w:trPr>
          <w:trHeight w:val="187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F2EC" w14:textId="77777777" w:rsidR="00132815" w:rsidRPr="008E2DDB" w:rsidRDefault="00132815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>Yearly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A1BE1" w14:textId="77777777" w:rsidR="00132815" w:rsidRPr="008E2DDB" w:rsidRDefault="00132815" w:rsidP="007E11E1">
            <w:pPr>
              <w:pStyle w:val="ExhibitText"/>
              <w:jc w:val="center"/>
              <w:rPr>
                <w:lang w:eastAsia="zh-CN"/>
              </w:rPr>
            </w:pPr>
            <w:r w:rsidRPr="008E2DDB">
              <w:rPr>
                <w:lang w:eastAsia="zh-CN"/>
              </w:rPr>
              <w:t>150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C5FE6" w14:textId="06976655" w:rsidR="00132815" w:rsidRPr="008E2DDB" w:rsidRDefault="00132815" w:rsidP="007E11E1">
            <w:pPr>
              <w:pStyle w:val="ExhibitText"/>
              <w:jc w:val="center"/>
              <w:rPr>
                <w:lang w:eastAsia="zh-CN"/>
              </w:rPr>
            </w:pPr>
            <w:r w:rsidRPr="008E2DDB">
              <w:rPr>
                <w:lang w:eastAsia="zh-CN"/>
              </w:rPr>
              <w:t>1,375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009B" w14:textId="77777777" w:rsidR="00132815" w:rsidRPr="008E2DDB" w:rsidRDefault="00132815" w:rsidP="005C4899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>Entire year</w:t>
            </w:r>
          </w:p>
        </w:tc>
      </w:tr>
      <w:tr w:rsidR="006457BB" w:rsidRPr="008E2DDB" w14:paraId="450AF438" w14:textId="77777777" w:rsidTr="007E11E1">
        <w:trPr>
          <w:trHeight w:val="92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ECC89" w14:textId="793D7AD4" w:rsidR="00132815" w:rsidRPr="008E2DDB" w:rsidRDefault="00132815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Fall </w:t>
            </w:r>
            <w:r w:rsidR="00DC4FC1">
              <w:rPr>
                <w:lang w:eastAsia="zh-CN"/>
              </w:rPr>
              <w:t>s</w:t>
            </w:r>
            <w:r w:rsidRPr="008E2DDB">
              <w:rPr>
                <w:lang w:eastAsia="zh-CN"/>
              </w:rPr>
              <w:t>emester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8B18" w14:textId="211D5DB2" w:rsidR="00132815" w:rsidRPr="008E2DDB" w:rsidRDefault="007E11E1" w:rsidP="007E11E1">
            <w:pPr>
              <w:pStyle w:val="Exhibit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 w:rsidR="00132815" w:rsidRPr="008E2DDB">
              <w:rPr>
                <w:lang w:eastAsia="zh-CN"/>
              </w:rPr>
              <w:t>50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A0410" w14:textId="4B70FEAE" w:rsidR="00132815" w:rsidRPr="008E2DDB" w:rsidRDefault="007E11E1" w:rsidP="007E11E1">
            <w:pPr>
              <w:pStyle w:val="Exhibit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</w:t>
            </w:r>
            <w:r w:rsidR="00132815" w:rsidRPr="008E2DDB">
              <w:rPr>
                <w:lang w:eastAsia="zh-CN"/>
              </w:rPr>
              <w:t>700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CCAE" w14:textId="0D18F1B9" w:rsidR="00132815" w:rsidRPr="008E2DDB" w:rsidRDefault="00132815" w:rsidP="005C4899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Fall </w:t>
            </w:r>
            <w:r w:rsidR="00DC4FC1">
              <w:rPr>
                <w:lang w:eastAsia="zh-CN"/>
              </w:rPr>
              <w:t>s</w:t>
            </w:r>
            <w:r w:rsidRPr="008E2DDB">
              <w:rPr>
                <w:lang w:eastAsia="zh-CN"/>
              </w:rPr>
              <w:t>emester</w:t>
            </w:r>
          </w:p>
        </w:tc>
      </w:tr>
      <w:tr w:rsidR="006457BB" w:rsidRPr="008E2DDB" w14:paraId="3807F9CB" w14:textId="77777777" w:rsidTr="007E11E1">
        <w:trPr>
          <w:trHeight w:val="138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ED59" w14:textId="10FDF38B" w:rsidR="00132815" w:rsidRPr="008E2DDB" w:rsidRDefault="00132815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Spring </w:t>
            </w:r>
            <w:r w:rsidR="00DC4FC1">
              <w:rPr>
                <w:lang w:eastAsia="zh-CN"/>
              </w:rPr>
              <w:t>s</w:t>
            </w:r>
            <w:r w:rsidRPr="008E2DDB">
              <w:rPr>
                <w:lang w:eastAsia="zh-CN"/>
              </w:rPr>
              <w:t>emester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4379" w14:textId="48C6EF9F" w:rsidR="00132815" w:rsidRPr="008E2DDB" w:rsidRDefault="007E11E1" w:rsidP="007E11E1">
            <w:pPr>
              <w:pStyle w:val="Exhibit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 w:rsidR="00132815" w:rsidRPr="008E2DDB">
              <w:rPr>
                <w:lang w:eastAsia="zh-CN"/>
              </w:rPr>
              <w:t>50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787C" w14:textId="44B4392A" w:rsidR="00132815" w:rsidRPr="008E2DDB" w:rsidRDefault="007E11E1" w:rsidP="007E11E1">
            <w:pPr>
              <w:pStyle w:val="Exhibit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</w:t>
            </w:r>
            <w:r w:rsidR="00132815" w:rsidRPr="008E2DDB">
              <w:rPr>
                <w:lang w:eastAsia="zh-CN"/>
              </w:rPr>
              <w:t>700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0CE2" w14:textId="06FF2378" w:rsidR="00132815" w:rsidRPr="008E2DDB" w:rsidRDefault="00132815" w:rsidP="005C4899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Spring </w:t>
            </w:r>
            <w:r w:rsidR="00DC4FC1">
              <w:rPr>
                <w:lang w:eastAsia="zh-CN"/>
              </w:rPr>
              <w:t>s</w:t>
            </w:r>
            <w:r w:rsidRPr="008E2DDB">
              <w:rPr>
                <w:lang w:eastAsia="zh-CN"/>
              </w:rPr>
              <w:t>emester</w:t>
            </w:r>
          </w:p>
        </w:tc>
      </w:tr>
      <w:tr w:rsidR="006457BB" w:rsidRPr="008E2DDB" w14:paraId="36E030EC" w14:textId="77777777" w:rsidTr="007E11E1">
        <w:trPr>
          <w:trHeight w:val="47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6A35C" w14:textId="05007330" w:rsidR="00132815" w:rsidRPr="008E2DDB" w:rsidRDefault="00132815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Summer </w:t>
            </w:r>
            <w:r w:rsidR="00DC4FC1">
              <w:rPr>
                <w:lang w:eastAsia="zh-CN"/>
              </w:rPr>
              <w:t>s</w:t>
            </w:r>
            <w:r w:rsidRPr="008E2DDB">
              <w:rPr>
                <w:lang w:eastAsia="zh-CN"/>
              </w:rPr>
              <w:t>emester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C642" w14:textId="3F5E4EDC" w:rsidR="00132815" w:rsidRPr="008E2DDB" w:rsidRDefault="007E11E1" w:rsidP="007E11E1">
            <w:pPr>
              <w:pStyle w:val="Exhibit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 w:rsidR="00132815" w:rsidRPr="008E2DDB">
              <w:rPr>
                <w:lang w:eastAsia="zh-CN"/>
              </w:rPr>
              <w:t>35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908A" w14:textId="01DF30A8" w:rsidR="00132815" w:rsidRPr="008E2DDB" w:rsidRDefault="007E11E1" w:rsidP="007E11E1">
            <w:pPr>
              <w:pStyle w:val="Exhibit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</w:t>
            </w:r>
            <w:r w:rsidR="00132815" w:rsidRPr="008E2DDB">
              <w:rPr>
                <w:lang w:eastAsia="zh-CN"/>
              </w:rPr>
              <w:t>500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F1AD" w14:textId="78EE1D6F" w:rsidR="00132815" w:rsidRPr="008E2DDB" w:rsidRDefault="00132815" w:rsidP="005C4899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Summer </w:t>
            </w:r>
            <w:r w:rsidR="00DC4FC1">
              <w:rPr>
                <w:lang w:eastAsia="zh-CN"/>
              </w:rPr>
              <w:t>s</w:t>
            </w:r>
            <w:r w:rsidRPr="008E2DDB">
              <w:rPr>
                <w:lang w:eastAsia="zh-CN"/>
              </w:rPr>
              <w:t>emester</w:t>
            </w:r>
          </w:p>
        </w:tc>
      </w:tr>
      <w:tr w:rsidR="006457BB" w:rsidRPr="008E2DDB" w14:paraId="40C56A5B" w14:textId="77777777" w:rsidTr="007E11E1">
        <w:trPr>
          <w:trHeight w:val="74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1949E" w14:textId="39D6483E" w:rsidR="00132815" w:rsidRPr="008E2DDB" w:rsidRDefault="00132815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Fall </w:t>
            </w:r>
            <w:r w:rsidR="00DC4FC1">
              <w:rPr>
                <w:lang w:eastAsia="zh-CN"/>
              </w:rPr>
              <w:t>t</w:t>
            </w:r>
            <w:r w:rsidRPr="008E2DDB">
              <w:rPr>
                <w:lang w:eastAsia="zh-CN"/>
              </w:rPr>
              <w:t>erm</w:t>
            </w:r>
            <w:r w:rsidR="00DC4FC1">
              <w:rPr>
                <w:lang w:eastAsia="zh-CN"/>
              </w:rPr>
              <w:t>,</w:t>
            </w:r>
            <w:r w:rsidRPr="008E2DDB">
              <w:rPr>
                <w:lang w:eastAsia="zh-CN"/>
              </w:rPr>
              <w:t xml:space="preserve"> by month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F44CC" w14:textId="2298FDEF" w:rsidR="00132815" w:rsidRPr="008E2DDB" w:rsidRDefault="007E11E1" w:rsidP="007E11E1">
            <w:pPr>
              <w:pStyle w:val="Exhibit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 w:rsidR="00132815" w:rsidRPr="008E2DDB">
              <w:rPr>
                <w:lang w:eastAsia="zh-CN"/>
              </w:rPr>
              <w:t>40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EFFF4" w14:textId="215FE4E7" w:rsidR="00132815" w:rsidRPr="008E2DDB" w:rsidRDefault="007E11E1" w:rsidP="007E11E1">
            <w:pPr>
              <w:pStyle w:val="Exhibit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</w:t>
            </w:r>
            <w:r w:rsidR="00132815" w:rsidRPr="008E2DDB">
              <w:rPr>
                <w:lang w:eastAsia="zh-CN"/>
              </w:rPr>
              <w:t>750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162B" w14:textId="66F92C4C" w:rsidR="00132815" w:rsidRPr="008E2DDB" w:rsidRDefault="00F5583E" w:rsidP="005C4899">
            <w:pPr>
              <w:pStyle w:val="ExhibitText"/>
              <w:jc w:val="left"/>
              <w:rPr>
                <w:lang w:eastAsia="zh-CN"/>
              </w:rPr>
            </w:pPr>
            <w:r>
              <w:rPr>
                <w:lang w:eastAsia="zh-CN"/>
              </w:rPr>
              <w:t>Month in the f</w:t>
            </w:r>
            <w:r w:rsidR="00132815" w:rsidRPr="008E2DDB">
              <w:rPr>
                <w:lang w:eastAsia="zh-CN"/>
              </w:rPr>
              <w:t xml:space="preserve">all </w:t>
            </w:r>
            <w:r w:rsidR="00DC4FC1">
              <w:rPr>
                <w:lang w:eastAsia="zh-CN"/>
              </w:rPr>
              <w:t>s</w:t>
            </w:r>
            <w:r w:rsidR="00132815" w:rsidRPr="008E2DDB">
              <w:rPr>
                <w:lang w:eastAsia="zh-CN"/>
              </w:rPr>
              <w:t>emester</w:t>
            </w:r>
          </w:p>
        </w:tc>
      </w:tr>
      <w:tr w:rsidR="006457BB" w:rsidRPr="008E2DDB" w14:paraId="2B52DDB2" w14:textId="77777777" w:rsidTr="007E11E1">
        <w:trPr>
          <w:trHeight w:val="12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DECEA" w14:textId="413B833F" w:rsidR="00132815" w:rsidRPr="008E2DDB" w:rsidRDefault="00132815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>Spring term</w:t>
            </w:r>
            <w:r w:rsidR="00DC4FC1">
              <w:rPr>
                <w:lang w:eastAsia="zh-CN"/>
              </w:rPr>
              <w:t>,</w:t>
            </w:r>
            <w:r w:rsidRPr="008E2DDB">
              <w:rPr>
                <w:lang w:eastAsia="zh-CN"/>
              </w:rPr>
              <w:t xml:space="preserve"> by month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E45" w14:textId="473EE690" w:rsidR="00132815" w:rsidRPr="008E2DDB" w:rsidRDefault="007E11E1" w:rsidP="007E11E1">
            <w:pPr>
              <w:pStyle w:val="Exhibit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 w:rsidR="00132815" w:rsidRPr="008E2DDB">
              <w:rPr>
                <w:lang w:eastAsia="zh-CN"/>
              </w:rPr>
              <w:t>40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837D9" w14:textId="4607C662" w:rsidR="00132815" w:rsidRPr="008E2DDB" w:rsidRDefault="007E11E1" w:rsidP="007E11E1">
            <w:pPr>
              <w:pStyle w:val="Exhibit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</w:t>
            </w:r>
            <w:r w:rsidR="00132815" w:rsidRPr="008E2DDB">
              <w:rPr>
                <w:lang w:eastAsia="zh-CN"/>
              </w:rPr>
              <w:t>750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752C" w14:textId="00255626" w:rsidR="00132815" w:rsidRPr="008E2DDB" w:rsidRDefault="00F5583E" w:rsidP="005C4899">
            <w:pPr>
              <w:pStyle w:val="ExhibitText"/>
              <w:jc w:val="left"/>
              <w:rPr>
                <w:lang w:eastAsia="zh-CN"/>
              </w:rPr>
            </w:pPr>
            <w:r>
              <w:rPr>
                <w:lang w:eastAsia="zh-CN"/>
              </w:rPr>
              <w:t>Month in the s</w:t>
            </w:r>
            <w:r w:rsidR="00132815" w:rsidRPr="008E2DDB">
              <w:rPr>
                <w:lang w:eastAsia="zh-CN"/>
              </w:rPr>
              <w:t xml:space="preserve">pring </w:t>
            </w:r>
            <w:r w:rsidR="00DC4FC1">
              <w:rPr>
                <w:lang w:eastAsia="zh-CN"/>
              </w:rPr>
              <w:t>s</w:t>
            </w:r>
            <w:r w:rsidR="00132815" w:rsidRPr="008E2DDB">
              <w:rPr>
                <w:lang w:eastAsia="zh-CN"/>
              </w:rPr>
              <w:t>emester</w:t>
            </w:r>
          </w:p>
        </w:tc>
      </w:tr>
      <w:tr w:rsidR="006457BB" w:rsidRPr="008E2DDB" w14:paraId="413E02BA" w14:textId="77777777" w:rsidTr="007E11E1">
        <w:trPr>
          <w:trHeight w:val="166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BECC" w14:textId="7BCA597C" w:rsidR="00132815" w:rsidRPr="008E2DDB" w:rsidRDefault="00132815" w:rsidP="00F81527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>Summer term</w:t>
            </w:r>
            <w:r w:rsidR="00DC4FC1">
              <w:rPr>
                <w:lang w:eastAsia="zh-CN"/>
              </w:rPr>
              <w:t>,</w:t>
            </w:r>
            <w:r w:rsidRPr="008E2DDB">
              <w:rPr>
                <w:lang w:eastAsia="zh-CN"/>
              </w:rPr>
              <w:t xml:space="preserve"> by month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7565F" w14:textId="3331B0D8" w:rsidR="00132815" w:rsidRPr="008E2DDB" w:rsidRDefault="007E11E1" w:rsidP="007E11E1">
            <w:pPr>
              <w:pStyle w:val="Exhibit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 w:rsidR="00132815" w:rsidRPr="008E2DDB">
              <w:rPr>
                <w:lang w:eastAsia="zh-CN"/>
              </w:rPr>
              <w:t>55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788A" w14:textId="7995867A" w:rsidR="00132815" w:rsidRPr="008E2DDB" w:rsidRDefault="007E11E1" w:rsidP="007E11E1">
            <w:pPr>
              <w:pStyle w:val="Exhibit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</w:t>
            </w:r>
            <w:r w:rsidR="00132815" w:rsidRPr="008E2DDB">
              <w:rPr>
                <w:lang w:eastAsia="zh-CN"/>
              </w:rPr>
              <w:t>500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33E8" w14:textId="5AB26476" w:rsidR="00132815" w:rsidRPr="008E2DDB" w:rsidRDefault="00F5583E" w:rsidP="005C4899">
            <w:pPr>
              <w:pStyle w:val="ExhibitText"/>
              <w:jc w:val="left"/>
              <w:rPr>
                <w:lang w:eastAsia="zh-CN"/>
              </w:rPr>
            </w:pPr>
            <w:r>
              <w:rPr>
                <w:lang w:eastAsia="zh-CN"/>
              </w:rPr>
              <w:t>Month in the summer semester</w:t>
            </w:r>
          </w:p>
        </w:tc>
      </w:tr>
      <w:tr w:rsidR="00132815" w:rsidRPr="008E2DDB" w14:paraId="35513CEF" w14:textId="77777777" w:rsidTr="007E11E1">
        <w:trPr>
          <w:trHeight w:val="211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B834C" w14:textId="3366B0EB" w:rsidR="00132815" w:rsidRPr="008E2DDB" w:rsidRDefault="00132815" w:rsidP="001761E3">
            <w:pPr>
              <w:pStyle w:val="ExhibitText"/>
              <w:jc w:val="left"/>
              <w:rPr>
                <w:lang w:eastAsia="zh-CN"/>
              </w:rPr>
            </w:pPr>
            <w:r w:rsidRPr="008E2DDB">
              <w:rPr>
                <w:lang w:eastAsia="zh-CN"/>
              </w:rPr>
              <w:t xml:space="preserve">Maximum number of </w:t>
            </w:r>
            <w:r w:rsidR="001761E3">
              <w:rPr>
                <w:lang w:eastAsia="zh-CN"/>
              </w:rPr>
              <w:t>units</w:t>
            </w:r>
            <w:r w:rsidR="001761E3" w:rsidRPr="008E2DDB">
              <w:rPr>
                <w:lang w:eastAsia="zh-CN"/>
              </w:rPr>
              <w:t xml:space="preserve"> </w:t>
            </w:r>
            <w:r w:rsidRPr="008E2DDB">
              <w:rPr>
                <w:lang w:eastAsia="zh-CN"/>
              </w:rPr>
              <w:t>available per semester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B967" w14:textId="77777777" w:rsidR="00132815" w:rsidRPr="008E2DDB" w:rsidRDefault="00132815" w:rsidP="007E11E1">
            <w:pPr>
              <w:pStyle w:val="ExhibitText"/>
              <w:jc w:val="center"/>
              <w:rPr>
                <w:lang w:eastAsia="zh-CN"/>
              </w:rPr>
            </w:pPr>
            <w:r w:rsidRPr="008E2DDB">
              <w:rPr>
                <w:lang w:eastAsia="zh-CN"/>
              </w:rPr>
              <w:t>200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23" w14:textId="52A0A28C" w:rsidR="00132815" w:rsidRPr="008E2DDB" w:rsidRDefault="00132815" w:rsidP="007E11E1">
            <w:pPr>
              <w:pStyle w:val="ExhibitText"/>
              <w:jc w:val="center"/>
              <w:rPr>
                <w:lang w:eastAsia="zh-CN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06A2" w14:textId="6F9A323F" w:rsidR="00132815" w:rsidRPr="008E2DDB" w:rsidRDefault="00132815" w:rsidP="00F81527">
            <w:pPr>
              <w:pStyle w:val="ExhibitText"/>
              <w:jc w:val="center"/>
              <w:rPr>
                <w:lang w:eastAsia="zh-CN"/>
              </w:rPr>
            </w:pPr>
          </w:p>
        </w:tc>
      </w:tr>
    </w:tbl>
    <w:p w14:paraId="089B6CA0" w14:textId="77777777" w:rsidR="005B3674" w:rsidRPr="008E2DDB" w:rsidRDefault="005B3674" w:rsidP="005C4899">
      <w:pPr>
        <w:pStyle w:val="ExhibitText"/>
      </w:pPr>
    </w:p>
    <w:p w14:paraId="51C36F57" w14:textId="059DFB4C" w:rsidR="00F81527" w:rsidRPr="00F81527" w:rsidRDefault="007603F9" w:rsidP="00F81527">
      <w:pPr>
        <w:pStyle w:val="Footnote"/>
        <w:rPr>
          <w:spacing w:val="-2"/>
          <w:kern w:val="17"/>
        </w:rPr>
      </w:pPr>
      <w:r>
        <w:rPr>
          <w:spacing w:val="-2"/>
          <w:kern w:val="17"/>
        </w:rPr>
        <w:t xml:space="preserve">Source: </w:t>
      </w:r>
      <w:r w:rsidR="00F81527" w:rsidRPr="00F81527">
        <w:rPr>
          <w:spacing w:val="-2"/>
          <w:kern w:val="17"/>
        </w:rPr>
        <w:t xml:space="preserve">Created by the authors, based on Matt Hudgins, “When Apartment Rents Climb, Landlords Can Say ‘The Computer Did </w:t>
      </w:r>
      <w:r w:rsidR="00F5583E" w:rsidRPr="007603F9">
        <w:rPr>
          <w:spacing w:val="-2"/>
          <w:kern w:val="17"/>
        </w:rPr>
        <w:t>It</w:t>
      </w:r>
      <w:r w:rsidR="00F5583E">
        <w:rPr>
          <w:spacing w:val="-2"/>
          <w:kern w:val="17"/>
        </w:rPr>
        <w:t>,</w:t>
      </w:r>
      <w:r w:rsidR="00F5583E" w:rsidRPr="007603F9">
        <w:rPr>
          <w:spacing w:val="-2"/>
          <w:kern w:val="17"/>
        </w:rPr>
        <w:t xml:space="preserve">’” </w:t>
      </w:r>
      <w:r w:rsidR="00F5583E" w:rsidRPr="004E4EB0">
        <w:rPr>
          <w:i/>
          <w:spacing w:val="-2"/>
          <w:kern w:val="17"/>
        </w:rPr>
        <w:t>New York Times</w:t>
      </w:r>
      <w:r w:rsidR="00F5583E" w:rsidRPr="007603F9">
        <w:rPr>
          <w:spacing w:val="-2"/>
          <w:kern w:val="17"/>
        </w:rPr>
        <w:t>, November 29,</w:t>
      </w:r>
      <w:r w:rsidR="00F5583E">
        <w:rPr>
          <w:spacing w:val="-2"/>
          <w:kern w:val="17"/>
        </w:rPr>
        <w:t xml:space="preserve"> 2011</w:t>
      </w:r>
      <w:r w:rsidR="00F5583E" w:rsidRPr="00F81527">
        <w:rPr>
          <w:spacing w:val="-2"/>
          <w:kern w:val="17"/>
        </w:rPr>
        <w:t xml:space="preserve">, </w:t>
      </w:r>
      <w:r w:rsidR="00F81527" w:rsidRPr="00F81527">
        <w:rPr>
          <w:spacing w:val="-2"/>
          <w:kern w:val="17"/>
        </w:rPr>
        <w:t>accessed September 10, 2014, www.nytimes.com/2011/11/30/realestate/commercial</w:t>
      </w:r>
    </w:p>
    <w:p w14:paraId="519346C7" w14:textId="77777777" w:rsidR="00F81527" w:rsidRPr="00F81527" w:rsidRDefault="00F81527" w:rsidP="00F81527">
      <w:pPr>
        <w:pStyle w:val="Footnote"/>
        <w:rPr>
          <w:spacing w:val="-2"/>
          <w:kern w:val="17"/>
        </w:rPr>
      </w:pPr>
      <w:r w:rsidRPr="00F81527">
        <w:rPr>
          <w:spacing w:val="-2"/>
          <w:kern w:val="17"/>
        </w:rPr>
        <w:t>/lanlords-use-computers-to-arrive-at-the-right-rental-fees.html.</w:t>
      </w:r>
    </w:p>
    <w:p w14:paraId="007ACD01" w14:textId="77777777" w:rsidR="009556AA" w:rsidRPr="00F81527" w:rsidRDefault="009556AA" w:rsidP="005C4899">
      <w:pPr>
        <w:pStyle w:val="ExhibitText"/>
      </w:pPr>
    </w:p>
    <w:p w14:paraId="021761C1" w14:textId="77777777" w:rsidR="009556AA" w:rsidRPr="008E2DDB" w:rsidRDefault="009556AA" w:rsidP="005C4899">
      <w:pPr>
        <w:pStyle w:val="ExhibitText"/>
      </w:pPr>
    </w:p>
    <w:p w14:paraId="560DDA0B" w14:textId="18BE3EE5" w:rsidR="005B3674" w:rsidRPr="008E2DDB" w:rsidRDefault="005B3674" w:rsidP="008C6C49">
      <w:pPr>
        <w:pStyle w:val="ExhibitHeading"/>
        <w:outlineLvl w:val="0"/>
      </w:pPr>
      <w:r w:rsidRPr="008E2DDB">
        <w:t xml:space="preserve">Exhibit </w:t>
      </w:r>
      <w:r w:rsidR="008E6928">
        <w:t>5</w:t>
      </w:r>
      <w:r w:rsidRPr="008E2DDB">
        <w:t xml:space="preserve">: </w:t>
      </w:r>
      <w:r w:rsidR="00162B9D">
        <w:t>Projected</w:t>
      </w:r>
      <w:r w:rsidR="00162B9D" w:rsidRPr="008E2DDB">
        <w:t xml:space="preserve"> </w:t>
      </w:r>
      <w:r w:rsidRPr="008E2DDB">
        <w:t xml:space="preserve">Operating Expenses </w:t>
      </w:r>
      <w:r w:rsidR="00F5583E">
        <w:t>(in US$)</w:t>
      </w:r>
    </w:p>
    <w:p w14:paraId="6C72AE6C" w14:textId="77777777" w:rsidR="009556AA" w:rsidRPr="008E2DDB" w:rsidRDefault="009556AA" w:rsidP="005C4899">
      <w:pPr>
        <w:pStyle w:val="ExhibitText"/>
        <w:rPr>
          <w:noProof/>
        </w:rPr>
      </w:pPr>
    </w:p>
    <w:tbl>
      <w:tblPr>
        <w:tblW w:w="8280" w:type="dxa"/>
        <w:jc w:val="center"/>
        <w:tblLook w:val="04A0" w:firstRow="1" w:lastRow="0" w:firstColumn="1" w:lastColumn="0" w:noHBand="0" w:noVBand="1"/>
      </w:tblPr>
      <w:tblGrid>
        <w:gridCol w:w="3680"/>
        <w:gridCol w:w="4600"/>
      </w:tblGrid>
      <w:tr w:rsidR="006457BB" w:rsidRPr="008E2DDB" w14:paraId="4D5DDC11" w14:textId="77777777" w:rsidTr="007603F9">
        <w:trPr>
          <w:trHeight w:val="116"/>
          <w:jc w:val="center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A4F56" w14:textId="77777777" w:rsidR="009556AA" w:rsidRPr="008E2DDB" w:rsidRDefault="009556AA" w:rsidP="00F81527">
            <w:pPr>
              <w:pStyle w:val="ExhibitText"/>
              <w:jc w:val="left"/>
            </w:pPr>
            <w:r w:rsidRPr="008E2DDB">
              <w:t>Property maintenance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5182" w14:textId="557F9814" w:rsidR="009556AA" w:rsidRPr="008E2DDB" w:rsidRDefault="009556AA" w:rsidP="00F81527">
            <w:pPr>
              <w:pStyle w:val="ExhibitText"/>
              <w:jc w:val="left"/>
            </w:pPr>
            <w:r w:rsidRPr="008E2DDB">
              <w:t xml:space="preserve">$4,000 per month plus 20% of </w:t>
            </w:r>
            <w:r w:rsidR="00AC7FBA">
              <w:t>yearly</w:t>
            </w:r>
            <w:r w:rsidRPr="008E2DDB">
              <w:t xml:space="preserve"> revenue</w:t>
            </w:r>
          </w:p>
        </w:tc>
      </w:tr>
      <w:tr w:rsidR="006457BB" w:rsidRPr="008E2DDB" w14:paraId="5113044B" w14:textId="77777777" w:rsidTr="007603F9">
        <w:trPr>
          <w:trHeight w:val="162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04AF9" w14:textId="77777777" w:rsidR="009556AA" w:rsidRPr="008E2DDB" w:rsidRDefault="009556AA" w:rsidP="00F81527">
            <w:pPr>
              <w:pStyle w:val="ExhibitText"/>
              <w:jc w:val="left"/>
            </w:pPr>
            <w:r w:rsidRPr="008E2DDB">
              <w:t>Real estate taxes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0148" w14:textId="0829B691" w:rsidR="009556AA" w:rsidRPr="008E2DDB" w:rsidRDefault="009556AA" w:rsidP="00F5583E">
            <w:pPr>
              <w:pStyle w:val="ExhibitText"/>
              <w:jc w:val="left"/>
            </w:pPr>
            <w:r w:rsidRPr="008E2DDB">
              <w:t>$250 per unit, all units taxed</w:t>
            </w:r>
          </w:p>
        </w:tc>
      </w:tr>
      <w:tr w:rsidR="006457BB" w:rsidRPr="008E2DDB" w14:paraId="1B9E4181" w14:textId="77777777" w:rsidTr="007603F9">
        <w:trPr>
          <w:trHeight w:val="66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8829E" w14:textId="77777777" w:rsidR="009556AA" w:rsidRPr="008E2DDB" w:rsidRDefault="009556AA" w:rsidP="00F81527">
            <w:pPr>
              <w:pStyle w:val="ExhibitText"/>
              <w:jc w:val="left"/>
            </w:pPr>
            <w:r w:rsidRPr="008E2DDB">
              <w:t>Property management and other fees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7CB47" w14:textId="434D9D3C" w:rsidR="009556AA" w:rsidRPr="008E2DDB" w:rsidRDefault="009556AA" w:rsidP="00F81527">
            <w:pPr>
              <w:pStyle w:val="ExhibitText"/>
              <w:jc w:val="left"/>
            </w:pPr>
            <w:r w:rsidRPr="008E2DDB">
              <w:t xml:space="preserve">$50,000 </w:t>
            </w:r>
            <w:r w:rsidR="00AC7FBA">
              <w:t>yearly</w:t>
            </w:r>
          </w:p>
        </w:tc>
      </w:tr>
      <w:tr w:rsidR="006457BB" w:rsidRPr="008E2DDB" w14:paraId="678957F1" w14:textId="77777777" w:rsidTr="007603F9">
        <w:trPr>
          <w:trHeight w:val="254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BC1F" w14:textId="77777777" w:rsidR="009556AA" w:rsidRPr="008E2DDB" w:rsidRDefault="009556AA" w:rsidP="00F81527">
            <w:pPr>
              <w:pStyle w:val="ExhibitText"/>
              <w:jc w:val="left"/>
            </w:pPr>
            <w:r w:rsidRPr="008E2DDB">
              <w:t>Depreciation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4A4F6" w14:textId="1395E85B" w:rsidR="009556AA" w:rsidRPr="008E2DDB" w:rsidRDefault="009556AA" w:rsidP="00F81527">
            <w:pPr>
              <w:pStyle w:val="ExhibitText"/>
              <w:jc w:val="left"/>
            </w:pPr>
            <w:r w:rsidRPr="008E2DDB">
              <w:t>50-year life; cost of $5,000,000; 25 years old; straight-line with no salvage value</w:t>
            </w:r>
          </w:p>
        </w:tc>
      </w:tr>
      <w:tr w:rsidR="006457BB" w:rsidRPr="008E2DDB" w14:paraId="47F95E1B" w14:textId="77777777" w:rsidTr="007603F9">
        <w:trPr>
          <w:trHeight w:val="62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ABF1" w14:textId="77777777" w:rsidR="009556AA" w:rsidRPr="008E2DDB" w:rsidRDefault="009556AA" w:rsidP="00F81527">
            <w:pPr>
              <w:pStyle w:val="ExhibitText"/>
              <w:jc w:val="left"/>
            </w:pPr>
            <w:r w:rsidRPr="008E2DDB">
              <w:t>Other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40BE6" w14:textId="529CBD1A" w:rsidR="009556AA" w:rsidRPr="008E2DDB" w:rsidRDefault="009556AA" w:rsidP="00F81527">
            <w:pPr>
              <w:pStyle w:val="ExhibitText"/>
              <w:jc w:val="left"/>
            </w:pPr>
            <w:r w:rsidRPr="008E2DDB">
              <w:t xml:space="preserve">2.5% of </w:t>
            </w:r>
            <w:r w:rsidR="00AC7FBA">
              <w:t>yearly</w:t>
            </w:r>
            <w:r w:rsidRPr="008E2DDB">
              <w:t xml:space="preserve"> revenue</w:t>
            </w:r>
          </w:p>
        </w:tc>
      </w:tr>
    </w:tbl>
    <w:p w14:paraId="5A29678C" w14:textId="77777777" w:rsidR="007603F9" w:rsidRDefault="007603F9" w:rsidP="00F81527">
      <w:pPr>
        <w:pStyle w:val="Footnote"/>
        <w:rPr>
          <w:spacing w:val="-2"/>
          <w:kern w:val="17"/>
        </w:rPr>
      </w:pPr>
    </w:p>
    <w:p w14:paraId="19320E3A" w14:textId="78FFB190" w:rsidR="00F81527" w:rsidRPr="00F81527" w:rsidRDefault="007603F9" w:rsidP="00F81527">
      <w:pPr>
        <w:pStyle w:val="Footnote"/>
        <w:rPr>
          <w:spacing w:val="-2"/>
          <w:kern w:val="17"/>
        </w:rPr>
      </w:pPr>
      <w:r>
        <w:rPr>
          <w:spacing w:val="-2"/>
          <w:kern w:val="17"/>
        </w:rPr>
        <w:t xml:space="preserve">Source: </w:t>
      </w:r>
      <w:r w:rsidR="00F81527" w:rsidRPr="00F81527">
        <w:rPr>
          <w:spacing w:val="-2"/>
          <w:kern w:val="17"/>
        </w:rPr>
        <w:t xml:space="preserve">Created by the authors, based on Matt Hudgins, “When Apartment Rents Climb, Landlords Can Say ‘The Computer Did </w:t>
      </w:r>
      <w:r w:rsidR="00F5583E" w:rsidRPr="007603F9">
        <w:rPr>
          <w:spacing w:val="-2"/>
          <w:kern w:val="17"/>
        </w:rPr>
        <w:t>It</w:t>
      </w:r>
      <w:r w:rsidR="00F5583E">
        <w:rPr>
          <w:spacing w:val="-2"/>
          <w:kern w:val="17"/>
        </w:rPr>
        <w:t>,</w:t>
      </w:r>
      <w:r w:rsidR="00F5583E" w:rsidRPr="007603F9">
        <w:rPr>
          <w:spacing w:val="-2"/>
          <w:kern w:val="17"/>
        </w:rPr>
        <w:t xml:space="preserve">’” </w:t>
      </w:r>
      <w:r w:rsidR="00F5583E" w:rsidRPr="004E4EB0">
        <w:rPr>
          <w:i/>
          <w:spacing w:val="-2"/>
          <w:kern w:val="17"/>
        </w:rPr>
        <w:t>New York Times</w:t>
      </w:r>
      <w:r w:rsidR="00F5583E" w:rsidRPr="007603F9">
        <w:rPr>
          <w:spacing w:val="-2"/>
          <w:kern w:val="17"/>
        </w:rPr>
        <w:t>, November 29,</w:t>
      </w:r>
      <w:r w:rsidR="00F5583E">
        <w:rPr>
          <w:spacing w:val="-2"/>
          <w:kern w:val="17"/>
        </w:rPr>
        <w:t xml:space="preserve"> 2011</w:t>
      </w:r>
      <w:r w:rsidR="00F5583E" w:rsidRPr="00F81527">
        <w:rPr>
          <w:spacing w:val="-2"/>
          <w:kern w:val="17"/>
        </w:rPr>
        <w:t xml:space="preserve">, </w:t>
      </w:r>
      <w:r w:rsidR="00F81527" w:rsidRPr="00F81527">
        <w:rPr>
          <w:spacing w:val="-2"/>
          <w:kern w:val="17"/>
        </w:rPr>
        <w:t>accessed September 10, 2014, www.nytimes.com/2011/11/30/realestate/commercial</w:t>
      </w:r>
    </w:p>
    <w:p w14:paraId="367A8A80" w14:textId="6DA73BAB" w:rsidR="00CA34CE" w:rsidRPr="008E2DDB" w:rsidRDefault="00F81527" w:rsidP="00CA34CE">
      <w:pPr>
        <w:pStyle w:val="Footnote"/>
      </w:pPr>
      <w:r w:rsidRPr="00F81527">
        <w:rPr>
          <w:spacing w:val="-2"/>
          <w:kern w:val="17"/>
        </w:rPr>
        <w:t>/lanlords-use-computers-to-arrive-at-the-right-rental-fees.html.</w:t>
      </w:r>
    </w:p>
    <w:p w14:paraId="5FA70AAD" w14:textId="77777777" w:rsidR="00E7460C" w:rsidRPr="008E2DDB" w:rsidRDefault="00E7460C" w:rsidP="009556AA">
      <w:pPr>
        <w:pStyle w:val="Footnote"/>
      </w:pPr>
    </w:p>
    <w:sectPr w:rsidR="00E7460C" w:rsidRPr="008E2DDB" w:rsidSect="00EB5410">
      <w:headerReference w:type="default" r:id="rId11"/>
      <w:endnotePr>
        <w:numFmt w:val="decimal"/>
      </w:endnotePr>
      <w:pgSz w:w="12240" w:h="15840"/>
      <w:pgMar w:top="1080" w:right="1440" w:bottom="1440" w:left="144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A62CD" w14:textId="77777777" w:rsidR="00F36D2F" w:rsidRDefault="00F36D2F" w:rsidP="00D75295">
      <w:r>
        <w:separator/>
      </w:r>
    </w:p>
  </w:endnote>
  <w:endnote w:type="continuationSeparator" w:id="0">
    <w:p w14:paraId="71117196" w14:textId="77777777" w:rsidR="00F36D2F" w:rsidRDefault="00F36D2F" w:rsidP="00D7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CFCF9" w14:textId="77777777" w:rsidR="00F36D2F" w:rsidRDefault="00F36D2F" w:rsidP="00D75295">
      <w:r>
        <w:separator/>
      </w:r>
    </w:p>
  </w:footnote>
  <w:footnote w:type="continuationSeparator" w:id="0">
    <w:p w14:paraId="6BF4F620" w14:textId="77777777" w:rsidR="00F36D2F" w:rsidRDefault="00F36D2F" w:rsidP="00D75295">
      <w:r>
        <w:continuationSeparator/>
      </w:r>
    </w:p>
  </w:footnote>
  <w:footnote w:id="1">
    <w:p w14:paraId="5A16597E" w14:textId="43038B6C" w:rsidR="00704EB0" w:rsidRPr="00072934" w:rsidRDefault="00704EB0" w:rsidP="00072934">
      <w:pPr>
        <w:pStyle w:val="Footnote"/>
      </w:pPr>
      <w:r w:rsidRPr="00072934">
        <w:rPr>
          <w:rStyle w:val="FootnoteReference"/>
        </w:rPr>
        <w:footnoteRef/>
      </w:r>
      <w:r w:rsidRPr="00072934">
        <w:t xml:space="preserve"> Matt Hudgins, “When Apartment Rents Climb, Landlords Can Say ‘The Computer Did It,’” </w:t>
      </w:r>
      <w:r w:rsidRPr="005C4899">
        <w:rPr>
          <w:i/>
        </w:rPr>
        <w:t>New York Times</w:t>
      </w:r>
      <w:r w:rsidRPr="00072934">
        <w:t>, November 29, 2011, accessed September 10, 2014, www.nytimes.com/2011/11/30/realestate/commercial/landlords-use-computers-to-arrive-at-the-right-rental-fee.html</w:t>
      </w:r>
      <w:r>
        <w:t>.</w:t>
      </w:r>
    </w:p>
  </w:footnote>
  <w:footnote w:id="2">
    <w:p w14:paraId="3543EE6E" w14:textId="16D21200" w:rsidR="003B483C" w:rsidRDefault="003B483C" w:rsidP="003B483C">
      <w:pPr>
        <w:pStyle w:val="Footnote"/>
      </w:pPr>
      <w:r>
        <w:rPr>
          <w:rStyle w:val="FootnoteReference"/>
        </w:rPr>
        <w:footnoteRef/>
      </w:r>
      <w:r>
        <w:t xml:space="preserve"> Ibid.</w:t>
      </w:r>
    </w:p>
  </w:footnote>
  <w:footnote w:id="3">
    <w:p w14:paraId="7F84E4B6" w14:textId="7A0877D0" w:rsidR="00704EB0" w:rsidRDefault="00704EB0" w:rsidP="005C4899">
      <w:pPr>
        <w:pStyle w:val="Footnote"/>
      </w:pPr>
      <w:r w:rsidRPr="002C76A4">
        <w:rPr>
          <w:rStyle w:val="FootnoteReference"/>
          <w:sz w:val="18"/>
          <w:szCs w:val="20"/>
        </w:rPr>
        <w:footnoteRef/>
      </w:r>
      <w:r w:rsidRPr="002C76A4">
        <w:t xml:space="preserve"> </w:t>
      </w:r>
      <w:r w:rsidRPr="002C76A4">
        <w:rPr>
          <w:bCs/>
        </w:rPr>
        <w:t>Les Christie, “Priceline for Landlords May Determine Your Next Rent,”</w:t>
      </w:r>
      <w:r w:rsidRPr="002C76A4">
        <w:t xml:space="preserve"> CNN Money,</w:t>
      </w:r>
      <w:r w:rsidRPr="002C76A4">
        <w:rPr>
          <w:bCs/>
        </w:rPr>
        <w:t xml:space="preserve"> February 19, 2014</w:t>
      </w:r>
      <w:r w:rsidRPr="002C76A4">
        <w:t>, accessed September 10, 2014, http://money.cnn.com/2014/02/19/real_estate/apartments-rent/index.html?iid=HP_LN</w:t>
      </w:r>
      <w:r w:rsidRPr="00072934">
        <w:t>.</w:t>
      </w:r>
    </w:p>
  </w:footnote>
  <w:footnote w:id="4">
    <w:p w14:paraId="17C47A02" w14:textId="5E7AA897" w:rsidR="00704EB0" w:rsidRPr="00072934" w:rsidRDefault="00704EB0" w:rsidP="00072934">
      <w:pPr>
        <w:pStyle w:val="Footnote"/>
      </w:pPr>
      <w:r w:rsidRPr="00072934">
        <w:rPr>
          <w:rStyle w:val="FootnoteReference"/>
        </w:rPr>
        <w:footnoteRef/>
      </w:r>
      <w:r w:rsidRPr="00072934">
        <w:t xml:space="preserve"> </w:t>
      </w:r>
      <w:r>
        <w:t>Ibid.</w:t>
      </w:r>
    </w:p>
  </w:footnote>
  <w:footnote w:id="5">
    <w:p w14:paraId="4575D3B0" w14:textId="77777777" w:rsidR="00704EB0" w:rsidRPr="00072934" w:rsidRDefault="00704EB0" w:rsidP="00072934">
      <w:pPr>
        <w:pStyle w:val="Footnote"/>
      </w:pPr>
      <w:r w:rsidRPr="00072934">
        <w:rPr>
          <w:rStyle w:val="FootnoteReference"/>
        </w:rPr>
        <w:footnoteRef/>
      </w:r>
      <w:r w:rsidRPr="00072934">
        <w:t xml:space="preserve"> A</w:t>
      </w:r>
      <w:r w:rsidRPr="00072934">
        <w:rPr>
          <w:rFonts w:eastAsiaTheme="minorEastAsia"/>
        </w:rPr>
        <w:t>ll currency amounts are in US$ unless otherwise specified.</w:t>
      </w:r>
    </w:p>
  </w:footnote>
  <w:footnote w:id="6">
    <w:p w14:paraId="1D6180B6" w14:textId="0D20B7F5" w:rsidR="00704EB0" w:rsidRPr="002C76A4" w:rsidRDefault="00704EB0" w:rsidP="000C5102">
      <w:pPr>
        <w:pStyle w:val="Footnote"/>
        <w:rPr>
          <w:rFonts w:asciiTheme="minorHAnsi" w:hAnsiTheme="minorHAnsi"/>
          <w:sz w:val="18"/>
          <w:szCs w:val="18"/>
        </w:rPr>
      </w:pPr>
      <w:r w:rsidRPr="00072934">
        <w:rPr>
          <w:rStyle w:val="FootnoteReference"/>
        </w:rPr>
        <w:footnoteRef/>
      </w:r>
      <w:r w:rsidRPr="00072934">
        <w:t xml:space="preserve"> Hudgins, </w:t>
      </w:r>
      <w:r>
        <w:t>op. cit</w:t>
      </w:r>
      <w:r w:rsidRPr="00072934">
        <w:t>.</w:t>
      </w:r>
    </w:p>
  </w:footnote>
  <w:footnote w:id="7">
    <w:p w14:paraId="698ED5B3" w14:textId="519EC461" w:rsidR="00704EB0" w:rsidRDefault="00704EB0" w:rsidP="005C4899">
      <w:pPr>
        <w:pStyle w:val="Footnote"/>
      </w:pPr>
      <w:r>
        <w:rPr>
          <w:rStyle w:val="FootnoteReference"/>
        </w:rPr>
        <w:footnoteRef/>
      </w:r>
      <w:r>
        <w:t xml:space="preserve"> Ibid.</w:t>
      </w:r>
    </w:p>
  </w:footnote>
  <w:footnote w:id="8">
    <w:p w14:paraId="21D20973" w14:textId="4910C94A" w:rsidR="00121478" w:rsidRDefault="00121478" w:rsidP="00121478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121478">
        <w:t>For Excel 2007 and 2010 see “Load the Solver Add-In,” Microsoft Corporation, accessed February 15, 2017, https://support.office.com/en-us/article/Load-the-Solver-Add-in-612926fc-d53b-46b4-872c-e24772f078ca; For Excel 2013 and 2016 see “Load the Solver Add-In,” Microsoft Corporation, accessed February 15, 2017, https://support.office.com/en-us/article/Load-the-Solver-Add-in-ec994cd0-a396-4bf3-a5dd-feda369cef37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DE6D8" w14:textId="03534715" w:rsidR="00704EB0" w:rsidRDefault="00704EB0" w:rsidP="006A58A9">
    <w:pPr>
      <w:pBdr>
        <w:bottom w:val="single" w:sz="18" w:space="1" w:color="auto"/>
      </w:pBdr>
      <w:tabs>
        <w:tab w:val="left" w:pos="-1440"/>
        <w:tab w:val="left" w:pos="-720"/>
        <w:tab w:val="right" w:pos="9360"/>
        <w:tab w:val="right" w:pos="10800"/>
      </w:tabs>
      <w:rPr>
        <w:rFonts w:ascii="Arial" w:hAnsi="Arial"/>
      </w:rPr>
    </w:pPr>
    <w:r>
      <w:rPr>
        <w:rFonts w:ascii="Arial" w:hAnsi="Arial"/>
        <w:b/>
      </w:rPr>
      <w:t xml:space="preserve">Page </w:t>
    </w:r>
    <w:r>
      <w:rPr>
        <w:rFonts w:ascii="Arial" w:hAnsi="Arial"/>
        <w:b/>
      </w:rPr>
      <w:fldChar w:fldCharType="begin"/>
    </w:r>
    <w:r>
      <w:rPr>
        <w:rFonts w:ascii="Arial" w:hAnsi="Arial"/>
        <w:b/>
      </w:rPr>
      <w:instrText>PAGE</w:instrText>
    </w:r>
    <w:r>
      <w:rPr>
        <w:rFonts w:ascii="Arial" w:hAnsi="Arial"/>
        <w:b/>
      </w:rPr>
      <w:fldChar w:fldCharType="separate"/>
    </w:r>
    <w:r w:rsidR="00B250CE">
      <w:rPr>
        <w:rFonts w:ascii="Arial" w:hAnsi="Arial"/>
        <w:b/>
        <w:noProof/>
      </w:rPr>
      <w:t>7</w:t>
    </w:r>
    <w:r>
      <w:rPr>
        <w:rFonts w:ascii="Arial" w:hAnsi="Arial"/>
        <w:b/>
      </w:rPr>
      <w:fldChar w:fldCharType="end"/>
    </w:r>
    <w:r w:rsidR="005C4899">
      <w:rPr>
        <w:rFonts w:ascii="Arial" w:hAnsi="Arial"/>
        <w:b/>
      </w:rPr>
      <w:tab/>
      <w:t>9B17B003</w:t>
    </w:r>
  </w:p>
  <w:p w14:paraId="489DD285" w14:textId="77777777" w:rsidR="00704EB0" w:rsidRPr="00C92CC4" w:rsidRDefault="00704EB0">
    <w:pPr>
      <w:pStyle w:val="Header"/>
      <w:rPr>
        <w:sz w:val="18"/>
        <w:szCs w:val="18"/>
      </w:rPr>
    </w:pPr>
  </w:p>
  <w:p w14:paraId="69A22170" w14:textId="77777777" w:rsidR="00704EB0" w:rsidRPr="00C92CC4" w:rsidRDefault="00704EB0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37A9F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D895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BAAB6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1366A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1B0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CECCE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0AEA7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576AA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99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FB02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52ED7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C96BE0"/>
    <w:multiLevelType w:val="hybridMultilevel"/>
    <w:tmpl w:val="85FC7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C62955"/>
    <w:multiLevelType w:val="hybridMultilevel"/>
    <w:tmpl w:val="297C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787BCD"/>
    <w:multiLevelType w:val="hybridMultilevel"/>
    <w:tmpl w:val="E7122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A66AFC"/>
    <w:multiLevelType w:val="hybridMultilevel"/>
    <w:tmpl w:val="31B2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E310F5"/>
    <w:multiLevelType w:val="hybridMultilevel"/>
    <w:tmpl w:val="63B45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F83088"/>
    <w:multiLevelType w:val="hybridMultilevel"/>
    <w:tmpl w:val="44C6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1E73C8"/>
    <w:multiLevelType w:val="hybridMultilevel"/>
    <w:tmpl w:val="1C0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4162743"/>
    <w:multiLevelType w:val="hybridMultilevel"/>
    <w:tmpl w:val="297C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D61719"/>
    <w:multiLevelType w:val="hybridMultilevel"/>
    <w:tmpl w:val="40A0CC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0101EF9"/>
    <w:multiLevelType w:val="hybridMultilevel"/>
    <w:tmpl w:val="DCA2D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FC145C"/>
    <w:multiLevelType w:val="hybridMultilevel"/>
    <w:tmpl w:val="672CA2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2E6B4B"/>
    <w:multiLevelType w:val="hybridMultilevel"/>
    <w:tmpl w:val="AA92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9E34667"/>
    <w:multiLevelType w:val="hybridMultilevel"/>
    <w:tmpl w:val="568A6C28"/>
    <w:lvl w:ilvl="0" w:tplc="935A5A8E">
      <w:start w:val="20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 w15:restartNumberingAfterBreak="0">
    <w:nsid w:val="4C470BE3"/>
    <w:multiLevelType w:val="hybridMultilevel"/>
    <w:tmpl w:val="69F8BD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2E2A27"/>
    <w:multiLevelType w:val="hybridMultilevel"/>
    <w:tmpl w:val="FBEE91EC"/>
    <w:lvl w:ilvl="0" w:tplc="BD5E4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82A13C0"/>
    <w:multiLevelType w:val="hybridMultilevel"/>
    <w:tmpl w:val="A746AFAE"/>
    <w:lvl w:ilvl="0" w:tplc="EB862D92">
      <w:start w:val="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7" w15:restartNumberingAfterBreak="0">
    <w:nsid w:val="60B37735"/>
    <w:multiLevelType w:val="hybridMultilevel"/>
    <w:tmpl w:val="F182BBFA"/>
    <w:lvl w:ilvl="0" w:tplc="7DF80D64">
      <w:start w:val="15"/>
      <w:numFmt w:val="bullet"/>
      <w:lvlText w:val=""/>
      <w:lvlJc w:val="left"/>
      <w:pPr>
        <w:ind w:left="3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8" w15:restartNumberingAfterBreak="0">
    <w:nsid w:val="66B46081"/>
    <w:multiLevelType w:val="multilevel"/>
    <w:tmpl w:val="0F54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9" w15:restartNumberingAfterBreak="0">
    <w:nsid w:val="71AF048E"/>
    <w:multiLevelType w:val="hybridMultilevel"/>
    <w:tmpl w:val="BD341B84"/>
    <w:lvl w:ilvl="0" w:tplc="1206B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AEA4386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 w15:restartNumberingAfterBreak="0">
    <w:nsid w:val="7E27680C"/>
    <w:multiLevelType w:val="hybridMultilevel"/>
    <w:tmpl w:val="D1287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6"/>
  </w:num>
  <w:num w:numId="12">
    <w:abstractNumId w:val="23"/>
  </w:num>
  <w:num w:numId="13">
    <w:abstractNumId w:val="14"/>
  </w:num>
  <w:num w:numId="14">
    <w:abstractNumId w:val="25"/>
  </w:num>
  <w:num w:numId="15">
    <w:abstractNumId w:val="26"/>
  </w:num>
  <w:num w:numId="16">
    <w:abstractNumId w:val="27"/>
  </w:num>
  <w:num w:numId="17">
    <w:abstractNumId w:val="18"/>
  </w:num>
  <w:num w:numId="18">
    <w:abstractNumId w:val="28"/>
  </w:num>
  <w:num w:numId="19">
    <w:abstractNumId w:val="13"/>
  </w:num>
  <w:num w:numId="20">
    <w:abstractNumId w:val="12"/>
  </w:num>
  <w:num w:numId="21">
    <w:abstractNumId w:val="29"/>
  </w:num>
  <w:num w:numId="22">
    <w:abstractNumId w:val="22"/>
  </w:num>
  <w:num w:numId="23">
    <w:abstractNumId w:val="30"/>
    <w:lvlOverride w:ilvl="0">
      <w:lvl w:ilvl="0">
        <w:start w:val="1"/>
        <w:numFmt w:val="decimal"/>
        <w:lvlText w:val="%1)"/>
        <w:lvlJc w:val="left"/>
      </w:lvl>
    </w:lvlOverride>
    <w:lvlOverride w:ilvl="1">
      <w:lvl w:ilvl="1">
        <w:start w:val="1"/>
        <w:numFmt w:val="lowerLetter"/>
        <w:lvlText w:val="%2)"/>
        <w:lvlJc w:val="left"/>
      </w:lvl>
    </w:lvlOverride>
    <w:lvlOverride w:ilvl="2">
      <w:lvl w:ilvl="2">
        <w:start w:val="1"/>
        <w:numFmt w:val="lowerRoman"/>
        <w:lvlText w:val="%3)"/>
        <w:lvlJc w:val="left"/>
      </w:lvl>
    </w:lvlOverride>
    <w:lvlOverride w:ilvl="3">
      <w:lvl w:ilvl="3">
        <w:start w:val="1"/>
        <w:numFmt w:val="decimal"/>
        <w:lvlText w:val="(%4)"/>
        <w:lvlJc w:val="left"/>
      </w:lvl>
    </w:lvlOverride>
    <w:lvlOverride w:ilvl="4">
      <w:lvl w:ilvl="4">
        <w:start w:val="1"/>
        <w:numFmt w:val="lowerLetter"/>
        <w:lvlText w:val="(%5)"/>
        <w:lvlJc w:val="left"/>
      </w:lvl>
    </w:lvlOverride>
    <w:lvlOverride w:ilvl="5">
      <w:lvl w:ilvl="5">
        <w:start w:val="1"/>
        <w:numFmt w:val="lowerRoman"/>
        <w:lvlText w:val="(%6)"/>
        <w:lvlJc w:val="left"/>
      </w:lvl>
    </w:lvlOverride>
    <w:lvlOverride w:ilvl="6">
      <w:lvl w:ilvl="6">
        <w:start w:val="1"/>
        <w:numFmt w:val="decimal"/>
        <w:lvlText w:val="%7."/>
        <w:lvlJc w:val="left"/>
      </w:lvl>
    </w:lvlOverride>
    <w:lvlOverride w:ilvl="7">
      <w:lvl w:ilvl="7">
        <w:start w:val="1"/>
        <w:numFmt w:val="lowerLetter"/>
        <w:lvlText w:val="%8."/>
        <w:lvlJc w:val="left"/>
      </w:lvl>
    </w:lvlOverride>
    <w:lvlOverride w:ilvl="8">
      <w:lvl w:ilvl="8">
        <w:start w:val="1"/>
        <w:numFmt w:val="lowerRoman"/>
        <w:lvlText w:val="%9."/>
        <w:lvlJc w:val="left"/>
      </w:lvl>
    </w:lvlOverride>
  </w:num>
  <w:num w:numId="24">
    <w:abstractNumId w:val="30"/>
    <w:lvlOverride w:ilvl="0">
      <w:lvl w:ilvl="0">
        <w:start w:val="1"/>
        <w:numFmt w:val="upperRoman"/>
        <w:lvlText w:val="%1."/>
        <w:lvlJc w:val="left"/>
      </w:lvl>
    </w:lvlOverride>
    <w:lvlOverride w:ilvl="1">
      <w:lvl w:ilvl="1">
        <w:start w:val="1"/>
        <w:numFmt w:val="upp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</w:lvl>
    </w:lvlOverride>
    <w:lvlOverride w:ilvl="3">
      <w:lvl w:ilvl="3">
        <w:start w:val="1"/>
        <w:numFmt w:val="lowerLetter"/>
        <w:lvlText w:val="%4)"/>
        <w:lvlJc w:val="left"/>
      </w:lvl>
    </w:lvlOverride>
    <w:lvlOverride w:ilvl="4">
      <w:lvl w:ilvl="4">
        <w:start w:val="1"/>
        <w:numFmt w:val="decimal"/>
        <w:lvlText w:val="(%5)"/>
        <w:lvlJc w:val="left"/>
      </w:lvl>
    </w:lvlOverride>
    <w:lvlOverride w:ilvl="5">
      <w:lvl w:ilvl="5">
        <w:start w:val="1"/>
        <w:numFmt w:val="lowerLetter"/>
        <w:lvlText w:val="(%6)"/>
        <w:lvlJc w:val="left"/>
      </w:lvl>
    </w:lvlOverride>
    <w:lvlOverride w:ilvl="6">
      <w:lvl w:ilvl="6">
        <w:start w:val="1"/>
        <w:numFmt w:val="lowerRoman"/>
        <w:lvlText w:val="(%7)"/>
        <w:lvlJc w:val="left"/>
      </w:lvl>
    </w:lvlOverride>
    <w:lvlOverride w:ilvl="7">
      <w:lvl w:ilvl="7">
        <w:start w:val="1"/>
        <w:numFmt w:val="lowerLetter"/>
        <w:lvlText w:val="(%8)"/>
        <w:lvlJc w:val="left"/>
      </w:lvl>
    </w:lvlOverride>
    <w:lvlOverride w:ilvl="8">
      <w:lvl w:ilvl="8">
        <w:start w:val="1"/>
        <w:numFmt w:val="lowerRoman"/>
        <w:lvlText w:val="(%9)"/>
        <w:lvlJc w:val="left"/>
      </w:lvl>
    </w:lvlOverride>
  </w:num>
  <w:num w:numId="25">
    <w:abstractNumId w:val="30"/>
    <w:lvlOverride w:ilvl="0">
      <w:lvl w:ilvl="0">
        <w:start w:val="1"/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1.%2."/>
        <w:lvlJc w:val="left"/>
      </w:lvl>
    </w:lvlOverride>
    <w:lvlOverride w:ilvl="2">
      <w:lvl w:ilvl="2">
        <w:start w:val="1"/>
        <w:numFmt w:val="decimal"/>
        <w:lvlText w:val="%1.%2.%3."/>
        <w:lvlJc w:val="left"/>
      </w:lvl>
    </w:lvlOverride>
    <w:lvlOverride w:ilvl="3">
      <w:lvl w:ilvl="3">
        <w:start w:val="1"/>
        <w:numFmt w:val="decimal"/>
        <w:lvlText w:val="%1.%2.%3.%4."/>
        <w:lvlJc w:val="left"/>
      </w:lvl>
    </w:lvlOverride>
    <w:lvlOverride w:ilvl="4">
      <w:lvl w:ilvl="4">
        <w:start w:val="1"/>
        <w:numFmt w:val="decimal"/>
        <w:lvlText w:val="%1.%2.%3.%4.%5."/>
        <w:lvlJc w:val="left"/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26">
    <w:abstractNumId w:val="17"/>
  </w:num>
  <w:num w:numId="27">
    <w:abstractNumId w:val="21"/>
  </w:num>
  <w:num w:numId="28">
    <w:abstractNumId w:val="31"/>
  </w:num>
  <w:num w:numId="29">
    <w:abstractNumId w:val="11"/>
  </w:num>
  <w:num w:numId="30">
    <w:abstractNumId w:val="15"/>
  </w:num>
  <w:num w:numId="31">
    <w:abstractNumId w:val="19"/>
  </w:num>
  <w:num w:numId="32">
    <w:abstractNumId w:val="24"/>
  </w:num>
  <w:num w:numId="33">
    <w:abstractNumId w:val="2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C4"/>
    <w:rsid w:val="00000447"/>
    <w:rsid w:val="0000085A"/>
    <w:rsid w:val="00013360"/>
    <w:rsid w:val="000216CE"/>
    <w:rsid w:val="00024D80"/>
    <w:rsid w:val="00025DC7"/>
    <w:rsid w:val="00026486"/>
    <w:rsid w:val="0003624D"/>
    <w:rsid w:val="0004119B"/>
    <w:rsid w:val="00044ECC"/>
    <w:rsid w:val="00050FA2"/>
    <w:rsid w:val="000531D3"/>
    <w:rsid w:val="0005479F"/>
    <w:rsid w:val="0005646B"/>
    <w:rsid w:val="00072934"/>
    <w:rsid w:val="00077633"/>
    <w:rsid w:val="0008102D"/>
    <w:rsid w:val="00094C0E"/>
    <w:rsid w:val="000C1317"/>
    <w:rsid w:val="000C37CD"/>
    <w:rsid w:val="000C5102"/>
    <w:rsid w:val="000E2757"/>
    <w:rsid w:val="000F0C22"/>
    <w:rsid w:val="000F6B09"/>
    <w:rsid w:val="000F6B78"/>
    <w:rsid w:val="000F6FDC"/>
    <w:rsid w:val="00104567"/>
    <w:rsid w:val="00113267"/>
    <w:rsid w:val="0011509B"/>
    <w:rsid w:val="00121478"/>
    <w:rsid w:val="0012732D"/>
    <w:rsid w:val="00132815"/>
    <w:rsid w:val="00147CC6"/>
    <w:rsid w:val="00154FC9"/>
    <w:rsid w:val="00162B9D"/>
    <w:rsid w:val="0016559B"/>
    <w:rsid w:val="00167EC3"/>
    <w:rsid w:val="001761E3"/>
    <w:rsid w:val="001859B7"/>
    <w:rsid w:val="0019241A"/>
    <w:rsid w:val="001A5335"/>
    <w:rsid w:val="001A66F6"/>
    <w:rsid w:val="001A752D"/>
    <w:rsid w:val="001E44B7"/>
    <w:rsid w:val="001E6DFD"/>
    <w:rsid w:val="00200E27"/>
    <w:rsid w:val="00203AA1"/>
    <w:rsid w:val="00213E98"/>
    <w:rsid w:val="002263BF"/>
    <w:rsid w:val="00240EFB"/>
    <w:rsid w:val="00246F92"/>
    <w:rsid w:val="002636AA"/>
    <w:rsid w:val="0027602F"/>
    <w:rsid w:val="00284239"/>
    <w:rsid w:val="00285A7F"/>
    <w:rsid w:val="00291F31"/>
    <w:rsid w:val="002A2FD9"/>
    <w:rsid w:val="002A4F36"/>
    <w:rsid w:val="002B1C0E"/>
    <w:rsid w:val="002B5A6E"/>
    <w:rsid w:val="002B62CC"/>
    <w:rsid w:val="002C0779"/>
    <w:rsid w:val="002C76A4"/>
    <w:rsid w:val="002D2356"/>
    <w:rsid w:val="002D2D52"/>
    <w:rsid w:val="002E32F0"/>
    <w:rsid w:val="002F460C"/>
    <w:rsid w:val="002F48D6"/>
    <w:rsid w:val="00305DB5"/>
    <w:rsid w:val="0031444E"/>
    <w:rsid w:val="00354899"/>
    <w:rsid w:val="00355FD6"/>
    <w:rsid w:val="00356267"/>
    <w:rsid w:val="00361C8E"/>
    <w:rsid w:val="00364A5C"/>
    <w:rsid w:val="00373FB1"/>
    <w:rsid w:val="00396E24"/>
    <w:rsid w:val="003B30D8"/>
    <w:rsid w:val="003B3D71"/>
    <w:rsid w:val="003B483C"/>
    <w:rsid w:val="003B7EF2"/>
    <w:rsid w:val="003C3FA4"/>
    <w:rsid w:val="003C6E22"/>
    <w:rsid w:val="003D755D"/>
    <w:rsid w:val="003F29AC"/>
    <w:rsid w:val="003F2B0C"/>
    <w:rsid w:val="00403226"/>
    <w:rsid w:val="00416491"/>
    <w:rsid w:val="004175CF"/>
    <w:rsid w:val="00420670"/>
    <w:rsid w:val="0042164D"/>
    <w:rsid w:val="004221E4"/>
    <w:rsid w:val="00432D58"/>
    <w:rsid w:val="00436809"/>
    <w:rsid w:val="0046067A"/>
    <w:rsid w:val="00471088"/>
    <w:rsid w:val="00475962"/>
    <w:rsid w:val="00483AF9"/>
    <w:rsid w:val="004A0756"/>
    <w:rsid w:val="004A0A3E"/>
    <w:rsid w:val="004A2A39"/>
    <w:rsid w:val="004A436C"/>
    <w:rsid w:val="004B1CCB"/>
    <w:rsid w:val="004D13EF"/>
    <w:rsid w:val="004D5B5E"/>
    <w:rsid w:val="004D73A5"/>
    <w:rsid w:val="004E28C2"/>
    <w:rsid w:val="004F2FF5"/>
    <w:rsid w:val="005107E7"/>
    <w:rsid w:val="005259AC"/>
    <w:rsid w:val="00532CF5"/>
    <w:rsid w:val="005528CB"/>
    <w:rsid w:val="00563AB0"/>
    <w:rsid w:val="00566771"/>
    <w:rsid w:val="00576A36"/>
    <w:rsid w:val="00581E2E"/>
    <w:rsid w:val="00584F15"/>
    <w:rsid w:val="00596B91"/>
    <w:rsid w:val="005B3674"/>
    <w:rsid w:val="005B6022"/>
    <w:rsid w:val="005C383E"/>
    <w:rsid w:val="005C4899"/>
    <w:rsid w:val="005D1DED"/>
    <w:rsid w:val="005E184D"/>
    <w:rsid w:val="005E67C9"/>
    <w:rsid w:val="005F2AE8"/>
    <w:rsid w:val="006163F7"/>
    <w:rsid w:val="00640BEB"/>
    <w:rsid w:val="006457BB"/>
    <w:rsid w:val="00652606"/>
    <w:rsid w:val="006649FA"/>
    <w:rsid w:val="006662B2"/>
    <w:rsid w:val="0067073D"/>
    <w:rsid w:val="0067321B"/>
    <w:rsid w:val="00682754"/>
    <w:rsid w:val="006828BA"/>
    <w:rsid w:val="00682C2C"/>
    <w:rsid w:val="006923C9"/>
    <w:rsid w:val="006A2E42"/>
    <w:rsid w:val="006A58A9"/>
    <w:rsid w:val="006A606D"/>
    <w:rsid w:val="006A6EFA"/>
    <w:rsid w:val="006B0A2F"/>
    <w:rsid w:val="006B3AD0"/>
    <w:rsid w:val="006B7F7A"/>
    <w:rsid w:val="006C0371"/>
    <w:rsid w:val="006C08B6"/>
    <w:rsid w:val="006C0B1A"/>
    <w:rsid w:val="006C3CF9"/>
    <w:rsid w:val="006C4384"/>
    <w:rsid w:val="006C6065"/>
    <w:rsid w:val="006C7F9F"/>
    <w:rsid w:val="006E2F6D"/>
    <w:rsid w:val="006E58F6"/>
    <w:rsid w:val="006E77E1"/>
    <w:rsid w:val="006E7FC3"/>
    <w:rsid w:val="006F131D"/>
    <w:rsid w:val="006F1D9E"/>
    <w:rsid w:val="00702CBC"/>
    <w:rsid w:val="00704EB0"/>
    <w:rsid w:val="00715A32"/>
    <w:rsid w:val="0073242D"/>
    <w:rsid w:val="00745B6D"/>
    <w:rsid w:val="00752BCD"/>
    <w:rsid w:val="007603F9"/>
    <w:rsid w:val="00762715"/>
    <w:rsid w:val="00766DA1"/>
    <w:rsid w:val="007866A6"/>
    <w:rsid w:val="007911EE"/>
    <w:rsid w:val="007A130D"/>
    <w:rsid w:val="007A4590"/>
    <w:rsid w:val="007B3954"/>
    <w:rsid w:val="007D138F"/>
    <w:rsid w:val="007D4102"/>
    <w:rsid w:val="007D7722"/>
    <w:rsid w:val="007E023B"/>
    <w:rsid w:val="007E11E1"/>
    <w:rsid w:val="007E5921"/>
    <w:rsid w:val="008102D7"/>
    <w:rsid w:val="00821FFC"/>
    <w:rsid w:val="008271CA"/>
    <w:rsid w:val="008467D5"/>
    <w:rsid w:val="00856D9F"/>
    <w:rsid w:val="008624B4"/>
    <w:rsid w:val="00862BAC"/>
    <w:rsid w:val="00864A61"/>
    <w:rsid w:val="00866F6D"/>
    <w:rsid w:val="00873802"/>
    <w:rsid w:val="008A4039"/>
    <w:rsid w:val="008A4DC4"/>
    <w:rsid w:val="008A4EE1"/>
    <w:rsid w:val="008C359A"/>
    <w:rsid w:val="008C6C49"/>
    <w:rsid w:val="008E2DDB"/>
    <w:rsid w:val="008E5EAF"/>
    <w:rsid w:val="008E6727"/>
    <w:rsid w:val="008E6928"/>
    <w:rsid w:val="009067A4"/>
    <w:rsid w:val="0090722E"/>
    <w:rsid w:val="009147FE"/>
    <w:rsid w:val="009302E3"/>
    <w:rsid w:val="00931D11"/>
    <w:rsid w:val="009340DB"/>
    <w:rsid w:val="00945F9E"/>
    <w:rsid w:val="009556AA"/>
    <w:rsid w:val="00972498"/>
    <w:rsid w:val="00974CC6"/>
    <w:rsid w:val="00976AD4"/>
    <w:rsid w:val="009A312F"/>
    <w:rsid w:val="009A5348"/>
    <w:rsid w:val="009A67BB"/>
    <w:rsid w:val="009B6741"/>
    <w:rsid w:val="009C537C"/>
    <w:rsid w:val="009C76D5"/>
    <w:rsid w:val="009F7AA4"/>
    <w:rsid w:val="00A12869"/>
    <w:rsid w:val="00A17CFB"/>
    <w:rsid w:val="00A22DE5"/>
    <w:rsid w:val="00A52F8C"/>
    <w:rsid w:val="00A559DB"/>
    <w:rsid w:val="00A709F1"/>
    <w:rsid w:val="00A8602F"/>
    <w:rsid w:val="00AB38B5"/>
    <w:rsid w:val="00AC7FBA"/>
    <w:rsid w:val="00AD187A"/>
    <w:rsid w:val="00AF1F40"/>
    <w:rsid w:val="00AF35FC"/>
    <w:rsid w:val="00AF39FA"/>
    <w:rsid w:val="00B03639"/>
    <w:rsid w:val="00B05771"/>
    <w:rsid w:val="00B0652A"/>
    <w:rsid w:val="00B2303E"/>
    <w:rsid w:val="00B250CE"/>
    <w:rsid w:val="00B3166C"/>
    <w:rsid w:val="00B3757D"/>
    <w:rsid w:val="00B40937"/>
    <w:rsid w:val="00B423EF"/>
    <w:rsid w:val="00B453DE"/>
    <w:rsid w:val="00B4742F"/>
    <w:rsid w:val="00B55BA9"/>
    <w:rsid w:val="00B62C9B"/>
    <w:rsid w:val="00B901F9"/>
    <w:rsid w:val="00BD3DB2"/>
    <w:rsid w:val="00BD56F3"/>
    <w:rsid w:val="00BD6EFB"/>
    <w:rsid w:val="00BE6CF1"/>
    <w:rsid w:val="00BF601C"/>
    <w:rsid w:val="00BF7805"/>
    <w:rsid w:val="00C10D48"/>
    <w:rsid w:val="00C15BE2"/>
    <w:rsid w:val="00C22219"/>
    <w:rsid w:val="00C24572"/>
    <w:rsid w:val="00C250E8"/>
    <w:rsid w:val="00C3447F"/>
    <w:rsid w:val="00C46F8F"/>
    <w:rsid w:val="00C642D1"/>
    <w:rsid w:val="00C81491"/>
    <w:rsid w:val="00C81676"/>
    <w:rsid w:val="00C81E79"/>
    <w:rsid w:val="00C82486"/>
    <w:rsid w:val="00C92CC4"/>
    <w:rsid w:val="00C9367A"/>
    <w:rsid w:val="00CA0AFB"/>
    <w:rsid w:val="00CA2CE1"/>
    <w:rsid w:val="00CA34CE"/>
    <w:rsid w:val="00CA3976"/>
    <w:rsid w:val="00CA757B"/>
    <w:rsid w:val="00CB60DE"/>
    <w:rsid w:val="00CB6B09"/>
    <w:rsid w:val="00CC1787"/>
    <w:rsid w:val="00CC182C"/>
    <w:rsid w:val="00CD0824"/>
    <w:rsid w:val="00CD0AA9"/>
    <w:rsid w:val="00CD2908"/>
    <w:rsid w:val="00CD7C3D"/>
    <w:rsid w:val="00CF4277"/>
    <w:rsid w:val="00D01E33"/>
    <w:rsid w:val="00D03A82"/>
    <w:rsid w:val="00D15344"/>
    <w:rsid w:val="00D31BEC"/>
    <w:rsid w:val="00D420CE"/>
    <w:rsid w:val="00D600CB"/>
    <w:rsid w:val="00D63150"/>
    <w:rsid w:val="00D64A32"/>
    <w:rsid w:val="00D64EFC"/>
    <w:rsid w:val="00D75295"/>
    <w:rsid w:val="00D76CE9"/>
    <w:rsid w:val="00D93A11"/>
    <w:rsid w:val="00D93C2E"/>
    <w:rsid w:val="00D97F12"/>
    <w:rsid w:val="00DB42E7"/>
    <w:rsid w:val="00DC4FC1"/>
    <w:rsid w:val="00DD0FE9"/>
    <w:rsid w:val="00DD3FEB"/>
    <w:rsid w:val="00DE6882"/>
    <w:rsid w:val="00DF32C2"/>
    <w:rsid w:val="00E0381B"/>
    <w:rsid w:val="00E2035B"/>
    <w:rsid w:val="00E46CDE"/>
    <w:rsid w:val="00E471A7"/>
    <w:rsid w:val="00E55FDB"/>
    <w:rsid w:val="00E635CF"/>
    <w:rsid w:val="00E73762"/>
    <w:rsid w:val="00E7460C"/>
    <w:rsid w:val="00E82789"/>
    <w:rsid w:val="00E83FCC"/>
    <w:rsid w:val="00E87035"/>
    <w:rsid w:val="00EA0804"/>
    <w:rsid w:val="00EB5410"/>
    <w:rsid w:val="00EB7A48"/>
    <w:rsid w:val="00EC6E0A"/>
    <w:rsid w:val="00ED4E18"/>
    <w:rsid w:val="00ED7F67"/>
    <w:rsid w:val="00EE1F37"/>
    <w:rsid w:val="00EF088A"/>
    <w:rsid w:val="00F0159C"/>
    <w:rsid w:val="00F0432D"/>
    <w:rsid w:val="00F105B7"/>
    <w:rsid w:val="00F142BF"/>
    <w:rsid w:val="00F17A21"/>
    <w:rsid w:val="00F25819"/>
    <w:rsid w:val="00F3339D"/>
    <w:rsid w:val="00F36D2F"/>
    <w:rsid w:val="00F406A3"/>
    <w:rsid w:val="00F50256"/>
    <w:rsid w:val="00F50E91"/>
    <w:rsid w:val="00F510D0"/>
    <w:rsid w:val="00F5583E"/>
    <w:rsid w:val="00F57D29"/>
    <w:rsid w:val="00F60330"/>
    <w:rsid w:val="00F64416"/>
    <w:rsid w:val="00F66E41"/>
    <w:rsid w:val="00F73D93"/>
    <w:rsid w:val="00F73E85"/>
    <w:rsid w:val="00F81527"/>
    <w:rsid w:val="00F82031"/>
    <w:rsid w:val="00F923BA"/>
    <w:rsid w:val="00F92A99"/>
    <w:rsid w:val="00F96201"/>
    <w:rsid w:val="00FC30E9"/>
    <w:rsid w:val="00FD0B18"/>
    <w:rsid w:val="00FD0F82"/>
    <w:rsid w:val="00FE714F"/>
    <w:rsid w:val="00FF0802"/>
    <w:rsid w:val="00FF33C8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7D50AC3"/>
  <w15:docId w15:val="{9440ADE9-FCB6-4FF1-AC87-40A7A281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63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7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7D5"/>
    <w:rPr>
      <w:rFonts w:ascii="Tahoma" w:hAnsi="Tahoma" w:cs="Tahoma"/>
      <w:sz w:val="16"/>
      <w:szCs w:val="16"/>
    </w:rPr>
  </w:style>
  <w:style w:type="paragraph" w:customStyle="1" w:styleId="MainTitle">
    <w:name w:val="MainTitle"/>
    <w:basedOn w:val="Normal"/>
    <w:link w:val="MainTitleChar"/>
    <w:uiPriority w:val="99"/>
    <w:rsid w:val="00D75295"/>
    <w:pPr>
      <w:autoSpaceDE w:val="0"/>
      <w:autoSpaceDN w:val="0"/>
      <w:adjustRightInd w:val="0"/>
      <w:spacing w:after="576" w:line="288" w:lineRule="auto"/>
      <w:textAlignment w:val="center"/>
    </w:pPr>
    <w:rPr>
      <w:rFonts w:ascii="Arial" w:eastAsiaTheme="minorHAnsi" w:hAnsi="Arial" w:cs="Arial"/>
      <w:b/>
      <w:bCs/>
      <w:caps/>
      <w:color w:val="000000"/>
      <w:sz w:val="28"/>
      <w:szCs w:val="28"/>
    </w:rPr>
  </w:style>
  <w:style w:type="character" w:customStyle="1" w:styleId="MainTitleChar">
    <w:name w:val="MainTitle Char"/>
    <w:basedOn w:val="DefaultParagraphFont"/>
    <w:link w:val="MainTitle"/>
    <w:uiPriority w:val="99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CopyrightStatement">
    <w:name w:val="CopyrightStatement"/>
    <w:basedOn w:val="Normal"/>
    <w:uiPriority w:val="99"/>
    <w:rsid w:val="00D75295"/>
    <w:pPr>
      <w:pBdr>
        <w:top w:val="single" w:sz="8" w:space="13" w:color="auto"/>
        <w:bottom w:val="single" w:sz="8" w:space="9" w:color="auto"/>
      </w:pBdr>
      <w:tabs>
        <w:tab w:val="right" w:pos="9360"/>
      </w:tabs>
      <w:autoSpaceDE w:val="0"/>
      <w:autoSpaceDN w:val="0"/>
      <w:adjustRightInd w:val="0"/>
      <w:spacing w:after="540" w:line="288" w:lineRule="auto"/>
      <w:jc w:val="both"/>
      <w:textAlignment w:val="center"/>
    </w:pPr>
    <w:rPr>
      <w:rFonts w:ascii="Arial" w:eastAsiaTheme="minorHAnsi" w:hAnsi="Arial" w:cs="Arial"/>
      <w:i/>
      <w:iCs/>
      <w:color w:val="000000"/>
      <w:sz w:val="16"/>
      <w:szCs w:val="16"/>
    </w:rPr>
  </w:style>
  <w:style w:type="paragraph" w:customStyle="1" w:styleId="BodyTextMain">
    <w:name w:val="Body Text Main"/>
    <w:basedOn w:val="Normal"/>
    <w:link w:val="BodyTextMainChar"/>
    <w:qFormat/>
    <w:rsid w:val="000F0C22"/>
    <w:pPr>
      <w:jc w:val="both"/>
    </w:pPr>
    <w:rPr>
      <w:sz w:val="22"/>
      <w:szCs w:val="22"/>
    </w:rPr>
  </w:style>
  <w:style w:type="character" w:customStyle="1" w:styleId="BodyTextMainChar">
    <w:name w:val="Body Text Main Char"/>
    <w:basedOn w:val="DefaultParagraphFont"/>
    <w:link w:val="BodyTextMain"/>
    <w:rsid w:val="000F0C22"/>
    <w:rPr>
      <w:rFonts w:ascii="Times New Roman" w:eastAsia="Times New Roman" w:hAnsi="Times New Roman" w:cs="Times New Roman"/>
    </w:rPr>
  </w:style>
  <w:style w:type="paragraph" w:customStyle="1" w:styleId="Casehead1">
    <w:name w:val="Casehead 1"/>
    <w:basedOn w:val="BodyTextMain"/>
    <w:link w:val="Casehead1Char"/>
    <w:qFormat/>
    <w:rsid w:val="00213E98"/>
    <w:rPr>
      <w:rFonts w:ascii="Arial" w:hAnsi="Arial" w:cs="Arial"/>
      <w:b/>
      <w:caps/>
      <w:sz w:val="20"/>
      <w:szCs w:val="20"/>
    </w:rPr>
  </w:style>
  <w:style w:type="character" w:customStyle="1" w:styleId="Casehead1Char">
    <w:name w:val="Casehead 1 Char"/>
    <w:basedOn w:val="BodyTextMainChar"/>
    <w:link w:val="Casehead1"/>
    <w:rsid w:val="00213E98"/>
    <w:rPr>
      <w:rFonts w:ascii="Arial" w:eastAsia="Times New Roman" w:hAnsi="Arial" w:cs="Arial"/>
      <w:b/>
      <w:caps/>
      <w:sz w:val="20"/>
      <w:szCs w:val="20"/>
    </w:rPr>
  </w:style>
  <w:style w:type="paragraph" w:customStyle="1" w:styleId="Casehead2">
    <w:name w:val="Casehead 2"/>
    <w:basedOn w:val="Casehead1"/>
    <w:link w:val="Casehead2Char"/>
    <w:qFormat/>
    <w:rsid w:val="00213E98"/>
    <w:rPr>
      <w:caps w:val="0"/>
    </w:rPr>
  </w:style>
  <w:style w:type="character" w:customStyle="1" w:styleId="Casehead2Char">
    <w:name w:val="Casehead 2 Char"/>
    <w:basedOn w:val="Casehead1Char"/>
    <w:link w:val="Casehead2"/>
    <w:rsid w:val="00213E98"/>
    <w:rPr>
      <w:rFonts w:ascii="Arial" w:eastAsia="Times New Roman" w:hAnsi="Arial" w:cs="Arial"/>
      <w:b/>
      <w:caps w:val="0"/>
      <w:sz w:val="20"/>
      <w:szCs w:val="20"/>
    </w:rPr>
  </w:style>
  <w:style w:type="paragraph" w:customStyle="1" w:styleId="Casehead3">
    <w:name w:val="Casehead 3"/>
    <w:basedOn w:val="Casehead2"/>
    <w:link w:val="Casehead3Char"/>
    <w:qFormat/>
    <w:rsid w:val="00213E98"/>
    <w:rPr>
      <w:rFonts w:ascii="Times New Roman" w:hAnsi="Times New Roman" w:cs="Times New Roman"/>
      <w:b w:val="0"/>
      <w:sz w:val="22"/>
      <w:szCs w:val="22"/>
      <w:u w:val="single"/>
    </w:rPr>
  </w:style>
  <w:style w:type="character" w:customStyle="1" w:styleId="Casehead3Char">
    <w:name w:val="Casehead 3 Char"/>
    <w:basedOn w:val="Casehead2Char"/>
    <w:link w:val="Casehead3"/>
    <w:rsid w:val="00213E98"/>
    <w:rPr>
      <w:rFonts w:ascii="Times New Roman" w:eastAsia="Times New Roman" w:hAnsi="Times New Roman" w:cs="Times New Roman"/>
      <w:b w:val="0"/>
      <w:caps w:val="0"/>
      <w:sz w:val="20"/>
      <w:szCs w:val="20"/>
      <w:u w:val="single"/>
    </w:rPr>
  </w:style>
  <w:style w:type="paragraph" w:customStyle="1" w:styleId="Casehead4">
    <w:name w:val="Casehead 4"/>
    <w:basedOn w:val="Casehead3"/>
    <w:link w:val="Casehead4Char"/>
    <w:qFormat/>
    <w:rsid w:val="002E32F0"/>
    <w:rPr>
      <w:i/>
      <w:u w:val="none"/>
    </w:rPr>
  </w:style>
  <w:style w:type="character" w:customStyle="1" w:styleId="Casehead4Char">
    <w:name w:val="Casehead 4 Char"/>
    <w:basedOn w:val="Casehead3Char"/>
    <w:link w:val="Casehead4"/>
    <w:rsid w:val="002E32F0"/>
    <w:rPr>
      <w:rFonts w:ascii="Times New Roman" w:eastAsia="Times New Roman" w:hAnsi="Times New Roman" w:cs="Times New Roman"/>
      <w:b w:val="0"/>
      <w:i/>
      <w:caps w:val="0"/>
      <w:sz w:val="20"/>
      <w:szCs w:val="2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C0B1A"/>
  </w:style>
  <w:style w:type="character" w:customStyle="1" w:styleId="FootnoteTextChar">
    <w:name w:val="Footnote Text Char"/>
    <w:basedOn w:val="DefaultParagraphFont"/>
    <w:link w:val="FootnoteText"/>
    <w:uiPriority w:val="99"/>
    <w:rsid w:val="006C0B1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8C6C49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6F1D9E"/>
    <w:pPr>
      <w:jc w:val="both"/>
    </w:pPr>
    <w:rPr>
      <w:rFonts w:ascii="Arial" w:hAnsi="Arial" w:cs="Arial"/>
      <w:sz w:val="17"/>
      <w:szCs w:val="17"/>
    </w:rPr>
  </w:style>
  <w:style w:type="character" w:customStyle="1" w:styleId="FootnoteChar">
    <w:name w:val="Footnote Char"/>
    <w:basedOn w:val="FootnoteTextChar"/>
    <w:link w:val="Footnote"/>
    <w:rsid w:val="006F1D9E"/>
    <w:rPr>
      <w:rFonts w:ascii="Arial" w:eastAsia="Times New Roman" w:hAnsi="Arial" w:cs="Arial"/>
      <w:sz w:val="17"/>
      <w:szCs w:val="17"/>
    </w:rPr>
  </w:style>
  <w:style w:type="paragraph" w:customStyle="1" w:styleId="Quotation3Lines">
    <w:name w:val="Quotation (3+ Lines)"/>
    <w:basedOn w:val="BodyTextMain"/>
    <w:link w:val="Quotation3LinesChar"/>
    <w:rsid w:val="00752BCD"/>
    <w:pPr>
      <w:ind w:left="720" w:right="720"/>
    </w:pPr>
  </w:style>
  <w:style w:type="character" w:customStyle="1" w:styleId="Quotation3LinesChar">
    <w:name w:val="Quotation (3+ Lines) Char"/>
    <w:basedOn w:val="BodyTextMainChar"/>
    <w:link w:val="Quotation3Lines"/>
    <w:rsid w:val="00752BCD"/>
    <w:rPr>
      <w:rFonts w:ascii="Times New Roman" w:eastAsia="Times New Roman" w:hAnsi="Times New Roman" w:cs="Times New Roman"/>
    </w:rPr>
  </w:style>
  <w:style w:type="paragraph" w:customStyle="1" w:styleId="ExhibitNumber">
    <w:name w:val="Exhibit Number"/>
    <w:basedOn w:val="BodyTextMain"/>
    <w:link w:val="ExhibitNumberChar"/>
    <w:qFormat/>
    <w:rsid w:val="00752BCD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ExhibitNumberChar">
    <w:name w:val="Exhibit Number Char"/>
    <w:basedOn w:val="BodyTextMainChar"/>
    <w:link w:val="ExhibitNumber"/>
    <w:rsid w:val="00752BCD"/>
    <w:rPr>
      <w:rFonts w:ascii="Arial" w:eastAsia="Times New Roman" w:hAnsi="Arial" w:cs="Arial"/>
      <w:b/>
      <w:sz w:val="20"/>
      <w:szCs w:val="20"/>
    </w:rPr>
  </w:style>
  <w:style w:type="paragraph" w:customStyle="1" w:styleId="ExhibitHeading">
    <w:name w:val="Exhibit Heading"/>
    <w:basedOn w:val="BodyTextMain"/>
    <w:link w:val="ExhibitHeadingChar"/>
    <w:qFormat/>
    <w:rsid w:val="00752BCD"/>
    <w:pPr>
      <w:jc w:val="center"/>
    </w:pPr>
    <w:rPr>
      <w:rFonts w:ascii="Arial" w:hAnsi="Arial" w:cs="Arial"/>
      <w:b/>
      <w:caps/>
      <w:sz w:val="20"/>
      <w:szCs w:val="20"/>
    </w:rPr>
  </w:style>
  <w:style w:type="character" w:customStyle="1" w:styleId="ExhibitHeadingChar">
    <w:name w:val="Exhibit Heading Char"/>
    <w:basedOn w:val="BodyTextMainChar"/>
    <w:link w:val="ExhibitHeading"/>
    <w:rsid w:val="00752BCD"/>
    <w:rPr>
      <w:rFonts w:ascii="Arial" w:eastAsia="Times New Roman" w:hAnsi="Arial" w:cs="Arial"/>
      <w:b/>
      <w:caps/>
      <w:sz w:val="20"/>
      <w:szCs w:val="20"/>
    </w:rPr>
  </w:style>
  <w:style w:type="paragraph" w:customStyle="1" w:styleId="CaseTitle">
    <w:name w:val="Case Title"/>
    <w:basedOn w:val="MainTitle"/>
    <w:link w:val="CaseTitleChar"/>
    <w:qFormat/>
    <w:rsid w:val="00752BCD"/>
  </w:style>
  <w:style w:type="character" w:customStyle="1" w:styleId="CaseTitleChar">
    <w:name w:val="Case Title Char"/>
    <w:basedOn w:val="MainTitleChar"/>
    <w:link w:val="Cas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TeachingNoteTitle">
    <w:name w:val="Teaching Note Title"/>
    <w:basedOn w:val="CaseTitle"/>
    <w:link w:val="TeachingNoteTitleChar"/>
    <w:qFormat/>
    <w:rsid w:val="00752BCD"/>
    <w:pPr>
      <w:jc w:val="center"/>
    </w:pPr>
  </w:style>
  <w:style w:type="character" w:customStyle="1" w:styleId="TeachingNoteTitleChar">
    <w:name w:val="Teaching Note Title Char"/>
    <w:basedOn w:val="CaseTitleChar"/>
    <w:link w:val="TeachingNot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ProductNumber">
    <w:name w:val="Product Number"/>
    <w:basedOn w:val="Normal"/>
    <w:link w:val="ProductNumberChar"/>
    <w:qFormat/>
    <w:rsid w:val="00752BCD"/>
    <w:pPr>
      <w:jc w:val="right"/>
    </w:pPr>
    <w:rPr>
      <w:rFonts w:ascii="Arial" w:hAnsi="Arial"/>
      <w:b/>
      <w:caps/>
      <w:sz w:val="24"/>
    </w:rPr>
  </w:style>
  <w:style w:type="character" w:customStyle="1" w:styleId="ProductNumberChar">
    <w:name w:val="Product Number Char"/>
    <w:basedOn w:val="DefaultParagraphFont"/>
    <w:link w:val="ProductNumber"/>
    <w:rsid w:val="00752BCD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ExhibitText">
    <w:name w:val="Exhibit Text"/>
    <w:basedOn w:val="BodyTextMain"/>
    <w:link w:val="ExhibitTextChar"/>
    <w:qFormat/>
    <w:rsid w:val="00F105B7"/>
    <w:rPr>
      <w:rFonts w:ascii="Arial" w:hAnsi="Arial" w:cs="Arial"/>
      <w:sz w:val="20"/>
      <w:szCs w:val="20"/>
    </w:rPr>
  </w:style>
  <w:style w:type="character" w:customStyle="1" w:styleId="ExhibitTextChar">
    <w:name w:val="Exhibit Text Char"/>
    <w:basedOn w:val="BodyTextMainChar"/>
    <w:link w:val="ExhibitText"/>
    <w:rsid w:val="00F105B7"/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10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5B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0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5B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3360"/>
    <w:rPr>
      <w:color w:val="0000FF" w:themeColor="hyperlink"/>
      <w:u w:val="single"/>
    </w:rPr>
  </w:style>
  <w:style w:type="paragraph" w:customStyle="1" w:styleId="StyleCopyrightStatementAfter0ptBottomSinglesolidline">
    <w:name w:val="Style CopyrightStatement + After:  0 pt Bottom: (Single solid line..."/>
    <w:basedOn w:val="CopyrightStatement"/>
    <w:rsid w:val="00104567"/>
    <w:pPr>
      <w:pBdr>
        <w:bottom w:val="single" w:sz="8" w:space="1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CopyrightStatementAfter0ptBottomSinglesolidline1">
    <w:name w:val="Style CopyrightStatement + After:  0 pt Bottom: (Single solid line...1"/>
    <w:basedOn w:val="CopyrightStatement"/>
    <w:rsid w:val="003B7EF2"/>
    <w:pPr>
      <w:pBdr>
        <w:top w:val="single" w:sz="8" w:space="4" w:color="auto"/>
        <w:bottom w:val="none" w:sz="0" w:space="0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StyleCopyrightStatementAfter0ptBottomSinglesolid">
    <w:name w:val="Style Style CopyrightStatement + After:  0 pt Bottom: (Single solid..."/>
    <w:basedOn w:val="StyleCopyrightStatementAfter0ptBottomSinglesolidline1"/>
    <w:rsid w:val="003B7EF2"/>
    <w:pPr>
      <w:pBdr>
        <w:top w:val="none" w:sz="0" w:space="0" w:color="auto"/>
      </w:pBdr>
    </w:pPr>
  </w:style>
  <w:style w:type="paragraph" w:styleId="BodyText">
    <w:name w:val="Body Text"/>
    <w:basedOn w:val="Normal"/>
    <w:link w:val="BodyTextChar"/>
    <w:unhideWhenUsed/>
    <w:rsid w:val="00CA397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A39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3976"/>
    <w:pPr>
      <w:ind w:left="720"/>
      <w:contextualSpacing/>
      <w:jc w:val="both"/>
    </w:pPr>
    <w:rPr>
      <w:rFonts w:eastAsia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A53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5348"/>
  </w:style>
  <w:style w:type="character" w:customStyle="1" w:styleId="CommentTextChar">
    <w:name w:val="Comment Text Char"/>
    <w:basedOn w:val="DefaultParagraphFont"/>
    <w:link w:val="CommentText"/>
    <w:uiPriority w:val="99"/>
    <w:rsid w:val="009A534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3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34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ootnoteText1">
    <w:name w:val="Footnote Text1"/>
    <w:basedOn w:val="Normal"/>
    <w:next w:val="BodyText"/>
    <w:uiPriority w:val="99"/>
    <w:rsid w:val="009A5348"/>
    <w:pPr>
      <w:tabs>
        <w:tab w:val="left" w:pos="-1440"/>
        <w:tab w:val="left" w:pos="-720"/>
        <w:tab w:val="left" w:pos="1"/>
        <w:tab w:val="right" w:pos="9000"/>
      </w:tabs>
      <w:jc w:val="both"/>
    </w:pPr>
    <w:rPr>
      <w:rFonts w:ascii="Arial" w:hAnsi="Arial" w:cs="Arial"/>
      <w:i/>
      <w:iCs/>
      <w:sz w:val="17"/>
      <w:szCs w:val="17"/>
    </w:rPr>
  </w:style>
  <w:style w:type="paragraph" w:styleId="NormalWeb">
    <w:name w:val="Normal (Web)"/>
    <w:basedOn w:val="Normal"/>
    <w:uiPriority w:val="99"/>
    <w:semiHidden/>
    <w:rsid w:val="00FD0F82"/>
    <w:pPr>
      <w:spacing w:before="100" w:beforeAutospacing="1" w:after="100" w:afterAutospacing="1"/>
    </w:pPr>
    <w:rPr>
      <w:rFonts w:ascii="PMingLiU" w:eastAsiaTheme="minorEastAsia" w:hAnsi="PMingLiU" w:cs="PMingLiU"/>
      <w:sz w:val="24"/>
      <w:szCs w:val="24"/>
      <w:lang w:eastAsia="zh-TW"/>
    </w:rPr>
  </w:style>
  <w:style w:type="numbering" w:customStyle="1" w:styleId="NoList1">
    <w:name w:val="No List1"/>
    <w:next w:val="NoList"/>
    <w:uiPriority w:val="99"/>
    <w:semiHidden/>
    <w:unhideWhenUsed/>
    <w:rsid w:val="00FD0F82"/>
  </w:style>
  <w:style w:type="table" w:styleId="TableGrid">
    <w:name w:val="Table Grid"/>
    <w:basedOn w:val="TableNormal"/>
    <w:uiPriority w:val="99"/>
    <w:rsid w:val="00FD0F82"/>
    <w:pPr>
      <w:spacing w:after="0" w:line="240" w:lineRule="auto"/>
    </w:pPr>
    <w:rPr>
      <w:rFonts w:ascii="Calibri" w:eastAsiaTheme="minorEastAsia" w:hAnsi="Calibri" w:cs="Calibri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FD0F82"/>
    <w:rPr>
      <w:rFonts w:ascii="Consolas" w:eastAsiaTheme="minorEastAsia" w:hAnsi="Consolas" w:cs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FD0F82"/>
    <w:rPr>
      <w:rFonts w:ascii="Consolas" w:eastAsiaTheme="minorEastAsia" w:hAnsi="Consolas" w:cs="Consolas"/>
      <w:sz w:val="21"/>
      <w:szCs w:val="21"/>
      <w:lang w:eastAsia="zh-CN"/>
    </w:rPr>
  </w:style>
  <w:style w:type="character" w:styleId="Emphasis">
    <w:name w:val="Emphasis"/>
    <w:basedOn w:val="DefaultParagraphFont"/>
    <w:uiPriority w:val="99"/>
    <w:rsid w:val="00FD0F82"/>
    <w:rPr>
      <w:i/>
      <w:iCs/>
    </w:rPr>
  </w:style>
  <w:style w:type="character" w:styleId="Strong">
    <w:name w:val="Strong"/>
    <w:basedOn w:val="DefaultParagraphFont"/>
    <w:uiPriority w:val="99"/>
    <w:rsid w:val="00FD0F82"/>
    <w:rPr>
      <w:b/>
      <w:bCs/>
    </w:rPr>
  </w:style>
  <w:style w:type="character" w:customStyle="1" w:styleId="Title1">
    <w:name w:val="Title1"/>
    <w:basedOn w:val="DefaultParagraphFont"/>
    <w:uiPriority w:val="99"/>
    <w:rsid w:val="00FD0F82"/>
  </w:style>
  <w:style w:type="paragraph" w:styleId="Revision">
    <w:name w:val="Revision"/>
    <w:hidden/>
    <w:uiPriority w:val="99"/>
    <w:semiHidden/>
    <w:rsid w:val="00FD0F82"/>
    <w:pPr>
      <w:spacing w:after="0" w:line="240" w:lineRule="auto"/>
    </w:pPr>
    <w:rPr>
      <w:rFonts w:ascii="Calibri" w:eastAsiaTheme="minorEastAsia" w:hAnsi="Calibri" w:cs="Calibri"/>
      <w:lang w:eastAsia="zh-CN"/>
    </w:rPr>
  </w:style>
  <w:style w:type="character" w:customStyle="1" w:styleId="apple-converted-space">
    <w:name w:val="apple-converted-space"/>
    <w:basedOn w:val="DefaultParagraphFont"/>
    <w:rsid w:val="00FD0F82"/>
  </w:style>
  <w:style w:type="character" w:customStyle="1" w:styleId="apple-style-span">
    <w:name w:val="apple-style-span"/>
    <w:basedOn w:val="DefaultParagraphFont"/>
    <w:rsid w:val="00682754"/>
    <w:rPr>
      <w:rFonts w:ascii="Times New Roman" w:hAnsi="Times New Roman"/>
      <w:caps w:val="0"/>
      <w:smallCaps w:val="0"/>
      <w:strike w:val="0"/>
      <w:dstrike w:val="0"/>
      <w:vanish w:val="0"/>
      <w:sz w:val="22"/>
      <w:vertAlign w:val="baseli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742F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742F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4742F"/>
    <w:rPr>
      <w:vertAlign w:val="superscript"/>
    </w:rPr>
  </w:style>
  <w:style w:type="paragraph" w:styleId="NoSpacing">
    <w:name w:val="No Spacing"/>
    <w:uiPriority w:val="1"/>
    <w:qFormat/>
    <w:rsid w:val="008E2DD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D0AA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2164D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C6C49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6C49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iveycase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ses@ive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AE705-4D11-4E7F-AA17-0C7546721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2511</Words>
  <Characters>14318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Ivey Business School</Company>
  <LinksUpToDate>false</LinksUpToDate>
  <CharactersWithSpaces>16796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smuir</dc:creator>
  <cp:lastModifiedBy>Anderson, Cassandra</cp:lastModifiedBy>
  <cp:revision>6</cp:revision>
  <cp:lastPrinted>2017-02-24T16:10:00Z</cp:lastPrinted>
  <dcterms:created xsi:type="dcterms:W3CDTF">2017-02-15T17:36:00Z</dcterms:created>
  <dcterms:modified xsi:type="dcterms:W3CDTF">2017-02-24T16:11:00Z</dcterms:modified>
</cp:coreProperties>
</file>