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24142A" w14:textId="143937CA" w:rsidR="008467D5" w:rsidRPr="00C07F6E" w:rsidRDefault="00255935" w:rsidP="00013360">
      <w:pPr>
        <w:tabs>
          <w:tab w:val="left" w:pos="-1440"/>
          <w:tab w:val="left" w:pos="-720"/>
          <w:tab w:val="left" w:pos="1"/>
          <w:tab w:val="right" w:pos="9360"/>
        </w:tabs>
        <w:jc w:val="both"/>
        <w:rPr>
          <w:rFonts w:ascii="Arial" w:hAnsi="Arial"/>
          <w:sz w:val="24"/>
        </w:rPr>
      </w:pPr>
      <w:r w:rsidRPr="00255935">
        <w:rPr>
          <w:rFonts w:ascii="Arial" w:hAnsi="Arial"/>
          <w:b/>
          <w:noProof/>
          <w:sz w:val="24"/>
          <w:lang w:eastAsia="en-GB"/>
        </w:rPr>
        <w:drawing>
          <wp:inline distT="0" distB="0" distL="0" distR="0" wp14:anchorId="721E071D" wp14:editId="0503CF5C">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331923A3" w14:textId="7A2C30CA" w:rsidR="00856D9F" w:rsidRPr="00C07F6E" w:rsidRDefault="00856D9F" w:rsidP="008467D5">
      <w:pPr>
        <w:pBdr>
          <w:bottom w:val="single" w:sz="18" w:space="1" w:color="auto"/>
        </w:pBdr>
        <w:tabs>
          <w:tab w:val="left" w:pos="-1440"/>
          <w:tab w:val="left" w:pos="-720"/>
          <w:tab w:val="left" w:pos="1"/>
        </w:tabs>
        <w:jc w:val="both"/>
        <w:rPr>
          <w:rFonts w:ascii="Arial" w:hAnsi="Arial"/>
          <w:b/>
          <w:sz w:val="24"/>
        </w:rPr>
      </w:pPr>
    </w:p>
    <w:p w14:paraId="6678FD9A" w14:textId="2CC3DF53" w:rsidR="00D75295" w:rsidRPr="00C07F6E" w:rsidRDefault="00255935" w:rsidP="0017404F">
      <w:pPr>
        <w:pStyle w:val="ProductNumber"/>
        <w:outlineLvl w:val="0"/>
      </w:pPr>
      <w:r>
        <w:t>9B17</w:t>
      </w:r>
      <w:r w:rsidR="00427A98">
        <w:t>B004</w:t>
      </w:r>
    </w:p>
    <w:p w14:paraId="4AA5F189" w14:textId="77777777" w:rsidR="00D75295" w:rsidRPr="00C07F6E" w:rsidRDefault="00D75295" w:rsidP="00D75295">
      <w:pPr>
        <w:jc w:val="right"/>
        <w:rPr>
          <w:rFonts w:ascii="Arial" w:hAnsi="Arial"/>
          <w:b/>
          <w:sz w:val="28"/>
          <w:szCs w:val="28"/>
        </w:rPr>
      </w:pPr>
    </w:p>
    <w:p w14:paraId="5B2FE085" w14:textId="77777777" w:rsidR="00866F6D" w:rsidRPr="00C07F6E" w:rsidRDefault="00866F6D" w:rsidP="00D75295">
      <w:pPr>
        <w:jc w:val="right"/>
        <w:rPr>
          <w:rFonts w:ascii="Arial" w:hAnsi="Arial"/>
          <w:b/>
          <w:sz w:val="28"/>
          <w:szCs w:val="28"/>
        </w:rPr>
      </w:pPr>
    </w:p>
    <w:p w14:paraId="56C540A8" w14:textId="16F95647" w:rsidR="00013360" w:rsidRPr="00C07F6E" w:rsidRDefault="00194C05" w:rsidP="0017404F">
      <w:pPr>
        <w:pStyle w:val="CaseTitle"/>
        <w:spacing w:after="0" w:line="240" w:lineRule="auto"/>
        <w:outlineLvl w:val="0"/>
        <w:rPr>
          <w:color w:val="auto"/>
        </w:rPr>
      </w:pPr>
      <w:r w:rsidRPr="00C07F6E">
        <w:rPr>
          <w:color w:val="auto"/>
        </w:rPr>
        <w:t>TESCO: From troubles to turnaround</w:t>
      </w:r>
      <w:r w:rsidR="005C18D8">
        <w:rPr>
          <w:rStyle w:val="EndnoteReference"/>
          <w:color w:val="auto"/>
        </w:rPr>
        <w:endnoteReference w:id="1"/>
      </w:r>
    </w:p>
    <w:p w14:paraId="684E4DE9" w14:textId="77777777" w:rsidR="00013360" w:rsidRPr="00C07F6E" w:rsidRDefault="00013360" w:rsidP="00013360">
      <w:pPr>
        <w:pStyle w:val="CaseTitle"/>
        <w:spacing w:after="0" w:line="240" w:lineRule="auto"/>
        <w:rPr>
          <w:color w:val="auto"/>
          <w:sz w:val="20"/>
          <w:szCs w:val="20"/>
        </w:rPr>
      </w:pPr>
    </w:p>
    <w:p w14:paraId="1F0FDE87" w14:textId="77777777" w:rsidR="00CA3976" w:rsidRPr="00C07F6E" w:rsidRDefault="00CA3976" w:rsidP="00013360">
      <w:pPr>
        <w:pStyle w:val="CaseTitle"/>
        <w:spacing w:after="0" w:line="240" w:lineRule="auto"/>
        <w:rPr>
          <w:color w:val="auto"/>
          <w:sz w:val="20"/>
          <w:szCs w:val="20"/>
        </w:rPr>
      </w:pPr>
    </w:p>
    <w:p w14:paraId="3ED8B6B0" w14:textId="77777777" w:rsidR="00013360" w:rsidRPr="00C07F6E" w:rsidRDefault="00013360" w:rsidP="00013360">
      <w:pPr>
        <w:pStyle w:val="CaseTitle"/>
        <w:spacing w:after="0" w:line="240" w:lineRule="auto"/>
        <w:rPr>
          <w:color w:val="auto"/>
          <w:sz w:val="20"/>
          <w:szCs w:val="20"/>
        </w:rPr>
      </w:pPr>
    </w:p>
    <w:p w14:paraId="1AE54905" w14:textId="74FD7E66" w:rsidR="00013360" w:rsidRPr="00C07F6E" w:rsidRDefault="00904F39" w:rsidP="0017404F">
      <w:pPr>
        <w:pStyle w:val="StyleCopyrightStatementAfter0ptBottomSinglesolidline1"/>
        <w:outlineLvl w:val="0"/>
        <w:rPr>
          <w:color w:val="auto"/>
        </w:rPr>
      </w:pPr>
      <w:r w:rsidRPr="00C07F6E">
        <w:rPr>
          <w:color w:val="auto"/>
        </w:rPr>
        <w:tab/>
        <w:t>Anupam Mehta, Utkarsh Goyal</w:t>
      </w:r>
      <w:r w:rsidR="00714F4F">
        <w:rPr>
          <w:color w:val="auto"/>
        </w:rPr>
        <w:t>,</w:t>
      </w:r>
      <w:r w:rsidRPr="00C07F6E">
        <w:rPr>
          <w:color w:val="auto"/>
        </w:rPr>
        <w:t xml:space="preserve"> and </w:t>
      </w:r>
      <w:hyperlink r:id="rId9" w:history="1">
        <w:proofErr w:type="spellStart"/>
        <w:r w:rsidRPr="00C07F6E">
          <w:rPr>
            <w:color w:val="auto"/>
          </w:rPr>
          <w:t>Sanchit</w:t>
        </w:r>
        <w:proofErr w:type="spellEnd"/>
        <w:r w:rsidRPr="00C07F6E">
          <w:rPr>
            <w:color w:val="auto"/>
          </w:rPr>
          <w:t xml:space="preserve"> </w:t>
        </w:r>
        <w:proofErr w:type="spellStart"/>
        <w:r w:rsidRPr="00C07F6E">
          <w:rPr>
            <w:color w:val="auto"/>
          </w:rPr>
          <w:t>Taneja</w:t>
        </w:r>
        <w:proofErr w:type="spellEnd"/>
      </w:hyperlink>
      <w:r w:rsidR="007E5921" w:rsidRPr="00C07F6E">
        <w:rPr>
          <w:color w:val="auto"/>
        </w:rPr>
        <w:t xml:space="preserve"> wrote this case sol</w:t>
      </w:r>
      <w:r w:rsidR="00D75295" w:rsidRPr="00C07F6E">
        <w:rPr>
          <w:color w:val="auto"/>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692EF871" w14:textId="77777777" w:rsidR="00013360" w:rsidRPr="00C07F6E" w:rsidRDefault="00013360" w:rsidP="00104567">
      <w:pPr>
        <w:pStyle w:val="StyleCopyrightStatementAfter0ptBottomSinglesolidline1"/>
        <w:rPr>
          <w:color w:val="auto"/>
        </w:rPr>
      </w:pPr>
    </w:p>
    <w:p w14:paraId="010D15FB" w14:textId="0F45A329" w:rsidR="00255935" w:rsidRDefault="00255935" w:rsidP="00255935">
      <w:pPr>
        <w:jc w:val="both"/>
        <w:rPr>
          <w:rFonts w:ascii="Arial" w:hAnsi="Arial" w:cs="Arial"/>
          <w:i/>
          <w:iCs/>
          <w:sz w:val="16"/>
          <w:szCs w:val="16"/>
          <w:lang w:val="en-CA"/>
        </w:rPr>
      </w:pPr>
      <w:r>
        <w:rPr>
          <w:rFonts w:ascii="Arial" w:hAnsi="Arial" w:cs="Arial"/>
          <w:i/>
          <w:iCs/>
          <w:sz w:val="16"/>
          <w:szCs w:val="16"/>
          <w:lang w:val="en-CA"/>
        </w:rPr>
        <w:t xml:space="preserve">This publication </w:t>
      </w:r>
      <w:proofErr w:type="gramStart"/>
      <w:r>
        <w:rPr>
          <w:rFonts w:ascii="Arial" w:hAnsi="Arial" w:cs="Arial"/>
          <w:i/>
          <w:iCs/>
          <w:sz w:val="16"/>
          <w:szCs w:val="16"/>
          <w:lang w:val="en-CA"/>
        </w:rPr>
        <w:t>may not be transmitted, photocopied, digitized, or otherwise reproduced in any form or by any means without the permission of the copyright holder</w:t>
      </w:r>
      <w:proofErr w:type="gramEnd"/>
      <w:r>
        <w:rPr>
          <w:rFonts w:ascii="Arial" w:hAnsi="Arial" w:cs="Arial"/>
          <w:i/>
          <w:iCs/>
          <w:sz w:val="16"/>
          <w:szCs w:val="16"/>
          <w:lang w:val="en-CA"/>
        </w:rPr>
        <w:t xml:space="preserve">. Reproduction of this material </w:t>
      </w:r>
      <w:proofErr w:type="gramStart"/>
      <w:r>
        <w:rPr>
          <w:rFonts w:ascii="Arial" w:hAnsi="Arial" w:cs="Arial"/>
          <w:i/>
          <w:iCs/>
          <w:sz w:val="16"/>
          <w:szCs w:val="16"/>
          <w:lang w:val="en-CA"/>
        </w:rPr>
        <w:t>is not covered</w:t>
      </w:r>
      <w:proofErr w:type="gramEnd"/>
      <w:r>
        <w:rPr>
          <w:rFonts w:ascii="Arial" w:hAnsi="Arial" w:cs="Arial"/>
          <w:i/>
          <w:iCs/>
          <w:sz w:val="16"/>
          <w:szCs w:val="16"/>
          <w:lang w:val="en-CA"/>
        </w:rPr>
        <w:t xml:space="preserve">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1"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6E10FBB2" w14:textId="77777777" w:rsidR="00255935" w:rsidRDefault="00255935" w:rsidP="00255935">
      <w:pPr>
        <w:pStyle w:val="StyleCopyrightStatementAfter0ptBottomSinglesolidline1"/>
        <w:pBdr>
          <w:top w:val="none" w:sz="0" w:space="0" w:color="auto"/>
        </w:pBdr>
      </w:pPr>
    </w:p>
    <w:p w14:paraId="5446B7E1" w14:textId="57A47C52" w:rsidR="003B7EF2" w:rsidRPr="00C07F6E" w:rsidRDefault="00255935" w:rsidP="00255935">
      <w:pPr>
        <w:pStyle w:val="StyleStyleCopyrightStatementAfter0ptBottomSinglesolid"/>
        <w:rPr>
          <w:color w:val="auto"/>
        </w:rPr>
      </w:pPr>
      <w:r>
        <w:t>Copyright © 2017, Richard Ivey School of Business Foundation</w:t>
      </w:r>
      <w:r w:rsidR="003B7EF2" w:rsidRPr="00C07F6E">
        <w:rPr>
          <w:color w:val="auto"/>
        </w:rPr>
        <w:tab/>
        <w:t xml:space="preserve">Version: </w:t>
      </w:r>
      <w:r w:rsidR="00361C8E" w:rsidRPr="00C07F6E">
        <w:rPr>
          <w:color w:val="auto"/>
        </w:rPr>
        <w:t>201</w:t>
      </w:r>
      <w:r>
        <w:rPr>
          <w:color w:val="auto"/>
        </w:rPr>
        <w:t>7</w:t>
      </w:r>
      <w:r w:rsidR="00361C8E" w:rsidRPr="00C07F6E">
        <w:rPr>
          <w:color w:val="auto"/>
        </w:rPr>
        <w:t>-</w:t>
      </w:r>
      <w:r w:rsidR="00427A98">
        <w:rPr>
          <w:color w:val="auto"/>
        </w:rPr>
        <w:t>03</w:t>
      </w:r>
      <w:r w:rsidR="00A36D2A" w:rsidRPr="00C07F6E">
        <w:rPr>
          <w:color w:val="auto"/>
        </w:rPr>
        <w:t>-</w:t>
      </w:r>
      <w:r w:rsidR="00A360E6">
        <w:rPr>
          <w:color w:val="auto"/>
        </w:rPr>
        <w:t>13</w:t>
      </w:r>
    </w:p>
    <w:p w14:paraId="38090A68" w14:textId="77777777" w:rsidR="003B7EF2" w:rsidRPr="00C07F6E" w:rsidRDefault="003B7EF2" w:rsidP="00104567">
      <w:pPr>
        <w:pStyle w:val="StyleCopyrightStatementAfter0ptBottomSinglesolidline1"/>
        <w:rPr>
          <w:rFonts w:ascii="Times New Roman" w:hAnsi="Times New Roman"/>
          <w:color w:val="auto"/>
          <w:sz w:val="20"/>
        </w:rPr>
      </w:pPr>
    </w:p>
    <w:p w14:paraId="6427DE96" w14:textId="77777777" w:rsidR="001133DB" w:rsidRPr="002A64EF" w:rsidRDefault="001133DB" w:rsidP="006D594B">
      <w:pPr>
        <w:pStyle w:val="BodyTextMain"/>
      </w:pPr>
    </w:p>
    <w:p w14:paraId="50E6FA2B" w14:textId="6142D3B4" w:rsidR="0038641E" w:rsidRDefault="00275032" w:rsidP="002A3F91">
      <w:pPr>
        <w:pStyle w:val="BodyTextMain"/>
        <w:rPr>
          <w:shd w:val="clear" w:color="auto" w:fill="FFFFFF"/>
        </w:rPr>
      </w:pPr>
      <w:r>
        <w:t>“</w:t>
      </w:r>
      <w:r w:rsidR="002A3F91">
        <w:t>We set out to start rebuilding profitability whilst reinvesting in the customer offer, and we have done this</w:t>
      </w:r>
      <w:r w:rsidR="00714F4F">
        <w:t>,</w:t>
      </w:r>
      <w:r w:rsidR="002A3F91">
        <w:t>”</w:t>
      </w:r>
      <w:r w:rsidR="00084A94">
        <w:rPr>
          <w:rStyle w:val="EndnoteReference"/>
        </w:rPr>
        <w:endnoteReference w:id="2"/>
      </w:r>
      <w:r w:rsidR="00084A94">
        <w:t xml:space="preserve"> </w:t>
      </w:r>
      <w:r w:rsidR="00714F4F">
        <w:t>e</w:t>
      </w:r>
      <w:r w:rsidR="00084A94">
        <w:t xml:space="preserve">xclaimed </w:t>
      </w:r>
      <w:r w:rsidR="00084A94" w:rsidRPr="00C07F6E">
        <w:t xml:space="preserve">Dave Lewis, chief executive officer (CEO) of Tesco PLC, </w:t>
      </w:r>
      <w:r w:rsidR="00084A94">
        <w:t>whil</w:t>
      </w:r>
      <w:r w:rsidR="004C795E">
        <w:t>e</w:t>
      </w:r>
      <w:r w:rsidR="00084A94">
        <w:t xml:space="preserve"> </w:t>
      </w:r>
      <w:r w:rsidR="00084A94" w:rsidRPr="00C07F6E">
        <w:t>declar</w:t>
      </w:r>
      <w:r w:rsidR="00084A94">
        <w:t>ing</w:t>
      </w:r>
      <w:r w:rsidR="00084A94" w:rsidRPr="00C07F6E">
        <w:t xml:space="preserve"> the company’s annual results</w:t>
      </w:r>
      <w:r w:rsidR="00084A94">
        <w:t xml:space="preserve"> on April 13, 2016</w:t>
      </w:r>
      <w:r w:rsidR="00084A94" w:rsidRPr="00C07F6E">
        <w:t>. Tesco,</w:t>
      </w:r>
      <w:r w:rsidR="00084A94" w:rsidRPr="00C07F6E">
        <w:rPr>
          <w:shd w:val="clear" w:color="auto" w:fill="FFFFFF"/>
        </w:rPr>
        <w:t xml:space="preserve"> </w:t>
      </w:r>
      <w:r w:rsidR="002C43FC" w:rsidRPr="00C07F6E">
        <w:t xml:space="preserve">a U.K.-based retailer </w:t>
      </w:r>
      <w:r w:rsidR="004C795E" w:rsidRPr="00C07F6E">
        <w:t xml:space="preserve">with a market capitalization of </w:t>
      </w:r>
      <w:r w:rsidR="004C795E" w:rsidRPr="00C07F6E">
        <w:rPr>
          <w:shd w:val="clear" w:color="auto" w:fill="FFFFFF"/>
        </w:rPr>
        <w:t>£</w:t>
      </w:r>
      <w:r w:rsidR="004C795E">
        <w:t>14.73</w:t>
      </w:r>
      <w:r w:rsidR="004C795E" w:rsidRPr="00C07F6E">
        <w:t xml:space="preserve"> billion,</w:t>
      </w:r>
      <w:r w:rsidR="004C795E" w:rsidRPr="00C07F6E">
        <w:rPr>
          <w:rStyle w:val="EndnoteReference"/>
        </w:rPr>
        <w:endnoteReference w:id="3"/>
      </w:r>
      <w:r w:rsidR="004C795E" w:rsidRPr="00C07F6E">
        <w:t xml:space="preserve"> </w:t>
      </w:r>
      <w:r w:rsidR="004C795E">
        <w:t xml:space="preserve">was </w:t>
      </w:r>
      <w:r w:rsidR="00084A94" w:rsidRPr="00C07F6E">
        <w:rPr>
          <w:shd w:val="clear" w:color="auto" w:fill="FFFFFF"/>
        </w:rPr>
        <w:t>Britain’s biggest grocer</w:t>
      </w:r>
      <w:r w:rsidR="00084A94">
        <w:rPr>
          <w:shd w:val="clear" w:color="auto" w:fill="FFFFFF"/>
        </w:rPr>
        <w:t xml:space="preserve"> </w:t>
      </w:r>
      <w:proofErr w:type="gramStart"/>
      <w:r w:rsidR="00084A94">
        <w:rPr>
          <w:shd w:val="clear" w:color="auto" w:fill="FFFFFF"/>
        </w:rPr>
        <w:t>both by market share and revenue</w:t>
      </w:r>
      <w:proofErr w:type="gramEnd"/>
      <w:r w:rsidR="004C795E">
        <w:rPr>
          <w:shd w:val="clear" w:color="auto" w:fill="FFFFFF"/>
        </w:rPr>
        <w:t>.</w:t>
      </w:r>
      <w:r w:rsidR="00084A94">
        <w:rPr>
          <w:rStyle w:val="EndnoteReference"/>
          <w:shd w:val="clear" w:color="auto" w:fill="FFFFFF"/>
        </w:rPr>
        <w:endnoteReference w:id="4"/>
      </w:r>
      <w:r w:rsidR="00084A94" w:rsidRPr="00C07F6E">
        <w:rPr>
          <w:shd w:val="clear" w:color="auto" w:fill="FFFFFF"/>
        </w:rPr>
        <w:t xml:space="preserve"> </w:t>
      </w:r>
      <w:r w:rsidR="004C795E">
        <w:rPr>
          <w:shd w:val="clear" w:color="auto" w:fill="FFFFFF"/>
        </w:rPr>
        <w:t xml:space="preserve">The company </w:t>
      </w:r>
      <w:r w:rsidR="00084A94" w:rsidRPr="00C07F6E">
        <w:rPr>
          <w:shd w:val="clear" w:color="auto" w:fill="FFFFFF"/>
        </w:rPr>
        <w:t>had</w:t>
      </w:r>
      <w:r w:rsidR="00084A94" w:rsidRPr="00C07F6E">
        <w:t xml:space="preserve"> posted a</w:t>
      </w:r>
      <w:r w:rsidR="00084A94" w:rsidRPr="00C07F6E">
        <w:rPr>
          <w:shd w:val="clear" w:color="auto" w:fill="FFFFFF"/>
        </w:rPr>
        <w:t xml:space="preserve"> £162 million pre-tax profit for fiscal year </w:t>
      </w:r>
      <w:r w:rsidR="00084A94">
        <w:rPr>
          <w:shd w:val="clear" w:color="auto" w:fill="FFFFFF"/>
        </w:rPr>
        <w:t>(</w:t>
      </w:r>
      <w:r w:rsidR="00084A94" w:rsidRPr="00C07F6E">
        <w:rPr>
          <w:shd w:val="clear" w:color="auto" w:fill="FFFFFF"/>
        </w:rPr>
        <w:t>FY</w:t>
      </w:r>
      <w:r w:rsidR="00084A94">
        <w:rPr>
          <w:shd w:val="clear" w:color="auto" w:fill="FFFFFF"/>
        </w:rPr>
        <w:t>)</w:t>
      </w:r>
      <w:r w:rsidR="00084A94" w:rsidRPr="00C07F6E">
        <w:rPr>
          <w:shd w:val="clear" w:color="auto" w:fill="FFFFFF"/>
        </w:rPr>
        <w:t xml:space="preserve"> 2015/16, up</w:t>
      </w:r>
      <w:r w:rsidR="00084A94" w:rsidRPr="00C07F6E">
        <w:t xml:space="preserve"> from a loss of </w:t>
      </w:r>
      <w:r w:rsidR="00084A94" w:rsidRPr="00C07F6E">
        <w:rPr>
          <w:shd w:val="clear" w:color="auto" w:fill="FFFFFF"/>
        </w:rPr>
        <w:t>£6.</w:t>
      </w:r>
      <w:r w:rsidR="00084A94">
        <w:rPr>
          <w:shd w:val="clear" w:color="auto" w:fill="FFFFFF"/>
        </w:rPr>
        <w:t>38</w:t>
      </w:r>
      <w:r w:rsidR="00084A94" w:rsidRPr="00C07F6E">
        <w:rPr>
          <w:shd w:val="clear" w:color="auto" w:fill="FFFFFF"/>
        </w:rPr>
        <w:t xml:space="preserve"> billion in FY 2014/15</w:t>
      </w:r>
      <w:r w:rsidR="00084A94">
        <w:rPr>
          <w:shd w:val="clear" w:color="auto" w:fill="FFFFFF"/>
        </w:rPr>
        <w:t>.</w:t>
      </w:r>
      <w:r w:rsidR="00084A94" w:rsidRPr="00C07F6E">
        <w:rPr>
          <w:shd w:val="clear" w:color="auto" w:fill="FFFFFF"/>
        </w:rPr>
        <w:t xml:space="preserve"> </w:t>
      </w:r>
    </w:p>
    <w:p w14:paraId="630EE86E" w14:textId="77777777" w:rsidR="0038641E" w:rsidRDefault="0038641E" w:rsidP="002A3F91">
      <w:pPr>
        <w:pStyle w:val="BodyTextMain"/>
        <w:rPr>
          <w:shd w:val="clear" w:color="auto" w:fill="FFFFFF"/>
        </w:rPr>
      </w:pPr>
    </w:p>
    <w:p w14:paraId="6823AE50" w14:textId="3F9FD530" w:rsidR="00084A94" w:rsidRPr="00C07F6E" w:rsidRDefault="00084A94" w:rsidP="00C91926">
      <w:pPr>
        <w:pStyle w:val="BodyTextMain"/>
      </w:pPr>
      <w:r w:rsidRPr="00C07F6E">
        <w:t>In Tesco’s 2016 annual report, Lewis stated,</w:t>
      </w:r>
      <w:r w:rsidRPr="00C07F6E">
        <w:rPr>
          <w:i/>
        </w:rPr>
        <w:t xml:space="preserve"> </w:t>
      </w:r>
      <w:r w:rsidRPr="00C07F6E">
        <w:t>“This has been a significant year for Tesco. We have delivered unprecedented change over the past 12 months as we have begun to transform our business</w:t>
      </w:r>
      <w:r>
        <w:t>.</w:t>
      </w:r>
      <w:r w:rsidRPr="00C07F6E">
        <w:t>”</w:t>
      </w:r>
      <w:r w:rsidRPr="00C07F6E">
        <w:rPr>
          <w:rStyle w:val="EndnoteReference"/>
        </w:rPr>
        <w:endnoteReference w:id="5"/>
      </w:r>
      <w:r w:rsidR="0038641E">
        <w:t xml:space="preserve"> However, </w:t>
      </w:r>
      <w:r w:rsidR="00C91926">
        <w:t>while</w:t>
      </w:r>
      <w:r w:rsidRPr="00C07F6E">
        <w:t xml:space="preserve"> the company had been able to </w:t>
      </w:r>
      <w:r>
        <w:t>churn out profitability,</w:t>
      </w:r>
      <w:r w:rsidRPr="00C07F6E">
        <w:t xml:space="preserve"> the net sales had </w:t>
      </w:r>
      <w:r>
        <w:t>consistent</w:t>
      </w:r>
      <w:r w:rsidR="00C91926">
        <w:t>ly</w:t>
      </w:r>
      <w:r>
        <w:t xml:space="preserve"> drop</w:t>
      </w:r>
      <w:r w:rsidR="00C91926">
        <w:t>ped</w:t>
      </w:r>
      <w:r>
        <w:t xml:space="preserve"> since FY 2012/13. </w:t>
      </w:r>
      <w:r w:rsidRPr="00C07F6E">
        <w:t>Similarly, the share price of the company had fallen by more than 20 per cent from January 2015 to January 2016</w:t>
      </w:r>
      <w:r w:rsidR="0038641E">
        <w:t>,</w:t>
      </w:r>
      <w:r>
        <w:t xml:space="preserve"> and by around 50 per cent from January 2014 to May 2016</w:t>
      </w:r>
      <w:r w:rsidRPr="00C07F6E">
        <w:t xml:space="preserve"> (see Exhibit 1). What course of action would enable Lewis to improve Tesco’s value for shareholders? What area(s) should he focus on in order to </w:t>
      </w:r>
      <w:r>
        <w:t>bolster</w:t>
      </w:r>
      <w:r w:rsidRPr="00C07F6E">
        <w:t xml:space="preserve"> Tesco’s financial performance?</w:t>
      </w:r>
      <w:r>
        <w:t xml:space="preserve"> What should Lewis do to improve Tesco’s market share in the United Kingdom?</w:t>
      </w:r>
    </w:p>
    <w:p w14:paraId="2B216E38" w14:textId="77777777" w:rsidR="00084A94" w:rsidRPr="00C07F6E" w:rsidRDefault="00084A94" w:rsidP="006D594B">
      <w:pPr>
        <w:pStyle w:val="BodyTextMain"/>
      </w:pPr>
    </w:p>
    <w:p w14:paraId="06966551" w14:textId="77777777" w:rsidR="00084A94" w:rsidRPr="00C07F6E" w:rsidRDefault="00084A94" w:rsidP="006D594B">
      <w:pPr>
        <w:pStyle w:val="BodyTextMain"/>
      </w:pPr>
    </w:p>
    <w:p w14:paraId="12408803" w14:textId="71C25C8A" w:rsidR="00084A94" w:rsidRPr="00C07F6E" w:rsidRDefault="00084A94" w:rsidP="0017404F">
      <w:pPr>
        <w:pStyle w:val="Casehead1"/>
        <w:outlineLvl w:val="0"/>
      </w:pPr>
      <w:bookmarkStart w:id="0" w:name="h.gjdgxs" w:colFirst="0" w:colLast="0"/>
      <w:bookmarkEnd w:id="0"/>
      <w:r w:rsidRPr="00C07F6E">
        <w:rPr>
          <w:rFonts w:eastAsia="Arial"/>
        </w:rPr>
        <w:t>the Company</w:t>
      </w:r>
    </w:p>
    <w:p w14:paraId="50AE831A" w14:textId="77777777" w:rsidR="00084A94" w:rsidRPr="00C07F6E" w:rsidRDefault="00084A94" w:rsidP="006D594B">
      <w:pPr>
        <w:pStyle w:val="BodyTextMain"/>
      </w:pPr>
    </w:p>
    <w:p w14:paraId="07FEB0A6" w14:textId="517C0668" w:rsidR="00C91926" w:rsidRDefault="00084A94" w:rsidP="006D594B">
      <w:pPr>
        <w:pStyle w:val="BodyTextMain"/>
      </w:pPr>
      <w:r w:rsidRPr="00C07F6E">
        <w:t xml:space="preserve">Tesco </w:t>
      </w:r>
      <w:proofErr w:type="gramStart"/>
      <w:r w:rsidRPr="00C07F6E">
        <w:t>was established</w:t>
      </w:r>
      <w:proofErr w:type="gramEnd"/>
      <w:r w:rsidRPr="00C07F6E">
        <w:t xml:space="preserve"> as a grocery and general merchandise retailer in 1919</w:t>
      </w:r>
      <w:r>
        <w:t>.</w:t>
      </w:r>
      <w:r w:rsidRPr="00C07F6E">
        <w:rPr>
          <w:rStyle w:val="EndnoteReference"/>
        </w:rPr>
        <w:endnoteReference w:id="6"/>
      </w:r>
      <w:r w:rsidRPr="00C07F6E">
        <w:t xml:space="preserve"> However</w:t>
      </w:r>
      <w:r w:rsidR="00C91926">
        <w:t>,</w:t>
      </w:r>
      <w:r w:rsidRPr="00C07F6E">
        <w:t xml:space="preserve"> since 1990, the company had started to diversify by offering books, clothing, electronics, furniture, toys, petrol, software, financial services, and telecommunications/Internet services—all while expanding its reach geographically. Tesco offered both value range products (</w:t>
      </w:r>
      <w:r w:rsidR="00C91926">
        <w:t>b</w:t>
      </w:r>
      <w:r w:rsidRPr="00C07F6E">
        <w:t>randed as “Tesco Value”) and premium range products (</w:t>
      </w:r>
      <w:r w:rsidR="00C91926">
        <w:t>b</w:t>
      </w:r>
      <w:r w:rsidRPr="00C07F6E">
        <w:t xml:space="preserve">randed as “Tesco Finest”). As of 2016, the company had </w:t>
      </w:r>
      <w:r>
        <w:t>3,460 stores in the United Kingdom (see Exhibit 2)</w:t>
      </w:r>
      <w:r w:rsidR="00C91926">
        <w:t>,</w:t>
      </w:r>
      <w:r>
        <w:t xml:space="preserve"> </w:t>
      </w:r>
      <w:r w:rsidRPr="00C07F6E">
        <w:t>6,902 stores around the world</w:t>
      </w:r>
      <w:r w:rsidR="00C91926">
        <w:t>,</w:t>
      </w:r>
      <w:r w:rsidRPr="00C07F6E">
        <w:t xml:space="preserve"> and 476,000</w:t>
      </w:r>
      <w:r>
        <w:t>+</w:t>
      </w:r>
      <w:r w:rsidRPr="00C07F6E">
        <w:t xml:space="preserve"> employees</w:t>
      </w:r>
      <w:r>
        <w:t xml:space="preserve"> (see Exhibit 3)</w:t>
      </w:r>
      <w:r w:rsidRPr="00C07F6E">
        <w:t>.</w:t>
      </w:r>
      <w:r w:rsidRPr="00C07F6E">
        <w:rPr>
          <w:rStyle w:val="EndnoteReference"/>
        </w:rPr>
        <w:endnoteReference w:id="7"/>
      </w:r>
      <w:r w:rsidRPr="00C07F6E">
        <w:t xml:space="preserve"> </w:t>
      </w:r>
    </w:p>
    <w:p w14:paraId="2C124FBE" w14:textId="77777777" w:rsidR="00C91926" w:rsidRDefault="00C91926" w:rsidP="006D594B">
      <w:pPr>
        <w:pStyle w:val="BodyTextMain"/>
      </w:pPr>
    </w:p>
    <w:p w14:paraId="558AC6A1" w14:textId="1E0E9A2D" w:rsidR="00084A94" w:rsidRPr="00C07F6E" w:rsidRDefault="00084A94" w:rsidP="006D594B">
      <w:pPr>
        <w:pStyle w:val="BodyTextMain"/>
      </w:pPr>
      <w:r w:rsidRPr="00C07F6E">
        <w:t>Tesco rank</w:t>
      </w:r>
      <w:r w:rsidR="00C91926">
        <w:t>ed</w:t>
      </w:r>
      <w:r w:rsidRPr="00C07F6E">
        <w:t xml:space="preserve"> as </w:t>
      </w:r>
      <w:r w:rsidR="00C91926">
        <w:t xml:space="preserve">the </w:t>
      </w:r>
      <w:r w:rsidRPr="00C07F6E">
        <w:t>world’s fifth largest retailer in terms of revenue as of 2015.</w:t>
      </w:r>
      <w:r w:rsidRPr="00C07F6E">
        <w:rPr>
          <w:rStyle w:val="EndnoteReference"/>
        </w:rPr>
        <w:endnoteReference w:id="8"/>
      </w:r>
      <w:r w:rsidRPr="00C07F6E">
        <w:t xml:space="preserve"> Tesco’s rank dropped from second in 2012 to fifth in 2013</w:t>
      </w:r>
      <w:r w:rsidR="00C91926">
        <w:t>,</w:t>
      </w:r>
      <w:r w:rsidRPr="00C07F6E">
        <w:t xml:space="preserve"> attributed to the declining sales of the company.</w:t>
      </w:r>
      <w:r w:rsidRPr="00C07F6E">
        <w:rPr>
          <w:rStyle w:val="EndnoteReference"/>
        </w:rPr>
        <w:endnoteReference w:id="9"/>
      </w:r>
      <w:r w:rsidRPr="00C07F6E">
        <w:t xml:space="preserve"> Tesco </w:t>
      </w:r>
      <w:proofErr w:type="gramStart"/>
      <w:r w:rsidRPr="00C07F6E">
        <w:t>had been listed</w:t>
      </w:r>
      <w:proofErr w:type="gramEnd"/>
      <w:r w:rsidRPr="00C07F6E">
        <w:t xml:space="preserve"> on the London Stock Exchange since 1947</w:t>
      </w:r>
      <w:r>
        <w:t>,</w:t>
      </w:r>
      <w:r w:rsidRPr="00C07F6E">
        <w:rPr>
          <w:rStyle w:val="EndnoteReference"/>
        </w:rPr>
        <w:endnoteReference w:id="10"/>
      </w:r>
      <w:r w:rsidRPr="00C07F6E">
        <w:t xml:space="preserve"> and was a constituent of the Financial Times Stock Exchange 100 Index.</w:t>
      </w:r>
      <w:r w:rsidRPr="00C07F6E">
        <w:rPr>
          <w:rStyle w:val="EndnoteReference"/>
        </w:rPr>
        <w:endnoteReference w:id="11"/>
      </w:r>
      <w:r w:rsidRPr="00C07F6E">
        <w:t xml:space="preserve"> The firm had a market capitalization of approximately £18.1 billion as of April 22, 2015—the 28th-largest of any company with a primary listing on the London Stock Exchange.</w:t>
      </w:r>
      <w:r w:rsidRPr="00C07F6E">
        <w:rPr>
          <w:rStyle w:val="EndnoteReference"/>
        </w:rPr>
        <w:endnoteReference w:id="12"/>
      </w:r>
    </w:p>
    <w:p w14:paraId="7246D870" w14:textId="77777777" w:rsidR="00084A94" w:rsidRPr="00C07F6E" w:rsidRDefault="00084A94" w:rsidP="00780234">
      <w:pPr>
        <w:pStyle w:val="Casehead2"/>
        <w:rPr>
          <w:rFonts w:eastAsia="Arial"/>
        </w:rPr>
      </w:pPr>
      <w:r w:rsidRPr="00C07F6E">
        <w:rPr>
          <w:rFonts w:eastAsia="Arial"/>
        </w:rPr>
        <w:lastRenderedPageBreak/>
        <w:t>Business Model</w:t>
      </w:r>
    </w:p>
    <w:p w14:paraId="5EFDB9D6" w14:textId="77777777" w:rsidR="00084A94" w:rsidRPr="00C07F6E" w:rsidRDefault="00084A94" w:rsidP="00780234">
      <w:pPr>
        <w:pStyle w:val="BodyTextMain"/>
      </w:pPr>
    </w:p>
    <w:p w14:paraId="3A9B4F03" w14:textId="1DA6AABF" w:rsidR="00084A94" w:rsidRPr="00C07F6E" w:rsidRDefault="00084A94" w:rsidP="00791A19">
      <w:pPr>
        <w:pStyle w:val="BodyTextMain"/>
      </w:pPr>
      <w:r w:rsidRPr="00C07F6E">
        <w:t>According to Tesco’s 2015 annual report, the company’s business model focus</w:t>
      </w:r>
      <w:r w:rsidR="00C91926">
        <w:t>ed</w:t>
      </w:r>
      <w:r w:rsidRPr="00C07F6E">
        <w:t xml:space="preserve"> on four key areas: customers, products, reinvestme</w:t>
      </w:r>
      <w:r>
        <w:t>nt, and channels</w:t>
      </w:r>
      <w:r w:rsidRPr="00C07F6E">
        <w:t>.</w:t>
      </w:r>
      <w:r w:rsidR="00714F4F">
        <w:t xml:space="preserve"> </w:t>
      </w:r>
      <w:r w:rsidRPr="002A64EF">
        <w:t>The company</w:t>
      </w:r>
      <w:r w:rsidRPr="00C07F6E">
        <w:t xml:space="preserve"> had a simple mission: “To be the champion for customers, helping them to enjoy a better quality of life and an easier way of living</w:t>
      </w:r>
      <w:r>
        <w:t>.</w:t>
      </w:r>
      <w:r w:rsidRPr="00C07F6E">
        <w:t>”</w:t>
      </w:r>
      <w:r w:rsidRPr="00C07F6E">
        <w:rPr>
          <w:rStyle w:val="EndnoteReference"/>
        </w:rPr>
        <w:endnoteReference w:id="13"/>
      </w:r>
      <w:r w:rsidRPr="00C07F6E" w:rsidDel="00785B53">
        <w:rPr>
          <w:vertAlign w:val="superscript"/>
        </w:rPr>
        <w:t xml:space="preserve"> </w:t>
      </w:r>
    </w:p>
    <w:p w14:paraId="5F7B54DE" w14:textId="37EEE74A" w:rsidR="00084A94" w:rsidRDefault="00084A94" w:rsidP="00CF5A68">
      <w:pPr>
        <w:pStyle w:val="BodyTextMain"/>
        <w:rPr>
          <w:rFonts w:eastAsia="Arial"/>
        </w:rPr>
      </w:pPr>
    </w:p>
    <w:p w14:paraId="632BC4B8" w14:textId="77777777" w:rsidR="00084A94" w:rsidRPr="00C07F6E" w:rsidRDefault="00084A94" w:rsidP="00CF5A68">
      <w:pPr>
        <w:pStyle w:val="BodyTextMain"/>
        <w:rPr>
          <w:rFonts w:eastAsia="Arial"/>
        </w:rPr>
      </w:pPr>
    </w:p>
    <w:p w14:paraId="1973B3F3" w14:textId="77777777" w:rsidR="00084A94" w:rsidRPr="00C07F6E" w:rsidRDefault="00084A94" w:rsidP="00780234">
      <w:pPr>
        <w:pStyle w:val="Casehead2"/>
      </w:pPr>
      <w:r w:rsidRPr="00C07F6E">
        <w:rPr>
          <w:rFonts w:eastAsia="Arial"/>
        </w:rPr>
        <w:t>Growth Strategy</w:t>
      </w:r>
    </w:p>
    <w:p w14:paraId="06CB28F4" w14:textId="77777777" w:rsidR="00084A94" w:rsidRPr="00C07F6E" w:rsidRDefault="00084A94" w:rsidP="00374C4D">
      <w:pPr>
        <w:pStyle w:val="BodyTextMain"/>
      </w:pPr>
    </w:p>
    <w:p w14:paraId="3CA046BA" w14:textId="46274388" w:rsidR="00084A94" w:rsidRPr="00C07F6E" w:rsidRDefault="00084A94" w:rsidP="001370DC">
      <w:pPr>
        <w:pStyle w:val="BodyTextMain"/>
      </w:pPr>
      <w:proofErr w:type="gramStart"/>
      <w:r w:rsidRPr="00C07F6E">
        <w:t>Tesco had refocused its business under three operational headlines: (1) listening to, understanding, and reaching out to customers to create the best possible offer; (2) working with growers and suppliers to make great products, and helping to deliver the best value to customers; and (3) working across different channels to get those products to customers in the most convenient way possible.</w:t>
      </w:r>
      <w:proofErr w:type="gramEnd"/>
      <w:r w:rsidRPr="00C07F6E">
        <w:t xml:space="preserve"> The company had a </w:t>
      </w:r>
      <w:r w:rsidR="00A452C0">
        <w:t>special</w:t>
      </w:r>
      <w:r w:rsidR="00A452C0" w:rsidRPr="00C07F6E">
        <w:t xml:space="preserve"> </w:t>
      </w:r>
      <w:r w:rsidRPr="00C07F6E">
        <w:t>blend of capability, skills, and reach, complemented by a rich heritage in retail, which management hoped would help to earn customer loyalty and subsequently create value for shareholders.</w:t>
      </w:r>
      <w:r w:rsidRPr="00C07F6E">
        <w:rPr>
          <w:rStyle w:val="EndnoteReference"/>
          <w:sz w:val="24"/>
          <w:szCs w:val="24"/>
        </w:rPr>
        <w:endnoteReference w:id="14"/>
      </w:r>
    </w:p>
    <w:p w14:paraId="6BC613ED" w14:textId="77777777" w:rsidR="00084A94" w:rsidRPr="00C07F6E" w:rsidRDefault="00084A94" w:rsidP="00374C4D">
      <w:pPr>
        <w:pStyle w:val="BodyTextMain"/>
      </w:pPr>
    </w:p>
    <w:p w14:paraId="28F75A71" w14:textId="77777777" w:rsidR="00084A94" w:rsidRPr="00C07F6E" w:rsidRDefault="00084A94" w:rsidP="009E7AF6">
      <w:pPr>
        <w:pStyle w:val="BodyTextMain"/>
        <w:rPr>
          <w:rFonts w:eastAsia="Arial"/>
        </w:rPr>
      </w:pPr>
    </w:p>
    <w:p w14:paraId="345577E5" w14:textId="32195E23" w:rsidR="00084A94" w:rsidRPr="00C07F6E" w:rsidRDefault="00084A94" w:rsidP="00780234">
      <w:pPr>
        <w:pStyle w:val="Casehead2"/>
        <w:rPr>
          <w:rFonts w:eastAsia="Arial"/>
        </w:rPr>
      </w:pPr>
      <w:r w:rsidRPr="00C07F6E">
        <w:rPr>
          <w:rFonts w:eastAsia="Arial"/>
        </w:rPr>
        <w:t>Past Performance</w:t>
      </w:r>
    </w:p>
    <w:p w14:paraId="4DE553AC" w14:textId="77777777" w:rsidR="00084A94" w:rsidRPr="00C07F6E" w:rsidRDefault="00084A94" w:rsidP="006D594B">
      <w:pPr>
        <w:pStyle w:val="BodyTextMain"/>
      </w:pPr>
    </w:p>
    <w:p w14:paraId="169EC90B" w14:textId="1D761A10" w:rsidR="00084A94" w:rsidRDefault="00084A94" w:rsidP="006D594B">
      <w:pPr>
        <w:pStyle w:val="BodyTextMain"/>
      </w:pPr>
      <w:r w:rsidRPr="00C07F6E">
        <w:t>With close to 100 years of corporate history, Tesco had pioneered smaller convenience stores and provid</w:t>
      </w:r>
      <w:r w:rsidR="00A452C0">
        <w:t>ed</w:t>
      </w:r>
      <w:r w:rsidRPr="00C07F6E">
        <w:t xml:space="preserve"> products under its own brand.</w:t>
      </w:r>
      <w:r w:rsidRPr="00C07F6E">
        <w:rPr>
          <w:rStyle w:val="EndnoteReference"/>
          <w:shd w:val="clear" w:color="auto" w:fill="FFFFFF"/>
        </w:rPr>
        <w:endnoteReference w:id="15"/>
      </w:r>
      <w:r w:rsidRPr="00C07F6E">
        <w:t xml:space="preserve"> The number of Tesco stores in the United Kingdom increased from 2,715 stores in FY 2010/11 to 2,979 stores in FY 2011/12.</w:t>
      </w:r>
      <w:r w:rsidRPr="00C07F6E">
        <w:rPr>
          <w:rStyle w:val="EndnoteReference"/>
        </w:rPr>
        <w:endnoteReference w:id="16"/>
      </w:r>
      <w:r w:rsidRPr="00C07F6E">
        <w:t xml:space="preserve"> This rapid expansion helped the company emerge as one of the biggest retail chains in the world.</w:t>
      </w:r>
      <w:r w:rsidRPr="00C07F6E">
        <w:rPr>
          <w:rFonts w:ascii="Helvetica" w:hAnsi="Helvetica" w:cs="Helvetica"/>
          <w:shd w:val="clear" w:color="auto" w:fill="FFFFFF"/>
        </w:rPr>
        <w:t xml:space="preserve"> </w:t>
      </w:r>
      <w:r w:rsidRPr="00C07F6E">
        <w:t>Tesco’s financial performance was on an upward trend until FY 2011/12. The company’s revenue increased from £60.46 billion in FY 2010/11 to £64.54 billion in FY 2011/12 (an increase of 6.76 per cent), while the gross profit increased from £5.13 billion in FY 2010/11 to £5.26 billion in FY 2011/12 (an increase of 2.65 per cent</w:t>
      </w:r>
      <w:r>
        <w:t>)</w:t>
      </w:r>
      <w:r w:rsidRPr="00C07F6E">
        <w:t xml:space="preserve"> </w:t>
      </w:r>
      <w:r>
        <w:t>(see Exhibit 4).</w:t>
      </w:r>
    </w:p>
    <w:p w14:paraId="21A10697" w14:textId="77777777" w:rsidR="00084A94" w:rsidRPr="00C07F6E" w:rsidRDefault="00084A94" w:rsidP="006D594B">
      <w:pPr>
        <w:pStyle w:val="BodyTextMain"/>
      </w:pPr>
    </w:p>
    <w:p w14:paraId="1755EEA8" w14:textId="501B834F" w:rsidR="00084A94" w:rsidRPr="00C07F6E" w:rsidRDefault="00084A94" w:rsidP="006D594B">
      <w:pPr>
        <w:pStyle w:val="BodyTextMain"/>
        <w:rPr>
          <w:rFonts w:ascii="Helvetica" w:hAnsi="Helvetica" w:cs="Helvetica"/>
          <w:shd w:val="clear" w:color="auto" w:fill="FFFFFF"/>
        </w:rPr>
      </w:pPr>
      <w:r w:rsidRPr="00C07F6E">
        <w:t xml:space="preserve">However, Tesco’s revenue then fell from £64.83 billion in FY 2012/13 to £63.5 billion in FY 2013/14 (see Exhibit </w:t>
      </w:r>
      <w:r>
        <w:t>4</w:t>
      </w:r>
      <w:r w:rsidRPr="00C07F6E">
        <w:t xml:space="preserve">). Tesco’s then CEO, </w:t>
      </w:r>
      <w:r w:rsidRPr="00C07F6E">
        <w:rPr>
          <w:rFonts w:eastAsia="Arial"/>
        </w:rPr>
        <w:t xml:space="preserve">Philip Andrew Clarke, tried to revive the business with a plan to inject </w:t>
      </w:r>
      <w:r w:rsidRPr="00C07F6E">
        <w:t>£1</w:t>
      </w:r>
      <w:r w:rsidR="00A452C0">
        <w:t> b</w:t>
      </w:r>
      <w:r w:rsidRPr="00C07F6E">
        <w:t xml:space="preserve">illion to </w:t>
      </w:r>
      <w:r w:rsidRPr="00C07F6E">
        <w:rPr>
          <w:rFonts w:eastAsia="Arial"/>
        </w:rPr>
        <w:t>refurbish 430 stores and hire 8,000 new store workers to enhance the shopping experience for customers</w:t>
      </w:r>
      <w:r>
        <w:rPr>
          <w:rFonts w:eastAsia="Arial"/>
        </w:rPr>
        <w:t>.</w:t>
      </w:r>
      <w:r w:rsidRPr="00C07F6E">
        <w:rPr>
          <w:rStyle w:val="EndnoteReference"/>
          <w:rFonts w:eastAsia="Arial"/>
        </w:rPr>
        <w:endnoteReference w:id="17"/>
      </w:r>
      <w:r w:rsidRPr="00C07F6E">
        <w:rPr>
          <w:rFonts w:eastAsia="Arial"/>
        </w:rPr>
        <w:t xml:space="preserve"> The idea was to turn Tesco into a multi-channel retailer in an effort to revitalize its business and grow with customers’ needs. Despite these efforts, profits and share prices continued to decrease. As a result, Clarke </w:t>
      </w:r>
      <w:proofErr w:type="gramStart"/>
      <w:r w:rsidRPr="00C07F6E">
        <w:rPr>
          <w:rFonts w:eastAsia="Arial"/>
        </w:rPr>
        <w:t>was fired</w:t>
      </w:r>
      <w:proofErr w:type="gramEnd"/>
      <w:r w:rsidRPr="00C07F6E">
        <w:rPr>
          <w:rFonts w:eastAsia="Arial"/>
        </w:rPr>
        <w:t xml:space="preserve">. </w:t>
      </w:r>
    </w:p>
    <w:p w14:paraId="3BADD78D" w14:textId="77777777" w:rsidR="00084A94" w:rsidRPr="00C07F6E" w:rsidRDefault="00084A94" w:rsidP="00374C4D">
      <w:pPr>
        <w:pStyle w:val="BodyTextMain"/>
        <w:rPr>
          <w:rFonts w:eastAsia="Arial"/>
        </w:rPr>
      </w:pPr>
    </w:p>
    <w:p w14:paraId="1732FD30" w14:textId="77777777" w:rsidR="00084A94" w:rsidRPr="00C07F6E" w:rsidRDefault="00084A94" w:rsidP="00374C4D">
      <w:pPr>
        <w:pStyle w:val="BodyTextMain"/>
      </w:pPr>
    </w:p>
    <w:p w14:paraId="7271434C" w14:textId="0F7ECB53" w:rsidR="00084A94" w:rsidRPr="00C07F6E" w:rsidRDefault="00A452C0" w:rsidP="00780234">
      <w:pPr>
        <w:pStyle w:val="Casehead2"/>
      </w:pPr>
      <w:r>
        <w:rPr>
          <w:rFonts w:eastAsia="Arial"/>
        </w:rPr>
        <w:t>T</w:t>
      </w:r>
      <w:r w:rsidR="00084A94" w:rsidRPr="00C07F6E">
        <w:rPr>
          <w:rFonts w:eastAsia="Arial"/>
        </w:rPr>
        <w:t xml:space="preserve">he </w:t>
      </w:r>
      <w:r w:rsidRPr="00C07F6E">
        <w:rPr>
          <w:rFonts w:eastAsia="Arial"/>
        </w:rPr>
        <w:t>N</w:t>
      </w:r>
      <w:r>
        <w:rPr>
          <w:rFonts w:eastAsia="Arial"/>
        </w:rPr>
        <w:t>ew</w:t>
      </w:r>
      <w:r w:rsidRPr="00C07F6E">
        <w:rPr>
          <w:rFonts w:eastAsia="Arial"/>
        </w:rPr>
        <w:t xml:space="preserve"> </w:t>
      </w:r>
      <w:r w:rsidR="00084A94" w:rsidRPr="00C07F6E">
        <w:rPr>
          <w:rFonts w:eastAsia="Arial"/>
        </w:rPr>
        <w:t>CEO: Dave Lewis</w:t>
      </w:r>
    </w:p>
    <w:p w14:paraId="7E2FAED2" w14:textId="77777777" w:rsidR="00084A94" w:rsidRPr="00C07F6E" w:rsidRDefault="00084A94" w:rsidP="006D594B">
      <w:pPr>
        <w:pStyle w:val="BodyTextMain"/>
        <w:rPr>
          <w:rFonts w:eastAsia="Arial"/>
        </w:rPr>
      </w:pPr>
    </w:p>
    <w:p w14:paraId="73ABCDF3" w14:textId="6C4C307B" w:rsidR="00822119" w:rsidRDefault="00084A94" w:rsidP="006D594B">
      <w:pPr>
        <w:pStyle w:val="BodyTextMain"/>
        <w:rPr>
          <w:rFonts w:eastAsia="Arial"/>
        </w:rPr>
      </w:pPr>
      <w:r w:rsidRPr="00C07F6E">
        <w:rPr>
          <w:rFonts w:eastAsia="Arial"/>
        </w:rPr>
        <w:t xml:space="preserve">Lewis became group chief executive of Tesco on September 1, 2014. He brought with him 28 years of experience at Unilever in a variety of roles, which took him across Greater Europe, Asia, and the Americas. His last three roles included </w:t>
      </w:r>
      <w:proofErr w:type="gramStart"/>
      <w:r w:rsidRPr="00C07F6E">
        <w:rPr>
          <w:rFonts w:eastAsia="Arial"/>
        </w:rPr>
        <w:t>chairman</w:t>
      </w:r>
      <w:proofErr w:type="gramEnd"/>
      <w:r w:rsidRPr="00C07F6E">
        <w:rPr>
          <w:rFonts w:eastAsia="Arial"/>
        </w:rPr>
        <w:t xml:space="preserve"> of Unilever in the United Kingdom and Ireland, president of the company’s divisions in the Americas, and global president of the </w:t>
      </w:r>
      <w:r w:rsidR="00A452C0">
        <w:rPr>
          <w:rFonts w:eastAsia="Arial"/>
        </w:rPr>
        <w:t>p</w:t>
      </w:r>
      <w:r w:rsidRPr="00C07F6E">
        <w:rPr>
          <w:rFonts w:eastAsia="Arial"/>
        </w:rPr>
        <w:t xml:space="preserve">ersonal </w:t>
      </w:r>
      <w:r w:rsidR="00A452C0">
        <w:rPr>
          <w:rFonts w:eastAsia="Arial"/>
        </w:rPr>
        <w:t>c</w:t>
      </w:r>
      <w:r w:rsidRPr="00C07F6E">
        <w:rPr>
          <w:rFonts w:eastAsia="Arial"/>
        </w:rPr>
        <w:t>are division. During his career, Lewis had been responsible for a number of business turnarounds within these roles and areas.</w:t>
      </w:r>
      <w:r w:rsidRPr="00C07F6E">
        <w:rPr>
          <w:rStyle w:val="EndnoteReference"/>
          <w:rFonts w:eastAsia="Arial"/>
        </w:rPr>
        <w:endnoteReference w:id="18"/>
      </w:r>
      <w:r w:rsidRPr="00C07F6E">
        <w:rPr>
          <w:rFonts w:eastAsia="Arial"/>
        </w:rPr>
        <w:t xml:space="preserve"> </w:t>
      </w:r>
    </w:p>
    <w:p w14:paraId="6C2E6176" w14:textId="77777777" w:rsidR="00822119" w:rsidRDefault="00822119" w:rsidP="006D594B">
      <w:pPr>
        <w:pStyle w:val="BodyTextMain"/>
        <w:rPr>
          <w:rFonts w:eastAsia="Arial"/>
        </w:rPr>
      </w:pPr>
    </w:p>
    <w:p w14:paraId="667C68F4" w14:textId="013FD888" w:rsidR="00084A94" w:rsidRPr="00C07F6E" w:rsidRDefault="00084A94" w:rsidP="006D594B">
      <w:pPr>
        <w:pStyle w:val="BodyTextMain"/>
      </w:pPr>
      <w:r w:rsidRPr="00C07F6E">
        <w:t xml:space="preserve">Upon Lewis’s move to Tesco, former Tesco board director Andy Higginson said, “I think Dave Lewis is a great hire for Tesco. . . . </w:t>
      </w:r>
      <w:proofErr w:type="gramStart"/>
      <w:r w:rsidRPr="00C07F6E">
        <w:t>He’s</w:t>
      </w:r>
      <w:proofErr w:type="gramEnd"/>
      <w:r w:rsidRPr="00C07F6E">
        <w:t xml:space="preserve"> very seasoned and a successful manager. He’s got great values and will be very strong on sorting the strategy out.”</w:t>
      </w:r>
      <w:r w:rsidRPr="00C07F6E">
        <w:rPr>
          <w:rStyle w:val="EndnoteReference"/>
        </w:rPr>
        <w:endnoteReference w:id="19"/>
      </w:r>
      <w:r w:rsidR="00822119">
        <w:t xml:space="preserve"> </w:t>
      </w:r>
      <w:r w:rsidRPr="00C07F6E">
        <w:t xml:space="preserve">Market analysts agreed that Lewis’s appointment brought hope for Tesco, with one </w:t>
      </w:r>
      <w:r w:rsidR="00822119">
        <w:t xml:space="preserve">analyst </w:t>
      </w:r>
      <w:r w:rsidRPr="00C07F6E">
        <w:t xml:space="preserve">noting that the appointment, coupled with the recent hiring of Alan Stewart from Marks &amp; Spencer as Tesco’s finance director, </w:t>
      </w:r>
      <w:proofErr w:type="gramStart"/>
      <w:r w:rsidRPr="00C07F6E">
        <w:t>meant that</w:t>
      </w:r>
      <w:proofErr w:type="gramEnd"/>
      <w:r w:rsidRPr="00C07F6E">
        <w:t xml:space="preserve"> “shareholders now have the change they have been pushing for</w:t>
      </w:r>
      <w:r w:rsidRPr="00C07F6E">
        <w:rPr>
          <w:i/>
        </w:rPr>
        <w:t>.</w:t>
      </w:r>
      <w:r w:rsidRPr="00C07F6E">
        <w:t>”</w:t>
      </w:r>
      <w:r w:rsidRPr="00C07F6E">
        <w:rPr>
          <w:rStyle w:val="EndnoteReference"/>
        </w:rPr>
        <w:endnoteReference w:id="20"/>
      </w:r>
    </w:p>
    <w:p w14:paraId="3C441356" w14:textId="050D319D" w:rsidR="00084A94" w:rsidRPr="00C07F6E" w:rsidRDefault="00084A94" w:rsidP="006D594B">
      <w:pPr>
        <w:pStyle w:val="BodyTextMain"/>
        <w:rPr>
          <w:rFonts w:eastAsia="Arial"/>
        </w:rPr>
      </w:pPr>
      <w:r w:rsidRPr="00C07F6E">
        <w:rPr>
          <w:rFonts w:eastAsia="Arial"/>
        </w:rPr>
        <w:lastRenderedPageBreak/>
        <w:t xml:space="preserve">Lewis joined </w:t>
      </w:r>
      <w:r w:rsidR="00EE5E7F">
        <w:rPr>
          <w:rFonts w:eastAsia="Arial"/>
        </w:rPr>
        <w:t xml:space="preserve">Tesco </w:t>
      </w:r>
      <w:r w:rsidRPr="00C07F6E">
        <w:rPr>
          <w:rFonts w:eastAsia="Arial"/>
        </w:rPr>
        <w:t xml:space="preserve">at a time when </w:t>
      </w:r>
      <w:r w:rsidR="00EE5E7F">
        <w:rPr>
          <w:rFonts w:eastAsia="Arial"/>
        </w:rPr>
        <w:t>the company</w:t>
      </w:r>
      <w:r w:rsidR="00EE5E7F" w:rsidRPr="00C07F6E">
        <w:rPr>
          <w:rFonts w:eastAsia="Arial"/>
        </w:rPr>
        <w:t xml:space="preserve"> </w:t>
      </w:r>
      <w:r w:rsidRPr="00C07F6E">
        <w:rPr>
          <w:rFonts w:eastAsia="Arial"/>
        </w:rPr>
        <w:t>was undergoing a severe financial crisis. From the company’s cash position to its decreasing sales, Tesco’s new CEO had numerous issues to address. Soon after hiring Lewis in September 2014, Tesco experienced another massive setback in the form of an accounting scandal. Tesco</w:t>
      </w:r>
      <w:r w:rsidR="00EE5E7F">
        <w:rPr>
          <w:rFonts w:eastAsia="Arial"/>
        </w:rPr>
        <w:t>’s previous</w:t>
      </w:r>
      <w:r w:rsidRPr="00C07F6E">
        <w:rPr>
          <w:rFonts w:eastAsia="Arial"/>
        </w:rPr>
        <w:t xml:space="preserve"> </w:t>
      </w:r>
      <w:proofErr w:type="gramStart"/>
      <w:r w:rsidRPr="00C07F6E">
        <w:rPr>
          <w:rFonts w:eastAsia="Arial"/>
        </w:rPr>
        <w:t>chairman</w:t>
      </w:r>
      <w:proofErr w:type="gramEnd"/>
      <w:r w:rsidRPr="00C07F6E">
        <w:rPr>
          <w:rFonts w:eastAsia="Arial"/>
        </w:rPr>
        <w:t xml:space="preserve"> Sir Richard Broadbent explained:</w:t>
      </w:r>
    </w:p>
    <w:p w14:paraId="3AD1C6AC" w14:textId="77777777" w:rsidR="00084A94" w:rsidRPr="00C07F6E" w:rsidRDefault="00084A94" w:rsidP="006D594B">
      <w:pPr>
        <w:pStyle w:val="BodyTextMain"/>
        <w:rPr>
          <w:rFonts w:eastAsia="Arial"/>
        </w:rPr>
      </w:pPr>
    </w:p>
    <w:p w14:paraId="1AA69EFD" w14:textId="2466B3C4" w:rsidR="00084A94" w:rsidRPr="00C07F6E" w:rsidRDefault="00084A94" w:rsidP="00F1271F">
      <w:pPr>
        <w:pStyle w:val="BodyTextMain"/>
        <w:ind w:left="720"/>
      </w:pPr>
      <w:r w:rsidRPr="00C07F6E">
        <w:t xml:space="preserve">The issues that have </w:t>
      </w:r>
      <w:proofErr w:type="gramStart"/>
      <w:r w:rsidRPr="00C07F6E">
        <w:t>come to light</w:t>
      </w:r>
      <w:proofErr w:type="gramEnd"/>
      <w:r w:rsidRPr="00C07F6E">
        <w:t xml:space="preserve"> over recent weeks are a matter of profound regret. We have acted quickly to clarify the financial performance of the company. A new management team is in place to address the root causes of the misstatement, and to develop and implement the actions that will build the company’s future.</w:t>
      </w:r>
      <w:r w:rsidRPr="00C07F6E">
        <w:rPr>
          <w:vertAlign w:val="superscript"/>
        </w:rPr>
        <w:endnoteReference w:id="21"/>
      </w:r>
    </w:p>
    <w:p w14:paraId="1CBF8BB4" w14:textId="77777777" w:rsidR="00084A94" w:rsidRPr="00C07F6E" w:rsidRDefault="00084A94" w:rsidP="006D594B">
      <w:pPr>
        <w:pStyle w:val="BodyTextMain"/>
        <w:rPr>
          <w:i/>
        </w:rPr>
      </w:pPr>
    </w:p>
    <w:p w14:paraId="052E1419" w14:textId="58FA75F8" w:rsidR="00084A94" w:rsidRDefault="00084A94" w:rsidP="006D594B">
      <w:pPr>
        <w:pStyle w:val="BodyTextMain"/>
      </w:pPr>
      <w:r w:rsidRPr="00C07F6E">
        <w:t xml:space="preserve">The fraud was publicly exposed when the </w:t>
      </w:r>
      <w:proofErr w:type="gramStart"/>
      <w:r w:rsidRPr="00C07F6E">
        <w:t>company’s</w:t>
      </w:r>
      <w:proofErr w:type="gramEnd"/>
      <w:r w:rsidRPr="00C07F6E">
        <w:t xml:space="preserve"> predicted profits for the first half of 2014 were cut back from £1.1 billion to £263 million. Accounting issues further affected Tesco’s performance.</w:t>
      </w:r>
    </w:p>
    <w:p w14:paraId="1B8C8B87" w14:textId="6C9E7478" w:rsidR="00084A94" w:rsidRDefault="00084A94" w:rsidP="006D594B">
      <w:pPr>
        <w:pStyle w:val="BodyTextMain"/>
      </w:pPr>
    </w:p>
    <w:p w14:paraId="15E715FC" w14:textId="77777777" w:rsidR="00084A94" w:rsidRPr="00C07F6E" w:rsidRDefault="00084A94" w:rsidP="006D594B">
      <w:pPr>
        <w:pStyle w:val="BodyTextMain"/>
      </w:pPr>
    </w:p>
    <w:p w14:paraId="4BCD06CC" w14:textId="4A086EF1" w:rsidR="00084A94" w:rsidRPr="00C07F6E" w:rsidRDefault="00084A94" w:rsidP="0017404F">
      <w:pPr>
        <w:pStyle w:val="Casehead1"/>
        <w:outlineLvl w:val="0"/>
      </w:pPr>
      <w:r w:rsidRPr="00C07F6E">
        <w:rPr>
          <w:rFonts w:eastAsia="Arial"/>
        </w:rPr>
        <w:t>the Retail Industry</w:t>
      </w:r>
    </w:p>
    <w:p w14:paraId="138AABA2" w14:textId="77777777" w:rsidR="00084A94" w:rsidRPr="00C07F6E" w:rsidRDefault="00084A94" w:rsidP="000F411B">
      <w:pPr>
        <w:pStyle w:val="BodyTextMain"/>
        <w:rPr>
          <w:rFonts w:eastAsia="Arial"/>
        </w:rPr>
      </w:pPr>
    </w:p>
    <w:p w14:paraId="343D6D8C" w14:textId="1D3879A3" w:rsidR="00084A94" w:rsidRPr="00C07F6E" w:rsidRDefault="00084A94" w:rsidP="006D594B">
      <w:pPr>
        <w:pStyle w:val="BodyTextMain"/>
        <w:rPr>
          <w:rFonts w:eastAsia="Arial"/>
        </w:rPr>
      </w:pPr>
      <w:r w:rsidRPr="00C07F6E">
        <w:rPr>
          <w:rFonts w:eastAsia="Arial"/>
        </w:rPr>
        <w:t>Although the U.K. retail industry had grown steadily until 2013, the trend started to dip</w:t>
      </w:r>
      <w:r w:rsidR="00E710D6">
        <w:rPr>
          <w:rFonts w:eastAsia="Arial"/>
        </w:rPr>
        <w:t xml:space="preserve"> after this point</w:t>
      </w:r>
      <w:r w:rsidRPr="00C07F6E">
        <w:rPr>
          <w:rFonts w:eastAsia="Arial"/>
        </w:rPr>
        <w:t xml:space="preserve">. This decrease </w:t>
      </w:r>
      <w:proofErr w:type="gramStart"/>
      <w:r w:rsidRPr="00C07F6E">
        <w:rPr>
          <w:rFonts w:eastAsia="Arial"/>
        </w:rPr>
        <w:t>was attributed</w:t>
      </w:r>
      <w:proofErr w:type="gramEnd"/>
      <w:r w:rsidRPr="00C07F6E">
        <w:rPr>
          <w:rFonts w:eastAsia="Arial"/>
        </w:rPr>
        <w:t xml:space="preserve"> to the United Kingdom’s slow economy at the time. The growth rate decreased from 2.3 per cent in 2014 to 2 per cent in 2015. With the country’s gross domestic product growth hovering around 2 per cent (which </w:t>
      </w:r>
      <w:proofErr w:type="gramStart"/>
      <w:r w:rsidRPr="00C07F6E">
        <w:rPr>
          <w:rFonts w:eastAsia="Arial"/>
        </w:rPr>
        <w:t>was less than the long-term economic growth rate</w:t>
      </w:r>
      <w:proofErr w:type="gramEnd"/>
      <w:r w:rsidRPr="00C07F6E">
        <w:rPr>
          <w:rFonts w:eastAsia="Arial"/>
        </w:rPr>
        <w:t>), retail spending was projected to decrease by around 0.2 per cent every year until 2020.</w:t>
      </w:r>
      <w:r w:rsidRPr="00C07F6E">
        <w:rPr>
          <w:rFonts w:eastAsia="Arial"/>
          <w:vertAlign w:val="superscript"/>
        </w:rPr>
        <w:endnoteReference w:id="22"/>
      </w:r>
      <w:r w:rsidRPr="00C07F6E">
        <w:rPr>
          <w:rFonts w:eastAsia="Arial"/>
        </w:rPr>
        <w:t xml:space="preserve"> </w:t>
      </w:r>
    </w:p>
    <w:p w14:paraId="37D21C50" w14:textId="77777777" w:rsidR="00084A94" w:rsidRPr="00C07F6E" w:rsidRDefault="00084A94" w:rsidP="006D594B">
      <w:pPr>
        <w:pStyle w:val="BodyTextMain"/>
      </w:pPr>
    </w:p>
    <w:p w14:paraId="33A05C8A" w14:textId="2612A4C3" w:rsidR="00084A94" w:rsidRPr="00C07F6E" w:rsidRDefault="00084A94" w:rsidP="006D594B">
      <w:pPr>
        <w:pStyle w:val="BodyTextMain"/>
        <w:rPr>
          <w:rFonts w:eastAsia="Arial"/>
        </w:rPr>
      </w:pPr>
      <w:r w:rsidRPr="00C07F6E">
        <w:rPr>
          <w:rFonts w:eastAsia="Arial"/>
        </w:rPr>
        <w:t>Several reports and trends exhibited a move toward technology and online retail in the U.K. retail industry. Moreover, the industry began to experience a dramatic shift toward discount retail stores, which were very simpl</w:t>
      </w:r>
      <w:r w:rsidR="00080812">
        <w:rPr>
          <w:rFonts w:eastAsia="Arial"/>
        </w:rPr>
        <w:t>e</w:t>
      </w:r>
      <w:r w:rsidRPr="00C07F6E">
        <w:rPr>
          <w:rFonts w:eastAsia="Arial"/>
        </w:rPr>
        <w:t xml:space="preserve"> in design. Due to the volatile economy, consumers started to prefer discount stores </w:t>
      </w:r>
      <w:proofErr w:type="gramStart"/>
      <w:r w:rsidRPr="00C07F6E">
        <w:rPr>
          <w:rFonts w:eastAsia="Arial"/>
        </w:rPr>
        <w:t>over</w:t>
      </w:r>
      <w:proofErr w:type="gramEnd"/>
      <w:r w:rsidRPr="00C07F6E">
        <w:rPr>
          <w:rFonts w:eastAsia="Arial"/>
        </w:rPr>
        <w:t xml:space="preserve"> all other offerings. The average 12-week market share of German discount stores such as Aldi and Lidl saw a rise of over </w:t>
      </w:r>
      <w:r w:rsidR="003666E1">
        <w:rPr>
          <w:rFonts w:eastAsia="Arial"/>
        </w:rPr>
        <w:t>1</w:t>
      </w:r>
      <w:r w:rsidR="003666E1" w:rsidRPr="00C07F6E">
        <w:rPr>
          <w:rFonts w:eastAsia="Arial"/>
        </w:rPr>
        <w:t xml:space="preserve"> </w:t>
      </w:r>
      <w:r w:rsidRPr="00C07F6E">
        <w:rPr>
          <w:rFonts w:eastAsia="Arial"/>
        </w:rPr>
        <w:t xml:space="preserve">per cent from 2014 to </w:t>
      </w:r>
      <w:proofErr w:type="gramStart"/>
      <w:r w:rsidRPr="00C07F6E">
        <w:rPr>
          <w:rFonts w:eastAsia="Arial"/>
        </w:rPr>
        <w:t>2016,</w:t>
      </w:r>
      <w:proofErr w:type="gramEnd"/>
      <w:r w:rsidRPr="00C07F6E">
        <w:rPr>
          <w:rFonts w:eastAsia="Arial"/>
        </w:rPr>
        <w:t xml:space="preserve"> while other competitors in the U.K. market saw negative market share growth during the same period</w:t>
      </w:r>
      <w:r>
        <w:rPr>
          <w:rFonts w:eastAsia="Arial"/>
        </w:rPr>
        <w:t xml:space="preserve"> (see Exhibit 5).</w:t>
      </w:r>
      <w:r w:rsidRPr="00C07F6E">
        <w:rPr>
          <w:rStyle w:val="EndnoteReference"/>
          <w:rFonts w:eastAsia="Arial"/>
        </w:rPr>
        <w:endnoteReference w:id="23"/>
      </w:r>
    </w:p>
    <w:p w14:paraId="64953988" w14:textId="77777777" w:rsidR="00084A94" w:rsidRPr="00C07F6E" w:rsidRDefault="00084A94" w:rsidP="00374C4D">
      <w:pPr>
        <w:pStyle w:val="BodyTextMain"/>
        <w:rPr>
          <w:rFonts w:eastAsia="Arial"/>
        </w:rPr>
      </w:pPr>
    </w:p>
    <w:p w14:paraId="3E180FBF" w14:textId="77777777" w:rsidR="00084A94" w:rsidRPr="00C07F6E" w:rsidRDefault="00084A94" w:rsidP="00374C4D">
      <w:pPr>
        <w:pStyle w:val="BodyTextMain"/>
      </w:pPr>
    </w:p>
    <w:p w14:paraId="3C20D6CC" w14:textId="617FEC12" w:rsidR="00084A94" w:rsidRPr="00C07F6E" w:rsidRDefault="003666E1" w:rsidP="0017404F">
      <w:pPr>
        <w:pStyle w:val="Casehead1"/>
        <w:outlineLvl w:val="0"/>
        <w:rPr>
          <w:rFonts w:eastAsia="Arial"/>
        </w:rPr>
      </w:pPr>
      <w:r>
        <w:rPr>
          <w:rFonts w:eastAsia="Arial"/>
        </w:rPr>
        <w:t xml:space="preserve">Tesco’s </w:t>
      </w:r>
      <w:r w:rsidR="00084A94" w:rsidRPr="00C07F6E">
        <w:rPr>
          <w:rFonts w:eastAsia="Arial"/>
        </w:rPr>
        <w:t>Financial results for FY 2014/15 and 2015/16</w:t>
      </w:r>
    </w:p>
    <w:p w14:paraId="3B6DCB8E" w14:textId="77777777" w:rsidR="00084A94" w:rsidRPr="00C07F6E" w:rsidRDefault="00084A94" w:rsidP="006D594B">
      <w:pPr>
        <w:pStyle w:val="BodyTextMain"/>
      </w:pPr>
    </w:p>
    <w:p w14:paraId="21272509" w14:textId="362C53EF" w:rsidR="00084A94" w:rsidRPr="00C07F6E" w:rsidRDefault="00084A94" w:rsidP="00DE1CB4">
      <w:pPr>
        <w:pStyle w:val="BodyTextMain"/>
      </w:pPr>
      <w:r w:rsidRPr="00C07F6E">
        <w:t>During FY 2014/15, there had been renewed focus on corporate governance</w:t>
      </w:r>
      <w:r w:rsidR="003666E1">
        <w:t>.</w:t>
      </w:r>
      <w:r w:rsidRPr="00C07F6E">
        <w:t xml:space="preserve"> </w:t>
      </w:r>
      <w:r w:rsidR="003666E1">
        <w:t>T</w:t>
      </w:r>
      <w:r w:rsidRPr="00C07F6E">
        <w:t xml:space="preserve">he company’s board spent a significant proportion of its time examining and strengthening Tesco’s processes throughout the group. Low-performing stores </w:t>
      </w:r>
      <w:proofErr w:type="gramStart"/>
      <w:r w:rsidRPr="00C07F6E">
        <w:t>were shut down,</w:t>
      </w:r>
      <w:proofErr w:type="gramEnd"/>
      <w:r w:rsidRPr="00C07F6E">
        <w:t xml:space="preserve"> and many staff members were laid off to reduce costs. Tesco closed 43 stores that were not yielding any profits and stalled the opening of 49 new stores. Moreover, the company regained ownership of 21 superstores to reduce rent exposure. In an attempt to focus on its core customers, Tesco also sold off all major non-core business. The company’s Korean business, </w:t>
      </w:r>
      <w:proofErr w:type="spellStart"/>
      <w:r w:rsidRPr="00C07F6E">
        <w:t>Homeplus</w:t>
      </w:r>
      <w:proofErr w:type="spellEnd"/>
      <w:r w:rsidRPr="00C07F6E">
        <w:t xml:space="preserve">, </w:t>
      </w:r>
      <w:proofErr w:type="gramStart"/>
      <w:r w:rsidRPr="00C07F6E">
        <w:t>was sold</w:t>
      </w:r>
      <w:proofErr w:type="gramEnd"/>
      <w:r w:rsidRPr="00C07F6E">
        <w:t xml:space="preserve"> for £4.2 billion as a measure to strengthen Tesco’s balance sheet.</w:t>
      </w:r>
      <w:r w:rsidRPr="00C07F6E">
        <w:rPr>
          <w:rStyle w:val="EndnoteReference"/>
        </w:rPr>
        <w:endnoteReference w:id="24"/>
      </w:r>
      <w:r w:rsidRPr="00C07F6E">
        <w:t xml:space="preserve"> </w:t>
      </w:r>
    </w:p>
    <w:p w14:paraId="29A04040" w14:textId="77777777" w:rsidR="00084A94" w:rsidRPr="00C07F6E" w:rsidRDefault="00084A94" w:rsidP="00741709">
      <w:pPr>
        <w:pStyle w:val="BodyTextMain"/>
      </w:pPr>
    </w:p>
    <w:p w14:paraId="1E68B045" w14:textId="199C3A26" w:rsidR="00084A94" w:rsidRPr="00C07F6E" w:rsidRDefault="00084A94" w:rsidP="00741709">
      <w:pPr>
        <w:pStyle w:val="BodyTextMain"/>
      </w:pPr>
      <w:r w:rsidRPr="00C07F6E">
        <w:t>In FY 2015/16, Lewis’s primary focus was to turn Tesco back into a customer-centric business. Therefore, Lewis implemented many strategic changes</w:t>
      </w:r>
      <w:r>
        <w:t xml:space="preserve"> with </w:t>
      </w:r>
      <w:r w:rsidRPr="00C07F6E">
        <w:t xml:space="preserve">three focal points to </w:t>
      </w:r>
      <w:r w:rsidR="00842F07">
        <w:t>help</w:t>
      </w:r>
      <w:r w:rsidR="00842F07" w:rsidRPr="00C07F6E">
        <w:t xml:space="preserve"> </w:t>
      </w:r>
      <w:r w:rsidRPr="00C07F6E">
        <w:t>Tesco recover from the</w:t>
      </w:r>
      <w:r>
        <w:t xml:space="preserve"> accounting</w:t>
      </w:r>
      <w:r w:rsidRPr="00C07F6E">
        <w:t xml:space="preserve"> scandal</w:t>
      </w:r>
      <w:r>
        <w:t xml:space="preserve"> of 2014</w:t>
      </w:r>
      <w:r w:rsidRPr="00C07F6E">
        <w:t>: (1) regaining competitiveness in core U.K. business; (2) protecting and strengthening the balance sheet and profits; and (3) rebuilding trust and transparency.</w:t>
      </w:r>
      <w:r w:rsidRPr="00C07F6E">
        <w:rPr>
          <w:rStyle w:val="EndnoteReference"/>
        </w:rPr>
        <w:endnoteReference w:id="25"/>
      </w:r>
    </w:p>
    <w:p w14:paraId="29E219AD" w14:textId="77777777" w:rsidR="00084A94" w:rsidRPr="00C07F6E" w:rsidRDefault="00084A94" w:rsidP="006D594B">
      <w:pPr>
        <w:pStyle w:val="BodyTextMain"/>
      </w:pPr>
    </w:p>
    <w:p w14:paraId="5C404893" w14:textId="68E0218B" w:rsidR="00084A94" w:rsidRPr="00C07F6E" w:rsidRDefault="00084A94" w:rsidP="006D594B">
      <w:pPr>
        <w:pStyle w:val="BodyTextMain"/>
      </w:pPr>
      <w:r w:rsidRPr="00C07F6E">
        <w:t xml:space="preserve">Competition in the market was driving companies to lower their margins and offer deep discounts. Tesco’s top competitors—Asda, </w:t>
      </w:r>
      <w:proofErr w:type="spellStart"/>
      <w:r w:rsidRPr="00C07F6E">
        <w:t>Morrisons</w:t>
      </w:r>
      <w:proofErr w:type="spellEnd"/>
      <w:r w:rsidRPr="00C07F6E">
        <w:t>, and Sainsbury’s—had a solid hold in the market, and new players—Aldi and Lidl—were competing fiercely for market share. Under these circumstances, Tesco focused on delivering the best competitive price for its customers. Tesco’s 2015 strategic report stated, “In October 2015, we became the first—and</w:t>
      </w:r>
      <w:r w:rsidR="00714F4F">
        <w:t xml:space="preserve"> </w:t>
      </w:r>
      <w:r w:rsidRPr="00C07F6E">
        <w:t xml:space="preserve">still only—retailer in the [United Kingdom] to offer customers an </w:t>
      </w:r>
      <w:r w:rsidRPr="00C07F6E">
        <w:lastRenderedPageBreak/>
        <w:t>immediate price match at</w:t>
      </w:r>
      <w:r w:rsidR="00714F4F">
        <w:t xml:space="preserve"> </w:t>
      </w:r>
      <w:r w:rsidRPr="00C07F6E">
        <w:t>the till with Brand Guarantee.”</w:t>
      </w:r>
      <w:bookmarkStart w:id="1" w:name="_Ref465332845"/>
      <w:r w:rsidRPr="00C07F6E">
        <w:rPr>
          <w:rStyle w:val="EndnoteReference"/>
        </w:rPr>
        <w:endnoteReference w:id="26"/>
      </w:r>
      <w:bookmarkEnd w:id="1"/>
      <w:r w:rsidRPr="00C07F6E">
        <w:t xml:space="preserve"> To ensure lower prices, Tesco invested all excess profits in the prices of products. In 2015, the company launched a range of products with an emphasis on lower prices. Capital expenditure </w:t>
      </w:r>
      <w:proofErr w:type="gramStart"/>
      <w:r w:rsidRPr="00C07F6E">
        <w:t>was</w:t>
      </w:r>
      <w:r>
        <w:t xml:space="preserve"> also</w:t>
      </w:r>
      <w:r w:rsidRPr="00C07F6E">
        <w:t xml:space="preserve"> cut</w:t>
      </w:r>
      <w:proofErr w:type="gramEnd"/>
      <w:r w:rsidRPr="00C07F6E">
        <w:t xml:space="preserve"> from £2.</w:t>
      </w:r>
      <w:r>
        <w:t>88</w:t>
      </w:r>
      <w:r w:rsidRPr="00C07F6E">
        <w:t xml:space="preserve"> billion</w:t>
      </w:r>
      <w:r>
        <w:t xml:space="preserve"> in FY 2013/14</w:t>
      </w:r>
      <w:r w:rsidRPr="00C07F6E">
        <w:t xml:space="preserve"> to £2</w:t>
      </w:r>
      <w:r>
        <w:t>.32</w:t>
      </w:r>
      <w:r w:rsidRPr="00C07F6E">
        <w:t xml:space="preserve"> billion in FY 2014/15, and was further reduced to £1</w:t>
      </w:r>
      <w:r>
        <w:t>.04</w:t>
      </w:r>
      <w:r w:rsidRPr="00C07F6E">
        <w:t xml:space="preserve"> billion in FY 2015/</w:t>
      </w:r>
      <w:r>
        <w:t>16 (see Exhibit 6)</w:t>
      </w:r>
      <w:r w:rsidR="00842F07">
        <w:t>.</w:t>
      </w:r>
    </w:p>
    <w:p w14:paraId="412ADBE3" w14:textId="77777777" w:rsidR="00084A94" w:rsidRPr="00C07F6E" w:rsidRDefault="00084A94" w:rsidP="006D594B">
      <w:pPr>
        <w:pStyle w:val="BodyTextMain"/>
      </w:pPr>
    </w:p>
    <w:p w14:paraId="292D1AC7" w14:textId="266D6DEA" w:rsidR="00084A94" w:rsidRPr="00C07F6E" w:rsidRDefault="00084A94" w:rsidP="006D594B">
      <w:pPr>
        <w:pStyle w:val="BodyTextMain"/>
        <w:rPr>
          <w:vertAlign w:val="superscript"/>
        </w:rPr>
      </w:pPr>
      <w:r w:rsidRPr="00C07F6E">
        <w:t xml:space="preserve">When Tesco’s results for FY 2015/16 </w:t>
      </w:r>
      <w:proofErr w:type="gramStart"/>
      <w:r w:rsidRPr="00C07F6E">
        <w:t>were announced</w:t>
      </w:r>
      <w:proofErr w:type="gramEnd"/>
      <w:r w:rsidRPr="00C07F6E">
        <w:t xml:space="preserve">, everyone was surprised with the turnaround that Lewis had achieved since his arrival: the company that had faced huge losses in </w:t>
      </w:r>
      <w:r>
        <w:t xml:space="preserve">FY </w:t>
      </w:r>
      <w:r w:rsidRPr="00C07F6E">
        <w:t>2014/</w:t>
      </w:r>
      <w:r>
        <w:t xml:space="preserve">15 </w:t>
      </w:r>
      <w:r w:rsidRPr="00C07F6E">
        <w:t>had now registered a net profit of £138 million in FY 2015/16</w:t>
      </w:r>
      <w:r>
        <w:t xml:space="preserve"> (see Exhibit 4)</w:t>
      </w:r>
      <w:r w:rsidRPr="00C07F6E">
        <w:t>. According to the company’s 2016 strategic report, one of the most important change</w:t>
      </w:r>
      <w:r w:rsidR="00842F07">
        <w:t>s</w:t>
      </w:r>
      <w:r w:rsidRPr="00C07F6E">
        <w:t xml:space="preserve"> was the establishment of a</w:t>
      </w:r>
      <w:r w:rsidR="00714F4F">
        <w:t xml:space="preserve"> </w:t>
      </w:r>
      <w:r w:rsidRPr="00C07F6E">
        <w:t>new purpose for Tesco: “Serving shoppers a little better every day.”</w:t>
      </w:r>
      <w:r w:rsidRPr="00C07F6E">
        <w:rPr>
          <w:rStyle w:val="EndnoteReference"/>
        </w:rPr>
        <w:endnoteReference w:id="27"/>
      </w:r>
      <w:r w:rsidRPr="00C07F6E">
        <w:rPr>
          <w:i/>
        </w:rPr>
        <w:t xml:space="preserve"> </w:t>
      </w:r>
      <w:r w:rsidRPr="00C07F6E">
        <w:t>This purpose began to guide all of Tesco’s decisions and shape every action the company took.</w:t>
      </w:r>
      <w:r w:rsidRPr="00C07F6E" w:rsidDel="00455496">
        <w:rPr>
          <w:vertAlign w:val="superscript"/>
        </w:rPr>
        <w:t xml:space="preserve"> </w:t>
      </w:r>
    </w:p>
    <w:p w14:paraId="61FFC2A9" w14:textId="77777777" w:rsidR="00084A94" w:rsidRPr="00C07F6E" w:rsidRDefault="00084A94" w:rsidP="006D594B">
      <w:pPr>
        <w:pStyle w:val="BodyTextMain"/>
      </w:pPr>
    </w:p>
    <w:p w14:paraId="0295A8AA" w14:textId="5F535D69" w:rsidR="00084A94" w:rsidRPr="00C07F6E" w:rsidRDefault="00084A94" w:rsidP="006D594B">
      <w:pPr>
        <w:pStyle w:val="BodyTextMain"/>
      </w:pPr>
      <w:r w:rsidRPr="00C07F6E">
        <w:t>Although Tesco’s revenue decreased (from £62.28 billion in FY 2014/15 to £54.43 billion in FY 2015/16), international sales contributed a great deal toward overall sales, constituting 19.1 per cent of total revenue. Tesco focused on cost management, leading to reductions in the cost of sold goods and operating costs, which enabled the company to achieve an operating profit of £1.05 billion in FY 2015/16</w:t>
      </w:r>
      <w:r>
        <w:t xml:space="preserve"> (see Exhibit 4)</w:t>
      </w:r>
      <w:r w:rsidRPr="00C07F6E">
        <w:t>.</w:t>
      </w:r>
      <w:r w:rsidRPr="00C07F6E">
        <w:rPr>
          <w:rStyle w:val="EndnoteReference"/>
        </w:rPr>
        <w:endnoteReference w:id="28"/>
      </w:r>
      <w:r w:rsidRPr="00C07F6E">
        <w:t xml:space="preserve"> </w:t>
      </w:r>
    </w:p>
    <w:p w14:paraId="0D2EB867" w14:textId="77777777" w:rsidR="00084A94" w:rsidRPr="00C07F6E" w:rsidRDefault="00084A94" w:rsidP="006D594B">
      <w:pPr>
        <w:pStyle w:val="BodyTextMain"/>
      </w:pPr>
    </w:p>
    <w:p w14:paraId="54650D7A" w14:textId="77777777" w:rsidR="00084A94" w:rsidRPr="00C07F6E" w:rsidRDefault="00084A94" w:rsidP="006D594B">
      <w:pPr>
        <w:pStyle w:val="BodyTextMain"/>
      </w:pPr>
    </w:p>
    <w:p w14:paraId="43C2D4CA" w14:textId="1C3366B4" w:rsidR="00084A94" w:rsidRPr="00C07F6E" w:rsidRDefault="00084A94" w:rsidP="0017404F">
      <w:pPr>
        <w:pStyle w:val="Casehead1"/>
        <w:outlineLvl w:val="0"/>
        <w:rPr>
          <w:rFonts w:eastAsia="Arial"/>
        </w:rPr>
      </w:pPr>
      <w:r w:rsidRPr="00C07F6E">
        <w:rPr>
          <w:rFonts w:eastAsia="Arial"/>
        </w:rPr>
        <w:t>challenges ahead</w:t>
      </w:r>
    </w:p>
    <w:p w14:paraId="246A3090" w14:textId="77777777" w:rsidR="00084A94" w:rsidRPr="00C07F6E" w:rsidRDefault="00084A94" w:rsidP="006D594B">
      <w:pPr>
        <w:pStyle w:val="BodyTextMain"/>
      </w:pPr>
    </w:p>
    <w:p w14:paraId="514639AE" w14:textId="79B2E570" w:rsidR="00084A94" w:rsidRPr="00084A94" w:rsidRDefault="00084A94" w:rsidP="006D594B">
      <w:pPr>
        <w:pStyle w:val="BodyTextMain"/>
        <w:rPr>
          <w:spacing w:val="-2"/>
          <w:kern w:val="22"/>
        </w:rPr>
      </w:pPr>
      <w:r w:rsidRPr="00084A94">
        <w:rPr>
          <w:spacing w:val="-2"/>
          <w:kern w:val="22"/>
        </w:rPr>
        <w:t xml:space="preserve">Mike Dennis, an analyst at Cantor Fitzgerald, predicted that Tesco </w:t>
      </w:r>
      <w:proofErr w:type="gramStart"/>
      <w:r w:rsidRPr="00084A94">
        <w:rPr>
          <w:spacing w:val="-2"/>
          <w:kern w:val="22"/>
        </w:rPr>
        <w:t>would be fined</w:t>
      </w:r>
      <w:proofErr w:type="gramEnd"/>
      <w:r w:rsidRPr="00084A94">
        <w:rPr>
          <w:spacing w:val="-2"/>
          <w:kern w:val="22"/>
        </w:rPr>
        <w:t xml:space="preserve"> roughly 1 per cent of U.K. grocery sales (approximately £350 million) attributed to the accounting scandal of 2014.</w:t>
      </w:r>
      <w:r w:rsidRPr="00084A94">
        <w:rPr>
          <w:rStyle w:val="EndnoteReference"/>
          <w:spacing w:val="-2"/>
          <w:kern w:val="22"/>
        </w:rPr>
        <w:endnoteReference w:id="29"/>
      </w:r>
      <w:r w:rsidRPr="00084A94">
        <w:rPr>
          <w:spacing w:val="-2"/>
          <w:kern w:val="22"/>
        </w:rPr>
        <w:t xml:space="preserve"> In addition, the Serious Fraud Office (SFO) could levy other fines</w:t>
      </w:r>
      <w:r w:rsidR="00842F07">
        <w:rPr>
          <w:spacing w:val="-2"/>
          <w:kern w:val="22"/>
        </w:rPr>
        <w:t>,</w:t>
      </w:r>
      <w:r w:rsidRPr="00084A94">
        <w:rPr>
          <w:spacing w:val="-2"/>
          <w:kern w:val="22"/>
        </w:rPr>
        <w:t xml:space="preserve"> which</w:t>
      </w:r>
      <w:r w:rsidR="00842F07">
        <w:rPr>
          <w:spacing w:val="-2"/>
          <w:kern w:val="22"/>
        </w:rPr>
        <w:t>,</w:t>
      </w:r>
      <w:r w:rsidRPr="00084A94">
        <w:rPr>
          <w:spacing w:val="-2"/>
          <w:kern w:val="22"/>
        </w:rPr>
        <w:t xml:space="preserve"> together</w:t>
      </w:r>
      <w:r w:rsidR="00842F07">
        <w:rPr>
          <w:spacing w:val="-2"/>
          <w:kern w:val="22"/>
        </w:rPr>
        <w:t>,</w:t>
      </w:r>
      <w:r w:rsidRPr="00084A94">
        <w:rPr>
          <w:spacing w:val="-2"/>
          <w:kern w:val="22"/>
        </w:rPr>
        <w:t xml:space="preserve"> </w:t>
      </w:r>
      <w:r w:rsidR="00842F07">
        <w:rPr>
          <w:spacing w:val="-2"/>
          <w:kern w:val="22"/>
        </w:rPr>
        <w:t xml:space="preserve">could </w:t>
      </w:r>
      <w:r w:rsidRPr="00084A94">
        <w:rPr>
          <w:spacing w:val="-2"/>
          <w:kern w:val="22"/>
        </w:rPr>
        <w:t>amount to around £500 million. Tesco also had to repay</w:t>
      </w:r>
      <w:r w:rsidR="00842F07">
        <w:rPr>
          <w:spacing w:val="-2"/>
          <w:kern w:val="22"/>
        </w:rPr>
        <w:t xml:space="preserve"> or </w:t>
      </w:r>
      <w:r w:rsidRPr="00084A94">
        <w:rPr>
          <w:spacing w:val="-2"/>
          <w:kern w:val="22"/>
        </w:rPr>
        <w:t>refinance £1.1 billion in bonds due in September 2016, and £330 million due in January 2017 (see Exhibit 7).</w:t>
      </w:r>
      <w:r w:rsidRPr="00084A94">
        <w:rPr>
          <w:rStyle w:val="EndnoteReference"/>
          <w:spacing w:val="-2"/>
          <w:kern w:val="22"/>
        </w:rPr>
        <w:endnoteReference w:id="30"/>
      </w:r>
      <w:r w:rsidRPr="00084A94" w:rsidDel="00ED4655">
        <w:rPr>
          <w:spacing w:val="-2"/>
          <w:kern w:val="22"/>
        </w:rPr>
        <w:t xml:space="preserve"> </w:t>
      </w:r>
      <w:r w:rsidRPr="00084A94">
        <w:rPr>
          <w:spacing w:val="-2"/>
          <w:kern w:val="22"/>
        </w:rPr>
        <w:t>Additionally</w:t>
      </w:r>
      <w:r w:rsidR="00842F07">
        <w:rPr>
          <w:spacing w:val="-2"/>
          <w:kern w:val="22"/>
        </w:rPr>
        <w:t>,</w:t>
      </w:r>
      <w:r w:rsidRPr="00084A94">
        <w:rPr>
          <w:spacing w:val="-2"/>
          <w:kern w:val="22"/>
        </w:rPr>
        <w:t xml:space="preserve"> the company had a pension deficit.</w:t>
      </w:r>
      <w:r w:rsidRPr="00084A94">
        <w:rPr>
          <w:rStyle w:val="EndnoteReference"/>
          <w:spacing w:val="-2"/>
          <w:kern w:val="22"/>
        </w:rPr>
        <w:endnoteReference w:id="31"/>
      </w:r>
      <w:r w:rsidRPr="00084A94">
        <w:rPr>
          <w:spacing w:val="-2"/>
          <w:kern w:val="22"/>
        </w:rPr>
        <w:t xml:space="preserve"> According to the analyst</w:t>
      </w:r>
      <w:r w:rsidR="00842F07">
        <w:rPr>
          <w:spacing w:val="-2"/>
          <w:kern w:val="22"/>
        </w:rPr>
        <w:t>:</w:t>
      </w:r>
    </w:p>
    <w:p w14:paraId="0E1FA4E7" w14:textId="77777777" w:rsidR="00084A94" w:rsidRPr="00C07F6E" w:rsidRDefault="00084A94" w:rsidP="006D594B">
      <w:pPr>
        <w:pStyle w:val="BodyTextMain"/>
      </w:pPr>
      <w:r w:rsidRPr="00C07F6E">
        <w:tab/>
      </w:r>
    </w:p>
    <w:p w14:paraId="6F05D97A" w14:textId="3D8008DE" w:rsidR="00084A94" w:rsidRPr="00C07F6E" w:rsidRDefault="00084A94" w:rsidP="006D594B">
      <w:pPr>
        <w:pStyle w:val="BodyTextMain"/>
        <w:ind w:left="720"/>
      </w:pPr>
      <w:r w:rsidRPr="00C07F6E">
        <w:t>[T]he possible fines and legal redress could be classified as exceptional costs but would also drain Tesco of needed cash resources [and] ability to repay debt, and potentially limit any margin recovery. . . . We believe, the implications of a stronger regulator, Groceries Code Adjudicator (GCA), a compliant grocery industry, and potential restrictions from the SFO could place significant limitations on Tesco’s ability to recover margin and repay/refinance [bonds]. . . . The whole industry is currently trying to manage cost pressures, ranging from the living wage to higher rent and rates, as well as falling sales in supermarkets and hypermarkets. So, for Tesco specifically, and the industry, this might severely limit any future price reinvestment against the discounters and margin recovery.</w:t>
      </w:r>
      <w:r w:rsidRPr="00C07F6E">
        <w:rPr>
          <w:vertAlign w:val="superscript"/>
        </w:rPr>
        <w:endnoteReference w:id="32"/>
      </w:r>
    </w:p>
    <w:p w14:paraId="7D7075A1" w14:textId="77777777" w:rsidR="00084A94" w:rsidRPr="00C07F6E" w:rsidRDefault="00084A94" w:rsidP="006D594B">
      <w:pPr>
        <w:pStyle w:val="BodyTextMain"/>
      </w:pPr>
    </w:p>
    <w:p w14:paraId="4AF0DF86" w14:textId="0E6753EC" w:rsidR="00084A94" w:rsidRPr="00C07F6E" w:rsidRDefault="00084A94" w:rsidP="006D594B">
      <w:pPr>
        <w:pStyle w:val="BodyTextMain"/>
      </w:pPr>
      <w:r w:rsidRPr="00C07F6E">
        <w:t>The results for FY 2015/16 were encouraging, but in April 2016,</w:t>
      </w:r>
      <w:r w:rsidRPr="00C07F6E">
        <w:rPr>
          <w:rStyle w:val="EndnoteReference"/>
        </w:rPr>
        <w:endnoteReference w:id="33"/>
      </w:r>
      <w:r w:rsidRPr="00C07F6E">
        <w:t xml:space="preserve"> Lewis acknowledged that Tesco’s recovery would not be smooth, and that the company was still facing major challenges. Share prices fell as investors became cautious of the company’s profit warning. Lewis also hinted at a likely fall in sales </w:t>
      </w:r>
      <w:r w:rsidR="00261197">
        <w:t xml:space="preserve">over </w:t>
      </w:r>
      <w:r w:rsidRPr="00C07F6E">
        <w:t xml:space="preserve">the next year. Despite these statements, Lewis appeared optimistic in Tesco’s 2016 annual report and financial statements, saying, </w:t>
      </w:r>
      <w:r w:rsidRPr="00C07F6E">
        <w:rPr>
          <w:i/>
        </w:rPr>
        <w:t>“</w:t>
      </w:r>
      <w:r w:rsidRPr="00C07F6E">
        <w:t>Of course there is still more to do—but we are on the road to recovery and momentum is building across the business.”</w:t>
      </w:r>
      <w:r w:rsidRPr="00C07F6E">
        <w:rPr>
          <w:vertAlign w:val="superscript"/>
        </w:rPr>
        <w:endnoteReference w:id="34"/>
      </w:r>
    </w:p>
    <w:p w14:paraId="62301A5D" w14:textId="77777777" w:rsidR="006D594B" w:rsidRPr="00C07F6E" w:rsidRDefault="006D594B" w:rsidP="006D594B">
      <w:pPr>
        <w:pStyle w:val="BodyTextMain"/>
      </w:pPr>
    </w:p>
    <w:p w14:paraId="15BC0155" w14:textId="0CC5ECB8" w:rsidR="00DD4D5C" w:rsidRPr="00C07F6E" w:rsidRDefault="00DD4D5C" w:rsidP="006D594B">
      <w:pPr>
        <w:pStyle w:val="BodyTextMain"/>
      </w:pPr>
      <w:proofErr w:type="gramStart"/>
      <w:r w:rsidRPr="00C07F6E">
        <w:t xml:space="preserve">Given all of these efforts, </w:t>
      </w:r>
      <w:r w:rsidR="00544774" w:rsidRPr="00C07F6E">
        <w:t xml:space="preserve">would </w:t>
      </w:r>
      <w:r w:rsidRPr="00C07F6E">
        <w:t>Tesco’s new CEO</w:t>
      </w:r>
      <w:r w:rsidR="00544774" w:rsidRPr="00C07F6E">
        <w:t xml:space="preserve"> be</w:t>
      </w:r>
      <w:r w:rsidRPr="00C07F6E">
        <w:t xml:space="preserve"> able to bring the company out of its d</w:t>
      </w:r>
      <w:r w:rsidR="00544774" w:rsidRPr="00C07F6E">
        <w:t>ownward spiral</w:t>
      </w:r>
      <w:r w:rsidRPr="00C07F6E">
        <w:t>?</w:t>
      </w:r>
      <w:proofErr w:type="gramEnd"/>
      <w:r w:rsidRPr="00C07F6E">
        <w:t xml:space="preserve"> </w:t>
      </w:r>
      <w:r w:rsidR="00544774" w:rsidRPr="00C07F6E">
        <w:t xml:space="preserve">Could he convince shareholders that Tesco was </w:t>
      </w:r>
      <w:r w:rsidRPr="00C07F6E">
        <w:t xml:space="preserve">a worthy investment? </w:t>
      </w:r>
    </w:p>
    <w:p w14:paraId="6A704B6F" w14:textId="77777777" w:rsidR="006D594B" w:rsidRPr="00C07F6E" w:rsidRDefault="006D594B" w:rsidP="006D594B">
      <w:pPr>
        <w:pStyle w:val="BodyTextMain"/>
      </w:pPr>
    </w:p>
    <w:p w14:paraId="710ABF82" w14:textId="4461C46E" w:rsidR="006D594B" w:rsidRPr="00C07F6E" w:rsidRDefault="006D594B">
      <w:pPr>
        <w:spacing w:after="200" w:line="276" w:lineRule="auto"/>
        <w:rPr>
          <w:sz w:val="22"/>
          <w:szCs w:val="22"/>
        </w:rPr>
      </w:pPr>
      <w:r w:rsidRPr="00C07F6E">
        <w:br w:type="page"/>
      </w:r>
    </w:p>
    <w:p w14:paraId="03D85B58" w14:textId="5F18DFD0" w:rsidR="00DD4D5C" w:rsidRPr="00C07F6E" w:rsidRDefault="00DD4D5C" w:rsidP="0017404F">
      <w:pPr>
        <w:pStyle w:val="ExhibitHeading"/>
        <w:outlineLvl w:val="0"/>
        <w:rPr>
          <w:rFonts w:eastAsia="Arial"/>
        </w:rPr>
      </w:pPr>
      <w:r w:rsidRPr="00C07F6E">
        <w:rPr>
          <w:rFonts w:eastAsia="Arial"/>
        </w:rPr>
        <w:lastRenderedPageBreak/>
        <w:t xml:space="preserve">Exhibit 1: </w:t>
      </w:r>
      <w:r w:rsidR="00261197">
        <w:rPr>
          <w:rFonts w:eastAsia="Arial"/>
        </w:rPr>
        <w:t xml:space="preserve">Tesco’s </w:t>
      </w:r>
      <w:r w:rsidRPr="00C07F6E">
        <w:rPr>
          <w:rFonts w:eastAsia="Arial"/>
        </w:rPr>
        <w:t>Share prices</w:t>
      </w:r>
      <w:r w:rsidR="00EB1795" w:rsidRPr="00C07F6E">
        <w:rPr>
          <w:rFonts w:eastAsia="Arial"/>
        </w:rPr>
        <w:t xml:space="preserve">, </w:t>
      </w:r>
      <w:r w:rsidR="008B5F59" w:rsidRPr="00C07F6E">
        <w:rPr>
          <w:rFonts w:eastAsia="Arial"/>
        </w:rPr>
        <w:t>201</w:t>
      </w:r>
      <w:r w:rsidR="00DB39AE" w:rsidRPr="00C07F6E">
        <w:rPr>
          <w:rFonts w:eastAsia="Arial"/>
        </w:rPr>
        <w:t>2</w:t>
      </w:r>
      <w:r w:rsidR="008B5F59" w:rsidRPr="00C07F6E">
        <w:rPr>
          <w:rFonts w:eastAsia="Arial"/>
        </w:rPr>
        <w:t xml:space="preserve"> TO 2016</w:t>
      </w:r>
    </w:p>
    <w:p w14:paraId="1E34DF7D" w14:textId="6F7692BF" w:rsidR="00DD4D5C" w:rsidRPr="00C07F6E" w:rsidRDefault="00DD4D5C" w:rsidP="00780234">
      <w:pPr>
        <w:pStyle w:val="ExhibitText"/>
      </w:pPr>
    </w:p>
    <w:p w14:paraId="7AD85AA9" w14:textId="12C74617" w:rsidR="006D594B" w:rsidRPr="00C07F6E" w:rsidRDefault="00945462" w:rsidP="00780234">
      <w:pPr>
        <w:spacing w:before="120" w:line="360" w:lineRule="auto"/>
      </w:pPr>
      <w:r>
        <w:rPr>
          <w:noProof/>
          <w:lang w:eastAsia="en-GB"/>
        </w:rPr>
        <w:drawing>
          <wp:inline distT="0" distB="0" distL="0" distR="0" wp14:anchorId="7020D9BE" wp14:editId="3C887EFA">
            <wp:extent cx="5943600" cy="3566160"/>
            <wp:effectExtent l="0" t="0" r="0"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BA5FC7" w:rsidRPr="00C07F6E">
        <w:rPr>
          <w:sz w:val="22"/>
          <w:szCs w:val="22"/>
        </w:rPr>
        <w:br w:type="textWrapping" w:clear="all"/>
      </w:r>
      <w:r w:rsidR="00DD4D5C" w:rsidRPr="00084A94">
        <w:rPr>
          <w:rStyle w:val="FootnoteChar"/>
          <w:rFonts w:eastAsia="Arial"/>
        </w:rPr>
        <w:t xml:space="preserve">Source: </w:t>
      </w:r>
      <w:r w:rsidR="00084A94" w:rsidRPr="00084A94">
        <w:rPr>
          <w:rStyle w:val="FootnoteChar"/>
          <w:rFonts w:eastAsia="Arial"/>
        </w:rPr>
        <w:t xml:space="preserve">“Tesco Share Price,” Thomson Reuters, accessed </w:t>
      </w:r>
      <w:r w:rsidR="00427A98">
        <w:rPr>
          <w:rStyle w:val="FootnoteChar"/>
          <w:rFonts w:eastAsia="Arial"/>
        </w:rPr>
        <w:t>April</w:t>
      </w:r>
      <w:r w:rsidR="00261197">
        <w:rPr>
          <w:rStyle w:val="FootnoteChar"/>
          <w:rFonts w:eastAsia="Arial"/>
        </w:rPr>
        <w:t xml:space="preserve"> </w:t>
      </w:r>
      <w:r w:rsidR="00084A94" w:rsidRPr="00084A94">
        <w:rPr>
          <w:rStyle w:val="FootnoteChar"/>
          <w:rFonts w:eastAsia="Arial"/>
        </w:rPr>
        <w:t>22, 2016.</w:t>
      </w:r>
      <w:r w:rsidR="00084A94">
        <w:rPr>
          <w:rFonts w:eastAsia="Arial"/>
        </w:rPr>
        <w:t xml:space="preserve"> </w:t>
      </w:r>
    </w:p>
    <w:p w14:paraId="18E42D41" w14:textId="6DCD22A4" w:rsidR="00084A94" w:rsidRDefault="00084A94">
      <w:pPr>
        <w:spacing w:after="200" w:line="276" w:lineRule="auto"/>
        <w:rPr>
          <w:rFonts w:ascii="Arial" w:eastAsia="Arial" w:hAnsi="Arial" w:cs="Arial"/>
          <w:b/>
          <w:caps/>
        </w:rPr>
      </w:pPr>
      <w:r>
        <w:rPr>
          <w:rFonts w:eastAsia="Arial"/>
        </w:rPr>
        <w:br w:type="page"/>
      </w:r>
    </w:p>
    <w:p w14:paraId="0131576F" w14:textId="5F6A99B4" w:rsidR="009229AF" w:rsidRPr="00C07F6E" w:rsidRDefault="009229AF" w:rsidP="009229AF">
      <w:pPr>
        <w:pStyle w:val="ExhibitHeading"/>
        <w:outlineLvl w:val="0"/>
        <w:rPr>
          <w:rFonts w:eastAsia="Arial"/>
        </w:rPr>
      </w:pPr>
      <w:r>
        <w:rPr>
          <w:rFonts w:eastAsia="Arial"/>
        </w:rPr>
        <w:lastRenderedPageBreak/>
        <w:t>Exhibit 2</w:t>
      </w:r>
      <w:r w:rsidRPr="00C07F6E">
        <w:rPr>
          <w:rFonts w:eastAsia="Arial"/>
        </w:rPr>
        <w:t>: TESCO Store TYPES</w:t>
      </w:r>
      <w:r>
        <w:rPr>
          <w:rFonts w:eastAsia="Arial"/>
        </w:rPr>
        <w:t xml:space="preserve"> </w:t>
      </w:r>
      <w:r w:rsidR="00084A94">
        <w:rPr>
          <w:rFonts w:eastAsia="Arial"/>
        </w:rPr>
        <w:t>in the United Kingdom</w:t>
      </w:r>
      <w:r w:rsidR="00261197">
        <w:rPr>
          <w:rFonts w:eastAsia="Arial"/>
        </w:rPr>
        <w:t>, with count</w:t>
      </w:r>
      <w:r w:rsidR="00261197" w:rsidRPr="00C07F6E">
        <w:rPr>
          <w:rFonts w:eastAsia="Arial"/>
        </w:rPr>
        <w:t xml:space="preserve"> AND Features</w:t>
      </w:r>
      <w:r w:rsidR="00261197">
        <w:rPr>
          <w:rFonts w:eastAsia="Arial"/>
        </w:rPr>
        <w:t xml:space="preserve"> </w:t>
      </w:r>
    </w:p>
    <w:p w14:paraId="5CF3E1D0" w14:textId="77777777" w:rsidR="009229AF" w:rsidRPr="00C07F6E" w:rsidRDefault="009229AF" w:rsidP="00780234">
      <w:pPr>
        <w:pStyle w:val="ExhibitText"/>
      </w:pPr>
    </w:p>
    <w:tbl>
      <w:tblPr>
        <w:tblW w:w="83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0"/>
        <w:gridCol w:w="1300"/>
        <w:gridCol w:w="1300"/>
        <w:gridCol w:w="1680"/>
        <w:gridCol w:w="1400"/>
        <w:gridCol w:w="1337"/>
      </w:tblGrid>
      <w:tr w:rsidR="009229AF" w:rsidRPr="00107BFD" w14:paraId="20ED657E" w14:textId="77777777" w:rsidTr="00255935">
        <w:trPr>
          <w:trHeight w:val="320"/>
          <w:jc w:val="center"/>
        </w:trPr>
        <w:tc>
          <w:tcPr>
            <w:tcW w:w="1380" w:type="dxa"/>
            <w:shd w:val="clear" w:color="auto" w:fill="auto"/>
            <w:noWrap/>
            <w:vAlign w:val="center"/>
            <w:hideMark/>
          </w:tcPr>
          <w:p w14:paraId="132AD404" w14:textId="77777777" w:rsidR="009229AF" w:rsidRPr="00780234" w:rsidRDefault="009229AF" w:rsidP="00255935">
            <w:pPr>
              <w:pStyle w:val="ExhibitText"/>
              <w:jc w:val="center"/>
              <w:rPr>
                <w:b/>
              </w:rPr>
            </w:pPr>
            <w:r w:rsidRPr="00780234">
              <w:rPr>
                <w:b/>
              </w:rPr>
              <w:t>Format</w:t>
            </w:r>
          </w:p>
        </w:tc>
        <w:tc>
          <w:tcPr>
            <w:tcW w:w="1300" w:type="dxa"/>
            <w:shd w:val="clear" w:color="auto" w:fill="auto"/>
            <w:noWrap/>
            <w:vAlign w:val="center"/>
            <w:hideMark/>
          </w:tcPr>
          <w:p w14:paraId="6D144829" w14:textId="77777777" w:rsidR="009229AF" w:rsidRPr="00780234" w:rsidRDefault="009229AF" w:rsidP="00255935">
            <w:pPr>
              <w:pStyle w:val="ExhibitText"/>
              <w:jc w:val="center"/>
              <w:rPr>
                <w:b/>
              </w:rPr>
            </w:pPr>
            <w:r w:rsidRPr="00780234">
              <w:rPr>
                <w:b/>
              </w:rPr>
              <w:t>Year</w:t>
            </w:r>
          </w:p>
        </w:tc>
        <w:tc>
          <w:tcPr>
            <w:tcW w:w="1300" w:type="dxa"/>
            <w:shd w:val="clear" w:color="auto" w:fill="auto"/>
            <w:noWrap/>
            <w:vAlign w:val="center"/>
            <w:hideMark/>
          </w:tcPr>
          <w:p w14:paraId="3E213B44" w14:textId="179780E2" w:rsidR="009229AF" w:rsidRPr="00780234" w:rsidRDefault="009229AF" w:rsidP="00255935">
            <w:pPr>
              <w:pStyle w:val="ExhibitText"/>
              <w:jc w:val="center"/>
              <w:rPr>
                <w:b/>
              </w:rPr>
            </w:pPr>
            <w:r w:rsidRPr="00780234">
              <w:rPr>
                <w:b/>
              </w:rPr>
              <w:t xml:space="preserve">Number of </w:t>
            </w:r>
            <w:r w:rsidR="00261197" w:rsidRPr="00780234">
              <w:rPr>
                <w:b/>
              </w:rPr>
              <w:t>s</w:t>
            </w:r>
            <w:r w:rsidRPr="00780234">
              <w:rPr>
                <w:b/>
              </w:rPr>
              <w:t>tores</w:t>
            </w:r>
          </w:p>
        </w:tc>
        <w:tc>
          <w:tcPr>
            <w:tcW w:w="1680" w:type="dxa"/>
            <w:shd w:val="clear" w:color="auto" w:fill="auto"/>
            <w:noWrap/>
            <w:vAlign w:val="center"/>
            <w:hideMark/>
          </w:tcPr>
          <w:p w14:paraId="1BEB689C" w14:textId="2A38268F" w:rsidR="009229AF" w:rsidRPr="00780234" w:rsidRDefault="009229AF" w:rsidP="00255935">
            <w:pPr>
              <w:pStyle w:val="ExhibitText"/>
              <w:jc w:val="center"/>
              <w:rPr>
                <w:b/>
              </w:rPr>
            </w:pPr>
            <w:r w:rsidRPr="00780234">
              <w:rPr>
                <w:b/>
              </w:rPr>
              <w:t xml:space="preserve">Total area of </w:t>
            </w:r>
            <w:r w:rsidR="00261197" w:rsidRPr="00780234">
              <w:rPr>
                <w:b/>
              </w:rPr>
              <w:t>s</w:t>
            </w:r>
            <w:r w:rsidRPr="00780234">
              <w:rPr>
                <w:b/>
              </w:rPr>
              <w:t>tores (in square feet)</w:t>
            </w:r>
          </w:p>
        </w:tc>
        <w:tc>
          <w:tcPr>
            <w:tcW w:w="1400" w:type="dxa"/>
            <w:shd w:val="clear" w:color="auto" w:fill="auto"/>
            <w:noWrap/>
            <w:vAlign w:val="center"/>
            <w:hideMark/>
          </w:tcPr>
          <w:p w14:paraId="3118F866" w14:textId="472C083A" w:rsidR="009229AF" w:rsidRPr="00780234" w:rsidRDefault="009229AF" w:rsidP="00255935">
            <w:pPr>
              <w:pStyle w:val="ExhibitText"/>
              <w:jc w:val="center"/>
              <w:rPr>
                <w:b/>
              </w:rPr>
            </w:pPr>
            <w:r w:rsidRPr="00780234">
              <w:rPr>
                <w:b/>
              </w:rPr>
              <w:t xml:space="preserve">Mean area of each </w:t>
            </w:r>
            <w:r w:rsidR="00261197" w:rsidRPr="00780234">
              <w:rPr>
                <w:b/>
              </w:rPr>
              <w:t>s</w:t>
            </w:r>
            <w:r w:rsidRPr="00780234">
              <w:rPr>
                <w:b/>
              </w:rPr>
              <w:t>tore (in square feet)</w:t>
            </w:r>
          </w:p>
        </w:tc>
        <w:tc>
          <w:tcPr>
            <w:tcW w:w="1337" w:type="dxa"/>
            <w:shd w:val="clear" w:color="auto" w:fill="auto"/>
            <w:noWrap/>
            <w:vAlign w:val="center"/>
            <w:hideMark/>
          </w:tcPr>
          <w:p w14:paraId="25FE1EB9" w14:textId="317B8680" w:rsidR="009229AF" w:rsidRPr="00780234" w:rsidRDefault="00E44318" w:rsidP="00257F83">
            <w:pPr>
              <w:pStyle w:val="ExhibitText"/>
              <w:jc w:val="center"/>
              <w:rPr>
                <w:b/>
              </w:rPr>
            </w:pPr>
            <w:r>
              <w:rPr>
                <w:b/>
              </w:rPr>
              <w:t>(%)</w:t>
            </w:r>
            <w:r w:rsidR="009229AF" w:rsidRPr="00780234">
              <w:rPr>
                <w:b/>
              </w:rPr>
              <w:t xml:space="preserve"> of total space owned by Tesco</w:t>
            </w:r>
          </w:p>
        </w:tc>
      </w:tr>
      <w:tr w:rsidR="009229AF" w:rsidRPr="00C07F6E" w14:paraId="1D57563E" w14:textId="77777777" w:rsidTr="00780234">
        <w:trPr>
          <w:trHeight w:val="62"/>
          <w:jc w:val="center"/>
        </w:trPr>
        <w:tc>
          <w:tcPr>
            <w:tcW w:w="1380" w:type="dxa"/>
            <w:vMerge w:val="restart"/>
            <w:shd w:val="clear" w:color="auto" w:fill="auto"/>
            <w:vAlign w:val="center"/>
            <w:hideMark/>
          </w:tcPr>
          <w:p w14:paraId="4E5B54C9" w14:textId="77777777" w:rsidR="009229AF" w:rsidRPr="00C07F6E" w:rsidRDefault="009229AF" w:rsidP="00255935">
            <w:pPr>
              <w:pStyle w:val="ExhibitText"/>
            </w:pPr>
            <w:r w:rsidRPr="00C07F6E">
              <w:t>Tesco Extra</w:t>
            </w:r>
          </w:p>
        </w:tc>
        <w:tc>
          <w:tcPr>
            <w:tcW w:w="1300" w:type="dxa"/>
            <w:shd w:val="clear" w:color="auto" w:fill="auto"/>
            <w:noWrap/>
            <w:vAlign w:val="bottom"/>
          </w:tcPr>
          <w:p w14:paraId="20D07DD6" w14:textId="77777777" w:rsidR="009229AF" w:rsidRPr="00C07F6E" w:rsidRDefault="009229AF" w:rsidP="00255935">
            <w:pPr>
              <w:pStyle w:val="ExhibitText"/>
              <w:jc w:val="center"/>
            </w:pPr>
            <w:r w:rsidRPr="00C07F6E">
              <w:t>2016</w:t>
            </w:r>
          </w:p>
        </w:tc>
        <w:tc>
          <w:tcPr>
            <w:tcW w:w="1300" w:type="dxa"/>
            <w:shd w:val="clear" w:color="auto" w:fill="auto"/>
            <w:noWrap/>
            <w:vAlign w:val="bottom"/>
          </w:tcPr>
          <w:p w14:paraId="797833E9" w14:textId="77777777" w:rsidR="009229AF" w:rsidRPr="00C07F6E" w:rsidRDefault="009229AF" w:rsidP="00780234">
            <w:pPr>
              <w:pStyle w:val="ExhibitText"/>
              <w:ind w:right="288"/>
              <w:jc w:val="right"/>
            </w:pPr>
            <w:r w:rsidRPr="00C07F6E">
              <w:t>252</w:t>
            </w:r>
          </w:p>
        </w:tc>
        <w:tc>
          <w:tcPr>
            <w:tcW w:w="1680" w:type="dxa"/>
            <w:shd w:val="clear" w:color="auto" w:fill="auto"/>
            <w:noWrap/>
            <w:vAlign w:val="bottom"/>
          </w:tcPr>
          <w:p w14:paraId="136C6231" w14:textId="77777777" w:rsidR="009229AF" w:rsidRPr="00C07F6E" w:rsidRDefault="009229AF" w:rsidP="00780234">
            <w:pPr>
              <w:pStyle w:val="ExhibitText"/>
              <w:ind w:right="144"/>
              <w:jc w:val="right"/>
            </w:pPr>
            <w:r w:rsidRPr="00C07F6E">
              <w:t>17,846,000</w:t>
            </w:r>
          </w:p>
        </w:tc>
        <w:tc>
          <w:tcPr>
            <w:tcW w:w="1400" w:type="dxa"/>
            <w:shd w:val="clear" w:color="auto" w:fill="auto"/>
            <w:noWrap/>
            <w:vAlign w:val="bottom"/>
          </w:tcPr>
          <w:p w14:paraId="3FFF9EAF" w14:textId="77777777" w:rsidR="009229AF" w:rsidRPr="00C07F6E" w:rsidRDefault="009229AF" w:rsidP="00780234">
            <w:pPr>
              <w:pStyle w:val="ExhibitText"/>
              <w:ind w:right="144"/>
              <w:jc w:val="right"/>
            </w:pPr>
            <w:r w:rsidRPr="00C07F6E">
              <w:t>70,817</w:t>
            </w:r>
          </w:p>
        </w:tc>
        <w:tc>
          <w:tcPr>
            <w:tcW w:w="1337" w:type="dxa"/>
            <w:shd w:val="clear" w:color="auto" w:fill="auto"/>
            <w:noWrap/>
            <w:vAlign w:val="bottom"/>
          </w:tcPr>
          <w:p w14:paraId="4C7771D8" w14:textId="5D48B479" w:rsidR="009229AF" w:rsidRPr="00C07F6E" w:rsidRDefault="009229AF" w:rsidP="00780234">
            <w:pPr>
              <w:pStyle w:val="ExhibitText"/>
              <w:ind w:right="144"/>
              <w:jc w:val="right"/>
            </w:pPr>
            <w:r w:rsidRPr="00C07F6E">
              <w:t>42.99</w:t>
            </w:r>
          </w:p>
        </w:tc>
      </w:tr>
      <w:tr w:rsidR="009229AF" w:rsidRPr="00C07F6E" w14:paraId="42D2E682" w14:textId="77777777" w:rsidTr="00780234">
        <w:trPr>
          <w:trHeight w:val="108"/>
          <w:jc w:val="center"/>
        </w:trPr>
        <w:tc>
          <w:tcPr>
            <w:tcW w:w="1380" w:type="dxa"/>
            <w:vMerge/>
            <w:vAlign w:val="center"/>
          </w:tcPr>
          <w:p w14:paraId="3A945C25" w14:textId="77777777" w:rsidR="009229AF" w:rsidRPr="00C07F6E" w:rsidRDefault="009229AF" w:rsidP="00255935">
            <w:pPr>
              <w:pStyle w:val="ExhibitText"/>
            </w:pPr>
          </w:p>
        </w:tc>
        <w:tc>
          <w:tcPr>
            <w:tcW w:w="1300" w:type="dxa"/>
            <w:shd w:val="clear" w:color="auto" w:fill="auto"/>
            <w:noWrap/>
            <w:vAlign w:val="bottom"/>
          </w:tcPr>
          <w:p w14:paraId="689FC630" w14:textId="77777777" w:rsidR="009229AF" w:rsidRPr="00C07F6E" w:rsidRDefault="009229AF" w:rsidP="00255935">
            <w:pPr>
              <w:pStyle w:val="ExhibitText"/>
              <w:jc w:val="center"/>
            </w:pPr>
            <w:r w:rsidRPr="00C07F6E">
              <w:t>2015</w:t>
            </w:r>
          </w:p>
        </w:tc>
        <w:tc>
          <w:tcPr>
            <w:tcW w:w="1300" w:type="dxa"/>
            <w:shd w:val="clear" w:color="auto" w:fill="auto"/>
            <w:noWrap/>
            <w:vAlign w:val="bottom"/>
          </w:tcPr>
          <w:p w14:paraId="54831BF8" w14:textId="77777777" w:rsidR="009229AF" w:rsidRPr="00C07F6E" w:rsidRDefault="009229AF" w:rsidP="00780234">
            <w:pPr>
              <w:pStyle w:val="ExhibitText"/>
              <w:ind w:right="288"/>
              <w:jc w:val="right"/>
            </w:pPr>
            <w:r w:rsidRPr="00C07F6E">
              <w:t>250</w:t>
            </w:r>
          </w:p>
        </w:tc>
        <w:tc>
          <w:tcPr>
            <w:tcW w:w="1680" w:type="dxa"/>
            <w:shd w:val="clear" w:color="auto" w:fill="auto"/>
            <w:noWrap/>
            <w:vAlign w:val="bottom"/>
          </w:tcPr>
          <w:p w14:paraId="44D4CE96" w14:textId="77777777" w:rsidR="009229AF" w:rsidRPr="00C07F6E" w:rsidRDefault="009229AF" w:rsidP="00780234">
            <w:pPr>
              <w:pStyle w:val="ExhibitText"/>
              <w:ind w:right="144"/>
              <w:jc w:val="right"/>
            </w:pPr>
            <w:r w:rsidRPr="00C07F6E">
              <w:t>17,763,000</w:t>
            </w:r>
          </w:p>
        </w:tc>
        <w:tc>
          <w:tcPr>
            <w:tcW w:w="1400" w:type="dxa"/>
            <w:shd w:val="clear" w:color="auto" w:fill="auto"/>
            <w:noWrap/>
            <w:vAlign w:val="bottom"/>
          </w:tcPr>
          <w:p w14:paraId="33063400" w14:textId="77777777" w:rsidR="009229AF" w:rsidRPr="00C07F6E" w:rsidRDefault="009229AF" w:rsidP="00780234">
            <w:pPr>
              <w:pStyle w:val="ExhibitText"/>
              <w:ind w:right="144"/>
              <w:jc w:val="right"/>
            </w:pPr>
            <w:r w:rsidRPr="00C07F6E">
              <w:t>71,052</w:t>
            </w:r>
          </w:p>
        </w:tc>
        <w:tc>
          <w:tcPr>
            <w:tcW w:w="1337" w:type="dxa"/>
            <w:shd w:val="clear" w:color="auto" w:fill="auto"/>
            <w:noWrap/>
            <w:vAlign w:val="bottom"/>
          </w:tcPr>
          <w:p w14:paraId="10059FDF" w14:textId="34F7AD3E" w:rsidR="009229AF" w:rsidRPr="00C07F6E" w:rsidRDefault="009229AF" w:rsidP="00780234">
            <w:pPr>
              <w:pStyle w:val="ExhibitText"/>
              <w:ind w:right="144"/>
              <w:jc w:val="right"/>
            </w:pPr>
            <w:r w:rsidRPr="00C07F6E">
              <w:t>42.01</w:t>
            </w:r>
          </w:p>
        </w:tc>
      </w:tr>
      <w:tr w:rsidR="009229AF" w:rsidRPr="00C07F6E" w14:paraId="2DF9554A" w14:textId="77777777" w:rsidTr="00780234">
        <w:trPr>
          <w:trHeight w:val="154"/>
          <w:jc w:val="center"/>
        </w:trPr>
        <w:tc>
          <w:tcPr>
            <w:tcW w:w="1380" w:type="dxa"/>
            <w:vMerge/>
            <w:vAlign w:val="center"/>
            <w:hideMark/>
          </w:tcPr>
          <w:p w14:paraId="2FE1E16B" w14:textId="77777777" w:rsidR="009229AF" w:rsidRPr="00C07F6E" w:rsidRDefault="009229AF" w:rsidP="00255935">
            <w:pPr>
              <w:pStyle w:val="ExhibitText"/>
            </w:pPr>
          </w:p>
        </w:tc>
        <w:tc>
          <w:tcPr>
            <w:tcW w:w="1300" w:type="dxa"/>
            <w:shd w:val="clear" w:color="auto" w:fill="auto"/>
            <w:noWrap/>
            <w:vAlign w:val="bottom"/>
            <w:hideMark/>
          </w:tcPr>
          <w:p w14:paraId="079197B2" w14:textId="77777777" w:rsidR="009229AF" w:rsidRPr="00C07F6E" w:rsidRDefault="009229AF" w:rsidP="00255935">
            <w:pPr>
              <w:pStyle w:val="ExhibitText"/>
              <w:jc w:val="center"/>
            </w:pPr>
            <w:r w:rsidRPr="00C07F6E">
              <w:t>2014</w:t>
            </w:r>
          </w:p>
        </w:tc>
        <w:tc>
          <w:tcPr>
            <w:tcW w:w="1300" w:type="dxa"/>
            <w:shd w:val="clear" w:color="auto" w:fill="auto"/>
            <w:noWrap/>
            <w:vAlign w:val="bottom"/>
            <w:hideMark/>
          </w:tcPr>
          <w:p w14:paraId="777548A0" w14:textId="77777777" w:rsidR="009229AF" w:rsidRPr="00C07F6E" w:rsidRDefault="009229AF" w:rsidP="00780234">
            <w:pPr>
              <w:pStyle w:val="ExhibitText"/>
              <w:ind w:right="288"/>
              <w:jc w:val="right"/>
            </w:pPr>
            <w:r w:rsidRPr="00C07F6E">
              <w:t>247</w:t>
            </w:r>
          </w:p>
        </w:tc>
        <w:tc>
          <w:tcPr>
            <w:tcW w:w="1680" w:type="dxa"/>
            <w:shd w:val="clear" w:color="auto" w:fill="auto"/>
            <w:noWrap/>
            <w:vAlign w:val="bottom"/>
            <w:hideMark/>
          </w:tcPr>
          <w:p w14:paraId="69700E78" w14:textId="77777777" w:rsidR="009229AF" w:rsidRPr="00C07F6E" w:rsidRDefault="009229AF" w:rsidP="00780234">
            <w:pPr>
              <w:pStyle w:val="ExhibitText"/>
              <w:ind w:right="144"/>
              <w:jc w:val="right"/>
            </w:pPr>
            <w:r w:rsidRPr="00C07F6E">
              <w:t>17,610,000</w:t>
            </w:r>
          </w:p>
        </w:tc>
        <w:tc>
          <w:tcPr>
            <w:tcW w:w="1400" w:type="dxa"/>
            <w:shd w:val="clear" w:color="auto" w:fill="auto"/>
            <w:noWrap/>
            <w:vAlign w:val="bottom"/>
            <w:hideMark/>
          </w:tcPr>
          <w:p w14:paraId="0AE8049D" w14:textId="77777777" w:rsidR="009229AF" w:rsidRPr="00C07F6E" w:rsidRDefault="009229AF" w:rsidP="00780234">
            <w:pPr>
              <w:pStyle w:val="ExhibitText"/>
              <w:ind w:right="144"/>
              <w:jc w:val="right"/>
            </w:pPr>
            <w:r w:rsidRPr="00C07F6E">
              <w:t>71,296</w:t>
            </w:r>
          </w:p>
        </w:tc>
        <w:tc>
          <w:tcPr>
            <w:tcW w:w="1337" w:type="dxa"/>
            <w:shd w:val="clear" w:color="auto" w:fill="auto"/>
            <w:noWrap/>
            <w:vAlign w:val="bottom"/>
            <w:hideMark/>
          </w:tcPr>
          <w:p w14:paraId="0205A78C" w14:textId="24DE29CD" w:rsidR="009229AF" w:rsidRPr="00C07F6E" w:rsidRDefault="009229AF" w:rsidP="00780234">
            <w:pPr>
              <w:pStyle w:val="ExhibitText"/>
              <w:ind w:right="144"/>
              <w:jc w:val="right"/>
            </w:pPr>
            <w:r w:rsidRPr="00C07F6E">
              <w:t>42.12</w:t>
            </w:r>
          </w:p>
        </w:tc>
      </w:tr>
      <w:tr w:rsidR="009229AF" w:rsidRPr="00C07F6E" w14:paraId="0049CDE5" w14:textId="77777777" w:rsidTr="00780234">
        <w:trPr>
          <w:trHeight w:val="58"/>
          <w:jc w:val="center"/>
        </w:trPr>
        <w:tc>
          <w:tcPr>
            <w:tcW w:w="1380" w:type="dxa"/>
            <w:vMerge/>
            <w:vAlign w:val="center"/>
            <w:hideMark/>
          </w:tcPr>
          <w:p w14:paraId="5149D0E6" w14:textId="77777777" w:rsidR="009229AF" w:rsidRPr="00C07F6E" w:rsidRDefault="009229AF" w:rsidP="00255935">
            <w:pPr>
              <w:pStyle w:val="ExhibitText"/>
            </w:pPr>
          </w:p>
        </w:tc>
        <w:tc>
          <w:tcPr>
            <w:tcW w:w="1300" w:type="dxa"/>
            <w:shd w:val="clear" w:color="auto" w:fill="auto"/>
            <w:noWrap/>
            <w:vAlign w:val="bottom"/>
            <w:hideMark/>
          </w:tcPr>
          <w:p w14:paraId="17DFF04F" w14:textId="77777777" w:rsidR="009229AF" w:rsidRPr="00C07F6E" w:rsidRDefault="009229AF" w:rsidP="00255935">
            <w:pPr>
              <w:pStyle w:val="ExhibitText"/>
              <w:jc w:val="center"/>
            </w:pPr>
            <w:r w:rsidRPr="00C07F6E">
              <w:t>2013</w:t>
            </w:r>
          </w:p>
        </w:tc>
        <w:tc>
          <w:tcPr>
            <w:tcW w:w="1300" w:type="dxa"/>
            <w:shd w:val="clear" w:color="auto" w:fill="auto"/>
            <w:noWrap/>
            <w:vAlign w:val="bottom"/>
            <w:hideMark/>
          </w:tcPr>
          <w:p w14:paraId="0512B7A2" w14:textId="77777777" w:rsidR="009229AF" w:rsidRPr="00C07F6E" w:rsidRDefault="009229AF" w:rsidP="00780234">
            <w:pPr>
              <w:pStyle w:val="ExhibitText"/>
              <w:ind w:right="288"/>
              <w:jc w:val="right"/>
            </w:pPr>
            <w:r w:rsidRPr="00C07F6E">
              <w:t>238</w:t>
            </w:r>
          </w:p>
        </w:tc>
        <w:tc>
          <w:tcPr>
            <w:tcW w:w="1680" w:type="dxa"/>
            <w:shd w:val="clear" w:color="auto" w:fill="auto"/>
            <w:noWrap/>
            <w:vAlign w:val="bottom"/>
            <w:hideMark/>
          </w:tcPr>
          <w:p w14:paraId="3A1B666B" w14:textId="77777777" w:rsidR="009229AF" w:rsidRPr="00C07F6E" w:rsidRDefault="009229AF" w:rsidP="00780234">
            <w:pPr>
              <w:pStyle w:val="ExhibitText"/>
              <w:ind w:right="144"/>
              <w:jc w:val="right"/>
            </w:pPr>
            <w:r w:rsidRPr="00C07F6E">
              <w:t>17,051,000</w:t>
            </w:r>
          </w:p>
        </w:tc>
        <w:tc>
          <w:tcPr>
            <w:tcW w:w="1400" w:type="dxa"/>
            <w:shd w:val="clear" w:color="auto" w:fill="auto"/>
            <w:noWrap/>
            <w:vAlign w:val="bottom"/>
            <w:hideMark/>
          </w:tcPr>
          <w:p w14:paraId="4834E2EC" w14:textId="77777777" w:rsidR="009229AF" w:rsidRPr="00C07F6E" w:rsidRDefault="009229AF" w:rsidP="00780234">
            <w:pPr>
              <w:pStyle w:val="ExhibitText"/>
              <w:ind w:right="144"/>
              <w:jc w:val="right"/>
            </w:pPr>
            <w:r w:rsidRPr="00C07F6E">
              <w:t>71,643</w:t>
            </w:r>
          </w:p>
        </w:tc>
        <w:tc>
          <w:tcPr>
            <w:tcW w:w="1337" w:type="dxa"/>
            <w:shd w:val="clear" w:color="auto" w:fill="auto"/>
            <w:noWrap/>
            <w:vAlign w:val="bottom"/>
            <w:hideMark/>
          </w:tcPr>
          <w:p w14:paraId="2FF25F96" w14:textId="08C5BC21" w:rsidR="009229AF" w:rsidRPr="00C07F6E" w:rsidRDefault="009229AF" w:rsidP="00780234">
            <w:pPr>
              <w:pStyle w:val="ExhibitText"/>
              <w:ind w:right="144"/>
              <w:jc w:val="right"/>
            </w:pPr>
            <w:r w:rsidRPr="00C07F6E">
              <w:t>42.11</w:t>
            </w:r>
          </w:p>
        </w:tc>
      </w:tr>
      <w:tr w:rsidR="009229AF" w:rsidRPr="00C07F6E" w14:paraId="77DC7CE9" w14:textId="77777777" w:rsidTr="00780234">
        <w:trPr>
          <w:trHeight w:val="90"/>
          <w:jc w:val="center"/>
        </w:trPr>
        <w:tc>
          <w:tcPr>
            <w:tcW w:w="1380" w:type="dxa"/>
            <w:vMerge w:val="restart"/>
            <w:shd w:val="clear" w:color="auto" w:fill="auto"/>
            <w:vAlign w:val="center"/>
            <w:hideMark/>
          </w:tcPr>
          <w:p w14:paraId="2A6C79D9" w14:textId="77777777" w:rsidR="009229AF" w:rsidRPr="00C07F6E" w:rsidRDefault="009229AF" w:rsidP="00255935">
            <w:pPr>
              <w:pStyle w:val="ExhibitText"/>
            </w:pPr>
            <w:proofErr w:type="spellStart"/>
            <w:r w:rsidRPr="00C07F6E">
              <w:t>Homeplus</w:t>
            </w:r>
            <w:proofErr w:type="spellEnd"/>
          </w:p>
        </w:tc>
        <w:tc>
          <w:tcPr>
            <w:tcW w:w="1300" w:type="dxa"/>
            <w:shd w:val="clear" w:color="auto" w:fill="auto"/>
            <w:noWrap/>
            <w:vAlign w:val="bottom"/>
          </w:tcPr>
          <w:p w14:paraId="1E8B4164" w14:textId="77777777" w:rsidR="009229AF" w:rsidRPr="00C07F6E" w:rsidRDefault="009229AF" w:rsidP="00255935">
            <w:pPr>
              <w:pStyle w:val="ExhibitText"/>
              <w:jc w:val="center"/>
            </w:pPr>
            <w:r w:rsidRPr="00C07F6E">
              <w:t>2016</w:t>
            </w:r>
          </w:p>
        </w:tc>
        <w:tc>
          <w:tcPr>
            <w:tcW w:w="1300" w:type="dxa"/>
            <w:shd w:val="clear" w:color="auto" w:fill="auto"/>
            <w:noWrap/>
            <w:vAlign w:val="bottom"/>
          </w:tcPr>
          <w:p w14:paraId="5F586D19" w14:textId="77777777" w:rsidR="009229AF" w:rsidRPr="00C07F6E" w:rsidRDefault="009229AF" w:rsidP="00780234">
            <w:pPr>
              <w:pStyle w:val="ExhibitText"/>
              <w:ind w:right="288"/>
              <w:jc w:val="right"/>
            </w:pPr>
            <w:r w:rsidRPr="00C07F6E">
              <w:t>0</w:t>
            </w:r>
          </w:p>
        </w:tc>
        <w:tc>
          <w:tcPr>
            <w:tcW w:w="1680" w:type="dxa"/>
            <w:shd w:val="clear" w:color="auto" w:fill="auto"/>
            <w:noWrap/>
            <w:vAlign w:val="bottom"/>
          </w:tcPr>
          <w:p w14:paraId="5E5E34C4" w14:textId="77777777" w:rsidR="009229AF" w:rsidRPr="00C07F6E" w:rsidRDefault="009229AF" w:rsidP="00780234">
            <w:pPr>
              <w:pStyle w:val="ExhibitText"/>
              <w:ind w:right="144"/>
              <w:jc w:val="right"/>
            </w:pPr>
            <w:r w:rsidRPr="00C07F6E">
              <w:t>0</w:t>
            </w:r>
          </w:p>
        </w:tc>
        <w:tc>
          <w:tcPr>
            <w:tcW w:w="1400" w:type="dxa"/>
            <w:shd w:val="clear" w:color="auto" w:fill="auto"/>
            <w:noWrap/>
            <w:vAlign w:val="bottom"/>
          </w:tcPr>
          <w:p w14:paraId="5F1B377E" w14:textId="77777777" w:rsidR="009229AF" w:rsidRPr="00C07F6E" w:rsidRDefault="009229AF" w:rsidP="00780234">
            <w:pPr>
              <w:pStyle w:val="ExhibitText"/>
              <w:ind w:right="144"/>
              <w:jc w:val="right"/>
            </w:pPr>
            <w:r w:rsidRPr="00C07F6E">
              <w:t>-</w:t>
            </w:r>
          </w:p>
        </w:tc>
        <w:tc>
          <w:tcPr>
            <w:tcW w:w="1337" w:type="dxa"/>
            <w:shd w:val="clear" w:color="auto" w:fill="auto"/>
            <w:noWrap/>
            <w:vAlign w:val="bottom"/>
          </w:tcPr>
          <w:p w14:paraId="322CB304" w14:textId="4FAA5E4E" w:rsidR="009229AF" w:rsidRPr="00C07F6E" w:rsidRDefault="009229AF" w:rsidP="00780234">
            <w:pPr>
              <w:pStyle w:val="ExhibitText"/>
              <w:ind w:right="144"/>
              <w:jc w:val="right"/>
            </w:pPr>
            <w:r w:rsidRPr="00C07F6E">
              <w:t>0.00</w:t>
            </w:r>
          </w:p>
        </w:tc>
      </w:tr>
      <w:tr w:rsidR="009229AF" w:rsidRPr="00C07F6E" w14:paraId="0C082FEE" w14:textId="77777777" w:rsidTr="00780234">
        <w:trPr>
          <w:trHeight w:val="47"/>
          <w:jc w:val="center"/>
        </w:trPr>
        <w:tc>
          <w:tcPr>
            <w:tcW w:w="1380" w:type="dxa"/>
            <w:vMerge/>
            <w:vAlign w:val="center"/>
          </w:tcPr>
          <w:p w14:paraId="60B0FC64" w14:textId="77777777" w:rsidR="009229AF" w:rsidRPr="00C07F6E" w:rsidRDefault="009229AF" w:rsidP="00255935">
            <w:pPr>
              <w:pStyle w:val="ExhibitText"/>
            </w:pPr>
          </w:p>
        </w:tc>
        <w:tc>
          <w:tcPr>
            <w:tcW w:w="1300" w:type="dxa"/>
            <w:shd w:val="clear" w:color="auto" w:fill="auto"/>
            <w:noWrap/>
            <w:vAlign w:val="bottom"/>
          </w:tcPr>
          <w:p w14:paraId="00CF6B03" w14:textId="77777777" w:rsidR="009229AF" w:rsidRPr="00C07F6E" w:rsidRDefault="009229AF" w:rsidP="00255935">
            <w:pPr>
              <w:pStyle w:val="ExhibitText"/>
              <w:jc w:val="center"/>
            </w:pPr>
            <w:r w:rsidRPr="00C07F6E">
              <w:t>2015</w:t>
            </w:r>
          </w:p>
        </w:tc>
        <w:tc>
          <w:tcPr>
            <w:tcW w:w="1300" w:type="dxa"/>
            <w:shd w:val="clear" w:color="auto" w:fill="auto"/>
            <w:noWrap/>
            <w:vAlign w:val="bottom"/>
          </w:tcPr>
          <w:p w14:paraId="30490E09" w14:textId="77777777" w:rsidR="009229AF" w:rsidRPr="00C07F6E" w:rsidRDefault="009229AF" w:rsidP="00780234">
            <w:pPr>
              <w:pStyle w:val="ExhibitText"/>
              <w:ind w:right="288"/>
              <w:jc w:val="right"/>
            </w:pPr>
            <w:r w:rsidRPr="00C07F6E">
              <w:t>11</w:t>
            </w:r>
          </w:p>
        </w:tc>
        <w:tc>
          <w:tcPr>
            <w:tcW w:w="1680" w:type="dxa"/>
            <w:shd w:val="clear" w:color="auto" w:fill="auto"/>
            <w:noWrap/>
            <w:vAlign w:val="bottom"/>
          </w:tcPr>
          <w:p w14:paraId="7DAC2EBB" w14:textId="77777777" w:rsidR="009229AF" w:rsidRPr="00C07F6E" w:rsidRDefault="009229AF" w:rsidP="00780234">
            <w:pPr>
              <w:pStyle w:val="ExhibitText"/>
              <w:ind w:right="144"/>
              <w:jc w:val="right"/>
            </w:pPr>
            <w:r w:rsidRPr="00C07F6E">
              <w:t>488,000</w:t>
            </w:r>
          </w:p>
        </w:tc>
        <w:tc>
          <w:tcPr>
            <w:tcW w:w="1400" w:type="dxa"/>
            <w:shd w:val="clear" w:color="auto" w:fill="auto"/>
            <w:noWrap/>
            <w:vAlign w:val="bottom"/>
          </w:tcPr>
          <w:p w14:paraId="5189C1DE" w14:textId="77777777" w:rsidR="009229AF" w:rsidRPr="00C07F6E" w:rsidRDefault="009229AF" w:rsidP="00780234">
            <w:pPr>
              <w:pStyle w:val="ExhibitText"/>
              <w:ind w:right="144"/>
              <w:jc w:val="right"/>
            </w:pPr>
            <w:r w:rsidRPr="00C07F6E">
              <w:t>44,364</w:t>
            </w:r>
          </w:p>
        </w:tc>
        <w:tc>
          <w:tcPr>
            <w:tcW w:w="1337" w:type="dxa"/>
            <w:shd w:val="clear" w:color="auto" w:fill="auto"/>
            <w:noWrap/>
            <w:vAlign w:val="bottom"/>
          </w:tcPr>
          <w:p w14:paraId="2CDF4288" w14:textId="01004903" w:rsidR="009229AF" w:rsidRPr="00C07F6E" w:rsidRDefault="009229AF" w:rsidP="00780234">
            <w:pPr>
              <w:pStyle w:val="ExhibitText"/>
              <w:ind w:right="144"/>
              <w:jc w:val="right"/>
            </w:pPr>
            <w:r w:rsidRPr="00C07F6E">
              <w:t>1.15</w:t>
            </w:r>
          </w:p>
        </w:tc>
      </w:tr>
      <w:tr w:rsidR="009229AF" w:rsidRPr="00C07F6E" w14:paraId="44320709" w14:textId="77777777" w:rsidTr="00780234">
        <w:trPr>
          <w:trHeight w:val="47"/>
          <w:jc w:val="center"/>
        </w:trPr>
        <w:tc>
          <w:tcPr>
            <w:tcW w:w="1380" w:type="dxa"/>
            <w:vMerge/>
            <w:vAlign w:val="center"/>
            <w:hideMark/>
          </w:tcPr>
          <w:p w14:paraId="31236CBE" w14:textId="77777777" w:rsidR="009229AF" w:rsidRPr="00C07F6E" w:rsidRDefault="009229AF" w:rsidP="00255935">
            <w:pPr>
              <w:pStyle w:val="ExhibitText"/>
            </w:pPr>
          </w:p>
        </w:tc>
        <w:tc>
          <w:tcPr>
            <w:tcW w:w="1300" w:type="dxa"/>
            <w:shd w:val="clear" w:color="auto" w:fill="auto"/>
            <w:noWrap/>
            <w:vAlign w:val="bottom"/>
            <w:hideMark/>
          </w:tcPr>
          <w:p w14:paraId="370F801A" w14:textId="77777777" w:rsidR="009229AF" w:rsidRPr="00C07F6E" w:rsidRDefault="009229AF" w:rsidP="00255935">
            <w:pPr>
              <w:pStyle w:val="ExhibitText"/>
              <w:jc w:val="center"/>
            </w:pPr>
            <w:r w:rsidRPr="00C07F6E">
              <w:t>2014</w:t>
            </w:r>
          </w:p>
        </w:tc>
        <w:tc>
          <w:tcPr>
            <w:tcW w:w="1300" w:type="dxa"/>
            <w:shd w:val="clear" w:color="auto" w:fill="auto"/>
            <w:noWrap/>
            <w:vAlign w:val="bottom"/>
            <w:hideMark/>
          </w:tcPr>
          <w:p w14:paraId="68B23F6F" w14:textId="77777777" w:rsidR="009229AF" w:rsidRPr="00C07F6E" w:rsidRDefault="009229AF" w:rsidP="00780234">
            <w:pPr>
              <w:pStyle w:val="ExhibitText"/>
              <w:ind w:right="288"/>
              <w:jc w:val="right"/>
            </w:pPr>
            <w:r w:rsidRPr="00C07F6E">
              <w:t>12</w:t>
            </w:r>
          </w:p>
        </w:tc>
        <w:tc>
          <w:tcPr>
            <w:tcW w:w="1680" w:type="dxa"/>
            <w:shd w:val="clear" w:color="auto" w:fill="auto"/>
            <w:noWrap/>
            <w:vAlign w:val="bottom"/>
            <w:hideMark/>
          </w:tcPr>
          <w:p w14:paraId="193864EF" w14:textId="77777777" w:rsidR="009229AF" w:rsidRPr="00C07F6E" w:rsidRDefault="009229AF" w:rsidP="00780234">
            <w:pPr>
              <w:pStyle w:val="ExhibitText"/>
              <w:ind w:right="144"/>
              <w:jc w:val="right"/>
            </w:pPr>
            <w:r w:rsidRPr="00C07F6E">
              <w:t>523,000</w:t>
            </w:r>
          </w:p>
        </w:tc>
        <w:tc>
          <w:tcPr>
            <w:tcW w:w="1400" w:type="dxa"/>
            <w:shd w:val="clear" w:color="auto" w:fill="auto"/>
            <w:noWrap/>
            <w:vAlign w:val="bottom"/>
            <w:hideMark/>
          </w:tcPr>
          <w:p w14:paraId="2384F5F9" w14:textId="77777777" w:rsidR="009229AF" w:rsidRPr="00C07F6E" w:rsidRDefault="009229AF" w:rsidP="00780234">
            <w:pPr>
              <w:pStyle w:val="ExhibitText"/>
              <w:ind w:right="144"/>
              <w:jc w:val="right"/>
            </w:pPr>
            <w:r w:rsidRPr="00C07F6E">
              <w:t>43,583</w:t>
            </w:r>
          </w:p>
        </w:tc>
        <w:tc>
          <w:tcPr>
            <w:tcW w:w="1337" w:type="dxa"/>
            <w:shd w:val="clear" w:color="auto" w:fill="auto"/>
            <w:noWrap/>
            <w:vAlign w:val="bottom"/>
            <w:hideMark/>
          </w:tcPr>
          <w:p w14:paraId="3EDD206F" w14:textId="7AA5B15A" w:rsidR="009229AF" w:rsidRPr="00C07F6E" w:rsidRDefault="009229AF" w:rsidP="00780234">
            <w:pPr>
              <w:pStyle w:val="ExhibitText"/>
              <w:ind w:right="144"/>
              <w:jc w:val="right"/>
            </w:pPr>
            <w:r w:rsidRPr="00C07F6E">
              <w:t>1.25</w:t>
            </w:r>
          </w:p>
        </w:tc>
      </w:tr>
      <w:tr w:rsidR="009229AF" w:rsidRPr="00C07F6E" w14:paraId="0878F68A" w14:textId="77777777" w:rsidTr="00780234">
        <w:trPr>
          <w:trHeight w:val="86"/>
          <w:jc w:val="center"/>
        </w:trPr>
        <w:tc>
          <w:tcPr>
            <w:tcW w:w="1380" w:type="dxa"/>
            <w:vMerge/>
            <w:vAlign w:val="center"/>
            <w:hideMark/>
          </w:tcPr>
          <w:p w14:paraId="4E44AD66" w14:textId="77777777" w:rsidR="009229AF" w:rsidRPr="00C07F6E" w:rsidRDefault="009229AF" w:rsidP="00255935">
            <w:pPr>
              <w:pStyle w:val="ExhibitText"/>
            </w:pPr>
          </w:p>
        </w:tc>
        <w:tc>
          <w:tcPr>
            <w:tcW w:w="1300" w:type="dxa"/>
            <w:shd w:val="clear" w:color="auto" w:fill="auto"/>
            <w:noWrap/>
            <w:vAlign w:val="bottom"/>
            <w:hideMark/>
          </w:tcPr>
          <w:p w14:paraId="3BBD06AF" w14:textId="77777777" w:rsidR="009229AF" w:rsidRPr="00C07F6E" w:rsidRDefault="009229AF" w:rsidP="00255935">
            <w:pPr>
              <w:pStyle w:val="ExhibitText"/>
              <w:jc w:val="center"/>
            </w:pPr>
            <w:r w:rsidRPr="00C07F6E">
              <w:t>2013</w:t>
            </w:r>
          </w:p>
        </w:tc>
        <w:tc>
          <w:tcPr>
            <w:tcW w:w="1300" w:type="dxa"/>
            <w:shd w:val="clear" w:color="auto" w:fill="auto"/>
            <w:noWrap/>
            <w:vAlign w:val="bottom"/>
            <w:hideMark/>
          </w:tcPr>
          <w:p w14:paraId="5DB63F3D" w14:textId="77777777" w:rsidR="009229AF" w:rsidRPr="00C07F6E" w:rsidRDefault="009229AF" w:rsidP="00780234">
            <w:pPr>
              <w:pStyle w:val="ExhibitText"/>
              <w:ind w:right="288"/>
              <w:jc w:val="right"/>
            </w:pPr>
            <w:r w:rsidRPr="00C07F6E">
              <w:t>12</w:t>
            </w:r>
          </w:p>
        </w:tc>
        <w:tc>
          <w:tcPr>
            <w:tcW w:w="1680" w:type="dxa"/>
            <w:shd w:val="clear" w:color="auto" w:fill="auto"/>
            <w:noWrap/>
            <w:vAlign w:val="bottom"/>
            <w:hideMark/>
          </w:tcPr>
          <w:p w14:paraId="33A4F4EE" w14:textId="77777777" w:rsidR="009229AF" w:rsidRPr="00C07F6E" w:rsidRDefault="009229AF" w:rsidP="00780234">
            <w:pPr>
              <w:pStyle w:val="ExhibitText"/>
              <w:ind w:right="144"/>
              <w:jc w:val="right"/>
            </w:pPr>
            <w:r w:rsidRPr="00C07F6E">
              <w:t>523,000</w:t>
            </w:r>
          </w:p>
        </w:tc>
        <w:tc>
          <w:tcPr>
            <w:tcW w:w="1400" w:type="dxa"/>
            <w:shd w:val="clear" w:color="auto" w:fill="auto"/>
            <w:noWrap/>
            <w:vAlign w:val="bottom"/>
            <w:hideMark/>
          </w:tcPr>
          <w:p w14:paraId="5A552C45" w14:textId="77777777" w:rsidR="009229AF" w:rsidRPr="00C07F6E" w:rsidRDefault="009229AF" w:rsidP="00780234">
            <w:pPr>
              <w:pStyle w:val="ExhibitText"/>
              <w:ind w:right="144"/>
              <w:jc w:val="right"/>
            </w:pPr>
            <w:r w:rsidRPr="00C07F6E">
              <w:t>43,583</w:t>
            </w:r>
          </w:p>
        </w:tc>
        <w:tc>
          <w:tcPr>
            <w:tcW w:w="1337" w:type="dxa"/>
            <w:shd w:val="clear" w:color="auto" w:fill="auto"/>
            <w:noWrap/>
            <w:vAlign w:val="bottom"/>
            <w:hideMark/>
          </w:tcPr>
          <w:p w14:paraId="10903CCB" w14:textId="77A74DF4" w:rsidR="009229AF" w:rsidRPr="00C07F6E" w:rsidRDefault="009229AF" w:rsidP="00780234">
            <w:pPr>
              <w:pStyle w:val="ExhibitText"/>
              <w:ind w:right="144"/>
              <w:jc w:val="right"/>
            </w:pPr>
            <w:r w:rsidRPr="00C07F6E">
              <w:t>1.29</w:t>
            </w:r>
          </w:p>
        </w:tc>
      </w:tr>
      <w:tr w:rsidR="009229AF" w:rsidRPr="00C07F6E" w14:paraId="3CC0C31F" w14:textId="77777777" w:rsidTr="00780234">
        <w:trPr>
          <w:trHeight w:val="132"/>
          <w:jc w:val="center"/>
        </w:trPr>
        <w:tc>
          <w:tcPr>
            <w:tcW w:w="1380" w:type="dxa"/>
            <w:vMerge w:val="restart"/>
            <w:shd w:val="clear" w:color="auto" w:fill="auto"/>
            <w:vAlign w:val="center"/>
            <w:hideMark/>
          </w:tcPr>
          <w:p w14:paraId="2396C7DA" w14:textId="77777777" w:rsidR="009229AF" w:rsidRPr="00C07F6E" w:rsidRDefault="009229AF" w:rsidP="00255935">
            <w:pPr>
              <w:pStyle w:val="ExhibitText"/>
            </w:pPr>
            <w:r w:rsidRPr="00C07F6E">
              <w:t>Tesco Superstores</w:t>
            </w:r>
          </w:p>
        </w:tc>
        <w:tc>
          <w:tcPr>
            <w:tcW w:w="1300" w:type="dxa"/>
            <w:shd w:val="clear" w:color="auto" w:fill="auto"/>
            <w:noWrap/>
            <w:vAlign w:val="center"/>
          </w:tcPr>
          <w:p w14:paraId="6A7DC71E" w14:textId="77777777" w:rsidR="009229AF" w:rsidRPr="00C07F6E" w:rsidRDefault="009229AF" w:rsidP="00255935">
            <w:pPr>
              <w:pStyle w:val="ExhibitText"/>
              <w:jc w:val="center"/>
            </w:pPr>
            <w:r w:rsidRPr="00C07F6E">
              <w:t>2016</w:t>
            </w:r>
          </w:p>
        </w:tc>
        <w:tc>
          <w:tcPr>
            <w:tcW w:w="1300" w:type="dxa"/>
            <w:shd w:val="clear" w:color="auto" w:fill="auto"/>
            <w:noWrap/>
            <w:vAlign w:val="bottom"/>
          </w:tcPr>
          <w:p w14:paraId="764CAA54" w14:textId="77777777" w:rsidR="009229AF" w:rsidRPr="00C07F6E" w:rsidRDefault="009229AF" w:rsidP="00780234">
            <w:pPr>
              <w:pStyle w:val="ExhibitText"/>
              <w:ind w:right="288"/>
              <w:jc w:val="right"/>
            </w:pPr>
            <w:r w:rsidRPr="00C07F6E">
              <w:t>478</w:t>
            </w:r>
          </w:p>
        </w:tc>
        <w:tc>
          <w:tcPr>
            <w:tcW w:w="1680" w:type="dxa"/>
            <w:shd w:val="clear" w:color="auto" w:fill="auto"/>
            <w:noWrap/>
            <w:vAlign w:val="bottom"/>
          </w:tcPr>
          <w:p w14:paraId="762F4FF3" w14:textId="77777777" w:rsidR="009229AF" w:rsidRPr="00C07F6E" w:rsidRDefault="009229AF" w:rsidP="00780234">
            <w:pPr>
              <w:pStyle w:val="ExhibitText"/>
              <w:ind w:right="144"/>
              <w:jc w:val="right"/>
            </w:pPr>
            <w:r w:rsidRPr="00C07F6E">
              <w:t>14,002,000</w:t>
            </w:r>
          </w:p>
        </w:tc>
        <w:tc>
          <w:tcPr>
            <w:tcW w:w="1400" w:type="dxa"/>
            <w:shd w:val="clear" w:color="auto" w:fill="auto"/>
            <w:noWrap/>
            <w:vAlign w:val="bottom"/>
          </w:tcPr>
          <w:p w14:paraId="101B0BCD" w14:textId="77777777" w:rsidR="009229AF" w:rsidRPr="00C07F6E" w:rsidRDefault="009229AF" w:rsidP="00780234">
            <w:pPr>
              <w:pStyle w:val="ExhibitText"/>
              <w:ind w:right="144"/>
              <w:jc w:val="right"/>
            </w:pPr>
            <w:r w:rsidRPr="00C07F6E">
              <w:t>29,293</w:t>
            </w:r>
          </w:p>
        </w:tc>
        <w:tc>
          <w:tcPr>
            <w:tcW w:w="1337" w:type="dxa"/>
            <w:shd w:val="clear" w:color="auto" w:fill="auto"/>
            <w:noWrap/>
            <w:vAlign w:val="bottom"/>
          </w:tcPr>
          <w:p w14:paraId="78A067F3" w14:textId="3E7DDE90" w:rsidR="009229AF" w:rsidRPr="00C07F6E" w:rsidRDefault="009229AF" w:rsidP="00780234">
            <w:pPr>
              <w:pStyle w:val="ExhibitText"/>
              <w:ind w:right="144"/>
              <w:jc w:val="right"/>
            </w:pPr>
            <w:r w:rsidRPr="00C07F6E">
              <w:t>33.73</w:t>
            </w:r>
          </w:p>
        </w:tc>
      </w:tr>
      <w:tr w:rsidR="009229AF" w:rsidRPr="00C07F6E" w14:paraId="684E8783" w14:textId="77777777" w:rsidTr="00780234">
        <w:trPr>
          <w:trHeight w:val="47"/>
          <w:jc w:val="center"/>
        </w:trPr>
        <w:tc>
          <w:tcPr>
            <w:tcW w:w="1380" w:type="dxa"/>
            <w:vMerge/>
            <w:vAlign w:val="center"/>
          </w:tcPr>
          <w:p w14:paraId="4A0A6131" w14:textId="77777777" w:rsidR="009229AF" w:rsidRPr="00C07F6E" w:rsidRDefault="009229AF" w:rsidP="00255935">
            <w:pPr>
              <w:pStyle w:val="ExhibitText"/>
            </w:pPr>
          </w:p>
        </w:tc>
        <w:tc>
          <w:tcPr>
            <w:tcW w:w="1300" w:type="dxa"/>
            <w:shd w:val="clear" w:color="auto" w:fill="auto"/>
            <w:noWrap/>
            <w:vAlign w:val="bottom"/>
          </w:tcPr>
          <w:p w14:paraId="0B3F61FB" w14:textId="77777777" w:rsidR="009229AF" w:rsidRPr="00C07F6E" w:rsidRDefault="009229AF" w:rsidP="00255935">
            <w:pPr>
              <w:pStyle w:val="ExhibitText"/>
              <w:jc w:val="center"/>
            </w:pPr>
            <w:r w:rsidRPr="00C07F6E">
              <w:t>2015</w:t>
            </w:r>
          </w:p>
        </w:tc>
        <w:tc>
          <w:tcPr>
            <w:tcW w:w="1300" w:type="dxa"/>
            <w:shd w:val="clear" w:color="auto" w:fill="auto"/>
            <w:noWrap/>
            <w:vAlign w:val="bottom"/>
          </w:tcPr>
          <w:p w14:paraId="199E911C" w14:textId="77777777" w:rsidR="009229AF" w:rsidRPr="00C07F6E" w:rsidRDefault="009229AF" w:rsidP="00780234">
            <w:pPr>
              <w:pStyle w:val="ExhibitText"/>
              <w:ind w:right="288"/>
              <w:jc w:val="right"/>
            </w:pPr>
            <w:r w:rsidRPr="00C07F6E">
              <w:t>487</w:t>
            </w:r>
          </w:p>
        </w:tc>
        <w:tc>
          <w:tcPr>
            <w:tcW w:w="1680" w:type="dxa"/>
            <w:shd w:val="clear" w:color="auto" w:fill="auto"/>
            <w:noWrap/>
            <w:vAlign w:val="bottom"/>
          </w:tcPr>
          <w:p w14:paraId="7331981D" w14:textId="77777777" w:rsidR="009229AF" w:rsidRPr="00C07F6E" w:rsidRDefault="009229AF" w:rsidP="00780234">
            <w:pPr>
              <w:pStyle w:val="ExhibitText"/>
              <w:ind w:right="144"/>
              <w:jc w:val="right"/>
            </w:pPr>
            <w:r w:rsidRPr="00C07F6E">
              <w:t>14,254,000</w:t>
            </w:r>
          </w:p>
        </w:tc>
        <w:tc>
          <w:tcPr>
            <w:tcW w:w="1400" w:type="dxa"/>
            <w:shd w:val="clear" w:color="auto" w:fill="auto"/>
            <w:noWrap/>
            <w:vAlign w:val="bottom"/>
          </w:tcPr>
          <w:p w14:paraId="50A59289" w14:textId="77777777" w:rsidR="009229AF" w:rsidRPr="00C07F6E" w:rsidRDefault="009229AF" w:rsidP="00780234">
            <w:pPr>
              <w:pStyle w:val="ExhibitText"/>
              <w:ind w:right="144"/>
              <w:jc w:val="right"/>
            </w:pPr>
            <w:r w:rsidRPr="00C07F6E">
              <w:t>29,269</w:t>
            </w:r>
          </w:p>
        </w:tc>
        <w:tc>
          <w:tcPr>
            <w:tcW w:w="1337" w:type="dxa"/>
            <w:shd w:val="clear" w:color="auto" w:fill="auto"/>
            <w:noWrap/>
            <w:vAlign w:val="bottom"/>
          </w:tcPr>
          <w:p w14:paraId="7AF3714D" w14:textId="4D27F33C" w:rsidR="009229AF" w:rsidRPr="00C07F6E" w:rsidRDefault="009229AF" w:rsidP="00780234">
            <w:pPr>
              <w:pStyle w:val="ExhibitText"/>
              <w:ind w:right="144"/>
              <w:jc w:val="right"/>
            </w:pPr>
            <w:r w:rsidRPr="00C07F6E">
              <w:t>33.71</w:t>
            </w:r>
          </w:p>
        </w:tc>
      </w:tr>
      <w:tr w:rsidR="009229AF" w:rsidRPr="00C07F6E" w14:paraId="22E6CA7B" w14:textId="77777777" w:rsidTr="00780234">
        <w:trPr>
          <w:trHeight w:val="68"/>
          <w:jc w:val="center"/>
        </w:trPr>
        <w:tc>
          <w:tcPr>
            <w:tcW w:w="1380" w:type="dxa"/>
            <w:vMerge/>
            <w:vAlign w:val="center"/>
            <w:hideMark/>
          </w:tcPr>
          <w:p w14:paraId="27B1A633" w14:textId="77777777" w:rsidR="009229AF" w:rsidRPr="00C07F6E" w:rsidRDefault="009229AF" w:rsidP="00255935">
            <w:pPr>
              <w:pStyle w:val="ExhibitText"/>
            </w:pPr>
          </w:p>
        </w:tc>
        <w:tc>
          <w:tcPr>
            <w:tcW w:w="1300" w:type="dxa"/>
            <w:shd w:val="clear" w:color="auto" w:fill="auto"/>
            <w:noWrap/>
            <w:vAlign w:val="bottom"/>
            <w:hideMark/>
          </w:tcPr>
          <w:p w14:paraId="6541C4CC" w14:textId="77777777" w:rsidR="009229AF" w:rsidRPr="00C07F6E" w:rsidRDefault="009229AF" w:rsidP="00255935">
            <w:pPr>
              <w:pStyle w:val="ExhibitText"/>
              <w:jc w:val="center"/>
            </w:pPr>
            <w:r w:rsidRPr="00C07F6E">
              <w:t>2014</w:t>
            </w:r>
          </w:p>
        </w:tc>
        <w:tc>
          <w:tcPr>
            <w:tcW w:w="1300" w:type="dxa"/>
            <w:shd w:val="clear" w:color="auto" w:fill="auto"/>
            <w:noWrap/>
            <w:vAlign w:val="bottom"/>
            <w:hideMark/>
          </w:tcPr>
          <w:p w14:paraId="2727B0E2" w14:textId="77777777" w:rsidR="009229AF" w:rsidRPr="00C07F6E" w:rsidRDefault="009229AF" w:rsidP="00780234">
            <w:pPr>
              <w:pStyle w:val="ExhibitText"/>
              <w:ind w:right="288"/>
              <w:jc w:val="right"/>
            </w:pPr>
            <w:r w:rsidRPr="00C07F6E">
              <w:t>482</w:t>
            </w:r>
          </w:p>
        </w:tc>
        <w:tc>
          <w:tcPr>
            <w:tcW w:w="1680" w:type="dxa"/>
            <w:shd w:val="clear" w:color="auto" w:fill="auto"/>
            <w:noWrap/>
            <w:vAlign w:val="bottom"/>
            <w:hideMark/>
          </w:tcPr>
          <w:p w14:paraId="38B9A1B9" w14:textId="77777777" w:rsidR="009229AF" w:rsidRPr="00C07F6E" w:rsidRDefault="009229AF" w:rsidP="00780234">
            <w:pPr>
              <w:pStyle w:val="ExhibitText"/>
              <w:ind w:right="144"/>
              <w:jc w:val="right"/>
            </w:pPr>
            <w:r w:rsidRPr="00C07F6E">
              <w:t>14,110,000</w:t>
            </w:r>
          </w:p>
        </w:tc>
        <w:tc>
          <w:tcPr>
            <w:tcW w:w="1400" w:type="dxa"/>
            <w:shd w:val="clear" w:color="auto" w:fill="auto"/>
            <w:noWrap/>
            <w:vAlign w:val="bottom"/>
            <w:hideMark/>
          </w:tcPr>
          <w:p w14:paraId="447E04F5" w14:textId="77777777" w:rsidR="009229AF" w:rsidRPr="00C07F6E" w:rsidRDefault="009229AF" w:rsidP="00780234">
            <w:pPr>
              <w:pStyle w:val="ExhibitText"/>
              <w:ind w:right="144"/>
              <w:jc w:val="right"/>
            </w:pPr>
            <w:r w:rsidRPr="00C07F6E">
              <w:t>29,274</w:t>
            </w:r>
          </w:p>
        </w:tc>
        <w:tc>
          <w:tcPr>
            <w:tcW w:w="1337" w:type="dxa"/>
            <w:shd w:val="clear" w:color="auto" w:fill="auto"/>
            <w:noWrap/>
            <w:vAlign w:val="bottom"/>
            <w:hideMark/>
          </w:tcPr>
          <w:p w14:paraId="3191012C" w14:textId="6651D3E5" w:rsidR="009229AF" w:rsidRPr="00C07F6E" w:rsidRDefault="009229AF" w:rsidP="00780234">
            <w:pPr>
              <w:pStyle w:val="ExhibitText"/>
              <w:ind w:right="144"/>
              <w:jc w:val="right"/>
            </w:pPr>
            <w:r w:rsidRPr="00C07F6E">
              <w:t>33.75</w:t>
            </w:r>
          </w:p>
        </w:tc>
      </w:tr>
      <w:tr w:rsidR="009229AF" w:rsidRPr="00C07F6E" w14:paraId="11EB7E11" w14:textId="77777777" w:rsidTr="00780234">
        <w:trPr>
          <w:trHeight w:val="128"/>
          <w:jc w:val="center"/>
        </w:trPr>
        <w:tc>
          <w:tcPr>
            <w:tcW w:w="1380" w:type="dxa"/>
            <w:vMerge/>
            <w:vAlign w:val="center"/>
            <w:hideMark/>
          </w:tcPr>
          <w:p w14:paraId="0AF28DD4" w14:textId="77777777" w:rsidR="009229AF" w:rsidRPr="00C07F6E" w:rsidRDefault="009229AF" w:rsidP="00255935">
            <w:pPr>
              <w:pStyle w:val="ExhibitText"/>
            </w:pPr>
          </w:p>
        </w:tc>
        <w:tc>
          <w:tcPr>
            <w:tcW w:w="1300" w:type="dxa"/>
            <w:shd w:val="clear" w:color="auto" w:fill="auto"/>
            <w:noWrap/>
            <w:vAlign w:val="bottom"/>
            <w:hideMark/>
          </w:tcPr>
          <w:p w14:paraId="1637B9E3" w14:textId="77777777" w:rsidR="009229AF" w:rsidRPr="00C07F6E" w:rsidRDefault="009229AF" w:rsidP="00255935">
            <w:pPr>
              <w:pStyle w:val="ExhibitText"/>
              <w:jc w:val="center"/>
            </w:pPr>
            <w:r w:rsidRPr="00C07F6E">
              <w:t>2013</w:t>
            </w:r>
          </w:p>
        </w:tc>
        <w:tc>
          <w:tcPr>
            <w:tcW w:w="1300" w:type="dxa"/>
            <w:shd w:val="clear" w:color="auto" w:fill="auto"/>
            <w:noWrap/>
            <w:vAlign w:val="bottom"/>
            <w:hideMark/>
          </w:tcPr>
          <w:p w14:paraId="72E2F1F5" w14:textId="77777777" w:rsidR="009229AF" w:rsidRPr="00C07F6E" w:rsidRDefault="009229AF" w:rsidP="00780234">
            <w:pPr>
              <w:pStyle w:val="ExhibitText"/>
              <w:ind w:right="288"/>
              <w:jc w:val="right"/>
            </w:pPr>
            <w:r w:rsidRPr="00C07F6E">
              <w:t>481</w:t>
            </w:r>
          </w:p>
        </w:tc>
        <w:tc>
          <w:tcPr>
            <w:tcW w:w="1680" w:type="dxa"/>
            <w:shd w:val="clear" w:color="auto" w:fill="auto"/>
            <w:noWrap/>
            <w:vAlign w:val="bottom"/>
            <w:hideMark/>
          </w:tcPr>
          <w:p w14:paraId="07694290" w14:textId="77777777" w:rsidR="009229AF" w:rsidRPr="00C07F6E" w:rsidRDefault="009229AF" w:rsidP="00780234">
            <w:pPr>
              <w:pStyle w:val="ExhibitText"/>
              <w:ind w:right="144"/>
              <w:jc w:val="right"/>
            </w:pPr>
            <w:r w:rsidRPr="00C07F6E">
              <w:t>14,053,000</w:t>
            </w:r>
          </w:p>
        </w:tc>
        <w:tc>
          <w:tcPr>
            <w:tcW w:w="1400" w:type="dxa"/>
            <w:shd w:val="clear" w:color="auto" w:fill="auto"/>
            <w:noWrap/>
            <w:vAlign w:val="bottom"/>
            <w:hideMark/>
          </w:tcPr>
          <w:p w14:paraId="6C2B39D8" w14:textId="77777777" w:rsidR="009229AF" w:rsidRPr="00C07F6E" w:rsidRDefault="009229AF" w:rsidP="00780234">
            <w:pPr>
              <w:pStyle w:val="ExhibitText"/>
              <w:ind w:right="144"/>
              <w:jc w:val="right"/>
            </w:pPr>
            <w:r w:rsidRPr="00C07F6E">
              <w:t>29,216</w:t>
            </w:r>
          </w:p>
        </w:tc>
        <w:tc>
          <w:tcPr>
            <w:tcW w:w="1337" w:type="dxa"/>
            <w:shd w:val="clear" w:color="auto" w:fill="auto"/>
            <w:noWrap/>
            <w:vAlign w:val="bottom"/>
            <w:hideMark/>
          </w:tcPr>
          <w:p w14:paraId="515701C3" w14:textId="74E1AC7E" w:rsidR="009229AF" w:rsidRPr="00C07F6E" w:rsidRDefault="009229AF" w:rsidP="00780234">
            <w:pPr>
              <w:pStyle w:val="ExhibitText"/>
              <w:ind w:right="144"/>
              <w:jc w:val="right"/>
            </w:pPr>
            <w:r w:rsidRPr="00C07F6E">
              <w:t>34.70</w:t>
            </w:r>
          </w:p>
        </w:tc>
      </w:tr>
      <w:tr w:rsidR="009229AF" w:rsidRPr="00C07F6E" w14:paraId="7A78B9E9" w14:textId="77777777" w:rsidTr="00780234">
        <w:trPr>
          <w:trHeight w:val="47"/>
          <w:jc w:val="center"/>
        </w:trPr>
        <w:tc>
          <w:tcPr>
            <w:tcW w:w="1380" w:type="dxa"/>
            <w:vMerge w:val="restart"/>
            <w:shd w:val="clear" w:color="auto" w:fill="auto"/>
            <w:vAlign w:val="center"/>
            <w:hideMark/>
          </w:tcPr>
          <w:p w14:paraId="12501F0E" w14:textId="77777777" w:rsidR="009229AF" w:rsidRPr="00C07F6E" w:rsidRDefault="009229AF" w:rsidP="00255935">
            <w:pPr>
              <w:pStyle w:val="ExhibitText"/>
            </w:pPr>
            <w:r w:rsidRPr="00C07F6E">
              <w:t>Tesco Metro</w:t>
            </w:r>
          </w:p>
        </w:tc>
        <w:tc>
          <w:tcPr>
            <w:tcW w:w="1300" w:type="dxa"/>
            <w:shd w:val="clear" w:color="auto" w:fill="auto"/>
            <w:noWrap/>
            <w:vAlign w:val="center"/>
          </w:tcPr>
          <w:p w14:paraId="26C41D80" w14:textId="77777777" w:rsidR="009229AF" w:rsidRPr="00C07F6E" w:rsidRDefault="009229AF" w:rsidP="00255935">
            <w:pPr>
              <w:pStyle w:val="ExhibitText"/>
              <w:jc w:val="center"/>
            </w:pPr>
            <w:r w:rsidRPr="00C07F6E">
              <w:t>2016</w:t>
            </w:r>
          </w:p>
        </w:tc>
        <w:tc>
          <w:tcPr>
            <w:tcW w:w="1300" w:type="dxa"/>
            <w:shd w:val="clear" w:color="auto" w:fill="auto"/>
            <w:noWrap/>
            <w:vAlign w:val="bottom"/>
          </w:tcPr>
          <w:p w14:paraId="4CAC80EE" w14:textId="77777777" w:rsidR="009229AF" w:rsidRPr="00C07F6E" w:rsidRDefault="009229AF" w:rsidP="00780234">
            <w:pPr>
              <w:pStyle w:val="ExhibitText"/>
              <w:ind w:right="288"/>
              <w:jc w:val="right"/>
            </w:pPr>
            <w:r w:rsidRPr="00C07F6E">
              <w:t>177</w:t>
            </w:r>
          </w:p>
        </w:tc>
        <w:tc>
          <w:tcPr>
            <w:tcW w:w="1680" w:type="dxa"/>
            <w:shd w:val="clear" w:color="auto" w:fill="auto"/>
            <w:noWrap/>
            <w:vAlign w:val="bottom"/>
          </w:tcPr>
          <w:p w14:paraId="10DB049A" w14:textId="77777777" w:rsidR="009229AF" w:rsidRPr="00C07F6E" w:rsidRDefault="009229AF" w:rsidP="00780234">
            <w:pPr>
              <w:pStyle w:val="ExhibitText"/>
              <w:ind w:right="144"/>
              <w:jc w:val="right"/>
            </w:pPr>
            <w:r w:rsidRPr="00C07F6E">
              <w:t>2,005,000</w:t>
            </w:r>
          </w:p>
        </w:tc>
        <w:tc>
          <w:tcPr>
            <w:tcW w:w="1400" w:type="dxa"/>
            <w:shd w:val="clear" w:color="auto" w:fill="auto"/>
            <w:noWrap/>
            <w:vAlign w:val="bottom"/>
          </w:tcPr>
          <w:p w14:paraId="3D4C4F21" w14:textId="77777777" w:rsidR="009229AF" w:rsidRPr="00C07F6E" w:rsidRDefault="009229AF" w:rsidP="00780234">
            <w:pPr>
              <w:pStyle w:val="ExhibitText"/>
              <w:ind w:right="144"/>
              <w:jc w:val="right"/>
            </w:pPr>
            <w:r w:rsidRPr="00C07F6E">
              <w:t>11,328</w:t>
            </w:r>
          </w:p>
        </w:tc>
        <w:tc>
          <w:tcPr>
            <w:tcW w:w="1337" w:type="dxa"/>
            <w:shd w:val="clear" w:color="auto" w:fill="auto"/>
            <w:noWrap/>
            <w:vAlign w:val="bottom"/>
          </w:tcPr>
          <w:p w14:paraId="33846DE5" w14:textId="01788A1A" w:rsidR="009229AF" w:rsidRPr="00C07F6E" w:rsidRDefault="009229AF" w:rsidP="00780234">
            <w:pPr>
              <w:pStyle w:val="ExhibitText"/>
              <w:ind w:right="144"/>
              <w:jc w:val="right"/>
            </w:pPr>
            <w:r w:rsidRPr="00C07F6E">
              <w:t>4.83</w:t>
            </w:r>
          </w:p>
        </w:tc>
      </w:tr>
      <w:tr w:rsidR="009229AF" w:rsidRPr="00C07F6E" w14:paraId="2978CC5A" w14:textId="77777777" w:rsidTr="00780234">
        <w:trPr>
          <w:trHeight w:val="64"/>
          <w:jc w:val="center"/>
        </w:trPr>
        <w:tc>
          <w:tcPr>
            <w:tcW w:w="1380" w:type="dxa"/>
            <w:vMerge/>
            <w:vAlign w:val="center"/>
          </w:tcPr>
          <w:p w14:paraId="04812A0B" w14:textId="77777777" w:rsidR="009229AF" w:rsidRPr="00C07F6E" w:rsidRDefault="009229AF" w:rsidP="00255935">
            <w:pPr>
              <w:pStyle w:val="ExhibitText"/>
            </w:pPr>
          </w:p>
        </w:tc>
        <w:tc>
          <w:tcPr>
            <w:tcW w:w="1300" w:type="dxa"/>
            <w:shd w:val="clear" w:color="auto" w:fill="auto"/>
            <w:noWrap/>
            <w:vAlign w:val="bottom"/>
          </w:tcPr>
          <w:p w14:paraId="6A3687FD" w14:textId="77777777" w:rsidR="009229AF" w:rsidRPr="00C07F6E" w:rsidRDefault="009229AF" w:rsidP="00255935">
            <w:pPr>
              <w:pStyle w:val="ExhibitText"/>
              <w:jc w:val="center"/>
            </w:pPr>
            <w:r w:rsidRPr="00C07F6E">
              <w:t>2015</w:t>
            </w:r>
          </w:p>
        </w:tc>
        <w:tc>
          <w:tcPr>
            <w:tcW w:w="1300" w:type="dxa"/>
            <w:shd w:val="clear" w:color="auto" w:fill="auto"/>
            <w:noWrap/>
            <w:vAlign w:val="bottom"/>
          </w:tcPr>
          <w:p w14:paraId="490BE441" w14:textId="77777777" w:rsidR="009229AF" w:rsidRPr="00C07F6E" w:rsidRDefault="009229AF" w:rsidP="00780234">
            <w:pPr>
              <w:pStyle w:val="ExhibitText"/>
              <w:ind w:right="288"/>
              <w:jc w:val="right"/>
            </w:pPr>
            <w:r w:rsidRPr="00C07F6E">
              <w:t>191</w:t>
            </w:r>
          </w:p>
        </w:tc>
        <w:tc>
          <w:tcPr>
            <w:tcW w:w="1680" w:type="dxa"/>
            <w:shd w:val="clear" w:color="auto" w:fill="auto"/>
            <w:noWrap/>
            <w:vAlign w:val="bottom"/>
          </w:tcPr>
          <w:p w14:paraId="6840684E" w14:textId="77777777" w:rsidR="009229AF" w:rsidRPr="00C07F6E" w:rsidRDefault="009229AF" w:rsidP="00780234">
            <w:pPr>
              <w:pStyle w:val="ExhibitText"/>
              <w:ind w:right="144"/>
              <w:jc w:val="right"/>
            </w:pPr>
            <w:r w:rsidRPr="00C07F6E">
              <w:t>2,150,000</w:t>
            </w:r>
          </w:p>
        </w:tc>
        <w:tc>
          <w:tcPr>
            <w:tcW w:w="1400" w:type="dxa"/>
            <w:shd w:val="clear" w:color="auto" w:fill="auto"/>
            <w:noWrap/>
            <w:vAlign w:val="bottom"/>
          </w:tcPr>
          <w:p w14:paraId="09EE583F" w14:textId="77777777" w:rsidR="009229AF" w:rsidRPr="00C07F6E" w:rsidRDefault="009229AF" w:rsidP="00780234">
            <w:pPr>
              <w:pStyle w:val="ExhibitText"/>
              <w:ind w:right="144"/>
              <w:jc w:val="right"/>
            </w:pPr>
            <w:r w:rsidRPr="00C07F6E">
              <w:t>11,257</w:t>
            </w:r>
          </w:p>
        </w:tc>
        <w:tc>
          <w:tcPr>
            <w:tcW w:w="1337" w:type="dxa"/>
            <w:shd w:val="clear" w:color="auto" w:fill="auto"/>
            <w:noWrap/>
            <w:vAlign w:val="bottom"/>
          </w:tcPr>
          <w:p w14:paraId="17BC2F8C" w14:textId="509A4012" w:rsidR="009229AF" w:rsidRPr="00C07F6E" w:rsidRDefault="009229AF" w:rsidP="00780234">
            <w:pPr>
              <w:pStyle w:val="ExhibitText"/>
              <w:ind w:right="144"/>
              <w:jc w:val="right"/>
            </w:pPr>
            <w:r w:rsidRPr="00C07F6E">
              <w:t>5.08</w:t>
            </w:r>
          </w:p>
        </w:tc>
      </w:tr>
      <w:tr w:rsidR="009229AF" w:rsidRPr="00C07F6E" w14:paraId="0F81DF29" w14:textId="77777777" w:rsidTr="00780234">
        <w:trPr>
          <w:trHeight w:val="47"/>
          <w:jc w:val="center"/>
        </w:trPr>
        <w:tc>
          <w:tcPr>
            <w:tcW w:w="1380" w:type="dxa"/>
            <w:vMerge/>
            <w:vAlign w:val="center"/>
            <w:hideMark/>
          </w:tcPr>
          <w:p w14:paraId="1A445EE8" w14:textId="77777777" w:rsidR="009229AF" w:rsidRPr="00C07F6E" w:rsidRDefault="009229AF" w:rsidP="00255935">
            <w:pPr>
              <w:pStyle w:val="ExhibitText"/>
            </w:pPr>
          </w:p>
        </w:tc>
        <w:tc>
          <w:tcPr>
            <w:tcW w:w="1300" w:type="dxa"/>
            <w:shd w:val="clear" w:color="auto" w:fill="auto"/>
            <w:noWrap/>
            <w:vAlign w:val="bottom"/>
            <w:hideMark/>
          </w:tcPr>
          <w:p w14:paraId="4BF9A553" w14:textId="77777777" w:rsidR="009229AF" w:rsidRPr="00C07F6E" w:rsidRDefault="009229AF" w:rsidP="00255935">
            <w:pPr>
              <w:pStyle w:val="ExhibitText"/>
              <w:jc w:val="center"/>
            </w:pPr>
            <w:r w:rsidRPr="00C07F6E">
              <w:t>2014</w:t>
            </w:r>
          </w:p>
        </w:tc>
        <w:tc>
          <w:tcPr>
            <w:tcW w:w="1300" w:type="dxa"/>
            <w:shd w:val="clear" w:color="auto" w:fill="auto"/>
            <w:noWrap/>
            <w:vAlign w:val="bottom"/>
            <w:hideMark/>
          </w:tcPr>
          <w:p w14:paraId="43484016" w14:textId="77777777" w:rsidR="009229AF" w:rsidRPr="00C07F6E" w:rsidRDefault="009229AF" w:rsidP="00780234">
            <w:pPr>
              <w:pStyle w:val="ExhibitText"/>
              <w:ind w:right="288"/>
              <w:jc w:val="right"/>
            </w:pPr>
            <w:r w:rsidRPr="00C07F6E">
              <w:t>195</w:t>
            </w:r>
          </w:p>
        </w:tc>
        <w:tc>
          <w:tcPr>
            <w:tcW w:w="1680" w:type="dxa"/>
            <w:shd w:val="clear" w:color="auto" w:fill="auto"/>
            <w:noWrap/>
            <w:vAlign w:val="bottom"/>
            <w:hideMark/>
          </w:tcPr>
          <w:p w14:paraId="45CF6B27" w14:textId="77777777" w:rsidR="009229AF" w:rsidRPr="00C07F6E" w:rsidRDefault="009229AF" w:rsidP="00780234">
            <w:pPr>
              <w:pStyle w:val="ExhibitText"/>
              <w:ind w:right="144"/>
              <w:jc w:val="right"/>
            </w:pPr>
            <w:r w:rsidRPr="00C07F6E">
              <w:t>2,191,000</w:t>
            </w:r>
          </w:p>
        </w:tc>
        <w:tc>
          <w:tcPr>
            <w:tcW w:w="1400" w:type="dxa"/>
            <w:shd w:val="clear" w:color="auto" w:fill="auto"/>
            <w:noWrap/>
            <w:vAlign w:val="bottom"/>
            <w:hideMark/>
          </w:tcPr>
          <w:p w14:paraId="414E84DE" w14:textId="77777777" w:rsidR="009229AF" w:rsidRPr="00C07F6E" w:rsidRDefault="009229AF" w:rsidP="00780234">
            <w:pPr>
              <w:pStyle w:val="ExhibitText"/>
              <w:ind w:right="144"/>
              <w:jc w:val="right"/>
            </w:pPr>
            <w:r w:rsidRPr="00C07F6E">
              <w:t>11,236</w:t>
            </w:r>
          </w:p>
        </w:tc>
        <w:tc>
          <w:tcPr>
            <w:tcW w:w="1337" w:type="dxa"/>
            <w:shd w:val="clear" w:color="auto" w:fill="auto"/>
            <w:noWrap/>
            <w:vAlign w:val="bottom"/>
            <w:hideMark/>
          </w:tcPr>
          <w:p w14:paraId="7C4C2059" w14:textId="4298DFAC" w:rsidR="009229AF" w:rsidRPr="00C07F6E" w:rsidRDefault="009229AF" w:rsidP="00780234">
            <w:pPr>
              <w:pStyle w:val="ExhibitText"/>
              <w:ind w:right="144"/>
              <w:jc w:val="right"/>
            </w:pPr>
            <w:r w:rsidRPr="00C07F6E">
              <w:t>5.24</w:t>
            </w:r>
          </w:p>
        </w:tc>
      </w:tr>
      <w:tr w:rsidR="009229AF" w:rsidRPr="00C07F6E" w14:paraId="702A8DA9" w14:textId="77777777" w:rsidTr="00780234">
        <w:trPr>
          <w:trHeight w:val="47"/>
          <w:jc w:val="center"/>
        </w:trPr>
        <w:tc>
          <w:tcPr>
            <w:tcW w:w="1380" w:type="dxa"/>
            <w:vMerge/>
            <w:vAlign w:val="center"/>
            <w:hideMark/>
          </w:tcPr>
          <w:p w14:paraId="045ADFDF" w14:textId="77777777" w:rsidR="009229AF" w:rsidRPr="00C07F6E" w:rsidRDefault="009229AF" w:rsidP="00255935">
            <w:pPr>
              <w:pStyle w:val="ExhibitText"/>
            </w:pPr>
          </w:p>
        </w:tc>
        <w:tc>
          <w:tcPr>
            <w:tcW w:w="1300" w:type="dxa"/>
            <w:shd w:val="clear" w:color="auto" w:fill="auto"/>
            <w:noWrap/>
            <w:vAlign w:val="bottom"/>
            <w:hideMark/>
          </w:tcPr>
          <w:p w14:paraId="2D4B156D" w14:textId="77777777" w:rsidR="009229AF" w:rsidRPr="00C07F6E" w:rsidRDefault="009229AF" w:rsidP="00255935">
            <w:pPr>
              <w:pStyle w:val="ExhibitText"/>
              <w:jc w:val="center"/>
            </w:pPr>
            <w:r w:rsidRPr="00C07F6E">
              <w:t>2013</w:t>
            </w:r>
          </w:p>
        </w:tc>
        <w:tc>
          <w:tcPr>
            <w:tcW w:w="1300" w:type="dxa"/>
            <w:shd w:val="clear" w:color="auto" w:fill="auto"/>
            <w:noWrap/>
            <w:vAlign w:val="bottom"/>
            <w:hideMark/>
          </w:tcPr>
          <w:p w14:paraId="3481BEE8" w14:textId="77777777" w:rsidR="009229AF" w:rsidRPr="00C07F6E" w:rsidRDefault="009229AF" w:rsidP="00780234">
            <w:pPr>
              <w:pStyle w:val="ExhibitText"/>
              <w:ind w:right="288"/>
              <w:jc w:val="right"/>
            </w:pPr>
            <w:r w:rsidRPr="00C07F6E">
              <w:t>192</w:t>
            </w:r>
          </w:p>
        </w:tc>
        <w:tc>
          <w:tcPr>
            <w:tcW w:w="1680" w:type="dxa"/>
            <w:shd w:val="clear" w:color="auto" w:fill="auto"/>
            <w:noWrap/>
            <w:vAlign w:val="bottom"/>
            <w:hideMark/>
          </w:tcPr>
          <w:p w14:paraId="7085889E" w14:textId="77777777" w:rsidR="009229AF" w:rsidRPr="00C07F6E" w:rsidRDefault="009229AF" w:rsidP="00780234">
            <w:pPr>
              <w:pStyle w:val="ExhibitText"/>
              <w:ind w:right="144"/>
              <w:jc w:val="right"/>
            </w:pPr>
            <w:r w:rsidRPr="00C07F6E">
              <w:t>2,145,000</w:t>
            </w:r>
          </w:p>
        </w:tc>
        <w:tc>
          <w:tcPr>
            <w:tcW w:w="1400" w:type="dxa"/>
            <w:shd w:val="clear" w:color="auto" w:fill="auto"/>
            <w:noWrap/>
            <w:vAlign w:val="bottom"/>
            <w:hideMark/>
          </w:tcPr>
          <w:p w14:paraId="4DD71A65" w14:textId="77777777" w:rsidR="009229AF" w:rsidRPr="00C07F6E" w:rsidRDefault="009229AF" w:rsidP="00780234">
            <w:pPr>
              <w:pStyle w:val="ExhibitText"/>
              <w:ind w:right="144"/>
              <w:jc w:val="right"/>
            </w:pPr>
            <w:r w:rsidRPr="00C07F6E">
              <w:t>11,172</w:t>
            </w:r>
          </w:p>
        </w:tc>
        <w:tc>
          <w:tcPr>
            <w:tcW w:w="1337" w:type="dxa"/>
            <w:shd w:val="clear" w:color="auto" w:fill="auto"/>
            <w:noWrap/>
            <w:vAlign w:val="bottom"/>
            <w:hideMark/>
          </w:tcPr>
          <w:p w14:paraId="501C7E6A" w14:textId="415D8E71" w:rsidR="009229AF" w:rsidRPr="00C07F6E" w:rsidRDefault="009229AF" w:rsidP="00780234">
            <w:pPr>
              <w:pStyle w:val="ExhibitText"/>
              <w:ind w:right="144"/>
              <w:jc w:val="right"/>
            </w:pPr>
            <w:r w:rsidRPr="00C07F6E">
              <w:t>5.30</w:t>
            </w:r>
          </w:p>
        </w:tc>
      </w:tr>
      <w:tr w:rsidR="009229AF" w:rsidRPr="00C07F6E" w14:paraId="27D157BF" w14:textId="77777777" w:rsidTr="00780234">
        <w:trPr>
          <w:trHeight w:val="47"/>
          <w:jc w:val="center"/>
        </w:trPr>
        <w:tc>
          <w:tcPr>
            <w:tcW w:w="1380" w:type="dxa"/>
            <w:vMerge w:val="restart"/>
            <w:shd w:val="clear" w:color="auto" w:fill="auto"/>
            <w:vAlign w:val="center"/>
            <w:hideMark/>
          </w:tcPr>
          <w:p w14:paraId="2B896E7A" w14:textId="77777777" w:rsidR="009229AF" w:rsidRPr="00C07F6E" w:rsidRDefault="009229AF" w:rsidP="00255935">
            <w:pPr>
              <w:pStyle w:val="ExhibitText"/>
            </w:pPr>
            <w:r w:rsidRPr="00C07F6E">
              <w:t>Tesco Express</w:t>
            </w:r>
          </w:p>
        </w:tc>
        <w:tc>
          <w:tcPr>
            <w:tcW w:w="1300" w:type="dxa"/>
            <w:shd w:val="clear" w:color="auto" w:fill="auto"/>
            <w:noWrap/>
            <w:vAlign w:val="center"/>
          </w:tcPr>
          <w:p w14:paraId="52600F51" w14:textId="77777777" w:rsidR="009229AF" w:rsidRPr="00C07F6E" w:rsidRDefault="009229AF" w:rsidP="00255935">
            <w:pPr>
              <w:pStyle w:val="ExhibitText"/>
              <w:jc w:val="center"/>
            </w:pPr>
            <w:r w:rsidRPr="00C07F6E">
              <w:t>2016</w:t>
            </w:r>
          </w:p>
        </w:tc>
        <w:tc>
          <w:tcPr>
            <w:tcW w:w="1300" w:type="dxa"/>
            <w:shd w:val="clear" w:color="auto" w:fill="auto"/>
            <w:noWrap/>
            <w:vAlign w:val="bottom"/>
          </w:tcPr>
          <w:p w14:paraId="4A387DD4" w14:textId="77777777" w:rsidR="009229AF" w:rsidRPr="00C07F6E" w:rsidRDefault="009229AF" w:rsidP="00780234">
            <w:pPr>
              <w:pStyle w:val="ExhibitText"/>
              <w:ind w:right="288"/>
              <w:jc w:val="right"/>
            </w:pPr>
            <w:r w:rsidRPr="00C07F6E">
              <w:t>1,732</w:t>
            </w:r>
          </w:p>
        </w:tc>
        <w:tc>
          <w:tcPr>
            <w:tcW w:w="1680" w:type="dxa"/>
            <w:shd w:val="clear" w:color="auto" w:fill="auto"/>
            <w:noWrap/>
            <w:vAlign w:val="bottom"/>
          </w:tcPr>
          <w:p w14:paraId="743FFAF7" w14:textId="77777777" w:rsidR="009229AF" w:rsidRPr="00C07F6E" w:rsidRDefault="009229AF" w:rsidP="00780234">
            <w:pPr>
              <w:pStyle w:val="ExhibitText"/>
              <w:ind w:right="144"/>
              <w:jc w:val="right"/>
            </w:pPr>
            <w:r w:rsidRPr="00C07F6E">
              <w:t>4,031,000</w:t>
            </w:r>
          </w:p>
        </w:tc>
        <w:tc>
          <w:tcPr>
            <w:tcW w:w="1400" w:type="dxa"/>
            <w:shd w:val="clear" w:color="auto" w:fill="auto"/>
            <w:noWrap/>
            <w:vAlign w:val="bottom"/>
          </w:tcPr>
          <w:p w14:paraId="558BC479" w14:textId="77777777" w:rsidR="009229AF" w:rsidRPr="00C07F6E" w:rsidRDefault="009229AF" w:rsidP="00780234">
            <w:pPr>
              <w:pStyle w:val="ExhibitText"/>
              <w:ind w:right="144"/>
              <w:jc w:val="right"/>
            </w:pPr>
            <w:r w:rsidRPr="00C07F6E">
              <w:t>2,327</w:t>
            </w:r>
          </w:p>
        </w:tc>
        <w:tc>
          <w:tcPr>
            <w:tcW w:w="1337" w:type="dxa"/>
            <w:shd w:val="clear" w:color="auto" w:fill="auto"/>
            <w:noWrap/>
            <w:vAlign w:val="bottom"/>
          </w:tcPr>
          <w:p w14:paraId="6DFD41C7" w14:textId="602F1E49" w:rsidR="009229AF" w:rsidRPr="00C07F6E" w:rsidRDefault="009229AF" w:rsidP="00780234">
            <w:pPr>
              <w:pStyle w:val="ExhibitText"/>
              <w:ind w:right="144"/>
              <w:jc w:val="right"/>
            </w:pPr>
            <w:r w:rsidRPr="00C07F6E">
              <w:t>9.71</w:t>
            </w:r>
          </w:p>
        </w:tc>
      </w:tr>
      <w:tr w:rsidR="009229AF" w:rsidRPr="00C07F6E" w14:paraId="59C6E3A8" w14:textId="77777777" w:rsidTr="00780234">
        <w:trPr>
          <w:trHeight w:val="47"/>
          <w:jc w:val="center"/>
        </w:trPr>
        <w:tc>
          <w:tcPr>
            <w:tcW w:w="1380" w:type="dxa"/>
            <w:vMerge/>
            <w:vAlign w:val="center"/>
          </w:tcPr>
          <w:p w14:paraId="251FF5F5" w14:textId="77777777" w:rsidR="009229AF" w:rsidRPr="00C07F6E" w:rsidRDefault="009229AF" w:rsidP="00255935">
            <w:pPr>
              <w:pStyle w:val="ExhibitText"/>
            </w:pPr>
          </w:p>
        </w:tc>
        <w:tc>
          <w:tcPr>
            <w:tcW w:w="1300" w:type="dxa"/>
            <w:shd w:val="clear" w:color="auto" w:fill="auto"/>
            <w:noWrap/>
            <w:vAlign w:val="bottom"/>
          </w:tcPr>
          <w:p w14:paraId="562B7AFD" w14:textId="77777777" w:rsidR="009229AF" w:rsidRPr="00C07F6E" w:rsidRDefault="009229AF" w:rsidP="00255935">
            <w:pPr>
              <w:pStyle w:val="ExhibitText"/>
              <w:jc w:val="center"/>
            </w:pPr>
            <w:r w:rsidRPr="00C07F6E">
              <w:t>2015</w:t>
            </w:r>
          </w:p>
        </w:tc>
        <w:tc>
          <w:tcPr>
            <w:tcW w:w="1300" w:type="dxa"/>
            <w:shd w:val="clear" w:color="auto" w:fill="auto"/>
            <w:noWrap/>
            <w:vAlign w:val="bottom"/>
          </w:tcPr>
          <w:p w14:paraId="5D1A2495" w14:textId="77777777" w:rsidR="009229AF" w:rsidRPr="00C07F6E" w:rsidRDefault="009229AF" w:rsidP="00780234">
            <w:pPr>
              <w:pStyle w:val="ExhibitText"/>
              <w:ind w:right="288"/>
              <w:jc w:val="right"/>
            </w:pPr>
            <w:r w:rsidRPr="00C07F6E">
              <w:t>1,735</w:t>
            </w:r>
          </w:p>
        </w:tc>
        <w:tc>
          <w:tcPr>
            <w:tcW w:w="1680" w:type="dxa"/>
            <w:shd w:val="clear" w:color="auto" w:fill="auto"/>
            <w:noWrap/>
            <w:vAlign w:val="bottom"/>
          </w:tcPr>
          <w:p w14:paraId="4EFA5ED1" w14:textId="77777777" w:rsidR="009229AF" w:rsidRPr="00C07F6E" w:rsidRDefault="009229AF" w:rsidP="00780234">
            <w:pPr>
              <w:pStyle w:val="ExhibitText"/>
              <w:ind w:right="144"/>
              <w:jc w:val="right"/>
            </w:pPr>
            <w:r w:rsidRPr="00C07F6E">
              <w:t>4,030,000</w:t>
            </w:r>
          </w:p>
        </w:tc>
        <w:tc>
          <w:tcPr>
            <w:tcW w:w="1400" w:type="dxa"/>
            <w:shd w:val="clear" w:color="auto" w:fill="auto"/>
            <w:noWrap/>
            <w:vAlign w:val="bottom"/>
          </w:tcPr>
          <w:p w14:paraId="761446F9" w14:textId="77777777" w:rsidR="009229AF" w:rsidRPr="00C07F6E" w:rsidRDefault="009229AF" w:rsidP="00780234">
            <w:pPr>
              <w:pStyle w:val="ExhibitText"/>
              <w:ind w:right="144"/>
              <w:jc w:val="right"/>
            </w:pPr>
            <w:r w:rsidRPr="00C07F6E">
              <w:t>2,323</w:t>
            </w:r>
          </w:p>
        </w:tc>
        <w:tc>
          <w:tcPr>
            <w:tcW w:w="1337" w:type="dxa"/>
            <w:shd w:val="clear" w:color="auto" w:fill="auto"/>
            <w:noWrap/>
            <w:vAlign w:val="bottom"/>
          </w:tcPr>
          <w:p w14:paraId="02F3B081" w14:textId="57C54EB9" w:rsidR="009229AF" w:rsidRPr="00C07F6E" w:rsidRDefault="009229AF" w:rsidP="00780234">
            <w:pPr>
              <w:pStyle w:val="ExhibitText"/>
              <w:ind w:right="144"/>
              <w:jc w:val="right"/>
            </w:pPr>
            <w:r w:rsidRPr="00C07F6E">
              <w:t>9.53</w:t>
            </w:r>
          </w:p>
        </w:tc>
      </w:tr>
      <w:tr w:rsidR="009229AF" w:rsidRPr="00C07F6E" w14:paraId="1E2412EB" w14:textId="77777777" w:rsidTr="00780234">
        <w:trPr>
          <w:trHeight w:val="47"/>
          <w:jc w:val="center"/>
        </w:trPr>
        <w:tc>
          <w:tcPr>
            <w:tcW w:w="1380" w:type="dxa"/>
            <w:vMerge/>
            <w:vAlign w:val="center"/>
            <w:hideMark/>
          </w:tcPr>
          <w:p w14:paraId="3E1896F9" w14:textId="77777777" w:rsidR="009229AF" w:rsidRPr="00C07F6E" w:rsidRDefault="009229AF" w:rsidP="00255935">
            <w:pPr>
              <w:pStyle w:val="ExhibitText"/>
            </w:pPr>
          </w:p>
        </w:tc>
        <w:tc>
          <w:tcPr>
            <w:tcW w:w="1300" w:type="dxa"/>
            <w:shd w:val="clear" w:color="auto" w:fill="auto"/>
            <w:noWrap/>
            <w:vAlign w:val="bottom"/>
            <w:hideMark/>
          </w:tcPr>
          <w:p w14:paraId="5064B15D" w14:textId="77777777" w:rsidR="009229AF" w:rsidRPr="00C07F6E" w:rsidRDefault="009229AF" w:rsidP="00255935">
            <w:pPr>
              <w:pStyle w:val="ExhibitText"/>
              <w:jc w:val="center"/>
            </w:pPr>
            <w:r w:rsidRPr="00C07F6E">
              <w:t>2014</w:t>
            </w:r>
          </w:p>
        </w:tc>
        <w:tc>
          <w:tcPr>
            <w:tcW w:w="1300" w:type="dxa"/>
            <w:shd w:val="clear" w:color="auto" w:fill="auto"/>
            <w:noWrap/>
            <w:vAlign w:val="bottom"/>
            <w:hideMark/>
          </w:tcPr>
          <w:p w14:paraId="41F50DA2" w14:textId="77777777" w:rsidR="009229AF" w:rsidRPr="00C07F6E" w:rsidRDefault="009229AF" w:rsidP="00780234">
            <w:pPr>
              <w:pStyle w:val="ExhibitText"/>
              <w:ind w:right="288"/>
              <w:jc w:val="right"/>
            </w:pPr>
            <w:r w:rsidRPr="00C07F6E">
              <w:t>1,672</w:t>
            </w:r>
          </w:p>
        </w:tc>
        <w:tc>
          <w:tcPr>
            <w:tcW w:w="1680" w:type="dxa"/>
            <w:shd w:val="clear" w:color="auto" w:fill="auto"/>
            <w:noWrap/>
            <w:vAlign w:val="bottom"/>
            <w:hideMark/>
          </w:tcPr>
          <w:p w14:paraId="7118D950" w14:textId="77777777" w:rsidR="009229AF" w:rsidRPr="00C07F6E" w:rsidRDefault="009229AF" w:rsidP="00780234">
            <w:pPr>
              <w:pStyle w:val="ExhibitText"/>
              <w:ind w:right="144"/>
              <w:jc w:val="right"/>
            </w:pPr>
            <w:r w:rsidRPr="00C07F6E">
              <w:t>3,883,000</w:t>
            </w:r>
          </w:p>
        </w:tc>
        <w:tc>
          <w:tcPr>
            <w:tcW w:w="1400" w:type="dxa"/>
            <w:shd w:val="clear" w:color="auto" w:fill="auto"/>
            <w:noWrap/>
            <w:vAlign w:val="bottom"/>
            <w:hideMark/>
          </w:tcPr>
          <w:p w14:paraId="6155CD9E" w14:textId="77777777" w:rsidR="009229AF" w:rsidRPr="00C07F6E" w:rsidRDefault="009229AF" w:rsidP="00780234">
            <w:pPr>
              <w:pStyle w:val="ExhibitText"/>
              <w:ind w:right="144"/>
              <w:jc w:val="right"/>
            </w:pPr>
            <w:r w:rsidRPr="00C07F6E">
              <w:t>2,322</w:t>
            </w:r>
          </w:p>
        </w:tc>
        <w:tc>
          <w:tcPr>
            <w:tcW w:w="1337" w:type="dxa"/>
            <w:shd w:val="clear" w:color="auto" w:fill="auto"/>
            <w:noWrap/>
            <w:vAlign w:val="bottom"/>
            <w:hideMark/>
          </w:tcPr>
          <w:p w14:paraId="33BE1478" w14:textId="706D6749" w:rsidR="009229AF" w:rsidRPr="00C07F6E" w:rsidRDefault="009229AF" w:rsidP="00780234">
            <w:pPr>
              <w:pStyle w:val="ExhibitText"/>
              <w:ind w:right="144"/>
              <w:jc w:val="right"/>
            </w:pPr>
            <w:r w:rsidRPr="00C07F6E">
              <w:t>9.29</w:t>
            </w:r>
          </w:p>
        </w:tc>
      </w:tr>
      <w:tr w:rsidR="009229AF" w:rsidRPr="00C07F6E" w14:paraId="72EBC033" w14:textId="77777777" w:rsidTr="00780234">
        <w:trPr>
          <w:trHeight w:val="47"/>
          <w:jc w:val="center"/>
        </w:trPr>
        <w:tc>
          <w:tcPr>
            <w:tcW w:w="1380" w:type="dxa"/>
            <w:vMerge/>
            <w:vAlign w:val="center"/>
            <w:hideMark/>
          </w:tcPr>
          <w:p w14:paraId="68F6743F" w14:textId="77777777" w:rsidR="009229AF" w:rsidRPr="00C07F6E" w:rsidRDefault="009229AF" w:rsidP="00255935">
            <w:pPr>
              <w:pStyle w:val="ExhibitText"/>
            </w:pPr>
          </w:p>
        </w:tc>
        <w:tc>
          <w:tcPr>
            <w:tcW w:w="1300" w:type="dxa"/>
            <w:shd w:val="clear" w:color="auto" w:fill="auto"/>
            <w:noWrap/>
            <w:vAlign w:val="bottom"/>
            <w:hideMark/>
          </w:tcPr>
          <w:p w14:paraId="51D67B8A" w14:textId="77777777" w:rsidR="009229AF" w:rsidRPr="00C07F6E" w:rsidRDefault="009229AF" w:rsidP="00255935">
            <w:pPr>
              <w:pStyle w:val="ExhibitText"/>
              <w:jc w:val="center"/>
            </w:pPr>
            <w:r w:rsidRPr="00C07F6E">
              <w:t>2013</w:t>
            </w:r>
          </w:p>
        </w:tc>
        <w:tc>
          <w:tcPr>
            <w:tcW w:w="1300" w:type="dxa"/>
            <w:shd w:val="clear" w:color="auto" w:fill="auto"/>
            <w:noWrap/>
            <w:vAlign w:val="bottom"/>
            <w:hideMark/>
          </w:tcPr>
          <w:p w14:paraId="2C4E3121" w14:textId="77777777" w:rsidR="009229AF" w:rsidRPr="00C07F6E" w:rsidRDefault="009229AF" w:rsidP="00780234">
            <w:pPr>
              <w:pStyle w:val="ExhibitText"/>
              <w:ind w:right="288"/>
              <w:jc w:val="right"/>
            </w:pPr>
            <w:r w:rsidRPr="00C07F6E">
              <w:t>1,547</w:t>
            </w:r>
          </w:p>
        </w:tc>
        <w:tc>
          <w:tcPr>
            <w:tcW w:w="1680" w:type="dxa"/>
            <w:shd w:val="clear" w:color="auto" w:fill="auto"/>
            <w:noWrap/>
            <w:vAlign w:val="bottom"/>
            <w:hideMark/>
          </w:tcPr>
          <w:p w14:paraId="4EBF8A37" w14:textId="77777777" w:rsidR="009229AF" w:rsidRPr="00C07F6E" w:rsidRDefault="009229AF" w:rsidP="00780234">
            <w:pPr>
              <w:pStyle w:val="ExhibitText"/>
              <w:ind w:right="144"/>
              <w:jc w:val="right"/>
            </w:pPr>
            <w:r w:rsidRPr="00C07F6E">
              <w:t>3,588,000</w:t>
            </w:r>
          </w:p>
        </w:tc>
        <w:tc>
          <w:tcPr>
            <w:tcW w:w="1400" w:type="dxa"/>
            <w:shd w:val="clear" w:color="auto" w:fill="auto"/>
            <w:noWrap/>
            <w:vAlign w:val="bottom"/>
            <w:hideMark/>
          </w:tcPr>
          <w:p w14:paraId="252647E8" w14:textId="77777777" w:rsidR="009229AF" w:rsidRPr="00C07F6E" w:rsidRDefault="009229AF" w:rsidP="00780234">
            <w:pPr>
              <w:pStyle w:val="ExhibitText"/>
              <w:ind w:right="144"/>
              <w:jc w:val="right"/>
            </w:pPr>
            <w:r w:rsidRPr="00C07F6E">
              <w:t>2,319</w:t>
            </w:r>
          </w:p>
        </w:tc>
        <w:tc>
          <w:tcPr>
            <w:tcW w:w="1337" w:type="dxa"/>
            <w:shd w:val="clear" w:color="auto" w:fill="auto"/>
            <w:noWrap/>
            <w:vAlign w:val="bottom"/>
            <w:hideMark/>
          </w:tcPr>
          <w:p w14:paraId="48A166A6" w14:textId="07BBF9EC" w:rsidR="009229AF" w:rsidRPr="00C07F6E" w:rsidRDefault="009229AF" w:rsidP="00780234">
            <w:pPr>
              <w:pStyle w:val="ExhibitText"/>
              <w:ind w:right="144"/>
              <w:jc w:val="right"/>
            </w:pPr>
            <w:r w:rsidRPr="00C07F6E">
              <w:t>8.86</w:t>
            </w:r>
          </w:p>
        </w:tc>
      </w:tr>
      <w:tr w:rsidR="009229AF" w:rsidRPr="00C07F6E" w14:paraId="750D6997" w14:textId="77777777" w:rsidTr="00780234">
        <w:trPr>
          <w:trHeight w:val="88"/>
          <w:jc w:val="center"/>
        </w:trPr>
        <w:tc>
          <w:tcPr>
            <w:tcW w:w="1380" w:type="dxa"/>
            <w:vMerge w:val="restart"/>
            <w:shd w:val="clear" w:color="auto" w:fill="auto"/>
            <w:vAlign w:val="center"/>
            <w:hideMark/>
          </w:tcPr>
          <w:p w14:paraId="593952D2" w14:textId="77777777" w:rsidR="009229AF" w:rsidRPr="00C07F6E" w:rsidRDefault="009229AF" w:rsidP="00255935">
            <w:pPr>
              <w:pStyle w:val="ExhibitText"/>
            </w:pPr>
            <w:r w:rsidRPr="00C07F6E">
              <w:t>One Stop</w:t>
            </w:r>
          </w:p>
        </w:tc>
        <w:tc>
          <w:tcPr>
            <w:tcW w:w="1300" w:type="dxa"/>
            <w:shd w:val="clear" w:color="auto" w:fill="auto"/>
            <w:noWrap/>
            <w:vAlign w:val="center"/>
          </w:tcPr>
          <w:p w14:paraId="072B2A85" w14:textId="77777777" w:rsidR="009229AF" w:rsidRPr="00C07F6E" w:rsidRDefault="009229AF" w:rsidP="00255935">
            <w:pPr>
              <w:pStyle w:val="ExhibitText"/>
              <w:jc w:val="center"/>
            </w:pPr>
            <w:r w:rsidRPr="00C07F6E">
              <w:t>2016</w:t>
            </w:r>
          </w:p>
        </w:tc>
        <w:tc>
          <w:tcPr>
            <w:tcW w:w="1300" w:type="dxa"/>
            <w:shd w:val="clear" w:color="auto" w:fill="auto"/>
            <w:noWrap/>
            <w:vAlign w:val="bottom"/>
          </w:tcPr>
          <w:p w14:paraId="1E0AD6D5" w14:textId="77777777" w:rsidR="009229AF" w:rsidRPr="00C07F6E" w:rsidRDefault="009229AF" w:rsidP="00780234">
            <w:pPr>
              <w:pStyle w:val="ExhibitText"/>
              <w:ind w:right="288"/>
              <w:jc w:val="right"/>
            </w:pPr>
            <w:r w:rsidRPr="00C07F6E">
              <w:t>779</w:t>
            </w:r>
          </w:p>
        </w:tc>
        <w:tc>
          <w:tcPr>
            <w:tcW w:w="1680" w:type="dxa"/>
            <w:shd w:val="clear" w:color="auto" w:fill="auto"/>
            <w:noWrap/>
            <w:vAlign w:val="bottom"/>
          </w:tcPr>
          <w:p w14:paraId="20E06ACB" w14:textId="77777777" w:rsidR="009229AF" w:rsidRPr="00C07F6E" w:rsidRDefault="009229AF" w:rsidP="00780234">
            <w:pPr>
              <w:pStyle w:val="ExhibitText"/>
              <w:ind w:right="144"/>
              <w:jc w:val="right"/>
            </w:pPr>
            <w:r w:rsidRPr="00C07F6E">
              <w:t>1,256,000</w:t>
            </w:r>
          </w:p>
        </w:tc>
        <w:tc>
          <w:tcPr>
            <w:tcW w:w="1400" w:type="dxa"/>
            <w:shd w:val="clear" w:color="auto" w:fill="auto"/>
            <w:noWrap/>
            <w:vAlign w:val="bottom"/>
          </w:tcPr>
          <w:p w14:paraId="5C6DB72D" w14:textId="77777777" w:rsidR="009229AF" w:rsidRPr="00C07F6E" w:rsidRDefault="009229AF" w:rsidP="00780234">
            <w:pPr>
              <w:pStyle w:val="ExhibitText"/>
              <w:ind w:right="144"/>
              <w:jc w:val="right"/>
            </w:pPr>
            <w:r w:rsidRPr="00C07F6E">
              <w:t>1,612</w:t>
            </w:r>
          </w:p>
        </w:tc>
        <w:tc>
          <w:tcPr>
            <w:tcW w:w="1337" w:type="dxa"/>
            <w:shd w:val="clear" w:color="auto" w:fill="auto"/>
            <w:noWrap/>
            <w:vAlign w:val="bottom"/>
          </w:tcPr>
          <w:p w14:paraId="7819137C" w14:textId="582C252F" w:rsidR="009229AF" w:rsidRPr="00C07F6E" w:rsidRDefault="009229AF" w:rsidP="00780234">
            <w:pPr>
              <w:pStyle w:val="ExhibitText"/>
              <w:ind w:right="144"/>
              <w:jc w:val="right"/>
            </w:pPr>
            <w:r w:rsidRPr="00C07F6E">
              <w:t>3.03</w:t>
            </w:r>
          </w:p>
        </w:tc>
      </w:tr>
      <w:tr w:rsidR="009229AF" w:rsidRPr="00C07F6E" w14:paraId="39B3B018" w14:textId="77777777" w:rsidTr="00780234">
        <w:trPr>
          <w:trHeight w:val="47"/>
          <w:jc w:val="center"/>
        </w:trPr>
        <w:tc>
          <w:tcPr>
            <w:tcW w:w="1380" w:type="dxa"/>
            <w:vMerge/>
            <w:vAlign w:val="center"/>
          </w:tcPr>
          <w:p w14:paraId="1E98B547" w14:textId="77777777" w:rsidR="009229AF" w:rsidRPr="00C07F6E" w:rsidRDefault="009229AF" w:rsidP="00255935">
            <w:pPr>
              <w:pStyle w:val="ExhibitText"/>
            </w:pPr>
          </w:p>
        </w:tc>
        <w:tc>
          <w:tcPr>
            <w:tcW w:w="1300" w:type="dxa"/>
            <w:shd w:val="clear" w:color="auto" w:fill="auto"/>
            <w:noWrap/>
            <w:vAlign w:val="bottom"/>
          </w:tcPr>
          <w:p w14:paraId="636F1C2A" w14:textId="77777777" w:rsidR="009229AF" w:rsidRPr="00C07F6E" w:rsidRDefault="009229AF" w:rsidP="00255935">
            <w:pPr>
              <w:pStyle w:val="ExhibitText"/>
              <w:jc w:val="center"/>
            </w:pPr>
            <w:r w:rsidRPr="00C07F6E">
              <w:t>2015</w:t>
            </w:r>
          </w:p>
        </w:tc>
        <w:tc>
          <w:tcPr>
            <w:tcW w:w="1300" w:type="dxa"/>
            <w:shd w:val="clear" w:color="auto" w:fill="auto"/>
            <w:noWrap/>
            <w:vAlign w:val="bottom"/>
          </w:tcPr>
          <w:p w14:paraId="38985A04" w14:textId="77777777" w:rsidR="009229AF" w:rsidRPr="00C07F6E" w:rsidRDefault="009229AF" w:rsidP="00780234">
            <w:pPr>
              <w:pStyle w:val="ExhibitText"/>
              <w:ind w:right="288"/>
              <w:jc w:val="right"/>
            </w:pPr>
            <w:r w:rsidRPr="00C07F6E">
              <w:t>770</w:t>
            </w:r>
          </w:p>
        </w:tc>
        <w:tc>
          <w:tcPr>
            <w:tcW w:w="1680" w:type="dxa"/>
            <w:shd w:val="clear" w:color="auto" w:fill="auto"/>
            <w:noWrap/>
            <w:vAlign w:val="bottom"/>
          </w:tcPr>
          <w:p w14:paraId="47C20E5D" w14:textId="77777777" w:rsidR="009229AF" w:rsidRPr="00C07F6E" w:rsidRDefault="009229AF" w:rsidP="00780234">
            <w:pPr>
              <w:pStyle w:val="ExhibitText"/>
              <w:ind w:right="144"/>
              <w:jc w:val="right"/>
            </w:pPr>
            <w:r w:rsidRPr="00C07F6E">
              <w:t>1,235,000</w:t>
            </w:r>
          </w:p>
        </w:tc>
        <w:tc>
          <w:tcPr>
            <w:tcW w:w="1400" w:type="dxa"/>
            <w:shd w:val="clear" w:color="auto" w:fill="auto"/>
            <w:noWrap/>
            <w:vAlign w:val="bottom"/>
          </w:tcPr>
          <w:p w14:paraId="7AADE77D" w14:textId="77777777" w:rsidR="009229AF" w:rsidRPr="00C07F6E" w:rsidRDefault="009229AF" w:rsidP="00780234">
            <w:pPr>
              <w:pStyle w:val="ExhibitText"/>
              <w:ind w:right="144"/>
              <w:jc w:val="right"/>
            </w:pPr>
            <w:r w:rsidRPr="00C07F6E">
              <w:t>1,604</w:t>
            </w:r>
          </w:p>
        </w:tc>
        <w:tc>
          <w:tcPr>
            <w:tcW w:w="1337" w:type="dxa"/>
            <w:shd w:val="clear" w:color="auto" w:fill="auto"/>
            <w:noWrap/>
            <w:vAlign w:val="bottom"/>
          </w:tcPr>
          <w:p w14:paraId="7C96A137" w14:textId="609565C5" w:rsidR="009229AF" w:rsidRPr="00C07F6E" w:rsidRDefault="009229AF" w:rsidP="00780234">
            <w:pPr>
              <w:pStyle w:val="ExhibitText"/>
              <w:ind w:right="144"/>
              <w:jc w:val="right"/>
            </w:pPr>
            <w:r w:rsidRPr="00C07F6E">
              <w:t>2.92</w:t>
            </w:r>
          </w:p>
        </w:tc>
      </w:tr>
      <w:tr w:rsidR="009229AF" w:rsidRPr="00C07F6E" w14:paraId="40F6D0CC" w14:textId="77777777" w:rsidTr="00780234">
        <w:trPr>
          <w:trHeight w:val="47"/>
          <w:jc w:val="center"/>
        </w:trPr>
        <w:tc>
          <w:tcPr>
            <w:tcW w:w="1380" w:type="dxa"/>
            <w:vMerge/>
            <w:vAlign w:val="center"/>
            <w:hideMark/>
          </w:tcPr>
          <w:p w14:paraId="3D775EF6" w14:textId="77777777" w:rsidR="009229AF" w:rsidRPr="00C07F6E" w:rsidRDefault="009229AF" w:rsidP="00255935">
            <w:pPr>
              <w:pStyle w:val="ExhibitText"/>
            </w:pPr>
          </w:p>
        </w:tc>
        <w:tc>
          <w:tcPr>
            <w:tcW w:w="1300" w:type="dxa"/>
            <w:shd w:val="clear" w:color="auto" w:fill="auto"/>
            <w:noWrap/>
            <w:vAlign w:val="bottom"/>
            <w:hideMark/>
          </w:tcPr>
          <w:p w14:paraId="2782DFD5" w14:textId="77777777" w:rsidR="009229AF" w:rsidRPr="00C07F6E" w:rsidRDefault="009229AF" w:rsidP="00255935">
            <w:pPr>
              <w:pStyle w:val="ExhibitText"/>
              <w:jc w:val="center"/>
            </w:pPr>
            <w:r w:rsidRPr="00C07F6E">
              <w:t>2014</w:t>
            </w:r>
          </w:p>
        </w:tc>
        <w:tc>
          <w:tcPr>
            <w:tcW w:w="1300" w:type="dxa"/>
            <w:shd w:val="clear" w:color="auto" w:fill="auto"/>
            <w:noWrap/>
            <w:vAlign w:val="bottom"/>
            <w:hideMark/>
          </w:tcPr>
          <w:p w14:paraId="62D1A766" w14:textId="77777777" w:rsidR="009229AF" w:rsidRPr="00C07F6E" w:rsidRDefault="009229AF" w:rsidP="00780234">
            <w:pPr>
              <w:pStyle w:val="ExhibitText"/>
              <w:ind w:right="288"/>
              <w:jc w:val="right"/>
            </w:pPr>
            <w:r w:rsidRPr="00C07F6E">
              <w:t>722</w:t>
            </w:r>
          </w:p>
        </w:tc>
        <w:tc>
          <w:tcPr>
            <w:tcW w:w="1680" w:type="dxa"/>
            <w:shd w:val="clear" w:color="auto" w:fill="auto"/>
            <w:noWrap/>
            <w:vAlign w:val="bottom"/>
            <w:hideMark/>
          </w:tcPr>
          <w:p w14:paraId="200FD6AA" w14:textId="77777777" w:rsidR="009229AF" w:rsidRPr="00C07F6E" w:rsidRDefault="009229AF" w:rsidP="00780234">
            <w:pPr>
              <w:pStyle w:val="ExhibitText"/>
              <w:ind w:right="144"/>
              <w:jc w:val="right"/>
            </w:pPr>
            <w:r w:rsidRPr="00C07F6E">
              <w:t>1,142,000</w:t>
            </w:r>
          </w:p>
        </w:tc>
        <w:tc>
          <w:tcPr>
            <w:tcW w:w="1400" w:type="dxa"/>
            <w:shd w:val="clear" w:color="auto" w:fill="auto"/>
            <w:noWrap/>
            <w:vAlign w:val="bottom"/>
            <w:hideMark/>
          </w:tcPr>
          <w:p w14:paraId="1AAAECBC" w14:textId="77777777" w:rsidR="009229AF" w:rsidRPr="00C07F6E" w:rsidRDefault="009229AF" w:rsidP="00780234">
            <w:pPr>
              <w:pStyle w:val="ExhibitText"/>
              <w:ind w:right="144"/>
              <w:jc w:val="right"/>
            </w:pPr>
            <w:r w:rsidRPr="00C07F6E">
              <w:t>1,582</w:t>
            </w:r>
          </w:p>
        </w:tc>
        <w:tc>
          <w:tcPr>
            <w:tcW w:w="1337" w:type="dxa"/>
            <w:shd w:val="clear" w:color="auto" w:fill="auto"/>
            <w:noWrap/>
            <w:vAlign w:val="bottom"/>
            <w:hideMark/>
          </w:tcPr>
          <w:p w14:paraId="2A48ABE2" w14:textId="3F90D554" w:rsidR="009229AF" w:rsidRPr="00C07F6E" w:rsidRDefault="009229AF" w:rsidP="00780234">
            <w:pPr>
              <w:pStyle w:val="ExhibitText"/>
              <w:ind w:right="144"/>
              <w:jc w:val="right"/>
            </w:pPr>
            <w:r w:rsidRPr="00C07F6E">
              <w:t>2.73</w:t>
            </w:r>
          </w:p>
        </w:tc>
      </w:tr>
      <w:tr w:rsidR="009229AF" w:rsidRPr="00C07F6E" w14:paraId="60FECA7B" w14:textId="77777777" w:rsidTr="00780234">
        <w:trPr>
          <w:trHeight w:val="47"/>
          <w:jc w:val="center"/>
        </w:trPr>
        <w:tc>
          <w:tcPr>
            <w:tcW w:w="1380" w:type="dxa"/>
            <w:vMerge/>
            <w:vAlign w:val="center"/>
            <w:hideMark/>
          </w:tcPr>
          <w:p w14:paraId="57B4F7D4" w14:textId="77777777" w:rsidR="009229AF" w:rsidRPr="00C07F6E" w:rsidRDefault="009229AF" w:rsidP="00255935">
            <w:pPr>
              <w:pStyle w:val="ExhibitText"/>
            </w:pPr>
          </w:p>
        </w:tc>
        <w:tc>
          <w:tcPr>
            <w:tcW w:w="1300" w:type="dxa"/>
            <w:shd w:val="clear" w:color="auto" w:fill="auto"/>
            <w:noWrap/>
            <w:vAlign w:val="bottom"/>
            <w:hideMark/>
          </w:tcPr>
          <w:p w14:paraId="54945210" w14:textId="77777777" w:rsidR="009229AF" w:rsidRPr="00C07F6E" w:rsidRDefault="009229AF" w:rsidP="00255935">
            <w:pPr>
              <w:pStyle w:val="ExhibitText"/>
              <w:jc w:val="center"/>
            </w:pPr>
            <w:r w:rsidRPr="00C07F6E">
              <w:t>2013</w:t>
            </w:r>
          </w:p>
        </w:tc>
        <w:tc>
          <w:tcPr>
            <w:tcW w:w="1300" w:type="dxa"/>
            <w:shd w:val="clear" w:color="auto" w:fill="auto"/>
            <w:noWrap/>
            <w:vAlign w:val="bottom"/>
            <w:hideMark/>
          </w:tcPr>
          <w:p w14:paraId="591D05AE" w14:textId="77777777" w:rsidR="009229AF" w:rsidRPr="00C07F6E" w:rsidRDefault="009229AF" w:rsidP="00780234">
            <w:pPr>
              <w:pStyle w:val="ExhibitText"/>
              <w:ind w:right="288"/>
              <w:jc w:val="right"/>
            </w:pPr>
            <w:r w:rsidRPr="00C07F6E">
              <w:t>639</w:t>
            </w:r>
          </w:p>
        </w:tc>
        <w:tc>
          <w:tcPr>
            <w:tcW w:w="1680" w:type="dxa"/>
            <w:shd w:val="clear" w:color="auto" w:fill="auto"/>
            <w:noWrap/>
            <w:vAlign w:val="bottom"/>
            <w:hideMark/>
          </w:tcPr>
          <w:p w14:paraId="496FC432" w14:textId="77777777" w:rsidR="009229AF" w:rsidRPr="00C07F6E" w:rsidRDefault="009229AF" w:rsidP="00780234">
            <w:pPr>
              <w:pStyle w:val="ExhibitText"/>
              <w:ind w:right="144"/>
              <w:jc w:val="right"/>
            </w:pPr>
            <w:r w:rsidRPr="00C07F6E">
              <w:t>991,000</w:t>
            </w:r>
          </w:p>
        </w:tc>
        <w:tc>
          <w:tcPr>
            <w:tcW w:w="1400" w:type="dxa"/>
            <w:shd w:val="clear" w:color="auto" w:fill="auto"/>
            <w:noWrap/>
            <w:vAlign w:val="bottom"/>
            <w:hideMark/>
          </w:tcPr>
          <w:p w14:paraId="5FC67FCA" w14:textId="77777777" w:rsidR="009229AF" w:rsidRPr="00C07F6E" w:rsidRDefault="009229AF" w:rsidP="00780234">
            <w:pPr>
              <w:pStyle w:val="ExhibitText"/>
              <w:ind w:right="144"/>
              <w:jc w:val="right"/>
            </w:pPr>
            <w:r w:rsidRPr="00C07F6E">
              <w:t>1,551</w:t>
            </w:r>
          </w:p>
        </w:tc>
        <w:tc>
          <w:tcPr>
            <w:tcW w:w="1337" w:type="dxa"/>
            <w:shd w:val="clear" w:color="auto" w:fill="auto"/>
            <w:noWrap/>
            <w:vAlign w:val="bottom"/>
            <w:hideMark/>
          </w:tcPr>
          <w:p w14:paraId="5D21491D" w14:textId="07CE4D59" w:rsidR="009229AF" w:rsidRPr="00C07F6E" w:rsidRDefault="009229AF" w:rsidP="00780234">
            <w:pPr>
              <w:pStyle w:val="ExhibitText"/>
              <w:ind w:right="144"/>
              <w:jc w:val="right"/>
            </w:pPr>
            <w:r w:rsidRPr="00C07F6E">
              <w:t>2.45</w:t>
            </w:r>
          </w:p>
        </w:tc>
      </w:tr>
      <w:tr w:rsidR="009229AF" w:rsidRPr="00C07F6E" w14:paraId="3E092EAD" w14:textId="77777777" w:rsidTr="00780234">
        <w:trPr>
          <w:trHeight w:val="47"/>
          <w:jc w:val="center"/>
        </w:trPr>
        <w:tc>
          <w:tcPr>
            <w:tcW w:w="1380" w:type="dxa"/>
            <w:vMerge w:val="restart"/>
            <w:shd w:val="clear" w:color="auto" w:fill="auto"/>
            <w:vAlign w:val="center"/>
            <w:hideMark/>
          </w:tcPr>
          <w:p w14:paraId="29AAAE92" w14:textId="77777777" w:rsidR="009229AF" w:rsidRPr="00C07F6E" w:rsidRDefault="009229AF" w:rsidP="00255935">
            <w:pPr>
              <w:pStyle w:val="ExhibitText"/>
            </w:pPr>
            <w:proofErr w:type="spellStart"/>
            <w:r w:rsidRPr="00C07F6E">
              <w:t>Dobbies</w:t>
            </w:r>
            <w:proofErr w:type="spellEnd"/>
          </w:p>
        </w:tc>
        <w:tc>
          <w:tcPr>
            <w:tcW w:w="1300" w:type="dxa"/>
            <w:shd w:val="clear" w:color="auto" w:fill="auto"/>
            <w:noWrap/>
            <w:vAlign w:val="center"/>
          </w:tcPr>
          <w:p w14:paraId="13F7E15F" w14:textId="77777777" w:rsidR="009229AF" w:rsidRPr="00C07F6E" w:rsidRDefault="009229AF" w:rsidP="00255935">
            <w:pPr>
              <w:pStyle w:val="ExhibitText"/>
              <w:jc w:val="center"/>
            </w:pPr>
            <w:r w:rsidRPr="00C07F6E">
              <w:t>2016</w:t>
            </w:r>
          </w:p>
        </w:tc>
        <w:tc>
          <w:tcPr>
            <w:tcW w:w="1300" w:type="dxa"/>
            <w:shd w:val="clear" w:color="auto" w:fill="auto"/>
            <w:noWrap/>
            <w:vAlign w:val="bottom"/>
          </w:tcPr>
          <w:p w14:paraId="278DB42F" w14:textId="77777777" w:rsidR="009229AF" w:rsidRPr="00C07F6E" w:rsidRDefault="009229AF" w:rsidP="00780234">
            <w:pPr>
              <w:pStyle w:val="ExhibitText"/>
              <w:ind w:right="288"/>
              <w:jc w:val="right"/>
            </w:pPr>
            <w:r w:rsidRPr="00C07F6E">
              <w:t>36</w:t>
            </w:r>
          </w:p>
        </w:tc>
        <w:tc>
          <w:tcPr>
            <w:tcW w:w="1680" w:type="dxa"/>
            <w:shd w:val="clear" w:color="auto" w:fill="auto"/>
            <w:noWrap/>
            <w:vAlign w:val="bottom"/>
          </w:tcPr>
          <w:p w14:paraId="02462B2C" w14:textId="77777777" w:rsidR="009229AF" w:rsidRPr="00C07F6E" w:rsidRDefault="009229AF" w:rsidP="00780234">
            <w:pPr>
              <w:pStyle w:val="ExhibitText"/>
              <w:ind w:right="144"/>
              <w:jc w:val="right"/>
            </w:pPr>
            <w:r w:rsidRPr="00C07F6E">
              <w:t>1,652,000</w:t>
            </w:r>
          </w:p>
        </w:tc>
        <w:tc>
          <w:tcPr>
            <w:tcW w:w="1400" w:type="dxa"/>
            <w:shd w:val="clear" w:color="auto" w:fill="auto"/>
            <w:noWrap/>
            <w:vAlign w:val="bottom"/>
          </w:tcPr>
          <w:p w14:paraId="58F2DE05" w14:textId="77777777" w:rsidR="009229AF" w:rsidRPr="00C07F6E" w:rsidRDefault="009229AF" w:rsidP="00780234">
            <w:pPr>
              <w:pStyle w:val="ExhibitText"/>
              <w:ind w:right="144"/>
              <w:jc w:val="right"/>
            </w:pPr>
            <w:r w:rsidRPr="00C07F6E">
              <w:t>45,889</w:t>
            </w:r>
          </w:p>
        </w:tc>
        <w:tc>
          <w:tcPr>
            <w:tcW w:w="1337" w:type="dxa"/>
            <w:shd w:val="clear" w:color="auto" w:fill="auto"/>
            <w:noWrap/>
            <w:vAlign w:val="bottom"/>
          </w:tcPr>
          <w:p w14:paraId="783C5802" w14:textId="1593E52E" w:rsidR="009229AF" w:rsidRPr="00C07F6E" w:rsidRDefault="009229AF" w:rsidP="00780234">
            <w:pPr>
              <w:pStyle w:val="ExhibitText"/>
              <w:ind w:right="144"/>
              <w:jc w:val="right"/>
            </w:pPr>
            <w:r w:rsidRPr="00C07F6E">
              <w:t>3.98</w:t>
            </w:r>
          </w:p>
        </w:tc>
      </w:tr>
      <w:tr w:rsidR="009229AF" w:rsidRPr="00C07F6E" w14:paraId="46110B55" w14:textId="77777777" w:rsidTr="00780234">
        <w:trPr>
          <w:trHeight w:val="47"/>
          <w:jc w:val="center"/>
        </w:trPr>
        <w:tc>
          <w:tcPr>
            <w:tcW w:w="1380" w:type="dxa"/>
            <w:vMerge/>
            <w:vAlign w:val="center"/>
          </w:tcPr>
          <w:p w14:paraId="015076B2" w14:textId="77777777" w:rsidR="009229AF" w:rsidRPr="00C07F6E" w:rsidRDefault="009229AF" w:rsidP="00255935">
            <w:pPr>
              <w:pStyle w:val="ExhibitText"/>
            </w:pPr>
          </w:p>
        </w:tc>
        <w:tc>
          <w:tcPr>
            <w:tcW w:w="1300" w:type="dxa"/>
            <w:shd w:val="clear" w:color="auto" w:fill="auto"/>
            <w:noWrap/>
            <w:vAlign w:val="bottom"/>
          </w:tcPr>
          <w:p w14:paraId="06E647F6" w14:textId="77777777" w:rsidR="009229AF" w:rsidRPr="00C07F6E" w:rsidRDefault="009229AF" w:rsidP="00255935">
            <w:pPr>
              <w:pStyle w:val="ExhibitText"/>
              <w:jc w:val="center"/>
            </w:pPr>
            <w:r w:rsidRPr="00C07F6E">
              <w:t>2015</w:t>
            </w:r>
          </w:p>
        </w:tc>
        <w:tc>
          <w:tcPr>
            <w:tcW w:w="1300" w:type="dxa"/>
            <w:shd w:val="clear" w:color="auto" w:fill="auto"/>
            <w:noWrap/>
            <w:vAlign w:val="bottom"/>
          </w:tcPr>
          <w:p w14:paraId="4B634BCF" w14:textId="77777777" w:rsidR="009229AF" w:rsidRPr="00C07F6E" w:rsidRDefault="009229AF" w:rsidP="00780234">
            <w:pPr>
              <w:pStyle w:val="ExhibitText"/>
              <w:ind w:right="288"/>
              <w:jc w:val="right"/>
            </w:pPr>
            <w:r w:rsidRPr="00C07F6E">
              <w:t>35</w:t>
            </w:r>
          </w:p>
        </w:tc>
        <w:tc>
          <w:tcPr>
            <w:tcW w:w="1680" w:type="dxa"/>
            <w:shd w:val="clear" w:color="auto" w:fill="auto"/>
            <w:noWrap/>
            <w:vAlign w:val="bottom"/>
          </w:tcPr>
          <w:p w14:paraId="3B602652" w14:textId="77777777" w:rsidR="009229AF" w:rsidRPr="00C07F6E" w:rsidRDefault="009229AF" w:rsidP="00780234">
            <w:pPr>
              <w:pStyle w:val="ExhibitText"/>
              <w:ind w:right="144"/>
              <w:jc w:val="right"/>
            </w:pPr>
            <w:r w:rsidRPr="00C07F6E">
              <w:t>1,648,000</w:t>
            </w:r>
          </w:p>
        </w:tc>
        <w:tc>
          <w:tcPr>
            <w:tcW w:w="1400" w:type="dxa"/>
            <w:shd w:val="clear" w:color="auto" w:fill="auto"/>
            <w:noWrap/>
            <w:vAlign w:val="bottom"/>
          </w:tcPr>
          <w:p w14:paraId="72AAD8F9" w14:textId="77777777" w:rsidR="009229AF" w:rsidRPr="00C07F6E" w:rsidRDefault="009229AF" w:rsidP="00780234">
            <w:pPr>
              <w:pStyle w:val="ExhibitText"/>
              <w:ind w:right="144"/>
              <w:jc w:val="right"/>
            </w:pPr>
            <w:r w:rsidRPr="00C07F6E">
              <w:t>47,086</w:t>
            </w:r>
          </w:p>
        </w:tc>
        <w:tc>
          <w:tcPr>
            <w:tcW w:w="1337" w:type="dxa"/>
            <w:shd w:val="clear" w:color="auto" w:fill="auto"/>
            <w:noWrap/>
            <w:vAlign w:val="bottom"/>
          </w:tcPr>
          <w:p w14:paraId="1F52C9B6" w14:textId="73AFC39E" w:rsidR="009229AF" w:rsidRPr="00C07F6E" w:rsidRDefault="009229AF" w:rsidP="00780234">
            <w:pPr>
              <w:pStyle w:val="ExhibitText"/>
              <w:ind w:right="144"/>
              <w:jc w:val="right"/>
            </w:pPr>
            <w:r w:rsidRPr="00C07F6E">
              <w:t>3.90</w:t>
            </w:r>
          </w:p>
        </w:tc>
      </w:tr>
      <w:tr w:rsidR="009229AF" w:rsidRPr="00C07F6E" w14:paraId="544ECCE0" w14:textId="77777777" w:rsidTr="00780234">
        <w:trPr>
          <w:trHeight w:val="66"/>
          <w:jc w:val="center"/>
        </w:trPr>
        <w:tc>
          <w:tcPr>
            <w:tcW w:w="1380" w:type="dxa"/>
            <w:vMerge/>
            <w:vAlign w:val="center"/>
            <w:hideMark/>
          </w:tcPr>
          <w:p w14:paraId="16EC88E8" w14:textId="77777777" w:rsidR="009229AF" w:rsidRPr="00C07F6E" w:rsidRDefault="009229AF" w:rsidP="00255935">
            <w:pPr>
              <w:pStyle w:val="ExhibitText"/>
            </w:pPr>
          </w:p>
        </w:tc>
        <w:tc>
          <w:tcPr>
            <w:tcW w:w="1300" w:type="dxa"/>
            <w:shd w:val="clear" w:color="auto" w:fill="auto"/>
            <w:noWrap/>
            <w:vAlign w:val="bottom"/>
            <w:hideMark/>
          </w:tcPr>
          <w:p w14:paraId="0B4CFBA2" w14:textId="77777777" w:rsidR="009229AF" w:rsidRPr="00C07F6E" w:rsidRDefault="009229AF" w:rsidP="00255935">
            <w:pPr>
              <w:pStyle w:val="ExhibitText"/>
              <w:jc w:val="center"/>
            </w:pPr>
            <w:r w:rsidRPr="00C07F6E">
              <w:t>2014</w:t>
            </w:r>
          </w:p>
        </w:tc>
        <w:tc>
          <w:tcPr>
            <w:tcW w:w="1300" w:type="dxa"/>
            <w:shd w:val="clear" w:color="auto" w:fill="auto"/>
            <w:noWrap/>
            <w:vAlign w:val="bottom"/>
            <w:hideMark/>
          </w:tcPr>
          <w:p w14:paraId="235E370B" w14:textId="77777777" w:rsidR="009229AF" w:rsidRPr="00C07F6E" w:rsidRDefault="009229AF" w:rsidP="00780234">
            <w:pPr>
              <w:pStyle w:val="ExhibitText"/>
              <w:ind w:right="288"/>
              <w:jc w:val="right"/>
            </w:pPr>
            <w:r w:rsidRPr="00C07F6E">
              <w:t>34</w:t>
            </w:r>
          </w:p>
        </w:tc>
        <w:tc>
          <w:tcPr>
            <w:tcW w:w="1680" w:type="dxa"/>
            <w:shd w:val="clear" w:color="auto" w:fill="auto"/>
            <w:noWrap/>
            <w:vAlign w:val="bottom"/>
            <w:hideMark/>
          </w:tcPr>
          <w:p w14:paraId="70725585" w14:textId="77777777" w:rsidR="009229AF" w:rsidRPr="00C07F6E" w:rsidRDefault="009229AF" w:rsidP="00780234">
            <w:pPr>
              <w:pStyle w:val="ExhibitText"/>
              <w:ind w:right="144"/>
              <w:jc w:val="right"/>
            </w:pPr>
            <w:r w:rsidRPr="00C07F6E">
              <w:t>1,638,000</w:t>
            </w:r>
          </w:p>
        </w:tc>
        <w:tc>
          <w:tcPr>
            <w:tcW w:w="1400" w:type="dxa"/>
            <w:shd w:val="clear" w:color="auto" w:fill="auto"/>
            <w:noWrap/>
            <w:vAlign w:val="bottom"/>
            <w:hideMark/>
          </w:tcPr>
          <w:p w14:paraId="6D47B5D1" w14:textId="77777777" w:rsidR="009229AF" w:rsidRPr="00C07F6E" w:rsidRDefault="009229AF" w:rsidP="00780234">
            <w:pPr>
              <w:pStyle w:val="ExhibitText"/>
              <w:ind w:right="144"/>
              <w:jc w:val="right"/>
            </w:pPr>
            <w:r w:rsidRPr="00C07F6E">
              <w:t>48,176</w:t>
            </w:r>
          </w:p>
        </w:tc>
        <w:tc>
          <w:tcPr>
            <w:tcW w:w="1337" w:type="dxa"/>
            <w:shd w:val="clear" w:color="auto" w:fill="auto"/>
            <w:noWrap/>
            <w:vAlign w:val="bottom"/>
            <w:hideMark/>
          </w:tcPr>
          <w:p w14:paraId="7316FF58" w14:textId="73FB0A19" w:rsidR="009229AF" w:rsidRPr="00C07F6E" w:rsidRDefault="009229AF" w:rsidP="00780234">
            <w:pPr>
              <w:pStyle w:val="ExhibitText"/>
              <w:ind w:right="144"/>
              <w:jc w:val="right"/>
            </w:pPr>
            <w:r w:rsidRPr="00C07F6E">
              <w:t>3.92</w:t>
            </w:r>
          </w:p>
        </w:tc>
      </w:tr>
      <w:tr w:rsidR="009229AF" w:rsidRPr="00C07F6E" w14:paraId="24101592" w14:textId="77777777" w:rsidTr="00780234">
        <w:trPr>
          <w:trHeight w:val="47"/>
          <w:jc w:val="center"/>
        </w:trPr>
        <w:tc>
          <w:tcPr>
            <w:tcW w:w="1380" w:type="dxa"/>
            <w:vMerge/>
            <w:vAlign w:val="center"/>
            <w:hideMark/>
          </w:tcPr>
          <w:p w14:paraId="6E169B98" w14:textId="77777777" w:rsidR="009229AF" w:rsidRPr="00C07F6E" w:rsidRDefault="009229AF" w:rsidP="00255935">
            <w:pPr>
              <w:pStyle w:val="ExhibitText"/>
            </w:pPr>
          </w:p>
        </w:tc>
        <w:tc>
          <w:tcPr>
            <w:tcW w:w="1300" w:type="dxa"/>
            <w:shd w:val="clear" w:color="auto" w:fill="auto"/>
            <w:noWrap/>
            <w:vAlign w:val="bottom"/>
            <w:hideMark/>
          </w:tcPr>
          <w:p w14:paraId="745BF779" w14:textId="77777777" w:rsidR="009229AF" w:rsidRPr="00C07F6E" w:rsidRDefault="009229AF" w:rsidP="00255935">
            <w:pPr>
              <w:pStyle w:val="ExhibitText"/>
              <w:jc w:val="center"/>
            </w:pPr>
            <w:r w:rsidRPr="00C07F6E">
              <w:t>2013</w:t>
            </w:r>
          </w:p>
        </w:tc>
        <w:tc>
          <w:tcPr>
            <w:tcW w:w="1300" w:type="dxa"/>
            <w:shd w:val="clear" w:color="auto" w:fill="auto"/>
            <w:noWrap/>
            <w:vAlign w:val="bottom"/>
            <w:hideMark/>
          </w:tcPr>
          <w:p w14:paraId="0731D479" w14:textId="77777777" w:rsidR="009229AF" w:rsidRPr="00C07F6E" w:rsidRDefault="009229AF" w:rsidP="00780234">
            <w:pPr>
              <w:pStyle w:val="ExhibitText"/>
              <w:ind w:right="288"/>
              <w:jc w:val="right"/>
            </w:pPr>
            <w:r w:rsidRPr="00C07F6E">
              <w:t>32</w:t>
            </w:r>
          </w:p>
        </w:tc>
        <w:tc>
          <w:tcPr>
            <w:tcW w:w="1680" w:type="dxa"/>
            <w:shd w:val="clear" w:color="auto" w:fill="auto"/>
            <w:noWrap/>
            <w:vAlign w:val="bottom"/>
            <w:hideMark/>
          </w:tcPr>
          <w:p w14:paraId="1DB0CEA5" w14:textId="77777777" w:rsidR="009229AF" w:rsidRPr="00C07F6E" w:rsidRDefault="009229AF" w:rsidP="00780234">
            <w:pPr>
              <w:pStyle w:val="ExhibitText"/>
              <w:ind w:right="144"/>
              <w:jc w:val="right"/>
            </w:pPr>
            <w:r w:rsidRPr="00C07F6E">
              <w:t>1,540,000</w:t>
            </w:r>
          </w:p>
        </w:tc>
        <w:tc>
          <w:tcPr>
            <w:tcW w:w="1400" w:type="dxa"/>
            <w:shd w:val="clear" w:color="auto" w:fill="auto"/>
            <w:noWrap/>
            <w:vAlign w:val="bottom"/>
            <w:hideMark/>
          </w:tcPr>
          <w:p w14:paraId="22F45B9F" w14:textId="77777777" w:rsidR="009229AF" w:rsidRPr="00C07F6E" w:rsidRDefault="009229AF" w:rsidP="00780234">
            <w:pPr>
              <w:pStyle w:val="ExhibitText"/>
              <w:ind w:right="144"/>
              <w:jc w:val="right"/>
            </w:pPr>
            <w:r w:rsidRPr="00C07F6E">
              <w:t>48,125</w:t>
            </w:r>
          </w:p>
        </w:tc>
        <w:tc>
          <w:tcPr>
            <w:tcW w:w="1337" w:type="dxa"/>
            <w:shd w:val="clear" w:color="auto" w:fill="auto"/>
            <w:noWrap/>
            <w:vAlign w:val="bottom"/>
            <w:hideMark/>
          </w:tcPr>
          <w:p w14:paraId="136BA7C6" w14:textId="461C3802" w:rsidR="009229AF" w:rsidRPr="00C07F6E" w:rsidRDefault="009229AF" w:rsidP="00780234">
            <w:pPr>
              <w:pStyle w:val="ExhibitText"/>
              <w:ind w:right="144"/>
              <w:jc w:val="right"/>
            </w:pPr>
            <w:r w:rsidRPr="00C07F6E">
              <w:t>3.80</w:t>
            </w:r>
          </w:p>
        </w:tc>
      </w:tr>
      <w:tr w:rsidR="009229AF" w:rsidRPr="00C07F6E" w14:paraId="40297F93" w14:textId="77777777" w:rsidTr="00780234">
        <w:trPr>
          <w:trHeight w:val="47"/>
          <w:jc w:val="center"/>
        </w:trPr>
        <w:tc>
          <w:tcPr>
            <w:tcW w:w="1380" w:type="dxa"/>
            <w:vMerge w:val="restart"/>
            <w:shd w:val="clear" w:color="auto" w:fill="auto"/>
            <w:vAlign w:val="center"/>
            <w:hideMark/>
          </w:tcPr>
          <w:p w14:paraId="18185630" w14:textId="77777777" w:rsidR="009229AF" w:rsidRPr="00C07F6E" w:rsidRDefault="009229AF" w:rsidP="00255935">
            <w:pPr>
              <w:pStyle w:val="ExhibitText"/>
            </w:pPr>
            <w:r w:rsidRPr="00C07F6E">
              <w:t>Tesco Dotcom</w:t>
            </w:r>
          </w:p>
        </w:tc>
        <w:tc>
          <w:tcPr>
            <w:tcW w:w="1300" w:type="dxa"/>
            <w:shd w:val="clear" w:color="auto" w:fill="auto"/>
            <w:noWrap/>
            <w:vAlign w:val="center"/>
          </w:tcPr>
          <w:p w14:paraId="78AF223C" w14:textId="77777777" w:rsidR="009229AF" w:rsidRPr="00C07F6E" w:rsidRDefault="009229AF" w:rsidP="00255935">
            <w:pPr>
              <w:pStyle w:val="ExhibitText"/>
              <w:jc w:val="center"/>
            </w:pPr>
            <w:r w:rsidRPr="00C07F6E">
              <w:t>2016</w:t>
            </w:r>
          </w:p>
        </w:tc>
        <w:tc>
          <w:tcPr>
            <w:tcW w:w="1300" w:type="dxa"/>
            <w:shd w:val="clear" w:color="auto" w:fill="auto"/>
            <w:noWrap/>
            <w:vAlign w:val="bottom"/>
          </w:tcPr>
          <w:p w14:paraId="71C15DD7" w14:textId="77777777" w:rsidR="009229AF" w:rsidRPr="00C07F6E" w:rsidRDefault="009229AF" w:rsidP="00780234">
            <w:pPr>
              <w:pStyle w:val="ExhibitText"/>
              <w:ind w:right="288"/>
              <w:jc w:val="right"/>
            </w:pPr>
            <w:r w:rsidRPr="00C07F6E">
              <w:t>6</w:t>
            </w:r>
          </w:p>
        </w:tc>
        <w:tc>
          <w:tcPr>
            <w:tcW w:w="1680" w:type="dxa"/>
            <w:shd w:val="clear" w:color="auto" w:fill="auto"/>
            <w:noWrap/>
            <w:vAlign w:val="bottom"/>
          </w:tcPr>
          <w:p w14:paraId="2239FFA9" w14:textId="77777777" w:rsidR="009229AF" w:rsidRPr="00C07F6E" w:rsidRDefault="009229AF" w:rsidP="00780234">
            <w:pPr>
              <w:pStyle w:val="ExhibitText"/>
              <w:ind w:right="144"/>
              <w:jc w:val="right"/>
            </w:pPr>
            <w:r w:rsidRPr="00C07F6E">
              <w:t>716,000</w:t>
            </w:r>
          </w:p>
        </w:tc>
        <w:tc>
          <w:tcPr>
            <w:tcW w:w="1400" w:type="dxa"/>
            <w:shd w:val="clear" w:color="auto" w:fill="auto"/>
            <w:noWrap/>
            <w:vAlign w:val="bottom"/>
          </w:tcPr>
          <w:p w14:paraId="2611C84B" w14:textId="77777777" w:rsidR="009229AF" w:rsidRPr="00C07F6E" w:rsidRDefault="009229AF" w:rsidP="00780234">
            <w:pPr>
              <w:pStyle w:val="ExhibitText"/>
              <w:ind w:right="144"/>
              <w:jc w:val="right"/>
            </w:pPr>
            <w:r w:rsidRPr="00C07F6E">
              <w:t>119,333</w:t>
            </w:r>
          </w:p>
        </w:tc>
        <w:tc>
          <w:tcPr>
            <w:tcW w:w="1337" w:type="dxa"/>
            <w:shd w:val="clear" w:color="auto" w:fill="auto"/>
            <w:noWrap/>
            <w:vAlign w:val="bottom"/>
          </w:tcPr>
          <w:p w14:paraId="133DAD2E" w14:textId="6D3FFCB2" w:rsidR="009229AF" w:rsidRPr="00C07F6E" w:rsidRDefault="009229AF" w:rsidP="00780234">
            <w:pPr>
              <w:pStyle w:val="ExhibitText"/>
              <w:ind w:right="144"/>
              <w:jc w:val="right"/>
            </w:pPr>
            <w:r w:rsidRPr="00C07F6E">
              <w:t>1.72</w:t>
            </w:r>
          </w:p>
        </w:tc>
      </w:tr>
      <w:tr w:rsidR="009229AF" w:rsidRPr="00C07F6E" w14:paraId="694C6178" w14:textId="77777777" w:rsidTr="00780234">
        <w:trPr>
          <w:trHeight w:val="62"/>
          <w:jc w:val="center"/>
        </w:trPr>
        <w:tc>
          <w:tcPr>
            <w:tcW w:w="1380" w:type="dxa"/>
            <w:vMerge/>
            <w:vAlign w:val="center"/>
          </w:tcPr>
          <w:p w14:paraId="130FF748" w14:textId="77777777" w:rsidR="009229AF" w:rsidRPr="00C07F6E" w:rsidRDefault="009229AF" w:rsidP="00255935">
            <w:pPr>
              <w:pStyle w:val="ExhibitText"/>
            </w:pPr>
          </w:p>
        </w:tc>
        <w:tc>
          <w:tcPr>
            <w:tcW w:w="1300" w:type="dxa"/>
            <w:shd w:val="clear" w:color="auto" w:fill="auto"/>
            <w:noWrap/>
            <w:vAlign w:val="bottom"/>
          </w:tcPr>
          <w:p w14:paraId="668E4691" w14:textId="77777777" w:rsidR="009229AF" w:rsidRPr="00C07F6E" w:rsidRDefault="009229AF" w:rsidP="00255935">
            <w:pPr>
              <w:pStyle w:val="ExhibitText"/>
              <w:jc w:val="center"/>
            </w:pPr>
            <w:r w:rsidRPr="00C07F6E">
              <w:t>2015</w:t>
            </w:r>
          </w:p>
        </w:tc>
        <w:tc>
          <w:tcPr>
            <w:tcW w:w="1300" w:type="dxa"/>
            <w:shd w:val="clear" w:color="auto" w:fill="auto"/>
            <w:noWrap/>
            <w:vAlign w:val="bottom"/>
          </w:tcPr>
          <w:p w14:paraId="7B361877" w14:textId="77777777" w:rsidR="009229AF" w:rsidRPr="00C07F6E" w:rsidRDefault="009229AF" w:rsidP="00780234">
            <w:pPr>
              <w:pStyle w:val="ExhibitText"/>
              <w:ind w:right="288"/>
              <w:jc w:val="right"/>
            </w:pPr>
            <w:r w:rsidRPr="00C07F6E">
              <w:t>6</w:t>
            </w:r>
          </w:p>
        </w:tc>
        <w:tc>
          <w:tcPr>
            <w:tcW w:w="1680" w:type="dxa"/>
            <w:shd w:val="clear" w:color="auto" w:fill="auto"/>
            <w:noWrap/>
            <w:vAlign w:val="bottom"/>
          </w:tcPr>
          <w:p w14:paraId="65558DBB" w14:textId="77777777" w:rsidR="009229AF" w:rsidRPr="00C07F6E" w:rsidRDefault="009229AF" w:rsidP="00780234">
            <w:pPr>
              <w:pStyle w:val="ExhibitText"/>
              <w:ind w:right="144"/>
              <w:jc w:val="right"/>
            </w:pPr>
            <w:r w:rsidRPr="00C07F6E">
              <w:t>716,000</w:t>
            </w:r>
          </w:p>
        </w:tc>
        <w:tc>
          <w:tcPr>
            <w:tcW w:w="1400" w:type="dxa"/>
            <w:shd w:val="clear" w:color="auto" w:fill="auto"/>
            <w:noWrap/>
            <w:vAlign w:val="bottom"/>
          </w:tcPr>
          <w:p w14:paraId="1E2B2C8E" w14:textId="77777777" w:rsidR="009229AF" w:rsidRPr="00C07F6E" w:rsidRDefault="009229AF" w:rsidP="00780234">
            <w:pPr>
              <w:pStyle w:val="ExhibitText"/>
              <w:ind w:right="144"/>
              <w:jc w:val="right"/>
            </w:pPr>
            <w:r w:rsidRPr="00C07F6E">
              <w:t>119,333</w:t>
            </w:r>
          </w:p>
        </w:tc>
        <w:tc>
          <w:tcPr>
            <w:tcW w:w="1337" w:type="dxa"/>
            <w:shd w:val="clear" w:color="auto" w:fill="auto"/>
            <w:noWrap/>
            <w:vAlign w:val="bottom"/>
          </w:tcPr>
          <w:p w14:paraId="79591375" w14:textId="200D8D97" w:rsidR="009229AF" w:rsidRPr="00C07F6E" w:rsidRDefault="009229AF" w:rsidP="00780234">
            <w:pPr>
              <w:pStyle w:val="ExhibitText"/>
              <w:ind w:right="144"/>
              <w:jc w:val="right"/>
            </w:pPr>
            <w:r w:rsidRPr="00C07F6E">
              <w:t>1.69</w:t>
            </w:r>
          </w:p>
        </w:tc>
      </w:tr>
      <w:tr w:rsidR="009229AF" w:rsidRPr="00C07F6E" w14:paraId="33ECEB39" w14:textId="77777777" w:rsidTr="00780234">
        <w:trPr>
          <w:trHeight w:val="47"/>
          <w:jc w:val="center"/>
        </w:trPr>
        <w:tc>
          <w:tcPr>
            <w:tcW w:w="1380" w:type="dxa"/>
            <w:vMerge/>
            <w:vAlign w:val="center"/>
            <w:hideMark/>
          </w:tcPr>
          <w:p w14:paraId="32441D13" w14:textId="77777777" w:rsidR="009229AF" w:rsidRPr="00C07F6E" w:rsidRDefault="009229AF" w:rsidP="00255935">
            <w:pPr>
              <w:pStyle w:val="ExhibitText"/>
            </w:pPr>
          </w:p>
        </w:tc>
        <w:tc>
          <w:tcPr>
            <w:tcW w:w="1300" w:type="dxa"/>
            <w:shd w:val="clear" w:color="auto" w:fill="auto"/>
            <w:noWrap/>
            <w:vAlign w:val="bottom"/>
            <w:hideMark/>
          </w:tcPr>
          <w:p w14:paraId="7A1C2BA1" w14:textId="77777777" w:rsidR="009229AF" w:rsidRPr="00C07F6E" w:rsidRDefault="009229AF" w:rsidP="00255935">
            <w:pPr>
              <w:pStyle w:val="ExhibitText"/>
              <w:jc w:val="center"/>
            </w:pPr>
            <w:r w:rsidRPr="00C07F6E">
              <w:t>2014</w:t>
            </w:r>
          </w:p>
        </w:tc>
        <w:tc>
          <w:tcPr>
            <w:tcW w:w="1300" w:type="dxa"/>
            <w:shd w:val="clear" w:color="auto" w:fill="auto"/>
            <w:noWrap/>
            <w:vAlign w:val="bottom"/>
            <w:hideMark/>
          </w:tcPr>
          <w:p w14:paraId="25C2B581" w14:textId="77777777" w:rsidR="009229AF" w:rsidRPr="00C07F6E" w:rsidRDefault="009229AF" w:rsidP="00780234">
            <w:pPr>
              <w:pStyle w:val="ExhibitText"/>
              <w:ind w:right="288"/>
              <w:jc w:val="right"/>
            </w:pPr>
            <w:r w:rsidRPr="00C07F6E">
              <w:t>6</w:t>
            </w:r>
          </w:p>
        </w:tc>
        <w:tc>
          <w:tcPr>
            <w:tcW w:w="1680" w:type="dxa"/>
            <w:shd w:val="clear" w:color="auto" w:fill="auto"/>
            <w:noWrap/>
            <w:vAlign w:val="bottom"/>
            <w:hideMark/>
          </w:tcPr>
          <w:p w14:paraId="39B9CCA3" w14:textId="77777777" w:rsidR="009229AF" w:rsidRPr="00C07F6E" w:rsidRDefault="009229AF" w:rsidP="00780234">
            <w:pPr>
              <w:pStyle w:val="ExhibitText"/>
              <w:ind w:right="144"/>
              <w:jc w:val="right"/>
            </w:pPr>
            <w:r w:rsidRPr="00C07F6E">
              <w:t>716,000</w:t>
            </w:r>
          </w:p>
        </w:tc>
        <w:tc>
          <w:tcPr>
            <w:tcW w:w="1400" w:type="dxa"/>
            <w:shd w:val="clear" w:color="auto" w:fill="auto"/>
            <w:noWrap/>
            <w:vAlign w:val="bottom"/>
            <w:hideMark/>
          </w:tcPr>
          <w:p w14:paraId="27EC5A97" w14:textId="77777777" w:rsidR="009229AF" w:rsidRPr="00C07F6E" w:rsidRDefault="009229AF" w:rsidP="00780234">
            <w:pPr>
              <w:pStyle w:val="ExhibitText"/>
              <w:ind w:right="144"/>
              <w:jc w:val="right"/>
            </w:pPr>
            <w:r w:rsidRPr="00C07F6E">
              <w:t>119,333</w:t>
            </w:r>
          </w:p>
        </w:tc>
        <w:tc>
          <w:tcPr>
            <w:tcW w:w="1337" w:type="dxa"/>
            <w:shd w:val="clear" w:color="auto" w:fill="auto"/>
            <w:noWrap/>
            <w:vAlign w:val="bottom"/>
            <w:hideMark/>
          </w:tcPr>
          <w:p w14:paraId="315C105F" w14:textId="058DB3B5" w:rsidR="009229AF" w:rsidRPr="00C07F6E" w:rsidRDefault="009229AF" w:rsidP="00780234">
            <w:pPr>
              <w:pStyle w:val="ExhibitText"/>
              <w:ind w:right="144"/>
              <w:jc w:val="right"/>
            </w:pPr>
            <w:r w:rsidRPr="00C07F6E">
              <w:t>1.71</w:t>
            </w:r>
          </w:p>
        </w:tc>
      </w:tr>
      <w:tr w:rsidR="009229AF" w:rsidRPr="00C07F6E" w14:paraId="5D72A0A9" w14:textId="77777777" w:rsidTr="00780234">
        <w:trPr>
          <w:trHeight w:val="47"/>
          <w:jc w:val="center"/>
        </w:trPr>
        <w:tc>
          <w:tcPr>
            <w:tcW w:w="1380" w:type="dxa"/>
            <w:vMerge/>
            <w:vAlign w:val="center"/>
            <w:hideMark/>
          </w:tcPr>
          <w:p w14:paraId="2308B3F7" w14:textId="77777777" w:rsidR="009229AF" w:rsidRPr="00C07F6E" w:rsidRDefault="009229AF" w:rsidP="00255935">
            <w:pPr>
              <w:pStyle w:val="ExhibitText"/>
            </w:pPr>
          </w:p>
        </w:tc>
        <w:tc>
          <w:tcPr>
            <w:tcW w:w="1300" w:type="dxa"/>
            <w:shd w:val="clear" w:color="auto" w:fill="auto"/>
            <w:noWrap/>
            <w:vAlign w:val="bottom"/>
            <w:hideMark/>
          </w:tcPr>
          <w:p w14:paraId="1FECBE6F" w14:textId="77777777" w:rsidR="009229AF" w:rsidRPr="00C07F6E" w:rsidRDefault="009229AF" w:rsidP="00255935">
            <w:pPr>
              <w:pStyle w:val="ExhibitText"/>
              <w:jc w:val="center"/>
            </w:pPr>
            <w:r w:rsidRPr="00C07F6E">
              <w:t>2013</w:t>
            </w:r>
          </w:p>
        </w:tc>
        <w:tc>
          <w:tcPr>
            <w:tcW w:w="1300" w:type="dxa"/>
            <w:shd w:val="clear" w:color="auto" w:fill="auto"/>
            <w:noWrap/>
            <w:vAlign w:val="bottom"/>
            <w:hideMark/>
          </w:tcPr>
          <w:p w14:paraId="58526889" w14:textId="77777777" w:rsidR="009229AF" w:rsidRPr="00C07F6E" w:rsidRDefault="009229AF" w:rsidP="00780234">
            <w:pPr>
              <w:pStyle w:val="ExhibitText"/>
              <w:ind w:right="288"/>
              <w:jc w:val="right"/>
            </w:pPr>
            <w:r w:rsidRPr="00C07F6E">
              <w:t>5</w:t>
            </w:r>
          </w:p>
        </w:tc>
        <w:tc>
          <w:tcPr>
            <w:tcW w:w="1680" w:type="dxa"/>
            <w:shd w:val="clear" w:color="auto" w:fill="auto"/>
            <w:noWrap/>
            <w:vAlign w:val="bottom"/>
            <w:hideMark/>
          </w:tcPr>
          <w:p w14:paraId="6C814328" w14:textId="77777777" w:rsidR="009229AF" w:rsidRPr="00C07F6E" w:rsidRDefault="009229AF" w:rsidP="00780234">
            <w:pPr>
              <w:pStyle w:val="ExhibitText"/>
              <w:ind w:right="144"/>
              <w:jc w:val="right"/>
            </w:pPr>
            <w:r w:rsidRPr="00C07F6E">
              <w:t>604,000</w:t>
            </w:r>
          </w:p>
        </w:tc>
        <w:tc>
          <w:tcPr>
            <w:tcW w:w="1400" w:type="dxa"/>
            <w:shd w:val="clear" w:color="auto" w:fill="auto"/>
            <w:noWrap/>
            <w:vAlign w:val="bottom"/>
            <w:hideMark/>
          </w:tcPr>
          <w:p w14:paraId="35FA4B3F" w14:textId="77777777" w:rsidR="009229AF" w:rsidRPr="00C07F6E" w:rsidRDefault="009229AF" w:rsidP="00780234">
            <w:pPr>
              <w:pStyle w:val="ExhibitText"/>
              <w:ind w:right="144"/>
              <w:jc w:val="right"/>
            </w:pPr>
            <w:r w:rsidRPr="00C07F6E">
              <w:t>120,800</w:t>
            </w:r>
          </w:p>
        </w:tc>
        <w:tc>
          <w:tcPr>
            <w:tcW w:w="1337" w:type="dxa"/>
            <w:shd w:val="clear" w:color="auto" w:fill="auto"/>
            <w:noWrap/>
            <w:vAlign w:val="bottom"/>
            <w:hideMark/>
          </w:tcPr>
          <w:p w14:paraId="5E257126" w14:textId="313E45AF" w:rsidR="009229AF" w:rsidRPr="00C07F6E" w:rsidRDefault="009229AF" w:rsidP="00780234">
            <w:pPr>
              <w:pStyle w:val="ExhibitText"/>
              <w:ind w:right="144"/>
              <w:jc w:val="right"/>
            </w:pPr>
            <w:r w:rsidRPr="00C07F6E">
              <w:t>1.49</w:t>
            </w:r>
          </w:p>
        </w:tc>
      </w:tr>
    </w:tbl>
    <w:p w14:paraId="118A55C7" w14:textId="77777777" w:rsidR="009229AF" w:rsidRPr="00C07F6E" w:rsidRDefault="009229AF" w:rsidP="00780234">
      <w:pPr>
        <w:pStyle w:val="ExhibitText"/>
        <w:rPr>
          <w:rFonts w:eastAsia="Arial"/>
        </w:rPr>
      </w:pPr>
    </w:p>
    <w:p w14:paraId="135DFF85" w14:textId="5993436F" w:rsidR="00EA2956" w:rsidRPr="00427A98" w:rsidRDefault="009229AF" w:rsidP="005830D4">
      <w:pPr>
        <w:pStyle w:val="Footnote"/>
        <w:rPr>
          <w:spacing w:val="-2"/>
          <w:kern w:val="17"/>
        </w:rPr>
      </w:pPr>
      <w:r w:rsidRPr="00427A98">
        <w:rPr>
          <w:rFonts w:eastAsia="Arial"/>
          <w:spacing w:val="-2"/>
          <w:kern w:val="17"/>
        </w:rPr>
        <w:t xml:space="preserve">Source: Compiled by the case authors, based on </w:t>
      </w:r>
      <w:r w:rsidRPr="00427A98">
        <w:rPr>
          <w:spacing w:val="-2"/>
          <w:kern w:val="17"/>
        </w:rPr>
        <w:t xml:space="preserve">Tesco PLC, </w:t>
      </w:r>
      <w:r w:rsidRPr="00427A98">
        <w:rPr>
          <w:i/>
          <w:spacing w:val="-2"/>
          <w:kern w:val="17"/>
        </w:rPr>
        <w:t>Annual Report and Financial Statements 2016</w:t>
      </w:r>
      <w:r w:rsidRPr="00427A98">
        <w:rPr>
          <w:spacing w:val="-2"/>
          <w:kern w:val="17"/>
        </w:rPr>
        <w:t>, 163</w:t>
      </w:r>
      <w:r w:rsidR="00257F83" w:rsidRPr="00427A98">
        <w:rPr>
          <w:spacing w:val="-2"/>
          <w:kern w:val="17"/>
        </w:rPr>
        <w:t>–</w:t>
      </w:r>
      <w:r w:rsidRPr="00427A98">
        <w:rPr>
          <w:spacing w:val="-2"/>
          <w:kern w:val="17"/>
        </w:rPr>
        <w:t>164, accessed May 22, 2016, www.tescoplc.com/medi</w:t>
      </w:r>
      <w:r w:rsidR="005830D4" w:rsidRPr="00427A98">
        <w:rPr>
          <w:spacing w:val="-2"/>
          <w:kern w:val="17"/>
        </w:rPr>
        <w:t>a/264194/annual-report-2016.pdf</w:t>
      </w:r>
      <w:r w:rsidRPr="00427A98">
        <w:rPr>
          <w:spacing w:val="-2"/>
          <w:kern w:val="17"/>
        </w:rPr>
        <w:t xml:space="preserve">; </w:t>
      </w:r>
      <w:r w:rsidR="00257F83" w:rsidRPr="00427A98">
        <w:rPr>
          <w:spacing w:val="-2"/>
          <w:kern w:val="17"/>
        </w:rPr>
        <w:t xml:space="preserve">and </w:t>
      </w:r>
      <w:r w:rsidRPr="00427A98">
        <w:rPr>
          <w:spacing w:val="-2"/>
          <w:kern w:val="17"/>
        </w:rPr>
        <w:t xml:space="preserve">Tesco PLC, </w:t>
      </w:r>
      <w:r w:rsidRPr="00427A98">
        <w:rPr>
          <w:i/>
          <w:spacing w:val="-2"/>
          <w:kern w:val="17"/>
        </w:rPr>
        <w:t>Annual Report and Financial Statements 2015</w:t>
      </w:r>
      <w:r w:rsidRPr="00427A98">
        <w:rPr>
          <w:spacing w:val="-2"/>
          <w:kern w:val="17"/>
        </w:rPr>
        <w:t>, 151</w:t>
      </w:r>
      <w:r w:rsidR="00257F83" w:rsidRPr="00427A98">
        <w:rPr>
          <w:spacing w:val="-2"/>
          <w:kern w:val="17"/>
        </w:rPr>
        <w:t>–</w:t>
      </w:r>
      <w:r w:rsidRPr="00427A98">
        <w:rPr>
          <w:spacing w:val="-2"/>
          <w:kern w:val="17"/>
        </w:rPr>
        <w:t>152, accessed April 22, 2016, www.tescoplc.com/files/pdf/reports/ar15/download_annual_report.pdf.</w:t>
      </w:r>
    </w:p>
    <w:p w14:paraId="306ACA95" w14:textId="50A54D23" w:rsidR="00AE0DCF" w:rsidRDefault="00AE0DCF">
      <w:pPr>
        <w:spacing w:after="200" w:line="276" w:lineRule="auto"/>
        <w:rPr>
          <w:rFonts w:ascii="Arial" w:eastAsia="Arial" w:hAnsi="Arial" w:cs="Arial"/>
          <w:b/>
          <w:caps/>
        </w:rPr>
      </w:pPr>
      <w:r>
        <w:rPr>
          <w:rFonts w:eastAsia="Arial"/>
        </w:rPr>
        <w:br w:type="page"/>
      </w:r>
    </w:p>
    <w:p w14:paraId="070DD870" w14:textId="197C6ACE" w:rsidR="009229AF" w:rsidRPr="00C07F6E" w:rsidRDefault="009229AF" w:rsidP="009229AF">
      <w:pPr>
        <w:pStyle w:val="ExhibitHeading"/>
        <w:outlineLvl w:val="0"/>
        <w:rPr>
          <w:rFonts w:eastAsia="Arial"/>
        </w:rPr>
      </w:pPr>
      <w:r>
        <w:rPr>
          <w:rFonts w:eastAsia="Arial"/>
        </w:rPr>
        <w:lastRenderedPageBreak/>
        <w:t>Exhibit 3</w:t>
      </w:r>
      <w:r w:rsidRPr="00C07F6E">
        <w:rPr>
          <w:rFonts w:eastAsia="Arial"/>
        </w:rPr>
        <w:t>: TESCO: Five-Year Record</w:t>
      </w:r>
    </w:p>
    <w:p w14:paraId="39350745" w14:textId="77777777" w:rsidR="009229AF" w:rsidRPr="00C07F6E" w:rsidRDefault="009229AF" w:rsidP="00780234">
      <w:pPr>
        <w:pStyle w:val="ExhibitText"/>
        <w:rPr>
          <w:rFonts w:eastAsia="Arial"/>
        </w:rPr>
      </w:pPr>
    </w:p>
    <w:tbl>
      <w:tblPr>
        <w:tblStyle w:val="TableGrid"/>
        <w:tblW w:w="5000" w:type="pct"/>
        <w:jc w:val="center"/>
        <w:tblLook w:val="04A0" w:firstRow="1" w:lastRow="0" w:firstColumn="1" w:lastColumn="0" w:noHBand="0" w:noVBand="1"/>
      </w:tblPr>
      <w:tblGrid>
        <w:gridCol w:w="3631"/>
        <w:gridCol w:w="1143"/>
        <w:gridCol w:w="1144"/>
        <w:gridCol w:w="1144"/>
        <w:gridCol w:w="1144"/>
        <w:gridCol w:w="1144"/>
      </w:tblGrid>
      <w:tr w:rsidR="009229AF" w:rsidRPr="008D3B6A" w14:paraId="763E6A3D" w14:textId="77777777" w:rsidTr="00E44318">
        <w:trPr>
          <w:trHeight w:val="88"/>
          <w:jc w:val="center"/>
        </w:trPr>
        <w:tc>
          <w:tcPr>
            <w:tcW w:w="3631" w:type="dxa"/>
          </w:tcPr>
          <w:p w14:paraId="4264BFF4" w14:textId="77777777" w:rsidR="009229AF" w:rsidRPr="00780234" w:rsidRDefault="009229AF" w:rsidP="00780234">
            <w:pPr>
              <w:pStyle w:val="ExhibitText"/>
            </w:pPr>
          </w:p>
        </w:tc>
        <w:tc>
          <w:tcPr>
            <w:tcW w:w="1143" w:type="dxa"/>
            <w:vAlign w:val="center"/>
          </w:tcPr>
          <w:p w14:paraId="2E24BDF9" w14:textId="77777777" w:rsidR="009229AF" w:rsidRPr="00780234" w:rsidRDefault="009229AF" w:rsidP="00780234">
            <w:pPr>
              <w:pStyle w:val="ExhibitText"/>
              <w:jc w:val="center"/>
              <w:rPr>
                <w:b/>
                <w:bCs/>
              </w:rPr>
            </w:pPr>
            <w:r w:rsidRPr="00780234">
              <w:rPr>
                <w:b/>
                <w:bCs/>
              </w:rPr>
              <w:t>2015/16</w:t>
            </w:r>
          </w:p>
        </w:tc>
        <w:tc>
          <w:tcPr>
            <w:tcW w:w="1144" w:type="dxa"/>
            <w:vAlign w:val="center"/>
          </w:tcPr>
          <w:p w14:paraId="5298B420" w14:textId="77777777" w:rsidR="009229AF" w:rsidRPr="00780234" w:rsidRDefault="009229AF" w:rsidP="00780234">
            <w:pPr>
              <w:pStyle w:val="ExhibitText"/>
              <w:jc w:val="center"/>
              <w:rPr>
                <w:b/>
                <w:bCs/>
              </w:rPr>
            </w:pPr>
            <w:r w:rsidRPr="00780234">
              <w:rPr>
                <w:b/>
                <w:bCs/>
              </w:rPr>
              <w:t>2014/15</w:t>
            </w:r>
          </w:p>
        </w:tc>
        <w:tc>
          <w:tcPr>
            <w:tcW w:w="1144" w:type="dxa"/>
            <w:vAlign w:val="center"/>
          </w:tcPr>
          <w:p w14:paraId="47431215" w14:textId="77777777" w:rsidR="009229AF" w:rsidRPr="00780234" w:rsidRDefault="009229AF" w:rsidP="00780234">
            <w:pPr>
              <w:pStyle w:val="ExhibitText"/>
              <w:jc w:val="center"/>
              <w:rPr>
                <w:b/>
                <w:bCs/>
              </w:rPr>
            </w:pPr>
            <w:r w:rsidRPr="00780234">
              <w:rPr>
                <w:b/>
                <w:bCs/>
              </w:rPr>
              <w:t>2013/14</w:t>
            </w:r>
          </w:p>
        </w:tc>
        <w:tc>
          <w:tcPr>
            <w:tcW w:w="1144" w:type="dxa"/>
            <w:vAlign w:val="center"/>
          </w:tcPr>
          <w:p w14:paraId="73197D07" w14:textId="77777777" w:rsidR="009229AF" w:rsidRPr="00780234" w:rsidRDefault="009229AF" w:rsidP="00780234">
            <w:pPr>
              <w:pStyle w:val="ExhibitText"/>
              <w:jc w:val="center"/>
              <w:rPr>
                <w:b/>
                <w:bCs/>
              </w:rPr>
            </w:pPr>
            <w:r w:rsidRPr="00780234">
              <w:rPr>
                <w:b/>
                <w:bCs/>
              </w:rPr>
              <w:t>2012/13</w:t>
            </w:r>
          </w:p>
        </w:tc>
        <w:tc>
          <w:tcPr>
            <w:tcW w:w="1144" w:type="dxa"/>
            <w:vAlign w:val="center"/>
          </w:tcPr>
          <w:p w14:paraId="33DE67BC" w14:textId="77777777" w:rsidR="009229AF" w:rsidRPr="00780234" w:rsidRDefault="009229AF" w:rsidP="00780234">
            <w:pPr>
              <w:pStyle w:val="ExhibitText"/>
              <w:jc w:val="center"/>
              <w:rPr>
                <w:b/>
                <w:bCs/>
              </w:rPr>
            </w:pPr>
            <w:r w:rsidRPr="00780234">
              <w:rPr>
                <w:b/>
                <w:bCs/>
              </w:rPr>
              <w:t>2011/12</w:t>
            </w:r>
          </w:p>
        </w:tc>
      </w:tr>
      <w:tr w:rsidR="009229AF" w:rsidRPr="008D3B6A" w14:paraId="15A3A33E" w14:textId="77777777" w:rsidTr="00E44318">
        <w:trPr>
          <w:trHeight w:val="134"/>
          <w:jc w:val="center"/>
        </w:trPr>
        <w:tc>
          <w:tcPr>
            <w:tcW w:w="3631" w:type="dxa"/>
            <w:vAlign w:val="center"/>
          </w:tcPr>
          <w:p w14:paraId="537EA949" w14:textId="77777777" w:rsidR="009229AF" w:rsidRPr="00780234" w:rsidRDefault="009229AF" w:rsidP="00780234">
            <w:pPr>
              <w:pStyle w:val="ExhibitText"/>
              <w:jc w:val="left"/>
              <w:rPr>
                <w:bCs/>
              </w:rPr>
            </w:pPr>
            <w:r w:rsidRPr="00780234">
              <w:rPr>
                <w:bCs/>
              </w:rPr>
              <w:t>Revenue (in £ millions)</w:t>
            </w:r>
          </w:p>
        </w:tc>
        <w:tc>
          <w:tcPr>
            <w:tcW w:w="1143" w:type="dxa"/>
            <w:vAlign w:val="center"/>
          </w:tcPr>
          <w:p w14:paraId="3D312A90" w14:textId="77777777" w:rsidR="009229AF" w:rsidRPr="00780234" w:rsidRDefault="009229AF" w:rsidP="00780234">
            <w:pPr>
              <w:pStyle w:val="ExhibitText"/>
              <w:jc w:val="right"/>
            </w:pPr>
            <w:r w:rsidRPr="00780234">
              <w:t>54,433</w:t>
            </w:r>
          </w:p>
        </w:tc>
        <w:tc>
          <w:tcPr>
            <w:tcW w:w="1144" w:type="dxa"/>
            <w:vAlign w:val="center"/>
          </w:tcPr>
          <w:p w14:paraId="223AB65F" w14:textId="77777777" w:rsidR="009229AF" w:rsidRPr="00780234" w:rsidRDefault="009229AF" w:rsidP="00780234">
            <w:pPr>
              <w:pStyle w:val="ExhibitText"/>
              <w:jc w:val="right"/>
            </w:pPr>
            <w:r w:rsidRPr="00780234">
              <w:t>56,925</w:t>
            </w:r>
          </w:p>
        </w:tc>
        <w:tc>
          <w:tcPr>
            <w:tcW w:w="1144" w:type="dxa"/>
            <w:vAlign w:val="center"/>
          </w:tcPr>
          <w:p w14:paraId="41732F1B" w14:textId="77777777" w:rsidR="009229AF" w:rsidRPr="00780234" w:rsidRDefault="009229AF" w:rsidP="00780234">
            <w:pPr>
              <w:pStyle w:val="ExhibitText"/>
              <w:jc w:val="right"/>
            </w:pPr>
            <w:r w:rsidRPr="00780234">
              <w:t>63,557</w:t>
            </w:r>
          </w:p>
        </w:tc>
        <w:tc>
          <w:tcPr>
            <w:tcW w:w="1144" w:type="dxa"/>
            <w:vAlign w:val="center"/>
          </w:tcPr>
          <w:p w14:paraId="7AE2FB6B" w14:textId="77777777" w:rsidR="009229AF" w:rsidRPr="00780234" w:rsidRDefault="009229AF" w:rsidP="00780234">
            <w:pPr>
              <w:pStyle w:val="ExhibitText"/>
              <w:jc w:val="right"/>
            </w:pPr>
            <w:r w:rsidRPr="00780234">
              <w:t>63,406</w:t>
            </w:r>
          </w:p>
        </w:tc>
        <w:tc>
          <w:tcPr>
            <w:tcW w:w="1144" w:type="dxa"/>
            <w:vAlign w:val="center"/>
          </w:tcPr>
          <w:p w14:paraId="70D42530" w14:textId="77777777" w:rsidR="009229AF" w:rsidRPr="00780234" w:rsidRDefault="009229AF" w:rsidP="00780234">
            <w:pPr>
              <w:pStyle w:val="ExhibitText"/>
              <w:jc w:val="right"/>
            </w:pPr>
            <w:r w:rsidRPr="00780234">
              <w:t>63,916</w:t>
            </w:r>
          </w:p>
        </w:tc>
      </w:tr>
      <w:tr w:rsidR="009229AF" w:rsidRPr="008D3B6A" w14:paraId="091F4867" w14:textId="77777777" w:rsidTr="00E44318">
        <w:trPr>
          <w:trHeight w:val="39"/>
          <w:jc w:val="center"/>
        </w:trPr>
        <w:tc>
          <w:tcPr>
            <w:tcW w:w="3631" w:type="dxa"/>
            <w:vAlign w:val="center"/>
          </w:tcPr>
          <w:p w14:paraId="41BA3E4A" w14:textId="018ED8DA" w:rsidR="009229AF" w:rsidRPr="00780234" w:rsidRDefault="009229AF" w:rsidP="00780234">
            <w:pPr>
              <w:pStyle w:val="ExhibitText"/>
              <w:jc w:val="left"/>
              <w:rPr>
                <w:bCs/>
              </w:rPr>
            </w:pPr>
            <w:r w:rsidRPr="00780234">
              <w:rPr>
                <w:bCs/>
              </w:rPr>
              <w:t xml:space="preserve">Revenue </w:t>
            </w:r>
            <w:r w:rsidR="00257F83" w:rsidRPr="00780234">
              <w:rPr>
                <w:bCs/>
              </w:rPr>
              <w:t>g</w:t>
            </w:r>
            <w:r w:rsidRPr="00780234">
              <w:rPr>
                <w:bCs/>
              </w:rPr>
              <w:t>rowth (%)</w:t>
            </w:r>
          </w:p>
        </w:tc>
        <w:tc>
          <w:tcPr>
            <w:tcW w:w="1143" w:type="dxa"/>
            <w:vAlign w:val="center"/>
          </w:tcPr>
          <w:p w14:paraId="20F482A3" w14:textId="27DE4646" w:rsidR="009229AF" w:rsidRPr="00780234" w:rsidRDefault="00A360E6" w:rsidP="00780234">
            <w:pPr>
              <w:pStyle w:val="ExhibitText"/>
              <w:jc w:val="right"/>
            </w:pPr>
            <w:r>
              <w:t>−4.28</w:t>
            </w:r>
          </w:p>
        </w:tc>
        <w:tc>
          <w:tcPr>
            <w:tcW w:w="1144" w:type="dxa"/>
            <w:vAlign w:val="center"/>
          </w:tcPr>
          <w:p w14:paraId="5F447451" w14:textId="3468B230" w:rsidR="009229AF" w:rsidRPr="00780234" w:rsidRDefault="00A360E6" w:rsidP="00780234">
            <w:pPr>
              <w:pStyle w:val="ExhibitText"/>
              <w:jc w:val="right"/>
            </w:pPr>
            <w:r>
              <w:t>−10.43</w:t>
            </w:r>
          </w:p>
        </w:tc>
        <w:tc>
          <w:tcPr>
            <w:tcW w:w="1144" w:type="dxa"/>
            <w:vAlign w:val="center"/>
          </w:tcPr>
          <w:p w14:paraId="602F1DBE" w14:textId="571F18AF" w:rsidR="009229AF" w:rsidRPr="00780234" w:rsidRDefault="00A360E6" w:rsidP="00780234">
            <w:pPr>
              <w:pStyle w:val="ExhibitText"/>
              <w:jc w:val="right"/>
            </w:pPr>
            <w:r>
              <w:t>0.24</w:t>
            </w:r>
          </w:p>
        </w:tc>
        <w:tc>
          <w:tcPr>
            <w:tcW w:w="1144" w:type="dxa"/>
            <w:vAlign w:val="center"/>
          </w:tcPr>
          <w:p w14:paraId="0A94E575" w14:textId="71179DD2" w:rsidR="009229AF" w:rsidRPr="00780234" w:rsidRDefault="00A360E6" w:rsidP="00780234">
            <w:pPr>
              <w:pStyle w:val="ExhibitText"/>
              <w:jc w:val="right"/>
            </w:pPr>
            <w:r>
              <w:t>−0.80</w:t>
            </w:r>
          </w:p>
        </w:tc>
        <w:tc>
          <w:tcPr>
            <w:tcW w:w="1144" w:type="dxa"/>
            <w:vAlign w:val="center"/>
          </w:tcPr>
          <w:p w14:paraId="0D336E68" w14:textId="1C1CD7DE" w:rsidR="009229AF" w:rsidRPr="00780234" w:rsidRDefault="00A360E6" w:rsidP="00780234">
            <w:pPr>
              <w:pStyle w:val="ExhibitText"/>
              <w:jc w:val="right"/>
            </w:pPr>
            <w:r>
              <w:t>-</w:t>
            </w:r>
          </w:p>
        </w:tc>
      </w:tr>
      <w:tr w:rsidR="009229AF" w:rsidRPr="008D3B6A" w14:paraId="367E2470" w14:textId="77777777" w:rsidTr="00E44318">
        <w:trPr>
          <w:trHeight w:val="37"/>
          <w:jc w:val="center"/>
        </w:trPr>
        <w:tc>
          <w:tcPr>
            <w:tcW w:w="3631" w:type="dxa"/>
            <w:vAlign w:val="center"/>
          </w:tcPr>
          <w:p w14:paraId="102948E0" w14:textId="77777777" w:rsidR="009229AF" w:rsidRPr="00780234" w:rsidRDefault="009229AF" w:rsidP="00780234">
            <w:pPr>
              <w:pStyle w:val="ExhibitText"/>
              <w:jc w:val="left"/>
              <w:rPr>
                <w:bCs/>
              </w:rPr>
            </w:pPr>
            <w:r w:rsidRPr="00780234">
              <w:rPr>
                <w:bCs/>
              </w:rPr>
              <w:t>Profit/(Loss) (in £ millions)</w:t>
            </w:r>
          </w:p>
        </w:tc>
        <w:tc>
          <w:tcPr>
            <w:tcW w:w="1143" w:type="dxa"/>
            <w:vAlign w:val="center"/>
          </w:tcPr>
          <w:p w14:paraId="1ADD685C" w14:textId="77777777" w:rsidR="009229AF" w:rsidRPr="00780234" w:rsidRDefault="009229AF" w:rsidP="00780234">
            <w:pPr>
              <w:pStyle w:val="ExhibitText"/>
              <w:jc w:val="right"/>
            </w:pPr>
            <w:r w:rsidRPr="00780234">
              <w:t>129</w:t>
            </w:r>
          </w:p>
        </w:tc>
        <w:tc>
          <w:tcPr>
            <w:tcW w:w="1144" w:type="dxa"/>
            <w:vAlign w:val="center"/>
          </w:tcPr>
          <w:p w14:paraId="3AF940A1" w14:textId="77777777" w:rsidR="009229AF" w:rsidRPr="00780234" w:rsidRDefault="009229AF" w:rsidP="00780234">
            <w:pPr>
              <w:pStyle w:val="ExhibitText"/>
              <w:jc w:val="right"/>
            </w:pPr>
            <w:r w:rsidRPr="00780234">
              <w:t>(5,766)</w:t>
            </w:r>
          </w:p>
        </w:tc>
        <w:tc>
          <w:tcPr>
            <w:tcW w:w="1144" w:type="dxa"/>
            <w:vAlign w:val="center"/>
          </w:tcPr>
          <w:p w14:paraId="0731249A" w14:textId="77777777" w:rsidR="009229AF" w:rsidRPr="00780234" w:rsidRDefault="009229AF" w:rsidP="00780234">
            <w:pPr>
              <w:pStyle w:val="ExhibitText"/>
              <w:jc w:val="right"/>
            </w:pPr>
            <w:r w:rsidRPr="00780234">
              <w:t>970</w:t>
            </w:r>
          </w:p>
        </w:tc>
        <w:tc>
          <w:tcPr>
            <w:tcW w:w="1144" w:type="dxa"/>
            <w:vAlign w:val="center"/>
          </w:tcPr>
          <w:p w14:paraId="0355DFB2" w14:textId="77777777" w:rsidR="009229AF" w:rsidRPr="00780234" w:rsidRDefault="009229AF" w:rsidP="00780234">
            <w:pPr>
              <w:pStyle w:val="ExhibitText"/>
              <w:jc w:val="right"/>
            </w:pPr>
            <w:r w:rsidRPr="00780234">
              <w:t>24</w:t>
            </w:r>
          </w:p>
        </w:tc>
        <w:tc>
          <w:tcPr>
            <w:tcW w:w="1144" w:type="dxa"/>
            <w:vAlign w:val="center"/>
          </w:tcPr>
          <w:p w14:paraId="1073688A" w14:textId="77777777" w:rsidR="009229AF" w:rsidRPr="00780234" w:rsidRDefault="009229AF" w:rsidP="00780234">
            <w:pPr>
              <w:pStyle w:val="ExhibitText"/>
              <w:jc w:val="right"/>
            </w:pPr>
            <w:r w:rsidRPr="00780234">
              <w:t>2,814</w:t>
            </w:r>
          </w:p>
        </w:tc>
      </w:tr>
      <w:tr w:rsidR="009229AF" w:rsidRPr="008D3B6A" w14:paraId="4FE71F82" w14:textId="77777777" w:rsidTr="00E44318">
        <w:trPr>
          <w:trHeight w:val="37"/>
          <w:jc w:val="center"/>
        </w:trPr>
        <w:tc>
          <w:tcPr>
            <w:tcW w:w="3631" w:type="dxa"/>
            <w:vAlign w:val="center"/>
          </w:tcPr>
          <w:p w14:paraId="2048C045" w14:textId="6021C164" w:rsidR="009229AF" w:rsidRPr="00780234" w:rsidRDefault="009229AF" w:rsidP="00780234">
            <w:pPr>
              <w:pStyle w:val="ExhibitText"/>
              <w:jc w:val="left"/>
              <w:rPr>
                <w:bCs/>
              </w:rPr>
            </w:pPr>
            <w:r w:rsidRPr="00780234">
              <w:rPr>
                <w:bCs/>
              </w:rPr>
              <w:t>Profit</w:t>
            </w:r>
            <w:proofErr w:type="gramStart"/>
            <w:r w:rsidRPr="00780234">
              <w:rPr>
                <w:bCs/>
              </w:rPr>
              <w:t>/(</w:t>
            </w:r>
            <w:proofErr w:type="gramEnd"/>
            <w:r w:rsidRPr="00780234">
              <w:rPr>
                <w:bCs/>
              </w:rPr>
              <w:t xml:space="preserve">Loss) </w:t>
            </w:r>
            <w:r w:rsidR="00257F83" w:rsidRPr="00780234">
              <w:rPr>
                <w:bCs/>
              </w:rPr>
              <w:t>g</w:t>
            </w:r>
            <w:r w:rsidRPr="00780234">
              <w:rPr>
                <w:bCs/>
              </w:rPr>
              <w:t>rowth (%)</w:t>
            </w:r>
          </w:p>
        </w:tc>
        <w:tc>
          <w:tcPr>
            <w:tcW w:w="1143" w:type="dxa"/>
            <w:vAlign w:val="center"/>
          </w:tcPr>
          <w:p w14:paraId="2204D9E8" w14:textId="77777777" w:rsidR="009229AF" w:rsidRPr="00780234" w:rsidRDefault="009229AF" w:rsidP="00780234">
            <w:pPr>
              <w:pStyle w:val="ExhibitText"/>
              <w:jc w:val="right"/>
            </w:pPr>
          </w:p>
        </w:tc>
        <w:tc>
          <w:tcPr>
            <w:tcW w:w="1144" w:type="dxa"/>
            <w:vAlign w:val="center"/>
          </w:tcPr>
          <w:p w14:paraId="2F284DA8" w14:textId="77777777" w:rsidR="009229AF" w:rsidRPr="00780234" w:rsidRDefault="009229AF" w:rsidP="00780234">
            <w:pPr>
              <w:pStyle w:val="ExhibitText"/>
              <w:jc w:val="right"/>
            </w:pPr>
          </w:p>
        </w:tc>
        <w:tc>
          <w:tcPr>
            <w:tcW w:w="1144" w:type="dxa"/>
            <w:vAlign w:val="center"/>
          </w:tcPr>
          <w:p w14:paraId="3837FE99" w14:textId="77777777" w:rsidR="009229AF" w:rsidRPr="00780234" w:rsidRDefault="009229AF" w:rsidP="00780234">
            <w:pPr>
              <w:pStyle w:val="ExhibitText"/>
              <w:jc w:val="right"/>
            </w:pPr>
          </w:p>
        </w:tc>
        <w:tc>
          <w:tcPr>
            <w:tcW w:w="1144" w:type="dxa"/>
            <w:vAlign w:val="center"/>
          </w:tcPr>
          <w:p w14:paraId="572F01E2" w14:textId="77777777" w:rsidR="009229AF" w:rsidRPr="00780234" w:rsidRDefault="009229AF" w:rsidP="00780234">
            <w:pPr>
              <w:pStyle w:val="ExhibitText"/>
              <w:jc w:val="right"/>
            </w:pPr>
          </w:p>
        </w:tc>
        <w:tc>
          <w:tcPr>
            <w:tcW w:w="1144" w:type="dxa"/>
            <w:vAlign w:val="center"/>
          </w:tcPr>
          <w:p w14:paraId="41680DD3" w14:textId="77777777" w:rsidR="009229AF" w:rsidRPr="00780234" w:rsidRDefault="009229AF" w:rsidP="00780234">
            <w:pPr>
              <w:pStyle w:val="ExhibitText"/>
              <w:jc w:val="right"/>
            </w:pPr>
          </w:p>
        </w:tc>
      </w:tr>
      <w:tr w:rsidR="009229AF" w:rsidRPr="008D3B6A" w14:paraId="551BD891" w14:textId="77777777" w:rsidTr="00E44318">
        <w:trPr>
          <w:trHeight w:val="37"/>
          <w:jc w:val="center"/>
        </w:trPr>
        <w:tc>
          <w:tcPr>
            <w:tcW w:w="3631" w:type="dxa"/>
            <w:vAlign w:val="center"/>
          </w:tcPr>
          <w:p w14:paraId="70B09F7B" w14:textId="0A04FAE4" w:rsidR="009229AF" w:rsidRPr="00780234" w:rsidRDefault="009229AF" w:rsidP="00780234">
            <w:pPr>
              <w:pStyle w:val="ExhibitText"/>
              <w:jc w:val="left"/>
              <w:rPr>
                <w:bCs/>
              </w:rPr>
            </w:pPr>
            <w:r w:rsidRPr="00780234">
              <w:rPr>
                <w:bCs/>
              </w:rPr>
              <w:t xml:space="preserve">Number of </w:t>
            </w:r>
            <w:r w:rsidR="00257F83" w:rsidRPr="00780234">
              <w:rPr>
                <w:bCs/>
              </w:rPr>
              <w:t>s</w:t>
            </w:r>
            <w:r w:rsidRPr="00780234">
              <w:rPr>
                <w:bCs/>
              </w:rPr>
              <w:t>tores</w:t>
            </w:r>
          </w:p>
        </w:tc>
        <w:tc>
          <w:tcPr>
            <w:tcW w:w="1143" w:type="dxa"/>
            <w:vAlign w:val="center"/>
          </w:tcPr>
          <w:p w14:paraId="42E3290B" w14:textId="77777777" w:rsidR="009229AF" w:rsidRPr="00780234" w:rsidRDefault="009229AF" w:rsidP="00780234">
            <w:pPr>
              <w:pStyle w:val="ExhibitText"/>
              <w:jc w:val="right"/>
            </w:pPr>
            <w:r w:rsidRPr="00780234">
              <w:t>6,902</w:t>
            </w:r>
          </w:p>
        </w:tc>
        <w:tc>
          <w:tcPr>
            <w:tcW w:w="1144" w:type="dxa"/>
            <w:vAlign w:val="center"/>
          </w:tcPr>
          <w:p w14:paraId="1FAA7279" w14:textId="77777777" w:rsidR="009229AF" w:rsidRPr="00780234" w:rsidRDefault="009229AF" w:rsidP="00780234">
            <w:pPr>
              <w:pStyle w:val="ExhibitText"/>
              <w:jc w:val="right"/>
            </w:pPr>
            <w:r w:rsidRPr="00780234">
              <w:t>6,849</w:t>
            </w:r>
          </w:p>
        </w:tc>
        <w:tc>
          <w:tcPr>
            <w:tcW w:w="1144" w:type="dxa"/>
            <w:vAlign w:val="center"/>
          </w:tcPr>
          <w:p w14:paraId="68F65FE0" w14:textId="77777777" w:rsidR="009229AF" w:rsidRPr="00780234" w:rsidRDefault="009229AF" w:rsidP="00780234">
            <w:pPr>
              <w:pStyle w:val="ExhibitText"/>
              <w:jc w:val="right"/>
            </w:pPr>
            <w:r w:rsidRPr="00780234">
              <w:t>7,305</w:t>
            </w:r>
          </w:p>
        </w:tc>
        <w:tc>
          <w:tcPr>
            <w:tcW w:w="1144" w:type="dxa"/>
            <w:vAlign w:val="center"/>
          </w:tcPr>
          <w:p w14:paraId="4EC8FEFF" w14:textId="77777777" w:rsidR="009229AF" w:rsidRPr="00780234" w:rsidRDefault="009229AF" w:rsidP="00780234">
            <w:pPr>
              <w:pStyle w:val="ExhibitText"/>
              <w:jc w:val="right"/>
            </w:pPr>
            <w:r w:rsidRPr="00780234">
              <w:t>6,653</w:t>
            </w:r>
          </w:p>
        </w:tc>
        <w:tc>
          <w:tcPr>
            <w:tcW w:w="1144" w:type="dxa"/>
            <w:vAlign w:val="center"/>
          </w:tcPr>
          <w:p w14:paraId="0FEB68B0" w14:textId="77777777" w:rsidR="009229AF" w:rsidRPr="00780234" w:rsidRDefault="009229AF" w:rsidP="00780234">
            <w:pPr>
              <w:pStyle w:val="ExhibitText"/>
              <w:jc w:val="right"/>
            </w:pPr>
            <w:r w:rsidRPr="00780234">
              <w:t>6,049</w:t>
            </w:r>
          </w:p>
        </w:tc>
      </w:tr>
      <w:tr w:rsidR="009229AF" w:rsidRPr="008D3B6A" w14:paraId="789B3805" w14:textId="77777777" w:rsidTr="00E44318">
        <w:trPr>
          <w:trHeight w:val="66"/>
          <w:jc w:val="center"/>
        </w:trPr>
        <w:tc>
          <w:tcPr>
            <w:tcW w:w="3631" w:type="dxa"/>
            <w:vAlign w:val="center"/>
          </w:tcPr>
          <w:p w14:paraId="28500819" w14:textId="7C19A86F" w:rsidR="009229AF" w:rsidRPr="00780234" w:rsidRDefault="009229AF" w:rsidP="00780234">
            <w:pPr>
              <w:pStyle w:val="ExhibitText"/>
              <w:jc w:val="left"/>
              <w:rPr>
                <w:bCs/>
              </w:rPr>
            </w:pPr>
            <w:r w:rsidRPr="00780234">
              <w:rPr>
                <w:bCs/>
              </w:rPr>
              <w:t xml:space="preserve">Average </w:t>
            </w:r>
            <w:r w:rsidR="00257F83" w:rsidRPr="00780234">
              <w:rPr>
                <w:bCs/>
              </w:rPr>
              <w:t>number of e</w:t>
            </w:r>
            <w:r w:rsidRPr="00780234">
              <w:rPr>
                <w:bCs/>
              </w:rPr>
              <w:t>mployees</w:t>
            </w:r>
          </w:p>
        </w:tc>
        <w:tc>
          <w:tcPr>
            <w:tcW w:w="1143" w:type="dxa"/>
            <w:vAlign w:val="center"/>
          </w:tcPr>
          <w:p w14:paraId="21535D42" w14:textId="77777777" w:rsidR="009229AF" w:rsidRPr="00780234" w:rsidRDefault="009229AF" w:rsidP="00780234">
            <w:pPr>
              <w:pStyle w:val="ExhibitText"/>
              <w:jc w:val="right"/>
            </w:pPr>
            <w:r w:rsidRPr="00780234">
              <w:t>482,152</w:t>
            </w:r>
          </w:p>
        </w:tc>
        <w:tc>
          <w:tcPr>
            <w:tcW w:w="1144" w:type="dxa"/>
            <w:vAlign w:val="center"/>
          </w:tcPr>
          <w:p w14:paraId="162D6CF8" w14:textId="77777777" w:rsidR="009229AF" w:rsidRPr="00780234" w:rsidRDefault="009229AF" w:rsidP="00780234">
            <w:pPr>
              <w:pStyle w:val="ExhibitText"/>
              <w:jc w:val="right"/>
            </w:pPr>
            <w:r w:rsidRPr="00780234">
              <w:t>480,607</w:t>
            </w:r>
          </w:p>
        </w:tc>
        <w:tc>
          <w:tcPr>
            <w:tcW w:w="1144" w:type="dxa"/>
            <w:vAlign w:val="center"/>
          </w:tcPr>
          <w:p w14:paraId="67BA1E37" w14:textId="77777777" w:rsidR="009229AF" w:rsidRPr="00780234" w:rsidRDefault="009229AF" w:rsidP="00780234">
            <w:pPr>
              <w:pStyle w:val="ExhibitText"/>
              <w:jc w:val="right"/>
            </w:pPr>
            <w:r w:rsidRPr="00780234">
              <w:t>510,444</w:t>
            </w:r>
          </w:p>
        </w:tc>
        <w:tc>
          <w:tcPr>
            <w:tcW w:w="1144" w:type="dxa"/>
            <w:vAlign w:val="center"/>
          </w:tcPr>
          <w:p w14:paraId="6A25FFB1" w14:textId="77777777" w:rsidR="009229AF" w:rsidRPr="00780234" w:rsidRDefault="009229AF" w:rsidP="00780234">
            <w:pPr>
              <w:pStyle w:val="ExhibitText"/>
              <w:jc w:val="right"/>
            </w:pPr>
            <w:r w:rsidRPr="00780234">
              <w:t>506,856</w:t>
            </w:r>
          </w:p>
        </w:tc>
        <w:tc>
          <w:tcPr>
            <w:tcW w:w="1144" w:type="dxa"/>
            <w:vAlign w:val="center"/>
          </w:tcPr>
          <w:p w14:paraId="4ECF0FBA" w14:textId="77777777" w:rsidR="009229AF" w:rsidRPr="00780234" w:rsidRDefault="009229AF" w:rsidP="00780234">
            <w:pPr>
              <w:pStyle w:val="ExhibitText"/>
              <w:jc w:val="right"/>
            </w:pPr>
            <w:r w:rsidRPr="00780234">
              <w:t>514,615</w:t>
            </w:r>
          </w:p>
        </w:tc>
      </w:tr>
    </w:tbl>
    <w:p w14:paraId="75C115C5" w14:textId="7F5F9F95" w:rsidR="009229AF" w:rsidRPr="00C07F6E" w:rsidRDefault="009229AF" w:rsidP="00780234">
      <w:pPr>
        <w:pStyle w:val="ExhibitText"/>
        <w:rPr>
          <w:rFonts w:eastAsia="Arial"/>
        </w:rPr>
      </w:pPr>
    </w:p>
    <w:p w14:paraId="0B6D0D72" w14:textId="678CFFE2" w:rsidR="009229AF" w:rsidRPr="00427A98" w:rsidRDefault="009229AF" w:rsidP="00AE0DCF">
      <w:pPr>
        <w:pStyle w:val="Footnote"/>
        <w:rPr>
          <w:spacing w:val="-8"/>
          <w:kern w:val="17"/>
        </w:rPr>
      </w:pPr>
      <w:proofErr w:type="gramStart"/>
      <w:r w:rsidRPr="00427A98">
        <w:rPr>
          <w:rFonts w:eastAsia="Arial"/>
          <w:spacing w:val="-8"/>
          <w:kern w:val="17"/>
        </w:rPr>
        <w:t xml:space="preserve">Source: Compiled by the case authors, based on </w:t>
      </w:r>
      <w:r w:rsidRPr="00427A98">
        <w:rPr>
          <w:spacing w:val="-8"/>
          <w:kern w:val="17"/>
        </w:rPr>
        <w:t xml:space="preserve">Tesco PLC, </w:t>
      </w:r>
      <w:r w:rsidRPr="00427A98">
        <w:rPr>
          <w:i/>
          <w:spacing w:val="-8"/>
          <w:kern w:val="17"/>
        </w:rPr>
        <w:t>Annual Report and Financial Statements 2016</w:t>
      </w:r>
      <w:r w:rsidRPr="00427A98">
        <w:rPr>
          <w:spacing w:val="-8"/>
          <w:kern w:val="17"/>
        </w:rPr>
        <w:t xml:space="preserve">, 85, 163, accessed May 22, 2016, www.tescoplc.com/media/264194/annual-report-2016.pdf; Tesco PLC, </w:t>
      </w:r>
      <w:r w:rsidRPr="00427A98">
        <w:rPr>
          <w:i/>
          <w:spacing w:val="-8"/>
          <w:kern w:val="17"/>
        </w:rPr>
        <w:t>Annual Report and Financial Statements 2015</w:t>
      </w:r>
      <w:r w:rsidRPr="00427A98">
        <w:rPr>
          <w:spacing w:val="-8"/>
          <w:kern w:val="17"/>
        </w:rPr>
        <w:t xml:space="preserve">, 83, 151, 168, accessed April 22, 2016, </w:t>
      </w:r>
      <w:r w:rsidR="00AE0DCF" w:rsidRPr="00427A98">
        <w:rPr>
          <w:spacing w:val="-8"/>
          <w:kern w:val="17"/>
        </w:rPr>
        <w:t>www.tescoplc.com/files/pdf/reports/ar15</w:t>
      </w:r>
      <w:r w:rsidRPr="00427A98">
        <w:rPr>
          <w:spacing w:val="-8"/>
          <w:kern w:val="17"/>
        </w:rPr>
        <w:t xml:space="preserve">/download_annual_report.pdf; Tesco PLC, </w:t>
      </w:r>
      <w:r w:rsidRPr="00427A98">
        <w:rPr>
          <w:i/>
          <w:spacing w:val="-8"/>
          <w:kern w:val="17"/>
        </w:rPr>
        <w:t>Annual Report and Financial Statements 2014</w:t>
      </w:r>
      <w:r w:rsidRPr="00427A98">
        <w:rPr>
          <w:spacing w:val="-8"/>
          <w:kern w:val="17"/>
        </w:rPr>
        <w:t xml:space="preserve">, 69, 138, 144, accessed April 22, 2016, www.tescoplc.com/files/pdf/reports/ar14/download_annual_report.pdf; Tesco PLC, </w:t>
      </w:r>
      <w:r w:rsidRPr="00427A98">
        <w:rPr>
          <w:i/>
          <w:spacing w:val="-8"/>
          <w:kern w:val="17"/>
        </w:rPr>
        <w:t>Annual Report and Financial Statements 2013</w:t>
      </w:r>
      <w:r w:rsidRPr="00427A98">
        <w:rPr>
          <w:spacing w:val="-8"/>
          <w:kern w:val="17"/>
        </w:rPr>
        <w:t xml:space="preserve">, 72, 136, accessed April 22, 2016, </w:t>
      </w:r>
      <w:r w:rsidR="00AE0DCF" w:rsidRPr="00427A98">
        <w:rPr>
          <w:spacing w:val="-8"/>
          <w:kern w:val="17"/>
        </w:rPr>
        <w:t>www.tescoplc.com/media/1456/tesco_annual_report_</w:t>
      </w:r>
      <w:r w:rsidRPr="00427A98">
        <w:rPr>
          <w:spacing w:val="-8"/>
          <w:kern w:val="17"/>
        </w:rPr>
        <w:t xml:space="preserve">2013.pdf; </w:t>
      </w:r>
      <w:r w:rsidR="00830229" w:rsidRPr="00427A98">
        <w:rPr>
          <w:spacing w:val="-8"/>
          <w:kern w:val="17"/>
        </w:rPr>
        <w:t xml:space="preserve">and </w:t>
      </w:r>
      <w:r w:rsidRPr="00427A98">
        <w:rPr>
          <w:spacing w:val="-8"/>
          <w:kern w:val="17"/>
        </w:rPr>
        <w:t xml:space="preserve">Tesco PLC, </w:t>
      </w:r>
      <w:r w:rsidRPr="00427A98">
        <w:rPr>
          <w:i/>
          <w:spacing w:val="-8"/>
          <w:kern w:val="17"/>
        </w:rPr>
        <w:t>Annual Report and Financial Statements 2012</w:t>
      </w:r>
      <w:r w:rsidRPr="00427A98">
        <w:rPr>
          <w:spacing w:val="-8"/>
          <w:kern w:val="17"/>
        </w:rPr>
        <w:t>, 90, accessed April 22, 2016, www.tescoplc.com/media/1455/tesco_annual_report_2012.pdf.</w:t>
      </w:r>
      <w:proofErr w:type="gramEnd"/>
    </w:p>
    <w:p w14:paraId="43F77344" w14:textId="161BBE35" w:rsidR="009229AF" w:rsidRDefault="009229AF" w:rsidP="00780234">
      <w:pPr>
        <w:pStyle w:val="ExhibitText"/>
        <w:rPr>
          <w:rFonts w:eastAsia="Arial"/>
        </w:rPr>
      </w:pPr>
    </w:p>
    <w:p w14:paraId="0C831331" w14:textId="77777777" w:rsidR="00E44318" w:rsidRDefault="00E44318" w:rsidP="00A36D2A">
      <w:pPr>
        <w:pStyle w:val="ExhibitHeading"/>
        <w:rPr>
          <w:rFonts w:eastAsia="Arial"/>
        </w:rPr>
      </w:pPr>
    </w:p>
    <w:p w14:paraId="64D80136" w14:textId="10BBB7B3" w:rsidR="00DD4D5C" w:rsidRPr="00C07F6E" w:rsidRDefault="00DD4D5C" w:rsidP="00A36D2A">
      <w:pPr>
        <w:pStyle w:val="ExhibitHeading"/>
        <w:rPr>
          <w:rFonts w:eastAsia="Arial"/>
        </w:rPr>
      </w:pPr>
      <w:r w:rsidRPr="00C07F6E">
        <w:rPr>
          <w:rFonts w:eastAsia="Arial"/>
        </w:rPr>
        <w:t>E</w:t>
      </w:r>
      <w:r w:rsidR="007B64A1">
        <w:rPr>
          <w:rFonts w:eastAsia="Arial"/>
        </w:rPr>
        <w:t>xhibit 4</w:t>
      </w:r>
      <w:r w:rsidRPr="00C07F6E">
        <w:rPr>
          <w:rFonts w:eastAsia="Arial"/>
        </w:rPr>
        <w:t>: Tesco and Subsidiaries</w:t>
      </w:r>
      <w:r w:rsidR="00830229">
        <w:rPr>
          <w:rFonts w:eastAsia="Arial"/>
        </w:rPr>
        <w:t>,</w:t>
      </w:r>
      <w:r w:rsidR="00956C94" w:rsidRPr="00C07F6E">
        <w:rPr>
          <w:rFonts w:eastAsia="Arial"/>
        </w:rPr>
        <w:t xml:space="preserve"> </w:t>
      </w:r>
      <w:r w:rsidRPr="00C07F6E">
        <w:rPr>
          <w:rFonts w:eastAsia="Arial"/>
        </w:rPr>
        <w:t>Consolidated Statement of Operations and Comprehensive Loss</w:t>
      </w:r>
    </w:p>
    <w:p w14:paraId="00BC9825" w14:textId="77777777" w:rsidR="00A36D2A" w:rsidRPr="00C07F6E" w:rsidRDefault="00A36D2A" w:rsidP="00780234">
      <w:pPr>
        <w:pStyle w:val="ExhibitText"/>
      </w:pPr>
    </w:p>
    <w:tbl>
      <w:tblPr>
        <w:tblpPr w:leftFromText="187" w:rightFromText="187" w:vertAnchor="text" w:horzAnchor="page" w:tblpX="1597" w:tblpY="1"/>
        <w:tblOverlap w:val="never"/>
        <w:tblW w:w="5000" w:type="pct"/>
        <w:tblLook w:val="04A0" w:firstRow="1" w:lastRow="0" w:firstColumn="1" w:lastColumn="0" w:noHBand="0" w:noVBand="1"/>
      </w:tblPr>
      <w:tblGrid>
        <w:gridCol w:w="3686"/>
        <w:gridCol w:w="969"/>
        <w:gridCol w:w="939"/>
        <w:gridCol w:w="939"/>
        <w:gridCol w:w="939"/>
        <w:gridCol w:w="939"/>
        <w:gridCol w:w="939"/>
      </w:tblGrid>
      <w:tr w:rsidR="00C07F6E" w:rsidRPr="00C07F6E" w14:paraId="30A37B10" w14:textId="77777777" w:rsidTr="00E44318">
        <w:trPr>
          <w:trHeight w:val="35"/>
        </w:trPr>
        <w:tc>
          <w:tcPr>
            <w:tcW w:w="36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B36E4D" w14:textId="77777777" w:rsidR="00DD4D5C" w:rsidRPr="00A360E6" w:rsidRDefault="00DD4D5C" w:rsidP="00A360E6">
            <w:pPr>
              <w:pStyle w:val="ExhibitText"/>
              <w:jc w:val="left"/>
              <w:rPr>
                <w:b/>
              </w:rPr>
            </w:pPr>
            <w:r w:rsidRPr="00A360E6">
              <w:rPr>
                <w:b/>
              </w:rPr>
              <w:t>INCOME STATEMENT</w:t>
            </w:r>
          </w:p>
        </w:tc>
        <w:tc>
          <w:tcPr>
            <w:tcW w:w="1004" w:type="dxa"/>
            <w:tcBorders>
              <w:top w:val="single" w:sz="4" w:space="0" w:color="auto"/>
              <w:left w:val="single" w:sz="4" w:space="0" w:color="auto"/>
              <w:bottom w:val="single" w:sz="4" w:space="0" w:color="auto"/>
              <w:right w:val="single" w:sz="4" w:space="0" w:color="auto"/>
            </w:tcBorders>
          </w:tcPr>
          <w:p w14:paraId="779B5936" w14:textId="77777777" w:rsidR="00DD4D5C" w:rsidRPr="00C07F6E" w:rsidRDefault="00DD4D5C" w:rsidP="008D3B6A">
            <w:pPr>
              <w:pStyle w:val="ExhibitText"/>
            </w:pPr>
          </w:p>
        </w:tc>
        <w:tc>
          <w:tcPr>
            <w:tcW w:w="932" w:type="dxa"/>
            <w:tcBorders>
              <w:top w:val="single" w:sz="4" w:space="0" w:color="auto"/>
              <w:left w:val="single" w:sz="4" w:space="0" w:color="auto"/>
              <w:bottom w:val="single" w:sz="4" w:space="0" w:color="auto"/>
              <w:right w:val="single" w:sz="4" w:space="0" w:color="auto"/>
            </w:tcBorders>
            <w:shd w:val="clear" w:color="auto" w:fill="auto"/>
            <w:noWrap/>
            <w:hideMark/>
          </w:tcPr>
          <w:p w14:paraId="1DBA5345" w14:textId="77777777" w:rsidR="00DD4D5C" w:rsidRPr="00C07F6E" w:rsidRDefault="00DD4D5C" w:rsidP="008D3B6A">
            <w:pPr>
              <w:pStyle w:val="ExhibitText"/>
            </w:pPr>
          </w:p>
        </w:tc>
        <w:tc>
          <w:tcPr>
            <w:tcW w:w="932" w:type="dxa"/>
            <w:tcBorders>
              <w:top w:val="single" w:sz="4" w:space="0" w:color="auto"/>
              <w:left w:val="single" w:sz="4" w:space="0" w:color="auto"/>
              <w:bottom w:val="single" w:sz="4" w:space="0" w:color="auto"/>
              <w:right w:val="single" w:sz="4" w:space="0" w:color="auto"/>
            </w:tcBorders>
            <w:shd w:val="clear" w:color="auto" w:fill="auto"/>
            <w:noWrap/>
            <w:hideMark/>
          </w:tcPr>
          <w:p w14:paraId="10195237" w14:textId="77777777" w:rsidR="00DD4D5C" w:rsidRPr="00C07F6E" w:rsidRDefault="00DD4D5C" w:rsidP="008D3B6A">
            <w:pPr>
              <w:pStyle w:val="ExhibitText"/>
            </w:pPr>
          </w:p>
        </w:tc>
        <w:tc>
          <w:tcPr>
            <w:tcW w:w="932" w:type="dxa"/>
            <w:tcBorders>
              <w:top w:val="single" w:sz="4" w:space="0" w:color="auto"/>
              <w:left w:val="single" w:sz="4" w:space="0" w:color="auto"/>
              <w:bottom w:val="single" w:sz="4" w:space="0" w:color="auto"/>
              <w:right w:val="single" w:sz="4" w:space="0" w:color="auto"/>
            </w:tcBorders>
            <w:shd w:val="clear" w:color="auto" w:fill="auto"/>
            <w:noWrap/>
            <w:hideMark/>
          </w:tcPr>
          <w:p w14:paraId="3673BAC8" w14:textId="77777777" w:rsidR="00DD4D5C" w:rsidRPr="00C07F6E" w:rsidRDefault="00DD4D5C" w:rsidP="008D3B6A">
            <w:pPr>
              <w:pStyle w:val="ExhibitText"/>
            </w:pPr>
          </w:p>
        </w:tc>
        <w:tc>
          <w:tcPr>
            <w:tcW w:w="932" w:type="dxa"/>
            <w:tcBorders>
              <w:top w:val="single" w:sz="4" w:space="0" w:color="auto"/>
              <w:left w:val="single" w:sz="4" w:space="0" w:color="auto"/>
              <w:bottom w:val="single" w:sz="4" w:space="0" w:color="auto"/>
              <w:right w:val="single" w:sz="4" w:space="0" w:color="auto"/>
            </w:tcBorders>
            <w:shd w:val="clear" w:color="auto" w:fill="auto"/>
            <w:noWrap/>
            <w:hideMark/>
          </w:tcPr>
          <w:p w14:paraId="10D16A58" w14:textId="77777777" w:rsidR="00DD4D5C" w:rsidRPr="00C07F6E" w:rsidRDefault="00DD4D5C" w:rsidP="008D3B6A">
            <w:pPr>
              <w:pStyle w:val="ExhibitText"/>
            </w:pPr>
          </w:p>
        </w:tc>
        <w:tc>
          <w:tcPr>
            <w:tcW w:w="932" w:type="dxa"/>
            <w:tcBorders>
              <w:top w:val="single" w:sz="4" w:space="0" w:color="auto"/>
              <w:left w:val="single" w:sz="4" w:space="0" w:color="auto"/>
              <w:bottom w:val="single" w:sz="4" w:space="0" w:color="auto"/>
              <w:right w:val="single" w:sz="4" w:space="0" w:color="auto"/>
            </w:tcBorders>
            <w:shd w:val="clear" w:color="auto" w:fill="auto"/>
            <w:noWrap/>
            <w:hideMark/>
          </w:tcPr>
          <w:p w14:paraId="4CE963B8" w14:textId="77777777" w:rsidR="00DD4D5C" w:rsidRPr="00C07F6E" w:rsidRDefault="00DD4D5C" w:rsidP="008D3B6A">
            <w:pPr>
              <w:pStyle w:val="ExhibitText"/>
            </w:pPr>
          </w:p>
        </w:tc>
      </w:tr>
      <w:tr w:rsidR="00C07F6E" w:rsidRPr="00C07F6E" w14:paraId="6AF72E67" w14:textId="77777777" w:rsidTr="008D3B6A">
        <w:trPr>
          <w:trHeight w:val="288"/>
        </w:trPr>
        <w:tc>
          <w:tcPr>
            <w:tcW w:w="36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62F5A7" w14:textId="77777777" w:rsidR="00A360E6" w:rsidRDefault="00DD4D5C" w:rsidP="008D3B6A">
            <w:pPr>
              <w:pStyle w:val="ExhibitText"/>
              <w:jc w:val="left"/>
            </w:pPr>
            <w:bookmarkStart w:id="2" w:name="OLE_LINK1"/>
            <w:r w:rsidRPr="00C07F6E">
              <w:t>Fiscal year ends in February</w:t>
            </w:r>
            <w:r w:rsidR="00AE0DCF" w:rsidRPr="00C07F6E">
              <w:t xml:space="preserve"> </w:t>
            </w:r>
          </w:p>
          <w:p w14:paraId="0AB4D9E6" w14:textId="6A2C1D0A" w:rsidR="00DD4D5C" w:rsidRPr="00C07F6E" w:rsidRDefault="00DD4D5C" w:rsidP="008D3B6A">
            <w:pPr>
              <w:pStyle w:val="ExhibitText"/>
              <w:jc w:val="left"/>
            </w:pPr>
            <w:r w:rsidRPr="00C07F6E">
              <w:t xml:space="preserve">(in </w:t>
            </w:r>
            <w:r w:rsidR="00AB4B56" w:rsidRPr="00C07F6E">
              <w:t xml:space="preserve">£ </w:t>
            </w:r>
            <w:r w:rsidRPr="00C07F6E">
              <w:t>millions</w:t>
            </w:r>
            <w:r w:rsidR="00956C94" w:rsidRPr="00C07F6E">
              <w:t>,</w:t>
            </w:r>
            <w:r w:rsidRPr="00C07F6E">
              <w:t xml:space="preserve"> except per share data)</w:t>
            </w:r>
          </w:p>
        </w:tc>
        <w:tc>
          <w:tcPr>
            <w:tcW w:w="1004" w:type="dxa"/>
            <w:tcBorders>
              <w:top w:val="single" w:sz="4" w:space="0" w:color="auto"/>
              <w:left w:val="single" w:sz="4" w:space="0" w:color="auto"/>
              <w:bottom w:val="single" w:sz="4" w:space="0" w:color="auto"/>
              <w:right w:val="single" w:sz="4" w:space="0" w:color="auto"/>
            </w:tcBorders>
            <w:vAlign w:val="center"/>
          </w:tcPr>
          <w:p w14:paraId="57181229" w14:textId="60861D81" w:rsidR="00DD4D5C" w:rsidRPr="00780234" w:rsidRDefault="00DD4D5C" w:rsidP="008D3B6A">
            <w:pPr>
              <w:pStyle w:val="ExhibitText"/>
              <w:jc w:val="center"/>
              <w:rPr>
                <w:b/>
              </w:rPr>
            </w:pPr>
            <w:r w:rsidRPr="00780234">
              <w:rPr>
                <w:b/>
              </w:rPr>
              <w:t>201</w:t>
            </w:r>
            <w:r w:rsidR="009E277F" w:rsidRPr="00780234">
              <w:rPr>
                <w:b/>
              </w:rPr>
              <w:t>5/1</w:t>
            </w:r>
            <w:r w:rsidRPr="00780234">
              <w:rPr>
                <w:b/>
              </w:rPr>
              <w:t>6</w:t>
            </w:r>
          </w:p>
        </w:tc>
        <w:tc>
          <w:tcPr>
            <w:tcW w:w="9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7DA548" w14:textId="1426D4B4" w:rsidR="00DD4D5C" w:rsidRPr="00780234" w:rsidRDefault="00DD4D5C" w:rsidP="008D3B6A">
            <w:pPr>
              <w:pStyle w:val="ExhibitText"/>
              <w:jc w:val="center"/>
              <w:rPr>
                <w:b/>
              </w:rPr>
            </w:pPr>
            <w:r w:rsidRPr="00780234">
              <w:rPr>
                <w:b/>
              </w:rPr>
              <w:t>201</w:t>
            </w:r>
            <w:r w:rsidR="009E277F" w:rsidRPr="00780234">
              <w:rPr>
                <w:b/>
              </w:rPr>
              <w:t>4/1</w:t>
            </w:r>
            <w:r w:rsidRPr="00780234">
              <w:rPr>
                <w:b/>
              </w:rPr>
              <w:t>5</w:t>
            </w:r>
          </w:p>
        </w:tc>
        <w:tc>
          <w:tcPr>
            <w:tcW w:w="932" w:type="dxa"/>
            <w:tcBorders>
              <w:top w:val="single" w:sz="4" w:space="0" w:color="auto"/>
              <w:left w:val="nil"/>
              <w:bottom w:val="single" w:sz="4" w:space="0" w:color="auto"/>
              <w:right w:val="single" w:sz="4" w:space="0" w:color="auto"/>
            </w:tcBorders>
            <w:shd w:val="clear" w:color="auto" w:fill="auto"/>
            <w:noWrap/>
            <w:vAlign w:val="center"/>
            <w:hideMark/>
          </w:tcPr>
          <w:p w14:paraId="5C3A94B2" w14:textId="30BAB404" w:rsidR="00DD4D5C" w:rsidRPr="00780234" w:rsidRDefault="00DD4D5C" w:rsidP="008D3B6A">
            <w:pPr>
              <w:pStyle w:val="ExhibitText"/>
              <w:jc w:val="center"/>
              <w:rPr>
                <w:b/>
              </w:rPr>
            </w:pPr>
            <w:r w:rsidRPr="00780234">
              <w:rPr>
                <w:b/>
              </w:rPr>
              <w:t>201</w:t>
            </w:r>
            <w:r w:rsidR="009E277F" w:rsidRPr="00780234">
              <w:rPr>
                <w:b/>
              </w:rPr>
              <w:t>3/1</w:t>
            </w:r>
            <w:r w:rsidRPr="00780234">
              <w:rPr>
                <w:b/>
              </w:rPr>
              <w:t>4</w:t>
            </w:r>
          </w:p>
        </w:tc>
        <w:tc>
          <w:tcPr>
            <w:tcW w:w="932" w:type="dxa"/>
            <w:tcBorders>
              <w:top w:val="single" w:sz="4" w:space="0" w:color="auto"/>
              <w:left w:val="nil"/>
              <w:bottom w:val="single" w:sz="4" w:space="0" w:color="auto"/>
              <w:right w:val="single" w:sz="4" w:space="0" w:color="auto"/>
            </w:tcBorders>
            <w:shd w:val="clear" w:color="auto" w:fill="auto"/>
            <w:noWrap/>
            <w:vAlign w:val="center"/>
            <w:hideMark/>
          </w:tcPr>
          <w:p w14:paraId="4E674CD3" w14:textId="0598C0E4" w:rsidR="00DD4D5C" w:rsidRPr="00780234" w:rsidRDefault="00DD4D5C" w:rsidP="008D3B6A">
            <w:pPr>
              <w:pStyle w:val="ExhibitText"/>
              <w:jc w:val="center"/>
              <w:rPr>
                <w:b/>
              </w:rPr>
            </w:pPr>
            <w:r w:rsidRPr="00780234">
              <w:rPr>
                <w:b/>
              </w:rPr>
              <w:t>201</w:t>
            </w:r>
            <w:r w:rsidR="009E277F" w:rsidRPr="00780234">
              <w:rPr>
                <w:b/>
              </w:rPr>
              <w:t>2/1</w:t>
            </w:r>
            <w:r w:rsidRPr="00780234">
              <w:rPr>
                <w:b/>
              </w:rPr>
              <w:t>3</w:t>
            </w:r>
          </w:p>
        </w:tc>
        <w:tc>
          <w:tcPr>
            <w:tcW w:w="932" w:type="dxa"/>
            <w:tcBorders>
              <w:top w:val="single" w:sz="4" w:space="0" w:color="auto"/>
              <w:left w:val="nil"/>
              <w:bottom w:val="single" w:sz="4" w:space="0" w:color="auto"/>
              <w:right w:val="single" w:sz="4" w:space="0" w:color="auto"/>
            </w:tcBorders>
            <w:shd w:val="clear" w:color="auto" w:fill="auto"/>
            <w:noWrap/>
            <w:vAlign w:val="center"/>
            <w:hideMark/>
          </w:tcPr>
          <w:p w14:paraId="6BFB2486" w14:textId="502CB096" w:rsidR="00DD4D5C" w:rsidRPr="00780234" w:rsidRDefault="00DD4D5C" w:rsidP="008D3B6A">
            <w:pPr>
              <w:pStyle w:val="ExhibitText"/>
              <w:jc w:val="center"/>
              <w:rPr>
                <w:b/>
              </w:rPr>
            </w:pPr>
            <w:r w:rsidRPr="00780234">
              <w:rPr>
                <w:b/>
              </w:rPr>
              <w:t>201</w:t>
            </w:r>
            <w:r w:rsidR="009E277F" w:rsidRPr="00780234">
              <w:rPr>
                <w:b/>
              </w:rPr>
              <w:t>1/1</w:t>
            </w:r>
            <w:r w:rsidRPr="00780234">
              <w:rPr>
                <w:b/>
              </w:rPr>
              <w:t>2</w:t>
            </w:r>
          </w:p>
        </w:tc>
        <w:tc>
          <w:tcPr>
            <w:tcW w:w="932" w:type="dxa"/>
            <w:tcBorders>
              <w:top w:val="single" w:sz="4" w:space="0" w:color="auto"/>
              <w:left w:val="nil"/>
              <w:bottom w:val="single" w:sz="4" w:space="0" w:color="auto"/>
              <w:right w:val="single" w:sz="4" w:space="0" w:color="auto"/>
            </w:tcBorders>
            <w:shd w:val="clear" w:color="auto" w:fill="auto"/>
            <w:noWrap/>
            <w:vAlign w:val="center"/>
            <w:hideMark/>
          </w:tcPr>
          <w:p w14:paraId="1CB51BC6" w14:textId="5D7F4873" w:rsidR="00DD4D5C" w:rsidRPr="00780234" w:rsidRDefault="00DD4D5C" w:rsidP="008D3B6A">
            <w:pPr>
              <w:pStyle w:val="ExhibitText"/>
              <w:jc w:val="center"/>
              <w:rPr>
                <w:b/>
              </w:rPr>
            </w:pPr>
            <w:r w:rsidRPr="00780234">
              <w:rPr>
                <w:b/>
              </w:rPr>
              <w:t>201</w:t>
            </w:r>
            <w:r w:rsidR="009E277F" w:rsidRPr="00780234">
              <w:rPr>
                <w:b/>
              </w:rPr>
              <w:t>0/1</w:t>
            </w:r>
            <w:r w:rsidRPr="00780234">
              <w:rPr>
                <w:b/>
              </w:rPr>
              <w:t>1</w:t>
            </w:r>
          </w:p>
        </w:tc>
      </w:tr>
      <w:bookmarkEnd w:id="2"/>
      <w:tr w:rsidR="00C07F6E" w:rsidRPr="00C07F6E" w14:paraId="0039E2E2" w14:textId="77777777" w:rsidTr="00E44318">
        <w:trPr>
          <w:trHeight w:val="35"/>
        </w:trPr>
        <w:tc>
          <w:tcPr>
            <w:tcW w:w="3686" w:type="dxa"/>
            <w:tcBorders>
              <w:top w:val="single" w:sz="4" w:space="0" w:color="auto"/>
              <w:left w:val="single" w:sz="4" w:space="0" w:color="auto"/>
              <w:bottom w:val="nil"/>
              <w:right w:val="single" w:sz="4" w:space="0" w:color="auto"/>
            </w:tcBorders>
            <w:shd w:val="clear" w:color="auto" w:fill="auto"/>
            <w:noWrap/>
            <w:vAlign w:val="center"/>
            <w:hideMark/>
          </w:tcPr>
          <w:p w14:paraId="27BC1D74" w14:textId="77777777" w:rsidR="00DD4D5C" w:rsidRPr="00C07F6E" w:rsidRDefault="00DD4D5C" w:rsidP="008D3B6A">
            <w:pPr>
              <w:pStyle w:val="ExhibitText"/>
              <w:jc w:val="left"/>
            </w:pPr>
            <w:r w:rsidRPr="00C07F6E">
              <w:t>Revenue</w:t>
            </w:r>
          </w:p>
        </w:tc>
        <w:tc>
          <w:tcPr>
            <w:tcW w:w="1004" w:type="dxa"/>
            <w:tcBorders>
              <w:top w:val="nil"/>
              <w:left w:val="single" w:sz="4" w:space="0" w:color="auto"/>
              <w:bottom w:val="nil"/>
              <w:right w:val="single" w:sz="4" w:space="0" w:color="auto"/>
            </w:tcBorders>
            <w:vAlign w:val="center"/>
          </w:tcPr>
          <w:p w14:paraId="76C2C4AD" w14:textId="2DCCF9CD" w:rsidR="00DD4D5C" w:rsidRPr="00C07F6E" w:rsidRDefault="00DD4D5C" w:rsidP="008D3B6A">
            <w:pPr>
              <w:pStyle w:val="ExhibitText"/>
              <w:jc w:val="right"/>
            </w:pPr>
            <w:r w:rsidRPr="00C07F6E">
              <w:t>54,433</w:t>
            </w:r>
          </w:p>
        </w:tc>
        <w:tc>
          <w:tcPr>
            <w:tcW w:w="932" w:type="dxa"/>
            <w:tcBorders>
              <w:top w:val="nil"/>
              <w:left w:val="single" w:sz="4" w:space="0" w:color="auto"/>
              <w:bottom w:val="nil"/>
              <w:right w:val="single" w:sz="4" w:space="0" w:color="auto"/>
            </w:tcBorders>
            <w:shd w:val="clear" w:color="auto" w:fill="auto"/>
            <w:noWrap/>
            <w:vAlign w:val="center"/>
            <w:hideMark/>
          </w:tcPr>
          <w:p w14:paraId="29002360" w14:textId="2B97FB8D" w:rsidR="00DD4D5C" w:rsidRPr="00C07F6E" w:rsidRDefault="00DD4D5C" w:rsidP="008D3B6A">
            <w:pPr>
              <w:pStyle w:val="ExhibitText"/>
              <w:jc w:val="right"/>
            </w:pPr>
            <w:r w:rsidRPr="00C07F6E">
              <w:t xml:space="preserve">62,284 </w:t>
            </w:r>
          </w:p>
        </w:tc>
        <w:tc>
          <w:tcPr>
            <w:tcW w:w="932" w:type="dxa"/>
            <w:tcBorders>
              <w:top w:val="nil"/>
              <w:left w:val="nil"/>
              <w:bottom w:val="nil"/>
              <w:right w:val="single" w:sz="4" w:space="0" w:color="auto"/>
            </w:tcBorders>
            <w:shd w:val="clear" w:color="auto" w:fill="auto"/>
            <w:noWrap/>
            <w:vAlign w:val="center"/>
            <w:hideMark/>
          </w:tcPr>
          <w:p w14:paraId="0559DD8A" w14:textId="009A0E0B" w:rsidR="00DD4D5C" w:rsidRPr="00C07F6E" w:rsidRDefault="00DD4D5C" w:rsidP="008D3B6A">
            <w:pPr>
              <w:pStyle w:val="ExhibitText"/>
              <w:jc w:val="right"/>
            </w:pPr>
            <w:r w:rsidRPr="00C07F6E">
              <w:t xml:space="preserve">63,557 </w:t>
            </w:r>
          </w:p>
        </w:tc>
        <w:tc>
          <w:tcPr>
            <w:tcW w:w="932" w:type="dxa"/>
            <w:tcBorders>
              <w:top w:val="nil"/>
              <w:left w:val="nil"/>
              <w:bottom w:val="nil"/>
              <w:right w:val="single" w:sz="4" w:space="0" w:color="auto"/>
            </w:tcBorders>
            <w:shd w:val="clear" w:color="auto" w:fill="auto"/>
            <w:noWrap/>
            <w:vAlign w:val="center"/>
            <w:hideMark/>
          </w:tcPr>
          <w:p w14:paraId="6394AB6E" w14:textId="311969DA" w:rsidR="00DD4D5C" w:rsidRPr="00C07F6E" w:rsidRDefault="00DD4D5C" w:rsidP="008D3B6A">
            <w:pPr>
              <w:pStyle w:val="ExhibitText"/>
              <w:jc w:val="right"/>
            </w:pPr>
            <w:r w:rsidRPr="00C07F6E">
              <w:t xml:space="preserve">64,826 </w:t>
            </w:r>
          </w:p>
        </w:tc>
        <w:tc>
          <w:tcPr>
            <w:tcW w:w="932" w:type="dxa"/>
            <w:tcBorders>
              <w:top w:val="nil"/>
              <w:left w:val="nil"/>
              <w:bottom w:val="nil"/>
              <w:right w:val="single" w:sz="4" w:space="0" w:color="auto"/>
            </w:tcBorders>
            <w:shd w:val="clear" w:color="auto" w:fill="auto"/>
            <w:noWrap/>
            <w:vAlign w:val="center"/>
            <w:hideMark/>
          </w:tcPr>
          <w:p w14:paraId="598192EB" w14:textId="36FEB055" w:rsidR="00DD4D5C" w:rsidRPr="00C07F6E" w:rsidRDefault="00DD4D5C" w:rsidP="008D3B6A">
            <w:pPr>
              <w:pStyle w:val="ExhibitText"/>
              <w:jc w:val="right"/>
            </w:pPr>
            <w:r w:rsidRPr="00C07F6E">
              <w:t xml:space="preserve">64,539 </w:t>
            </w:r>
          </w:p>
        </w:tc>
        <w:tc>
          <w:tcPr>
            <w:tcW w:w="932" w:type="dxa"/>
            <w:tcBorders>
              <w:top w:val="nil"/>
              <w:left w:val="nil"/>
              <w:bottom w:val="nil"/>
              <w:right w:val="single" w:sz="4" w:space="0" w:color="auto"/>
            </w:tcBorders>
            <w:shd w:val="clear" w:color="auto" w:fill="auto"/>
            <w:noWrap/>
            <w:vAlign w:val="center"/>
            <w:hideMark/>
          </w:tcPr>
          <w:p w14:paraId="5AEE3A27" w14:textId="63BF6D94" w:rsidR="00DD4D5C" w:rsidRPr="00C07F6E" w:rsidRDefault="00DD4D5C" w:rsidP="008D3B6A">
            <w:pPr>
              <w:pStyle w:val="ExhibitText"/>
              <w:jc w:val="right"/>
            </w:pPr>
            <w:r w:rsidRPr="00C07F6E">
              <w:t xml:space="preserve">60,455 </w:t>
            </w:r>
          </w:p>
        </w:tc>
      </w:tr>
      <w:tr w:rsidR="00C07F6E" w:rsidRPr="00C07F6E" w14:paraId="263C5664" w14:textId="77777777" w:rsidTr="00E44318">
        <w:trPr>
          <w:trHeight w:val="45"/>
        </w:trPr>
        <w:tc>
          <w:tcPr>
            <w:tcW w:w="3686" w:type="dxa"/>
            <w:tcBorders>
              <w:top w:val="nil"/>
              <w:left w:val="single" w:sz="4" w:space="0" w:color="auto"/>
              <w:bottom w:val="single" w:sz="4" w:space="0" w:color="auto"/>
              <w:right w:val="single" w:sz="4" w:space="0" w:color="auto"/>
            </w:tcBorders>
            <w:shd w:val="clear" w:color="auto" w:fill="auto"/>
            <w:noWrap/>
            <w:vAlign w:val="center"/>
            <w:hideMark/>
          </w:tcPr>
          <w:p w14:paraId="47C19D1E" w14:textId="77777777" w:rsidR="00DD4D5C" w:rsidRPr="00C07F6E" w:rsidRDefault="00DD4D5C" w:rsidP="008D3B6A">
            <w:pPr>
              <w:pStyle w:val="ExhibitText"/>
              <w:jc w:val="left"/>
            </w:pPr>
            <w:r w:rsidRPr="00C07F6E">
              <w:t>Cost of revenue</w:t>
            </w:r>
          </w:p>
        </w:tc>
        <w:tc>
          <w:tcPr>
            <w:tcW w:w="1004" w:type="dxa"/>
            <w:tcBorders>
              <w:top w:val="nil"/>
              <w:left w:val="single" w:sz="4" w:space="0" w:color="auto"/>
              <w:bottom w:val="single" w:sz="4" w:space="0" w:color="auto"/>
              <w:right w:val="single" w:sz="4" w:space="0" w:color="auto"/>
            </w:tcBorders>
            <w:vAlign w:val="center"/>
          </w:tcPr>
          <w:p w14:paraId="69B55766" w14:textId="41DBADDE" w:rsidR="00DD4D5C" w:rsidRPr="00C07F6E" w:rsidRDefault="00DD4D5C" w:rsidP="008D3B6A">
            <w:pPr>
              <w:pStyle w:val="ExhibitText"/>
              <w:jc w:val="right"/>
            </w:pPr>
            <w:r w:rsidRPr="00C07F6E">
              <w:t>51,579</w:t>
            </w:r>
          </w:p>
        </w:tc>
        <w:tc>
          <w:tcPr>
            <w:tcW w:w="932" w:type="dxa"/>
            <w:tcBorders>
              <w:top w:val="nil"/>
              <w:left w:val="single" w:sz="4" w:space="0" w:color="auto"/>
              <w:bottom w:val="single" w:sz="4" w:space="0" w:color="auto"/>
              <w:right w:val="single" w:sz="4" w:space="0" w:color="auto"/>
            </w:tcBorders>
            <w:shd w:val="clear" w:color="auto" w:fill="auto"/>
            <w:noWrap/>
            <w:vAlign w:val="center"/>
            <w:hideMark/>
          </w:tcPr>
          <w:p w14:paraId="6CE6C190" w14:textId="23A9F518" w:rsidR="00DD4D5C" w:rsidRPr="00C07F6E" w:rsidRDefault="00DD4D5C" w:rsidP="008D3B6A">
            <w:pPr>
              <w:pStyle w:val="ExhibitText"/>
              <w:jc w:val="right"/>
            </w:pPr>
            <w:r w:rsidRPr="00C07F6E">
              <w:t xml:space="preserve">64,396 </w:t>
            </w:r>
          </w:p>
        </w:tc>
        <w:tc>
          <w:tcPr>
            <w:tcW w:w="932" w:type="dxa"/>
            <w:tcBorders>
              <w:top w:val="nil"/>
              <w:left w:val="nil"/>
              <w:bottom w:val="single" w:sz="4" w:space="0" w:color="auto"/>
              <w:right w:val="single" w:sz="4" w:space="0" w:color="auto"/>
            </w:tcBorders>
            <w:shd w:val="clear" w:color="auto" w:fill="auto"/>
            <w:noWrap/>
            <w:vAlign w:val="center"/>
            <w:hideMark/>
          </w:tcPr>
          <w:p w14:paraId="6B9CA586" w14:textId="4A2C4C38" w:rsidR="00DD4D5C" w:rsidRPr="00C07F6E" w:rsidRDefault="00DD4D5C" w:rsidP="008D3B6A">
            <w:pPr>
              <w:pStyle w:val="ExhibitText"/>
              <w:jc w:val="right"/>
            </w:pPr>
            <w:r w:rsidRPr="00C07F6E">
              <w:t xml:space="preserve">59,547 </w:t>
            </w:r>
          </w:p>
        </w:tc>
        <w:tc>
          <w:tcPr>
            <w:tcW w:w="932" w:type="dxa"/>
            <w:tcBorders>
              <w:top w:val="nil"/>
              <w:left w:val="nil"/>
              <w:bottom w:val="single" w:sz="4" w:space="0" w:color="auto"/>
              <w:right w:val="single" w:sz="4" w:space="0" w:color="auto"/>
            </w:tcBorders>
            <w:shd w:val="clear" w:color="auto" w:fill="auto"/>
            <w:noWrap/>
            <w:vAlign w:val="center"/>
            <w:hideMark/>
          </w:tcPr>
          <w:p w14:paraId="7386FB64" w14:textId="2074EA85" w:rsidR="00DD4D5C" w:rsidRPr="00C07F6E" w:rsidRDefault="00DD4D5C" w:rsidP="008D3B6A">
            <w:pPr>
              <w:pStyle w:val="ExhibitText"/>
              <w:jc w:val="right"/>
            </w:pPr>
            <w:r w:rsidRPr="00C07F6E">
              <w:t xml:space="preserve">60,737 </w:t>
            </w:r>
          </w:p>
        </w:tc>
        <w:tc>
          <w:tcPr>
            <w:tcW w:w="932" w:type="dxa"/>
            <w:tcBorders>
              <w:top w:val="nil"/>
              <w:left w:val="nil"/>
              <w:bottom w:val="single" w:sz="4" w:space="0" w:color="auto"/>
              <w:right w:val="single" w:sz="4" w:space="0" w:color="auto"/>
            </w:tcBorders>
            <w:shd w:val="clear" w:color="auto" w:fill="auto"/>
            <w:noWrap/>
            <w:vAlign w:val="center"/>
            <w:hideMark/>
          </w:tcPr>
          <w:p w14:paraId="1C6712F5" w14:textId="4055B28E" w:rsidR="00DD4D5C" w:rsidRPr="00C07F6E" w:rsidRDefault="00DD4D5C" w:rsidP="008D3B6A">
            <w:pPr>
              <w:pStyle w:val="ExhibitText"/>
              <w:jc w:val="right"/>
            </w:pPr>
            <w:r w:rsidRPr="00C07F6E">
              <w:t xml:space="preserve">59,278 </w:t>
            </w:r>
          </w:p>
        </w:tc>
        <w:tc>
          <w:tcPr>
            <w:tcW w:w="932" w:type="dxa"/>
            <w:tcBorders>
              <w:top w:val="nil"/>
              <w:left w:val="nil"/>
              <w:bottom w:val="single" w:sz="4" w:space="0" w:color="auto"/>
              <w:right w:val="single" w:sz="4" w:space="0" w:color="auto"/>
            </w:tcBorders>
            <w:shd w:val="clear" w:color="auto" w:fill="auto"/>
            <w:noWrap/>
            <w:vAlign w:val="center"/>
            <w:hideMark/>
          </w:tcPr>
          <w:p w14:paraId="394EFC93" w14:textId="32AFBAF1" w:rsidR="00DD4D5C" w:rsidRPr="00C07F6E" w:rsidRDefault="00DD4D5C" w:rsidP="008D3B6A">
            <w:pPr>
              <w:pStyle w:val="ExhibitText"/>
              <w:jc w:val="right"/>
            </w:pPr>
            <w:r w:rsidRPr="00C07F6E">
              <w:t xml:space="preserve">55,330 </w:t>
            </w:r>
          </w:p>
        </w:tc>
      </w:tr>
      <w:tr w:rsidR="00C07F6E" w:rsidRPr="00C07F6E" w14:paraId="6C180014" w14:textId="77777777" w:rsidTr="00E44318">
        <w:trPr>
          <w:trHeight w:val="35"/>
        </w:trPr>
        <w:tc>
          <w:tcPr>
            <w:tcW w:w="3686" w:type="dxa"/>
            <w:tcBorders>
              <w:top w:val="nil"/>
              <w:left w:val="single" w:sz="4" w:space="0" w:color="auto"/>
              <w:bottom w:val="single" w:sz="4" w:space="0" w:color="auto"/>
              <w:right w:val="single" w:sz="4" w:space="0" w:color="auto"/>
            </w:tcBorders>
            <w:shd w:val="clear" w:color="auto" w:fill="auto"/>
            <w:noWrap/>
            <w:vAlign w:val="center"/>
            <w:hideMark/>
          </w:tcPr>
          <w:p w14:paraId="73CAFCA3" w14:textId="77777777" w:rsidR="00DD4D5C" w:rsidRPr="00C07F6E" w:rsidRDefault="00DD4D5C" w:rsidP="008D3B6A">
            <w:pPr>
              <w:pStyle w:val="ExhibitText"/>
              <w:jc w:val="left"/>
            </w:pPr>
            <w:r w:rsidRPr="00C07F6E">
              <w:t>Gross profit</w:t>
            </w:r>
          </w:p>
        </w:tc>
        <w:tc>
          <w:tcPr>
            <w:tcW w:w="1004" w:type="dxa"/>
            <w:tcBorders>
              <w:top w:val="nil"/>
              <w:left w:val="single" w:sz="4" w:space="0" w:color="auto"/>
              <w:bottom w:val="single" w:sz="4" w:space="0" w:color="auto"/>
              <w:right w:val="single" w:sz="4" w:space="0" w:color="auto"/>
            </w:tcBorders>
            <w:vAlign w:val="center"/>
          </w:tcPr>
          <w:p w14:paraId="4D4AEFE7" w14:textId="1AA382B9" w:rsidR="00DD4D5C" w:rsidRPr="00C07F6E" w:rsidRDefault="00DD4D5C" w:rsidP="008D3B6A">
            <w:pPr>
              <w:pStyle w:val="ExhibitText"/>
              <w:jc w:val="right"/>
            </w:pPr>
            <w:r w:rsidRPr="00C07F6E">
              <w:t>2,854</w:t>
            </w:r>
          </w:p>
        </w:tc>
        <w:tc>
          <w:tcPr>
            <w:tcW w:w="932" w:type="dxa"/>
            <w:tcBorders>
              <w:top w:val="nil"/>
              <w:left w:val="single" w:sz="4" w:space="0" w:color="auto"/>
              <w:bottom w:val="single" w:sz="4" w:space="0" w:color="auto"/>
              <w:right w:val="single" w:sz="4" w:space="0" w:color="auto"/>
            </w:tcBorders>
            <w:shd w:val="clear" w:color="auto" w:fill="auto"/>
            <w:noWrap/>
            <w:vAlign w:val="center"/>
            <w:hideMark/>
          </w:tcPr>
          <w:p w14:paraId="4EE23FF7" w14:textId="0DDABE83" w:rsidR="00DD4D5C" w:rsidRPr="00C07F6E" w:rsidRDefault="00DD4D5C" w:rsidP="008D3B6A">
            <w:pPr>
              <w:pStyle w:val="ExhibitText"/>
              <w:jc w:val="right"/>
            </w:pPr>
            <w:r w:rsidRPr="00C07F6E">
              <w:t>(2,112)</w:t>
            </w:r>
          </w:p>
        </w:tc>
        <w:tc>
          <w:tcPr>
            <w:tcW w:w="932" w:type="dxa"/>
            <w:tcBorders>
              <w:top w:val="nil"/>
              <w:left w:val="nil"/>
              <w:bottom w:val="single" w:sz="4" w:space="0" w:color="auto"/>
              <w:right w:val="single" w:sz="4" w:space="0" w:color="auto"/>
            </w:tcBorders>
            <w:shd w:val="clear" w:color="auto" w:fill="auto"/>
            <w:noWrap/>
            <w:vAlign w:val="center"/>
            <w:hideMark/>
          </w:tcPr>
          <w:p w14:paraId="58BCD8C5" w14:textId="1BCB701F" w:rsidR="00DD4D5C" w:rsidRPr="00C07F6E" w:rsidRDefault="00DD4D5C" w:rsidP="008D3B6A">
            <w:pPr>
              <w:pStyle w:val="ExhibitText"/>
              <w:jc w:val="right"/>
            </w:pPr>
            <w:r w:rsidRPr="00C07F6E">
              <w:t xml:space="preserve">4,010 </w:t>
            </w:r>
          </w:p>
        </w:tc>
        <w:tc>
          <w:tcPr>
            <w:tcW w:w="932" w:type="dxa"/>
            <w:tcBorders>
              <w:top w:val="nil"/>
              <w:left w:val="nil"/>
              <w:bottom w:val="single" w:sz="4" w:space="0" w:color="auto"/>
              <w:right w:val="single" w:sz="4" w:space="0" w:color="auto"/>
            </w:tcBorders>
            <w:shd w:val="clear" w:color="auto" w:fill="auto"/>
            <w:noWrap/>
            <w:vAlign w:val="center"/>
            <w:hideMark/>
          </w:tcPr>
          <w:p w14:paraId="5FD4E8F0" w14:textId="66992881" w:rsidR="00DD4D5C" w:rsidRPr="00C07F6E" w:rsidRDefault="00DD4D5C" w:rsidP="008D3B6A">
            <w:pPr>
              <w:pStyle w:val="ExhibitText"/>
              <w:jc w:val="right"/>
            </w:pPr>
            <w:r w:rsidRPr="00C07F6E">
              <w:t xml:space="preserve">4,089 </w:t>
            </w:r>
          </w:p>
        </w:tc>
        <w:tc>
          <w:tcPr>
            <w:tcW w:w="932" w:type="dxa"/>
            <w:tcBorders>
              <w:top w:val="nil"/>
              <w:left w:val="nil"/>
              <w:bottom w:val="single" w:sz="4" w:space="0" w:color="auto"/>
              <w:right w:val="single" w:sz="4" w:space="0" w:color="auto"/>
            </w:tcBorders>
            <w:shd w:val="clear" w:color="auto" w:fill="auto"/>
            <w:noWrap/>
            <w:vAlign w:val="center"/>
            <w:hideMark/>
          </w:tcPr>
          <w:p w14:paraId="05F92432" w14:textId="1CB3D580" w:rsidR="00DD4D5C" w:rsidRPr="00C07F6E" w:rsidRDefault="00DD4D5C" w:rsidP="008D3B6A">
            <w:pPr>
              <w:pStyle w:val="ExhibitText"/>
              <w:jc w:val="right"/>
            </w:pPr>
            <w:r w:rsidRPr="00C07F6E">
              <w:t xml:space="preserve">5,261 </w:t>
            </w:r>
          </w:p>
        </w:tc>
        <w:tc>
          <w:tcPr>
            <w:tcW w:w="932" w:type="dxa"/>
            <w:tcBorders>
              <w:top w:val="nil"/>
              <w:left w:val="nil"/>
              <w:bottom w:val="single" w:sz="4" w:space="0" w:color="auto"/>
              <w:right w:val="single" w:sz="4" w:space="0" w:color="auto"/>
            </w:tcBorders>
            <w:shd w:val="clear" w:color="auto" w:fill="auto"/>
            <w:noWrap/>
            <w:vAlign w:val="center"/>
            <w:hideMark/>
          </w:tcPr>
          <w:p w14:paraId="41EE3FF2" w14:textId="3A1253E9" w:rsidR="00DD4D5C" w:rsidRPr="00C07F6E" w:rsidRDefault="00DD4D5C" w:rsidP="008D3B6A">
            <w:pPr>
              <w:pStyle w:val="ExhibitText"/>
              <w:jc w:val="right"/>
            </w:pPr>
            <w:r w:rsidRPr="00C07F6E">
              <w:t xml:space="preserve">5,125 </w:t>
            </w:r>
          </w:p>
        </w:tc>
      </w:tr>
      <w:tr w:rsidR="00C07F6E" w:rsidRPr="00C07F6E" w14:paraId="341BC46D" w14:textId="77777777" w:rsidTr="00E44318">
        <w:trPr>
          <w:trHeight w:val="35"/>
        </w:trPr>
        <w:tc>
          <w:tcPr>
            <w:tcW w:w="3686" w:type="dxa"/>
            <w:tcBorders>
              <w:top w:val="single" w:sz="4" w:space="0" w:color="auto"/>
              <w:left w:val="single" w:sz="4" w:space="0" w:color="auto"/>
              <w:bottom w:val="nil"/>
              <w:right w:val="single" w:sz="4" w:space="0" w:color="auto"/>
            </w:tcBorders>
            <w:shd w:val="clear" w:color="auto" w:fill="auto"/>
            <w:noWrap/>
            <w:vAlign w:val="center"/>
            <w:hideMark/>
          </w:tcPr>
          <w:p w14:paraId="6FC7DEF2" w14:textId="77777777" w:rsidR="00DD4D5C" w:rsidRPr="00A360E6" w:rsidRDefault="00DD4D5C" w:rsidP="008D3B6A">
            <w:pPr>
              <w:pStyle w:val="ExhibitText"/>
              <w:jc w:val="left"/>
            </w:pPr>
            <w:r w:rsidRPr="00A360E6">
              <w:t>Operating expenses</w:t>
            </w:r>
          </w:p>
        </w:tc>
        <w:tc>
          <w:tcPr>
            <w:tcW w:w="1004" w:type="dxa"/>
            <w:tcBorders>
              <w:top w:val="single" w:sz="4" w:space="0" w:color="auto"/>
              <w:left w:val="single" w:sz="4" w:space="0" w:color="auto"/>
              <w:bottom w:val="nil"/>
              <w:right w:val="single" w:sz="4" w:space="0" w:color="auto"/>
            </w:tcBorders>
            <w:vAlign w:val="center"/>
          </w:tcPr>
          <w:p w14:paraId="61C0E877" w14:textId="77777777" w:rsidR="00DD4D5C" w:rsidRPr="00C07F6E" w:rsidRDefault="00DD4D5C" w:rsidP="008D3B6A">
            <w:pPr>
              <w:pStyle w:val="ExhibitText"/>
              <w:jc w:val="right"/>
            </w:pPr>
          </w:p>
        </w:tc>
        <w:tc>
          <w:tcPr>
            <w:tcW w:w="932" w:type="dxa"/>
            <w:tcBorders>
              <w:top w:val="single" w:sz="4" w:space="0" w:color="auto"/>
              <w:left w:val="single" w:sz="4" w:space="0" w:color="auto"/>
              <w:bottom w:val="nil"/>
              <w:right w:val="single" w:sz="4" w:space="0" w:color="auto"/>
            </w:tcBorders>
            <w:shd w:val="clear" w:color="auto" w:fill="auto"/>
            <w:noWrap/>
            <w:vAlign w:val="center"/>
            <w:hideMark/>
          </w:tcPr>
          <w:p w14:paraId="40A3157E" w14:textId="55AB45FC" w:rsidR="00DD4D5C" w:rsidRPr="00C07F6E" w:rsidRDefault="00714F4F" w:rsidP="008D3B6A">
            <w:pPr>
              <w:pStyle w:val="ExhibitText"/>
              <w:jc w:val="right"/>
            </w:pPr>
            <w:r>
              <w:t xml:space="preserve"> </w:t>
            </w:r>
          </w:p>
        </w:tc>
        <w:tc>
          <w:tcPr>
            <w:tcW w:w="932" w:type="dxa"/>
            <w:tcBorders>
              <w:top w:val="single" w:sz="4" w:space="0" w:color="auto"/>
              <w:left w:val="nil"/>
              <w:bottom w:val="nil"/>
              <w:right w:val="single" w:sz="4" w:space="0" w:color="auto"/>
            </w:tcBorders>
            <w:shd w:val="clear" w:color="auto" w:fill="auto"/>
            <w:noWrap/>
            <w:vAlign w:val="center"/>
            <w:hideMark/>
          </w:tcPr>
          <w:p w14:paraId="4B7C4AB4" w14:textId="26A8A88B" w:rsidR="00DD4D5C" w:rsidRPr="00C07F6E" w:rsidRDefault="00714F4F" w:rsidP="008D3B6A">
            <w:pPr>
              <w:pStyle w:val="ExhibitText"/>
              <w:jc w:val="right"/>
            </w:pPr>
            <w:r>
              <w:t xml:space="preserve"> </w:t>
            </w:r>
          </w:p>
        </w:tc>
        <w:tc>
          <w:tcPr>
            <w:tcW w:w="932" w:type="dxa"/>
            <w:tcBorders>
              <w:top w:val="single" w:sz="4" w:space="0" w:color="auto"/>
              <w:left w:val="nil"/>
              <w:bottom w:val="nil"/>
              <w:right w:val="single" w:sz="4" w:space="0" w:color="auto"/>
            </w:tcBorders>
            <w:shd w:val="clear" w:color="auto" w:fill="auto"/>
            <w:noWrap/>
            <w:vAlign w:val="center"/>
            <w:hideMark/>
          </w:tcPr>
          <w:p w14:paraId="7A4AC39D" w14:textId="2F56A7BA" w:rsidR="00DD4D5C" w:rsidRPr="00C07F6E" w:rsidRDefault="00714F4F" w:rsidP="008D3B6A">
            <w:pPr>
              <w:pStyle w:val="ExhibitText"/>
              <w:jc w:val="right"/>
            </w:pPr>
            <w:r>
              <w:t xml:space="preserve"> </w:t>
            </w:r>
          </w:p>
        </w:tc>
        <w:tc>
          <w:tcPr>
            <w:tcW w:w="932" w:type="dxa"/>
            <w:tcBorders>
              <w:top w:val="single" w:sz="4" w:space="0" w:color="auto"/>
              <w:left w:val="nil"/>
              <w:bottom w:val="nil"/>
              <w:right w:val="single" w:sz="4" w:space="0" w:color="auto"/>
            </w:tcBorders>
            <w:shd w:val="clear" w:color="auto" w:fill="auto"/>
            <w:noWrap/>
            <w:vAlign w:val="center"/>
            <w:hideMark/>
          </w:tcPr>
          <w:p w14:paraId="213F5147" w14:textId="2A6D4C22" w:rsidR="00DD4D5C" w:rsidRPr="00C07F6E" w:rsidRDefault="00714F4F" w:rsidP="008D3B6A">
            <w:pPr>
              <w:pStyle w:val="ExhibitText"/>
              <w:jc w:val="right"/>
            </w:pPr>
            <w:r>
              <w:t xml:space="preserve"> </w:t>
            </w:r>
          </w:p>
        </w:tc>
        <w:tc>
          <w:tcPr>
            <w:tcW w:w="932" w:type="dxa"/>
            <w:tcBorders>
              <w:top w:val="single" w:sz="4" w:space="0" w:color="auto"/>
              <w:left w:val="nil"/>
              <w:bottom w:val="nil"/>
              <w:right w:val="single" w:sz="4" w:space="0" w:color="auto"/>
            </w:tcBorders>
            <w:shd w:val="clear" w:color="auto" w:fill="auto"/>
            <w:noWrap/>
            <w:vAlign w:val="center"/>
            <w:hideMark/>
          </w:tcPr>
          <w:p w14:paraId="151DD25C" w14:textId="3E0E8BB8" w:rsidR="00DD4D5C" w:rsidRPr="00C07F6E" w:rsidRDefault="00714F4F" w:rsidP="008D3B6A">
            <w:pPr>
              <w:pStyle w:val="ExhibitText"/>
              <w:jc w:val="right"/>
            </w:pPr>
            <w:r>
              <w:t xml:space="preserve"> </w:t>
            </w:r>
          </w:p>
        </w:tc>
      </w:tr>
      <w:tr w:rsidR="00C07F6E" w:rsidRPr="00C07F6E" w14:paraId="05F2231F" w14:textId="77777777" w:rsidTr="00E44318">
        <w:trPr>
          <w:trHeight w:val="45"/>
        </w:trPr>
        <w:tc>
          <w:tcPr>
            <w:tcW w:w="3686" w:type="dxa"/>
            <w:tcBorders>
              <w:top w:val="nil"/>
              <w:left w:val="single" w:sz="4" w:space="0" w:color="auto"/>
              <w:bottom w:val="nil"/>
              <w:right w:val="single" w:sz="4" w:space="0" w:color="auto"/>
            </w:tcBorders>
            <w:shd w:val="clear" w:color="auto" w:fill="auto"/>
            <w:noWrap/>
            <w:vAlign w:val="center"/>
            <w:hideMark/>
          </w:tcPr>
          <w:p w14:paraId="284B5B7F" w14:textId="725F594F" w:rsidR="00DD4D5C" w:rsidRPr="00C07F6E" w:rsidRDefault="00A360E6" w:rsidP="00780234">
            <w:pPr>
              <w:pStyle w:val="ExhibitText"/>
              <w:jc w:val="left"/>
            </w:pPr>
            <w:r>
              <w:t xml:space="preserve">  </w:t>
            </w:r>
            <w:r w:rsidR="00DD4D5C" w:rsidRPr="00C07F6E">
              <w:t xml:space="preserve">Sales, </w:t>
            </w:r>
            <w:r w:rsidR="00956C94" w:rsidRPr="00C07F6E">
              <w:t>g</w:t>
            </w:r>
            <w:r w:rsidR="00DD4D5C" w:rsidRPr="00C07F6E">
              <w:t>eneral</w:t>
            </w:r>
            <w:r w:rsidR="00956C94" w:rsidRPr="00C07F6E">
              <w:t>,</w:t>
            </w:r>
            <w:r w:rsidR="00DD4D5C" w:rsidRPr="00C07F6E">
              <w:t xml:space="preserve"> and administrative</w:t>
            </w:r>
          </w:p>
        </w:tc>
        <w:tc>
          <w:tcPr>
            <w:tcW w:w="1004" w:type="dxa"/>
            <w:tcBorders>
              <w:top w:val="nil"/>
              <w:left w:val="single" w:sz="4" w:space="0" w:color="auto"/>
              <w:bottom w:val="nil"/>
              <w:right w:val="single" w:sz="4" w:space="0" w:color="auto"/>
            </w:tcBorders>
            <w:vAlign w:val="center"/>
          </w:tcPr>
          <w:p w14:paraId="6E01DF11" w14:textId="6C29E543" w:rsidR="00DD4D5C" w:rsidRPr="00C07F6E" w:rsidRDefault="00DD4D5C" w:rsidP="008D3B6A">
            <w:pPr>
              <w:pStyle w:val="ExhibitText"/>
              <w:jc w:val="right"/>
            </w:pPr>
            <w:r w:rsidRPr="00C07F6E">
              <w:t>1,852</w:t>
            </w:r>
          </w:p>
        </w:tc>
        <w:tc>
          <w:tcPr>
            <w:tcW w:w="932" w:type="dxa"/>
            <w:tcBorders>
              <w:top w:val="nil"/>
              <w:left w:val="single" w:sz="4" w:space="0" w:color="auto"/>
              <w:bottom w:val="nil"/>
              <w:right w:val="single" w:sz="4" w:space="0" w:color="auto"/>
            </w:tcBorders>
            <w:shd w:val="clear" w:color="auto" w:fill="auto"/>
            <w:noWrap/>
            <w:vAlign w:val="center"/>
            <w:hideMark/>
          </w:tcPr>
          <w:p w14:paraId="58D77766" w14:textId="1E4D3075" w:rsidR="00DD4D5C" w:rsidRPr="00C07F6E" w:rsidRDefault="00DD4D5C" w:rsidP="008D3B6A">
            <w:pPr>
              <w:pStyle w:val="ExhibitText"/>
              <w:jc w:val="right"/>
            </w:pPr>
            <w:r w:rsidRPr="00C07F6E">
              <w:t xml:space="preserve">2,695 </w:t>
            </w:r>
          </w:p>
        </w:tc>
        <w:tc>
          <w:tcPr>
            <w:tcW w:w="932" w:type="dxa"/>
            <w:tcBorders>
              <w:top w:val="nil"/>
              <w:left w:val="nil"/>
              <w:bottom w:val="nil"/>
              <w:right w:val="single" w:sz="4" w:space="0" w:color="auto"/>
            </w:tcBorders>
            <w:shd w:val="clear" w:color="auto" w:fill="auto"/>
            <w:noWrap/>
            <w:vAlign w:val="center"/>
            <w:hideMark/>
          </w:tcPr>
          <w:p w14:paraId="5D0C775E" w14:textId="1248A863" w:rsidR="00DD4D5C" w:rsidRPr="00C07F6E" w:rsidRDefault="00DD4D5C" w:rsidP="008D3B6A">
            <w:pPr>
              <w:pStyle w:val="ExhibitText"/>
              <w:jc w:val="right"/>
            </w:pPr>
            <w:r w:rsidRPr="00C07F6E">
              <w:t xml:space="preserve">1,657 </w:t>
            </w:r>
          </w:p>
        </w:tc>
        <w:tc>
          <w:tcPr>
            <w:tcW w:w="932" w:type="dxa"/>
            <w:tcBorders>
              <w:top w:val="nil"/>
              <w:left w:val="nil"/>
              <w:bottom w:val="nil"/>
              <w:right w:val="single" w:sz="4" w:space="0" w:color="auto"/>
            </w:tcBorders>
            <w:shd w:val="clear" w:color="auto" w:fill="auto"/>
            <w:noWrap/>
            <w:vAlign w:val="center"/>
            <w:hideMark/>
          </w:tcPr>
          <w:p w14:paraId="424C3FE5" w14:textId="7D18F3DD" w:rsidR="00DD4D5C" w:rsidRPr="00C07F6E" w:rsidRDefault="00714F4F" w:rsidP="008D3B6A">
            <w:pPr>
              <w:pStyle w:val="ExhibitText"/>
              <w:jc w:val="right"/>
            </w:pPr>
            <w:r>
              <w:t xml:space="preserve"> </w:t>
            </w:r>
          </w:p>
        </w:tc>
        <w:tc>
          <w:tcPr>
            <w:tcW w:w="932" w:type="dxa"/>
            <w:tcBorders>
              <w:top w:val="nil"/>
              <w:left w:val="nil"/>
              <w:bottom w:val="nil"/>
              <w:right w:val="single" w:sz="4" w:space="0" w:color="auto"/>
            </w:tcBorders>
            <w:shd w:val="clear" w:color="auto" w:fill="auto"/>
            <w:noWrap/>
            <w:vAlign w:val="center"/>
            <w:hideMark/>
          </w:tcPr>
          <w:p w14:paraId="023BF981" w14:textId="41505886" w:rsidR="00DD4D5C" w:rsidRPr="00C07F6E" w:rsidRDefault="00714F4F" w:rsidP="008D3B6A">
            <w:pPr>
              <w:pStyle w:val="ExhibitText"/>
              <w:jc w:val="right"/>
            </w:pPr>
            <w:r>
              <w:t xml:space="preserve"> </w:t>
            </w:r>
          </w:p>
        </w:tc>
        <w:tc>
          <w:tcPr>
            <w:tcW w:w="932" w:type="dxa"/>
            <w:tcBorders>
              <w:top w:val="nil"/>
              <w:left w:val="nil"/>
              <w:bottom w:val="nil"/>
              <w:right w:val="single" w:sz="4" w:space="0" w:color="auto"/>
            </w:tcBorders>
            <w:shd w:val="clear" w:color="auto" w:fill="auto"/>
            <w:noWrap/>
            <w:vAlign w:val="center"/>
            <w:hideMark/>
          </w:tcPr>
          <w:p w14:paraId="51DF7E03" w14:textId="4260F49B" w:rsidR="00DD4D5C" w:rsidRPr="00C07F6E" w:rsidRDefault="00714F4F" w:rsidP="008D3B6A">
            <w:pPr>
              <w:pStyle w:val="ExhibitText"/>
              <w:jc w:val="right"/>
            </w:pPr>
            <w:r>
              <w:t xml:space="preserve"> </w:t>
            </w:r>
          </w:p>
        </w:tc>
      </w:tr>
      <w:tr w:rsidR="00C07F6E" w:rsidRPr="00C07F6E" w14:paraId="642DBFD3" w14:textId="77777777" w:rsidTr="00E44318">
        <w:trPr>
          <w:trHeight w:val="45"/>
        </w:trPr>
        <w:tc>
          <w:tcPr>
            <w:tcW w:w="3686" w:type="dxa"/>
            <w:tcBorders>
              <w:top w:val="nil"/>
              <w:left w:val="single" w:sz="4" w:space="0" w:color="auto"/>
              <w:bottom w:val="nil"/>
              <w:right w:val="single" w:sz="4" w:space="0" w:color="auto"/>
            </w:tcBorders>
            <w:shd w:val="clear" w:color="auto" w:fill="auto"/>
            <w:noWrap/>
            <w:vAlign w:val="center"/>
            <w:hideMark/>
          </w:tcPr>
          <w:p w14:paraId="353A0134" w14:textId="611EF54C" w:rsidR="00DD4D5C" w:rsidRPr="00C07F6E" w:rsidRDefault="00A360E6" w:rsidP="00780234">
            <w:pPr>
              <w:pStyle w:val="ExhibitText"/>
              <w:jc w:val="left"/>
            </w:pPr>
            <w:r>
              <w:t xml:space="preserve">  </w:t>
            </w:r>
            <w:r w:rsidR="00DD4D5C" w:rsidRPr="00C07F6E">
              <w:t>Other operating expenses</w:t>
            </w:r>
          </w:p>
        </w:tc>
        <w:tc>
          <w:tcPr>
            <w:tcW w:w="1004" w:type="dxa"/>
            <w:tcBorders>
              <w:top w:val="nil"/>
              <w:left w:val="single" w:sz="4" w:space="0" w:color="auto"/>
              <w:bottom w:val="single" w:sz="4" w:space="0" w:color="auto"/>
              <w:right w:val="single" w:sz="4" w:space="0" w:color="auto"/>
            </w:tcBorders>
            <w:vAlign w:val="center"/>
          </w:tcPr>
          <w:p w14:paraId="0D4CF06D" w14:textId="08709411" w:rsidR="00DD4D5C" w:rsidRPr="00C07F6E" w:rsidRDefault="00DD4D5C" w:rsidP="008D3B6A">
            <w:pPr>
              <w:pStyle w:val="ExhibitText"/>
              <w:jc w:val="right"/>
            </w:pPr>
            <w:r w:rsidRPr="00C07F6E">
              <w:t>(44)</w:t>
            </w:r>
          </w:p>
        </w:tc>
        <w:tc>
          <w:tcPr>
            <w:tcW w:w="932" w:type="dxa"/>
            <w:tcBorders>
              <w:top w:val="nil"/>
              <w:left w:val="single" w:sz="4" w:space="0" w:color="auto"/>
              <w:bottom w:val="single" w:sz="4" w:space="0" w:color="auto"/>
              <w:right w:val="single" w:sz="4" w:space="0" w:color="auto"/>
            </w:tcBorders>
            <w:shd w:val="clear" w:color="auto" w:fill="auto"/>
            <w:noWrap/>
            <w:vAlign w:val="center"/>
            <w:hideMark/>
          </w:tcPr>
          <w:p w14:paraId="5BB0327A" w14:textId="61ED0932" w:rsidR="00DD4D5C" w:rsidRPr="00C07F6E" w:rsidRDefault="00DD4D5C" w:rsidP="008D3B6A">
            <w:pPr>
              <w:pStyle w:val="ExhibitText"/>
              <w:jc w:val="right"/>
            </w:pPr>
            <w:r w:rsidRPr="00C07F6E">
              <w:t xml:space="preserve">985 </w:t>
            </w:r>
          </w:p>
        </w:tc>
        <w:tc>
          <w:tcPr>
            <w:tcW w:w="932" w:type="dxa"/>
            <w:tcBorders>
              <w:top w:val="nil"/>
              <w:left w:val="nil"/>
              <w:bottom w:val="single" w:sz="4" w:space="0" w:color="auto"/>
              <w:right w:val="single" w:sz="4" w:space="0" w:color="auto"/>
            </w:tcBorders>
            <w:shd w:val="clear" w:color="auto" w:fill="auto"/>
            <w:noWrap/>
            <w:vAlign w:val="center"/>
            <w:hideMark/>
          </w:tcPr>
          <w:p w14:paraId="118D6AF5" w14:textId="5D86A5C5" w:rsidR="00DD4D5C" w:rsidRPr="00C07F6E" w:rsidRDefault="00DD4D5C" w:rsidP="008D3B6A">
            <w:pPr>
              <w:pStyle w:val="ExhibitText"/>
              <w:jc w:val="right"/>
            </w:pPr>
            <w:r w:rsidRPr="00C07F6E">
              <w:t>(278)</w:t>
            </w:r>
          </w:p>
        </w:tc>
        <w:tc>
          <w:tcPr>
            <w:tcW w:w="932" w:type="dxa"/>
            <w:tcBorders>
              <w:top w:val="nil"/>
              <w:left w:val="nil"/>
              <w:bottom w:val="single" w:sz="4" w:space="0" w:color="auto"/>
              <w:right w:val="single" w:sz="4" w:space="0" w:color="auto"/>
            </w:tcBorders>
            <w:shd w:val="clear" w:color="auto" w:fill="auto"/>
            <w:noWrap/>
            <w:vAlign w:val="center"/>
            <w:hideMark/>
          </w:tcPr>
          <w:p w14:paraId="794CFD69" w14:textId="119251E8" w:rsidR="00DD4D5C" w:rsidRPr="00C07F6E" w:rsidRDefault="00DD4D5C" w:rsidP="008D3B6A">
            <w:pPr>
              <w:pStyle w:val="ExhibitText"/>
              <w:jc w:val="right"/>
            </w:pPr>
            <w:r w:rsidRPr="00C07F6E">
              <w:t xml:space="preserve">1,901 </w:t>
            </w:r>
          </w:p>
        </w:tc>
        <w:tc>
          <w:tcPr>
            <w:tcW w:w="932" w:type="dxa"/>
            <w:tcBorders>
              <w:top w:val="nil"/>
              <w:left w:val="nil"/>
              <w:bottom w:val="single" w:sz="4" w:space="0" w:color="auto"/>
              <w:right w:val="single" w:sz="4" w:space="0" w:color="auto"/>
            </w:tcBorders>
            <w:shd w:val="clear" w:color="auto" w:fill="auto"/>
            <w:noWrap/>
            <w:vAlign w:val="center"/>
            <w:hideMark/>
          </w:tcPr>
          <w:p w14:paraId="19A29F21" w14:textId="355CF4DE" w:rsidR="00DD4D5C" w:rsidRPr="00C07F6E" w:rsidRDefault="00DD4D5C" w:rsidP="008D3B6A">
            <w:pPr>
              <w:pStyle w:val="ExhibitText"/>
              <w:jc w:val="right"/>
            </w:pPr>
            <w:r w:rsidRPr="00C07F6E">
              <w:t xml:space="preserve">2,486 </w:t>
            </w:r>
          </w:p>
        </w:tc>
        <w:tc>
          <w:tcPr>
            <w:tcW w:w="932" w:type="dxa"/>
            <w:tcBorders>
              <w:top w:val="nil"/>
              <w:left w:val="nil"/>
              <w:bottom w:val="single" w:sz="4" w:space="0" w:color="auto"/>
              <w:right w:val="single" w:sz="4" w:space="0" w:color="auto"/>
            </w:tcBorders>
            <w:shd w:val="clear" w:color="auto" w:fill="auto"/>
            <w:noWrap/>
            <w:vAlign w:val="center"/>
            <w:hideMark/>
          </w:tcPr>
          <w:p w14:paraId="0EBF83BE" w14:textId="4A2ABC58" w:rsidR="00DD4D5C" w:rsidRPr="00C07F6E" w:rsidRDefault="00DD4D5C" w:rsidP="008D3B6A">
            <w:pPr>
              <w:pStyle w:val="ExhibitText"/>
              <w:jc w:val="right"/>
            </w:pPr>
            <w:r w:rsidRPr="00C07F6E">
              <w:t xml:space="preserve">2,290 </w:t>
            </w:r>
          </w:p>
        </w:tc>
      </w:tr>
      <w:tr w:rsidR="00C07F6E" w:rsidRPr="00C07F6E" w14:paraId="597EBBD4" w14:textId="77777777" w:rsidTr="00E44318">
        <w:trPr>
          <w:trHeight w:val="142"/>
        </w:trPr>
        <w:tc>
          <w:tcPr>
            <w:tcW w:w="36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24FD82" w14:textId="376E2DA7" w:rsidR="00DD4D5C" w:rsidRPr="00C07F6E" w:rsidRDefault="00DD4D5C" w:rsidP="00780234">
            <w:pPr>
              <w:pStyle w:val="ExhibitText"/>
              <w:jc w:val="left"/>
            </w:pPr>
            <w:r w:rsidRPr="00C07F6E">
              <w:t>Total operating expenses</w:t>
            </w:r>
          </w:p>
        </w:tc>
        <w:tc>
          <w:tcPr>
            <w:tcW w:w="1004" w:type="dxa"/>
            <w:tcBorders>
              <w:top w:val="nil"/>
              <w:left w:val="single" w:sz="4" w:space="0" w:color="auto"/>
              <w:bottom w:val="single" w:sz="4" w:space="0" w:color="auto"/>
              <w:right w:val="single" w:sz="4" w:space="0" w:color="auto"/>
            </w:tcBorders>
            <w:vAlign w:val="center"/>
          </w:tcPr>
          <w:p w14:paraId="081E47BC" w14:textId="648851AF" w:rsidR="00DD4D5C" w:rsidRPr="00C07F6E" w:rsidRDefault="00DD4D5C" w:rsidP="008D3B6A">
            <w:pPr>
              <w:pStyle w:val="ExhibitText"/>
              <w:jc w:val="right"/>
            </w:pPr>
            <w:r w:rsidRPr="00C07F6E">
              <w:t>1,808</w:t>
            </w:r>
          </w:p>
        </w:tc>
        <w:tc>
          <w:tcPr>
            <w:tcW w:w="932" w:type="dxa"/>
            <w:tcBorders>
              <w:top w:val="nil"/>
              <w:left w:val="single" w:sz="4" w:space="0" w:color="auto"/>
              <w:bottom w:val="single" w:sz="4" w:space="0" w:color="auto"/>
              <w:right w:val="single" w:sz="4" w:space="0" w:color="auto"/>
            </w:tcBorders>
            <w:shd w:val="clear" w:color="auto" w:fill="auto"/>
            <w:noWrap/>
            <w:vAlign w:val="center"/>
            <w:hideMark/>
          </w:tcPr>
          <w:p w14:paraId="0CB2B32B" w14:textId="5CB29EFC" w:rsidR="00DD4D5C" w:rsidRPr="00C07F6E" w:rsidRDefault="00DD4D5C" w:rsidP="008D3B6A">
            <w:pPr>
              <w:pStyle w:val="ExhibitText"/>
              <w:jc w:val="right"/>
            </w:pPr>
            <w:r w:rsidRPr="00C07F6E">
              <w:t xml:space="preserve">3,680 </w:t>
            </w:r>
          </w:p>
        </w:tc>
        <w:tc>
          <w:tcPr>
            <w:tcW w:w="932" w:type="dxa"/>
            <w:tcBorders>
              <w:top w:val="nil"/>
              <w:left w:val="nil"/>
              <w:bottom w:val="single" w:sz="4" w:space="0" w:color="auto"/>
              <w:right w:val="single" w:sz="4" w:space="0" w:color="auto"/>
            </w:tcBorders>
            <w:shd w:val="clear" w:color="auto" w:fill="auto"/>
            <w:noWrap/>
            <w:vAlign w:val="center"/>
            <w:hideMark/>
          </w:tcPr>
          <w:p w14:paraId="3E90311E" w14:textId="4B89FF6A" w:rsidR="00DD4D5C" w:rsidRPr="00C07F6E" w:rsidRDefault="00DD4D5C" w:rsidP="008D3B6A">
            <w:pPr>
              <w:pStyle w:val="ExhibitText"/>
              <w:jc w:val="right"/>
            </w:pPr>
            <w:r w:rsidRPr="00C07F6E">
              <w:t xml:space="preserve">1,379 </w:t>
            </w:r>
          </w:p>
        </w:tc>
        <w:tc>
          <w:tcPr>
            <w:tcW w:w="932" w:type="dxa"/>
            <w:tcBorders>
              <w:top w:val="nil"/>
              <w:left w:val="nil"/>
              <w:bottom w:val="single" w:sz="4" w:space="0" w:color="auto"/>
              <w:right w:val="single" w:sz="4" w:space="0" w:color="auto"/>
            </w:tcBorders>
            <w:shd w:val="clear" w:color="auto" w:fill="auto"/>
            <w:noWrap/>
            <w:vAlign w:val="center"/>
            <w:hideMark/>
          </w:tcPr>
          <w:p w14:paraId="3CB92417" w14:textId="0818657F" w:rsidR="00DD4D5C" w:rsidRPr="00C07F6E" w:rsidRDefault="00DD4D5C" w:rsidP="008D3B6A">
            <w:pPr>
              <w:pStyle w:val="ExhibitText"/>
              <w:jc w:val="right"/>
            </w:pPr>
            <w:r w:rsidRPr="00C07F6E">
              <w:t xml:space="preserve">1,901 </w:t>
            </w:r>
          </w:p>
        </w:tc>
        <w:tc>
          <w:tcPr>
            <w:tcW w:w="932" w:type="dxa"/>
            <w:tcBorders>
              <w:top w:val="nil"/>
              <w:left w:val="nil"/>
              <w:bottom w:val="single" w:sz="4" w:space="0" w:color="auto"/>
              <w:right w:val="single" w:sz="4" w:space="0" w:color="auto"/>
            </w:tcBorders>
            <w:shd w:val="clear" w:color="auto" w:fill="auto"/>
            <w:noWrap/>
            <w:vAlign w:val="center"/>
            <w:hideMark/>
          </w:tcPr>
          <w:p w14:paraId="25AA582E" w14:textId="2AFA6067" w:rsidR="00DD4D5C" w:rsidRPr="00C07F6E" w:rsidRDefault="00DD4D5C" w:rsidP="008D3B6A">
            <w:pPr>
              <w:pStyle w:val="ExhibitText"/>
              <w:jc w:val="right"/>
            </w:pPr>
            <w:r w:rsidRPr="00C07F6E">
              <w:t xml:space="preserve">2,486 </w:t>
            </w:r>
          </w:p>
        </w:tc>
        <w:tc>
          <w:tcPr>
            <w:tcW w:w="932" w:type="dxa"/>
            <w:tcBorders>
              <w:top w:val="nil"/>
              <w:left w:val="nil"/>
              <w:bottom w:val="single" w:sz="4" w:space="0" w:color="auto"/>
              <w:right w:val="single" w:sz="4" w:space="0" w:color="auto"/>
            </w:tcBorders>
            <w:shd w:val="clear" w:color="auto" w:fill="auto"/>
            <w:noWrap/>
            <w:vAlign w:val="center"/>
            <w:hideMark/>
          </w:tcPr>
          <w:p w14:paraId="13059DAD" w14:textId="625109C9" w:rsidR="00DD4D5C" w:rsidRPr="00C07F6E" w:rsidRDefault="00DD4D5C" w:rsidP="008D3B6A">
            <w:pPr>
              <w:pStyle w:val="ExhibitText"/>
              <w:jc w:val="right"/>
            </w:pPr>
            <w:r w:rsidRPr="00C07F6E">
              <w:t xml:space="preserve">2,290 </w:t>
            </w:r>
          </w:p>
        </w:tc>
      </w:tr>
      <w:tr w:rsidR="00C07F6E" w:rsidRPr="00C07F6E" w14:paraId="08AED90F" w14:textId="77777777" w:rsidTr="00E44318">
        <w:trPr>
          <w:trHeight w:val="35"/>
        </w:trPr>
        <w:tc>
          <w:tcPr>
            <w:tcW w:w="36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F8A6E1" w14:textId="77777777" w:rsidR="00DD4D5C" w:rsidRPr="00C07F6E" w:rsidRDefault="00DD4D5C" w:rsidP="008D3B6A">
            <w:pPr>
              <w:pStyle w:val="ExhibitText"/>
              <w:jc w:val="left"/>
            </w:pPr>
            <w:r w:rsidRPr="00C07F6E">
              <w:t>Operating income</w:t>
            </w:r>
          </w:p>
        </w:tc>
        <w:tc>
          <w:tcPr>
            <w:tcW w:w="1004" w:type="dxa"/>
            <w:tcBorders>
              <w:top w:val="single" w:sz="4" w:space="0" w:color="auto"/>
              <w:left w:val="single" w:sz="4" w:space="0" w:color="auto"/>
              <w:bottom w:val="single" w:sz="4" w:space="0" w:color="auto"/>
              <w:right w:val="single" w:sz="4" w:space="0" w:color="auto"/>
            </w:tcBorders>
            <w:vAlign w:val="center"/>
          </w:tcPr>
          <w:p w14:paraId="7726F108" w14:textId="59F150F7" w:rsidR="00DD4D5C" w:rsidRPr="00C07F6E" w:rsidRDefault="00DD4D5C" w:rsidP="008D3B6A">
            <w:pPr>
              <w:pStyle w:val="ExhibitText"/>
              <w:jc w:val="right"/>
            </w:pPr>
            <w:r w:rsidRPr="00C07F6E">
              <w:t>1,046</w:t>
            </w:r>
          </w:p>
        </w:tc>
        <w:tc>
          <w:tcPr>
            <w:tcW w:w="9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F9C44E" w14:textId="19BBF19E" w:rsidR="00DD4D5C" w:rsidRPr="00C07F6E" w:rsidRDefault="00DD4D5C" w:rsidP="008D3B6A">
            <w:pPr>
              <w:pStyle w:val="ExhibitText"/>
              <w:jc w:val="right"/>
            </w:pPr>
            <w:r w:rsidRPr="00C07F6E">
              <w:t>(5,792)</w:t>
            </w:r>
          </w:p>
        </w:tc>
        <w:tc>
          <w:tcPr>
            <w:tcW w:w="932" w:type="dxa"/>
            <w:tcBorders>
              <w:top w:val="single" w:sz="4" w:space="0" w:color="auto"/>
              <w:left w:val="nil"/>
              <w:bottom w:val="single" w:sz="4" w:space="0" w:color="auto"/>
              <w:right w:val="single" w:sz="4" w:space="0" w:color="auto"/>
            </w:tcBorders>
            <w:shd w:val="clear" w:color="auto" w:fill="auto"/>
            <w:noWrap/>
            <w:vAlign w:val="center"/>
            <w:hideMark/>
          </w:tcPr>
          <w:p w14:paraId="27ECBCAE" w14:textId="5A3104BA" w:rsidR="00DD4D5C" w:rsidRPr="00C07F6E" w:rsidRDefault="00DD4D5C" w:rsidP="008D3B6A">
            <w:pPr>
              <w:pStyle w:val="ExhibitText"/>
              <w:jc w:val="right"/>
            </w:pPr>
            <w:r w:rsidRPr="00C07F6E">
              <w:t xml:space="preserve">2,631 </w:t>
            </w:r>
          </w:p>
        </w:tc>
        <w:tc>
          <w:tcPr>
            <w:tcW w:w="932" w:type="dxa"/>
            <w:tcBorders>
              <w:top w:val="single" w:sz="4" w:space="0" w:color="auto"/>
              <w:left w:val="nil"/>
              <w:bottom w:val="single" w:sz="4" w:space="0" w:color="auto"/>
              <w:right w:val="single" w:sz="4" w:space="0" w:color="auto"/>
            </w:tcBorders>
            <w:shd w:val="clear" w:color="auto" w:fill="auto"/>
            <w:noWrap/>
            <w:vAlign w:val="center"/>
            <w:hideMark/>
          </w:tcPr>
          <w:p w14:paraId="400F189B" w14:textId="258F349B" w:rsidR="00DD4D5C" w:rsidRPr="00C07F6E" w:rsidRDefault="00DD4D5C" w:rsidP="008D3B6A">
            <w:pPr>
              <w:pStyle w:val="ExhibitText"/>
              <w:jc w:val="right"/>
            </w:pPr>
            <w:r w:rsidRPr="00C07F6E">
              <w:t xml:space="preserve">2,188 </w:t>
            </w:r>
          </w:p>
        </w:tc>
        <w:tc>
          <w:tcPr>
            <w:tcW w:w="932" w:type="dxa"/>
            <w:tcBorders>
              <w:top w:val="single" w:sz="4" w:space="0" w:color="auto"/>
              <w:left w:val="nil"/>
              <w:bottom w:val="single" w:sz="4" w:space="0" w:color="auto"/>
              <w:right w:val="single" w:sz="4" w:space="0" w:color="auto"/>
            </w:tcBorders>
            <w:shd w:val="clear" w:color="auto" w:fill="auto"/>
            <w:noWrap/>
            <w:vAlign w:val="center"/>
            <w:hideMark/>
          </w:tcPr>
          <w:p w14:paraId="1E2FD165" w14:textId="01E1DA68" w:rsidR="00DD4D5C" w:rsidRPr="00C07F6E" w:rsidRDefault="00DD4D5C" w:rsidP="008D3B6A">
            <w:pPr>
              <w:pStyle w:val="ExhibitText"/>
              <w:jc w:val="right"/>
            </w:pPr>
            <w:r w:rsidRPr="00C07F6E">
              <w:t xml:space="preserve">2,775 </w:t>
            </w:r>
          </w:p>
        </w:tc>
        <w:tc>
          <w:tcPr>
            <w:tcW w:w="932" w:type="dxa"/>
            <w:tcBorders>
              <w:top w:val="single" w:sz="4" w:space="0" w:color="auto"/>
              <w:left w:val="nil"/>
              <w:bottom w:val="single" w:sz="4" w:space="0" w:color="auto"/>
              <w:right w:val="single" w:sz="4" w:space="0" w:color="auto"/>
            </w:tcBorders>
            <w:shd w:val="clear" w:color="auto" w:fill="auto"/>
            <w:noWrap/>
            <w:vAlign w:val="center"/>
            <w:hideMark/>
          </w:tcPr>
          <w:p w14:paraId="2B80D66D" w14:textId="50846ED1" w:rsidR="00DD4D5C" w:rsidRPr="00C07F6E" w:rsidRDefault="00DD4D5C" w:rsidP="008D3B6A">
            <w:pPr>
              <w:pStyle w:val="ExhibitText"/>
              <w:jc w:val="right"/>
            </w:pPr>
            <w:r w:rsidRPr="00C07F6E">
              <w:t xml:space="preserve">2,835 </w:t>
            </w:r>
          </w:p>
        </w:tc>
      </w:tr>
      <w:tr w:rsidR="00C07F6E" w:rsidRPr="00C07F6E" w14:paraId="122D42C9" w14:textId="77777777" w:rsidTr="00E44318">
        <w:trPr>
          <w:trHeight w:val="92"/>
        </w:trPr>
        <w:tc>
          <w:tcPr>
            <w:tcW w:w="3686" w:type="dxa"/>
            <w:tcBorders>
              <w:top w:val="single" w:sz="4" w:space="0" w:color="auto"/>
              <w:left w:val="single" w:sz="4" w:space="0" w:color="auto"/>
              <w:bottom w:val="nil"/>
              <w:right w:val="single" w:sz="4" w:space="0" w:color="auto"/>
            </w:tcBorders>
            <w:shd w:val="clear" w:color="auto" w:fill="auto"/>
            <w:noWrap/>
            <w:vAlign w:val="center"/>
            <w:hideMark/>
          </w:tcPr>
          <w:p w14:paraId="36C9D689" w14:textId="4654517C" w:rsidR="00DD4D5C" w:rsidRPr="00C07F6E" w:rsidRDefault="00DD4D5C" w:rsidP="008D3B6A">
            <w:pPr>
              <w:pStyle w:val="ExhibitText"/>
              <w:jc w:val="left"/>
            </w:pPr>
            <w:r w:rsidRPr="00C07F6E">
              <w:t xml:space="preserve">Interest </w:t>
            </w:r>
            <w:r w:rsidR="00956C94" w:rsidRPr="00C07F6E">
              <w:t>e</w:t>
            </w:r>
            <w:r w:rsidRPr="00C07F6E">
              <w:t>xpense</w:t>
            </w:r>
          </w:p>
        </w:tc>
        <w:tc>
          <w:tcPr>
            <w:tcW w:w="1004" w:type="dxa"/>
            <w:tcBorders>
              <w:top w:val="single" w:sz="4" w:space="0" w:color="auto"/>
              <w:left w:val="single" w:sz="4" w:space="0" w:color="auto"/>
              <w:bottom w:val="nil"/>
              <w:right w:val="single" w:sz="4" w:space="0" w:color="auto"/>
            </w:tcBorders>
            <w:vAlign w:val="center"/>
          </w:tcPr>
          <w:p w14:paraId="7838278C" w14:textId="039C3A1F" w:rsidR="00DD4D5C" w:rsidRPr="00C07F6E" w:rsidRDefault="00DD4D5C" w:rsidP="008D3B6A">
            <w:pPr>
              <w:pStyle w:val="ExhibitText"/>
              <w:jc w:val="right"/>
            </w:pPr>
            <w:r w:rsidRPr="00C07F6E">
              <w:t>498</w:t>
            </w:r>
          </w:p>
        </w:tc>
        <w:tc>
          <w:tcPr>
            <w:tcW w:w="932" w:type="dxa"/>
            <w:tcBorders>
              <w:top w:val="single" w:sz="4" w:space="0" w:color="auto"/>
              <w:left w:val="single" w:sz="4" w:space="0" w:color="auto"/>
              <w:bottom w:val="nil"/>
              <w:right w:val="single" w:sz="4" w:space="0" w:color="auto"/>
            </w:tcBorders>
            <w:shd w:val="clear" w:color="auto" w:fill="auto"/>
            <w:noWrap/>
            <w:vAlign w:val="center"/>
            <w:hideMark/>
          </w:tcPr>
          <w:p w14:paraId="1D5227A3" w14:textId="1B6E7AD9" w:rsidR="00DD4D5C" w:rsidRPr="00C07F6E" w:rsidRDefault="00DD4D5C" w:rsidP="008D3B6A">
            <w:pPr>
              <w:pStyle w:val="ExhibitText"/>
              <w:jc w:val="right"/>
            </w:pPr>
            <w:r w:rsidRPr="00C07F6E">
              <w:t xml:space="preserve">499 </w:t>
            </w:r>
          </w:p>
        </w:tc>
        <w:tc>
          <w:tcPr>
            <w:tcW w:w="932" w:type="dxa"/>
            <w:tcBorders>
              <w:top w:val="single" w:sz="4" w:space="0" w:color="auto"/>
              <w:left w:val="nil"/>
              <w:bottom w:val="nil"/>
              <w:right w:val="single" w:sz="4" w:space="0" w:color="auto"/>
            </w:tcBorders>
            <w:shd w:val="clear" w:color="auto" w:fill="auto"/>
            <w:noWrap/>
            <w:vAlign w:val="center"/>
            <w:hideMark/>
          </w:tcPr>
          <w:p w14:paraId="73C762C4" w14:textId="786BAA86" w:rsidR="00DD4D5C" w:rsidRPr="00C07F6E" w:rsidRDefault="00DD4D5C" w:rsidP="008D3B6A">
            <w:pPr>
              <w:pStyle w:val="ExhibitText"/>
              <w:jc w:val="right"/>
            </w:pPr>
            <w:r w:rsidRPr="00C07F6E">
              <w:t xml:space="preserve">447 </w:t>
            </w:r>
          </w:p>
        </w:tc>
        <w:tc>
          <w:tcPr>
            <w:tcW w:w="932" w:type="dxa"/>
            <w:tcBorders>
              <w:top w:val="single" w:sz="4" w:space="0" w:color="auto"/>
              <w:left w:val="nil"/>
              <w:bottom w:val="nil"/>
              <w:right w:val="single" w:sz="4" w:space="0" w:color="auto"/>
            </w:tcBorders>
            <w:shd w:val="clear" w:color="auto" w:fill="auto"/>
            <w:noWrap/>
            <w:vAlign w:val="center"/>
            <w:hideMark/>
          </w:tcPr>
          <w:p w14:paraId="4324EF24" w14:textId="5579D2C3" w:rsidR="00DD4D5C" w:rsidRPr="00C07F6E" w:rsidRDefault="00DD4D5C" w:rsidP="008D3B6A">
            <w:pPr>
              <w:pStyle w:val="ExhibitText"/>
              <w:jc w:val="right"/>
            </w:pPr>
            <w:r w:rsidRPr="00C07F6E">
              <w:t xml:space="preserve">445 </w:t>
            </w:r>
          </w:p>
        </w:tc>
        <w:tc>
          <w:tcPr>
            <w:tcW w:w="932" w:type="dxa"/>
            <w:tcBorders>
              <w:top w:val="single" w:sz="4" w:space="0" w:color="auto"/>
              <w:left w:val="nil"/>
              <w:bottom w:val="nil"/>
              <w:right w:val="single" w:sz="4" w:space="0" w:color="auto"/>
            </w:tcBorders>
            <w:shd w:val="clear" w:color="auto" w:fill="auto"/>
            <w:noWrap/>
            <w:vAlign w:val="center"/>
            <w:hideMark/>
          </w:tcPr>
          <w:p w14:paraId="7AF70E51" w14:textId="3D9754E3" w:rsidR="00DD4D5C" w:rsidRPr="00C07F6E" w:rsidRDefault="00DD4D5C" w:rsidP="008D3B6A">
            <w:pPr>
              <w:pStyle w:val="ExhibitText"/>
              <w:jc w:val="right"/>
            </w:pPr>
            <w:r w:rsidRPr="00C07F6E">
              <w:t xml:space="preserve">417 </w:t>
            </w:r>
          </w:p>
        </w:tc>
        <w:tc>
          <w:tcPr>
            <w:tcW w:w="932" w:type="dxa"/>
            <w:tcBorders>
              <w:top w:val="single" w:sz="4" w:space="0" w:color="auto"/>
              <w:left w:val="nil"/>
              <w:bottom w:val="nil"/>
              <w:right w:val="single" w:sz="4" w:space="0" w:color="auto"/>
            </w:tcBorders>
            <w:shd w:val="clear" w:color="auto" w:fill="auto"/>
            <w:noWrap/>
            <w:vAlign w:val="center"/>
            <w:hideMark/>
          </w:tcPr>
          <w:p w14:paraId="72ED3C3F" w14:textId="71A05E54" w:rsidR="00DD4D5C" w:rsidRPr="00C07F6E" w:rsidRDefault="00DD4D5C" w:rsidP="008D3B6A">
            <w:pPr>
              <w:pStyle w:val="ExhibitText"/>
              <w:jc w:val="right"/>
            </w:pPr>
            <w:r w:rsidRPr="00C07F6E">
              <w:t xml:space="preserve">465 </w:t>
            </w:r>
          </w:p>
        </w:tc>
      </w:tr>
      <w:tr w:rsidR="00C07F6E" w:rsidRPr="00C07F6E" w14:paraId="13BF6D27" w14:textId="77777777" w:rsidTr="00E44318">
        <w:trPr>
          <w:trHeight w:val="45"/>
        </w:trPr>
        <w:tc>
          <w:tcPr>
            <w:tcW w:w="3686" w:type="dxa"/>
            <w:tcBorders>
              <w:top w:val="nil"/>
              <w:left w:val="single" w:sz="4" w:space="0" w:color="auto"/>
              <w:bottom w:val="single" w:sz="4" w:space="0" w:color="auto"/>
              <w:right w:val="single" w:sz="4" w:space="0" w:color="auto"/>
            </w:tcBorders>
            <w:shd w:val="clear" w:color="auto" w:fill="auto"/>
            <w:noWrap/>
            <w:vAlign w:val="center"/>
            <w:hideMark/>
          </w:tcPr>
          <w:p w14:paraId="6D67E345" w14:textId="77777777" w:rsidR="00DD4D5C" w:rsidRPr="00C07F6E" w:rsidRDefault="00DD4D5C" w:rsidP="008D3B6A">
            <w:pPr>
              <w:pStyle w:val="ExhibitText"/>
              <w:jc w:val="left"/>
            </w:pPr>
            <w:r w:rsidRPr="00C07F6E">
              <w:t>Other income (expense)</w:t>
            </w:r>
          </w:p>
        </w:tc>
        <w:tc>
          <w:tcPr>
            <w:tcW w:w="1004" w:type="dxa"/>
            <w:tcBorders>
              <w:top w:val="nil"/>
              <w:left w:val="single" w:sz="4" w:space="0" w:color="auto"/>
              <w:bottom w:val="single" w:sz="4" w:space="0" w:color="auto"/>
              <w:right w:val="single" w:sz="4" w:space="0" w:color="auto"/>
            </w:tcBorders>
            <w:vAlign w:val="center"/>
          </w:tcPr>
          <w:p w14:paraId="4586CE7E" w14:textId="304FC2DD" w:rsidR="00DD4D5C" w:rsidRPr="00C07F6E" w:rsidRDefault="00DD4D5C" w:rsidP="008D3B6A">
            <w:pPr>
              <w:pStyle w:val="ExhibitText"/>
              <w:jc w:val="right"/>
            </w:pPr>
            <w:r w:rsidRPr="00C07F6E">
              <w:t>(386)</w:t>
            </w:r>
          </w:p>
        </w:tc>
        <w:tc>
          <w:tcPr>
            <w:tcW w:w="932" w:type="dxa"/>
            <w:tcBorders>
              <w:top w:val="nil"/>
              <w:left w:val="single" w:sz="4" w:space="0" w:color="auto"/>
              <w:bottom w:val="single" w:sz="4" w:space="0" w:color="auto"/>
              <w:right w:val="single" w:sz="4" w:space="0" w:color="auto"/>
            </w:tcBorders>
            <w:shd w:val="clear" w:color="auto" w:fill="auto"/>
            <w:noWrap/>
            <w:vAlign w:val="center"/>
            <w:hideMark/>
          </w:tcPr>
          <w:p w14:paraId="5FAC9E80" w14:textId="7EF365FB" w:rsidR="00DD4D5C" w:rsidRPr="00C07F6E" w:rsidRDefault="00DD4D5C" w:rsidP="008D3B6A">
            <w:pPr>
              <w:pStyle w:val="ExhibitText"/>
              <w:jc w:val="right"/>
            </w:pPr>
            <w:r w:rsidRPr="00C07F6E">
              <w:t>(85)</w:t>
            </w:r>
          </w:p>
        </w:tc>
        <w:tc>
          <w:tcPr>
            <w:tcW w:w="932" w:type="dxa"/>
            <w:tcBorders>
              <w:top w:val="nil"/>
              <w:left w:val="nil"/>
              <w:bottom w:val="single" w:sz="4" w:space="0" w:color="auto"/>
              <w:right w:val="single" w:sz="4" w:space="0" w:color="auto"/>
            </w:tcBorders>
            <w:shd w:val="clear" w:color="auto" w:fill="auto"/>
            <w:noWrap/>
            <w:vAlign w:val="center"/>
            <w:hideMark/>
          </w:tcPr>
          <w:p w14:paraId="7C496F76" w14:textId="5A9C5C3F" w:rsidR="00DD4D5C" w:rsidRPr="00C07F6E" w:rsidRDefault="00DD4D5C" w:rsidP="008D3B6A">
            <w:pPr>
              <w:pStyle w:val="ExhibitText"/>
              <w:jc w:val="right"/>
            </w:pPr>
            <w:r w:rsidRPr="00C07F6E">
              <w:t xml:space="preserve">75 </w:t>
            </w:r>
          </w:p>
        </w:tc>
        <w:tc>
          <w:tcPr>
            <w:tcW w:w="932" w:type="dxa"/>
            <w:tcBorders>
              <w:top w:val="nil"/>
              <w:left w:val="nil"/>
              <w:bottom w:val="single" w:sz="4" w:space="0" w:color="auto"/>
              <w:right w:val="single" w:sz="4" w:space="0" w:color="auto"/>
            </w:tcBorders>
            <w:shd w:val="clear" w:color="auto" w:fill="auto"/>
            <w:noWrap/>
            <w:vAlign w:val="center"/>
            <w:hideMark/>
          </w:tcPr>
          <w:p w14:paraId="2845EF57" w14:textId="3B8BC5B6" w:rsidR="00DD4D5C" w:rsidRPr="00C07F6E" w:rsidRDefault="00DD4D5C" w:rsidP="008D3B6A">
            <w:pPr>
              <w:pStyle w:val="ExhibitText"/>
              <w:jc w:val="right"/>
            </w:pPr>
            <w:r w:rsidRPr="00C07F6E">
              <w:t xml:space="preserve">217 </w:t>
            </w:r>
          </w:p>
        </w:tc>
        <w:tc>
          <w:tcPr>
            <w:tcW w:w="932" w:type="dxa"/>
            <w:tcBorders>
              <w:top w:val="nil"/>
              <w:left w:val="nil"/>
              <w:bottom w:val="single" w:sz="4" w:space="0" w:color="auto"/>
              <w:right w:val="single" w:sz="4" w:space="0" w:color="auto"/>
            </w:tcBorders>
            <w:shd w:val="clear" w:color="auto" w:fill="auto"/>
            <w:noWrap/>
            <w:vAlign w:val="center"/>
            <w:hideMark/>
          </w:tcPr>
          <w:p w14:paraId="1DFB9E9F" w14:textId="7C2CB560" w:rsidR="00DD4D5C" w:rsidRPr="00C07F6E" w:rsidRDefault="00DD4D5C" w:rsidP="008D3B6A">
            <w:pPr>
              <w:pStyle w:val="ExhibitText"/>
              <w:jc w:val="right"/>
            </w:pPr>
            <w:r w:rsidRPr="00C07F6E">
              <w:t xml:space="preserve">1,477 </w:t>
            </w:r>
          </w:p>
        </w:tc>
        <w:tc>
          <w:tcPr>
            <w:tcW w:w="932" w:type="dxa"/>
            <w:tcBorders>
              <w:top w:val="nil"/>
              <w:left w:val="nil"/>
              <w:bottom w:val="single" w:sz="4" w:space="0" w:color="auto"/>
              <w:right w:val="single" w:sz="4" w:space="0" w:color="auto"/>
            </w:tcBorders>
            <w:shd w:val="clear" w:color="auto" w:fill="auto"/>
            <w:noWrap/>
            <w:vAlign w:val="center"/>
            <w:hideMark/>
          </w:tcPr>
          <w:p w14:paraId="5900EE36" w14:textId="5A37110B" w:rsidR="00DD4D5C" w:rsidRPr="00C07F6E" w:rsidRDefault="00DD4D5C" w:rsidP="008D3B6A">
            <w:pPr>
              <w:pStyle w:val="ExhibitText"/>
              <w:jc w:val="right"/>
            </w:pPr>
            <w:r w:rsidRPr="00C07F6E">
              <w:t xml:space="preserve">1,271 </w:t>
            </w:r>
          </w:p>
        </w:tc>
      </w:tr>
      <w:tr w:rsidR="00C07F6E" w:rsidRPr="00C07F6E" w14:paraId="3A4315D8" w14:textId="77777777" w:rsidTr="00E44318">
        <w:trPr>
          <w:trHeight w:val="42"/>
        </w:trPr>
        <w:tc>
          <w:tcPr>
            <w:tcW w:w="36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CB3B59" w14:textId="77777777" w:rsidR="00DD4D5C" w:rsidRPr="00C07F6E" w:rsidRDefault="00DD4D5C" w:rsidP="008D3B6A">
            <w:pPr>
              <w:pStyle w:val="ExhibitText"/>
              <w:jc w:val="left"/>
            </w:pPr>
            <w:r w:rsidRPr="00C07F6E">
              <w:t>Income before income taxes</w:t>
            </w:r>
          </w:p>
        </w:tc>
        <w:tc>
          <w:tcPr>
            <w:tcW w:w="1004" w:type="dxa"/>
            <w:tcBorders>
              <w:top w:val="single" w:sz="4" w:space="0" w:color="auto"/>
              <w:left w:val="single" w:sz="4" w:space="0" w:color="auto"/>
              <w:bottom w:val="single" w:sz="4" w:space="0" w:color="auto"/>
              <w:right w:val="single" w:sz="4" w:space="0" w:color="auto"/>
            </w:tcBorders>
            <w:vAlign w:val="center"/>
          </w:tcPr>
          <w:p w14:paraId="5CB0986D" w14:textId="0D95C5DD" w:rsidR="00DD4D5C" w:rsidRPr="00C07F6E" w:rsidRDefault="00DD4D5C" w:rsidP="008D3B6A">
            <w:pPr>
              <w:pStyle w:val="ExhibitText"/>
              <w:jc w:val="right"/>
            </w:pPr>
            <w:r w:rsidRPr="00C07F6E">
              <w:t>162</w:t>
            </w:r>
          </w:p>
        </w:tc>
        <w:tc>
          <w:tcPr>
            <w:tcW w:w="9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D4784B" w14:textId="45D47438" w:rsidR="00DD4D5C" w:rsidRPr="00C07F6E" w:rsidRDefault="00DD4D5C" w:rsidP="008D3B6A">
            <w:pPr>
              <w:pStyle w:val="ExhibitText"/>
              <w:jc w:val="right"/>
            </w:pPr>
            <w:r w:rsidRPr="00C07F6E">
              <w:t>(6,376)</w:t>
            </w:r>
          </w:p>
        </w:tc>
        <w:tc>
          <w:tcPr>
            <w:tcW w:w="932" w:type="dxa"/>
            <w:tcBorders>
              <w:top w:val="single" w:sz="4" w:space="0" w:color="auto"/>
              <w:left w:val="nil"/>
              <w:bottom w:val="single" w:sz="4" w:space="0" w:color="auto"/>
              <w:right w:val="single" w:sz="4" w:space="0" w:color="auto"/>
            </w:tcBorders>
            <w:shd w:val="clear" w:color="auto" w:fill="auto"/>
            <w:noWrap/>
            <w:vAlign w:val="center"/>
            <w:hideMark/>
          </w:tcPr>
          <w:p w14:paraId="5B17C842" w14:textId="027B6662" w:rsidR="00DD4D5C" w:rsidRPr="00C07F6E" w:rsidRDefault="00DD4D5C" w:rsidP="008D3B6A">
            <w:pPr>
              <w:pStyle w:val="ExhibitText"/>
              <w:jc w:val="right"/>
            </w:pPr>
            <w:r w:rsidRPr="00C07F6E">
              <w:t xml:space="preserve">2,259 </w:t>
            </w:r>
          </w:p>
        </w:tc>
        <w:tc>
          <w:tcPr>
            <w:tcW w:w="932" w:type="dxa"/>
            <w:tcBorders>
              <w:top w:val="single" w:sz="4" w:space="0" w:color="auto"/>
              <w:left w:val="nil"/>
              <w:bottom w:val="single" w:sz="4" w:space="0" w:color="auto"/>
              <w:right w:val="single" w:sz="4" w:space="0" w:color="auto"/>
            </w:tcBorders>
            <w:shd w:val="clear" w:color="auto" w:fill="auto"/>
            <w:noWrap/>
            <w:vAlign w:val="center"/>
            <w:hideMark/>
          </w:tcPr>
          <w:p w14:paraId="3A6A8549" w14:textId="53136F81" w:rsidR="00DD4D5C" w:rsidRPr="00C07F6E" w:rsidRDefault="00DD4D5C" w:rsidP="008D3B6A">
            <w:pPr>
              <w:pStyle w:val="ExhibitText"/>
              <w:jc w:val="right"/>
            </w:pPr>
            <w:r w:rsidRPr="00C07F6E">
              <w:t xml:space="preserve">1,960 </w:t>
            </w:r>
          </w:p>
        </w:tc>
        <w:tc>
          <w:tcPr>
            <w:tcW w:w="932" w:type="dxa"/>
            <w:tcBorders>
              <w:top w:val="single" w:sz="4" w:space="0" w:color="auto"/>
              <w:left w:val="nil"/>
              <w:bottom w:val="single" w:sz="4" w:space="0" w:color="auto"/>
              <w:right w:val="single" w:sz="4" w:space="0" w:color="auto"/>
            </w:tcBorders>
            <w:shd w:val="clear" w:color="auto" w:fill="auto"/>
            <w:noWrap/>
            <w:vAlign w:val="center"/>
            <w:hideMark/>
          </w:tcPr>
          <w:p w14:paraId="23881E48" w14:textId="2BA980A8" w:rsidR="00DD4D5C" w:rsidRPr="00C07F6E" w:rsidRDefault="00DD4D5C" w:rsidP="008D3B6A">
            <w:pPr>
              <w:pStyle w:val="ExhibitText"/>
              <w:jc w:val="right"/>
            </w:pPr>
            <w:r w:rsidRPr="00C07F6E">
              <w:t xml:space="preserve">3,835 </w:t>
            </w:r>
          </w:p>
        </w:tc>
        <w:tc>
          <w:tcPr>
            <w:tcW w:w="932" w:type="dxa"/>
            <w:tcBorders>
              <w:top w:val="single" w:sz="4" w:space="0" w:color="auto"/>
              <w:left w:val="nil"/>
              <w:bottom w:val="single" w:sz="4" w:space="0" w:color="auto"/>
              <w:right w:val="single" w:sz="4" w:space="0" w:color="auto"/>
            </w:tcBorders>
            <w:shd w:val="clear" w:color="auto" w:fill="auto"/>
            <w:noWrap/>
            <w:vAlign w:val="center"/>
            <w:hideMark/>
          </w:tcPr>
          <w:p w14:paraId="37FE850D" w14:textId="20B980E1" w:rsidR="00DD4D5C" w:rsidRPr="00C07F6E" w:rsidRDefault="00DD4D5C" w:rsidP="008D3B6A">
            <w:pPr>
              <w:pStyle w:val="ExhibitText"/>
              <w:jc w:val="right"/>
            </w:pPr>
            <w:r w:rsidRPr="00C07F6E">
              <w:t xml:space="preserve">3,641 </w:t>
            </w:r>
          </w:p>
        </w:tc>
      </w:tr>
      <w:tr w:rsidR="00C07F6E" w:rsidRPr="00C07F6E" w14:paraId="1E9AA313" w14:textId="77777777" w:rsidTr="00E44318">
        <w:trPr>
          <w:trHeight w:val="74"/>
        </w:trPr>
        <w:tc>
          <w:tcPr>
            <w:tcW w:w="3686" w:type="dxa"/>
            <w:tcBorders>
              <w:top w:val="single" w:sz="4" w:space="0" w:color="auto"/>
              <w:left w:val="single" w:sz="4" w:space="0" w:color="auto"/>
              <w:bottom w:val="nil"/>
              <w:right w:val="single" w:sz="4" w:space="0" w:color="auto"/>
            </w:tcBorders>
            <w:shd w:val="clear" w:color="auto" w:fill="auto"/>
            <w:noWrap/>
            <w:vAlign w:val="center"/>
            <w:hideMark/>
          </w:tcPr>
          <w:p w14:paraId="3AA9DC4E" w14:textId="77777777" w:rsidR="00DD4D5C" w:rsidRPr="00C07F6E" w:rsidRDefault="00DD4D5C" w:rsidP="008D3B6A">
            <w:pPr>
              <w:pStyle w:val="ExhibitText"/>
              <w:jc w:val="left"/>
            </w:pPr>
            <w:r w:rsidRPr="00C07F6E">
              <w:t>Provision for income taxes</w:t>
            </w:r>
          </w:p>
        </w:tc>
        <w:tc>
          <w:tcPr>
            <w:tcW w:w="1004" w:type="dxa"/>
            <w:tcBorders>
              <w:top w:val="single" w:sz="4" w:space="0" w:color="auto"/>
              <w:left w:val="single" w:sz="4" w:space="0" w:color="auto"/>
              <w:bottom w:val="nil"/>
              <w:right w:val="single" w:sz="4" w:space="0" w:color="auto"/>
            </w:tcBorders>
            <w:vAlign w:val="center"/>
          </w:tcPr>
          <w:p w14:paraId="21757833" w14:textId="0791F509" w:rsidR="00DD4D5C" w:rsidRPr="00C07F6E" w:rsidRDefault="00DD4D5C" w:rsidP="008D3B6A">
            <w:pPr>
              <w:pStyle w:val="ExhibitText"/>
              <w:jc w:val="right"/>
            </w:pPr>
            <w:r w:rsidRPr="00C07F6E">
              <w:t>(54)</w:t>
            </w:r>
          </w:p>
        </w:tc>
        <w:tc>
          <w:tcPr>
            <w:tcW w:w="932" w:type="dxa"/>
            <w:tcBorders>
              <w:top w:val="single" w:sz="4" w:space="0" w:color="auto"/>
              <w:left w:val="single" w:sz="4" w:space="0" w:color="auto"/>
              <w:bottom w:val="nil"/>
              <w:right w:val="single" w:sz="4" w:space="0" w:color="auto"/>
            </w:tcBorders>
            <w:shd w:val="clear" w:color="auto" w:fill="auto"/>
            <w:noWrap/>
            <w:vAlign w:val="center"/>
            <w:hideMark/>
          </w:tcPr>
          <w:p w14:paraId="32910A87" w14:textId="0571FDB7" w:rsidR="00DD4D5C" w:rsidRPr="00C07F6E" w:rsidRDefault="00DD4D5C" w:rsidP="008D3B6A">
            <w:pPr>
              <w:pStyle w:val="ExhibitText"/>
              <w:jc w:val="right"/>
            </w:pPr>
            <w:r w:rsidRPr="00C07F6E">
              <w:t>(657)</w:t>
            </w:r>
          </w:p>
        </w:tc>
        <w:tc>
          <w:tcPr>
            <w:tcW w:w="932" w:type="dxa"/>
            <w:tcBorders>
              <w:top w:val="single" w:sz="4" w:space="0" w:color="auto"/>
              <w:left w:val="nil"/>
              <w:bottom w:val="nil"/>
              <w:right w:val="single" w:sz="4" w:space="0" w:color="auto"/>
            </w:tcBorders>
            <w:shd w:val="clear" w:color="auto" w:fill="auto"/>
            <w:noWrap/>
            <w:vAlign w:val="center"/>
            <w:hideMark/>
          </w:tcPr>
          <w:p w14:paraId="014DBA42" w14:textId="011F05BD" w:rsidR="00DD4D5C" w:rsidRPr="00C07F6E" w:rsidRDefault="00DD4D5C" w:rsidP="008D3B6A">
            <w:pPr>
              <w:pStyle w:val="ExhibitText"/>
              <w:jc w:val="right"/>
            </w:pPr>
            <w:r w:rsidRPr="00C07F6E">
              <w:t xml:space="preserve">347 </w:t>
            </w:r>
          </w:p>
        </w:tc>
        <w:tc>
          <w:tcPr>
            <w:tcW w:w="932" w:type="dxa"/>
            <w:tcBorders>
              <w:top w:val="single" w:sz="4" w:space="0" w:color="auto"/>
              <w:left w:val="nil"/>
              <w:bottom w:val="nil"/>
              <w:right w:val="single" w:sz="4" w:space="0" w:color="auto"/>
            </w:tcBorders>
            <w:shd w:val="clear" w:color="auto" w:fill="auto"/>
            <w:noWrap/>
            <w:vAlign w:val="center"/>
            <w:hideMark/>
          </w:tcPr>
          <w:p w14:paraId="1DEF27F5" w14:textId="1E2BD63D" w:rsidR="00DD4D5C" w:rsidRPr="00C07F6E" w:rsidRDefault="00DD4D5C" w:rsidP="008D3B6A">
            <w:pPr>
              <w:pStyle w:val="ExhibitText"/>
              <w:jc w:val="right"/>
            </w:pPr>
            <w:r w:rsidRPr="00C07F6E">
              <w:t xml:space="preserve">574 </w:t>
            </w:r>
          </w:p>
        </w:tc>
        <w:tc>
          <w:tcPr>
            <w:tcW w:w="932" w:type="dxa"/>
            <w:tcBorders>
              <w:top w:val="single" w:sz="4" w:space="0" w:color="auto"/>
              <w:left w:val="nil"/>
              <w:bottom w:val="nil"/>
              <w:right w:val="single" w:sz="4" w:space="0" w:color="auto"/>
            </w:tcBorders>
            <w:shd w:val="clear" w:color="auto" w:fill="auto"/>
            <w:noWrap/>
            <w:vAlign w:val="center"/>
            <w:hideMark/>
          </w:tcPr>
          <w:p w14:paraId="7ADC9B66" w14:textId="12C6ACF1" w:rsidR="00DD4D5C" w:rsidRPr="00C07F6E" w:rsidRDefault="00DD4D5C" w:rsidP="008D3B6A">
            <w:pPr>
              <w:pStyle w:val="ExhibitText"/>
              <w:jc w:val="right"/>
            </w:pPr>
            <w:r w:rsidRPr="00C07F6E">
              <w:t xml:space="preserve">879 </w:t>
            </w:r>
          </w:p>
        </w:tc>
        <w:tc>
          <w:tcPr>
            <w:tcW w:w="932" w:type="dxa"/>
            <w:tcBorders>
              <w:top w:val="single" w:sz="4" w:space="0" w:color="auto"/>
              <w:left w:val="nil"/>
              <w:bottom w:val="nil"/>
              <w:right w:val="single" w:sz="4" w:space="0" w:color="auto"/>
            </w:tcBorders>
            <w:shd w:val="clear" w:color="auto" w:fill="auto"/>
            <w:noWrap/>
            <w:vAlign w:val="center"/>
            <w:hideMark/>
          </w:tcPr>
          <w:p w14:paraId="7C4282A3" w14:textId="6AE5632A" w:rsidR="00DD4D5C" w:rsidRPr="00C07F6E" w:rsidRDefault="00DD4D5C" w:rsidP="008D3B6A">
            <w:pPr>
              <w:pStyle w:val="ExhibitText"/>
              <w:jc w:val="right"/>
            </w:pPr>
            <w:r w:rsidRPr="00C07F6E">
              <w:t xml:space="preserve">864 </w:t>
            </w:r>
          </w:p>
        </w:tc>
      </w:tr>
      <w:tr w:rsidR="00C07F6E" w:rsidRPr="00C07F6E" w14:paraId="205F93D9" w14:textId="77777777" w:rsidTr="00E44318">
        <w:trPr>
          <w:trHeight w:val="45"/>
        </w:trPr>
        <w:tc>
          <w:tcPr>
            <w:tcW w:w="3686" w:type="dxa"/>
            <w:tcBorders>
              <w:top w:val="nil"/>
              <w:left w:val="single" w:sz="4" w:space="0" w:color="auto"/>
              <w:bottom w:val="nil"/>
              <w:right w:val="single" w:sz="4" w:space="0" w:color="auto"/>
            </w:tcBorders>
            <w:shd w:val="clear" w:color="auto" w:fill="auto"/>
            <w:noWrap/>
            <w:vAlign w:val="center"/>
            <w:hideMark/>
          </w:tcPr>
          <w:p w14:paraId="2D6ECD1F" w14:textId="77777777" w:rsidR="00DD4D5C" w:rsidRPr="00C07F6E" w:rsidRDefault="00DD4D5C" w:rsidP="008D3B6A">
            <w:pPr>
              <w:pStyle w:val="ExhibitText"/>
              <w:jc w:val="left"/>
            </w:pPr>
            <w:r w:rsidRPr="00C07F6E">
              <w:t>Minority interest</w:t>
            </w:r>
          </w:p>
        </w:tc>
        <w:tc>
          <w:tcPr>
            <w:tcW w:w="1004" w:type="dxa"/>
            <w:tcBorders>
              <w:top w:val="nil"/>
              <w:left w:val="single" w:sz="4" w:space="0" w:color="auto"/>
              <w:bottom w:val="nil"/>
              <w:right w:val="single" w:sz="4" w:space="0" w:color="auto"/>
            </w:tcBorders>
            <w:vAlign w:val="center"/>
          </w:tcPr>
          <w:p w14:paraId="0EBFE11A" w14:textId="7D1A40FF" w:rsidR="00DD4D5C" w:rsidRPr="00C07F6E" w:rsidRDefault="00DD4D5C" w:rsidP="008D3B6A">
            <w:pPr>
              <w:pStyle w:val="ExhibitText"/>
              <w:jc w:val="right"/>
            </w:pPr>
            <w:r w:rsidRPr="00C07F6E">
              <w:t>(9)</w:t>
            </w:r>
          </w:p>
        </w:tc>
        <w:tc>
          <w:tcPr>
            <w:tcW w:w="932" w:type="dxa"/>
            <w:tcBorders>
              <w:top w:val="nil"/>
              <w:left w:val="single" w:sz="4" w:space="0" w:color="auto"/>
              <w:bottom w:val="nil"/>
              <w:right w:val="single" w:sz="4" w:space="0" w:color="auto"/>
            </w:tcBorders>
            <w:shd w:val="clear" w:color="auto" w:fill="auto"/>
            <w:noWrap/>
            <w:vAlign w:val="center"/>
            <w:hideMark/>
          </w:tcPr>
          <w:p w14:paraId="722B56D1" w14:textId="733C6D18" w:rsidR="00DD4D5C" w:rsidRPr="00C07F6E" w:rsidRDefault="00DD4D5C" w:rsidP="008D3B6A">
            <w:pPr>
              <w:pStyle w:val="ExhibitText"/>
              <w:jc w:val="right"/>
            </w:pPr>
            <w:r w:rsidRPr="00C07F6E">
              <w:t>(25)</w:t>
            </w:r>
          </w:p>
        </w:tc>
        <w:tc>
          <w:tcPr>
            <w:tcW w:w="932" w:type="dxa"/>
            <w:tcBorders>
              <w:top w:val="nil"/>
              <w:left w:val="nil"/>
              <w:bottom w:val="nil"/>
              <w:right w:val="single" w:sz="4" w:space="0" w:color="auto"/>
            </w:tcBorders>
            <w:shd w:val="clear" w:color="auto" w:fill="auto"/>
            <w:noWrap/>
            <w:vAlign w:val="center"/>
            <w:hideMark/>
          </w:tcPr>
          <w:p w14:paraId="03AE8EDC" w14:textId="703238A9" w:rsidR="00DD4D5C" w:rsidRPr="00C07F6E" w:rsidRDefault="00DD4D5C" w:rsidP="008D3B6A">
            <w:pPr>
              <w:pStyle w:val="ExhibitText"/>
              <w:jc w:val="right"/>
            </w:pPr>
            <w:r w:rsidRPr="00C07F6E">
              <w:t>(4)</w:t>
            </w:r>
          </w:p>
        </w:tc>
        <w:tc>
          <w:tcPr>
            <w:tcW w:w="932" w:type="dxa"/>
            <w:tcBorders>
              <w:top w:val="nil"/>
              <w:left w:val="nil"/>
              <w:bottom w:val="nil"/>
              <w:right w:val="single" w:sz="4" w:space="0" w:color="auto"/>
            </w:tcBorders>
            <w:shd w:val="clear" w:color="auto" w:fill="auto"/>
            <w:noWrap/>
            <w:vAlign w:val="center"/>
            <w:hideMark/>
          </w:tcPr>
          <w:p w14:paraId="5AAB3602" w14:textId="51B4B0D7" w:rsidR="00DD4D5C" w:rsidRPr="00C07F6E" w:rsidRDefault="00DD4D5C" w:rsidP="008D3B6A">
            <w:pPr>
              <w:pStyle w:val="ExhibitText"/>
              <w:jc w:val="right"/>
            </w:pPr>
            <w:r w:rsidRPr="00C07F6E">
              <w:t>(4)</w:t>
            </w:r>
          </w:p>
        </w:tc>
        <w:tc>
          <w:tcPr>
            <w:tcW w:w="932" w:type="dxa"/>
            <w:tcBorders>
              <w:top w:val="nil"/>
              <w:left w:val="nil"/>
              <w:bottom w:val="nil"/>
              <w:right w:val="single" w:sz="4" w:space="0" w:color="auto"/>
            </w:tcBorders>
            <w:shd w:val="clear" w:color="auto" w:fill="auto"/>
            <w:noWrap/>
            <w:vAlign w:val="center"/>
            <w:hideMark/>
          </w:tcPr>
          <w:p w14:paraId="7543CB62" w14:textId="1BF11547" w:rsidR="00DD4D5C" w:rsidRPr="00C07F6E" w:rsidRDefault="00DD4D5C" w:rsidP="008D3B6A">
            <w:pPr>
              <w:pStyle w:val="ExhibitText"/>
              <w:jc w:val="right"/>
            </w:pPr>
            <w:r w:rsidRPr="00C07F6E">
              <w:t xml:space="preserve">8 </w:t>
            </w:r>
          </w:p>
        </w:tc>
        <w:tc>
          <w:tcPr>
            <w:tcW w:w="932" w:type="dxa"/>
            <w:tcBorders>
              <w:top w:val="nil"/>
              <w:left w:val="nil"/>
              <w:bottom w:val="nil"/>
              <w:right w:val="single" w:sz="4" w:space="0" w:color="auto"/>
            </w:tcBorders>
            <w:shd w:val="clear" w:color="auto" w:fill="auto"/>
            <w:noWrap/>
            <w:vAlign w:val="center"/>
            <w:hideMark/>
          </w:tcPr>
          <w:p w14:paraId="44DE5494" w14:textId="0ACA1139" w:rsidR="00DD4D5C" w:rsidRPr="00C07F6E" w:rsidRDefault="00DD4D5C" w:rsidP="008D3B6A">
            <w:pPr>
              <w:pStyle w:val="ExhibitText"/>
              <w:jc w:val="right"/>
            </w:pPr>
            <w:r w:rsidRPr="00C07F6E">
              <w:t xml:space="preserve">16 </w:t>
            </w:r>
          </w:p>
        </w:tc>
      </w:tr>
      <w:tr w:rsidR="00C07F6E" w:rsidRPr="00C07F6E" w14:paraId="2DBA16AB" w14:textId="77777777" w:rsidTr="00E44318">
        <w:trPr>
          <w:trHeight w:val="48"/>
        </w:trPr>
        <w:tc>
          <w:tcPr>
            <w:tcW w:w="3686" w:type="dxa"/>
            <w:tcBorders>
              <w:top w:val="nil"/>
              <w:left w:val="single" w:sz="4" w:space="0" w:color="auto"/>
              <w:bottom w:val="single" w:sz="4" w:space="0" w:color="auto"/>
              <w:right w:val="single" w:sz="4" w:space="0" w:color="auto"/>
            </w:tcBorders>
            <w:shd w:val="clear" w:color="auto" w:fill="auto"/>
            <w:noWrap/>
            <w:vAlign w:val="center"/>
            <w:hideMark/>
          </w:tcPr>
          <w:p w14:paraId="0DB7BCC2" w14:textId="77777777" w:rsidR="00DD4D5C" w:rsidRPr="00C07F6E" w:rsidRDefault="00DD4D5C" w:rsidP="008D3B6A">
            <w:pPr>
              <w:pStyle w:val="ExhibitText"/>
              <w:jc w:val="left"/>
            </w:pPr>
            <w:r w:rsidRPr="00C07F6E">
              <w:t>Other income</w:t>
            </w:r>
          </w:p>
        </w:tc>
        <w:tc>
          <w:tcPr>
            <w:tcW w:w="1004" w:type="dxa"/>
            <w:tcBorders>
              <w:top w:val="nil"/>
              <w:left w:val="single" w:sz="4" w:space="0" w:color="auto"/>
              <w:bottom w:val="single" w:sz="4" w:space="0" w:color="auto"/>
              <w:right w:val="single" w:sz="4" w:space="0" w:color="auto"/>
            </w:tcBorders>
            <w:vAlign w:val="center"/>
          </w:tcPr>
          <w:p w14:paraId="5CD1188B" w14:textId="050375AD" w:rsidR="00DD4D5C" w:rsidRPr="00C07F6E" w:rsidRDefault="00DD4D5C" w:rsidP="008D3B6A">
            <w:pPr>
              <w:pStyle w:val="ExhibitText"/>
              <w:jc w:val="right"/>
            </w:pPr>
            <w:r w:rsidRPr="00C07F6E">
              <w:t>(9)</w:t>
            </w:r>
          </w:p>
        </w:tc>
        <w:tc>
          <w:tcPr>
            <w:tcW w:w="932" w:type="dxa"/>
            <w:tcBorders>
              <w:top w:val="nil"/>
              <w:left w:val="single" w:sz="4" w:space="0" w:color="auto"/>
              <w:bottom w:val="single" w:sz="4" w:space="0" w:color="auto"/>
              <w:right w:val="single" w:sz="4" w:space="0" w:color="auto"/>
            </w:tcBorders>
            <w:shd w:val="clear" w:color="auto" w:fill="auto"/>
            <w:noWrap/>
            <w:vAlign w:val="center"/>
            <w:hideMark/>
          </w:tcPr>
          <w:p w14:paraId="5CA783EE" w14:textId="70C629A3" w:rsidR="00DD4D5C" w:rsidRPr="00C07F6E" w:rsidRDefault="00DD4D5C" w:rsidP="008D3B6A">
            <w:pPr>
              <w:pStyle w:val="ExhibitText"/>
              <w:jc w:val="right"/>
            </w:pPr>
            <w:r w:rsidRPr="00C07F6E">
              <w:t>(25)</w:t>
            </w:r>
          </w:p>
        </w:tc>
        <w:tc>
          <w:tcPr>
            <w:tcW w:w="932" w:type="dxa"/>
            <w:tcBorders>
              <w:top w:val="nil"/>
              <w:left w:val="nil"/>
              <w:bottom w:val="single" w:sz="4" w:space="0" w:color="auto"/>
              <w:right w:val="single" w:sz="4" w:space="0" w:color="auto"/>
            </w:tcBorders>
            <w:shd w:val="clear" w:color="auto" w:fill="auto"/>
            <w:noWrap/>
            <w:vAlign w:val="center"/>
            <w:hideMark/>
          </w:tcPr>
          <w:p w14:paraId="217D2FD5" w14:textId="7D385077" w:rsidR="00DD4D5C" w:rsidRPr="00C07F6E" w:rsidRDefault="00DD4D5C" w:rsidP="008D3B6A">
            <w:pPr>
              <w:pStyle w:val="ExhibitText"/>
              <w:jc w:val="right"/>
            </w:pPr>
            <w:r w:rsidRPr="00C07F6E">
              <w:t>(4)</w:t>
            </w:r>
          </w:p>
        </w:tc>
        <w:tc>
          <w:tcPr>
            <w:tcW w:w="932" w:type="dxa"/>
            <w:tcBorders>
              <w:top w:val="nil"/>
              <w:left w:val="nil"/>
              <w:bottom w:val="single" w:sz="4" w:space="0" w:color="auto"/>
              <w:right w:val="single" w:sz="4" w:space="0" w:color="auto"/>
            </w:tcBorders>
            <w:shd w:val="clear" w:color="auto" w:fill="auto"/>
            <w:noWrap/>
            <w:vAlign w:val="center"/>
            <w:hideMark/>
          </w:tcPr>
          <w:p w14:paraId="5AA0C735" w14:textId="7473E7FA" w:rsidR="00DD4D5C" w:rsidRPr="00C07F6E" w:rsidRDefault="00DD4D5C" w:rsidP="008D3B6A">
            <w:pPr>
              <w:pStyle w:val="ExhibitText"/>
              <w:jc w:val="right"/>
            </w:pPr>
            <w:r w:rsidRPr="00C07F6E">
              <w:t>(4)</w:t>
            </w:r>
          </w:p>
        </w:tc>
        <w:tc>
          <w:tcPr>
            <w:tcW w:w="932" w:type="dxa"/>
            <w:tcBorders>
              <w:top w:val="nil"/>
              <w:left w:val="nil"/>
              <w:bottom w:val="single" w:sz="4" w:space="0" w:color="auto"/>
              <w:right w:val="single" w:sz="4" w:space="0" w:color="auto"/>
            </w:tcBorders>
            <w:shd w:val="clear" w:color="auto" w:fill="auto"/>
            <w:noWrap/>
            <w:vAlign w:val="center"/>
            <w:hideMark/>
          </w:tcPr>
          <w:p w14:paraId="65072B5F" w14:textId="1D9760AD" w:rsidR="00DD4D5C" w:rsidRPr="00C07F6E" w:rsidRDefault="00DD4D5C" w:rsidP="008D3B6A">
            <w:pPr>
              <w:pStyle w:val="ExhibitText"/>
              <w:jc w:val="right"/>
            </w:pPr>
            <w:r w:rsidRPr="00C07F6E">
              <w:t xml:space="preserve">8 </w:t>
            </w:r>
          </w:p>
        </w:tc>
        <w:tc>
          <w:tcPr>
            <w:tcW w:w="932" w:type="dxa"/>
            <w:tcBorders>
              <w:top w:val="nil"/>
              <w:left w:val="nil"/>
              <w:bottom w:val="single" w:sz="4" w:space="0" w:color="auto"/>
              <w:right w:val="single" w:sz="4" w:space="0" w:color="auto"/>
            </w:tcBorders>
            <w:shd w:val="clear" w:color="auto" w:fill="auto"/>
            <w:noWrap/>
            <w:vAlign w:val="center"/>
            <w:hideMark/>
          </w:tcPr>
          <w:p w14:paraId="5F17C3A9" w14:textId="53649441" w:rsidR="00DD4D5C" w:rsidRPr="00C07F6E" w:rsidRDefault="00DD4D5C" w:rsidP="008D3B6A">
            <w:pPr>
              <w:pStyle w:val="ExhibitText"/>
              <w:jc w:val="right"/>
            </w:pPr>
            <w:r w:rsidRPr="00C07F6E">
              <w:t xml:space="preserve">16 </w:t>
            </w:r>
          </w:p>
        </w:tc>
      </w:tr>
      <w:tr w:rsidR="00C07F6E" w:rsidRPr="00C07F6E" w14:paraId="49BDC04C" w14:textId="77777777" w:rsidTr="00E44318">
        <w:trPr>
          <w:trHeight w:val="98"/>
        </w:trPr>
        <w:tc>
          <w:tcPr>
            <w:tcW w:w="3686" w:type="dxa"/>
            <w:tcBorders>
              <w:top w:val="single" w:sz="4" w:space="0" w:color="auto"/>
              <w:left w:val="single" w:sz="4" w:space="0" w:color="auto"/>
              <w:bottom w:val="nil"/>
              <w:right w:val="single" w:sz="4" w:space="0" w:color="auto"/>
            </w:tcBorders>
            <w:shd w:val="clear" w:color="auto" w:fill="auto"/>
            <w:noWrap/>
            <w:vAlign w:val="center"/>
            <w:hideMark/>
          </w:tcPr>
          <w:p w14:paraId="570463A7" w14:textId="77777777" w:rsidR="00DD4D5C" w:rsidRPr="00C07F6E" w:rsidRDefault="00DD4D5C" w:rsidP="008D3B6A">
            <w:pPr>
              <w:pStyle w:val="ExhibitText"/>
              <w:jc w:val="left"/>
            </w:pPr>
            <w:r w:rsidRPr="00C07F6E">
              <w:t>Net income from continuing operations</w:t>
            </w:r>
          </w:p>
        </w:tc>
        <w:tc>
          <w:tcPr>
            <w:tcW w:w="1004" w:type="dxa"/>
            <w:tcBorders>
              <w:top w:val="single" w:sz="4" w:space="0" w:color="auto"/>
              <w:left w:val="single" w:sz="4" w:space="0" w:color="auto"/>
              <w:bottom w:val="nil"/>
              <w:right w:val="single" w:sz="4" w:space="0" w:color="auto"/>
            </w:tcBorders>
            <w:vAlign w:val="center"/>
          </w:tcPr>
          <w:p w14:paraId="5E6FED16" w14:textId="54985F6C" w:rsidR="00DD4D5C" w:rsidRPr="00C07F6E" w:rsidRDefault="00DD4D5C" w:rsidP="008D3B6A">
            <w:pPr>
              <w:pStyle w:val="ExhibitText"/>
              <w:jc w:val="right"/>
            </w:pPr>
            <w:r w:rsidRPr="00C07F6E">
              <w:t>216</w:t>
            </w:r>
          </w:p>
        </w:tc>
        <w:tc>
          <w:tcPr>
            <w:tcW w:w="932" w:type="dxa"/>
            <w:tcBorders>
              <w:top w:val="single" w:sz="4" w:space="0" w:color="auto"/>
              <w:left w:val="single" w:sz="4" w:space="0" w:color="auto"/>
              <w:bottom w:val="nil"/>
              <w:right w:val="single" w:sz="4" w:space="0" w:color="auto"/>
            </w:tcBorders>
            <w:shd w:val="clear" w:color="auto" w:fill="auto"/>
            <w:noWrap/>
            <w:vAlign w:val="center"/>
            <w:hideMark/>
          </w:tcPr>
          <w:p w14:paraId="06E742A8" w14:textId="74919BF5" w:rsidR="00DD4D5C" w:rsidRPr="00C07F6E" w:rsidRDefault="00DD4D5C" w:rsidP="008D3B6A">
            <w:pPr>
              <w:pStyle w:val="ExhibitText"/>
              <w:jc w:val="right"/>
            </w:pPr>
            <w:r w:rsidRPr="00C07F6E">
              <w:t>(5,719)</w:t>
            </w:r>
          </w:p>
        </w:tc>
        <w:tc>
          <w:tcPr>
            <w:tcW w:w="932" w:type="dxa"/>
            <w:tcBorders>
              <w:top w:val="single" w:sz="4" w:space="0" w:color="auto"/>
              <w:left w:val="nil"/>
              <w:bottom w:val="nil"/>
              <w:right w:val="single" w:sz="4" w:space="0" w:color="auto"/>
            </w:tcBorders>
            <w:shd w:val="clear" w:color="auto" w:fill="auto"/>
            <w:noWrap/>
            <w:vAlign w:val="center"/>
            <w:hideMark/>
          </w:tcPr>
          <w:p w14:paraId="70F4DC74" w14:textId="1118EB29" w:rsidR="00DD4D5C" w:rsidRPr="00C07F6E" w:rsidRDefault="00DD4D5C" w:rsidP="008D3B6A">
            <w:pPr>
              <w:pStyle w:val="ExhibitText"/>
              <w:jc w:val="right"/>
            </w:pPr>
            <w:r w:rsidRPr="00C07F6E">
              <w:t xml:space="preserve">1,912 </w:t>
            </w:r>
          </w:p>
        </w:tc>
        <w:tc>
          <w:tcPr>
            <w:tcW w:w="932" w:type="dxa"/>
            <w:tcBorders>
              <w:top w:val="single" w:sz="4" w:space="0" w:color="auto"/>
              <w:left w:val="nil"/>
              <w:bottom w:val="nil"/>
              <w:right w:val="single" w:sz="4" w:space="0" w:color="auto"/>
            </w:tcBorders>
            <w:shd w:val="clear" w:color="auto" w:fill="auto"/>
            <w:noWrap/>
            <w:vAlign w:val="center"/>
            <w:hideMark/>
          </w:tcPr>
          <w:p w14:paraId="7CBA3B88" w14:textId="04023FC4" w:rsidR="00DD4D5C" w:rsidRPr="00C07F6E" w:rsidRDefault="00DD4D5C" w:rsidP="008D3B6A">
            <w:pPr>
              <w:pStyle w:val="ExhibitText"/>
              <w:jc w:val="right"/>
            </w:pPr>
            <w:r w:rsidRPr="00C07F6E">
              <w:t xml:space="preserve">1,386 </w:t>
            </w:r>
          </w:p>
        </w:tc>
        <w:tc>
          <w:tcPr>
            <w:tcW w:w="932" w:type="dxa"/>
            <w:tcBorders>
              <w:top w:val="single" w:sz="4" w:space="0" w:color="auto"/>
              <w:left w:val="nil"/>
              <w:bottom w:val="nil"/>
              <w:right w:val="single" w:sz="4" w:space="0" w:color="auto"/>
            </w:tcBorders>
            <w:shd w:val="clear" w:color="auto" w:fill="auto"/>
            <w:noWrap/>
            <w:vAlign w:val="center"/>
            <w:hideMark/>
          </w:tcPr>
          <w:p w14:paraId="0F8AD81B" w14:textId="6554FAB2" w:rsidR="00DD4D5C" w:rsidRPr="00C07F6E" w:rsidRDefault="00DD4D5C" w:rsidP="008D3B6A">
            <w:pPr>
              <w:pStyle w:val="ExhibitText"/>
              <w:jc w:val="right"/>
            </w:pPr>
            <w:r w:rsidRPr="00C07F6E">
              <w:t xml:space="preserve">2,956 </w:t>
            </w:r>
          </w:p>
        </w:tc>
        <w:tc>
          <w:tcPr>
            <w:tcW w:w="932" w:type="dxa"/>
            <w:tcBorders>
              <w:top w:val="single" w:sz="4" w:space="0" w:color="auto"/>
              <w:left w:val="nil"/>
              <w:bottom w:val="nil"/>
              <w:right w:val="single" w:sz="4" w:space="0" w:color="auto"/>
            </w:tcBorders>
            <w:shd w:val="clear" w:color="auto" w:fill="auto"/>
            <w:noWrap/>
            <w:vAlign w:val="center"/>
            <w:hideMark/>
          </w:tcPr>
          <w:p w14:paraId="5C91357C" w14:textId="08227D39" w:rsidR="00DD4D5C" w:rsidRPr="00C07F6E" w:rsidRDefault="00DD4D5C" w:rsidP="008D3B6A">
            <w:pPr>
              <w:pStyle w:val="ExhibitText"/>
              <w:jc w:val="right"/>
            </w:pPr>
            <w:r w:rsidRPr="00C07F6E">
              <w:t xml:space="preserve">2,777 </w:t>
            </w:r>
          </w:p>
        </w:tc>
      </w:tr>
      <w:tr w:rsidR="00C07F6E" w:rsidRPr="00C07F6E" w14:paraId="55217FE9" w14:textId="77777777" w:rsidTr="00E44318">
        <w:trPr>
          <w:trHeight w:val="140"/>
        </w:trPr>
        <w:tc>
          <w:tcPr>
            <w:tcW w:w="3686" w:type="dxa"/>
            <w:tcBorders>
              <w:top w:val="nil"/>
              <w:left w:val="single" w:sz="4" w:space="0" w:color="auto"/>
              <w:bottom w:val="nil"/>
              <w:right w:val="single" w:sz="4" w:space="0" w:color="auto"/>
            </w:tcBorders>
            <w:shd w:val="clear" w:color="auto" w:fill="auto"/>
            <w:noWrap/>
            <w:vAlign w:val="center"/>
            <w:hideMark/>
          </w:tcPr>
          <w:p w14:paraId="0F86ECD1" w14:textId="77777777" w:rsidR="00DD4D5C" w:rsidRPr="00C07F6E" w:rsidRDefault="00DD4D5C" w:rsidP="008D3B6A">
            <w:pPr>
              <w:pStyle w:val="ExhibitText"/>
              <w:jc w:val="left"/>
            </w:pPr>
            <w:r w:rsidRPr="00C07F6E">
              <w:t>Net income from discontinuing operations</w:t>
            </w:r>
          </w:p>
        </w:tc>
        <w:tc>
          <w:tcPr>
            <w:tcW w:w="1004" w:type="dxa"/>
            <w:tcBorders>
              <w:top w:val="nil"/>
              <w:left w:val="single" w:sz="4" w:space="0" w:color="auto"/>
              <w:bottom w:val="nil"/>
              <w:right w:val="single" w:sz="4" w:space="0" w:color="auto"/>
            </w:tcBorders>
            <w:vAlign w:val="center"/>
          </w:tcPr>
          <w:p w14:paraId="4637D329" w14:textId="2E2A9F2B" w:rsidR="00DD4D5C" w:rsidRPr="00C07F6E" w:rsidRDefault="00DD4D5C" w:rsidP="008D3B6A">
            <w:pPr>
              <w:pStyle w:val="ExhibitText"/>
              <w:jc w:val="right"/>
            </w:pPr>
            <w:r w:rsidRPr="00C07F6E">
              <w:t>(87)</w:t>
            </w:r>
          </w:p>
        </w:tc>
        <w:tc>
          <w:tcPr>
            <w:tcW w:w="932" w:type="dxa"/>
            <w:tcBorders>
              <w:top w:val="nil"/>
              <w:left w:val="single" w:sz="4" w:space="0" w:color="auto"/>
              <w:bottom w:val="nil"/>
              <w:right w:val="single" w:sz="4" w:space="0" w:color="auto"/>
            </w:tcBorders>
            <w:shd w:val="clear" w:color="auto" w:fill="auto"/>
            <w:noWrap/>
            <w:vAlign w:val="center"/>
            <w:hideMark/>
          </w:tcPr>
          <w:p w14:paraId="66AC9F70" w14:textId="3428F596" w:rsidR="00DD4D5C" w:rsidRPr="00C07F6E" w:rsidRDefault="00DD4D5C" w:rsidP="008D3B6A">
            <w:pPr>
              <w:pStyle w:val="ExhibitText"/>
              <w:jc w:val="right"/>
            </w:pPr>
            <w:r w:rsidRPr="00C07F6E">
              <w:t>(47)</w:t>
            </w:r>
          </w:p>
        </w:tc>
        <w:tc>
          <w:tcPr>
            <w:tcW w:w="932" w:type="dxa"/>
            <w:tcBorders>
              <w:top w:val="nil"/>
              <w:left w:val="nil"/>
              <w:bottom w:val="nil"/>
              <w:right w:val="single" w:sz="4" w:space="0" w:color="auto"/>
            </w:tcBorders>
            <w:shd w:val="clear" w:color="auto" w:fill="auto"/>
            <w:noWrap/>
            <w:vAlign w:val="center"/>
            <w:hideMark/>
          </w:tcPr>
          <w:p w14:paraId="076D79D6" w14:textId="2262417A" w:rsidR="00DD4D5C" w:rsidRPr="00C07F6E" w:rsidRDefault="00DD4D5C" w:rsidP="008D3B6A">
            <w:pPr>
              <w:pStyle w:val="ExhibitText"/>
              <w:jc w:val="right"/>
            </w:pPr>
            <w:r w:rsidRPr="00C07F6E">
              <w:t>(942)</w:t>
            </w:r>
          </w:p>
        </w:tc>
        <w:tc>
          <w:tcPr>
            <w:tcW w:w="932" w:type="dxa"/>
            <w:tcBorders>
              <w:top w:val="nil"/>
              <w:left w:val="nil"/>
              <w:bottom w:val="nil"/>
              <w:right w:val="single" w:sz="4" w:space="0" w:color="auto"/>
            </w:tcBorders>
            <w:shd w:val="clear" w:color="auto" w:fill="auto"/>
            <w:noWrap/>
            <w:vAlign w:val="center"/>
            <w:hideMark/>
          </w:tcPr>
          <w:p w14:paraId="0DE7BAAC" w14:textId="2E76B1D3" w:rsidR="00DD4D5C" w:rsidRPr="00C07F6E" w:rsidRDefault="00DD4D5C" w:rsidP="008D3B6A">
            <w:pPr>
              <w:pStyle w:val="ExhibitText"/>
              <w:jc w:val="right"/>
            </w:pPr>
            <w:r w:rsidRPr="00C07F6E">
              <w:t>(1,266)</w:t>
            </w:r>
          </w:p>
        </w:tc>
        <w:tc>
          <w:tcPr>
            <w:tcW w:w="932" w:type="dxa"/>
            <w:tcBorders>
              <w:top w:val="nil"/>
              <w:left w:val="nil"/>
              <w:bottom w:val="nil"/>
              <w:right w:val="single" w:sz="4" w:space="0" w:color="auto"/>
            </w:tcBorders>
            <w:shd w:val="clear" w:color="auto" w:fill="auto"/>
            <w:noWrap/>
            <w:vAlign w:val="center"/>
            <w:hideMark/>
          </w:tcPr>
          <w:p w14:paraId="0DF1073E" w14:textId="1A90B097" w:rsidR="00DD4D5C" w:rsidRPr="00C07F6E" w:rsidRDefault="00DD4D5C" w:rsidP="008D3B6A">
            <w:pPr>
              <w:pStyle w:val="ExhibitText"/>
              <w:jc w:val="right"/>
            </w:pPr>
            <w:r w:rsidRPr="00C07F6E">
              <w:t>(142)</w:t>
            </w:r>
          </w:p>
        </w:tc>
        <w:tc>
          <w:tcPr>
            <w:tcW w:w="932" w:type="dxa"/>
            <w:tcBorders>
              <w:top w:val="nil"/>
              <w:left w:val="nil"/>
              <w:bottom w:val="nil"/>
              <w:right w:val="single" w:sz="4" w:space="0" w:color="auto"/>
            </w:tcBorders>
            <w:shd w:val="clear" w:color="auto" w:fill="auto"/>
            <w:noWrap/>
            <w:vAlign w:val="center"/>
            <w:hideMark/>
          </w:tcPr>
          <w:p w14:paraId="72AF962F" w14:textId="3BD34887" w:rsidR="00DD4D5C" w:rsidRPr="00C07F6E" w:rsidRDefault="00DD4D5C" w:rsidP="008D3B6A">
            <w:pPr>
              <w:pStyle w:val="ExhibitText"/>
              <w:jc w:val="right"/>
            </w:pPr>
            <w:r w:rsidRPr="00C07F6E">
              <w:t>(106)</w:t>
            </w:r>
          </w:p>
        </w:tc>
      </w:tr>
      <w:tr w:rsidR="00C07F6E" w:rsidRPr="00C07F6E" w14:paraId="40D52EDB" w14:textId="77777777" w:rsidTr="00E44318">
        <w:trPr>
          <w:trHeight w:val="118"/>
        </w:trPr>
        <w:tc>
          <w:tcPr>
            <w:tcW w:w="3686" w:type="dxa"/>
            <w:tcBorders>
              <w:top w:val="nil"/>
              <w:left w:val="single" w:sz="4" w:space="0" w:color="auto"/>
              <w:bottom w:val="single" w:sz="4" w:space="0" w:color="auto"/>
              <w:right w:val="single" w:sz="4" w:space="0" w:color="auto"/>
            </w:tcBorders>
            <w:shd w:val="clear" w:color="auto" w:fill="auto"/>
            <w:noWrap/>
            <w:vAlign w:val="center"/>
            <w:hideMark/>
          </w:tcPr>
          <w:p w14:paraId="0134EAC9" w14:textId="77777777" w:rsidR="00DD4D5C" w:rsidRPr="00C07F6E" w:rsidRDefault="00DD4D5C" w:rsidP="008D3B6A">
            <w:pPr>
              <w:pStyle w:val="ExhibitText"/>
              <w:jc w:val="left"/>
            </w:pPr>
            <w:r w:rsidRPr="00C07F6E">
              <w:t>Other</w:t>
            </w:r>
          </w:p>
        </w:tc>
        <w:tc>
          <w:tcPr>
            <w:tcW w:w="1004" w:type="dxa"/>
            <w:tcBorders>
              <w:top w:val="nil"/>
              <w:left w:val="single" w:sz="4" w:space="0" w:color="auto"/>
              <w:bottom w:val="single" w:sz="4" w:space="0" w:color="auto"/>
              <w:right w:val="single" w:sz="4" w:space="0" w:color="auto"/>
            </w:tcBorders>
            <w:vAlign w:val="center"/>
          </w:tcPr>
          <w:p w14:paraId="661FCC07" w14:textId="33923B4F" w:rsidR="00DD4D5C" w:rsidRPr="00C07F6E" w:rsidRDefault="00DD4D5C" w:rsidP="008D3B6A">
            <w:pPr>
              <w:pStyle w:val="ExhibitText"/>
              <w:jc w:val="right"/>
            </w:pPr>
            <w:r w:rsidRPr="00C07F6E">
              <w:t>9</w:t>
            </w:r>
          </w:p>
        </w:tc>
        <w:tc>
          <w:tcPr>
            <w:tcW w:w="932" w:type="dxa"/>
            <w:tcBorders>
              <w:top w:val="nil"/>
              <w:left w:val="single" w:sz="4" w:space="0" w:color="auto"/>
              <w:bottom w:val="single" w:sz="4" w:space="0" w:color="auto"/>
              <w:right w:val="single" w:sz="4" w:space="0" w:color="auto"/>
            </w:tcBorders>
            <w:shd w:val="clear" w:color="auto" w:fill="auto"/>
            <w:noWrap/>
            <w:vAlign w:val="center"/>
            <w:hideMark/>
          </w:tcPr>
          <w:p w14:paraId="6CE30C6C" w14:textId="0BFA1E7E" w:rsidR="00DD4D5C" w:rsidRPr="00C07F6E" w:rsidRDefault="00DD4D5C" w:rsidP="008D3B6A">
            <w:pPr>
              <w:pStyle w:val="ExhibitText"/>
              <w:jc w:val="right"/>
            </w:pPr>
            <w:r w:rsidRPr="00C07F6E">
              <w:t xml:space="preserve">25 </w:t>
            </w:r>
          </w:p>
        </w:tc>
        <w:tc>
          <w:tcPr>
            <w:tcW w:w="932" w:type="dxa"/>
            <w:tcBorders>
              <w:top w:val="nil"/>
              <w:left w:val="nil"/>
              <w:bottom w:val="single" w:sz="4" w:space="0" w:color="auto"/>
              <w:right w:val="single" w:sz="4" w:space="0" w:color="auto"/>
            </w:tcBorders>
            <w:shd w:val="clear" w:color="auto" w:fill="auto"/>
            <w:noWrap/>
            <w:vAlign w:val="center"/>
            <w:hideMark/>
          </w:tcPr>
          <w:p w14:paraId="5D607568" w14:textId="1570849E" w:rsidR="00DD4D5C" w:rsidRPr="00C07F6E" w:rsidRDefault="00DD4D5C" w:rsidP="008D3B6A">
            <w:pPr>
              <w:pStyle w:val="ExhibitText"/>
              <w:jc w:val="right"/>
            </w:pPr>
            <w:r w:rsidRPr="00C07F6E">
              <w:t xml:space="preserve">4 </w:t>
            </w:r>
          </w:p>
        </w:tc>
        <w:tc>
          <w:tcPr>
            <w:tcW w:w="932" w:type="dxa"/>
            <w:tcBorders>
              <w:top w:val="nil"/>
              <w:left w:val="nil"/>
              <w:bottom w:val="single" w:sz="4" w:space="0" w:color="auto"/>
              <w:right w:val="single" w:sz="4" w:space="0" w:color="auto"/>
            </w:tcBorders>
            <w:shd w:val="clear" w:color="auto" w:fill="auto"/>
            <w:noWrap/>
            <w:vAlign w:val="center"/>
            <w:hideMark/>
          </w:tcPr>
          <w:p w14:paraId="5884FF74" w14:textId="189C67C2" w:rsidR="00DD4D5C" w:rsidRPr="00C07F6E" w:rsidRDefault="00DD4D5C" w:rsidP="008D3B6A">
            <w:pPr>
              <w:pStyle w:val="ExhibitText"/>
              <w:jc w:val="right"/>
            </w:pPr>
            <w:r w:rsidRPr="00C07F6E">
              <w:t xml:space="preserve">4 </w:t>
            </w:r>
          </w:p>
        </w:tc>
        <w:tc>
          <w:tcPr>
            <w:tcW w:w="932" w:type="dxa"/>
            <w:tcBorders>
              <w:top w:val="nil"/>
              <w:left w:val="nil"/>
              <w:bottom w:val="single" w:sz="4" w:space="0" w:color="auto"/>
              <w:right w:val="single" w:sz="4" w:space="0" w:color="auto"/>
            </w:tcBorders>
            <w:shd w:val="clear" w:color="auto" w:fill="auto"/>
            <w:noWrap/>
            <w:vAlign w:val="center"/>
            <w:hideMark/>
          </w:tcPr>
          <w:p w14:paraId="0148FBD5" w14:textId="43454675" w:rsidR="00DD4D5C" w:rsidRPr="00C07F6E" w:rsidRDefault="00DD4D5C" w:rsidP="008D3B6A">
            <w:pPr>
              <w:pStyle w:val="ExhibitText"/>
              <w:jc w:val="right"/>
            </w:pPr>
            <w:r w:rsidRPr="00C07F6E">
              <w:t>(8)</w:t>
            </w:r>
          </w:p>
        </w:tc>
        <w:tc>
          <w:tcPr>
            <w:tcW w:w="932" w:type="dxa"/>
            <w:tcBorders>
              <w:top w:val="nil"/>
              <w:left w:val="nil"/>
              <w:bottom w:val="single" w:sz="4" w:space="0" w:color="auto"/>
              <w:right w:val="single" w:sz="4" w:space="0" w:color="auto"/>
            </w:tcBorders>
            <w:shd w:val="clear" w:color="auto" w:fill="auto"/>
            <w:noWrap/>
            <w:vAlign w:val="center"/>
            <w:hideMark/>
          </w:tcPr>
          <w:p w14:paraId="67F1C310" w14:textId="53ACCD32" w:rsidR="00DD4D5C" w:rsidRPr="00C07F6E" w:rsidRDefault="00DD4D5C" w:rsidP="008D3B6A">
            <w:pPr>
              <w:pStyle w:val="ExhibitText"/>
              <w:jc w:val="right"/>
            </w:pPr>
            <w:r w:rsidRPr="00C07F6E">
              <w:t>(16)</w:t>
            </w:r>
          </w:p>
        </w:tc>
      </w:tr>
      <w:tr w:rsidR="00C07F6E" w:rsidRPr="00C07F6E" w14:paraId="0E5DE90A" w14:textId="77777777" w:rsidTr="00E44318">
        <w:trPr>
          <w:trHeight w:val="154"/>
        </w:trPr>
        <w:tc>
          <w:tcPr>
            <w:tcW w:w="3686" w:type="dxa"/>
            <w:tcBorders>
              <w:top w:val="single" w:sz="4" w:space="0" w:color="auto"/>
              <w:left w:val="single" w:sz="4" w:space="0" w:color="auto"/>
              <w:bottom w:val="nil"/>
              <w:right w:val="single" w:sz="4" w:space="0" w:color="auto"/>
            </w:tcBorders>
            <w:shd w:val="clear" w:color="auto" w:fill="auto"/>
            <w:noWrap/>
            <w:vAlign w:val="center"/>
            <w:hideMark/>
          </w:tcPr>
          <w:p w14:paraId="4D735808" w14:textId="77777777" w:rsidR="00DD4D5C" w:rsidRPr="00C07F6E" w:rsidRDefault="00DD4D5C" w:rsidP="008D3B6A">
            <w:pPr>
              <w:pStyle w:val="ExhibitText"/>
              <w:jc w:val="left"/>
            </w:pPr>
            <w:r w:rsidRPr="00C07F6E">
              <w:t>Net income</w:t>
            </w:r>
          </w:p>
        </w:tc>
        <w:tc>
          <w:tcPr>
            <w:tcW w:w="1004" w:type="dxa"/>
            <w:tcBorders>
              <w:top w:val="single" w:sz="4" w:space="0" w:color="auto"/>
              <w:left w:val="single" w:sz="4" w:space="0" w:color="auto"/>
              <w:bottom w:val="nil"/>
              <w:right w:val="single" w:sz="4" w:space="0" w:color="auto"/>
            </w:tcBorders>
            <w:vAlign w:val="center"/>
          </w:tcPr>
          <w:p w14:paraId="5D0507E4" w14:textId="2748D713" w:rsidR="00DD4D5C" w:rsidRPr="00C07F6E" w:rsidRDefault="00DD4D5C" w:rsidP="008D3B6A">
            <w:pPr>
              <w:pStyle w:val="ExhibitText"/>
              <w:jc w:val="right"/>
            </w:pPr>
            <w:r w:rsidRPr="00C07F6E">
              <w:t>138</w:t>
            </w:r>
          </w:p>
        </w:tc>
        <w:tc>
          <w:tcPr>
            <w:tcW w:w="932" w:type="dxa"/>
            <w:tcBorders>
              <w:top w:val="single" w:sz="4" w:space="0" w:color="auto"/>
              <w:left w:val="single" w:sz="4" w:space="0" w:color="auto"/>
              <w:bottom w:val="nil"/>
              <w:right w:val="single" w:sz="4" w:space="0" w:color="auto"/>
            </w:tcBorders>
            <w:shd w:val="clear" w:color="auto" w:fill="auto"/>
            <w:noWrap/>
            <w:vAlign w:val="center"/>
            <w:hideMark/>
          </w:tcPr>
          <w:p w14:paraId="250C9FA1" w14:textId="306FBA90" w:rsidR="00DD4D5C" w:rsidRPr="00C07F6E" w:rsidRDefault="00DD4D5C" w:rsidP="008D3B6A">
            <w:pPr>
              <w:pStyle w:val="ExhibitText"/>
              <w:jc w:val="right"/>
            </w:pPr>
            <w:r w:rsidRPr="00C07F6E">
              <w:t>(5,741)</w:t>
            </w:r>
          </w:p>
        </w:tc>
        <w:tc>
          <w:tcPr>
            <w:tcW w:w="932" w:type="dxa"/>
            <w:tcBorders>
              <w:top w:val="single" w:sz="4" w:space="0" w:color="auto"/>
              <w:left w:val="nil"/>
              <w:bottom w:val="nil"/>
              <w:right w:val="single" w:sz="4" w:space="0" w:color="auto"/>
            </w:tcBorders>
            <w:shd w:val="clear" w:color="auto" w:fill="auto"/>
            <w:noWrap/>
            <w:vAlign w:val="center"/>
            <w:hideMark/>
          </w:tcPr>
          <w:p w14:paraId="7054A93E" w14:textId="4954E4CD" w:rsidR="00DD4D5C" w:rsidRPr="00C07F6E" w:rsidRDefault="00DD4D5C" w:rsidP="008D3B6A">
            <w:pPr>
              <w:pStyle w:val="ExhibitText"/>
              <w:jc w:val="right"/>
            </w:pPr>
            <w:r w:rsidRPr="00C07F6E">
              <w:t xml:space="preserve">974 </w:t>
            </w:r>
          </w:p>
        </w:tc>
        <w:tc>
          <w:tcPr>
            <w:tcW w:w="932" w:type="dxa"/>
            <w:tcBorders>
              <w:top w:val="single" w:sz="4" w:space="0" w:color="auto"/>
              <w:left w:val="nil"/>
              <w:bottom w:val="nil"/>
              <w:right w:val="single" w:sz="4" w:space="0" w:color="auto"/>
            </w:tcBorders>
            <w:shd w:val="clear" w:color="auto" w:fill="auto"/>
            <w:noWrap/>
            <w:vAlign w:val="center"/>
            <w:hideMark/>
          </w:tcPr>
          <w:p w14:paraId="7AEDB3D8" w14:textId="58DA790B" w:rsidR="00DD4D5C" w:rsidRPr="00C07F6E" w:rsidRDefault="00DD4D5C" w:rsidP="008D3B6A">
            <w:pPr>
              <w:pStyle w:val="ExhibitText"/>
              <w:jc w:val="right"/>
            </w:pPr>
            <w:r w:rsidRPr="00C07F6E">
              <w:t xml:space="preserve">124 </w:t>
            </w:r>
          </w:p>
        </w:tc>
        <w:tc>
          <w:tcPr>
            <w:tcW w:w="932" w:type="dxa"/>
            <w:tcBorders>
              <w:top w:val="single" w:sz="4" w:space="0" w:color="auto"/>
              <w:left w:val="nil"/>
              <w:bottom w:val="nil"/>
              <w:right w:val="single" w:sz="4" w:space="0" w:color="auto"/>
            </w:tcBorders>
            <w:shd w:val="clear" w:color="auto" w:fill="auto"/>
            <w:noWrap/>
            <w:vAlign w:val="center"/>
            <w:hideMark/>
          </w:tcPr>
          <w:p w14:paraId="0C195D48" w14:textId="50627C67" w:rsidR="00DD4D5C" w:rsidRPr="00C07F6E" w:rsidRDefault="00DD4D5C" w:rsidP="008D3B6A">
            <w:pPr>
              <w:pStyle w:val="ExhibitText"/>
              <w:jc w:val="right"/>
            </w:pPr>
            <w:r w:rsidRPr="00C07F6E">
              <w:t xml:space="preserve">2,806 </w:t>
            </w:r>
          </w:p>
        </w:tc>
        <w:tc>
          <w:tcPr>
            <w:tcW w:w="932" w:type="dxa"/>
            <w:tcBorders>
              <w:top w:val="single" w:sz="4" w:space="0" w:color="auto"/>
              <w:left w:val="nil"/>
              <w:bottom w:val="nil"/>
              <w:right w:val="single" w:sz="4" w:space="0" w:color="auto"/>
            </w:tcBorders>
            <w:shd w:val="clear" w:color="auto" w:fill="auto"/>
            <w:noWrap/>
            <w:vAlign w:val="center"/>
            <w:hideMark/>
          </w:tcPr>
          <w:p w14:paraId="441C57B7" w14:textId="6D4B5A5A" w:rsidR="00DD4D5C" w:rsidRPr="00C07F6E" w:rsidRDefault="00DD4D5C" w:rsidP="008D3B6A">
            <w:pPr>
              <w:pStyle w:val="ExhibitText"/>
              <w:jc w:val="right"/>
            </w:pPr>
            <w:r w:rsidRPr="00C07F6E">
              <w:t xml:space="preserve">2,655 </w:t>
            </w:r>
          </w:p>
        </w:tc>
      </w:tr>
      <w:tr w:rsidR="00C07F6E" w:rsidRPr="00C07F6E" w14:paraId="36B10D32" w14:textId="77777777" w:rsidTr="008D3B6A">
        <w:trPr>
          <w:trHeight w:val="288"/>
        </w:trPr>
        <w:tc>
          <w:tcPr>
            <w:tcW w:w="3686" w:type="dxa"/>
            <w:tcBorders>
              <w:top w:val="nil"/>
              <w:left w:val="single" w:sz="4" w:space="0" w:color="auto"/>
              <w:bottom w:val="single" w:sz="4" w:space="0" w:color="auto"/>
              <w:right w:val="single" w:sz="4" w:space="0" w:color="auto"/>
            </w:tcBorders>
            <w:shd w:val="clear" w:color="auto" w:fill="auto"/>
            <w:noWrap/>
            <w:vAlign w:val="center"/>
            <w:hideMark/>
          </w:tcPr>
          <w:p w14:paraId="43C1EB24" w14:textId="77777777" w:rsidR="00DD4D5C" w:rsidRPr="00C07F6E" w:rsidRDefault="00DD4D5C" w:rsidP="008D3B6A">
            <w:pPr>
              <w:pStyle w:val="ExhibitText"/>
              <w:jc w:val="left"/>
            </w:pPr>
            <w:r w:rsidRPr="00C07F6E">
              <w:t>Net income available to common shareholders</w:t>
            </w:r>
          </w:p>
        </w:tc>
        <w:tc>
          <w:tcPr>
            <w:tcW w:w="1004" w:type="dxa"/>
            <w:tcBorders>
              <w:top w:val="nil"/>
              <w:left w:val="single" w:sz="4" w:space="0" w:color="auto"/>
              <w:bottom w:val="single" w:sz="4" w:space="0" w:color="auto"/>
              <w:right w:val="single" w:sz="4" w:space="0" w:color="auto"/>
            </w:tcBorders>
            <w:vAlign w:val="center"/>
          </w:tcPr>
          <w:p w14:paraId="01669B00" w14:textId="7ED60DDA" w:rsidR="00DD4D5C" w:rsidRPr="00C07F6E" w:rsidRDefault="00DD4D5C" w:rsidP="008D3B6A">
            <w:pPr>
              <w:pStyle w:val="ExhibitText"/>
              <w:jc w:val="right"/>
            </w:pPr>
            <w:r w:rsidRPr="00C07F6E">
              <w:t>138</w:t>
            </w:r>
          </w:p>
        </w:tc>
        <w:tc>
          <w:tcPr>
            <w:tcW w:w="932" w:type="dxa"/>
            <w:tcBorders>
              <w:top w:val="nil"/>
              <w:left w:val="single" w:sz="4" w:space="0" w:color="auto"/>
              <w:bottom w:val="single" w:sz="4" w:space="0" w:color="auto"/>
              <w:right w:val="single" w:sz="4" w:space="0" w:color="auto"/>
            </w:tcBorders>
            <w:shd w:val="clear" w:color="auto" w:fill="auto"/>
            <w:noWrap/>
            <w:vAlign w:val="center"/>
            <w:hideMark/>
          </w:tcPr>
          <w:p w14:paraId="5854F716" w14:textId="74DE5868" w:rsidR="00DD4D5C" w:rsidRPr="00C07F6E" w:rsidRDefault="00DD4D5C" w:rsidP="008D3B6A">
            <w:pPr>
              <w:pStyle w:val="ExhibitText"/>
              <w:jc w:val="right"/>
            </w:pPr>
            <w:r w:rsidRPr="00C07F6E">
              <w:t>(5,741)</w:t>
            </w:r>
          </w:p>
        </w:tc>
        <w:tc>
          <w:tcPr>
            <w:tcW w:w="932" w:type="dxa"/>
            <w:tcBorders>
              <w:top w:val="nil"/>
              <w:left w:val="nil"/>
              <w:bottom w:val="single" w:sz="4" w:space="0" w:color="auto"/>
              <w:right w:val="single" w:sz="4" w:space="0" w:color="auto"/>
            </w:tcBorders>
            <w:shd w:val="clear" w:color="auto" w:fill="auto"/>
            <w:noWrap/>
            <w:vAlign w:val="center"/>
            <w:hideMark/>
          </w:tcPr>
          <w:p w14:paraId="4E97E7A6" w14:textId="10F2837F" w:rsidR="00DD4D5C" w:rsidRPr="00C07F6E" w:rsidRDefault="00DD4D5C" w:rsidP="008D3B6A">
            <w:pPr>
              <w:pStyle w:val="ExhibitText"/>
              <w:jc w:val="right"/>
            </w:pPr>
            <w:r w:rsidRPr="00C07F6E">
              <w:t xml:space="preserve">974 </w:t>
            </w:r>
          </w:p>
        </w:tc>
        <w:tc>
          <w:tcPr>
            <w:tcW w:w="932" w:type="dxa"/>
            <w:tcBorders>
              <w:top w:val="nil"/>
              <w:left w:val="nil"/>
              <w:bottom w:val="single" w:sz="4" w:space="0" w:color="auto"/>
              <w:right w:val="single" w:sz="4" w:space="0" w:color="auto"/>
            </w:tcBorders>
            <w:shd w:val="clear" w:color="auto" w:fill="auto"/>
            <w:noWrap/>
            <w:vAlign w:val="center"/>
            <w:hideMark/>
          </w:tcPr>
          <w:p w14:paraId="349EBCBF" w14:textId="42AB6066" w:rsidR="00DD4D5C" w:rsidRPr="00C07F6E" w:rsidRDefault="00DD4D5C" w:rsidP="008D3B6A">
            <w:pPr>
              <w:pStyle w:val="ExhibitText"/>
              <w:jc w:val="right"/>
            </w:pPr>
            <w:r w:rsidRPr="00C07F6E">
              <w:t xml:space="preserve">124 </w:t>
            </w:r>
          </w:p>
        </w:tc>
        <w:tc>
          <w:tcPr>
            <w:tcW w:w="932" w:type="dxa"/>
            <w:tcBorders>
              <w:top w:val="nil"/>
              <w:left w:val="nil"/>
              <w:bottom w:val="single" w:sz="4" w:space="0" w:color="auto"/>
              <w:right w:val="single" w:sz="4" w:space="0" w:color="auto"/>
            </w:tcBorders>
            <w:shd w:val="clear" w:color="auto" w:fill="auto"/>
            <w:noWrap/>
            <w:vAlign w:val="center"/>
            <w:hideMark/>
          </w:tcPr>
          <w:p w14:paraId="48BBC560" w14:textId="439E0AE9" w:rsidR="00DD4D5C" w:rsidRPr="00C07F6E" w:rsidRDefault="00DD4D5C" w:rsidP="008D3B6A">
            <w:pPr>
              <w:pStyle w:val="ExhibitText"/>
              <w:jc w:val="right"/>
            </w:pPr>
            <w:r w:rsidRPr="00C07F6E">
              <w:t xml:space="preserve">2,806 </w:t>
            </w:r>
          </w:p>
        </w:tc>
        <w:tc>
          <w:tcPr>
            <w:tcW w:w="932" w:type="dxa"/>
            <w:tcBorders>
              <w:top w:val="nil"/>
              <w:left w:val="nil"/>
              <w:bottom w:val="single" w:sz="4" w:space="0" w:color="auto"/>
              <w:right w:val="single" w:sz="4" w:space="0" w:color="auto"/>
            </w:tcBorders>
            <w:shd w:val="clear" w:color="auto" w:fill="auto"/>
            <w:noWrap/>
            <w:vAlign w:val="center"/>
            <w:hideMark/>
          </w:tcPr>
          <w:p w14:paraId="668FD37B" w14:textId="21156F07" w:rsidR="00DD4D5C" w:rsidRPr="00C07F6E" w:rsidRDefault="00DD4D5C" w:rsidP="008D3B6A">
            <w:pPr>
              <w:pStyle w:val="ExhibitText"/>
              <w:jc w:val="right"/>
            </w:pPr>
            <w:r w:rsidRPr="00C07F6E">
              <w:t xml:space="preserve">2,655 </w:t>
            </w:r>
          </w:p>
        </w:tc>
      </w:tr>
    </w:tbl>
    <w:p w14:paraId="2D494395" w14:textId="77777777" w:rsidR="006D594B" w:rsidRPr="00AE0DCF" w:rsidRDefault="006D594B" w:rsidP="006D594B">
      <w:pPr>
        <w:pStyle w:val="Footnote"/>
        <w:rPr>
          <w:rFonts w:eastAsia="Arial"/>
          <w:spacing w:val="-2"/>
          <w:kern w:val="17"/>
        </w:rPr>
      </w:pPr>
    </w:p>
    <w:p w14:paraId="1883AA81" w14:textId="71099F60" w:rsidR="00AE0DCF" w:rsidRPr="00E44318" w:rsidRDefault="00DD4D5C" w:rsidP="00E44318">
      <w:pPr>
        <w:pStyle w:val="Footnote"/>
        <w:rPr>
          <w:spacing w:val="-2"/>
          <w:kern w:val="17"/>
        </w:rPr>
      </w:pPr>
      <w:proofErr w:type="gramStart"/>
      <w:r w:rsidRPr="00AE0DCF">
        <w:rPr>
          <w:rFonts w:eastAsia="Arial"/>
          <w:spacing w:val="-2"/>
          <w:kern w:val="17"/>
        </w:rPr>
        <w:t xml:space="preserve">Source: </w:t>
      </w:r>
      <w:r w:rsidR="005A31CB" w:rsidRPr="00AE0DCF">
        <w:rPr>
          <w:rFonts w:eastAsia="Arial"/>
          <w:spacing w:val="-2"/>
          <w:kern w:val="17"/>
        </w:rPr>
        <w:t xml:space="preserve">Compiled by the case authors, based on </w:t>
      </w:r>
      <w:r w:rsidR="00E233AC" w:rsidRPr="00AE0DCF">
        <w:rPr>
          <w:spacing w:val="-2"/>
          <w:kern w:val="17"/>
        </w:rPr>
        <w:t xml:space="preserve">Tesco PLC, </w:t>
      </w:r>
      <w:r w:rsidR="00E233AC" w:rsidRPr="00780234">
        <w:rPr>
          <w:i/>
          <w:spacing w:val="-2"/>
          <w:kern w:val="17"/>
        </w:rPr>
        <w:t>Annual Report and Financial Statements 2016</w:t>
      </w:r>
      <w:r w:rsidR="00E233AC" w:rsidRPr="00AE0DCF">
        <w:rPr>
          <w:spacing w:val="-2"/>
          <w:kern w:val="17"/>
        </w:rPr>
        <w:t>,</w:t>
      </w:r>
      <w:r w:rsidR="00107BFD">
        <w:rPr>
          <w:spacing w:val="-2"/>
          <w:kern w:val="17"/>
        </w:rPr>
        <w:t xml:space="preserve"> </w:t>
      </w:r>
      <w:r w:rsidR="00830101" w:rsidRPr="00AE0DCF">
        <w:rPr>
          <w:spacing w:val="-2"/>
          <w:kern w:val="17"/>
        </w:rPr>
        <w:t>85</w:t>
      </w:r>
      <w:r w:rsidR="00E233AC" w:rsidRPr="00AE0DCF">
        <w:rPr>
          <w:spacing w:val="-2"/>
          <w:kern w:val="17"/>
        </w:rPr>
        <w:t xml:space="preserve">, accessed </w:t>
      </w:r>
      <w:r w:rsidR="00F5032C" w:rsidRPr="00AE0DCF">
        <w:rPr>
          <w:spacing w:val="-2"/>
          <w:kern w:val="17"/>
        </w:rPr>
        <w:t>May</w:t>
      </w:r>
      <w:r w:rsidR="00E233AC" w:rsidRPr="00AE0DCF">
        <w:rPr>
          <w:spacing w:val="-2"/>
          <w:kern w:val="17"/>
        </w:rPr>
        <w:t xml:space="preserve"> 22, 2016, www.tescoplc.com/media/264194/annual-report-2016.pdf; Tesco PLC, </w:t>
      </w:r>
      <w:r w:rsidR="00E233AC" w:rsidRPr="00780234">
        <w:rPr>
          <w:i/>
          <w:spacing w:val="-2"/>
          <w:kern w:val="17"/>
        </w:rPr>
        <w:t>Annual Report and Financial Statements 2015</w:t>
      </w:r>
      <w:r w:rsidR="00E233AC" w:rsidRPr="00AE0DCF">
        <w:rPr>
          <w:spacing w:val="-2"/>
          <w:kern w:val="17"/>
        </w:rPr>
        <w:t xml:space="preserve">, </w:t>
      </w:r>
      <w:r w:rsidR="00830101" w:rsidRPr="00AE0DCF">
        <w:rPr>
          <w:spacing w:val="-2"/>
          <w:kern w:val="17"/>
        </w:rPr>
        <w:t>8</w:t>
      </w:r>
      <w:r w:rsidR="00E233AC" w:rsidRPr="00AE0DCF">
        <w:rPr>
          <w:spacing w:val="-2"/>
          <w:kern w:val="17"/>
        </w:rPr>
        <w:t xml:space="preserve">3, accessed April 22, 2016, </w:t>
      </w:r>
      <w:r w:rsidR="00AE0DCF" w:rsidRPr="00AE0DCF">
        <w:rPr>
          <w:spacing w:val="-2"/>
          <w:kern w:val="17"/>
        </w:rPr>
        <w:t>www.tescoplc.com/files/pdf/reports/ar15</w:t>
      </w:r>
      <w:r w:rsidR="00830101" w:rsidRPr="00AE0DCF">
        <w:rPr>
          <w:spacing w:val="-2"/>
          <w:kern w:val="17"/>
        </w:rPr>
        <w:t>/download_annual_report.pdf</w:t>
      </w:r>
      <w:r w:rsidR="005A31CB" w:rsidRPr="00AE0DCF">
        <w:rPr>
          <w:spacing w:val="-2"/>
          <w:kern w:val="17"/>
        </w:rPr>
        <w:t xml:space="preserve">; Tesco PLC, </w:t>
      </w:r>
      <w:r w:rsidR="005A31CB" w:rsidRPr="00780234">
        <w:rPr>
          <w:i/>
          <w:spacing w:val="-2"/>
          <w:kern w:val="17"/>
        </w:rPr>
        <w:t>Annual Report and Financial Statements 2014</w:t>
      </w:r>
      <w:r w:rsidR="005A31CB" w:rsidRPr="00AE0DCF">
        <w:rPr>
          <w:spacing w:val="-2"/>
          <w:kern w:val="17"/>
        </w:rPr>
        <w:t xml:space="preserve">, </w:t>
      </w:r>
      <w:r w:rsidR="00830101" w:rsidRPr="00AE0DCF">
        <w:rPr>
          <w:spacing w:val="-2"/>
          <w:kern w:val="17"/>
        </w:rPr>
        <w:t>69,</w:t>
      </w:r>
      <w:r w:rsidR="005A31CB" w:rsidRPr="00AE0DCF">
        <w:rPr>
          <w:spacing w:val="-2"/>
          <w:kern w:val="17"/>
        </w:rPr>
        <w:t xml:space="preserve"> accessed </w:t>
      </w:r>
      <w:r w:rsidR="00095FB5" w:rsidRPr="00AE0DCF">
        <w:rPr>
          <w:spacing w:val="-2"/>
          <w:kern w:val="17"/>
        </w:rPr>
        <w:t>April 22, 2016,</w:t>
      </w:r>
      <w:r w:rsidR="00C71ADA">
        <w:rPr>
          <w:spacing w:val="-2"/>
          <w:kern w:val="17"/>
        </w:rPr>
        <w:t xml:space="preserve"> </w:t>
      </w:r>
      <w:r w:rsidR="002C7152" w:rsidRPr="00AE0DCF">
        <w:rPr>
          <w:spacing w:val="-2"/>
          <w:kern w:val="17"/>
        </w:rPr>
        <w:t>www.tescoplc.com/files/pdf/reports/ar14/download_annual_report.pdf</w:t>
      </w:r>
      <w:r w:rsidR="005A31CB" w:rsidRPr="00AE0DCF">
        <w:rPr>
          <w:spacing w:val="-2"/>
          <w:kern w:val="17"/>
        </w:rPr>
        <w:t xml:space="preserve">; Tesco PLC, </w:t>
      </w:r>
      <w:r w:rsidR="005A31CB" w:rsidRPr="00780234">
        <w:rPr>
          <w:i/>
          <w:spacing w:val="-2"/>
          <w:kern w:val="17"/>
        </w:rPr>
        <w:t>Annual Report and Financial Statements 2013</w:t>
      </w:r>
      <w:r w:rsidR="005A31CB" w:rsidRPr="00AE0DCF">
        <w:rPr>
          <w:spacing w:val="-2"/>
          <w:kern w:val="17"/>
        </w:rPr>
        <w:t xml:space="preserve">, </w:t>
      </w:r>
      <w:r w:rsidR="00830101" w:rsidRPr="00AE0DCF">
        <w:rPr>
          <w:spacing w:val="-2"/>
          <w:kern w:val="17"/>
        </w:rPr>
        <w:t>72,</w:t>
      </w:r>
      <w:r w:rsidR="005A31CB" w:rsidRPr="00AE0DCF">
        <w:rPr>
          <w:spacing w:val="-2"/>
          <w:kern w:val="17"/>
        </w:rPr>
        <w:t xml:space="preserve"> accessed </w:t>
      </w:r>
      <w:r w:rsidR="002C7152" w:rsidRPr="00AE0DCF">
        <w:rPr>
          <w:spacing w:val="-2"/>
          <w:kern w:val="17"/>
        </w:rPr>
        <w:t xml:space="preserve">April 22, 2016, </w:t>
      </w:r>
      <w:r w:rsidR="00AE0DCF" w:rsidRPr="00AE0DCF">
        <w:rPr>
          <w:spacing w:val="-2"/>
          <w:kern w:val="17"/>
        </w:rPr>
        <w:t>www.tescoplc.com/media/1456/tesco_annual</w:t>
      </w:r>
      <w:r w:rsidR="002C7152" w:rsidRPr="00AE0DCF">
        <w:rPr>
          <w:spacing w:val="-2"/>
          <w:kern w:val="17"/>
        </w:rPr>
        <w:t>_report_2013.pdf</w:t>
      </w:r>
      <w:r w:rsidR="005A31CB" w:rsidRPr="00AE0DCF">
        <w:rPr>
          <w:spacing w:val="-2"/>
          <w:kern w:val="17"/>
        </w:rPr>
        <w:t xml:space="preserve">; </w:t>
      </w:r>
      <w:r w:rsidR="00E233AC" w:rsidRPr="00AE0DCF">
        <w:rPr>
          <w:spacing w:val="-2"/>
          <w:kern w:val="17"/>
        </w:rPr>
        <w:t xml:space="preserve">Tesco PLC, </w:t>
      </w:r>
      <w:r w:rsidR="00E233AC" w:rsidRPr="00780234">
        <w:rPr>
          <w:i/>
          <w:spacing w:val="-2"/>
          <w:kern w:val="17"/>
        </w:rPr>
        <w:t>Annual Report and Financial Statements 2012</w:t>
      </w:r>
      <w:r w:rsidR="00E233AC" w:rsidRPr="00AE0DCF">
        <w:rPr>
          <w:spacing w:val="-2"/>
          <w:kern w:val="17"/>
        </w:rPr>
        <w:t xml:space="preserve">, </w:t>
      </w:r>
      <w:r w:rsidR="00830101" w:rsidRPr="00AE0DCF">
        <w:rPr>
          <w:spacing w:val="-2"/>
          <w:kern w:val="17"/>
        </w:rPr>
        <w:t>90</w:t>
      </w:r>
      <w:r w:rsidR="00E233AC" w:rsidRPr="00AE0DCF">
        <w:rPr>
          <w:spacing w:val="-2"/>
          <w:kern w:val="17"/>
        </w:rPr>
        <w:t xml:space="preserve">, accessed April 22, 2016, www.tescoplc.com/media/1455/tesco_annual_report_2012.pdf; </w:t>
      </w:r>
      <w:r w:rsidR="005016C0">
        <w:rPr>
          <w:spacing w:val="-2"/>
          <w:kern w:val="17"/>
        </w:rPr>
        <w:t xml:space="preserve">and </w:t>
      </w:r>
      <w:r w:rsidR="00E233AC" w:rsidRPr="00AE0DCF">
        <w:rPr>
          <w:spacing w:val="-2"/>
          <w:kern w:val="17"/>
        </w:rPr>
        <w:t xml:space="preserve">Tesco PLC, </w:t>
      </w:r>
      <w:r w:rsidR="00E233AC" w:rsidRPr="00780234">
        <w:rPr>
          <w:i/>
          <w:spacing w:val="-2"/>
          <w:kern w:val="17"/>
        </w:rPr>
        <w:t>Annual Report and Financial Statements 2011</w:t>
      </w:r>
      <w:r w:rsidR="00E233AC" w:rsidRPr="00AE0DCF">
        <w:rPr>
          <w:spacing w:val="-2"/>
          <w:kern w:val="17"/>
        </w:rPr>
        <w:t xml:space="preserve">, </w:t>
      </w:r>
      <w:r w:rsidR="00830101" w:rsidRPr="00AE0DCF">
        <w:rPr>
          <w:spacing w:val="-2"/>
          <w:kern w:val="17"/>
        </w:rPr>
        <w:t>94</w:t>
      </w:r>
      <w:r w:rsidR="00E233AC" w:rsidRPr="00AE0DCF">
        <w:rPr>
          <w:spacing w:val="-2"/>
          <w:kern w:val="17"/>
        </w:rPr>
        <w:t>, accessed April 22, 2016, www.tescoplc.com/files/pdf/reports/tesco_annual_report_2011.pdf.</w:t>
      </w:r>
      <w:proofErr w:type="gramEnd"/>
      <w:r w:rsidR="00AE0DCF">
        <w:br w:type="page"/>
      </w:r>
    </w:p>
    <w:p w14:paraId="183E54F0" w14:textId="47F92DE2" w:rsidR="00A93778" w:rsidRPr="00C07F6E" w:rsidRDefault="00A93778" w:rsidP="00A93778">
      <w:pPr>
        <w:pStyle w:val="ExhibitHeading"/>
        <w:outlineLvl w:val="0"/>
        <w:rPr>
          <w:rFonts w:eastAsia="Arial"/>
        </w:rPr>
      </w:pPr>
      <w:r>
        <w:rPr>
          <w:rFonts w:eastAsia="Arial"/>
        </w:rPr>
        <w:lastRenderedPageBreak/>
        <w:t>Exhibit 5</w:t>
      </w:r>
      <w:r w:rsidRPr="00C07F6E">
        <w:rPr>
          <w:rFonts w:eastAsia="Arial"/>
        </w:rPr>
        <w:t>: Average market share growth (12 weekS ending) 2014–2016</w:t>
      </w:r>
    </w:p>
    <w:p w14:paraId="2A4D3316" w14:textId="77777777" w:rsidR="00A93778" w:rsidRPr="00C07F6E" w:rsidRDefault="00A93778" w:rsidP="008D3B6A">
      <w:pPr>
        <w:pStyle w:val="ExhibitText"/>
        <w:rPr>
          <w:rFonts w:eastAsia="Arial"/>
        </w:rPr>
      </w:pPr>
    </w:p>
    <w:p w14:paraId="6EAD99CC" w14:textId="77777777" w:rsidR="00A93778" w:rsidRPr="00C07F6E" w:rsidRDefault="00A93778" w:rsidP="00A93778">
      <w:pPr>
        <w:jc w:val="center"/>
        <w:rPr>
          <w:rFonts w:eastAsia="Arial"/>
          <w:b/>
          <w:smallCaps/>
          <w:sz w:val="22"/>
          <w:szCs w:val="22"/>
        </w:rPr>
      </w:pPr>
      <w:bookmarkStart w:id="3" w:name="_GoBack"/>
      <w:r w:rsidRPr="00EA2956">
        <w:rPr>
          <w:rFonts w:ascii="Arial" w:hAnsi="Arial" w:cs="Arial"/>
          <w:noProof/>
          <w:lang w:eastAsia="en-GB"/>
        </w:rPr>
        <w:drawing>
          <wp:inline distT="0" distB="0" distL="0" distR="0" wp14:anchorId="586F7042" wp14:editId="5BF55B24">
            <wp:extent cx="4559736" cy="2723360"/>
            <wp:effectExtent l="0" t="0" r="12700" b="127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3"/>
    </w:p>
    <w:p w14:paraId="14F219E7" w14:textId="77777777" w:rsidR="00A93778" w:rsidRPr="00C07F6E" w:rsidRDefault="00A93778" w:rsidP="008D3B6A">
      <w:pPr>
        <w:pStyle w:val="ExhibitText"/>
        <w:rPr>
          <w:rFonts w:eastAsia="Arial"/>
        </w:rPr>
      </w:pPr>
    </w:p>
    <w:p w14:paraId="52226A13" w14:textId="1FA81DF7" w:rsidR="006D594B" w:rsidRPr="00AE0DCF" w:rsidRDefault="00A93778" w:rsidP="00780234">
      <w:pPr>
        <w:pStyle w:val="Footnote"/>
        <w:rPr>
          <w:rFonts w:eastAsia="Arial"/>
        </w:rPr>
      </w:pPr>
      <w:r w:rsidRPr="00AE0DCF">
        <w:rPr>
          <w:rFonts w:eastAsia="Arial"/>
        </w:rPr>
        <w:t>Source: Compiled by the case authors, based on Kant</w:t>
      </w:r>
      <w:r w:rsidR="00AE0DCF" w:rsidRPr="00AE0DCF">
        <w:rPr>
          <w:rFonts w:eastAsia="Arial"/>
        </w:rPr>
        <w:t xml:space="preserve">ar </w:t>
      </w:r>
      <w:proofErr w:type="spellStart"/>
      <w:r w:rsidR="00AE0DCF" w:rsidRPr="00AE0DCF">
        <w:rPr>
          <w:rFonts w:eastAsia="Arial"/>
        </w:rPr>
        <w:t>WorldPanel</w:t>
      </w:r>
      <w:proofErr w:type="spellEnd"/>
      <w:r w:rsidR="00AE0DCF" w:rsidRPr="00AE0DCF">
        <w:rPr>
          <w:rFonts w:eastAsia="Arial"/>
        </w:rPr>
        <w:t>, “Great Britain—</w:t>
      </w:r>
      <w:r w:rsidRPr="00AE0DCF">
        <w:rPr>
          <w:rFonts w:eastAsia="Arial"/>
        </w:rPr>
        <w:t xml:space="preserve">Grocery </w:t>
      </w:r>
      <w:r w:rsidR="007A6481">
        <w:rPr>
          <w:rFonts w:eastAsia="Arial"/>
        </w:rPr>
        <w:t>M</w:t>
      </w:r>
      <w:r w:rsidRPr="00AE0DCF">
        <w:rPr>
          <w:rFonts w:eastAsia="Arial"/>
        </w:rPr>
        <w:t xml:space="preserve">arket Share (12 weeks </w:t>
      </w:r>
      <w:r w:rsidR="00AE0DCF" w:rsidRPr="00AE0DCF">
        <w:rPr>
          <w:rFonts w:eastAsia="Arial"/>
        </w:rPr>
        <w:t>ending),”</w:t>
      </w:r>
      <w:r w:rsidRPr="00AE0DCF">
        <w:rPr>
          <w:rFonts w:eastAsia="Arial"/>
        </w:rPr>
        <w:t xml:space="preserve"> Kantar </w:t>
      </w:r>
      <w:proofErr w:type="spellStart"/>
      <w:r w:rsidRPr="00AE0DCF">
        <w:rPr>
          <w:rFonts w:eastAsia="Arial"/>
        </w:rPr>
        <w:t>WorldPanel</w:t>
      </w:r>
      <w:proofErr w:type="spellEnd"/>
      <w:r w:rsidRPr="00AE0DCF">
        <w:rPr>
          <w:rFonts w:eastAsia="Arial"/>
        </w:rPr>
        <w:t>, 2016, accessed May 5, 2016, www.kantarworldpanel.com/en/grocery-market-share/great-britain</w:t>
      </w:r>
      <w:r w:rsidR="00AE0DCF" w:rsidRPr="00AE0DCF">
        <w:rPr>
          <w:rFonts w:eastAsia="Arial"/>
        </w:rPr>
        <w:t>.</w:t>
      </w:r>
    </w:p>
    <w:p w14:paraId="2BD3641A" w14:textId="77777777" w:rsidR="00AE0DCF" w:rsidRDefault="00AE0DCF" w:rsidP="008D3B6A">
      <w:pPr>
        <w:pStyle w:val="ExhibitText"/>
        <w:rPr>
          <w:rFonts w:eastAsia="Arial"/>
        </w:rPr>
      </w:pPr>
    </w:p>
    <w:p w14:paraId="0B9521B3" w14:textId="77777777" w:rsidR="00AE0DCF" w:rsidRDefault="00AE0DCF" w:rsidP="008D3B6A">
      <w:pPr>
        <w:pStyle w:val="ExhibitText"/>
        <w:rPr>
          <w:rFonts w:eastAsia="Arial"/>
        </w:rPr>
      </w:pPr>
    </w:p>
    <w:p w14:paraId="6454539B" w14:textId="33602C6D" w:rsidR="00D93F01" w:rsidRPr="00C07F6E" w:rsidRDefault="00D93F01" w:rsidP="00D93F01">
      <w:pPr>
        <w:pStyle w:val="ExhibitHeading"/>
        <w:outlineLvl w:val="0"/>
        <w:rPr>
          <w:rFonts w:eastAsia="Arial"/>
        </w:rPr>
      </w:pPr>
      <w:r>
        <w:rPr>
          <w:rFonts w:eastAsia="Arial"/>
        </w:rPr>
        <w:t>Exhibit 6</w:t>
      </w:r>
      <w:r w:rsidRPr="00C07F6E">
        <w:rPr>
          <w:rFonts w:eastAsia="Arial"/>
        </w:rPr>
        <w:t>: Tesco AND SUBSIDIARIES: Cash Flow Statement</w:t>
      </w:r>
    </w:p>
    <w:p w14:paraId="12184F02" w14:textId="77777777" w:rsidR="00D93F01" w:rsidRPr="00C07F6E" w:rsidRDefault="00D93F01" w:rsidP="008D3B6A">
      <w:pPr>
        <w:pStyle w:val="ExhibitText"/>
      </w:pPr>
    </w:p>
    <w:tbl>
      <w:tblPr>
        <w:tblStyle w:val="TableGrid"/>
        <w:tblW w:w="5000" w:type="pct"/>
        <w:jc w:val="center"/>
        <w:tblLayout w:type="fixed"/>
        <w:tblLook w:val="04A0" w:firstRow="1" w:lastRow="0" w:firstColumn="1" w:lastColumn="0" w:noHBand="0" w:noVBand="1"/>
      </w:tblPr>
      <w:tblGrid>
        <w:gridCol w:w="3734"/>
        <w:gridCol w:w="936"/>
        <w:gridCol w:w="936"/>
        <w:gridCol w:w="936"/>
        <w:gridCol w:w="936"/>
        <w:gridCol w:w="936"/>
        <w:gridCol w:w="936"/>
      </w:tblGrid>
      <w:tr w:rsidR="00D93F01" w:rsidRPr="00C07F6E" w14:paraId="764AD820" w14:textId="77777777" w:rsidTr="008E1462">
        <w:trPr>
          <w:trHeight w:val="288"/>
          <w:jc w:val="center"/>
        </w:trPr>
        <w:tc>
          <w:tcPr>
            <w:tcW w:w="3734" w:type="dxa"/>
            <w:noWrap/>
            <w:vAlign w:val="center"/>
            <w:hideMark/>
          </w:tcPr>
          <w:p w14:paraId="2B2672DD" w14:textId="77777777" w:rsidR="00D93F01" w:rsidRPr="008E1462" w:rsidRDefault="00D93F01" w:rsidP="008D3B6A">
            <w:pPr>
              <w:pStyle w:val="ExhibitText"/>
              <w:jc w:val="left"/>
              <w:rPr>
                <w:sz w:val="18"/>
                <w:szCs w:val="18"/>
              </w:rPr>
            </w:pPr>
            <w:r w:rsidRPr="008E1462">
              <w:rPr>
                <w:sz w:val="18"/>
                <w:szCs w:val="18"/>
              </w:rPr>
              <w:t xml:space="preserve">Fiscal year ends in February </w:t>
            </w:r>
            <w:r w:rsidRPr="008E1462">
              <w:rPr>
                <w:sz w:val="18"/>
                <w:szCs w:val="18"/>
              </w:rPr>
              <w:br/>
              <w:t xml:space="preserve">(in </w:t>
            </w:r>
            <w:r w:rsidRPr="008E1462">
              <w:rPr>
                <w:bCs/>
                <w:sz w:val="18"/>
                <w:szCs w:val="18"/>
              </w:rPr>
              <w:t xml:space="preserve">£ </w:t>
            </w:r>
            <w:r w:rsidRPr="008E1462">
              <w:rPr>
                <w:sz w:val="18"/>
                <w:szCs w:val="18"/>
              </w:rPr>
              <w:t>millions, except per share data)</w:t>
            </w:r>
          </w:p>
        </w:tc>
        <w:tc>
          <w:tcPr>
            <w:tcW w:w="936" w:type="dxa"/>
            <w:vAlign w:val="center"/>
          </w:tcPr>
          <w:p w14:paraId="7D1155FB" w14:textId="77777777" w:rsidR="00D93F01" w:rsidRPr="00780234" w:rsidRDefault="00D93F01" w:rsidP="008D3B6A">
            <w:pPr>
              <w:pStyle w:val="ExhibitText"/>
              <w:jc w:val="center"/>
              <w:rPr>
                <w:b/>
                <w:sz w:val="18"/>
                <w:szCs w:val="18"/>
              </w:rPr>
            </w:pPr>
            <w:r w:rsidRPr="00780234">
              <w:rPr>
                <w:b/>
                <w:sz w:val="18"/>
                <w:szCs w:val="18"/>
              </w:rPr>
              <w:t>2015/16</w:t>
            </w:r>
          </w:p>
        </w:tc>
        <w:tc>
          <w:tcPr>
            <w:tcW w:w="936" w:type="dxa"/>
            <w:noWrap/>
            <w:vAlign w:val="center"/>
            <w:hideMark/>
          </w:tcPr>
          <w:p w14:paraId="1D1C8C40" w14:textId="77777777" w:rsidR="00D93F01" w:rsidRPr="00780234" w:rsidRDefault="00D93F01" w:rsidP="008D3B6A">
            <w:pPr>
              <w:pStyle w:val="ExhibitText"/>
              <w:jc w:val="center"/>
              <w:rPr>
                <w:b/>
                <w:sz w:val="18"/>
                <w:szCs w:val="18"/>
              </w:rPr>
            </w:pPr>
            <w:r w:rsidRPr="00780234">
              <w:rPr>
                <w:b/>
                <w:sz w:val="18"/>
                <w:szCs w:val="18"/>
              </w:rPr>
              <w:t>2014/15</w:t>
            </w:r>
          </w:p>
        </w:tc>
        <w:tc>
          <w:tcPr>
            <w:tcW w:w="936" w:type="dxa"/>
            <w:noWrap/>
            <w:vAlign w:val="center"/>
            <w:hideMark/>
          </w:tcPr>
          <w:p w14:paraId="6B3D35B6" w14:textId="77777777" w:rsidR="00D93F01" w:rsidRPr="00780234" w:rsidRDefault="00D93F01" w:rsidP="008D3B6A">
            <w:pPr>
              <w:pStyle w:val="ExhibitText"/>
              <w:jc w:val="center"/>
              <w:rPr>
                <w:b/>
                <w:sz w:val="18"/>
                <w:szCs w:val="18"/>
              </w:rPr>
            </w:pPr>
            <w:r w:rsidRPr="00780234">
              <w:rPr>
                <w:b/>
                <w:sz w:val="18"/>
                <w:szCs w:val="18"/>
              </w:rPr>
              <w:t>2013/14</w:t>
            </w:r>
          </w:p>
        </w:tc>
        <w:tc>
          <w:tcPr>
            <w:tcW w:w="936" w:type="dxa"/>
            <w:noWrap/>
            <w:vAlign w:val="center"/>
            <w:hideMark/>
          </w:tcPr>
          <w:p w14:paraId="26426561" w14:textId="77777777" w:rsidR="00D93F01" w:rsidRPr="00780234" w:rsidRDefault="00D93F01" w:rsidP="008D3B6A">
            <w:pPr>
              <w:pStyle w:val="ExhibitText"/>
              <w:jc w:val="center"/>
              <w:rPr>
                <w:b/>
                <w:sz w:val="18"/>
                <w:szCs w:val="18"/>
              </w:rPr>
            </w:pPr>
            <w:r w:rsidRPr="00780234">
              <w:rPr>
                <w:b/>
                <w:sz w:val="18"/>
                <w:szCs w:val="18"/>
              </w:rPr>
              <w:t>2012/13</w:t>
            </w:r>
          </w:p>
        </w:tc>
        <w:tc>
          <w:tcPr>
            <w:tcW w:w="936" w:type="dxa"/>
            <w:noWrap/>
            <w:vAlign w:val="center"/>
            <w:hideMark/>
          </w:tcPr>
          <w:p w14:paraId="5C380132" w14:textId="77777777" w:rsidR="00D93F01" w:rsidRPr="00780234" w:rsidRDefault="00D93F01" w:rsidP="008D3B6A">
            <w:pPr>
              <w:pStyle w:val="ExhibitText"/>
              <w:jc w:val="center"/>
              <w:rPr>
                <w:b/>
                <w:sz w:val="18"/>
                <w:szCs w:val="18"/>
              </w:rPr>
            </w:pPr>
            <w:r w:rsidRPr="00780234">
              <w:rPr>
                <w:b/>
                <w:sz w:val="18"/>
                <w:szCs w:val="18"/>
              </w:rPr>
              <w:t>2011/12</w:t>
            </w:r>
          </w:p>
        </w:tc>
        <w:tc>
          <w:tcPr>
            <w:tcW w:w="936" w:type="dxa"/>
            <w:noWrap/>
            <w:vAlign w:val="center"/>
            <w:hideMark/>
          </w:tcPr>
          <w:p w14:paraId="6B92B586" w14:textId="77777777" w:rsidR="00D93F01" w:rsidRPr="00780234" w:rsidRDefault="00D93F01" w:rsidP="008D3B6A">
            <w:pPr>
              <w:pStyle w:val="ExhibitText"/>
              <w:jc w:val="center"/>
              <w:rPr>
                <w:b/>
                <w:sz w:val="18"/>
                <w:szCs w:val="18"/>
              </w:rPr>
            </w:pPr>
            <w:r w:rsidRPr="00780234">
              <w:rPr>
                <w:b/>
                <w:sz w:val="18"/>
                <w:szCs w:val="18"/>
              </w:rPr>
              <w:t>2010/11</w:t>
            </w:r>
          </w:p>
        </w:tc>
      </w:tr>
      <w:tr w:rsidR="00D93F01" w:rsidRPr="00C07F6E" w14:paraId="522B5292" w14:textId="77777777" w:rsidTr="008E1462">
        <w:trPr>
          <w:trHeight w:val="288"/>
          <w:jc w:val="center"/>
        </w:trPr>
        <w:tc>
          <w:tcPr>
            <w:tcW w:w="3734" w:type="dxa"/>
            <w:noWrap/>
            <w:vAlign w:val="center"/>
            <w:hideMark/>
          </w:tcPr>
          <w:p w14:paraId="30524CF8" w14:textId="77777777" w:rsidR="00D93F01" w:rsidRPr="008E1462" w:rsidRDefault="00D93F01" w:rsidP="008D3B6A">
            <w:pPr>
              <w:pStyle w:val="ExhibitText"/>
              <w:jc w:val="left"/>
              <w:rPr>
                <w:sz w:val="18"/>
                <w:szCs w:val="18"/>
              </w:rPr>
            </w:pPr>
            <w:r w:rsidRPr="008E1462">
              <w:rPr>
                <w:sz w:val="18"/>
                <w:szCs w:val="18"/>
              </w:rPr>
              <w:t>Net cash provided by operating activities</w:t>
            </w:r>
          </w:p>
        </w:tc>
        <w:tc>
          <w:tcPr>
            <w:tcW w:w="936" w:type="dxa"/>
            <w:vAlign w:val="center"/>
          </w:tcPr>
          <w:p w14:paraId="605F9DFC" w14:textId="77777777" w:rsidR="00D93F01" w:rsidRPr="008E1462" w:rsidRDefault="00D93F01" w:rsidP="008D3B6A">
            <w:pPr>
              <w:pStyle w:val="ExhibitText"/>
              <w:jc w:val="right"/>
              <w:rPr>
                <w:sz w:val="18"/>
                <w:szCs w:val="18"/>
              </w:rPr>
            </w:pPr>
            <w:r w:rsidRPr="008E1462">
              <w:rPr>
                <w:sz w:val="18"/>
                <w:szCs w:val="18"/>
              </w:rPr>
              <w:t>2,126</w:t>
            </w:r>
          </w:p>
        </w:tc>
        <w:tc>
          <w:tcPr>
            <w:tcW w:w="936" w:type="dxa"/>
            <w:noWrap/>
            <w:vAlign w:val="center"/>
            <w:hideMark/>
          </w:tcPr>
          <w:p w14:paraId="4F3CA8DC" w14:textId="77777777" w:rsidR="00D93F01" w:rsidRPr="008E1462" w:rsidRDefault="00D93F01" w:rsidP="008D3B6A">
            <w:pPr>
              <w:pStyle w:val="ExhibitText"/>
              <w:jc w:val="right"/>
              <w:rPr>
                <w:sz w:val="18"/>
                <w:szCs w:val="18"/>
              </w:rPr>
            </w:pPr>
            <w:r w:rsidRPr="008E1462">
              <w:rPr>
                <w:sz w:val="18"/>
                <w:szCs w:val="18"/>
              </w:rPr>
              <w:t xml:space="preserve">484 </w:t>
            </w:r>
          </w:p>
        </w:tc>
        <w:tc>
          <w:tcPr>
            <w:tcW w:w="936" w:type="dxa"/>
            <w:noWrap/>
            <w:vAlign w:val="center"/>
            <w:hideMark/>
          </w:tcPr>
          <w:p w14:paraId="6526D15E" w14:textId="77777777" w:rsidR="00D93F01" w:rsidRPr="008E1462" w:rsidRDefault="00D93F01" w:rsidP="008D3B6A">
            <w:pPr>
              <w:pStyle w:val="ExhibitText"/>
              <w:jc w:val="right"/>
              <w:rPr>
                <w:sz w:val="18"/>
                <w:szCs w:val="18"/>
              </w:rPr>
            </w:pPr>
            <w:r w:rsidRPr="008E1462">
              <w:rPr>
                <w:sz w:val="18"/>
                <w:szCs w:val="18"/>
              </w:rPr>
              <w:t xml:space="preserve">3,185 </w:t>
            </w:r>
          </w:p>
        </w:tc>
        <w:tc>
          <w:tcPr>
            <w:tcW w:w="936" w:type="dxa"/>
            <w:noWrap/>
            <w:vAlign w:val="center"/>
            <w:hideMark/>
          </w:tcPr>
          <w:p w14:paraId="1D3AEE00" w14:textId="77777777" w:rsidR="00D93F01" w:rsidRPr="008E1462" w:rsidRDefault="00D93F01" w:rsidP="008D3B6A">
            <w:pPr>
              <w:pStyle w:val="ExhibitText"/>
              <w:jc w:val="right"/>
              <w:rPr>
                <w:sz w:val="18"/>
                <w:szCs w:val="18"/>
              </w:rPr>
            </w:pPr>
            <w:r w:rsidRPr="008E1462">
              <w:rPr>
                <w:sz w:val="18"/>
                <w:szCs w:val="18"/>
              </w:rPr>
              <w:t xml:space="preserve">2,837 </w:t>
            </w:r>
          </w:p>
        </w:tc>
        <w:tc>
          <w:tcPr>
            <w:tcW w:w="936" w:type="dxa"/>
            <w:noWrap/>
            <w:vAlign w:val="center"/>
            <w:hideMark/>
          </w:tcPr>
          <w:p w14:paraId="78C92A39" w14:textId="77777777" w:rsidR="00D93F01" w:rsidRPr="008E1462" w:rsidRDefault="00D93F01" w:rsidP="008D3B6A">
            <w:pPr>
              <w:pStyle w:val="ExhibitText"/>
              <w:jc w:val="right"/>
              <w:rPr>
                <w:sz w:val="18"/>
                <w:szCs w:val="18"/>
              </w:rPr>
            </w:pPr>
            <w:r w:rsidRPr="008E1462">
              <w:rPr>
                <w:sz w:val="18"/>
                <w:szCs w:val="18"/>
              </w:rPr>
              <w:t xml:space="preserve">4,408 </w:t>
            </w:r>
          </w:p>
        </w:tc>
        <w:tc>
          <w:tcPr>
            <w:tcW w:w="936" w:type="dxa"/>
            <w:noWrap/>
            <w:vAlign w:val="center"/>
            <w:hideMark/>
          </w:tcPr>
          <w:p w14:paraId="5865BDB3" w14:textId="77777777" w:rsidR="00D93F01" w:rsidRPr="008E1462" w:rsidRDefault="00D93F01" w:rsidP="008D3B6A">
            <w:pPr>
              <w:pStyle w:val="ExhibitText"/>
              <w:jc w:val="right"/>
              <w:rPr>
                <w:sz w:val="18"/>
                <w:szCs w:val="18"/>
              </w:rPr>
            </w:pPr>
            <w:r w:rsidRPr="008E1462">
              <w:rPr>
                <w:sz w:val="18"/>
                <w:szCs w:val="18"/>
              </w:rPr>
              <w:t xml:space="preserve">4,267 </w:t>
            </w:r>
          </w:p>
        </w:tc>
      </w:tr>
      <w:tr w:rsidR="00D93F01" w:rsidRPr="00C07F6E" w14:paraId="148269B9" w14:textId="77777777" w:rsidTr="008E1462">
        <w:trPr>
          <w:trHeight w:val="288"/>
          <w:jc w:val="center"/>
        </w:trPr>
        <w:tc>
          <w:tcPr>
            <w:tcW w:w="3734" w:type="dxa"/>
            <w:noWrap/>
            <w:vAlign w:val="center"/>
            <w:hideMark/>
          </w:tcPr>
          <w:p w14:paraId="630B7D02" w14:textId="77777777" w:rsidR="00D93F01" w:rsidRPr="008E1462" w:rsidRDefault="00D93F01" w:rsidP="008D3B6A">
            <w:pPr>
              <w:pStyle w:val="ExhibitText"/>
              <w:jc w:val="left"/>
              <w:rPr>
                <w:sz w:val="18"/>
                <w:szCs w:val="18"/>
              </w:rPr>
            </w:pPr>
            <w:r w:rsidRPr="008E1462">
              <w:rPr>
                <w:sz w:val="18"/>
                <w:szCs w:val="18"/>
              </w:rPr>
              <w:t>Net cash used for investing activities</w:t>
            </w:r>
          </w:p>
        </w:tc>
        <w:tc>
          <w:tcPr>
            <w:tcW w:w="936" w:type="dxa"/>
            <w:vAlign w:val="center"/>
          </w:tcPr>
          <w:p w14:paraId="4AC7AAFD" w14:textId="77777777" w:rsidR="00D93F01" w:rsidRPr="008E1462" w:rsidRDefault="00D93F01" w:rsidP="008D3B6A">
            <w:pPr>
              <w:pStyle w:val="ExhibitText"/>
              <w:jc w:val="right"/>
              <w:rPr>
                <w:sz w:val="18"/>
                <w:szCs w:val="18"/>
              </w:rPr>
            </w:pPr>
            <w:r w:rsidRPr="008E1462">
              <w:rPr>
                <w:sz w:val="18"/>
                <w:szCs w:val="18"/>
              </w:rPr>
              <w:t>(615)</w:t>
            </w:r>
          </w:p>
        </w:tc>
        <w:tc>
          <w:tcPr>
            <w:tcW w:w="936" w:type="dxa"/>
            <w:noWrap/>
            <w:vAlign w:val="center"/>
            <w:hideMark/>
          </w:tcPr>
          <w:p w14:paraId="68F79003" w14:textId="4BEF32D2" w:rsidR="00D93F01" w:rsidRPr="008E1462" w:rsidRDefault="00D93F01" w:rsidP="008D3B6A">
            <w:pPr>
              <w:pStyle w:val="ExhibitText"/>
              <w:jc w:val="right"/>
              <w:rPr>
                <w:sz w:val="18"/>
                <w:szCs w:val="18"/>
              </w:rPr>
            </w:pPr>
            <w:r w:rsidRPr="008E1462">
              <w:rPr>
                <w:sz w:val="18"/>
                <w:szCs w:val="18"/>
              </w:rPr>
              <w:t>(2</w:t>
            </w:r>
            <w:r w:rsidR="00FC442A" w:rsidRPr="008E1462">
              <w:rPr>
                <w:sz w:val="18"/>
                <w:szCs w:val="18"/>
              </w:rPr>
              <w:t>,</w:t>
            </w:r>
            <w:r w:rsidRPr="008E1462">
              <w:rPr>
                <w:sz w:val="18"/>
                <w:szCs w:val="18"/>
              </w:rPr>
              <w:t>015)</w:t>
            </w:r>
          </w:p>
        </w:tc>
        <w:tc>
          <w:tcPr>
            <w:tcW w:w="936" w:type="dxa"/>
            <w:noWrap/>
            <w:vAlign w:val="center"/>
            <w:hideMark/>
          </w:tcPr>
          <w:p w14:paraId="7C5CB6B3" w14:textId="77777777" w:rsidR="00D93F01" w:rsidRPr="008E1462" w:rsidRDefault="00D93F01" w:rsidP="008D3B6A">
            <w:pPr>
              <w:pStyle w:val="ExhibitText"/>
              <w:jc w:val="right"/>
              <w:rPr>
                <w:sz w:val="18"/>
                <w:szCs w:val="18"/>
              </w:rPr>
            </w:pPr>
            <w:r w:rsidRPr="008E1462">
              <w:rPr>
                <w:sz w:val="18"/>
                <w:szCs w:val="18"/>
              </w:rPr>
              <w:t>(2,854)</w:t>
            </w:r>
          </w:p>
        </w:tc>
        <w:tc>
          <w:tcPr>
            <w:tcW w:w="936" w:type="dxa"/>
            <w:noWrap/>
            <w:vAlign w:val="center"/>
            <w:hideMark/>
          </w:tcPr>
          <w:p w14:paraId="0BD9FBA6" w14:textId="77777777" w:rsidR="00D93F01" w:rsidRPr="008E1462" w:rsidRDefault="00D93F01" w:rsidP="008D3B6A">
            <w:pPr>
              <w:pStyle w:val="ExhibitText"/>
              <w:jc w:val="right"/>
              <w:rPr>
                <w:sz w:val="18"/>
                <w:szCs w:val="18"/>
              </w:rPr>
            </w:pPr>
            <w:r w:rsidRPr="008E1462">
              <w:rPr>
                <w:sz w:val="18"/>
                <w:szCs w:val="18"/>
              </w:rPr>
              <w:t>(278)</w:t>
            </w:r>
          </w:p>
        </w:tc>
        <w:tc>
          <w:tcPr>
            <w:tcW w:w="936" w:type="dxa"/>
            <w:noWrap/>
            <w:vAlign w:val="center"/>
            <w:hideMark/>
          </w:tcPr>
          <w:p w14:paraId="4497C447" w14:textId="77777777" w:rsidR="00D93F01" w:rsidRPr="008E1462" w:rsidRDefault="00D93F01" w:rsidP="008D3B6A">
            <w:pPr>
              <w:pStyle w:val="ExhibitText"/>
              <w:jc w:val="right"/>
              <w:rPr>
                <w:sz w:val="18"/>
                <w:szCs w:val="18"/>
              </w:rPr>
            </w:pPr>
            <w:r w:rsidRPr="008E1462">
              <w:rPr>
                <w:sz w:val="18"/>
                <w:szCs w:val="18"/>
              </w:rPr>
              <w:t>(3,183)</w:t>
            </w:r>
          </w:p>
        </w:tc>
        <w:tc>
          <w:tcPr>
            <w:tcW w:w="936" w:type="dxa"/>
            <w:noWrap/>
            <w:vAlign w:val="center"/>
            <w:hideMark/>
          </w:tcPr>
          <w:p w14:paraId="0D51C1BF" w14:textId="77777777" w:rsidR="00D93F01" w:rsidRPr="008E1462" w:rsidRDefault="00D93F01" w:rsidP="008D3B6A">
            <w:pPr>
              <w:pStyle w:val="ExhibitText"/>
              <w:jc w:val="right"/>
              <w:rPr>
                <w:sz w:val="18"/>
                <w:szCs w:val="18"/>
              </w:rPr>
            </w:pPr>
            <w:r w:rsidRPr="008E1462">
              <w:rPr>
                <w:sz w:val="18"/>
                <w:szCs w:val="18"/>
              </w:rPr>
              <w:t>(1,859)</w:t>
            </w:r>
          </w:p>
        </w:tc>
      </w:tr>
      <w:tr w:rsidR="00D93F01" w:rsidRPr="00C07F6E" w14:paraId="3B88FB24" w14:textId="77777777" w:rsidTr="008E1462">
        <w:trPr>
          <w:trHeight w:val="288"/>
          <w:jc w:val="center"/>
        </w:trPr>
        <w:tc>
          <w:tcPr>
            <w:tcW w:w="3734" w:type="dxa"/>
            <w:noWrap/>
            <w:vAlign w:val="center"/>
            <w:hideMark/>
          </w:tcPr>
          <w:p w14:paraId="6A1E8D8F" w14:textId="77777777" w:rsidR="00D93F01" w:rsidRPr="008E1462" w:rsidRDefault="00D93F01" w:rsidP="008D3B6A">
            <w:pPr>
              <w:pStyle w:val="ExhibitText"/>
              <w:jc w:val="left"/>
              <w:rPr>
                <w:sz w:val="18"/>
                <w:szCs w:val="18"/>
              </w:rPr>
            </w:pPr>
            <w:r w:rsidRPr="008E1462">
              <w:rPr>
                <w:sz w:val="18"/>
                <w:szCs w:val="18"/>
              </w:rPr>
              <w:t>Net cash provided by (used for) financing activities</w:t>
            </w:r>
          </w:p>
        </w:tc>
        <w:tc>
          <w:tcPr>
            <w:tcW w:w="936" w:type="dxa"/>
            <w:vAlign w:val="center"/>
          </w:tcPr>
          <w:p w14:paraId="31299F5C" w14:textId="77777777" w:rsidR="00D93F01" w:rsidRPr="008E1462" w:rsidRDefault="00D93F01" w:rsidP="008D3B6A">
            <w:pPr>
              <w:pStyle w:val="ExhibitText"/>
              <w:jc w:val="right"/>
              <w:rPr>
                <w:sz w:val="18"/>
                <w:szCs w:val="18"/>
              </w:rPr>
            </w:pPr>
            <w:r w:rsidRPr="008E1462">
              <w:rPr>
                <w:sz w:val="18"/>
                <w:szCs w:val="18"/>
              </w:rPr>
              <w:t>(604)</w:t>
            </w:r>
          </w:p>
        </w:tc>
        <w:tc>
          <w:tcPr>
            <w:tcW w:w="936" w:type="dxa"/>
            <w:noWrap/>
            <w:vAlign w:val="center"/>
            <w:hideMark/>
          </w:tcPr>
          <w:p w14:paraId="24D3624B" w14:textId="77777777" w:rsidR="00D93F01" w:rsidRPr="008E1462" w:rsidRDefault="00D93F01" w:rsidP="008D3B6A">
            <w:pPr>
              <w:pStyle w:val="ExhibitText"/>
              <w:jc w:val="right"/>
              <w:rPr>
                <w:sz w:val="18"/>
                <w:szCs w:val="18"/>
              </w:rPr>
            </w:pPr>
            <w:r w:rsidRPr="008E1462">
              <w:rPr>
                <w:sz w:val="18"/>
                <w:szCs w:val="18"/>
              </w:rPr>
              <w:t xml:space="preserve">814 </w:t>
            </w:r>
          </w:p>
        </w:tc>
        <w:tc>
          <w:tcPr>
            <w:tcW w:w="936" w:type="dxa"/>
            <w:noWrap/>
            <w:vAlign w:val="center"/>
            <w:hideMark/>
          </w:tcPr>
          <w:p w14:paraId="5C6E90DD" w14:textId="77777777" w:rsidR="00D93F01" w:rsidRPr="008E1462" w:rsidRDefault="00D93F01" w:rsidP="008D3B6A">
            <w:pPr>
              <w:pStyle w:val="ExhibitText"/>
              <w:jc w:val="right"/>
              <w:rPr>
                <w:sz w:val="18"/>
                <w:szCs w:val="18"/>
              </w:rPr>
            </w:pPr>
            <w:r w:rsidRPr="008E1462">
              <w:rPr>
                <w:sz w:val="18"/>
                <w:szCs w:val="18"/>
              </w:rPr>
              <w:t xml:space="preserve">56 </w:t>
            </w:r>
          </w:p>
        </w:tc>
        <w:tc>
          <w:tcPr>
            <w:tcW w:w="936" w:type="dxa"/>
            <w:noWrap/>
            <w:vAlign w:val="center"/>
            <w:hideMark/>
          </w:tcPr>
          <w:p w14:paraId="18B86247" w14:textId="77777777" w:rsidR="00D93F01" w:rsidRPr="008E1462" w:rsidRDefault="00D93F01" w:rsidP="008D3B6A">
            <w:pPr>
              <w:pStyle w:val="ExhibitText"/>
              <w:jc w:val="right"/>
              <w:rPr>
                <w:sz w:val="18"/>
                <w:szCs w:val="18"/>
              </w:rPr>
            </w:pPr>
            <w:r w:rsidRPr="008E1462">
              <w:rPr>
                <w:sz w:val="18"/>
                <w:szCs w:val="18"/>
              </w:rPr>
              <w:t>(2,365)</w:t>
            </w:r>
          </w:p>
        </w:tc>
        <w:tc>
          <w:tcPr>
            <w:tcW w:w="936" w:type="dxa"/>
            <w:noWrap/>
            <w:vAlign w:val="center"/>
            <w:hideMark/>
          </w:tcPr>
          <w:p w14:paraId="749EF829" w14:textId="77777777" w:rsidR="00D93F01" w:rsidRPr="008E1462" w:rsidRDefault="00D93F01" w:rsidP="008D3B6A">
            <w:pPr>
              <w:pStyle w:val="ExhibitText"/>
              <w:jc w:val="right"/>
              <w:rPr>
                <w:sz w:val="18"/>
                <w:szCs w:val="18"/>
              </w:rPr>
            </w:pPr>
            <w:r w:rsidRPr="008E1462">
              <w:rPr>
                <w:sz w:val="18"/>
                <w:szCs w:val="18"/>
              </w:rPr>
              <w:t>(1,366)</w:t>
            </w:r>
          </w:p>
        </w:tc>
        <w:tc>
          <w:tcPr>
            <w:tcW w:w="936" w:type="dxa"/>
            <w:noWrap/>
            <w:vAlign w:val="center"/>
            <w:hideMark/>
          </w:tcPr>
          <w:p w14:paraId="11A329D8" w14:textId="77777777" w:rsidR="00D93F01" w:rsidRPr="008E1462" w:rsidRDefault="00D93F01" w:rsidP="008D3B6A">
            <w:pPr>
              <w:pStyle w:val="ExhibitText"/>
              <w:jc w:val="right"/>
              <w:rPr>
                <w:sz w:val="18"/>
                <w:szCs w:val="18"/>
              </w:rPr>
            </w:pPr>
            <w:r w:rsidRPr="008E1462">
              <w:rPr>
                <w:sz w:val="18"/>
                <w:szCs w:val="18"/>
              </w:rPr>
              <w:t>(3,036)</w:t>
            </w:r>
          </w:p>
        </w:tc>
      </w:tr>
      <w:tr w:rsidR="00D93F01" w:rsidRPr="00C07F6E" w14:paraId="6BFE874C" w14:textId="77777777" w:rsidTr="008E1462">
        <w:trPr>
          <w:trHeight w:val="288"/>
          <w:jc w:val="center"/>
        </w:trPr>
        <w:tc>
          <w:tcPr>
            <w:tcW w:w="3734" w:type="dxa"/>
            <w:noWrap/>
            <w:vAlign w:val="center"/>
            <w:hideMark/>
          </w:tcPr>
          <w:p w14:paraId="11176C59" w14:textId="77777777" w:rsidR="00D93F01" w:rsidRPr="008E1462" w:rsidRDefault="00D93F01" w:rsidP="008D3B6A">
            <w:pPr>
              <w:pStyle w:val="ExhibitText"/>
              <w:jc w:val="left"/>
              <w:rPr>
                <w:sz w:val="18"/>
                <w:szCs w:val="18"/>
              </w:rPr>
            </w:pPr>
            <w:r w:rsidRPr="008E1462">
              <w:rPr>
                <w:sz w:val="18"/>
                <w:szCs w:val="18"/>
              </w:rPr>
              <w:t>Effect of exchange rate changes</w:t>
            </w:r>
          </w:p>
        </w:tc>
        <w:tc>
          <w:tcPr>
            <w:tcW w:w="936" w:type="dxa"/>
            <w:vAlign w:val="center"/>
          </w:tcPr>
          <w:p w14:paraId="4AA444C2" w14:textId="77777777" w:rsidR="00D93F01" w:rsidRPr="008E1462" w:rsidRDefault="00D93F01" w:rsidP="008D3B6A">
            <w:pPr>
              <w:pStyle w:val="ExhibitText"/>
              <w:jc w:val="right"/>
              <w:rPr>
                <w:sz w:val="18"/>
                <w:szCs w:val="18"/>
              </w:rPr>
            </w:pPr>
            <w:r w:rsidRPr="008E1462">
              <w:rPr>
                <w:sz w:val="18"/>
                <w:szCs w:val="18"/>
              </w:rPr>
              <w:t>1</w:t>
            </w:r>
          </w:p>
        </w:tc>
        <w:tc>
          <w:tcPr>
            <w:tcW w:w="936" w:type="dxa"/>
            <w:noWrap/>
            <w:vAlign w:val="center"/>
            <w:hideMark/>
          </w:tcPr>
          <w:p w14:paraId="1AEEA9AF" w14:textId="77777777" w:rsidR="00D93F01" w:rsidRPr="008E1462" w:rsidRDefault="00D93F01" w:rsidP="008D3B6A">
            <w:pPr>
              <w:pStyle w:val="ExhibitText"/>
              <w:jc w:val="right"/>
              <w:rPr>
                <w:sz w:val="18"/>
                <w:szCs w:val="18"/>
              </w:rPr>
            </w:pPr>
            <w:r w:rsidRPr="008E1462">
              <w:rPr>
                <w:sz w:val="18"/>
                <w:szCs w:val="18"/>
              </w:rPr>
              <w:t xml:space="preserve">78 </w:t>
            </w:r>
          </w:p>
        </w:tc>
        <w:tc>
          <w:tcPr>
            <w:tcW w:w="936" w:type="dxa"/>
            <w:noWrap/>
            <w:vAlign w:val="center"/>
            <w:hideMark/>
          </w:tcPr>
          <w:p w14:paraId="50F064EE" w14:textId="77777777" w:rsidR="00D93F01" w:rsidRPr="008E1462" w:rsidRDefault="00D93F01" w:rsidP="008D3B6A">
            <w:pPr>
              <w:pStyle w:val="ExhibitText"/>
              <w:jc w:val="right"/>
              <w:rPr>
                <w:sz w:val="18"/>
                <w:szCs w:val="18"/>
              </w:rPr>
            </w:pPr>
            <w:r w:rsidRPr="008E1462">
              <w:rPr>
                <w:sz w:val="18"/>
                <w:szCs w:val="18"/>
              </w:rPr>
              <w:t>(105)</w:t>
            </w:r>
          </w:p>
        </w:tc>
        <w:tc>
          <w:tcPr>
            <w:tcW w:w="936" w:type="dxa"/>
            <w:noWrap/>
            <w:vAlign w:val="center"/>
            <w:hideMark/>
          </w:tcPr>
          <w:p w14:paraId="315CEDCE" w14:textId="77777777" w:rsidR="00D93F01" w:rsidRPr="008E1462" w:rsidRDefault="00D93F01" w:rsidP="008D3B6A">
            <w:pPr>
              <w:pStyle w:val="ExhibitText"/>
              <w:jc w:val="right"/>
              <w:rPr>
                <w:sz w:val="18"/>
                <w:szCs w:val="18"/>
              </w:rPr>
            </w:pPr>
            <w:r w:rsidRPr="008E1462">
              <w:rPr>
                <w:sz w:val="18"/>
                <w:szCs w:val="18"/>
              </w:rPr>
              <w:t xml:space="preserve">26 </w:t>
            </w:r>
          </w:p>
        </w:tc>
        <w:tc>
          <w:tcPr>
            <w:tcW w:w="936" w:type="dxa"/>
            <w:noWrap/>
            <w:vAlign w:val="center"/>
            <w:hideMark/>
          </w:tcPr>
          <w:p w14:paraId="551BCE87" w14:textId="77777777" w:rsidR="00D93F01" w:rsidRPr="008E1462" w:rsidRDefault="00D93F01" w:rsidP="008D3B6A">
            <w:pPr>
              <w:pStyle w:val="ExhibitText"/>
              <w:jc w:val="right"/>
              <w:rPr>
                <w:sz w:val="18"/>
                <w:szCs w:val="18"/>
              </w:rPr>
            </w:pPr>
            <w:r w:rsidRPr="008E1462">
              <w:rPr>
                <w:sz w:val="18"/>
                <w:szCs w:val="18"/>
              </w:rPr>
              <w:t xml:space="preserve">24 </w:t>
            </w:r>
          </w:p>
        </w:tc>
        <w:tc>
          <w:tcPr>
            <w:tcW w:w="936" w:type="dxa"/>
            <w:noWrap/>
            <w:vAlign w:val="center"/>
            <w:hideMark/>
          </w:tcPr>
          <w:p w14:paraId="26CEF0F4" w14:textId="77777777" w:rsidR="00D93F01" w:rsidRPr="008E1462" w:rsidRDefault="00D93F01" w:rsidP="008D3B6A">
            <w:pPr>
              <w:pStyle w:val="ExhibitText"/>
              <w:jc w:val="right"/>
              <w:rPr>
                <w:sz w:val="18"/>
                <w:szCs w:val="18"/>
              </w:rPr>
            </w:pPr>
            <w:r w:rsidRPr="008E1462">
              <w:rPr>
                <w:sz w:val="18"/>
                <w:szCs w:val="18"/>
              </w:rPr>
              <w:t>(46)</w:t>
            </w:r>
          </w:p>
        </w:tc>
      </w:tr>
      <w:tr w:rsidR="00D93F01" w:rsidRPr="00C07F6E" w14:paraId="6BCA1695" w14:textId="77777777" w:rsidTr="008E1462">
        <w:trPr>
          <w:trHeight w:val="288"/>
          <w:jc w:val="center"/>
        </w:trPr>
        <w:tc>
          <w:tcPr>
            <w:tcW w:w="3734" w:type="dxa"/>
            <w:noWrap/>
            <w:vAlign w:val="center"/>
            <w:hideMark/>
          </w:tcPr>
          <w:p w14:paraId="1E995377" w14:textId="77777777" w:rsidR="00D93F01" w:rsidRPr="008E1462" w:rsidRDefault="00D93F01" w:rsidP="008D3B6A">
            <w:pPr>
              <w:pStyle w:val="ExhibitText"/>
              <w:jc w:val="left"/>
              <w:rPr>
                <w:sz w:val="18"/>
                <w:szCs w:val="18"/>
              </w:rPr>
            </w:pPr>
            <w:r w:rsidRPr="008E1462">
              <w:rPr>
                <w:sz w:val="18"/>
                <w:szCs w:val="18"/>
              </w:rPr>
              <w:t>Net change in cash</w:t>
            </w:r>
          </w:p>
        </w:tc>
        <w:tc>
          <w:tcPr>
            <w:tcW w:w="936" w:type="dxa"/>
            <w:vAlign w:val="center"/>
          </w:tcPr>
          <w:p w14:paraId="7B23C296" w14:textId="77777777" w:rsidR="00D93F01" w:rsidRPr="008E1462" w:rsidRDefault="00D93F01" w:rsidP="008D3B6A">
            <w:pPr>
              <w:pStyle w:val="ExhibitText"/>
              <w:jc w:val="right"/>
              <w:rPr>
                <w:sz w:val="18"/>
                <w:szCs w:val="18"/>
              </w:rPr>
            </w:pPr>
            <w:r w:rsidRPr="008E1462">
              <w:rPr>
                <w:sz w:val="18"/>
                <w:szCs w:val="18"/>
              </w:rPr>
              <w:t>908</w:t>
            </w:r>
          </w:p>
        </w:tc>
        <w:tc>
          <w:tcPr>
            <w:tcW w:w="936" w:type="dxa"/>
            <w:noWrap/>
            <w:vAlign w:val="center"/>
            <w:hideMark/>
          </w:tcPr>
          <w:p w14:paraId="25ECE3D6" w14:textId="77777777" w:rsidR="00D93F01" w:rsidRPr="008E1462" w:rsidRDefault="00D93F01" w:rsidP="008D3B6A">
            <w:pPr>
              <w:pStyle w:val="ExhibitText"/>
              <w:jc w:val="right"/>
              <w:rPr>
                <w:sz w:val="18"/>
                <w:szCs w:val="18"/>
              </w:rPr>
            </w:pPr>
            <w:r w:rsidRPr="008E1462">
              <w:rPr>
                <w:sz w:val="18"/>
                <w:szCs w:val="18"/>
              </w:rPr>
              <w:t>(639)</w:t>
            </w:r>
          </w:p>
        </w:tc>
        <w:tc>
          <w:tcPr>
            <w:tcW w:w="936" w:type="dxa"/>
            <w:noWrap/>
            <w:vAlign w:val="center"/>
            <w:hideMark/>
          </w:tcPr>
          <w:p w14:paraId="0BED5F96" w14:textId="77777777" w:rsidR="00D93F01" w:rsidRPr="008E1462" w:rsidRDefault="00D93F01" w:rsidP="008D3B6A">
            <w:pPr>
              <w:pStyle w:val="ExhibitText"/>
              <w:jc w:val="right"/>
              <w:rPr>
                <w:sz w:val="18"/>
                <w:szCs w:val="18"/>
              </w:rPr>
            </w:pPr>
            <w:r w:rsidRPr="008E1462">
              <w:rPr>
                <w:sz w:val="18"/>
                <w:szCs w:val="18"/>
              </w:rPr>
              <w:t xml:space="preserve">282 </w:t>
            </w:r>
          </w:p>
        </w:tc>
        <w:tc>
          <w:tcPr>
            <w:tcW w:w="936" w:type="dxa"/>
            <w:noWrap/>
            <w:vAlign w:val="center"/>
            <w:hideMark/>
          </w:tcPr>
          <w:p w14:paraId="2C78C4FA" w14:textId="77777777" w:rsidR="00D93F01" w:rsidRPr="008E1462" w:rsidRDefault="00D93F01" w:rsidP="008D3B6A">
            <w:pPr>
              <w:pStyle w:val="ExhibitText"/>
              <w:jc w:val="right"/>
              <w:rPr>
                <w:sz w:val="18"/>
                <w:szCs w:val="18"/>
              </w:rPr>
            </w:pPr>
            <w:r w:rsidRPr="008E1462">
              <w:rPr>
                <w:sz w:val="18"/>
                <w:szCs w:val="18"/>
              </w:rPr>
              <w:t xml:space="preserve">220 </w:t>
            </w:r>
          </w:p>
        </w:tc>
        <w:tc>
          <w:tcPr>
            <w:tcW w:w="936" w:type="dxa"/>
            <w:noWrap/>
            <w:vAlign w:val="center"/>
            <w:hideMark/>
          </w:tcPr>
          <w:p w14:paraId="3029693D" w14:textId="77777777" w:rsidR="00D93F01" w:rsidRPr="008E1462" w:rsidRDefault="00D93F01" w:rsidP="008D3B6A">
            <w:pPr>
              <w:pStyle w:val="ExhibitText"/>
              <w:jc w:val="right"/>
              <w:rPr>
                <w:sz w:val="18"/>
                <w:szCs w:val="18"/>
              </w:rPr>
            </w:pPr>
            <w:r w:rsidRPr="008E1462">
              <w:rPr>
                <w:sz w:val="18"/>
                <w:szCs w:val="18"/>
              </w:rPr>
              <w:t>(117)</w:t>
            </w:r>
          </w:p>
        </w:tc>
        <w:tc>
          <w:tcPr>
            <w:tcW w:w="936" w:type="dxa"/>
            <w:noWrap/>
            <w:vAlign w:val="center"/>
            <w:hideMark/>
          </w:tcPr>
          <w:p w14:paraId="3FB70866" w14:textId="77777777" w:rsidR="00D93F01" w:rsidRPr="008E1462" w:rsidRDefault="00D93F01" w:rsidP="008D3B6A">
            <w:pPr>
              <w:pStyle w:val="ExhibitText"/>
              <w:jc w:val="right"/>
              <w:rPr>
                <w:sz w:val="18"/>
                <w:szCs w:val="18"/>
              </w:rPr>
            </w:pPr>
            <w:r w:rsidRPr="008E1462">
              <w:rPr>
                <w:sz w:val="18"/>
                <w:szCs w:val="18"/>
              </w:rPr>
              <w:t>(674)</w:t>
            </w:r>
          </w:p>
        </w:tc>
      </w:tr>
      <w:tr w:rsidR="00D93F01" w:rsidRPr="00C07F6E" w14:paraId="50620A76" w14:textId="77777777" w:rsidTr="008E1462">
        <w:trPr>
          <w:trHeight w:val="288"/>
          <w:jc w:val="center"/>
        </w:trPr>
        <w:tc>
          <w:tcPr>
            <w:tcW w:w="3734" w:type="dxa"/>
            <w:noWrap/>
            <w:vAlign w:val="center"/>
            <w:hideMark/>
          </w:tcPr>
          <w:p w14:paraId="42D130B0" w14:textId="77777777" w:rsidR="00D93F01" w:rsidRPr="008E1462" w:rsidRDefault="00D93F01" w:rsidP="008D3B6A">
            <w:pPr>
              <w:pStyle w:val="ExhibitText"/>
              <w:jc w:val="left"/>
              <w:rPr>
                <w:sz w:val="18"/>
                <w:szCs w:val="18"/>
              </w:rPr>
            </w:pPr>
            <w:r w:rsidRPr="008E1462">
              <w:rPr>
                <w:sz w:val="18"/>
                <w:szCs w:val="18"/>
              </w:rPr>
              <w:t>Cash at beginning of period</w:t>
            </w:r>
          </w:p>
        </w:tc>
        <w:tc>
          <w:tcPr>
            <w:tcW w:w="936" w:type="dxa"/>
            <w:vAlign w:val="center"/>
          </w:tcPr>
          <w:p w14:paraId="6E45B2C4" w14:textId="77777777" w:rsidR="00D93F01" w:rsidRPr="008E1462" w:rsidRDefault="00D93F01" w:rsidP="008D3B6A">
            <w:pPr>
              <w:pStyle w:val="ExhibitText"/>
              <w:jc w:val="right"/>
              <w:rPr>
                <w:sz w:val="18"/>
                <w:szCs w:val="18"/>
              </w:rPr>
            </w:pPr>
            <w:r w:rsidRPr="008E1462">
              <w:rPr>
                <w:sz w:val="18"/>
                <w:szCs w:val="18"/>
              </w:rPr>
              <w:t>2,174</w:t>
            </w:r>
          </w:p>
        </w:tc>
        <w:tc>
          <w:tcPr>
            <w:tcW w:w="936" w:type="dxa"/>
            <w:noWrap/>
            <w:vAlign w:val="center"/>
            <w:hideMark/>
          </w:tcPr>
          <w:p w14:paraId="02E7F973" w14:textId="77777777" w:rsidR="00D93F01" w:rsidRPr="008E1462" w:rsidRDefault="00D93F01" w:rsidP="008D3B6A">
            <w:pPr>
              <w:pStyle w:val="ExhibitText"/>
              <w:jc w:val="right"/>
              <w:rPr>
                <w:sz w:val="18"/>
                <w:szCs w:val="18"/>
              </w:rPr>
            </w:pPr>
            <w:r w:rsidRPr="008E1462">
              <w:rPr>
                <w:sz w:val="18"/>
                <w:szCs w:val="18"/>
              </w:rPr>
              <w:t xml:space="preserve">2,813 </w:t>
            </w:r>
          </w:p>
        </w:tc>
        <w:tc>
          <w:tcPr>
            <w:tcW w:w="936" w:type="dxa"/>
            <w:noWrap/>
            <w:vAlign w:val="center"/>
            <w:hideMark/>
          </w:tcPr>
          <w:p w14:paraId="18596827" w14:textId="77777777" w:rsidR="00D93F01" w:rsidRPr="008E1462" w:rsidRDefault="00D93F01" w:rsidP="008D3B6A">
            <w:pPr>
              <w:pStyle w:val="ExhibitText"/>
              <w:jc w:val="right"/>
              <w:rPr>
                <w:sz w:val="18"/>
                <w:szCs w:val="18"/>
              </w:rPr>
            </w:pPr>
            <w:r w:rsidRPr="008E1462">
              <w:rPr>
                <w:sz w:val="18"/>
                <w:szCs w:val="18"/>
              </w:rPr>
              <w:t xml:space="preserve">2,531 </w:t>
            </w:r>
          </w:p>
        </w:tc>
        <w:tc>
          <w:tcPr>
            <w:tcW w:w="936" w:type="dxa"/>
            <w:noWrap/>
            <w:vAlign w:val="center"/>
            <w:hideMark/>
          </w:tcPr>
          <w:p w14:paraId="38FD5C90" w14:textId="77777777" w:rsidR="00D93F01" w:rsidRPr="008E1462" w:rsidRDefault="00D93F01" w:rsidP="008D3B6A">
            <w:pPr>
              <w:pStyle w:val="ExhibitText"/>
              <w:jc w:val="right"/>
              <w:rPr>
                <w:sz w:val="18"/>
                <w:szCs w:val="18"/>
              </w:rPr>
            </w:pPr>
            <w:r w:rsidRPr="008E1462">
              <w:rPr>
                <w:sz w:val="18"/>
                <w:szCs w:val="18"/>
              </w:rPr>
              <w:t xml:space="preserve">2,311 </w:t>
            </w:r>
          </w:p>
        </w:tc>
        <w:tc>
          <w:tcPr>
            <w:tcW w:w="936" w:type="dxa"/>
            <w:noWrap/>
            <w:vAlign w:val="center"/>
            <w:hideMark/>
          </w:tcPr>
          <w:p w14:paraId="6AD4DA39" w14:textId="77777777" w:rsidR="00D93F01" w:rsidRPr="008E1462" w:rsidRDefault="00D93F01" w:rsidP="008D3B6A">
            <w:pPr>
              <w:pStyle w:val="ExhibitText"/>
              <w:jc w:val="right"/>
              <w:rPr>
                <w:sz w:val="18"/>
                <w:szCs w:val="18"/>
              </w:rPr>
            </w:pPr>
            <w:r w:rsidRPr="008E1462">
              <w:rPr>
                <w:sz w:val="18"/>
                <w:szCs w:val="18"/>
              </w:rPr>
              <w:t>(6,790)</w:t>
            </w:r>
          </w:p>
        </w:tc>
        <w:tc>
          <w:tcPr>
            <w:tcW w:w="936" w:type="dxa"/>
            <w:noWrap/>
            <w:vAlign w:val="center"/>
            <w:hideMark/>
          </w:tcPr>
          <w:p w14:paraId="02C4BBB7" w14:textId="77777777" w:rsidR="00D93F01" w:rsidRPr="008E1462" w:rsidRDefault="00D93F01" w:rsidP="008D3B6A">
            <w:pPr>
              <w:pStyle w:val="ExhibitText"/>
              <w:jc w:val="right"/>
              <w:rPr>
                <w:sz w:val="18"/>
                <w:szCs w:val="18"/>
              </w:rPr>
            </w:pPr>
            <w:r w:rsidRPr="008E1462">
              <w:rPr>
                <w:sz w:val="18"/>
                <w:szCs w:val="18"/>
              </w:rPr>
              <w:t>(7,929)</w:t>
            </w:r>
          </w:p>
        </w:tc>
      </w:tr>
      <w:tr w:rsidR="00D93F01" w:rsidRPr="00C07F6E" w14:paraId="013F4F6E" w14:textId="77777777" w:rsidTr="008E1462">
        <w:trPr>
          <w:trHeight w:val="288"/>
          <w:jc w:val="center"/>
        </w:trPr>
        <w:tc>
          <w:tcPr>
            <w:tcW w:w="3734" w:type="dxa"/>
            <w:noWrap/>
            <w:vAlign w:val="center"/>
            <w:hideMark/>
          </w:tcPr>
          <w:p w14:paraId="5C382670" w14:textId="77777777" w:rsidR="00D93F01" w:rsidRPr="008E1462" w:rsidRDefault="00D93F01" w:rsidP="008D3B6A">
            <w:pPr>
              <w:pStyle w:val="ExhibitText"/>
              <w:jc w:val="left"/>
              <w:rPr>
                <w:sz w:val="18"/>
                <w:szCs w:val="18"/>
              </w:rPr>
            </w:pPr>
            <w:r w:rsidRPr="008E1462">
              <w:rPr>
                <w:sz w:val="18"/>
                <w:szCs w:val="18"/>
              </w:rPr>
              <w:t>Cash at end of period</w:t>
            </w:r>
          </w:p>
        </w:tc>
        <w:tc>
          <w:tcPr>
            <w:tcW w:w="936" w:type="dxa"/>
            <w:vAlign w:val="center"/>
          </w:tcPr>
          <w:p w14:paraId="712771CC" w14:textId="77777777" w:rsidR="00D93F01" w:rsidRPr="008E1462" w:rsidRDefault="00D93F01" w:rsidP="008D3B6A">
            <w:pPr>
              <w:pStyle w:val="ExhibitText"/>
              <w:jc w:val="right"/>
              <w:rPr>
                <w:sz w:val="18"/>
                <w:szCs w:val="18"/>
              </w:rPr>
            </w:pPr>
            <w:r w:rsidRPr="008E1462">
              <w:rPr>
                <w:sz w:val="18"/>
                <w:szCs w:val="18"/>
              </w:rPr>
              <w:t>3,082</w:t>
            </w:r>
          </w:p>
        </w:tc>
        <w:tc>
          <w:tcPr>
            <w:tcW w:w="936" w:type="dxa"/>
            <w:noWrap/>
            <w:vAlign w:val="center"/>
            <w:hideMark/>
          </w:tcPr>
          <w:p w14:paraId="11459A85" w14:textId="77777777" w:rsidR="00D93F01" w:rsidRPr="008E1462" w:rsidRDefault="00D93F01" w:rsidP="008D3B6A">
            <w:pPr>
              <w:pStyle w:val="ExhibitText"/>
              <w:jc w:val="right"/>
              <w:rPr>
                <w:sz w:val="18"/>
                <w:szCs w:val="18"/>
              </w:rPr>
            </w:pPr>
            <w:r w:rsidRPr="008E1462">
              <w:rPr>
                <w:sz w:val="18"/>
                <w:szCs w:val="18"/>
              </w:rPr>
              <w:t xml:space="preserve">2,174 </w:t>
            </w:r>
          </w:p>
        </w:tc>
        <w:tc>
          <w:tcPr>
            <w:tcW w:w="936" w:type="dxa"/>
            <w:noWrap/>
            <w:vAlign w:val="center"/>
            <w:hideMark/>
          </w:tcPr>
          <w:p w14:paraId="36459A16" w14:textId="77777777" w:rsidR="00D93F01" w:rsidRPr="008E1462" w:rsidRDefault="00D93F01" w:rsidP="008D3B6A">
            <w:pPr>
              <w:pStyle w:val="ExhibitText"/>
              <w:jc w:val="right"/>
              <w:rPr>
                <w:sz w:val="18"/>
                <w:szCs w:val="18"/>
              </w:rPr>
            </w:pPr>
            <w:r w:rsidRPr="008E1462">
              <w:rPr>
                <w:sz w:val="18"/>
                <w:szCs w:val="18"/>
              </w:rPr>
              <w:t xml:space="preserve">2,813 </w:t>
            </w:r>
          </w:p>
        </w:tc>
        <w:tc>
          <w:tcPr>
            <w:tcW w:w="936" w:type="dxa"/>
            <w:noWrap/>
            <w:vAlign w:val="center"/>
            <w:hideMark/>
          </w:tcPr>
          <w:p w14:paraId="2735198E" w14:textId="77777777" w:rsidR="00D93F01" w:rsidRPr="008E1462" w:rsidRDefault="00D93F01" w:rsidP="008D3B6A">
            <w:pPr>
              <w:pStyle w:val="ExhibitText"/>
              <w:jc w:val="right"/>
              <w:rPr>
                <w:sz w:val="18"/>
                <w:szCs w:val="18"/>
              </w:rPr>
            </w:pPr>
            <w:r w:rsidRPr="008E1462">
              <w:rPr>
                <w:sz w:val="18"/>
                <w:szCs w:val="18"/>
              </w:rPr>
              <w:t xml:space="preserve">2,531 </w:t>
            </w:r>
          </w:p>
        </w:tc>
        <w:tc>
          <w:tcPr>
            <w:tcW w:w="936" w:type="dxa"/>
            <w:noWrap/>
            <w:vAlign w:val="center"/>
            <w:hideMark/>
          </w:tcPr>
          <w:p w14:paraId="3B223514" w14:textId="77777777" w:rsidR="00D93F01" w:rsidRPr="008E1462" w:rsidRDefault="00D93F01" w:rsidP="008D3B6A">
            <w:pPr>
              <w:pStyle w:val="ExhibitText"/>
              <w:jc w:val="right"/>
              <w:rPr>
                <w:sz w:val="18"/>
                <w:szCs w:val="18"/>
              </w:rPr>
            </w:pPr>
            <w:r w:rsidRPr="008E1462">
              <w:rPr>
                <w:sz w:val="18"/>
                <w:szCs w:val="18"/>
              </w:rPr>
              <w:t>(6,907)</w:t>
            </w:r>
          </w:p>
        </w:tc>
        <w:tc>
          <w:tcPr>
            <w:tcW w:w="936" w:type="dxa"/>
            <w:noWrap/>
            <w:vAlign w:val="center"/>
            <w:hideMark/>
          </w:tcPr>
          <w:p w14:paraId="2A5B0799" w14:textId="77777777" w:rsidR="00D93F01" w:rsidRPr="008E1462" w:rsidRDefault="00D93F01" w:rsidP="008D3B6A">
            <w:pPr>
              <w:pStyle w:val="ExhibitText"/>
              <w:jc w:val="right"/>
              <w:rPr>
                <w:sz w:val="18"/>
                <w:szCs w:val="18"/>
              </w:rPr>
            </w:pPr>
            <w:r w:rsidRPr="008E1462">
              <w:rPr>
                <w:sz w:val="18"/>
                <w:szCs w:val="18"/>
              </w:rPr>
              <w:t>(8,603)</w:t>
            </w:r>
          </w:p>
        </w:tc>
      </w:tr>
      <w:tr w:rsidR="00D93F01" w:rsidRPr="00C07F6E" w14:paraId="6DFF0C2B" w14:textId="77777777" w:rsidTr="008E1462">
        <w:trPr>
          <w:trHeight w:val="288"/>
          <w:jc w:val="center"/>
        </w:trPr>
        <w:tc>
          <w:tcPr>
            <w:tcW w:w="3734" w:type="dxa"/>
            <w:noWrap/>
            <w:vAlign w:val="center"/>
            <w:hideMark/>
          </w:tcPr>
          <w:p w14:paraId="74D6D014" w14:textId="798AC4DB" w:rsidR="00D93F01" w:rsidRPr="008E1462" w:rsidRDefault="00D93F01" w:rsidP="00780234">
            <w:pPr>
              <w:pStyle w:val="ExhibitText"/>
              <w:jc w:val="left"/>
              <w:rPr>
                <w:sz w:val="18"/>
                <w:szCs w:val="18"/>
              </w:rPr>
            </w:pPr>
            <w:r w:rsidRPr="008E1462">
              <w:rPr>
                <w:sz w:val="18"/>
                <w:szCs w:val="18"/>
              </w:rPr>
              <w:t>Operating cash flow</w:t>
            </w:r>
          </w:p>
        </w:tc>
        <w:tc>
          <w:tcPr>
            <w:tcW w:w="936" w:type="dxa"/>
            <w:vAlign w:val="center"/>
          </w:tcPr>
          <w:p w14:paraId="6FF9740B" w14:textId="77777777" w:rsidR="00D93F01" w:rsidRPr="008E1462" w:rsidRDefault="00D93F01" w:rsidP="008D3B6A">
            <w:pPr>
              <w:pStyle w:val="ExhibitText"/>
              <w:jc w:val="right"/>
              <w:rPr>
                <w:sz w:val="18"/>
                <w:szCs w:val="18"/>
              </w:rPr>
            </w:pPr>
            <w:r w:rsidRPr="008E1462">
              <w:rPr>
                <w:sz w:val="18"/>
                <w:szCs w:val="18"/>
              </w:rPr>
              <w:t>2,126</w:t>
            </w:r>
          </w:p>
        </w:tc>
        <w:tc>
          <w:tcPr>
            <w:tcW w:w="936" w:type="dxa"/>
            <w:noWrap/>
            <w:vAlign w:val="center"/>
            <w:hideMark/>
          </w:tcPr>
          <w:p w14:paraId="4FE5BB36" w14:textId="77777777" w:rsidR="00D93F01" w:rsidRPr="008E1462" w:rsidRDefault="00D93F01" w:rsidP="008D3B6A">
            <w:pPr>
              <w:pStyle w:val="ExhibitText"/>
              <w:jc w:val="right"/>
              <w:rPr>
                <w:sz w:val="18"/>
                <w:szCs w:val="18"/>
              </w:rPr>
            </w:pPr>
            <w:r w:rsidRPr="008E1462">
              <w:rPr>
                <w:sz w:val="18"/>
                <w:szCs w:val="18"/>
              </w:rPr>
              <w:t xml:space="preserve">484 </w:t>
            </w:r>
          </w:p>
        </w:tc>
        <w:tc>
          <w:tcPr>
            <w:tcW w:w="936" w:type="dxa"/>
            <w:noWrap/>
            <w:vAlign w:val="center"/>
            <w:hideMark/>
          </w:tcPr>
          <w:p w14:paraId="3B4BF224" w14:textId="77777777" w:rsidR="00D93F01" w:rsidRPr="008E1462" w:rsidRDefault="00D93F01" w:rsidP="008D3B6A">
            <w:pPr>
              <w:pStyle w:val="ExhibitText"/>
              <w:jc w:val="right"/>
              <w:rPr>
                <w:sz w:val="18"/>
                <w:szCs w:val="18"/>
              </w:rPr>
            </w:pPr>
            <w:r w:rsidRPr="008E1462">
              <w:rPr>
                <w:sz w:val="18"/>
                <w:szCs w:val="18"/>
              </w:rPr>
              <w:t xml:space="preserve">3,185 </w:t>
            </w:r>
          </w:p>
        </w:tc>
        <w:tc>
          <w:tcPr>
            <w:tcW w:w="936" w:type="dxa"/>
            <w:noWrap/>
            <w:vAlign w:val="center"/>
            <w:hideMark/>
          </w:tcPr>
          <w:p w14:paraId="6B951BA7" w14:textId="77777777" w:rsidR="00D93F01" w:rsidRPr="008E1462" w:rsidRDefault="00D93F01" w:rsidP="008D3B6A">
            <w:pPr>
              <w:pStyle w:val="ExhibitText"/>
              <w:jc w:val="right"/>
              <w:rPr>
                <w:sz w:val="18"/>
                <w:szCs w:val="18"/>
              </w:rPr>
            </w:pPr>
            <w:r w:rsidRPr="008E1462">
              <w:rPr>
                <w:sz w:val="18"/>
                <w:szCs w:val="18"/>
              </w:rPr>
              <w:t xml:space="preserve">2,837 </w:t>
            </w:r>
          </w:p>
        </w:tc>
        <w:tc>
          <w:tcPr>
            <w:tcW w:w="936" w:type="dxa"/>
            <w:noWrap/>
            <w:vAlign w:val="center"/>
            <w:hideMark/>
          </w:tcPr>
          <w:p w14:paraId="5252C7EF" w14:textId="77777777" w:rsidR="00D93F01" w:rsidRPr="008E1462" w:rsidRDefault="00D93F01" w:rsidP="008D3B6A">
            <w:pPr>
              <w:pStyle w:val="ExhibitText"/>
              <w:jc w:val="right"/>
              <w:rPr>
                <w:sz w:val="18"/>
                <w:szCs w:val="18"/>
              </w:rPr>
            </w:pPr>
            <w:r w:rsidRPr="008E1462">
              <w:rPr>
                <w:sz w:val="18"/>
                <w:szCs w:val="18"/>
              </w:rPr>
              <w:t xml:space="preserve">4,408 </w:t>
            </w:r>
          </w:p>
        </w:tc>
        <w:tc>
          <w:tcPr>
            <w:tcW w:w="936" w:type="dxa"/>
            <w:noWrap/>
            <w:vAlign w:val="center"/>
            <w:hideMark/>
          </w:tcPr>
          <w:p w14:paraId="4CCCF5D0" w14:textId="77777777" w:rsidR="00D93F01" w:rsidRPr="008E1462" w:rsidRDefault="00D93F01" w:rsidP="008D3B6A">
            <w:pPr>
              <w:pStyle w:val="ExhibitText"/>
              <w:jc w:val="right"/>
              <w:rPr>
                <w:sz w:val="18"/>
                <w:szCs w:val="18"/>
              </w:rPr>
            </w:pPr>
            <w:r w:rsidRPr="008E1462">
              <w:rPr>
                <w:sz w:val="18"/>
                <w:szCs w:val="18"/>
              </w:rPr>
              <w:t xml:space="preserve">4,267 </w:t>
            </w:r>
          </w:p>
        </w:tc>
      </w:tr>
      <w:tr w:rsidR="00D93F01" w:rsidRPr="00C07F6E" w14:paraId="19B0AC11" w14:textId="77777777" w:rsidTr="008E1462">
        <w:trPr>
          <w:trHeight w:val="288"/>
          <w:jc w:val="center"/>
        </w:trPr>
        <w:tc>
          <w:tcPr>
            <w:tcW w:w="3734" w:type="dxa"/>
            <w:noWrap/>
            <w:vAlign w:val="center"/>
            <w:hideMark/>
          </w:tcPr>
          <w:p w14:paraId="6C82C521" w14:textId="612891F8" w:rsidR="00D93F01" w:rsidRPr="008E1462" w:rsidRDefault="00D93F01" w:rsidP="00780234">
            <w:pPr>
              <w:pStyle w:val="ExhibitText"/>
              <w:jc w:val="left"/>
              <w:rPr>
                <w:sz w:val="18"/>
                <w:szCs w:val="18"/>
              </w:rPr>
            </w:pPr>
            <w:r w:rsidRPr="008E1462">
              <w:rPr>
                <w:sz w:val="18"/>
                <w:szCs w:val="18"/>
              </w:rPr>
              <w:t>Capital expenditure</w:t>
            </w:r>
          </w:p>
        </w:tc>
        <w:tc>
          <w:tcPr>
            <w:tcW w:w="936" w:type="dxa"/>
            <w:vAlign w:val="center"/>
          </w:tcPr>
          <w:p w14:paraId="6FD17866" w14:textId="77777777" w:rsidR="00D93F01" w:rsidRPr="008E1462" w:rsidRDefault="00D93F01" w:rsidP="008D3B6A">
            <w:pPr>
              <w:pStyle w:val="ExhibitText"/>
              <w:jc w:val="right"/>
              <w:rPr>
                <w:sz w:val="18"/>
                <w:szCs w:val="18"/>
              </w:rPr>
            </w:pPr>
            <w:r w:rsidRPr="008E1462">
              <w:rPr>
                <w:sz w:val="18"/>
                <w:szCs w:val="18"/>
              </w:rPr>
              <w:t>(1,038)</w:t>
            </w:r>
          </w:p>
        </w:tc>
        <w:tc>
          <w:tcPr>
            <w:tcW w:w="936" w:type="dxa"/>
            <w:noWrap/>
            <w:vAlign w:val="center"/>
            <w:hideMark/>
          </w:tcPr>
          <w:p w14:paraId="5204D32B" w14:textId="77777777" w:rsidR="00D93F01" w:rsidRPr="008E1462" w:rsidRDefault="00D93F01" w:rsidP="008D3B6A">
            <w:pPr>
              <w:pStyle w:val="ExhibitText"/>
              <w:jc w:val="right"/>
              <w:rPr>
                <w:sz w:val="18"/>
                <w:szCs w:val="18"/>
              </w:rPr>
            </w:pPr>
            <w:r w:rsidRPr="008E1462">
              <w:rPr>
                <w:sz w:val="18"/>
                <w:szCs w:val="18"/>
              </w:rPr>
              <w:t>(2,318)</w:t>
            </w:r>
          </w:p>
        </w:tc>
        <w:tc>
          <w:tcPr>
            <w:tcW w:w="936" w:type="dxa"/>
            <w:noWrap/>
            <w:vAlign w:val="center"/>
            <w:hideMark/>
          </w:tcPr>
          <w:p w14:paraId="1E260B0A" w14:textId="77777777" w:rsidR="00D93F01" w:rsidRPr="008E1462" w:rsidRDefault="00D93F01" w:rsidP="008D3B6A">
            <w:pPr>
              <w:pStyle w:val="ExhibitText"/>
              <w:jc w:val="right"/>
              <w:rPr>
                <w:sz w:val="18"/>
                <w:szCs w:val="18"/>
              </w:rPr>
            </w:pPr>
            <w:r w:rsidRPr="008E1462">
              <w:rPr>
                <w:sz w:val="18"/>
                <w:szCs w:val="18"/>
              </w:rPr>
              <w:t>(2,881)</w:t>
            </w:r>
          </w:p>
        </w:tc>
        <w:tc>
          <w:tcPr>
            <w:tcW w:w="936" w:type="dxa"/>
            <w:noWrap/>
            <w:vAlign w:val="center"/>
            <w:hideMark/>
          </w:tcPr>
          <w:p w14:paraId="3482401F" w14:textId="77777777" w:rsidR="00D93F01" w:rsidRPr="008E1462" w:rsidRDefault="00D93F01" w:rsidP="008D3B6A">
            <w:pPr>
              <w:pStyle w:val="ExhibitText"/>
              <w:jc w:val="right"/>
              <w:rPr>
                <w:sz w:val="18"/>
                <w:szCs w:val="18"/>
              </w:rPr>
            </w:pPr>
            <w:r w:rsidRPr="008E1462">
              <w:rPr>
                <w:sz w:val="18"/>
                <w:szCs w:val="18"/>
              </w:rPr>
              <w:t>(2,987)</w:t>
            </w:r>
          </w:p>
        </w:tc>
        <w:tc>
          <w:tcPr>
            <w:tcW w:w="936" w:type="dxa"/>
            <w:noWrap/>
            <w:vAlign w:val="center"/>
            <w:hideMark/>
          </w:tcPr>
          <w:p w14:paraId="03E2B5AA" w14:textId="77777777" w:rsidR="00D93F01" w:rsidRPr="008E1462" w:rsidRDefault="00D93F01" w:rsidP="008D3B6A">
            <w:pPr>
              <w:pStyle w:val="ExhibitText"/>
              <w:jc w:val="right"/>
              <w:rPr>
                <w:sz w:val="18"/>
                <w:szCs w:val="18"/>
              </w:rPr>
            </w:pPr>
            <w:r w:rsidRPr="008E1462">
              <w:rPr>
                <w:sz w:val="18"/>
                <w:szCs w:val="18"/>
              </w:rPr>
              <w:t>(3,708)</w:t>
            </w:r>
          </w:p>
        </w:tc>
        <w:tc>
          <w:tcPr>
            <w:tcW w:w="936" w:type="dxa"/>
            <w:noWrap/>
            <w:vAlign w:val="center"/>
            <w:hideMark/>
          </w:tcPr>
          <w:p w14:paraId="2B5FEA6A" w14:textId="77777777" w:rsidR="00D93F01" w:rsidRPr="008E1462" w:rsidRDefault="00D93F01" w:rsidP="008D3B6A">
            <w:pPr>
              <w:pStyle w:val="ExhibitText"/>
              <w:jc w:val="right"/>
              <w:rPr>
                <w:sz w:val="18"/>
                <w:szCs w:val="18"/>
              </w:rPr>
            </w:pPr>
            <w:r w:rsidRPr="008E1462">
              <w:rPr>
                <w:sz w:val="18"/>
                <w:szCs w:val="18"/>
              </w:rPr>
              <w:t>(3,551)</w:t>
            </w:r>
          </w:p>
        </w:tc>
      </w:tr>
      <w:tr w:rsidR="00D93F01" w:rsidRPr="00C07F6E" w14:paraId="72338BB9" w14:textId="77777777" w:rsidTr="008E1462">
        <w:trPr>
          <w:trHeight w:val="288"/>
          <w:jc w:val="center"/>
        </w:trPr>
        <w:tc>
          <w:tcPr>
            <w:tcW w:w="3734" w:type="dxa"/>
            <w:noWrap/>
            <w:vAlign w:val="center"/>
            <w:hideMark/>
          </w:tcPr>
          <w:p w14:paraId="29C5CD90" w14:textId="77777777" w:rsidR="00D93F01" w:rsidRPr="008E1462" w:rsidRDefault="00D93F01" w:rsidP="008D3B6A">
            <w:pPr>
              <w:pStyle w:val="ExhibitText"/>
              <w:jc w:val="left"/>
              <w:rPr>
                <w:sz w:val="18"/>
                <w:szCs w:val="18"/>
              </w:rPr>
            </w:pPr>
            <w:r w:rsidRPr="008E1462">
              <w:rPr>
                <w:sz w:val="18"/>
                <w:szCs w:val="18"/>
              </w:rPr>
              <w:t>Free cash flow</w:t>
            </w:r>
          </w:p>
        </w:tc>
        <w:tc>
          <w:tcPr>
            <w:tcW w:w="936" w:type="dxa"/>
            <w:vAlign w:val="center"/>
          </w:tcPr>
          <w:p w14:paraId="246BC86F" w14:textId="77777777" w:rsidR="00D93F01" w:rsidRPr="008E1462" w:rsidRDefault="00D93F01" w:rsidP="008D3B6A">
            <w:pPr>
              <w:pStyle w:val="ExhibitText"/>
              <w:jc w:val="right"/>
              <w:rPr>
                <w:sz w:val="18"/>
                <w:szCs w:val="18"/>
              </w:rPr>
            </w:pPr>
            <w:r w:rsidRPr="008E1462">
              <w:rPr>
                <w:sz w:val="18"/>
                <w:szCs w:val="18"/>
              </w:rPr>
              <w:t>1,088</w:t>
            </w:r>
          </w:p>
        </w:tc>
        <w:tc>
          <w:tcPr>
            <w:tcW w:w="936" w:type="dxa"/>
            <w:noWrap/>
            <w:vAlign w:val="center"/>
            <w:hideMark/>
          </w:tcPr>
          <w:p w14:paraId="55F509DD" w14:textId="77777777" w:rsidR="00D93F01" w:rsidRPr="008E1462" w:rsidRDefault="00D93F01" w:rsidP="008D3B6A">
            <w:pPr>
              <w:pStyle w:val="ExhibitText"/>
              <w:jc w:val="right"/>
              <w:rPr>
                <w:sz w:val="18"/>
                <w:szCs w:val="18"/>
              </w:rPr>
            </w:pPr>
            <w:r w:rsidRPr="008E1462">
              <w:rPr>
                <w:sz w:val="18"/>
                <w:szCs w:val="18"/>
              </w:rPr>
              <w:t>(1,834)</w:t>
            </w:r>
          </w:p>
        </w:tc>
        <w:tc>
          <w:tcPr>
            <w:tcW w:w="936" w:type="dxa"/>
            <w:noWrap/>
            <w:vAlign w:val="center"/>
            <w:hideMark/>
          </w:tcPr>
          <w:p w14:paraId="34883E53" w14:textId="77777777" w:rsidR="00D93F01" w:rsidRPr="008E1462" w:rsidRDefault="00D93F01" w:rsidP="008D3B6A">
            <w:pPr>
              <w:pStyle w:val="ExhibitText"/>
              <w:jc w:val="right"/>
              <w:rPr>
                <w:sz w:val="18"/>
                <w:szCs w:val="18"/>
              </w:rPr>
            </w:pPr>
            <w:r w:rsidRPr="008E1462">
              <w:rPr>
                <w:sz w:val="18"/>
                <w:szCs w:val="18"/>
              </w:rPr>
              <w:t xml:space="preserve">304 </w:t>
            </w:r>
          </w:p>
        </w:tc>
        <w:tc>
          <w:tcPr>
            <w:tcW w:w="936" w:type="dxa"/>
            <w:noWrap/>
            <w:vAlign w:val="center"/>
            <w:hideMark/>
          </w:tcPr>
          <w:p w14:paraId="69CBC43A" w14:textId="77777777" w:rsidR="00D93F01" w:rsidRPr="008E1462" w:rsidRDefault="00D93F01" w:rsidP="008D3B6A">
            <w:pPr>
              <w:pStyle w:val="ExhibitText"/>
              <w:jc w:val="right"/>
              <w:rPr>
                <w:sz w:val="18"/>
                <w:szCs w:val="18"/>
              </w:rPr>
            </w:pPr>
            <w:r w:rsidRPr="008E1462">
              <w:rPr>
                <w:sz w:val="18"/>
                <w:szCs w:val="18"/>
              </w:rPr>
              <w:t>(150)</w:t>
            </w:r>
          </w:p>
        </w:tc>
        <w:tc>
          <w:tcPr>
            <w:tcW w:w="936" w:type="dxa"/>
            <w:noWrap/>
            <w:vAlign w:val="center"/>
            <w:hideMark/>
          </w:tcPr>
          <w:p w14:paraId="4933C940" w14:textId="77777777" w:rsidR="00D93F01" w:rsidRPr="008E1462" w:rsidRDefault="00D93F01" w:rsidP="008D3B6A">
            <w:pPr>
              <w:pStyle w:val="ExhibitText"/>
              <w:jc w:val="right"/>
              <w:rPr>
                <w:sz w:val="18"/>
                <w:szCs w:val="18"/>
              </w:rPr>
            </w:pPr>
            <w:r w:rsidRPr="008E1462">
              <w:rPr>
                <w:sz w:val="18"/>
                <w:szCs w:val="18"/>
              </w:rPr>
              <w:t xml:space="preserve">700 </w:t>
            </w:r>
          </w:p>
        </w:tc>
        <w:tc>
          <w:tcPr>
            <w:tcW w:w="936" w:type="dxa"/>
            <w:noWrap/>
            <w:vAlign w:val="center"/>
            <w:hideMark/>
          </w:tcPr>
          <w:p w14:paraId="62BC7078" w14:textId="77777777" w:rsidR="00D93F01" w:rsidRPr="008E1462" w:rsidRDefault="00D93F01" w:rsidP="008D3B6A">
            <w:pPr>
              <w:pStyle w:val="ExhibitText"/>
              <w:jc w:val="right"/>
              <w:rPr>
                <w:sz w:val="18"/>
                <w:szCs w:val="18"/>
              </w:rPr>
            </w:pPr>
            <w:r w:rsidRPr="008E1462">
              <w:rPr>
                <w:sz w:val="18"/>
                <w:szCs w:val="18"/>
              </w:rPr>
              <w:t xml:space="preserve">716 </w:t>
            </w:r>
          </w:p>
        </w:tc>
      </w:tr>
    </w:tbl>
    <w:p w14:paraId="3E843A22" w14:textId="77777777" w:rsidR="00D93F01" w:rsidRPr="00C07F6E" w:rsidRDefault="00D93F01" w:rsidP="00D93F01">
      <w:pPr>
        <w:pStyle w:val="Footnote"/>
        <w:rPr>
          <w:rFonts w:eastAsia="Arial"/>
        </w:rPr>
      </w:pPr>
    </w:p>
    <w:p w14:paraId="0E502D6D" w14:textId="0C50718E" w:rsidR="00D93F01" w:rsidRDefault="00D93F01" w:rsidP="00780234">
      <w:pPr>
        <w:pStyle w:val="Footnote"/>
        <w:rPr>
          <w:rFonts w:eastAsia="Arial"/>
        </w:rPr>
      </w:pPr>
      <w:proofErr w:type="gramStart"/>
      <w:r w:rsidRPr="005C18D8">
        <w:rPr>
          <w:rFonts w:eastAsia="Arial"/>
          <w:spacing w:val="-4"/>
          <w:kern w:val="17"/>
        </w:rPr>
        <w:t xml:space="preserve">Source: Compiled by the case authors, based on </w:t>
      </w:r>
      <w:r w:rsidRPr="005C18D8">
        <w:rPr>
          <w:spacing w:val="-4"/>
          <w:kern w:val="17"/>
        </w:rPr>
        <w:t xml:space="preserve">Tesco PLC, </w:t>
      </w:r>
      <w:r w:rsidRPr="00780234">
        <w:rPr>
          <w:i/>
          <w:spacing w:val="-4"/>
          <w:kern w:val="17"/>
        </w:rPr>
        <w:t>Annual Report and Financial Statements 2016</w:t>
      </w:r>
      <w:r w:rsidRPr="005C18D8">
        <w:rPr>
          <w:spacing w:val="-4"/>
          <w:kern w:val="17"/>
        </w:rPr>
        <w:t xml:space="preserve">, 89, accessed May 22, 2016, www.tescoplc.com/media/264194/annual-report-2016.pdf; Tesco PLC, </w:t>
      </w:r>
      <w:r w:rsidRPr="00780234">
        <w:rPr>
          <w:i/>
          <w:spacing w:val="-4"/>
          <w:kern w:val="17"/>
        </w:rPr>
        <w:t>Annual Report and Financial Statements 2015</w:t>
      </w:r>
      <w:r w:rsidRPr="005C18D8">
        <w:rPr>
          <w:spacing w:val="-4"/>
          <w:kern w:val="17"/>
        </w:rPr>
        <w:t>, 87, accessed April 22, 2016</w:t>
      </w:r>
      <w:r w:rsidR="005C18D8" w:rsidRPr="005C18D8">
        <w:rPr>
          <w:spacing w:val="-4"/>
          <w:kern w:val="17"/>
        </w:rPr>
        <w:t>www.tescoplc.com/files/pdf/reports/ar15/download_annual_report</w:t>
      </w:r>
      <w:r w:rsidRPr="005C18D8">
        <w:rPr>
          <w:spacing w:val="-4"/>
          <w:kern w:val="17"/>
        </w:rPr>
        <w:t xml:space="preserve">.pdf; Tesco PLC, </w:t>
      </w:r>
      <w:r w:rsidRPr="00780234">
        <w:rPr>
          <w:i/>
          <w:spacing w:val="-4"/>
          <w:kern w:val="17"/>
        </w:rPr>
        <w:t>Annual Report and Financial Statements 2014</w:t>
      </w:r>
      <w:r w:rsidRPr="005C18D8">
        <w:rPr>
          <w:spacing w:val="-4"/>
          <w:kern w:val="17"/>
        </w:rPr>
        <w:t>, 73, accessed April 22, 2016,</w:t>
      </w:r>
      <w:r w:rsidR="00CA0A8A">
        <w:rPr>
          <w:spacing w:val="-4"/>
          <w:kern w:val="17"/>
        </w:rPr>
        <w:t xml:space="preserve"> </w:t>
      </w:r>
      <w:r w:rsidRPr="005C18D8">
        <w:rPr>
          <w:spacing w:val="-4"/>
          <w:kern w:val="17"/>
        </w:rPr>
        <w:t xml:space="preserve">www.tescoplc.com/files/pdf/reports/ar14/download_annual_report.pdf; Tesco PLC, </w:t>
      </w:r>
      <w:r w:rsidRPr="00780234">
        <w:rPr>
          <w:i/>
          <w:spacing w:val="-4"/>
          <w:kern w:val="17"/>
        </w:rPr>
        <w:t>Annual Report and Financial Statements 2013</w:t>
      </w:r>
      <w:r w:rsidRPr="005C18D8">
        <w:rPr>
          <w:spacing w:val="-4"/>
          <w:kern w:val="17"/>
        </w:rPr>
        <w:t xml:space="preserve">, 76, accessed April 22, 2016, </w:t>
      </w:r>
      <w:r w:rsidR="005C18D8" w:rsidRPr="005C18D8">
        <w:rPr>
          <w:spacing w:val="-4"/>
          <w:kern w:val="17"/>
        </w:rPr>
        <w:t>www.tescoplc.com/media/1456/tesco_annual</w:t>
      </w:r>
      <w:r w:rsidRPr="005C18D8">
        <w:rPr>
          <w:spacing w:val="-4"/>
          <w:kern w:val="17"/>
        </w:rPr>
        <w:t xml:space="preserve">_report_2013.pdf; Tesco PLC, </w:t>
      </w:r>
      <w:r w:rsidRPr="00780234">
        <w:rPr>
          <w:i/>
          <w:spacing w:val="-4"/>
          <w:kern w:val="17"/>
        </w:rPr>
        <w:t>Annual Report and Financial Statements 2012</w:t>
      </w:r>
      <w:r w:rsidRPr="005C18D8">
        <w:rPr>
          <w:spacing w:val="-4"/>
          <w:kern w:val="17"/>
        </w:rPr>
        <w:t xml:space="preserve">, 94, accessed April 22, 2016, www.tescoplc.com/media/1455/tesco_annual_report_2012.pdf; </w:t>
      </w:r>
      <w:r w:rsidR="00132D4F">
        <w:rPr>
          <w:spacing w:val="-4"/>
          <w:kern w:val="17"/>
        </w:rPr>
        <w:t xml:space="preserve">and </w:t>
      </w:r>
      <w:r w:rsidRPr="005C18D8">
        <w:rPr>
          <w:spacing w:val="-4"/>
          <w:kern w:val="17"/>
        </w:rPr>
        <w:t xml:space="preserve">Tesco PLC, </w:t>
      </w:r>
      <w:r w:rsidRPr="00780234">
        <w:rPr>
          <w:i/>
          <w:spacing w:val="-4"/>
          <w:kern w:val="17"/>
        </w:rPr>
        <w:t>Annual Report and Financial Statements 2011</w:t>
      </w:r>
      <w:r w:rsidRPr="005C18D8">
        <w:rPr>
          <w:spacing w:val="-4"/>
          <w:kern w:val="17"/>
        </w:rPr>
        <w:t>, 98, accessed April 22, 2016, www.tescoplc.com/files/pdf/reports/tesco_annual_report_2011.pdf.</w:t>
      </w:r>
      <w:proofErr w:type="gramEnd"/>
    </w:p>
    <w:p w14:paraId="051D6504" w14:textId="0162619F" w:rsidR="005C18D8" w:rsidRDefault="005C18D8">
      <w:pPr>
        <w:spacing w:after="200" w:line="276" w:lineRule="auto"/>
        <w:rPr>
          <w:rFonts w:ascii="Arial" w:eastAsia="Arial" w:hAnsi="Arial" w:cs="Arial"/>
          <w:sz w:val="17"/>
          <w:szCs w:val="17"/>
        </w:rPr>
      </w:pPr>
      <w:r>
        <w:rPr>
          <w:rFonts w:ascii="Arial" w:eastAsia="Arial" w:hAnsi="Arial" w:cs="Arial"/>
          <w:sz w:val="17"/>
          <w:szCs w:val="17"/>
        </w:rPr>
        <w:br w:type="page"/>
      </w:r>
    </w:p>
    <w:p w14:paraId="4F7C57C9" w14:textId="460FB9B6" w:rsidR="00DD4D5C" w:rsidRPr="00C07F6E" w:rsidRDefault="00DD4D5C" w:rsidP="0017404F">
      <w:pPr>
        <w:pStyle w:val="ExhibitHeading"/>
        <w:outlineLvl w:val="0"/>
        <w:rPr>
          <w:rFonts w:eastAsia="Arial"/>
        </w:rPr>
      </w:pPr>
      <w:r w:rsidRPr="00C07F6E">
        <w:rPr>
          <w:rFonts w:eastAsia="Arial"/>
        </w:rPr>
        <w:lastRenderedPageBreak/>
        <w:t>E</w:t>
      </w:r>
      <w:r w:rsidR="00A93778">
        <w:rPr>
          <w:rFonts w:eastAsia="Arial"/>
        </w:rPr>
        <w:t xml:space="preserve">xhibit </w:t>
      </w:r>
      <w:r w:rsidR="00D93F01">
        <w:rPr>
          <w:rFonts w:eastAsia="Arial"/>
        </w:rPr>
        <w:t>7</w:t>
      </w:r>
      <w:r w:rsidRPr="00C07F6E">
        <w:rPr>
          <w:rFonts w:eastAsia="Arial"/>
        </w:rPr>
        <w:t>: Tesco and Subsidiaries</w:t>
      </w:r>
      <w:r w:rsidR="00212229" w:rsidRPr="00C07F6E">
        <w:rPr>
          <w:rFonts w:eastAsia="Arial"/>
        </w:rPr>
        <w:t>:</w:t>
      </w:r>
      <w:r w:rsidRPr="00C07F6E">
        <w:rPr>
          <w:rFonts w:eastAsia="Arial"/>
        </w:rPr>
        <w:t xml:space="preserve"> Consolidated Balance Sheet</w:t>
      </w:r>
    </w:p>
    <w:p w14:paraId="2A4E3E57" w14:textId="77777777" w:rsidR="00DA22D0" w:rsidRPr="005C18D8" w:rsidRDefault="00DA22D0" w:rsidP="008E1462">
      <w:pPr>
        <w:pStyle w:val="ExhibitText"/>
        <w:rPr>
          <w:rFonts w:eastAsia="Arial"/>
        </w:rPr>
      </w:pPr>
    </w:p>
    <w:tbl>
      <w:tblPr>
        <w:tblStyle w:val="TableGrid"/>
        <w:tblW w:w="4927" w:type="pct"/>
        <w:jc w:val="center"/>
        <w:tblLook w:val="04A0" w:firstRow="1" w:lastRow="0" w:firstColumn="1" w:lastColumn="0" w:noHBand="0" w:noVBand="1"/>
      </w:tblPr>
      <w:tblGrid>
        <w:gridCol w:w="3895"/>
        <w:gridCol w:w="948"/>
        <w:gridCol w:w="920"/>
        <w:gridCol w:w="863"/>
        <w:gridCol w:w="862"/>
        <w:gridCol w:w="863"/>
        <w:gridCol w:w="862"/>
      </w:tblGrid>
      <w:tr w:rsidR="00DD4D5C" w:rsidRPr="00C07F6E" w14:paraId="77EF892C" w14:textId="77777777" w:rsidTr="00E44318">
        <w:trPr>
          <w:trHeight w:val="53"/>
          <w:tblHeader/>
          <w:jc w:val="center"/>
        </w:trPr>
        <w:tc>
          <w:tcPr>
            <w:tcW w:w="3895" w:type="dxa"/>
            <w:noWrap/>
            <w:vAlign w:val="center"/>
            <w:hideMark/>
          </w:tcPr>
          <w:p w14:paraId="533FD06B" w14:textId="3D32E28D" w:rsidR="00DD4D5C" w:rsidRPr="005C18D8" w:rsidRDefault="005C18D8" w:rsidP="002035E9">
            <w:pPr>
              <w:pStyle w:val="Footnote"/>
              <w:rPr>
                <w:spacing w:val="-10"/>
                <w:kern w:val="17"/>
              </w:rPr>
            </w:pPr>
            <w:r w:rsidRPr="005C18D8">
              <w:rPr>
                <w:spacing w:val="-10"/>
                <w:kern w:val="17"/>
              </w:rPr>
              <w:t>FY</w:t>
            </w:r>
            <w:r w:rsidR="00DD4D5C" w:rsidRPr="005C18D8">
              <w:rPr>
                <w:spacing w:val="-10"/>
                <w:kern w:val="17"/>
              </w:rPr>
              <w:t xml:space="preserve"> ends in February (</w:t>
            </w:r>
            <w:r w:rsidR="00212229" w:rsidRPr="005C18D8">
              <w:rPr>
                <w:spacing w:val="-10"/>
                <w:kern w:val="17"/>
              </w:rPr>
              <w:t xml:space="preserve">in </w:t>
            </w:r>
            <w:r w:rsidR="00212229" w:rsidRPr="005C18D8">
              <w:rPr>
                <w:bCs/>
                <w:spacing w:val="-10"/>
                <w:kern w:val="17"/>
              </w:rPr>
              <w:t xml:space="preserve">£ </w:t>
            </w:r>
            <w:r w:rsidR="00212229" w:rsidRPr="005C18D8">
              <w:rPr>
                <w:spacing w:val="-10"/>
                <w:kern w:val="17"/>
              </w:rPr>
              <w:t xml:space="preserve">millions, </w:t>
            </w:r>
            <w:r w:rsidR="00DD4D5C" w:rsidRPr="005C18D8">
              <w:rPr>
                <w:spacing w:val="-10"/>
                <w:kern w:val="17"/>
              </w:rPr>
              <w:t>except per share data)</w:t>
            </w:r>
          </w:p>
        </w:tc>
        <w:tc>
          <w:tcPr>
            <w:tcW w:w="948" w:type="dxa"/>
            <w:vAlign w:val="center"/>
          </w:tcPr>
          <w:p w14:paraId="522B6991" w14:textId="4BD8E278" w:rsidR="00DD4D5C" w:rsidRPr="00780234" w:rsidRDefault="00DD4D5C" w:rsidP="002035E9">
            <w:pPr>
              <w:pStyle w:val="Footnote"/>
              <w:rPr>
                <w:b/>
              </w:rPr>
            </w:pPr>
            <w:r w:rsidRPr="00780234">
              <w:rPr>
                <w:b/>
              </w:rPr>
              <w:t>201</w:t>
            </w:r>
            <w:r w:rsidR="009E277F" w:rsidRPr="00780234">
              <w:rPr>
                <w:b/>
              </w:rPr>
              <w:t>5/1</w:t>
            </w:r>
            <w:r w:rsidRPr="00780234">
              <w:rPr>
                <w:b/>
              </w:rPr>
              <w:t>6</w:t>
            </w:r>
          </w:p>
        </w:tc>
        <w:tc>
          <w:tcPr>
            <w:tcW w:w="920" w:type="dxa"/>
            <w:noWrap/>
            <w:vAlign w:val="center"/>
            <w:hideMark/>
          </w:tcPr>
          <w:p w14:paraId="667DD191" w14:textId="5A74E6F7" w:rsidR="00DD4D5C" w:rsidRPr="00780234" w:rsidRDefault="00DD4D5C" w:rsidP="002035E9">
            <w:pPr>
              <w:pStyle w:val="Footnote"/>
              <w:rPr>
                <w:b/>
              </w:rPr>
            </w:pPr>
            <w:r w:rsidRPr="00780234">
              <w:rPr>
                <w:b/>
              </w:rPr>
              <w:t>201</w:t>
            </w:r>
            <w:r w:rsidR="009E277F" w:rsidRPr="00780234">
              <w:rPr>
                <w:b/>
              </w:rPr>
              <w:t>4/1</w:t>
            </w:r>
            <w:r w:rsidRPr="00780234">
              <w:rPr>
                <w:b/>
              </w:rPr>
              <w:t>5</w:t>
            </w:r>
          </w:p>
        </w:tc>
        <w:tc>
          <w:tcPr>
            <w:tcW w:w="863" w:type="dxa"/>
            <w:noWrap/>
            <w:vAlign w:val="center"/>
            <w:hideMark/>
          </w:tcPr>
          <w:p w14:paraId="03DD851E" w14:textId="51CD759C" w:rsidR="00DD4D5C" w:rsidRPr="00780234" w:rsidRDefault="00DD4D5C" w:rsidP="002035E9">
            <w:pPr>
              <w:pStyle w:val="Footnote"/>
              <w:rPr>
                <w:b/>
              </w:rPr>
            </w:pPr>
            <w:r w:rsidRPr="00780234">
              <w:rPr>
                <w:b/>
              </w:rPr>
              <w:t>201</w:t>
            </w:r>
            <w:r w:rsidR="009E277F" w:rsidRPr="00780234">
              <w:rPr>
                <w:b/>
              </w:rPr>
              <w:t>3/1</w:t>
            </w:r>
            <w:r w:rsidRPr="00780234">
              <w:rPr>
                <w:b/>
              </w:rPr>
              <w:t>4</w:t>
            </w:r>
          </w:p>
        </w:tc>
        <w:tc>
          <w:tcPr>
            <w:tcW w:w="862" w:type="dxa"/>
            <w:noWrap/>
            <w:vAlign w:val="center"/>
            <w:hideMark/>
          </w:tcPr>
          <w:p w14:paraId="6448706A" w14:textId="5225C061" w:rsidR="00DD4D5C" w:rsidRPr="00780234" w:rsidRDefault="00DD4D5C" w:rsidP="002035E9">
            <w:pPr>
              <w:pStyle w:val="Footnote"/>
              <w:rPr>
                <w:b/>
              </w:rPr>
            </w:pPr>
            <w:r w:rsidRPr="00780234">
              <w:rPr>
                <w:b/>
              </w:rPr>
              <w:t>201</w:t>
            </w:r>
            <w:r w:rsidR="009E277F" w:rsidRPr="00780234">
              <w:rPr>
                <w:b/>
              </w:rPr>
              <w:t>2/1</w:t>
            </w:r>
            <w:r w:rsidRPr="00780234">
              <w:rPr>
                <w:b/>
              </w:rPr>
              <w:t>3</w:t>
            </w:r>
          </w:p>
        </w:tc>
        <w:tc>
          <w:tcPr>
            <w:tcW w:w="863" w:type="dxa"/>
            <w:noWrap/>
            <w:vAlign w:val="center"/>
            <w:hideMark/>
          </w:tcPr>
          <w:p w14:paraId="4A0D8C44" w14:textId="0D5239DC" w:rsidR="00DD4D5C" w:rsidRPr="00780234" w:rsidRDefault="00DD4D5C" w:rsidP="002035E9">
            <w:pPr>
              <w:pStyle w:val="Footnote"/>
              <w:rPr>
                <w:b/>
              </w:rPr>
            </w:pPr>
            <w:r w:rsidRPr="00780234">
              <w:rPr>
                <w:b/>
              </w:rPr>
              <w:t>201</w:t>
            </w:r>
            <w:r w:rsidR="009E277F" w:rsidRPr="00780234">
              <w:rPr>
                <w:b/>
              </w:rPr>
              <w:t>1/1</w:t>
            </w:r>
            <w:r w:rsidRPr="00780234">
              <w:rPr>
                <w:b/>
              </w:rPr>
              <w:t>2</w:t>
            </w:r>
          </w:p>
        </w:tc>
        <w:tc>
          <w:tcPr>
            <w:tcW w:w="862" w:type="dxa"/>
            <w:noWrap/>
            <w:vAlign w:val="center"/>
            <w:hideMark/>
          </w:tcPr>
          <w:p w14:paraId="04CAECEA" w14:textId="268260A0" w:rsidR="00DD4D5C" w:rsidRPr="00780234" w:rsidRDefault="00DD4D5C" w:rsidP="002035E9">
            <w:pPr>
              <w:pStyle w:val="Footnote"/>
              <w:rPr>
                <w:b/>
              </w:rPr>
            </w:pPr>
            <w:r w:rsidRPr="00780234">
              <w:rPr>
                <w:b/>
              </w:rPr>
              <w:t>201</w:t>
            </w:r>
            <w:r w:rsidR="009E277F" w:rsidRPr="00780234">
              <w:rPr>
                <w:b/>
              </w:rPr>
              <w:t>0/1</w:t>
            </w:r>
            <w:r w:rsidRPr="00780234">
              <w:rPr>
                <w:b/>
              </w:rPr>
              <w:t>1</w:t>
            </w:r>
          </w:p>
        </w:tc>
      </w:tr>
      <w:tr w:rsidR="00DD4D5C" w:rsidRPr="00C07F6E" w14:paraId="22BD2378" w14:textId="77777777" w:rsidTr="00E44318">
        <w:trPr>
          <w:trHeight w:val="71"/>
          <w:jc w:val="center"/>
        </w:trPr>
        <w:tc>
          <w:tcPr>
            <w:tcW w:w="3895" w:type="dxa"/>
            <w:noWrap/>
            <w:vAlign w:val="center"/>
            <w:hideMark/>
          </w:tcPr>
          <w:p w14:paraId="3B6E57B8" w14:textId="77777777" w:rsidR="00DD4D5C" w:rsidRPr="00C07F6E" w:rsidRDefault="00DD4D5C" w:rsidP="002035E9">
            <w:pPr>
              <w:pStyle w:val="Footnote"/>
            </w:pPr>
            <w:r w:rsidRPr="00C07F6E">
              <w:t>Assets</w:t>
            </w:r>
          </w:p>
        </w:tc>
        <w:tc>
          <w:tcPr>
            <w:tcW w:w="948" w:type="dxa"/>
            <w:vAlign w:val="center"/>
          </w:tcPr>
          <w:p w14:paraId="1327F5B4" w14:textId="77777777" w:rsidR="00DD4D5C" w:rsidRPr="00C07F6E" w:rsidRDefault="00DD4D5C" w:rsidP="002035E9">
            <w:pPr>
              <w:pStyle w:val="Footnote"/>
            </w:pPr>
          </w:p>
        </w:tc>
        <w:tc>
          <w:tcPr>
            <w:tcW w:w="920" w:type="dxa"/>
            <w:noWrap/>
            <w:vAlign w:val="center"/>
            <w:hideMark/>
          </w:tcPr>
          <w:p w14:paraId="7F09B548" w14:textId="052108F7" w:rsidR="00DD4D5C" w:rsidRPr="00C07F6E" w:rsidRDefault="00714F4F" w:rsidP="002035E9">
            <w:pPr>
              <w:pStyle w:val="Footnote"/>
            </w:pPr>
            <w:r>
              <w:t xml:space="preserve"> </w:t>
            </w:r>
          </w:p>
        </w:tc>
        <w:tc>
          <w:tcPr>
            <w:tcW w:w="863" w:type="dxa"/>
            <w:noWrap/>
            <w:vAlign w:val="center"/>
            <w:hideMark/>
          </w:tcPr>
          <w:p w14:paraId="327C8285" w14:textId="5F619DEE" w:rsidR="00DD4D5C" w:rsidRPr="00C07F6E" w:rsidRDefault="00714F4F" w:rsidP="002035E9">
            <w:pPr>
              <w:pStyle w:val="Footnote"/>
            </w:pPr>
            <w:r>
              <w:t xml:space="preserve"> </w:t>
            </w:r>
          </w:p>
        </w:tc>
        <w:tc>
          <w:tcPr>
            <w:tcW w:w="862" w:type="dxa"/>
            <w:noWrap/>
            <w:vAlign w:val="center"/>
            <w:hideMark/>
          </w:tcPr>
          <w:p w14:paraId="6DA7E96D" w14:textId="3EF4A820" w:rsidR="00DD4D5C" w:rsidRPr="00C07F6E" w:rsidRDefault="00714F4F" w:rsidP="002035E9">
            <w:pPr>
              <w:pStyle w:val="Footnote"/>
            </w:pPr>
            <w:r>
              <w:t xml:space="preserve"> </w:t>
            </w:r>
          </w:p>
        </w:tc>
        <w:tc>
          <w:tcPr>
            <w:tcW w:w="863" w:type="dxa"/>
            <w:noWrap/>
            <w:vAlign w:val="center"/>
            <w:hideMark/>
          </w:tcPr>
          <w:p w14:paraId="5DB2F4E1" w14:textId="4AE2A658" w:rsidR="00DD4D5C" w:rsidRPr="00C07F6E" w:rsidRDefault="00714F4F" w:rsidP="002035E9">
            <w:pPr>
              <w:pStyle w:val="Footnote"/>
            </w:pPr>
            <w:r>
              <w:t xml:space="preserve"> </w:t>
            </w:r>
          </w:p>
        </w:tc>
        <w:tc>
          <w:tcPr>
            <w:tcW w:w="862" w:type="dxa"/>
            <w:noWrap/>
            <w:vAlign w:val="center"/>
            <w:hideMark/>
          </w:tcPr>
          <w:p w14:paraId="3569465D" w14:textId="74146C2F" w:rsidR="00DD4D5C" w:rsidRPr="00C07F6E" w:rsidRDefault="00714F4F" w:rsidP="002035E9">
            <w:pPr>
              <w:pStyle w:val="Footnote"/>
            </w:pPr>
            <w:r>
              <w:t xml:space="preserve"> </w:t>
            </w:r>
          </w:p>
        </w:tc>
      </w:tr>
      <w:tr w:rsidR="00DD4D5C" w:rsidRPr="00C07F6E" w14:paraId="7942B252" w14:textId="77777777" w:rsidTr="00E44318">
        <w:trPr>
          <w:trHeight w:val="53"/>
          <w:jc w:val="center"/>
        </w:trPr>
        <w:tc>
          <w:tcPr>
            <w:tcW w:w="3895" w:type="dxa"/>
            <w:noWrap/>
            <w:vAlign w:val="center"/>
            <w:hideMark/>
          </w:tcPr>
          <w:p w14:paraId="4D068996" w14:textId="37E2D3D0" w:rsidR="00DD4D5C" w:rsidRPr="00C07F6E" w:rsidRDefault="00DD4D5C" w:rsidP="00780234">
            <w:pPr>
              <w:pStyle w:val="Footnote"/>
              <w:ind w:left="144"/>
            </w:pPr>
            <w:r w:rsidRPr="00C07F6E">
              <w:t>Current assets</w:t>
            </w:r>
          </w:p>
        </w:tc>
        <w:tc>
          <w:tcPr>
            <w:tcW w:w="948" w:type="dxa"/>
            <w:vAlign w:val="center"/>
          </w:tcPr>
          <w:p w14:paraId="0ED914EA" w14:textId="77777777" w:rsidR="00DD4D5C" w:rsidRPr="00C07F6E" w:rsidRDefault="00DD4D5C" w:rsidP="002035E9">
            <w:pPr>
              <w:pStyle w:val="Footnote"/>
            </w:pPr>
          </w:p>
        </w:tc>
        <w:tc>
          <w:tcPr>
            <w:tcW w:w="920" w:type="dxa"/>
            <w:noWrap/>
            <w:vAlign w:val="center"/>
            <w:hideMark/>
          </w:tcPr>
          <w:p w14:paraId="39040B2F" w14:textId="13E4A18A" w:rsidR="00DD4D5C" w:rsidRPr="00C07F6E" w:rsidRDefault="00714F4F" w:rsidP="002035E9">
            <w:pPr>
              <w:pStyle w:val="Footnote"/>
            </w:pPr>
            <w:r>
              <w:t xml:space="preserve"> </w:t>
            </w:r>
          </w:p>
        </w:tc>
        <w:tc>
          <w:tcPr>
            <w:tcW w:w="863" w:type="dxa"/>
            <w:noWrap/>
            <w:vAlign w:val="center"/>
            <w:hideMark/>
          </w:tcPr>
          <w:p w14:paraId="6B2DCA10" w14:textId="4515EFD8" w:rsidR="00DD4D5C" w:rsidRPr="00C07F6E" w:rsidRDefault="00714F4F" w:rsidP="002035E9">
            <w:pPr>
              <w:pStyle w:val="Footnote"/>
            </w:pPr>
            <w:r>
              <w:t xml:space="preserve"> </w:t>
            </w:r>
          </w:p>
        </w:tc>
        <w:tc>
          <w:tcPr>
            <w:tcW w:w="862" w:type="dxa"/>
            <w:noWrap/>
            <w:vAlign w:val="center"/>
            <w:hideMark/>
          </w:tcPr>
          <w:p w14:paraId="56ADA64C" w14:textId="759EFA99" w:rsidR="00DD4D5C" w:rsidRPr="00C07F6E" w:rsidRDefault="00714F4F" w:rsidP="002035E9">
            <w:pPr>
              <w:pStyle w:val="Footnote"/>
            </w:pPr>
            <w:r>
              <w:t xml:space="preserve"> </w:t>
            </w:r>
          </w:p>
        </w:tc>
        <w:tc>
          <w:tcPr>
            <w:tcW w:w="863" w:type="dxa"/>
            <w:noWrap/>
            <w:vAlign w:val="center"/>
            <w:hideMark/>
          </w:tcPr>
          <w:p w14:paraId="5ED18D65" w14:textId="6F00A435" w:rsidR="00DD4D5C" w:rsidRPr="00C07F6E" w:rsidRDefault="00714F4F" w:rsidP="002035E9">
            <w:pPr>
              <w:pStyle w:val="Footnote"/>
            </w:pPr>
            <w:r>
              <w:t xml:space="preserve"> </w:t>
            </w:r>
          </w:p>
        </w:tc>
        <w:tc>
          <w:tcPr>
            <w:tcW w:w="862" w:type="dxa"/>
            <w:noWrap/>
            <w:vAlign w:val="center"/>
            <w:hideMark/>
          </w:tcPr>
          <w:p w14:paraId="282A4917" w14:textId="06A8835D" w:rsidR="00DD4D5C" w:rsidRPr="00C07F6E" w:rsidRDefault="00714F4F" w:rsidP="002035E9">
            <w:pPr>
              <w:pStyle w:val="Footnote"/>
            </w:pPr>
            <w:r>
              <w:t xml:space="preserve"> </w:t>
            </w:r>
          </w:p>
        </w:tc>
      </w:tr>
      <w:tr w:rsidR="00DD4D5C" w:rsidRPr="00C07F6E" w14:paraId="27DDDF37" w14:textId="77777777" w:rsidTr="00E44318">
        <w:trPr>
          <w:trHeight w:val="53"/>
          <w:jc w:val="center"/>
        </w:trPr>
        <w:tc>
          <w:tcPr>
            <w:tcW w:w="3895" w:type="dxa"/>
            <w:noWrap/>
            <w:vAlign w:val="center"/>
            <w:hideMark/>
          </w:tcPr>
          <w:p w14:paraId="0EBFF21F" w14:textId="09C42EE0" w:rsidR="00DD4D5C" w:rsidRPr="00C07F6E" w:rsidRDefault="00DD4D5C" w:rsidP="00780234">
            <w:pPr>
              <w:pStyle w:val="Footnote"/>
              <w:ind w:left="288"/>
            </w:pPr>
            <w:r w:rsidRPr="00C07F6E">
              <w:t>Cash</w:t>
            </w:r>
          </w:p>
        </w:tc>
        <w:tc>
          <w:tcPr>
            <w:tcW w:w="948" w:type="dxa"/>
            <w:vAlign w:val="center"/>
          </w:tcPr>
          <w:p w14:paraId="74B84C53" w14:textId="77777777" w:rsidR="00DD4D5C" w:rsidRPr="00C07F6E" w:rsidRDefault="00DD4D5C" w:rsidP="002035E9">
            <w:pPr>
              <w:pStyle w:val="Footnote"/>
              <w:jc w:val="right"/>
            </w:pPr>
          </w:p>
        </w:tc>
        <w:tc>
          <w:tcPr>
            <w:tcW w:w="920" w:type="dxa"/>
            <w:noWrap/>
            <w:vAlign w:val="center"/>
            <w:hideMark/>
          </w:tcPr>
          <w:p w14:paraId="5D550DC7" w14:textId="464701AB" w:rsidR="00DD4D5C" w:rsidRPr="00C07F6E" w:rsidRDefault="00714F4F" w:rsidP="002035E9">
            <w:pPr>
              <w:pStyle w:val="Footnote"/>
              <w:jc w:val="right"/>
            </w:pPr>
            <w:r>
              <w:t xml:space="preserve"> </w:t>
            </w:r>
          </w:p>
        </w:tc>
        <w:tc>
          <w:tcPr>
            <w:tcW w:w="863" w:type="dxa"/>
            <w:noWrap/>
            <w:vAlign w:val="center"/>
            <w:hideMark/>
          </w:tcPr>
          <w:p w14:paraId="22FE6E6D" w14:textId="2D17E31A" w:rsidR="00DD4D5C" w:rsidRPr="00C07F6E" w:rsidRDefault="00714F4F" w:rsidP="002035E9">
            <w:pPr>
              <w:pStyle w:val="Footnote"/>
              <w:jc w:val="right"/>
            </w:pPr>
            <w:r>
              <w:t xml:space="preserve"> </w:t>
            </w:r>
          </w:p>
        </w:tc>
        <w:tc>
          <w:tcPr>
            <w:tcW w:w="862" w:type="dxa"/>
            <w:noWrap/>
            <w:vAlign w:val="center"/>
            <w:hideMark/>
          </w:tcPr>
          <w:p w14:paraId="15DF0AFD" w14:textId="08701818" w:rsidR="00DD4D5C" w:rsidRPr="00C07F6E" w:rsidRDefault="00714F4F" w:rsidP="002035E9">
            <w:pPr>
              <w:pStyle w:val="Footnote"/>
              <w:jc w:val="right"/>
            </w:pPr>
            <w:r>
              <w:t xml:space="preserve"> </w:t>
            </w:r>
          </w:p>
        </w:tc>
        <w:tc>
          <w:tcPr>
            <w:tcW w:w="863" w:type="dxa"/>
            <w:noWrap/>
            <w:vAlign w:val="center"/>
            <w:hideMark/>
          </w:tcPr>
          <w:p w14:paraId="28B55903" w14:textId="4F58F44F" w:rsidR="00DD4D5C" w:rsidRPr="00C07F6E" w:rsidRDefault="00714F4F" w:rsidP="002035E9">
            <w:pPr>
              <w:pStyle w:val="Footnote"/>
              <w:jc w:val="right"/>
            </w:pPr>
            <w:r>
              <w:t xml:space="preserve"> </w:t>
            </w:r>
          </w:p>
        </w:tc>
        <w:tc>
          <w:tcPr>
            <w:tcW w:w="862" w:type="dxa"/>
            <w:noWrap/>
            <w:vAlign w:val="center"/>
            <w:hideMark/>
          </w:tcPr>
          <w:p w14:paraId="50249E68" w14:textId="22A15F41" w:rsidR="00DD4D5C" w:rsidRPr="00C07F6E" w:rsidRDefault="00714F4F" w:rsidP="002035E9">
            <w:pPr>
              <w:pStyle w:val="Footnote"/>
              <w:jc w:val="right"/>
            </w:pPr>
            <w:r>
              <w:t xml:space="preserve"> </w:t>
            </w:r>
          </w:p>
        </w:tc>
      </w:tr>
      <w:tr w:rsidR="00DD4D5C" w:rsidRPr="00C07F6E" w14:paraId="60890B69" w14:textId="77777777" w:rsidTr="00E44318">
        <w:trPr>
          <w:trHeight w:val="53"/>
          <w:jc w:val="center"/>
        </w:trPr>
        <w:tc>
          <w:tcPr>
            <w:tcW w:w="3895" w:type="dxa"/>
            <w:noWrap/>
            <w:vAlign w:val="center"/>
            <w:hideMark/>
          </w:tcPr>
          <w:p w14:paraId="05C8F5E2" w14:textId="0034F598" w:rsidR="00DD4D5C" w:rsidRPr="00C07F6E" w:rsidRDefault="003C1CDC" w:rsidP="003C1CDC">
            <w:pPr>
              <w:pStyle w:val="Footnote"/>
            </w:pPr>
            <w:r>
              <w:tab/>
            </w:r>
            <w:r w:rsidR="00DD4D5C" w:rsidRPr="00C07F6E">
              <w:t>Cash and cash equivalents</w:t>
            </w:r>
          </w:p>
        </w:tc>
        <w:tc>
          <w:tcPr>
            <w:tcW w:w="948" w:type="dxa"/>
            <w:vAlign w:val="center"/>
          </w:tcPr>
          <w:p w14:paraId="098D9BB9" w14:textId="4CBF7D90" w:rsidR="00DD4D5C" w:rsidRPr="00C07F6E" w:rsidRDefault="00DD4D5C" w:rsidP="002035E9">
            <w:pPr>
              <w:pStyle w:val="Footnote"/>
              <w:jc w:val="right"/>
            </w:pPr>
            <w:r w:rsidRPr="00C07F6E">
              <w:t xml:space="preserve">3,082 </w:t>
            </w:r>
          </w:p>
        </w:tc>
        <w:tc>
          <w:tcPr>
            <w:tcW w:w="920" w:type="dxa"/>
            <w:noWrap/>
            <w:vAlign w:val="center"/>
            <w:hideMark/>
          </w:tcPr>
          <w:p w14:paraId="189BB9AA" w14:textId="6940E4C9" w:rsidR="00DD4D5C" w:rsidRPr="00C07F6E" w:rsidRDefault="00DD4D5C" w:rsidP="002035E9">
            <w:pPr>
              <w:pStyle w:val="Footnote"/>
              <w:jc w:val="right"/>
            </w:pPr>
            <w:r w:rsidRPr="00C07F6E">
              <w:t xml:space="preserve">2,165 </w:t>
            </w:r>
          </w:p>
        </w:tc>
        <w:tc>
          <w:tcPr>
            <w:tcW w:w="863" w:type="dxa"/>
            <w:noWrap/>
            <w:vAlign w:val="center"/>
            <w:hideMark/>
          </w:tcPr>
          <w:p w14:paraId="292E5DBD" w14:textId="7995ED4D" w:rsidR="00DD4D5C" w:rsidRPr="00C07F6E" w:rsidRDefault="00DD4D5C" w:rsidP="002035E9">
            <w:pPr>
              <w:pStyle w:val="Footnote"/>
              <w:jc w:val="right"/>
            </w:pPr>
            <w:r w:rsidRPr="00C07F6E">
              <w:t xml:space="preserve">2,506 </w:t>
            </w:r>
          </w:p>
        </w:tc>
        <w:tc>
          <w:tcPr>
            <w:tcW w:w="862" w:type="dxa"/>
            <w:noWrap/>
            <w:vAlign w:val="center"/>
            <w:hideMark/>
          </w:tcPr>
          <w:p w14:paraId="72CEF13A" w14:textId="07BD8D99" w:rsidR="00DD4D5C" w:rsidRPr="00C07F6E" w:rsidRDefault="00DD4D5C" w:rsidP="002035E9">
            <w:pPr>
              <w:pStyle w:val="Footnote"/>
              <w:jc w:val="right"/>
            </w:pPr>
            <w:r w:rsidRPr="00C07F6E">
              <w:t xml:space="preserve">2,512 </w:t>
            </w:r>
          </w:p>
        </w:tc>
        <w:tc>
          <w:tcPr>
            <w:tcW w:w="863" w:type="dxa"/>
            <w:noWrap/>
            <w:vAlign w:val="center"/>
            <w:hideMark/>
          </w:tcPr>
          <w:p w14:paraId="0809288C" w14:textId="0DEDEC58" w:rsidR="00DD4D5C" w:rsidRPr="00C07F6E" w:rsidRDefault="00DD4D5C" w:rsidP="002035E9">
            <w:pPr>
              <w:pStyle w:val="Footnote"/>
              <w:jc w:val="right"/>
            </w:pPr>
            <w:r w:rsidRPr="00C07F6E">
              <w:t xml:space="preserve">2,305 </w:t>
            </w:r>
          </w:p>
        </w:tc>
        <w:tc>
          <w:tcPr>
            <w:tcW w:w="862" w:type="dxa"/>
            <w:noWrap/>
            <w:vAlign w:val="center"/>
            <w:hideMark/>
          </w:tcPr>
          <w:p w14:paraId="62653AAE" w14:textId="7B90A390" w:rsidR="00DD4D5C" w:rsidRPr="00C07F6E" w:rsidRDefault="00DD4D5C" w:rsidP="002035E9">
            <w:pPr>
              <w:pStyle w:val="Footnote"/>
              <w:jc w:val="right"/>
            </w:pPr>
            <w:r w:rsidRPr="00C07F6E">
              <w:t xml:space="preserve">2,428 </w:t>
            </w:r>
          </w:p>
        </w:tc>
      </w:tr>
      <w:tr w:rsidR="00DD4D5C" w:rsidRPr="00C07F6E" w14:paraId="1C11AA23" w14:textId="77777777" w:rsidTr="00E44318">
        <w:trPr>
          <w:trHeight w:val="98"/>
          <w:jc w:val="center"/>
        </w:trPr>
        <w:tc>
          <w:tcPr>
            <w:tcW w:w="3895" w:type="dxa"/>
            <w:noWrap/>
            <w:vAlign w:val="center"/>
            <w:hideMark/>
          </w:tcPr>
          <w:p w14:paraId="0487B20F" w14:textId="57B7FEC2" w:rsidR="00DD4D5C" w:rsidRPr="00C07F6E" w:rsidRDefault="003C1CDC" w:rsidP="002035E9">
            <w:pPr>
              <w:pStyle w:val="Footnote"/>
            </w:pPr>
            <w:r>
              <w:tab/>
            </w:r>
            <w:r w:rsidR="00DD4D5C" w:rsidRPr="00C07F6E">
              <w:t>Short-term investments</w:t>
            </w:r>
          </w:p>
        </w:tc>
        <w:tc>
          <w:tcPr>
            <w:tcW w:w="948" w:type="dxa"/>
            <w:vAlign w:val="center"/>
          </w:tcPr>
          <w:p w14:paraId="64C6A70A" w14:textId="76DFC2F8" w:rsidR="00DD4D5C" w:rsidRPr="00C07F6E" w:rsidRDefault="00DD4D5C" w:rsidP="002035E9">
            <w:pPr>
              <w:pStyle w:val="Footnote"/>
              <w:jc w:val="right"/>
            </w:pPr>
            <w:r w:rsidRPr="00C07F6E">
              <w:t xml:space="preserve">3,639 </w:t>
            </w:r>
          </w:p>
        </w:tc>
        <w:tc>
          <w:tcPr>
            <w:tcW w:w="920" w:type="dxa"/>
            <w:noWrap/>
            <w:vAlign w:val="center"/>
            <w:hideMark/>
          </w:tcPr>
          <w:p w14:paraId="34031050" w14:textId="0147A772" w:rsidR="00DD4D5C" w:rsidRPr="00C07F6E" w:rsidRDefault="00DD4D5C" w:rsidP="002035E9">
            <w:pPr>
              <w:pStyle w:val="Footnote"/>
              <w:jc w:val="right"/>
            </w:pPr>
            <w:r w:rsidRPr="00C07F6E">
              <w:t xml:space="preserve">746 </w:t>
            </w:r>
          </w:p>
        </w:tc>
        <w:tc>
          <w:tcPr>
            <w:tcW w:w="863" w:type="dxa"/>
            <w:noWrap/>
            <w:vAlign w:val="center"/>
            <w:hideMark/>
          </w:tcPr>
          <w:p w14:paraId="74959331" w14:textId="34EF83ED" w:rsidR="00DD4D5C" w:rsidRPr="00C07F6E" w:rsidRDefault="00DD4D5C" w:rsidP="002035E9">
            <w:pPr>
              <w:pStyle w:val="Footnote"/>
              <w:jc w:val="right"/>
            </w:pPr>
            <w:r w:rsidRPr="00C07F6E">
              <w:t xml:space="preserve">1,096 </w:t>
            </w:r>
          </w:p>
        </w:tc>
        <w:tc>
          <w:tcPr>
            <w:tcW w:w="862" w:type="dxa"/>
            <w:noWrap/>
            <w:vAlign w:val="center"/>
            <w:hideMark/>
          </w:tcPr>
          <w:p w14:paraId="293CBF9B" w14:textId="63A4E7D3" w:rsidR="00DD4D5C" w:rsidRPr="00C07F6E" w:rsidRDefault="00DD4D5C" w:rsidP="002035E9">
            <w:pPr>
              <w:pStyle w:val="Footnote"/>
              <w:jc w:val="right"/>
            </w:pPr>
            <w:r w:rsidRPr="00C07F6E">
              <w:t xml:space="preserve">580 </w:t>
            </w:r>
          </w:p>
        </w:tc>
        <w:tc>
          <w:tcPr>
            <w:tcW w:w="863" w:type="dxa"/>
            <w:noWrap/>
            <w:vAlign w:val="center"/>
            <w:hideMark/>
          </w:tcPr>
          <w:p w14:paraId="1A8F5A14" w14:textId="485E6EFE" w:rsidR="00DD4D5C" w:rsidRPr="00C07F6E" w:rsidRDefault="00DD4D5C" w:rsidP="002035E9">
            <w:pPr>
              <w:pStyle w:val="Footnote"/>
              <w:jc w:val="right"/>
            </w:pPr>
            <w:r w:rsidRPr="00C07F6E">
              <w:t xml:space="preserve">1,284 </w:t>
            </w:r>
          </w:p>
        </w:tc>
        <w:tc>
          <w:tcPr>
            <w:tcW w:w="862" w:type="dxa"/>
            <w:noWrap/>
            <w:vAlign w:val="center"/>
            <w:hideMark/>
          </w:tcPr>
          <w:p w14:paraId="087F70A9" w14:textId="69D4E6A1" w:rsidR="00DD4D5C" w:rsidRPr="00C07F6E" w:rsidRDefault="00DD4D5C" w:rsidP="002035E9">
            <w:pPr>
              <w:pStyle w:val="Footnote"/>
              <w:jc w:val="right"/>
            </w:pPr>
            <w:r w:rsidRPr="00C07F6E">
              <w:t xml:space="preserve">1,170 </w:t>
            </w:r>
          </w:p>
        </w:tc>
      </w:tr>
      <w:tr w:rsidR="00DD4D5C" w:rsidRPr="00C07F6E" w14:paraId="24FE01D7" w14:textId="77777777" w:rsidTr="00E44318">
        <w:trPr>
          <w:trHeight w:val="53"/>
          <w:jc w:val="center"/>
        </w:trPr>
        <w:tc>
          <w:tcPr>
            <w:tcW w:w="3895" w:type="dxa"/>
            <w:noWrap/>
            <w:vAlign w:val="center"/>
            <w:hideMark/>
          </w:tcPr>
          <w:p w14:paraId="6CB8B0AB" w14:textId="0A2BF181" w:rsidR="00DD4D5C" w:rsidRPr="00C07F6E" w:rsidRDefault="003C1CDC" w:rsidP="002035E9">
            <w:pPr>
              <w:pStyle w:val="Footnote"/>
            </w:pPr>
            <w:r>
              <w:tab/>
            </w:r>
            <w:r w:rsidR="00DD4D5C" w:rsidRPr="00C07F6E">
              <w:t>Total cash</w:t>
            </w:r>
          </w:p>
        </w:tc>
        <w:tc>
          <w:tcPr>
            <w:tcW w:w="948" w:type="dxa"/>
            <w:vAlign w:val="center"/>
          </w:tcPr>
          <w:p w14:paraId="045E738E" w14:textId="27A09EF5" w:rsidR="00DD4D5C" w:rsidRPr="00C07F6E" w:rsidRDefault="00DD4D5C" w:rsidP="002035E9">
            <w:pPr>
              <w:pStyle w:val="Footnote"/>
              <w:jc w:val="right"/>
            </w:pPr>
            <w:r w:rsidRPr="00C07F6E">
              <w:t xml:space="preserve">6,721 </w:t>
            </w:r>
          </w:p>
        </w:tc>
        <w:tc>
          <w:tcPr>
            <w:tcW w:w="920" w:type="dxa"/>
            <w:noWrap/>
            <w:vAlign w:val="center"/>
            <w:hideMark/>
          </w:tcPr>
          <w:p w14:paraId="3683C390" w14:textId="57FEE921" w:rsidR="00DD4D5C" w:rsidRPr="00C07F6E" w:rsidRDefault="00DD4D5C" w:rsidP="002035E9">
            <w:pPr>
              <w:pStyle w:val="Footnote"/>
              <w:jc w:val="right"/>
            </w:pPr>
            <w:r w:rsidRPr="00C07F6E">
              <w:t xml:space="preserve">2,911 </w:t>
            </w:r>
          </w:p>
        </w:tc>
        <w:tc>
          <w:tcPr>
            <w:tcW w:w="863" w:type="dxa"/>
            <w:noWrap/>
            <w:vAlign w:val="center"/>
            <w:hideMark/>
          </w:tcPr>
          <w:p w14:paraId="77F22EE5" w14:textId="694285CE" w:rsidR="00DD4D5C" w:rsidRPr="00C07F6E" w:rsidRDefault="00DD4D5C" w:rsidP="002035E9">
            <w:pPr>
              <w:pStyle w:val="Footnote"/>
              <w:jc w:val="right"/>
            </w:pPr>
            <w:r w:rsidRPr="00C07F6E">
              <w:t xml:space="preserve">3,602 </w:t>
            </w:r>
          </w:p>
        </w:tc>
        <w:tc>
          <w:tcPr>
            <w:tcW w:w="862" w:type="dxa"/>
            <w:noWrap/>
            <w:vAlign w:val="center"/>
            <w:hideMark/>
          </w:tcPr>
          <w:p w14:paraId="20FE0140" w14:textId="3814227A" w:rsidR="00DD4D5C" w:rsidRPr="00C07F6E" w:rsidRDefault="00DD4D5C" w:rsidP="002035E9">
            <w:pPr>
              <w:pStyle w:val="Footnote"/>
              <w:jc w:val="right"/>
            </w:pPr>
            <w:r w:rsidRPr="00C07F6E">
              <w:t xml:space="preserve">3,092 </w:t>
            </w:r>
          </w:p>
        </w:tc>
        <w:tc>
          <w:tcPr>
            <w:tcW w:w="863" w:type="dxa"/>
            <w:noWrap/>
            <w:vAlign w:val="center"/>
            <w:hideMark/>
          </w:tcPr>
          <w:p w14:paraId="4B82CA0B" w14:textId="777B78B6" w:rsidR="00DD4D5C" w:rsidRPr="00C07F6E" w:rsidRDefault="00DD4D5C" w:rsidP="002035E9">
            <w:pPr>
              <w:pStyle w:val="Footnote"/>
              <w:jc w:val="right"/>
            </w:pPr>
            <w:r w:rsidRPr="00C07F6E">
              <w:t xml:space="preserve">3,589 </w:t>
            </w:r>
          </w:p>
        </w:tc>
        <w:tc>
          <w:tcPr>
            <w:tcW w:w="862" w:type="dxa"/>
            <w:noWrap/>
            <w:vAlign w:val="center"/>
            <w:hideMark/>
          </w:tcPr>
          <w:p w14:paraId="738DE102" w14:textId="56D2C884" w:rsidR="00DD4D5C" w:rsidRPr="00C07F6E" w:rsidRDefault="00DD4D5C" w:rsidP="002035E9">
            <w:pPr>
              <w:pStyle w:val="Footnote"/>
              <w:jc w:val="right"/>
            </w:pPr>
            <w:r w:rsidRPr="00C07F6E">
              <w:t xml:space="preserve">3,598 </w:t>
            </w:r>
          </w:p>
        </w:tc>
      </w:tr>
      <w:tr w:rsidR="00DD4D5C" w:rsidRPr="00C07F6E" w14:paraId="5A6D653B" w14:textId="77777777" w:rsidTr="00E44318">
        <w:trPr>
          <w:trHeight w:val="53"/>
          <w:jc w:val="center"/>
        </w:trPr>
        <w:tc>
          <w:tcPr>
            <w:tcW w:w="3895" w:type="dxa"/>
            <w:noWrap/>
            <w:vAlign w:val="center"/>
            <w:hideMark/>
          </w:tcPr>
          <w:p w14:paraId="3F994F2D" w14:textId="52DC920B" w:rsidR="00DD4D5C" w:rsidRPr="00C07F6E" w:rsidRDefault="00DD4D5C" w:rsidP="00780234">
            <w:pPr>
              <w:pStyle w:val="Footnote"/>
              <w:ind w:left="288"/>
            </w:pPr>
            <w:r w:rsidRPr="00C07F6E">
              <w:t>Inventories</w:t>
            </w:r>
          </w:p>
        </w:tc>
        <w:tc>
          <w:tcPr>
            <w:tcW w:w="948" w:type="dxa"/>
            <w:vAlign w:val="center"/>
          </w:tcPr>
          <w:p w14:paraId="777F426B" w14:textId="6F634718" w:rsidR="00DD4D5C" w:rsidRPr="00C07F6E" w:rsidRDefault="00DD4D5C" w:rsidP="002035E9">
            <w:pPr>
              <w:pStyle w:val="Footnote"/>
              <w:jc w:val="right"/>
            </w:pPr>
            <w:r w:rsidRPr="00C07F6E">
              <w:t xml:space="preserve">2,430 </w:t>
            </w:r>
          </w:p>
        </w:tc>
        <w:tc>
          <w:tcPr>
            <w:tcW w:w="920" w:type="dxa"/>
            <w:noWrap/>
            <w:vAlign w:val="center"/>
            <w:hideMark/>
          </w:tcPr>
          <w:p w14:paraId="6823F13D" w14:textId="4EAB4713" w:rsidR="00DD4D5C" w:rsidRPr="00C07F6E" w:rsidRDefault="00DD4D5C" w:rsidP="002035E9">
            <w:pPr>
              <w:pStyle w:val="Footnote"/>
              <w:jc w:val="right"/>
            </w:pPr>
            <w:r w:rsidRPr="00C07F6E">
              <w:t xml:space="preserve">2,957 </w:t>
            </w:r>
          </w:p>
        </w:tc>
        <w:tc>
          <w:tcPr>
            <w:tcW w:w="863" w:type="dxa"/>
            <w:noWrap/>
            <w:vAlign w:val="center"/>
            <w:hideMark/>
          </w:tcPr>
          <w:p w14:paraId="45EAA06E" w14:textId="1BD27859" w:rsidR="00DD4D5C" w:rsidRPr="00C07F6E" w:rsidRDefault="00DD4D5C" w:rsidP="002035E9">
            <w:pPr>
              <w:pStyle w:val="Footnote"/>
              <w:jc w:val="right"/>
            </w:pPr>
            <w:r w:rsidRPr="00C07F6E">
              <w:t xml:space="preserve">3,576 </w:t>
            </w:r>
          </w:p>
        </w:tc>
        <w:tc>
          <w:tcPr>
            <w:tcW w:w="862" w:type="dxa"/>
            <w:noWrap/>
            <w:vAlign w:val="center"/>
            <w:hideMark/>
          </w:tcPr>
          <w:p w14:paraId="55196BAF" w14:textId="745FBD01" w:rsidR="00DD4D5C" w:rsidRPr="00C07F6E" w:rsidRDefault="00DD4D5C" w:rsidP="002035E9">
            <w:pPr>
              <w:pStyle w:val="Footnote"/>
              <w:jc w:val="right"/>
            </w:pPr>
            <w:r w:rsidRPr="00C07F6E">
              <w:t xml:space="preserve">3,744 </w:t>
            </w:r>
          </w:p>
        </w:tc>
        <w:tc>
          <w:tcPr>
            <w:tcW w:w="863" w:type="dxa"/>
            <w:noWrap/>
            <w:vAlign w:val="center"/>
            <w:hideMark/>
          </w:tcPr>
          <w:p w14:paraId="4B44FC9A" w14:textId="17E2C4EE" w:rsidR="00DD4D5C" w:rsidRPr="00C07F6E" w:rsidRDefault="00DD4D5C" w:rsidP="002035E9">
            <w:pPr>
              <w:pStyle w:val="Footnote"/>
              <w:jc w:val="right"/>
            </w:pPr>
            <w:r w:rsidRPr="00C07F6E">
              <w:t xml:space="preserve">3,598 </w:t>
            </w:r>
          </w:p>
        </w:tc>
        <w:tc>
          <w:tcPr>
            <w:tcW w:w="862" w:type="dxa"/>
            <w:noWrap/>
            <w:vAlign w:val="center"/>
            <w:hideMark/>
          </w:tcPr>
          <w:p w14:paraId="309B8C98" w14:textId="71A991C9" w:rsidR="00DD4D5C" w:rsidRPr="00C07F6E" w:rsidRDefault="00DD4D5C" w:rsidP="002035E9">
            <w:pPr>
              <w:pStyle w:val="Footnote"/>
              <w:jc w:val="right"/>
            </w:pPr>
            <w:r w:rsidRPr="00C07F6E">
              <w:t xml:space="preserve">3,162 </w:t>
            </w:r>
          </w:p>
        </w:tc>
      </w:tr>
      <w:tr w:rsidR="00DD4D5C" w:rsidRPr="00C07F6E" w14:paraId="363C9F4D" w14:textId="77777777" w:rsidTr="00E44318">
        <w:trPr>
          <w:trHeight w:val="43"/>
          <w:jc w:val="center"/>
        </w:trPr>
        <w:tc>
          <w:tcPr>
            <w:tcW w:w="3895" w:type="dxa"/>
            <w:noWrap/>
            <w:vAlign w:val="center"/>
            <w:hideMark/>
          </w:tcPr>
          <w:p w14:paraId="31D1633F" w14:textId="72DB81F7" w:rsidR="00DD4D5C" w:rsidRPr="00C07F6E" w:rsidRDefault="00DD4D5C" w:rsidP="00780234">
            <w:pPr>
              <w:pStyle w:val="Footnote"/>
              <w:ind w:left="288"/>
            </w:pPr>
            <w:r w:rsidRPr="00C07F6E">
              <w:t>Receivables</w:t>
            </w:r>
          </w:p>
        </w:tc>
        <w:tc>
          <w:tcPr>
            <w:tcW w:w="948" w:type="dxa"/>
            <w:vAlign w:val="center"/>
          </w:tcPr>
          <w:p w14:paraId="48D9476C" w14:textId="77777777" w:rsidR="00DD4D5C" w:rsidRPr="00C07F6E" w:rsidRDefault="00DD4D5C" w:rsidP="002035E9">
            <w:pPr>
              <w:pStyle w:val="Footnote"/>
              <w:jc w:val="right"/>
            </w:pPr>
          </w:p>
        </w:tc>
        <w:tc>
          <w:tcPr>
            <w:tcW w:w="920" w:type="dxa"/>
            <w:noWrap/>
            <w:vAlign w:val="center"/>
            <w:hideMark/>
          </w:tcPr>
          <w:p w14:paraId="5295C46A" w14:textId="114AB61F" w:rsidR="00DD4D5C" w:rsidRPr="00C07F6E" w:rsidRDefault="00DD4D5C" w:rsidP="002035E9">
            <w:pPr>
              <w:pStyle w:val="Footnote"/>
              <w:jc w:val="right"/>
            </w:pPr>
            <w:r w:rsidRPr="00C07F6E">
              <w:t xml:space="preserve">2,121 </w:t>
            </w:r>
          </w:p>
        </w:tc>
        <w:tc>
          <w:tcPr>
            <w:tcW w:w="863" w:type="dxa"/>
            <w:noWrap/>
            <w:vAlign w:val="center"/>
            <w:hideMark/>
          </w:tcPr>
          <w:p w14:paraId="569CE99A" w14:textId="7A397E87" w:rsidR="00DD4D5C" w:rsidRPr="00C07F6E" w:rsidRDefault="00DD4D5C" w:rsidP="002035E9">
            <w:pPr>
              <w:pStyle w:val="Footnote"/>
              <w:jc w:val="right"/>
            </w:pPr>
            <w:r w:rsidRPr="00C07F6E">
              <w:t xml:space="preserve">2,190 </w:t>
            </w:r>
          </w:p>
        </w:tc>
        <w:tc>
          <w:tcPr>
            <w:tcW w:w="862" w:type="dxa"/>
            <w:noWrap/>
            <w:vAlign w:val="center"/>
            <w:hideMark/>
          </w:tcPr>
          <w:p w14:paraId="5CBAA3A4" w14:textId="0AB7F4E3" w:rsidR="00DD4D5C" w:rsidRPr="00C07F6E" w:rsidRDefault="00DD4D5C" w:rsidP="002035E9">
            <w:pPr>
              <w:pStyle w:val="Footnote"/>
              <w:jc w:val="right"/>
            </w:pPr>
            <w:r w:rsidRPr="00C07F6E">
              <w:t xml:space="preserve">2,525 </w:t>
            </w:r>
          </w:p>
        </w:tc>
        <w:tc>
          <w:tcPr>
            <w:tcW w:w="863" w:type="dxa"/>
            <w:noWrap/>
            <w:vAlign w:val="center"/>
            <w:hideMark/>
          </w:tcPr>
          <w:p w14:paraId="7F24BD97" w14:textId="4E3A550C" w:rsidR="00DD4D5C" w:rsidRPr="00C07F6E" w:rsidRDefault="00DD4D5C" w:rsidP="002035E9">
            <w:pPr>
              <w:pStyle w:val="Footnote"/>
              <w:jc w:val="right"/>
            </w:pPr>
            <w:r w:rsidRPr="00C07F6E">
              <w:t xml:space="preserve">2,657 </w:t>
            </w:r>
          </w:p>
        </w:tc>
        <w:tc>
          <w:tcPr>
            <w:tcW w:w="862" w:type="dxa"/>
            <w:noWrap/>
            <w:vAlign w:val="center"/>
            <w:hideMark/>
          </w:tcPr>
          <w:p w14:paraId="3F8A4317" w14:textId="2EDD8A1F" w:rsidR="00DD4D5C" w:rsidRPr="00C07F6E" w:rsidRDefault="00DD4D5C" w:rsidP="002035E9">
            <w:pPr>
              <w:pStyle w:val="Footnote"/>
              <w:jc w:val="right"/>
            </w:pPr>
            <w:r w:rsidRPr="00C07F6E">
              <w:t xml:space="preserve">2,330 </w:t>
            </w:r>
          </w:p>
        </w:tc>
      </w:tr>
      <w:tr w:rsidR="00DD4D5C" w:rsidRPr="00C07F6E" w14:paraId="0EAF3997" w14:textId="77777777" w:rsidTr="00E44318">
        <w:trPr>
          <w:trHeight w:val="53"/>
          <w:jc w:val="center"/>
        </w:trPr>
        <w:tc>
          <w:tcPr>
            <w:tcW w:w="3895" w:type="dxa"/>
            <w:noWrap/>
            <w:vAlign w:val="center"/>
            <w:hideMark/>
          </w:tcPr>
          <w:p w14:paraId="4EB80D8F" w14:textId="6A15D5FE" w:rsidR="00DD4D5C" w:rsidRPr="00C07F6E" w:rsidRDefault="00DD4D5C" w:rsidP="00780234">
            <w:pPr>
              <w:pStyle w:val="Footnote"/>
              <w:ind w:left="288"/>
            </w:pPr>
            <w:r w:rsidRPr="00C07F6E">
              <w:t>Prepaid expenses</w:t>
            </w:r>
          </w:p>
        </w:tc>
        <w:tc>
          <w:tcPr>
            <w:tcW w:w="948" w:type="dxa"/>
            <w:vAlign w:val="center"/>
          </w:tcPr>
          <w:p w14:paraId="05ED16D2" w14:textId="04089C29" w:rsidR="00DD4D5C" w:rsidRPr="00C07F6E" w:rsidRDefault="00DD4D5C" w:rsidP="002035E9">
            <w:pPr>
              <w:pStyle w:val="Footnote"/>
              <w:jc w:val="right"/>
            </w:pPr>
            <w:r w:rsidRPr="00C07F6E">
              <w:t xml:space="preserve">440 </w:t>
            </w:r>
          </w:p>
        </w:tc>
        <w:tc>
          <w:tcPr>
            <w:tcW w:w="920" w:type="dxa"/>
            <w:noWrap/>
            <w:vAlign w:val="center"/>
            <w:hideMark/>
          </w:tcPr>
          <w:p w14:paraId="73913108" w14:textId="595B7CA7" w:rsidR="00DD4D5C" w:rsidRPr="00C07F6E" w:rsidRDefault="00DD4D5C" w:rsidP="002035E9">
            <w:pPr>
              <w:pStyle w:val="Footnote"/>
              <w:jc w:val="right"/>
            </w:pPr>
            <w:r w:rsidRPr="00C07F6E">
              <w:t xml:space="preserve">516 </w:t>
            </w:r>
          </w:p>
        </w:tc>
        <w:tc>
          <w:tcPr>
            <w:tcW w:w="863" w:type="dxa"/>
            <w:noWrap/>
            <w:vAlign w:val="center"/>
            <w:hideMark/>
          </w:tcPr>
          <w:p w14:paraId="2412E955" w14:textId="25C9EF82" w:rsidR="00DD4D5C" w:rsidRPr="00C07F6E" w:rsidRDefault="00DD4D5C" w:rsidP="002035E9">
            <w:pPr>
              <w:pStyle w:val="Footnote"/>
              <w:jc w:val="right"/>
            </w:pPr>
            <w:r w:rsidRPr="00C07F6E">
              <w:t xml:space="preserve">388 </w:t>
            </w:r>
          </w:p>
        </w:tc>
        <w:tc>
          <w:tcPr>
            <w:tcW w:w="862" w:type="dxa"/>
            <w:noWrap/>
            <w:vAlign w:val="center"/>
            <w:hideMark/>
          </w:tcPr>
          <w:p w14:paraId="048E2B3D" w14:textId="4EF603BA" w:rsidR="00DD4D5C" w:rsidRPr="00C07F6E" w:rsidRDefault="00DD4D5C" w:rsidP="002035E9">
            <w:pPr>
              <w:pStyle w:val="Footnote"/>
              <w:jc w:val="right"/>
            </w:pPr>
            <w:r w:rsidRPr="00C07F6E">
              <w:t xml:space="preserve">417 </w:t>
            </w:r>
          </w:p>
        </w:tc>
        <w:tc>
          <w:tcPr>
            <w:tcW w:w="863" w:type="dxa"/>
            <w:noWrap/>
            <w:vAlign w:val="center"/>
            <w:hideMark/>
          </w:tcPr>
          <w:p w14:paraId="5D1D6FF7" w14:textId="4EF9C492" w:rsidR="00DD4D5C" w:rsidRPr="00C07F6E" w:rsidRDefault="00DD4D5C" w:rsidP="002035E9">
            <w:pPr>
              <w:pStyle w:val="Footnote"/>
              <w:jc w:val="right"/>
            </w:pPr>
            <w:r w:rsidRPr="00C07F6E">
              <w:t xml:space="preserve">420 </w:t>
            </w:r>
          </w:p>
        </w:tc>
        <w:tc>
          <w:tcPr>
            <w:tcW w:w="862" w:type="dxa"/>
            <w:noWrap/>
            <w:vAlign w:val="center"/>
            <w:hideMark/>
          </w:tcPr>
          <w:p w14:paraId="4D5D4865" w14:textId="5EF6F240" w:rsidR="00DD4D5C" w:rsidRPr="00C07F6E" w:rsidRDefault="00DD4D5C" w:rsidP="002035E9">
            <w:pPr>
              <w:pStyle w:val="Footnote"/>
              <w:jc w:val="right"/>
            </w:pPr>
            <w:r w:rsidRPr="00C07F6E">
              <w:t xml:space="preserve">387 </w:t>
            </w:r>
          </w:p>
        </w:tc>
      </w:tr>
      <w:tr w:rsidR="00DD4D5C" w:rsidRPr="00C07F6E" w14:paraId="5956AAD9" w14:textId="77777777" w:rsidTr="00E44318">
        <w:trPr>
          <w:trHeight w:val="43"/>
          <w:jc w:val="center"/>
        </w:trPr>
        <w:tc>
          <w:tcPr>
            <w:tcW w:w="3895" w:type="dxa"/>
            <w:noWrap/>
            <w:vAlign w:val="center"/>
            <w:hideMark/>
          </w:tcPr>
          <w:p w14:paraId="734102BC" w14:textId="62BF5573" w:rsidR="00DD4D5C" w:rsidRPr="00C07F6E" w:rsidRDefault="00DD4D5C" w:rsidP="00780234">
            <w:pPr>
              <w:pStyle w:val="Footnote"/>
              <w:ind w:left="288"/>
            </w:pPr>
            <w:r w:rsidRPr="00C07F6E">
              <w:t>Other current assets</w:t>
            </w:r>
          </w:p>
        </w:tc>
        <w:tc>
          <w:tcPr>
            <w:tcW w:w="948" w:type="dxa"/>
            <w:vAlign w:val="center"/>
          </w:tcPr>
          <w:p w14:paraId="2012DEEF" w14:textId="42B85997" w:rsidR="00DD4D5C" w:rsidRPr="00C07F6E" w:rsidRDefault="00DD4D5C" w:rsidP="002035E9">
            <w:pPr>
              <w:pStyle w:val="Footnote"/>
              <w:jc w:val="right"/>
            </w:pPr>
            <w:r w:rsidRPr="00C07F6E">
              <w:t xml:space="preserve">5,237 </w:t>
            </w:r>
          </w:p>
        </w:tc>
        <w:tc>
          <w:tcPr>
            <w:tcW w:w="920" w:type="dxa"/>
            <w:noWrap/>
            <w:vAlign w:val="center"/>
            <w:hideMark/>
          </w:tcPr>
          <w:p w14:paraId="0EFF3B63" w14:textId="3551D59D" w:rsidR="00DD4D5C" w:rsidRPr="00C07F6E" w:rsidRDefault="00DD4D5C" w:rsidP="002035E9">
            <w:pPr>
              <w:pStyle w:val="Footnote"/>
              <w:jc w:val="right"/>
            </w:pPr>
            <w:r w:rsidRPr="00C07F6E">
              <w:t xml:space="preserve">3,453 </w:t>
            </w:r>
          </w:p>
        </w:tc>
        <w:tc>
          <w:tcPr>
            <w:tcW w:w="863" w:type="dxa"/>
            <w:noWrap/>
            <w:vAlign w:val="center"/>
            <w:hideMark/>
          </w:tcPr>
          <w:p w14:paraId="70960028" w14:textId="1F7CC71F" w:rsidR="00DD4D5C" w:rsidRPr="00C07F6E" w:rsidRDefault="00DD4D5C" w:rsidP="002035E9">
            <w:pPr>
              <w:pStyle w:val="Footnote"/>
              <w:jc w:val="right"/>
            </w:pPr>
            <w:r w:rsidRPr="00C07F6E">
              <w:t xml:space="preserve">5,816 </w:t>
            </w:r>
          </w:p>
        </w:tc>
        <w:tc>
          <w:tcPr>
            <w:tcW w:w="862" w:type="dxa"/>
            <w:noWrap/>
            <w:vAlign w:val="center"/>
            <w:hideMark/>
          </w:tcPr>
          <w:p w14:paraId="4590EB67" w14:textId="10EFB6FF" w:rsidR="00DD4D5C" w:rsidRPr="00C07F6E" w:rsidRDefault="00DD4D5C" w:rsidP="002035E9">
            <w:pPr>
              <w:pStyle w:val="Footnote"/>
              <w:jc w:val="right"/>
            </w:pPr>
            <w:r w:rsidRPr="00C07F6E">
              <w:t xml:space="preserve">3,318 </w:t>
            </w:r>
          </w:p>
        </w:tc>
        <w:tc>
          <w:tcPr>
            <w:tcW w:w="863" w:type="dxa"/>
            <w:noWrap/>
            <w:vAlign w:val="center"/>
            <w:hideMark/>
          </w:tcPr>
          <w:p w14:paraId="63A3A568" w14:textId="574C1A18" w:rsidR="00DD4D5C" w:rsidRPr="00C07F6E" w:rsidRDefault="00DD4D5C" w:rsidP="002035E9">
            <w:pPr>
              <w:pStyle w:val="Footnote"/>
              <w:jc w:val="right"/>
            </w:pPr>
            <w:r w:rsidRPr="00C07F6E">
              <w:t xml:space="preserve">2,599 </w:t>
            </w:r>
          </w:p>
        </w:tc>
        <w:tc>
          <w:tcPr>
            <w:tcW w:w="862" w:type="dxa"/>
            <w:noWrap/>
            <w:vAlign w:val="center"/>
            <w:hideMark/>
          </w:tcPr>
          <w:p w14:paraId="180D8291" w14:textId="1D91F32C" w:rsidR="00DD4D5C" w:rsidRPr="00C07F6E" w:rsidRDefault="00DD4D5C" w:rsidP="002035E9">
            <w:pPr>
              <w:pStyle w:val="Footnote"/>
              <w:jc w:val="right"/>
            </w:pPr>
            <w:r w:rsidRPr="00C07F6E">
              <w:t xml:space="preserve">2,562 </w:t>
            </w:r>
          </w:p>
        </w:tc>
      </w:tr>
      <w:tr w:rsidR="00DD4D5C" w:rsidRPr="00DA1C95" w14:paraId="1F710095" w14:textId="77777777" w:rsidTr="00E44318">
        <w:trPr>
          <w:trHeight w:val="53"/>
          <w:jc w:val="center"/>
        </w:trPr>
        <w:tc>
          <w:tcPr>
            <w:tcW w:w="3895" w:type="dxa"/>
            <w:noWrap/>
            <w:vAlign w:val="center"/>
            <w:hideMark/>
          </w:tcPr>
          <w:p w14:paraId="6CE52D2F" w14:textId="2613048F" w:rsidR="00DD4D5C" w:rsidRPr="00DA1C95" w:rsidRDefault="00DD4D5C" w:rsidP="00780234">
            <w:pPr>
              <w:pStyle w:val="Footnote"/>
              <w:ind w:left="144"/>
            </w:pPr>
            <w:r w:rsidRPr="00DA1C95">
              <w:t>Total current assets</w:t>
            </w:r>
          </w:p>
        </w:tc>
        <w:tc>
          <w:tcPr>
            <w:tcW w:w="948" w:type="dxa"/>
            <w:vAlign w:val="center"/>
          </w:tcPr>
          <w:p w14:paraId="2F03428F" w14:textId="032A9A68" w:rsidR="00DD4D5C" w:rsidRPr="00DA1C95" w:rsidRDefault="00DD4D5C" w:rsidP="002035E9">
            <w:pPr>
              <w:pStyle w:val="Footnote"/>
              <w:jc w:val="right"/>
            </w:pPr>
            <w:r w:rsidRPr="00DA1C95">
              <w:t xml:space="preserve">14,828 </w:t>
            </w:r>
          </w:p>
        </w:tc>
        <w:tc>
          <w:tcPr>
            <w:tcW w:w="920" w:type="dxa"/>
            <w:noWrap/>
            <w:vAlign w:val="center"/>
            <w:hideMark/>
          </w:tcPr>
          <w:p w14:paraId="2B1D43BD" w14:textId="14723CD5" w:rsidR="00DD4D5C" w:rsidRPr="00DA1C95" w:rsidRDefault="00DD4D5C" w:rsidP="002035E9">
            <w:pPr>
              <w:pStyle w:val="Footnote"/>
              <w:jc w:val="right"/>
            </w:pPr>
            <w:r w:rsidRPr="00DA1C95">
              <w:t xml:space="preserve">11,958 </w:t>
            </w:r>
          </w:p>
        </w:tc>
        <w:tc>
          <w:tcPr>
            <w:tcW w:w="863" w:type="dxa"/>
            <w:noWrap/>
            <w:vAlign w:val="center"/>
            <w:hideMark/>
          </w:tcPr>
          <w:p w14:paraId="1CBC70B2" w14:textId="7D9481EE" w:rsidR="00DD4D5C" w:rsidRPr="00DA1C95" w:rsidRDefault="00DD4D5C" w:rsidP="002035E9">
            <w:pPr>
              <w:pStyle w:val="Footnote"/>
              <w:jc w:val="right"/>
            </w:pPr>
            <w:r w:rsidRPr="00DA1C95">
              <w:t xml:space="preserve">15,572 </w:t>
            </w:r>
          </w:p>
        </w:tc>
        <w:tc>
          <w:tcPr>
            <w:tcW w:w="862" w:type="dxa"/>
            <w:noWrap/>
            <w:vAlign w:val="center"/>
            <w:hideMark/>
          </w:tcPr>
          <w:p w14:paraId="043C17A3" w14:textId="45499467" w:rsidR="00DD4D5C" w:rsidRPr="00DA1C95" w:rsidRDefault="00DD4D5C" w:rsidP="002035E9">
            <w:pPr>
              <w:pStyle w:val="Footnote"/>
              <w:jc w:val="right"/>
            </w:pPr>
            <w:r w:rsidRPr="00DA1C95">
              <w:t xml:space="preserve">13,096 </w:t>
            </w:r>
          </w:p>
        </w:tc>
        <w:tc>
          <w:tcPr>
            <w:tcW w:w="863" w:type="dxa"/>
            <w:noWrap/>
            <w:vAlign w:val="center"/>
            <w:hideMark/>
          </w:tcPr>
          <w:p w14:paraId="106379D2" w14:textId="32CF0085" w:rsidR="00DD4D5C" w:rsidRPr="00DA1C95" w:rsidRDefault="00DD4D5C" w:rsidP="002035E9">
            <w:pPr>
              <w:pStyle w:val="Footnote"/>
              <w:jc w:val="right"/>
            </w:pPr>
            <w:r w:rsidRPr="00DA1C95">
              <w:t xml:space="preserve">12,863 </w:t>
            </w:r>
          </w:p>
        </w:tc>
        <w:tc>
          <w:tcPr>
            <w:tcW w:w="862" w:type="dxa"/>
            <w:noWrap/>
            <w:vAlign w:val="center"/>
            <w:hideMark/>
          </w:tcPr>
          <w:p w14:paraId="53452A34" w14:textId="4A53C4A2" w:rsidR="00DD4D5C" w:rsidRPr="00DA1C95" w:rsidRDefault="00DD4D5C" w:rsidP="002035E9">
            <w:pPr>
              <w:pStyle w:val="Footnote"/>
              <w:jc w:val="right"/>
            </w:pPr>
            <w:r w:rsidRPr="00DA1C95">
              <w:t xml:space="preserve">12,039 </w:t>
            </w:r>
          </w:p>
        </w:tc>
      </w:tr>
      <w:tr w:rsidR="00DD4D5C" w:rsidRPr="00C07F6E" w14:paraId="27EE5848" w14:textId="77777777" w:rsidTr="00E44318">
        <w:trPr>
          <w:trHeight w:val="74"/>
          <w:jc w:val="center"/>
        </w:trPr>
        <w:tc>
          <w:tcPr>
            <w:tcW w:w="3895" w:type="dxa"/>
            <w:noWrap/>
            <w:vAlign w:val="center"/>
            <w:hideMark/>
          </w:tcPr>
          <w:p w14:paraId="4D3018FD" w14:textId="728D654B" w:rsidR="00DD4D5C" w:rsidRPr="00C07F6E" w:rsidRDefault="00DD4D5C" w:rsidP="00780234">
            <w:pPr>
              <w:pStyle w:val="Footnote"/>
              <w:ind w:left="144"/>
            </w:pPr>
            <w:r w:rsidRPr="00C07F6E">
              <w:t>Non-current assets</w:t>
            </w:r>
          </w:p>
        </w:tc>
        <w:tc>
          <w:tcPr>
            <w:tcW w:w="948" w:type="dxa"/>
            <w:vAlign w:val="center"/>
          </w:tcPr>
          <w:p w14:paraId="493B78FA" w14:textId="77777777" w:rsidR="00DD4D5C" w:rsidRPr="00C07F6E" w:rsidRDefault="00DD4D5C" w:rsidP="002035E9">
            <w:pPr>
              <w:pStyle w:val="Footnote"/>
              <w:jc w:val="right"/>
            </w:pPr>
          </w:p>
        </w:tc>
        <w:tc>
          <w:tcPr>
            <w:tcW w:w="920" w:type="dxa"/>
            <w:noWrap/>
            <w:vAlign w:val="center"/>
            <w:hideMark/>
          </w:tcPr>
          <w:p w14:paraId="099CEB36" w14:textId="3573DBF1" w:rsidR="00DD4D5C" w:rsidRPr="00C07F6E" w:rsidRDefault="00714F4F" w:rsidP="002035E9">
            <w:pPr>
              <w:pStyle w:val="Footnote"/>
              <w:jc w:val="right"/>
            </w:pPr>
            <w:r>
              <w:t xml:space="preserve"> </w:t>
            </w:r>
          </w:p>
        </w:tc>
        <w:tc>
          <w:tcPr>
            <w:tcW w:w="863" w:type="dxa"/>
            <w:noWrap/>
            <w:vAlign w:val="center"/>
            <w:hideMark/>
          </w:tcPr>
          <w:p w14:paraId="63F828AB" w14:textId="38C98365" w:rsidR="00DD4D5C" w:rsidRPr="00C07F6E" w:rsidRDefault="00714F4F" w:rsidP="002035E9">
            <w:pPr>
              <w:pStyle w:val="Footnote"/>
              <w:jc w:val="right"/>
            </w:pPr>
            <w:r>
              <w:t xml:space="preserve"> </w:t>
            </w:r>
          </w:p>
        </w:tc>
        <w:tc>
          <w:tcPr>
            <w:tcW w:w="862" w:type="dxa"/>
            <w:noWrap/>
            <w:vAlign w:val="center"/>
            <w:hideMark/>
          </w:tcPr>
          <w:p w14:paraId="423D0ED9" w14:textId="25C2812D" w:rsidR="00DD4D5C" w:rsidRPr="00C07F6E" w:rsidRDefault="00714F4F" w:rsidP="002035E9">
            <w:pPr>
              <w:pStyle w:val="Footnote"/>
              <w:jc w:val="right"/>
            </w:pPr>
            <w:r>
              <w:t xml:space="preserve"> </w:t>
            </w:r>
          </w:p>
        </w:tc>
        <w:tc>
          <w:tcPr>
            <w:tcW w:w="863" w:type="dxa"/>
            <w:noWrap/>
            <w:vAlign w:val="center"/>
            <w:hideMark/>
          </w:tcPr>
          <w:p w14:paraId="3B6F75CC" w14:textId="31E259C4" w:rsidR="00DD4D5C" w:rsidRPr="00C07F6E" w:rsidRDefault="00714F4F" w:rsidP="002035E9">
            <w:pPr>
              <w:pStyle w:val="Footnote"/>
              <w:jc w:val="right"/>
            </w:pPr>
            <w:r>
              <w:t xml:space="preserve"> </w:t>
            </w:r>
          </w:p>
        </w:tc>
        <w:tc>
          <w:tcPr>
            <w:tcW w:w="862" w:type="dxa"/>
            <w:noWrap/>
            <w:vAlign w:val="center"/>
            <w:hideMark/>
          </w:tcPr>
          <w:p w14:paraId="3E06DA37" w14:textId="539A7371" w:rsidR="00DD4D5C" w:rsidRPr="00C07F6E" w:rsidRDefault="00714F4F" w:rsidP="002035E9">
            <w:pPr>
              <w:pStyle w:val="Footnote"/>
              <w:jc w:val="right"/>
            </w:pPr>
            <w:r>
              <w:t xml:space="preserve"> </w:t>
            </w:r>
          </w:p>
        </w:tc>
      </w:tr>
      <w:tr w:rsidR="00DD4D5C" w:rsidRPr="00C07F6E" w14:paraId="183BB7C1" w14:textId="77777777" w:rsidTr="00E44318">
        <w:trPr>
          <w:trHeight w:val="53"/>
          <w:jc w:val="center"/>
        </w:trPr>
        <w:tc>
          <w:tcPr>
            <w:tcW w:w="3895" w:type="dxa"/>
            <w:noWrap/>
            <w:vAlign w:val="center"/>
            <w:hideMark/>
          </w:tcPr>
          <w:p w14:paraId="7DBD95FF" w14:textId="674B9B94" w:rsidR="00DD4D5C" w:rsidRPr="00C07F6E" w:rsidRDefault="00DD4D5C" w:rsidP="00780234">
            <w:pPr>
              <w:pStyle w:val="Footnote"/>
              <w:ind w:left="288"/>
            </w:pPr>
            <w:r w:rsidRPr="00C07F6E">
              <w:t>Property, plant</w:t>
            </w:r>
            <w:r w:rsidR="00212229" w:rsidRPr="00C07F6E">
              <w:t>,</w:t>
            </w:r>
            <w:r w:rsidRPr="00C07F6E">
              <w:t xml:space="preserve"> and equipment</w:t>
            </w:r>
          </w:p>
        </w:tc>
        <w:tc>
          <w:tcPr>
            <w:tcW w:w="948" w:type="dxa"/>
            <w:vAlign w:val="center"/>
          </w:tcPr>
          <w:p w14:paraId="6D3061A7" w14:textId="77777777" w:rsidR="00DD4D5C" w:rsidRPr="00C07F6E" w:rsidRDefault="00DD4D5C" w:rsidP="002035E9">
            <w:pPr>
              <w:pStyle w:val="Footnote"/>
              <w:jc w:val="right"/>
            </w:pPr>
          </w:p>
        </w:tc>
        <w:tc>
          <w:tcPr>
            <w:tcW w:w="920" w:type="dxa"/>
            <w:noWrap/>
            <w:vAlign w:val="center"/>
            <w:hideMark/>
          </w:tcPr>
          <w:p w14:paraId="741F33FC" w14:textId="5A9C5B53" w:rsidR="00DD4D5C" w:rsidRPr="00C07F6E" w:rsidRDefault="00714F4F" w:rsidP="002035E9">
            <w:pPr>
              <w:pStyle w:val="Footnote"/>
              <w:jc w:val="right"/>
            </w:pPr>
            <w:r>
              <w:t xml:space="preserve"> </w:t>
            </w:r>
          </w:p>
        </w:tc>
        <w:tc>
          <w:tcPr>
            <w:tcW w:w="863" w:type="dxa"/>
            <w:noWrap/>
            <w:vAlign w:val="center"/>
            <w:hideMark/>
          </w:tcPr>
          <w:p w14:paraId="6C1A2F2C" w14:textId="3B6861D5" w:rsidR="00DD4D5C" w:rsidRPr="00C07F6E" w:rsidRDefault="00714F4F" w:rsidP="002035E9">
            <w:pPr>
              <w:pStyle w:val="Footnote"/>
              <w:jc w:val="right"/>
            </w:pPr>
            <w:r>
              <w:t xml:space="preserve"> </w:t>
            </w:r>
          </w:p>
        </w:tc>
        <w:tc>
          <w:tcPr>
            <w:tcW w:w="862" w:type="dxa"/>
            <w:noWrap/>
            <w:vAlign w:val="center"/>
            <w:hideMark/>
          </w:tcPr>
          <w:p w14:paraId="4390A917" w14:textId="2E7E0AB0" w:rsidR="00DD4D5C" w:rsidRPr="00C07F6E" w:rsidRDefault="00714F4F" w:rsidP="002035E9">
            <w:pPr>
              <w:pStyle w:val="Footnote"/>
              <w:jc w:val="right"/>
            </w:pPr>
            <w:r>
              <w:t xml:space="preserve"> </w:t>
            </w:r>
          </w:p>
        </w:tc>
        <w:tc>
          <w:tcPr>
            <w:tcW w:w="863" w:type="dxa"/>
            <w:noWrap/>
            <w:vAlign w:val="center"/>
            <w:hideMark/>
          </w:tcPr>
          <w:p w14:paraId="1FB3A5CF" w14:textId="346CC167" w:rsidR="00DD4D5C" w:rsidRPr="00C07F6E" w:rsidRDefault="00714F4F" w:rsidP="002035E9">
            <w:pPr>
              <w:pStyle w:val="Footnote"/>
              <w:jc w:val="right"/>
            </w:pPr>
            <w:r>
              <w:t xml:space="preserve"> </w:t>
            </w:r>
          </w:p>
        </w:tc>
        <w:tc>
          <w:tcPr>
            <w:tcW w:w="862" w:type="dxa"/>
            <w:noWrap/>
            <w:vAlign w:val="center"/>
            <w:hideMark/>
          </w:tcPr>
          <w:p w14:paraId="49ECB07E" w14:textId="4B44607D" w:rsidR="00DD4D5C" w:rsidRPr="00C07F6E" w:rsidRDefault="00714F4F" w:rsidP="002035E9">
            <w:pPr>
              <w:pStyle w:val="Footnote"/>
              <w:jc w:val="right"/>
            </w:pPr>
            <w:r>
              <w:t xml:space="preserve"> </w:t>
            </w:r>
          </w:p>
        </w:tc>
      </w:tr>
      <w:tr w:rsidR="00DD4D5C" w:rsidRPr="00C07F6E" w14:paraId="1BBF7549" w14:textId="77777777" w:rsidTr="00E44318">
        <w:trPr>
          <w:trHeight w:val="43"/>
          <w:jc w:val="center"/>
        </w:trPr>
        <w:tc>
          <w:tcPr>
            <w:tcW w:w="3895" w:type="dxa"/>
            <w:noWrap/>
            <w:vAlign w:val="center"/>
            <w:hideMark/>
          </w:tcPr>
          <w:p w14:paraId="460522C2" w14:textId="20D8AB47" w:rsidR="00DD4D5C" w:rsidRPr="00C07F6E" w:rsidRDefault="003C1CDC" w:rsidP="002035E9">
            <w:pPr>
              <w:pStyle w:val="Footnote"/>
            </w:pPr>
            <w:r>
              <w:tab/>
            </w:r>
            <w:r w:rsidR="00DD4D5C" w:rsidRPr="00C07F6E">
              <w:t>Land</w:t>
            </w:r>
          </w:p>
        </w:tc>
        <w:tc>
          <w:tcPr>
            <w:tcW w:w="948" w:type="dxa"/>
            <w:vAlign w:val="center"/>
          </w:tcPr>
          <w:p w14:paraId="4E13366E" w14:textId="0AAB5E49" w:rsidR="00DD4D5C" w:rsidRPr="00C07F6E" w:rsidRDefault="00DD4D5C" w:rsidP="002035E9">
            <w:pPr>
              <w:pStyle w:val="Footnote"/>
              <w:jc w:val="right"/>
            </w:pPr>
            <w:r w:rsidRPr="00C07F6E">
              <w:t xml:space="preserve">22,557 </w:t>
            </w:r>
          </w:p>
        </w:tc>
        <w:tc>
          <w:tcPr>
            <w:tcW w:w="920" w:type="dxa"/>
            <w:noWrap/>
            <w:vAlign w:val="center"/>
            <w:hideMark/>
          </w:tcPr>
          <w:p w14:paraId="521BFE84" w14:textId="6B4CCB6B" w:rsidR="00DD4D5C" w:rsidRPr="00C07F6E" w:rsidRDefault="00DD4D5C" w:rsidP="002035E9">
            <w:pPr>
              <w:pStyle w:val="Footnote"/>
              <w:jc w:val="right"/>
            </w:pPr>
            <w:r w:rsidRPr="00C07F6E">
              <w:t xml:space="preserve">25,298 </w:t>
            </w:r>
          </w:p>
        </w:tc>
        <w:tc>
          <w:tcPr>
            <w:tcW w:w="863" w:type="dxa"/>
            <w:noWrap/>
            <w:vAlign w:val="center"/>
            <w:hideMark/>
          </w:tcPr>
          <w:p w14:paraId="16FFDEA7" w14:textId="7C24AAD9" w:rsidR="00DD4D5C" w:rsidRPr="00C07F6E" w:rsidRDefault="00DD4D5C" w:rsidP="002035E9">
            <w:pPr>
              <w:pStyle w:val="Footnote"/>
              <w:jc w:val="right"/>
            </w:pPr>
            <w:r w:rsidRPr="00C07F6E">
              <w:t xml:space="preserve">25,734 </w:t>
            </w:r>
          </w:p>
        </w:tc>
        <w:tc>
          <w:tcPr>
            <w:tcW w:w="862" w:type="dxa"/>
            <w:noWrap/>
            <w:vAlign w:val="center"/>
            <w:hideMark/>
          </w:tcPr>
          <w:p w14:paraId="710D7831" w14:textId="25BB4517" w:rsidR="00DD4D5C" w:rsidRPr="00C07F6E" w:rsidRDefault="00DD4D5C" w:rsidP="002035E9">
            <w:pPr>
              <w:pStyle w:val="Footnote"/>
              <w:jc w:val="right"/>
            </w:pPr>
            <w:r w:rsidRPr="00C07F6E">
              <w:t xml:space="preserve">24,817 </w:t>
            </w:r>
          </w:p>
        </w:tc>
        <w:tc>
          <w:tcPr>
            <w:tcW w:w="863" w:type="dxa"/>
            <w:noWrap/>
            <w:vAlign w:val="center"/>
            <w:hideMark/>
          </w:tcPr>
          <w:p w14:paraId="2CC8F39A" w14:textId="332F912B" w:rsidR="00DD4D5C" w:rsidRPr="00C07F6E" w:rsidRDefault="00714F4F" w:rsidP="002035E9">
            <w:pPr>
              <w:pStyle w:val="Footnote"/>
              <w:jc w:val="right"/>
            </w:pPr>
            <w:r>
              <w:t xml:space="preserve"> </w:t>
            </w:r>
          </w:p>
        </w:tc>
        <w:tc>
          <w:tcPr>
            <w:tcW w:w="862" w:type="dxa"/>
            <w:noWrap/>
            <w:vAlign w:val="center"/>
            <w:hideMark/>
          </w:tcPr>
          <w:p w14:paraId="343621E7" w14:textId="42E0F84F" w:rsidR="00DD4D5C" w:rsidRPr="00C07F6E" w:rsidRDefault="00714F4F" w:rsidP="002035E9">
            <w:pPr>
              <w:pStyle w:val="Footnote"/>
              <w:jc w:val="right"/>
            </w:pPr>
            <w:r>
              <w:t xml:space="preserve"> </w:t>
            </w:r>
          </w:p>
        </w:tc>
      </w:tr>
      <w:tr w:rsidR="00DD4D5C" w:rsidRPr="00C07F6E" w14:paraId="2BF32B05" w14:textId="77777777" w:rsidTr="00E44318">
        <w:trPr>
          <w:trHeight w:val="53"/>
          <w:jc w:val="center"/>
        </w:trPr>
        <w:tc>
          <w:tcPr>
            <w:tcW w:w="3895" w:type="dxa"/>
            <w:noWrap/>
            <w:vAlign w:val="center"/>
            <w:hideMark/>
          </w:tcPr>
          <w:p w14:paraId="1B03273F" w14:textId="3157A580" w:rsidR="00DD4D5C" w:rsidRPr="00C07F6E" w:rsidRDefault="003C1CDC" w:rsidP="002035E9">
            <w:pPr>
              <w:pStyle w:val="Footnote"/>
            </w:pPr>
            <w:r>
              <w:tab/>
            </w:r>
            <w:r w:rsidR="00DD4D5C" w:rsidRPr="00C07F6E">
              <w:t>Fixtures and equipment</w:t>
            </w:r>
          </w:p>
        </w:tc>
        <w:tc>
          <w:tcPr>
            <w:tcW w:w="948" w:type="dxa"/>
            <w:vAlign w:val="center"/>
          </w:tcPr>
          <w:p w14:paraId="6305586D" w14:textId="77777777" w:rsidR="00DD4D5C" w:rsidRPr="00C07F6E" w:rsidRDefault="00DD4D5C" w:rsidP="002035E9">
            <w:pPr>
              <w:pStyle w:val="Footnote"/>
              <w:jc w:val="right"/>
            </w:pPr>
          </w:p>
        </w:tc>
        <w:tc>
          <w:tcPr>
            <w:tcW w:w="920" w:type="dxa"/>
            <w:noWrap/>
            <w:vAlign w:val="center"/>
            <w:hideMark/>
          </w:tcPr>
          <w:p w14:paraId="5F1E44CF" w14:textId="0A74F24D" w:rsidR="00DD4D5C" w:rsidRPr="00C07F6E" w:rsidRDefault="00714F4F" w:rsidP="002035E9">
            <w:pPr>
              <w:pStyle w:val="Footnote"/>
              <w:jc w:val="right"/>
            </w:pPr>
            <w:r>
              <w:t xml:space="preserve"> </w:t>
            </w:r>
          </w:p>
        </w:tc>
        <w:tc>
          <w:tcPr>
            <w:tcW w:w="863" w:type="dxa"/>
            <w:noWrap/>
            <w:vAlign w:val="center"/>
            <w:hideMark/>
          </w:tcPr>
          <w:p w14:paraId="274292AA" w14:textId="43801C6F" w:rsidR="00DD4D5C" w:rsidRPr="00C07F6E" w:rsidRDefault="00714F4F" w:rsidP="002035E9">
            <w:pPr>
              <w:pStyle w:val="Footnote"/>
              <w:jc w:val="right"/>
            </w:pPr>
            <w:r>
              <w:t xml:space="preserve"> </w:t>
            </w:r>
          </w:p>
        </w:tc>
        <w:tc>
          <w:tcPr>
            <w:tcW w:w="862" w:type="dxa"/>
            <w:noWrap/>
            <w:vAlign w:val="center"/>
            <w:hideMark/>
          </w:tcPr>
          <w:p w14:paraId="400158F4" w14:textId="24CFAB76" w:rsidR="00DD4D5C" w:rsidRPr="00C07F6E" w:rsidRDefault="00714F4F" w:rsidP="002035E9">
            <w:pPr>
              <w:pStyle w:val="Footnote"/>
              <w:jc w:val="right"/>
            </w:pPr>
            <w:r>
              <w:t xml:space="preserve"> </w:t>
            </w:r>
          </w:p>
        </w:tc>
        <w:tc>
          <w:tcPr>
            <w:tcW w:w="863" w:type="dxa"/>
            <w:noWrap/>
            <w:vAlign w:val="center"/>
            <w:hideMark/>
          </w:tcPr>
          <w:p w14:paraId="0EBE5047" w14:textId="1C563962" w:rsidR="00DD4D5C" w:rsidRPr="00C07F6E" w:rsidRDefault="00DD4D5C" w:rsidP="002035E9">
            <w:pPr>
              <w:pStyle w:val="Footnote"/>
              <w:jc w:val="right"/>
            </w:pPr>
            <w:r w:rsidRPr="00C07F6E">
              <w:t xml:space="preserve">9,967 </w:t>
            </w:r>
          </w:p>
        </w:tc>
        <w:tc>
          <w:tcPr>
            <w:tcW w:w="862" w:type="dxa"/>
            <w:noWrap/>
            <w:vAlign w:val="center"/>
            <w:hideMark/>
          </w:tcPr>
          <w:p w14:paraId="361A59C8" w14:textId="32E416A8" w:rsidR="00DD4D5C" w:rsidRPr="00C07F6E" w:rsidRDefault="00DD4D5C" w:rsidP="002035E9">
            <w:pPr>
              <w:pStyle w:val="Footnote"/>
              <w:jc w:val="right"/>
            </w:pPr>
            <w:r w:rsidRPr="00C07F6E">
              <w:t xml:space="preserve">8,895 </w:t>
            </w:r>
          </w:p>
        </w:tc>
      </w:tr>
      <w:tr w:rsidR="00DD4D5C" w:rsidRPr="00C07F6E" w14:paraId="507EFF42" w14:textId="77777777" w:rsidTr="00E44318">
        <w:trPr>
          <w:trHeight w:val="53"/>
          <w:jc w:val="center"/>
        </w:trPr>
        <w:tc>
          <w:tcPr>
            <w:tcW w:w="3895" w:type="dxa"/>
            <w:noWrap/>
            <w:vAlign w:val="center"/>
            <w:hideMark/>
          </w:tcPr>
          <w:p w14:paraId="2AC61EBB" w14:textId="6D581D57" w:rsidR="00DD4D5C" w:rsidRPr="00C07F6E" w:rsidRDefault="003C1CDC" w:rsidP="002035E9">
            <w:pPr>
              <w:pStyle w:val="Footnote"/>
            </w:pPr>
            <w:r>
              <w:tab/>
            </w:r>
            <w:r w:rsidR="00DD4D5C" w:rsidRPr="00C07F6E">
              <w:t>Other properties</w:t>
            </w:r>
          </w:p>
        </w:tc>
        <w:tc>
          <w:tcPr>
            <w:tcW w:w="948" w:type="dxa"/>
            <w:vAlign w:val="center"/>
          </w:tcPr>
          <w:p w14:paraId="0D95C374" w14:textId="7345EB64" w:rsidR="00DD4D5C" w:rsidRPr="00C07F6E" w:rsidRDefault="00DD4D5C" w:rsidP="002035E9">
            <w:pPr>
              <w:pStyle w:val="Footnote"/>
              <w:jc w:val="right"/>
            </w:pPr>
            <w:r w:rsidRPr="00C07F6E">
              <w:t xml:space="preserve">10,468 </w:t>
            </w:r>
          </w:p>
        </w:tc>
        <w:tc>
          <w:tcPr>
            <w:tcW w:w="920" w:type="dxa"/>
            <w:noWrap/>
            <w:vAlign w:val="center"/>
            <w:hideMark/>
          </w:tcPr>
          <w:p w14:paraId="4577F29C" w14:textId="5C645CA7" w:rsidR="00DD4D5C" w:rsidRPr="00C07F6E" w:rsidRDefault="00DD4D5C" w:rsidP="002035E9">
            <w:pPr>
              <w:pStyle w:val="Footnote"/>
              <w:jc w:val="right"/>
            </w:pPr>
            <w:r w:rsidRPr="00C07F6E">
              <w:t xml:space="preserve">11,493 </w:t>
            </w:r>
          </w:p>
        </w:tc>
        <w:tc>
          <w:tcPr>
            <w:tcW w:w="863" w:type="dxa"/>
            <w:noWrap/>
            <w:vAlign w:val="center"/>
            <w:hideMark/>
          </w:tcPr>
          <w:p w14:paraId="25A330BA" w14:textId="1143604B" w:rsidR="00DD4D5C" w:rsidRPr="00C07F6E" w:rsidRDefault="00DD4D5C" w:rsidP="002035E9">
            <w:pPr>
              <w:pStyle w:val="Footnote"/>
              <w:jc w:val="right"/>
            </w:pPr>
            <w:r w:rsidRPr="00C07F6E">
              <w:t xml:space="preserve">10,851 </w:t>
            </w:r>
          </w:p>
        </w:tc>
        <w:tc>
          <w:tcPr>
            <w:tcW w:w="862" w:type="dxa"/>
            <w:noWrap/>
            <w:vAlign w:val="center"/>
            <w:hideMark/>
          </w:tcPr>
          <w:p w14:paraId="00911230" w14:textId="60D1C6C1" w:rsidR="00DD4D5C" w:rsidRPr="00C07F6E" w:rsidRDefault="00DD4D5C" w:rsidP="002035E9">
            <w:pPr>
              <w:pStyle w:val="Footnote"/>
              <w:jc w:val="right"/>
            </w:pPr>
            <w:r w:rsidRPr="00C07F6E">
              <w:t xml:space="preserve">10,826 </w:t>
            </w:r>
          </w:p>
        </w:tc>
        <w:tc>
          <w:tcPr>
            <w:tcW w:w="863" w:type="dxa"/>
            <w:noWrap/>
            <w:vAlign w:val="center"/>
            <w:hideMark/>
          </w:tcPr>
          <w:p w14:paraId="58735AE8" w14:textId="6AC2CC14" w:rsidR="00DD4D5C" w:rsidRPr="00C07F6E" w:rsidRDefault="00DD4D5C" w:rsidP="002035E9">
            <w:pPr>
              <w:pStyle w:val="Footnote"/>
              <w:jc w:val="right"/>
            </w:pPr>
            <w:r w:rsidRPr="00C07F6E">
              <w:t xml:space="preserve">27,058 </w:t>
            </w:r>
          </w:p>
        </w:tc>
        <w:tc>
          <w:tcPr>
            <w:tcW w:w="862" w:type="dxa"/>
            <w:noWrap/>
            <w:vAlign w:val="center"/>
            <w:hideMark/>
          </w:tcPr>
          <w:p w14:paraId="5C735B36" w14:textId="4E1BFFAB" w:rsidR="00DD4D5C" w:rsidRPr="00C07F6E" w:rsidRDefault="00DD4D5C" w:rsidP="002035E9">
            <w:pPr>
              <w:pStyle w:val="Footnote"/>
              <w:jc w:val="right"/>
            </w:pPr>
            <w:r w:rsidRPr="00C07F6E">
              <w:t xml:space="preserve">25,767 </w:t>
            </w:r>
          </w:p>
        </w:tc>
      </w:tr>
      <w:tr w:rsidR="00DD4D5C" w:rsidRPr="00C07F6E" w14:paraId="042B693F" w14:textId="77777777" w:rsidTr="00E44318">
        <w:trPr>
          <w:trHeight w:val="53"/>
          <w:jc w:val="center"/>
        </w:trPr>
        <w:tc>
          <w:tcPr>
            <w:tcW w:w="3895" w:type="dxa"/>
            <w:noWrap/>
            <w:vAlign w:val="center"/>
            <w:hideMark/>
          </w:tcPr>
          <w:p w14:paraId="33135C3F" w14:textId="7A227B03" w:rsidR="00DD4D5C" w:rsidRPr="00C07F6E" w:rsidRDefault="003C1CDC" w:rsidP="002035E9">
            <w:pPr>
              <w:pStyle w:val="Footnote"/>
            </w:pPr>
            <w:r>
              <w:tab/>
            </w:r>
            <w:r w:rsidR="00DD4D5C" w:rsidRPr="00C07F6E">
              <w:t>Property and equipment, at cost</w:t>
            </w:r>
          </w:p>
        </w:tc>
        <w:tc>
          <w:tcPr>
            <w:tcW w:w="948" w:type="dxa"/>
            <w:vAlign w:val="center"/>
          </w:tcPr>
          <w:p w14:paraId="08C6AB7D" w14:textId="232C2C3F" w:rsidR="00DD4D5C" w:rsidRPr="00C07F6E" w:rsidRDefault="00DD4D5C" w:rsidP="002035E9">
            <w:pPr>
              <w:pStyle w:val="Footnote"/>
              <w:jc w:val="right"/>
            </w:pPr>
            <w:r w:rsidRPr="00C07F6E">
              <w:t xml:space="preserve">33,025 </w:t>
            </w:r>
          </w:p>
        </w:tc>
        <w:tc>
          <w:tcPr>
            <w:tcW w:w="920" w:type="dxa"/>
            <w:noWrap/>
            <w:vAlign w:val="center"/>
            <w:hideMark/>
          </w:tcPr>
          <w:p w14:paraId="48ADA2A4" w14:textId="70AA40A7" w:rsidR="00DD4D5C" w:rsidRPr="00C07F6E" w:rsidRDefault="00DD4D5C" w:rsidP="002035E9">
            <w:pPr>
              <w:pStyle w:val="Footnote"/>
              <w:jc w:val="right"/>
            </w:pPr>
            <w:r w:rsidRPr="00C07F6E">
              <w:t xml:space="preserve">36,791 </w:t>
            </w:r>
          </w:p>
        </w:tc>
        <w:tc>
          <w:tcPr>
            <w:tcW w:w="863" w:type="dxa"/>
            <w:noWrap/>
            <w:vAlign w:val="center"/>
            <w:hideMark/>
          </w:tcPr>
          <w:p w14:paraId="48454B50" w14:textId="4E7F49B8" w:rsidR="00DD4D5C" w:rsidRPr="00C07F6E" w:rsidRDefault="00DD4D5C" w:rsidP="002035E9">
            <w:pPr>
              <w:pStyle w:val="Footnote"/>
              <w:jc w:val="right"/>
            </w:pPr>
            <w:r w:rsidRPr="00C07F6E">
              <w:t xml:space="preserve">36,585 </w:t>
            </w:r>
          </w:p>
        </w:tc>
        <w:tc>
          <w:tcPr>
            <w:tcW w:w="862" w:type="dxa"/>
            <w:noWrap/>
            <w:vAlign w:val="center"/>
            <w:hideMark/>
          </w:tcPr>
          <w:p w14:paraId="25671ED2" w14:textId="043BE5D9" w:rsidR="00DD4D5C" w:rsidRPr="00C07F6E" w:rsidRDefault="00DD4D5C" w:rsidP="002035E9">
            <w:pPr>
              <w:pStyle w:val="Footnote"/>
              <w:jc w:val="right"/>
            </w:pPr>
            <w:r w:rsidRPr="00C07F6E">
              <w:t xml:space="preserve">35,643 </w:t>
            </w:r>
          </w:p>
        </w:tc>
        <w:tc>
          <w:tcPr>
            <w:tcW w:w="863" w:type="dxa"/>
            <w:noWrap/>
            <w:vAlign w:val="center"/>
            <w:hideMark/>
          </w:tcPr>
          <w:p w14:paraId="00162134" w14:textId="08ED6CAF" w:rsidR="00DD4D5C" w:rsidRPr="00C07F6E" w:rsidRDefault="00DD4D5C" w:rsidP="002035E9">
            <w:pPr>
              <w:pStyle w:val="Footnote"/>
              <w:jc w:val="right"/>
            </w:pPr>
            <w:r w:rsidRPr="00C07F6E">
              <w:t xml:space="preserve">37,025 </w:t>
            </w:r>
          </w:p>
        </w:tc>
        <w:tc>
          <w:tcPr>
            <w:tcW w:w="862" w:type="dxa"/>
            <w:noWrap/>
            <w:vAlign w:val="center"/>
            <w:hideMark/>
          </w:tcPr>
          <w:p w14:paraId="6C04833B" w14:textId="176F278E" w:rsidR="00DD4D5C" w:rsidRPr="00C07F6E" w:rsidRDefault="00DD4D5C" w:rsidP="002035E9">
            <w:pPr>
              <w:pStyle w:val="Footnote"/>
              <w:jc w:val="right"/>
            </w:pPr>
            <w:r w:rsidRPr="00C07F6E">
              <w:t xml:space="preserve">34,662 </w:t>
            </w:r>
          </w:p>
        </w:tc>
      </w:tr>
      <w:tr w:rsidR="00DD4D5C" w:rsidRPr="00C07F6E" w14:paraId="22BA4650" w14:textId="77777777" w:rsidTr="00E44318">
        <w:trPr>
          <w:trHeight w:val="53"/>
          <w:jc w:val="center"/>
        </w:trPr>
        <w:tc>
          <w:tcPr>
            <w:tcW w:w="3895" w:type="dxa"/>
            <w:noWrap/>
            <w:vAlign w:val="center"/>
            <w:hideMark/>
          </w:tcPr>
          <w:p w14:paraId="10714BEA" w14:textId="57153D57" w:rsidR="00DD4D5C" w:rsidRPr="00C07F6E" w:rsidRDefault="003C1CDC" w:rsidP="002035E9">
            <w:pPr>
              <w:pStyle w:val="Footnote"/>
            </w:pPr>
            <w:r>
              <w:tab/>
            </w:r>
            <w:r w:rsidR="00DD4D5C" w:rsidRPr="00C07F6E">
              <w:t xml:space="preserve">Accumulated </w:t>
            </w:r>
            <w:r w:rsidR="00212229" w:rsidRPr="00C07F6E">
              <w:t>d</w:t>
            </w:r>
            <w:r w:rsidR="00DD4D5C" w:rsidRPr="00C07F6E">
              <w:t>epreciation</w:t>
            </w:r>
          </w:p>
        </w:tc>
        <w:tc>
          <w:tcPr>
            <w:tcW w:w="948" w:type="dxa"/>
            <w:vAlign w:val="center"/>
          </w:tcPr>
          <w:p w14:paraId="657A020F" w14:textId="1E4D2BFC" w:rsidR="00DD4D5C" w:rsidRPr="00C07F6E" w:rsidRDefault="00DD4D5C" w:rsidP="002035E9">
            <w:pPr>
              <w:pStyle w:val="Footnote"/>
              <w:jc w:val="right"/>
            </w:pPr>
            <w:r w:rsidRPr="00C07F6E">
              <w:t>(15,125)</w:t>
            </w:r>
          </w:p>
        </w:tc>
        <w:tc>
          <w:tcPr>
            <w:tcW w:w="920" w:type="dxa"/>
            <w:noWrap/>
            <w:vAlign w:val="center"/>
            <w:hideMark/>
          </w:tcPr>
          <w:p w14:paraId="14ADE02E" w14:textId="119D1B45" w:rsidR="00DD4D5C" w:rsidRPr="00C07F6E" w:rsidRDefault="00DD4D5C" w:rsidP="002035E9">
            <w:pPr>
              <w:pStyle w:val="Footnote"/>
              <w:jc w:val="right"/>
            </w:pPr>
            <w:r w:rsidRPr="00C07F6E">
              <w:t>(16,351)</w:t>
            </w:r>
          </w:p>
        </w:tc>
        <w:tc>
          <w:tcPr>
            <w:tcW w:w="863" w:type="dxa"/>
            <w:noWrap/>
            <w:vAlign w:val="center"/>
            <w:hideMark/>
          </w:tcPr>
          <w:p w14:paraId="6D7DF94F" w14:textId="532BECCC" w:rsidR="00DD4D5C" w:rsidRPr="00C07F6E" w:rsidRDefault="00DD4D5C" w:rsidP="002035E9">
            <w:pPr>
              <w:pStyle w:val="Footnote"/>
              <w:jc w:val="right"/>
            </w:pPr>
            <w:r w:rsidRPr="00C07F6E">
              <w:t>(12,095)</w:t>
            </w:r>
          </w:p>
        </w:tc>
        <w:tc>
          <w:tcPr>
            <w:tcW w:w="862" w:type="dxa"/>
            <w:noWrap/>
            <w:vAlign w:val="center"/>
            <w:hideMark/>
          </w:tcPr>
          <w:p w14:paraId="14D2392C" w14:textId="572839EE" w:rsidR="00DD4D5C" w:rsidRPr="00C07F6E" w:rsidRDefault="00DD4D5C" w:rsidP="002035E9">
            <w:pPr>
              <w:pStyle w:val="Footnote"/>
              <w:jc w:val="right"/>
            </w:pPr>
            <w:r w:rsidRPr="00C07F6E">
              <w:t>(10,773)</w:t>
            </w:r>
          </w:p>
        </w:tc>
        <w:tc>
          <w:tcPr>
            <w:tcW w:w="863" w:type="dxa"/>
            <w:noWrap/>
            <w:vAlign w:val="center"/>
            <w:hideMark/>
          </w:tcPr>
          <w:p w14:paraId="5FE80EFF" w14:textId="3D4347E9" w:rsidR="00DD4D5C" w:rsidRPr="00C07F6E" w:rsidRDefault="00DD4D5C" w:rsidP="002035E9">
            <w:pPr>
              <w:pStyle w:val="Footnote"/>
              <w:jc w:val="right"/>
            </w:pPr>
            <w:r w:rsidRPr="00C07F6E">
              <w:t>(9,324)</w:t>
            </w:r>
          </w:p>
        </w:tc>
        <w:tc>
          <w:tcPr>
            <w:tcW w:w="862" w:type="dxa"/>
            <w:noWrap/>
            <w:vAlign w:val="center"/>
            <w:hideMark/>
          </w:tcPr>
          <w:p w14:paraId="64942773" w14:textId="592A976D" w:rsidR="00DD4D5C" w:rsidRPr="00C07F6E" w:rsidRDefault="00DD4D5C" w:rsidP="002035E9">
            <w:pPr>
              <w:pStyle w:val="Footnote"/>
              <w:jc w:val="right"/>
            </w:pPr>
            <w:r w:rsidRPr="00C07F6E">
              <w:t>(8,401)</w:t>
            </w:r>
          </w:p>
        </w:tc>
      </w:tr>
      <w:tr w:rsidR="00DD4D5C" w:rsidRPr="00C07F6E" w14:paraId="4034F06D" w14:textId="77777777" w:rsidTr="00E44318">
        <w:trPr>
          <w:trHeight w:val="53"/>
          <w:jc w:val="center"/>
        </w:trPr>
        <w:tc>
          <w:tcPr>
            <w:tcW w:w="3895" w:type="dxa"/>
            <w:noWrap/>
            <w:vAlign w:val="center"/>
            <w:hideMark/>
          </w:tcPr>
          <w:p w14:paraId="5F28353D" w14:textId="261C8EF4" w:rsidR="00DD4D5C" w:rsidRPr="00C07F6E" w:rsidRDefault="003C1CDC" w:rsidP="002035E9">
            <w:pPr>
              <w:pStyle w:val="Footnote"/>
              <w:rPr>
                <w:spacing w:val="-4"/>
                <w:kern w:val="17"/>
              </w:rPr>
            </w:pPr>
            <w:r>
              <w:rPr>
                <w:spacing w:val="-4"/>
                <w:kern w:val="17"/>
              </w:rPr>
              <w:tab/>
            </w:r>
            <w:r w:rsidR="00DD4D5C" w:rsidRPr="00C07F6E">
              <w:rPr>
                <w:spacing w:val="-4"/>
                <w:kern w:val="17"/>
              </w:rPr>
              <w:t>Property, plant</w:t>
            </w:r>
            <w:r w:rsidR="00212229" w:rsidRPr="00C07F6E">
              <w:rPr>
                <w:spacing w:val="-4"/>
                <w:kern w:val="17"/>
              </w:rPr>
              <w:t>,</w:t>
            </w:r>
            <w:r w:rsidR="00DD4D5C" w:rsidRPr="00C07F6E">
              <w:rPr>
                <w:spacing w:val="-4"/>
                <w:kern w:val="17"/>
              </w:rPr>
              <w:t xml:space="preserve"> and equipment, net</w:t>
            </w:r>
          </w:p>
        </w:tc>
        <w:tc>
          <w:tcPr>
            <w:tcW w:w="948" w:type="dxa"/>
            <w:vAlign w:val="center"/>
          </w:tcPr>
          <w:p w14:paraId="248F5E9F" w14:textId="52000C02" w:rsidR="00DD4D5C" w:rsidRPr="00C07F6E" w:rsidRDefault="00DD4D5C" w:rsidP="002035E9">
            <w:pPr>
              <w:pStyle w:val="Footnote"/>
              <w:jc w:val="right"/>
            </w:pPr>
            <w:r w:rsidRPr="00C07F6E">
              <w:t xml:space="preserve">17,900 </w:t>
            </w:r>
          </w:p>
        </w:tc>
        <w:tc>
          <w:tcPr>
            <w:tcW w:w="920" w:type="dxa"/>
            <w:noWrap/>
            <w:vAlign w:val="center"/>
            <w:hideMark/>
          </w:tcPr>
          <w:p w14:paraId="2B2DBE19" w14:textId="66D999A4" w:rsidR="00DD4D5C" w:rsidRPr="00C07F6E" w:rsidRDefault="00DD4D5C" w:rsidP="002035E9">
            <w:pPr>
              <w:pStyle w:val="Footnote"/>
              <w:jc w:val="right"/>
            </w:pPr>
            <w:r w:rsidRPr="00C07F6E">
              <w:t xml:space="preserve">20,440 </w:t>
            </w:r>
          </w:p>
        </w:tc>
        <w:tc>
          <w:tcPr>
            <w:tcW w:w="863" w:type="dxa"/>
            <w:noWrap/>
            <w:vAlign w:val="center"/>
            <w:hideMark/>
          </w:tcPr>
          <w:p w14:paraId="14E291BD" w14:textId="44E81E84" w:rsidR="00DD4D5C" w:rsidRPr="00C07F6E" w:rsidRDefault="00DD4D5C" w:rsidP="002035E9">
            <w:pPr>
              <w:pStyle w:val="Footnote"/>
              <w:jc w:val="right"/>
            </w:pPr>
            <w:r w:rsidRPr="00C07F6E">
              <w:t xml:space="preserve">24,490 </w:t>
            </w:r>
          </w:p>
        </w:tc>
        <w:tc>
          <w:tcPr>
            <w:tcW w:w="862" w:type="dxa"/>
            <w:noWrap/>
            <w:vAlign w:val="center"/>
            <w:hideMark/>
          </w:tcPr>
          <w:p w14:paraId="52FDAC2B" w14:textId="17E7840C" w:rsidR="00DD4D5C" w:rsidRPr="00C07F6E" w:rsidRDefault="00DD4D5C" w:rsidP="002035E9">
            <w:pPr>
              <w:pStyle w:val="Footnote"/>
              <w:jc w:val="right"/>
            </w:pPr>
            <w:r w:rsidRPr="00C07F6E">
              <w:t xml:space="preserve">24,870 </w:t>
            </w:r>
          </w:p>
        </w:tc>
        <w:tc>
          <w:tcPr>
            <w:tcW w:w="863" w:type="dxa"/>
            <w:noWrap/>
            <w:vAlign w:val="center"/>
            <w:hideMark/>
          </w:tcPr>
          <w:p w14:paraId="68C2C369" w14:textId="27C18EE3" w:rsidR="00DD4D5C" w:rsidRPr="00C07F6E" w:rsidRDefault="00DD4D5C" w:rsidP="002035E9">
            <w:pPr>
              <w:pStyle w:val="Footnote"/>
              <w:jc w:val="right"/>
            </w:pPr>
            <w:r w:rsidRPr="00C07F6E">
              <w:t xml:space="preserve">27,701 </w:t>
            </w:r>
          </w:p>
        </w:tc>
        <w:tc>
          <w:tcPr>
            <w:tcW w:w="862" w:type="dxa"/>
            <w:noWrap/>
            <w:vAlign w:val="center"/>
            <w:hideMark/>
          </w:tcPr>
          <w:p w14:paraId="12CF9287" w14:textId="47935BBA" w:rsidR="00DD4D5C" w:rsidRPr="00C07F6E" w:rsidRDefault="00DD4D5C" w:rsidP="002035E9">
            <w:pPr>
              <w:pStyle w:val="Footnote"/>
              <w:jc w:val="right"/>
            </w:pPr>
            <w:r w:rsidRPr="00C07F6E">
              <w:t xml:space="preserve">26,261 </w:t>
            </w:r>
          </w:p>
        </w:tc>
      </w:tr>
      <w:tr w:rsidR="00DD4D5C" w:rsidRPr="00C07F6E" w14:paraId="3B1755E7" w14:textId="77777777" w:rsidTr="00E44318">
        <w:trPr>
          <w:trHeight w:val="53"/>
          <w:jc w:val="center"/>
        </w:trPr>
        <w:tc>
          <w:tcPr>
            <w:tcW w:w="3895" w:type="dxa"/>
            <w:noWrap/>
            <w:vAlign w:val="center"/>
            <w:hideMark/>
          </w:tcPr>
          <w:p w14:paraId="49F865F5" w14:textId="30A4F192" w:rsidR="00DD4D5C" w:rsidRPr="00C07F6E" w:rsidRDefault="00DD4D5C" w:rsidP="00780234">
            <w:pPr>
              <w:pStyle w:val="Footnote"/>
              <w:ind w:left="288"/>
            </w:pPr>
            <w:r w:rsidRPr="00C07F6E">
              <w:t>Goodwill</w:t>
            </w:r>
          </w:p>
        </w:tc>
        <w:tc>
          <w:tcPr>
            <w:tcW w:w="948" w:type="dxa"/>
            <w:vAlign w:val="center"/>
          </w:tcPr>
          <w:p w14:paraId="596C321B" w14:textId="7B32D06C" w:rsidR="00DD4D5C" w:rsidRPr="00C07F6E" w:rsidRDefault="00DD4D5C" w:rsidP="002035E9">
            <w:pPr>
              <w:pStyle w:val="Footnote"/>
              <w:jc w:val="right"/>
            </w:pPr>
            <w:r w:rsidRPr="00C07F6E">
              <w:t xml:space="preserve">2,517 </w:t>
            </w:r>
          </w:p>
        </w:tc>
        <w:tc>
          <w:tcPr>
            <w:tcW w:w="920" w:type="dxa"/>
            <w:noWrap/>
            <w:vAlign w:val="center"/>
            <w:hideMark/>
          </w:tcPr>
          <w:p w14:paraId="26CB284D" w14:textId="6772C7FA" w:rsidR="00DD4D5C" w:rsidRPr="00C07F6E" w:rsidRDefault="00DD4D5C" w:rsidP="002035E9">
            <w:pPr>
              <w:pStyle w:val="Footnote"/>
              <w:jc w:val="right"/>
            </w:pPr>
            <w:r w:rsidRPr="00C07F6E">
              <w:t xml:space="preserve">2,288 </w:t>
            </w:r>
          </w:p>
        </w:tc>
        <w:tc>
          <w:tcPr>
            <w:tcW w:w="863" w:type="dxa"/>
            <w:noWrap/>
            <w:vAlign w:val="center"/>
            <w:hideMark/>
          </w:tcPr>
          <w:p w14:paraId="5AD5DA6D" w14:textId="396EAEB1" w:rsidR="00DD4D5C" w:rsidRPr="00C07F6E" w:rsidRDefault="00DD4D5C" w:rsidP="002035E9">
            <w:pPr>
              <w:pStyle w:val="Footnote"/>
              <w:jc w:val="right"/>
            </w:pPr>
            <w:r w:rsidRPr="00C07F6E">
              <w:t xml:space="preserve">2,286 </w:t>
            </w:r>
          </w:p>
        </w:tc>
        <w:tc>
          <w:tcPr>
            <w:tcW w:w="862" w:type="dxa"/>
            <w:noWrap/>
            <w:vAlign w:val="center"/>
            <w:hideMark/>
          </w:tcPr>
          <w:p w14:paraId="59297A3D" w14:textId="66309337" w:rsidR="00DD4D5C" w:rsidRPr="00C07F6E" w:rsidRDefault="00DD4D5C" w:rsidP="002035E9">
            <w:pPr>
              <w:pStyle w:val="Footnote"/>
              <w:jc w:val="right"/>
            </w:pPr>
            <w:r w:rsidRPr="00C07F6E">
              <w:t xml:space="preserve">2,954 </w:t>
            </w:r>
          </w:p>
        </w:tc>
        <w:tc>
          <w:tcPr>
            <w:tcW w:w="863" w:type="dxa"/>
            <w:noWrap/>
            <w:vAlign w:val="center"/>
            <w:hideMark/>
          </w:tcPr>
          <w:p w14:paraId="27434C8E" w14:textId="42D43A17" w:rsidR="00DD4D5C" w:rsidRPr="00C07F6E" w:rsidRDefault="00714F4F" w:rsidP="002035E9">
            <w:pPr>
              <w:pStyle w:val="Footnote"/>
              <w:jc w:val="right"/>
            </w:pPr>
            <w:r>
              <w:t xml:space="preserve"> </w:t>
            </w:r>
          </w:p>
        </w:tc>
        <w:tc>
          <w:tcPr>
            <w:tcW w:w="862" w:type="dxa"/>
            <w:noWrap/>
            <w:vAlign w:val="center"/>
            <w:hideMark/>
          </w:tcPr>
          <w:p w14:paraId="5BDCA79F" w14:textId="62C56C34" w:rsidR="00DD4D5C" w:rsidRPr="00C07F6E" w:rsidRDefault="00714F4F" w:rsidP="002035E9">
            <w:pPr>
              <w:pStyle w:val="Footnote"/>
              <w:jc w:val="right"/>
            </w:pPr>
            <w:r>
              <w:t xml:space="preserve"> </w:t>
            </w:r>
          </w:p>
        </w:tc>
      </w:tr>
      <w:tr w:rsidR="00DD4D5C" w:rsidRPr="00C07F6E" w14:paraId="0F6618FE" w14:textId="77777777" w:rsidTr="00E44318">
        <w:trPr>
          <w:trHeight w:val="58"/>
          <w:jc w:val="center"/>
        </w:trPr>
        <w:tc>
          <w:tcPr>
            <w:tcW w:w="3895" w:type="dxa"/>
            <w:noWrap/>
            <w:vAlign w:val="center"/>
            <w:hideMark/>
          </w:tcPr>
          <w:p w14:paraId="09476247" w14:textId="4AD4FDA7" w:rsidR="00DD4D5C" w:rsidRPr="00C07F6E" w:rsidRDefault="00DD4D5C" w:rsidP="00780234">
            <w:pPr>
              <w:pStyle w:val="Footnote"/>
              <w:ind w:left="288"/>
            </w:pPr>
            <w:r w:rsidRPr="00C07F6E">
              <w:t>Intangible assets</w:t>
            </w:r>
          </w:p>
        </w:tc>
        <w:tc>
          <w:tcPr>
            <w:tcW w:w="948" w:type="dxa"/>
            <w:vAlign w:val="center"/>
          </w:tcPr>
          <w:p w14:paraId="1291EBBA" w14:textId="708C99CB" w:rsidR="00DD4D5C" w:rsidRPr="00C07F6E" w:rsidRDefault="00DD4D5C" w:rsidP="002035E9">
            <w:pPr>
              <w:pStyle w:val="Footnote"/>
              <w:jc w:val="right"/>
            </w:pPr>
            <w:r w:rsidRPr="00C07F6E">
              <w:t xml:space="preserve">357 </w:t>
            </w:r>
          </w:p>
        </w:tc>
        <w:tc>
          <w:tcPr>
            <w:tcW w:w="920" w:type="dxa"/>
            <w:noWrap/>
            <w:vAlign w:val="center"/>
            <w:hideMark/>
          </w:tcPr>
          <w:p w14:paraId="030CFF50" w14:textId="5CF4E167" w:rsidR="00DD4D5C" w:rsidRPr="00C07F6E" w:rsidRDefault="00DD4D5C" w:rsidP="002035E9">
            <w:pPr>
              <w:pStyle w:val="Footnote"/>
              <w:jc w:val="right"/>
            </w:pPr>
            <w:r w:rsidRPr="00C07F6E">
              <w:t xml:space="preserve">1,483 </w:t>
            </w:r>
          </w:p>
        </w:tc>
        <w:tc>
          <w:tcPr>
            <w:tcW w:w="863" w:type="dxa"/>
            <w:noWrap/>
            <w:vAlign w:val="center"/>
            <w:hideMark/>
          </w:tcPr>
          <w:p w14:paraId="24AB5124" w14:textId="3978128C" w:rsidR="00DD4D5C" w:rsidRPr="00C07F6E" w:rsidRDefault="00DD4D5C" w:rsidP="002035E9">
            <w:pPr>
              <w:pStyle w:val="Footnote"/>
              <w:jc w:val="right"/>
            </w:pPr>
            <w:r w:rsidRPr="00C07F6E">
              <w:t xml:space="preserve">1,509 </w:t>
            </w:r>
          </w:p>
        </w:tc>
        <w:tc>
          <w:tcPr>
            <w:tcW w:w="862" w:type="dxa"/>
            <w:noWrap/>
            <w:vAlign w:val="center"/>
            <w:hideMark/>
          </w:tcPr>
          <w:p w14:paraId="5B54AAF2" w14:textId="4E6C4E70" w:rsidR="00DD4D5C" w:rsidRPr="00C07F6E" w:rsidRDefault="00DD4D5C" w:rsidP="002035E9">
            <w:pPr>
              <w:pStyle w:val="Footnote"/>
              <w:jc w:val="right"/>
            </w:pPr>
            <w:r w:rsidRPr="00C07F6E">
              <w:t xml:space="preserve">1,408 </w:t>
            </w:r>
          </w:p>
        </w:tc>
        <w:tc>
          <w:tcPr>
            <w:tcW w:w="863" w:type="dxa"/>
            <w:noWrap/>
            <w:vAlign w:val="center"/>
            <w:hideMark/>
          </w:tcPr>
          <w:p w14:paraId="5A2EE0BA" w14:textId="2C0A06C4" w:rsidR="00DD4D5C" w:rsidRPr="00C07F6E" w:rsidRDefault="00DD4D5C" w:rsidP="002035E9">
            <w:pPr>
              <w:pStyle w:val="Footnote"/>
              <w:jc w:val="right"/>
            </w:pPr>
            <w:r w:rsidRPr="00C07F6E">
              <w:t xml:space="preserve">4,618 </w:t>
            </w:r>
          </w:p>
        </w:tc>
        <w:tc>
          <w:tcPr>
            <w:tcW w:w="862" w:type="dxa"/>
            <w:noWrap/>
            <w:vAlign w:val="center"/>
            <w:hideMark/>
          </w:tcPr>
          <w:p w14:paraId="53701F1A" w14:textId="17B24C25" w:rsidR="00DD4D5C" w:rsidRPr="00C07F6E" w:rsidRDefault="00DD4D5C" w:rsidP="002035E9">
            <w:pPr>
              <w:pStyle w:val="Footnote"/>
              <w:jc w:val="right"/>
            </w:pPr>
            <w:r w:rsidRPr="00C07F6E">
              <w:t xml:space="preserve">4,338 </w:t>
            </w:r>
          </w:p>
        </w:tc>
      </w:tr>
      <w:tr w:rsidR="00DD4D5C" w:rsidRPr="00C07F6E" w14:paraId="2774C914" w14:textId="77777777" w:rsidTr="00E44318">
        <w:trPr>
          <w:trHeight w:val="53"/>
          <w:jc w:val="center"/>
        </w:trPr>
        <w:tc>
          <w:tcPr>
            <w:tcW w:w="3895" w:type="dxa"/>
            <w:noWrap/>
            <w:vAlign w:val="center"/>
            <w:hideMark/>
          </w:tcPr>
          <w:p w14:paraId="5AD97501" w14:textId="6813C5AF" w:rsidR="00DD4D5C" w:rsidRPr="00C07F6E" w:rsidRDefault="00DD4D5C" w:rsidP="00780234">
            <w:pPr>
              <w:pStyle w:val="Footnote"/>
              <w:ind w:left="288"/>
            </w:pPr>
            <w:r w:rsidRPr="00C07F6E">
              <w:t>Deferred income taxes</w:t>
            </w:r>
          </w:p>
        </w:tc>
        <w:tc>
          <w:tcPr>
            <w:tcW w:w="948" w:type="dxa"/>
            <w:vAlign w:val="center"/>
          </w:tcPr>
          <w:p w14:paraId="636A920F" w14:textId="2E1FF119" w:rsidR="00DD4D5C" w:rsidRPr="00C07F6E" w:rsidRDefault="00DD4D5C" w:rsidP="002035E9">
            <w:pPr>
              <w:pStyle w:val="Footnote"/>
              <w:jc w:val="right"/>
            </w:pPr>
            <w:r w:rsidRPr="00C07F6E">
              <w:t xml:space="preserve">49 </w:t>
            </w:r>
          </w:p>
        </w:tc>
        <w:tc>
          <w:tcPr>
            <w:tcW w:w="920" w:type="dxa"/>
            <w:noWrap/>
            <w:vAlign w:val="center"/>
            <w:hideMark/>
          </w:tcPr>
          <w:p w14:paraId="0A723C78" w14:textId="1A7114C4" w:rsidR="00DD4D5C" w:rsidRPr="00C07F6E" w:rsidRDefault="00DD4D5C" w:rsidP="002035E9">
            <w:pPr>
              <w:pStyle w:val="Footnote"/>
              <w:jc w:val="right"/>
            </w:pPr>
            <w:r w:rsidRPr="00C07F6E">
              <w:t xml:space="preserve">514 </w:t>
            </w:r>
          </w:p>
        </w:tc>
        <w:tc>
          <w:tcPr>
            <w:tcW w:w="863" w:type="dxa"/>
            <w:noWrap/>
            <w:vAlign w:val="center"/>
            <w:hideMark/>
          </w:tcPr>
          <w:p w14:paraId="5B86741A" w14:textId="7F365E05" w:rsidR="00DD4D5C" w:rsidRPr="00C07F6E" w:rsidRDefault="00DD4D5C" w:rsidP="002035E9">
            <w:pPr>
              <w:pStyle w:val="Footnote"/>
              <w:jc w:val="right"/>
            </w:pPr>
            <w:r w:rsidRPr="00C07F6E">
              <w:t xml:space="preserve">73 </w:t>
            </w:r>
          </w:p>
        </w:tc>
        <w:tc>
          <w:tcPr>
            <w:tcW w:w="862" w:type="dxa"/>
            <w:noWrap/>
            <w:vAlign w:val="center"/>
            <w:hideMark/>
          </w:tcPr>
          <w:p w14:paraId="5020DF3D" w14:textId="63C1D635" w:rsidR="00DD4D5C" w:rsidRPr="00C07F6E" w:rsidRDefault="00DD4D5C" w:rsidP="002035E9">
            <w:pPr>
              <w:pStyle w:val="Footnote"/>
              <w:jc w:val="right"/>
            </w:pPr>
            <w:r w:rsidRPr="00C07F6E">
              <w:t xml:space="preserve">58 </w:t>
            </w:r>
          </w:p>
        </w:tc>
        <w:tc>
          <w:tcPr>
            <w:tcW w:w="863" w:type="dxa"/>
            <w:noWrap/>
            <w:vAlign w:val="center"/>
            <w:hideMark/>
          </w:tcPr>
          <w:p w14:paraId="1821002D" w14:textId="1E439AC7" w:rsidR="00DD4D5C" w:rsidRPr="00C07F6E" w:rsidRDefault="00DD4D5C" w:rsidP="002035E9">
            <w:pPr>
              <w:pStyle w:val="Footnote"/>
              <w:jc w:val="right"/>
            </w:pPr>
            <w:r w:rsidRPr="00C07F6E">
              <w:t xml:space="preserve">23 </w:t>
            </w:r>
          </w:p>
        </w:tc>
        <w:tc>
          <w:tcPr>
            <w:tcW w:w="862" w:type="dxa"/>
            <w:noWrap/>
            <w:vAlign w:val="center"/>
            <w:hideMark/>
          </w:tcPr>
          <w:p w14:paraId="45109018" w14:textId="229590DF" w:rsidR="00DD4D5C" w:rsidRPr="00C07F6E" w:rsidRDefault="00DD4D5C" w:rsidP="002035E9">
            <w:pPr>
              <w:pStyle w:val="Footnote"/>
              <w:jc w:val="right"/>
            </w:pPr>
            <w:r w:rsidRPr="00C07F6E">
              <w:t xml:space="preserve">48 </w:t>
            </w:r>
          </w:p>
        </w:tc>
      </w:tr>
      <w:tr w:rsidR="00DD4D5C" w:rsidRPr="00C07F6E" w14:paraId="43FCB492" w14:textId="77777777" w:rsidTr="00E44318">
        <w:trPr>
          <w:trHeight w:val="53"/>
          <w:jc w:val="center"/>
        </w:trPr>
        <w:tc>
          <w:tcPr>
            <w:tcW w:w="3895" w:type="dxa"/>
            <w:noWrap/>
            <w:vAlign w:val="center"/>
            <w:hideMark/>
          </w:tcPr>
          <w:p w14:paraId="4652CE5F" w14:textId="5993B87E" w:rsidR="00DD4D5C" w:rsidRPr="00C07F6E" w:rsidRDefault="00DD4D5C" w:rsidP="00780234">
            <w:pPr>
              <w:pStyle w:val="Footnote"/>
              <w:ind w:left="288"/>
            </w:pPr>
            <w:r w:rsidRPr="00C07F6E">
              <w:t>Other long-term assets</w:t>
            </w:r>
          </w:p>
        </w:tc>
        <w:tc>
          <w:tcPr>
            <w:tcW w:w="948" w:type="dxa"/>
            <w:vAlign w:val="center"/>
          </w:tcPr>
          <w:p w14:paraId="71C3DEA3" w14:textId="5EE386EA" w:rsidR="00DD4D5C" w:rsidRPr="00C07F6E" w:rsidRDefault="00DD4D5C" w:rsidP="002035E9">
            <w:pPr>
              <w:pStyle w:val="Footnote"/>
              <w:jc w:val="right"/>
            </w:pPr>
            <w:r w:rsidRPr="00C07F6E">
              <w:t xml:space="preserve">8,253 </w:t>
            </w:r>
          </w:p>
        </w:tc>
        <w:tc>
          <w:tcPr>
            <w:tcW w:w="920" w:type="dxa"/>
            <w:noWrap/>
            <w:vAlign w:val="center"/>
            <w:hideMark/>
          </w:tcPr>
          <w:p w14:paraId="0241020A" w14:textId="59BB98EC" w:rsidR="00DD4D5C" w:rsidRPr="00C07F6E" w:rsidRDefault="00DD4D5C" w:rsidP="002035E9">
            <w:pPr>
              <w:pStyle w:val="Footnote"/>
              <w:jc w:val="right"/>
            </w:pPr>
            <w:r w:rsidRPr="00C07F6E">
              <w:t xml:space="preserve">7,531 </w:t>
            </w:r>
          </w:p>
        </w:tc>
        <w:tc>
          <w:tcPr>
            <w:tcW w:w="863" w:type="dxa"/>
            <w:noWrap/>
            <w:vAlign w:val="center"/>
            <w:hideMark/>
          </w:tcPr>
          <w:p w14:paraId="12F7DFA0" w14:textId="0CE66E61" w:rsidR="00DD4D5C" w:rsidRPr="00C07F6E" w:rsidRDefault="00DD4D5C" w:rsidP="002035E9">
            <w:pPr>
              <w:pStyle w:val="Footnote"/>
              <w:jc w:val="right"/>
            </w:pPr>
            <w:r w:rsidRPr="00C07F6E">
              <w:t xml:space="preserve">6,234 </w:t>
            </w:r>
          </w:p>
        </w:tc>
        <w:tc>
          <w:tcPr>
            <w:tcW w:w="862" w:type="dxa"/>
            <w:noWrap/>
            <w:vAlign w:val="center"/>
            <w:hideMark/>
          </w:tcPr>
          <w:p w14:paraId="4A4AB420" w14:textId="7F252E24" w:rsidR="00DD4D5C" w:rsidRPr="00C07F6E" w:rsidRDefault="00DD4D5C" w:rsidP="002035E9">
            <w:pPr>
              <w:pStyle w:val="Footnote"/>
              <w:jc w:val="right"/>
            </w:pPr>
            <w:r w:rsidRPr="00C07F6E">
              <w:t xml:space="preserve">7,743 </w:t>
            </w:r>
          </w:p>
        </w:tc>
        <w:tc>
          <w:tcPr>
            <w:tcW w:w="863" w:type="dxa"/>
            <w:noWrap/>
            <w:vAlign w:val="center"/>
            <w:hideMark/>
          </w:tcPr>
          <w:p w14:paraId="2EED068B" w14:textId="5068100A" w:rsidR="00DD4D5C" w:rsidRPr="00C07F6E" w:rsidRDefault="00DD4D5C" w:rsidP="002035E9">
            <w:pPr>
              <w:pStyle w:val="Footnote"/>
              <w:jc w:val="right"/>
            </w:pPr>
            <w:r w:rsidRPr="00C07F6E">
              <w:t xml:space="preserve">5,576 </w:t>
            </w:r>
          </w:p>
        </w:tc>
        <w:tc>
          <w:tcPr>
            <w:tcW w:w="862" w:type="dxa"/>
            <w:noWrap/>
            <w:vAlign w:val="center"/>
            <w:hideMark/>
          </w:tcPr>
          <w:p w14:paraId="5620D0F2" w14:textId="433C3E4D" w:rsidR="00DD4D5C" w:rsidRPr="00C07F6E" w:rsidRDefault="00DD4D5C" w:rsidP="002035E9">
            <w:pPr>
              <w:pStyle w:val="Footnote"/>
              <w:jc w:val="right"/>
            </w:pPr>
            <w:r w:rsidRPr="00C07F6E">
              <w:t xml:space="preserve">4,520 </w:t>
            </w:r>
          </w:p>
        </w:tc>
      </w:tr>
      <w:tr w:rsidR="00DD4D5C" w:rsidRPr="00DA1C95" w14:paraId="38BCDA95" w14:textId="77777777" w:rsidTr="00E44318">
        <w:trPr>
          <w:trHeight w:val="43"/>
          <w:jc w:val="center"/>
        </w:trPr>
        <w:tc>
          <w:tcPr>
            <w:tcW w:w="3895" w:type="dxa"/>
            <w:noWrap/>
            <w:vAlign w:val="center"/>
            <w:hideMark/>
          </w:tcPr>
          <w:p w14:paraId="50A82B04" w14:textId="59EFC0CC" w:rsidR="00DD4D5C" w:rsidRPr="00DA1C95" w:rsidRDefault="00DD4D5C" w:rsidP="00780234">
            <w:pPr>
              <w:pStyle w:val="Footnote"/>
              <w:ind w:left="144"/>
            </w:pPr>
            <w:r w:rsidRPr="00DA1C95">
              <w:t>Total non-current assets</w:t>
            </w:r>
          </w:p>
        </w:tc>
        <w:tc>
          <w:tcPr>
            <w:tcW w:w="948" w:type="dxa"/>
            <w:vAlign w:val="center"/>
          </w:tcPr>
          <w:p w14:paraId="5E871A75" w14:textId="792EF4AC" w:rsidR="00DD4D5C" w:rsidRPr="00DA1C95" w:rsidRDefault="00DD4D5C" w:rsidP="002035E9">
            <w:pPr>
              <w:pStyle w:val="Footnote"/>
              <w:jc w:val="right"/>
            </w:pPr>
            <w:r w:rsidRPr="00DA1C95">
              <w:t xml:space="preserve">29,076 </w:t>
            </w:r>
          </w:p>
        </w:tc>
        <w:tc>
          <w:tcPr>
            <w:tcW w:w="920" w:type="dxa"/>
            <w:noWrap/>
            <w:vAlign w:val="center"/>
            <w:hideMark/>
          </w:tcPr>
          <w:p w14:paraId="000EEAD3" w14:textId="196D6F7C" w:rsidR="00DD4D5C" w:rsidRPr="00DA1C95" w:rsidRDefault="00DD4D5C" w:rsidP="002035E9">
            <w:pPr>
              <w:pStyle w:val="Footnote"/>
              <w:jc w:val="right"/>
            </w:pPr>
            <w:r w:rsidRPr="00DA1C95">
              <w:t xml:space="preserve">32,256 </w:t>
            </w:r>
          </w:p>
        </w:tc>
        <w:tc>
          <w:tcPr>
            <w:tcW w:w="863" w:type="dxa"/>
            <w:noWrap/>
            <w:vAlign w:val="center"/>
            <w:hideMark/>
          </w:tcPr>
          <w:p w14:paraId="57535ED7" w14:textId="165AAB69" w:rsidR="00DD4D5C" w:rsidRPr="00DA1C95" w:rsidRDefault="00DD4D5C" w:rsidP="002035E9">
            <w:pPr>
              <w:pStyle w:val="Footnote"/>
              <w:jc w:val="right"/>
            </w:pPr>
            <w:r w:rsidRPr="00DA1C95">
              <w:t xml:space="preserve">34,592 </w:t>
            </w:r>
          </w:p>
        </w:tc>
        <w:tc>
          <w:tcPr>
            <w:tcW w:w="862" w:type="dxa"/>
            <w:noWrap/>
            <w:vAlign w:val="center"/>
            <w:hideMark/>
          </w:tcPr>
          <w:p w14:paraId="346A552B" w14:textId="2F6E99F0" w:rsidR="00DD4D5C" w:rsidRPr="00DA1C95" w:rsidRDefault="00DD4D5C" w:rsidP="002035E9">
            <w:pPr>
              <w:pStyle w:val="Footnote"/>
              <w:jc w:val="right"/>
            </w:pPr>
            <w:r w:rsidRPr="00DA1C95">
              <w:t xml:space="preserve">37,033 </w:t>
            </w:r>
          </w:p>
        </w:tc>
        <w:tc>
          <w:tcPr>
            <w:tcW w:w="863" w:type="dxa"/>
            <w:noWrap/>
            <w:vAlign w:val="center"/>
            <w:hideMark/>
          </w:tcPr>
          <w:p w14:paraId="6E522BC9" w14:textId="411447E8" w:rsidR="00DD4D5C" w:rsidRPr="00DA1C95" w:rsidRDefault="00DD4D5C" w:rsidP="002035E9">
            <w:pPr>
              <w:pStyle w:val="Footnote"/>
              <w:jc w:val="right"/>
            </w:pPr>
            <w:r w:rsidRPr="00DA1C95">
              <w:t xml:space="preserve">37,918 </w:t>
            </w:r>
          </w:p>
        </w:tc>
        <w:tc>
          <w:tcPr>
            <w:tcW w:w="862" w:type="dxa"/>
            <w:noWrap/>
            <w:vAlign w:val="center"/>
            <w:hideMark/>
          </w:tcPr>
          <w:p w14:paraId="61669DB4" w14:textId="42176034" w:rsidR="00DD4D5C" w:rsidRPr="00DA1C95" w:rsidRDefault="00DD4D5C" w:rsidP="002035E9">
            <w:pPr>
              <w:pStyle w:val="Footnote"/>
              <w:jc w:val="right"/>
            </w:pPr>
            <w:r w:rsidRPr="00DA1C95">
              <w:t xml:space="preserve">35,167 </w:t>
            </w:r>
          </w:p>
        </w:tc>
      </w:tr>
      <w:tr w:rsidR="00DD4D5C" w:rsidRPr="00C07F6E" w14:paraId="17769E2F" w14:textId="77777777" w:rsidTr="00E44318">
        <w:trPr>
          <w:trHeight w:val="43"/>
          <w:jc w:val="center"/>
        </w:trPr>
        <w:tc>
          <w:tcPr>
            <w:tcW w:w="3895" w:type="dxa"/>
            <w:noWrap/>
            <w:vAlign w:val="center"/>
            <w:hideMark/>
          </w:tcPr>
          <w:p w14:paraId="401A57F3" w14:textId="77777777" w:rsidR="00DD4D5C" w:rsidRPr="00C07F6E" w:rsidRDefault="00DD4D5C" w:rsidP="002035E9">
            <w:pPr>
              <w:pStyle w:val="Footnote"/>
            </w:pPr>
            <w:r w:rsidRPr="00C07F6E">
              <w:t>Total assets</w:t>
            </w:r>
          </w:p>
        </w:tc>
        <w:tc>
          <w:tcPr>
            <w:tcW w:w="948" w:type="dxa"/>
            <w:vAlign w:val="center"/>
          </w:tcPr>
          <w:p w14:paraId="4DACEC9A" w14:textId="15D28B54" w:rsidR="00DD4D5C" w:rsidRPr="00C07F6E" w:rsidRDefault="00DD4D5C" w:rsidP="002035E9">
            <w:pPr>
              <w:pStyle w:val="Footnote"/>
              <w:jc w:val="right"/>
            </w:pPr>
            <w:r w:rsidRPr="00C07F6E">
              <w:t xml:space="preserve">43,904 </w:t>
            </w:r>
          </w:p>
        </w:tc>
        <w:tc>
          <w:tcPr>
            <w:tcW w:w="920" w:type="dxa"/>
            <w:noWrap/>
            <w:vAlign w:val="center"/>
            <w:hideMark/>
          </w:tcPr>
          <w:p w14:paraId="7DFDBC4A" w14:textId="4937C039" w:rsidR="00DD4D5C" w:rsidRPr="00C07F6E" w:rsidRDefault="00DD4D5C" w:rsidP="002035E9">
            <w:pPr>
              <w:pStyle w:val="Footnote"/>
              <w:jc w:val="right"/>
            </w:pPr>
            <w:r w:rsidRPr="00C07F6E">
              <w:t xml:space="preserve">44,214 </w:t>
            </w:r>
          </w:p>
        </w:tc>
        <w:tc>
          <w:tcPr>
            <w:tcW w:w="863" w:type="dxa"/>
            <w:noWrap/>
            <w:vAlign w:val="center"/>
            <w:hideMark/>
          </w:tcPr>
          <w:p w14:paraId="0A2D55C0" w14:textId="7AD63913" w:rsidR="00DD4D5C" w:rsidRPr="00C07F6E" w:rsidRDefault="00DD4D5C" w:rsidP="002035E9">
            <w:pPr>
              <w:pStyle w:val="Footnote"/>
              <w:jc w:val="right"/>
            </w:pPr>
            <w:r w:rsidRPr="00C07F6E">
              <w:t xml:space="preserve">50,164 </w:t>
            </w:r>
          </w:p>
        </w:tc>
        <w:tc>
          <w:tcPr>
            <w:tcW w:w="862" w:type="dxa"/>
            <w:noWrap/>
            <w:vAlign w:val="center"/>
            <w:hideMark/>
          </w:tcPr>
          <w:p w14:paraId="083F6BC3" w14:textId="07587D1A" w:rsidR="00DD4D5C" w:rsidRPr="00C07F6E" w:rsidRDefault="00DD4D5C" w:rsidP="002035E9">
            <w:pPr>
              <w:pStyle w:val="Footnote"/>
              <w:jc w:val="right"/>
            </w:pPr>
            <w:r w:rsidRPr="00C07F6E">
              <w:t xml:space="preserve">50,129 </w:t>
            </w:r>
          </w:p>
        </w:tc>
        <w:tc>
          <w:tcPr>
            <w:tcW w:w="863" w:type="dxa"/>
            <w:noWrap/>
            <w:vAlign w:val="center"/>
            <w:hideMark/>
          </w:tcPr>
          <w:p w14:paraId="0415D67C" w14:textId="68C3F0D6" w:rsidR="00DD4D5C" w:rsidRPr="00C07F6E" w:rsidRDefault="00DD4D5C" w:rsidP="002035E9">
            <w:pPr>
              <w:pStyle w:val="Footnote"/>
              <w:jc w:val="right"/>
            </w:pPr>
            <w:r w:rsidRPr="00C07F6E">
              <w:t xml:space="preserve">50,781 </w:t>
            </w:r>
          </w:p>
        </w:tc>
        <w:tc>
          <w:tcPr>
            <w:tcW w:w="862" w:type="dxa"/>
            <w:noWrap/>
            <w:vAlign w:val="center"/>
            <w:hideMark/>
          </w:tcPr>
          <w:p w14:paraId="54D200D4" w14:textId="3FFB29E5" w:rsidR="00DD4D5C" w:rsidRPr="00C07F6E" w:rsidRDefault="00DD4D5C" w:rsidP="002035E9">
            <w:pPr>
              <w:pStyle w:val="Footnote"/>
              <w:jc w:val="right"/>
            </w:pPr>
            <w:r w:rsidRPr="00C07F6E">
              <w:t xml:space="preserve">47,206 </w:t>
            </w:r>
          </w:p>
        </w:tc>
      </w:tr>
      <w:tr w:rsidR="00DD4D5C" w:rsidRPr="00C07F6E" w14:paraId="298C5FFA" w14:textId="77777777" w:rsidTr="00E44318">
        <w:trPr>
          <w:trHeight w:val="53"/>
          <w:jc w:val="center"/>
        </w:trPr>
        <w:tc>
          <w:tcPr>
            <w:tcW w:w="3895" w:type="dxa"/>
            <w:noWrap/>
            <w:vAlign w:val="center"/>
            <w:hideMark/>
          </w:tcPr>
          <w:p w14:paraId="3C9F2A65" w14:textId="77777777" w:rsidR="00DD4D5C" w:rsidRPr="00C07F6E" w:rsidRDefault="00DD4D5C" w:rsidP="002035E9">
            <w:pPr>
              <w:pStyle w:val="Footnote"/>
            </w:pPr>
            <w:r w:rsidRPr="00C07F6E">
              <w:t>Liabilities and stockholders' equity</w:t>
            </w:r>
          </w:p>
        </w:tc>
        <w:tc>
          <w:tcPr>
            <w:tcW w:w="948" w:type="dxa"/>
            <w:vAlign w:val="center"/>
          </w:tcPr>
          <w:p w14:paraId="412A3CCF" w14:textId="77777777" w:rsidR="00DD4D5C" w:rsidRPr="00C07F6E" w:rsidRDefault="00DD4D5C" w:rsidP="002035E9">
            <w:pPr>
              <w:pStyle w:val="Footnote"/>
              <w:jc w:val="right"/>
            </w:pPr>
          </w:p>
        </w:tc>
        <w:tc>
          <w:tcPr>
            <w:tcW w:w="920" w:type="dxa"/>
            <w:noWrap/>
            <w:vAlign w:val="center"/>
            <w:hideMark/>
          </w:tcPr>
          <w:p w14:paraId="0C6B9C0E" w14:textId="5DC43803" w:rsidR="00DD4D5C" w:rsidRPr="00C07F6E" w:rsidRDefault="00714F4F" w:rsidP="002035E9">
            <w:pPr>
              <w:pStyle w:val="Footnote"/>
              <w:jc w:val="right"/>
            </w:pPr>
            <w:r>
              <w:t xml:space="preserve"> </w:t>
            </w:r>
          </w:p>
        </w:tc>
        <w:tc>
          <w:tcPr>
            <w:tcW w:w="863" w:type="dxa"/>
            <w:noWrap/>
            <w:vAlign w:val="center"/>
            <w:hideMark/>
          </w:tcPr>
          <w:p w14:paraId="174E8A2C" w14:textId="4BA5A621" w:rsidR="00DD4D5C" w:rsidRPr="00C07F6E" w:rsidRDefault="00714F4F" w:rsidP="002035E9">
            <w:pPr>
              <w:pStyle w:val="Footnote"/>
              <w:jc w:val="right"/>
            </w:pPr>
            <w:r>
              <w:t xml:space="preserve"> </w:t>
            </w:r>
          </w:p>
        </w:tc>
        <w:tc>
          <w:tcPr>
            <w:tcW w:w="862" w:type="dxa"/>
            <w:noWrap/>
            <w:vAlign w:val="center"/>
            <w:hideMark/>
          </w:tcPr>
          <w:p w14:paraId="3B177F98" w14:textId="2CE30E11" w:rsidR="00DD4D5C" w:rsidRPr="00C07F6E" w:rsidRDefault="00714F4F" w:rsidP="002035E9">
            <w:pPr>
              <w:pStyle w:val="Footnote"/>
              <w:jc w:val="right"/>
            </w:pPr>
            <w:r>
              <w:t xml:space="preserve"> </w:t>
            </w:r>
          </w:p>
        </w:tc>
        <w:tc>
          <w:tcPr>
            <w:tcW w:w="863" w:type="dxa"/>
            <w:noWrap/>
            <w:vAlign w:val="center"/>
            <w:hideMark/>
          </w:tcPr>
          <w:p w14:paraId="0F86BA3F" w14:textId="1D9F5FFE" w:rsidR="00DD4D5C" w:rsidRPr="00C07F6E" w:rsidRDefault="00714F4F" w:rsidP="002035E9">
            <w:pPr>
              <w:pStyle w:val="Footnote"/>
              <w:jc w:val="right"/>
            </w:pPr>
            <w:r>
              <w:t xml:space="preserve"> </w:t>
            </w:r>
          </w:p>
        </w:tc>
        <w:tc>
          <w:tcPr>
            <w:tcW w:w="862" w:type="dxa"/>
            <w:noWrap/>
            <w:vAlign w:val="center"/>
            <w:hideMark/>
          </w:tcPr>
          <w:p w14:paraId="3EA3B610" w14:textId="0632677F" w:rsidR="00DD4D5C" w:rsidRPr="00C07F6E" w:rsidRDefault="00714F4F" w:rsidP="002035E9">
            <w:pPr>
              <w:pStyle w:val="Footnote"/>
              <w:jc w:val="right"/>
            </w:pPr>
            <w:r>
              <w:t xml:space="preserve"> </w:t>
            </w:r>
          </w:p>
        </w:tc>
      </w:tr>
      <w:tr w:rsidR="00DD4D5C" w:rsidRPr="00C07F6E" w14:paraId="39A5662F" w14:textId="77777777" w:rsidTr="00E44318">
        <w:trPr>
          <w:trHeight w:val="53"/>
          <w:jc w:val="center"/>
        </w:trPr>
        <w:tc>
          <w:tcPr>
            <w:tcW w:w="3895" w:type="dxa"/>
            <w:noWrap/>
            <w:vAlign w:val="center"/>
            <w:hideMark/>
          </w:tcPr>
          <w:p w14:paraId="094ABD56" w14:textId="77777777" w:rsidR="00DD4D5C" w:rsidRPr="00C07F6E" w:rsidRDefault="00DD4D5C" w:rsidP="002035E9">
            <w:pPr>
              <w:pStyle w:val="Footnote"/>
            </w:pPr>
            <w:r w:rsidRPr="00C07F6E">
              <w:t>Liabilities</w:t>
            </w:r>
          </w:p>
        </w:tc>
        <w:tc>
          <w:tcPr>
            <w:tcW w:w="948" w:type="dxa"/>
            <w:vAlign w:val="center"/>
          </w:tcPr>
          <w:p w14:paraId="134E329C" w14:textId="77777777" w:rsidR="00DD4D5C" w:rsidRPr="00C07F6E" w:rsidRDefault="00DD4D5C" w:rsidP="002035E9">
            <w:pPr>
              <w:pStyle w:val="Footnote"/>
              <w:jc w:val="right"/>
            </w:pPr>
          </w:p>
        </w:tc>
        <w:tc>
          <w:tcPr>
            <w:tcW w:w="920" w:type="dxa"/>
            <w:noWrap/>
            <w:vAlign w:val="center"/>
            <w:hideMark/>
          </w:tcPr>
          <w:p w14:paraId="39F83E26" w14:textId="56B92CE8" w:rsidR="00DD4D5C" w:rsidRPr="00C07F6E" w:rsidRDefault="00714F4F" w:rsidP="002035E9">
            <w:pPr>
              <w:pStyle w:val="Footnote"/>
              <w:jc w:val="right"/>
            </w:pPr>
            <w:r>
              <w:t xml:space="preserve"> </w:t>
            </w:r>
          </w:p>
        </w:tc>
        <w:tc>
          <w:tcPr>
            <w:tcW w:w="863" w:type="dxa"/>
            <w:noWrap/>
            <w:vAlign w:val="center"/>
            <w:hideMark/>
          </w:tcPr>
          <w:p w14:paraId="0375097B" w14:textId="18FC9BD9" w:rsidR="00DD4D5C" w:rsidRPr="00C07F6E" w:rsidRDefault="00714F4F" w:rsidP="002035E9">
            <w:pPr>
              <w:pStyle w:val="Footnote"/>
              <w:jc w:val="right"/>
            </w:pPr>
            <w:r>
              <w:t xml:space="preserve"> </w:t>
            </w:r>
          </w:p>
        </w:tc>
        <w:tc>
          <w:tcPr>
            <w:tcW w:w="862" w:type="dxa"/>
            <w:noWrap/>
            <w:vAlign w:val="center"/>
            <w:hideMark/>
          </w:tcPr>
          <w:p w14:paraId="3BF966B6" w14:textId="2DF385F6" w:rsidR="00DD4D5C" w:rsidRPr="00C07F6E" w:rsidRDefault="00714F4F" w:rsidP="002035E9">
            <w:pPr>
              <w:pStyle w:val="Footnote"/>
              <w:jc w:val="right"/>
            </w:pPr>
            <w:r>
              <w:t xml:space="preserve"> </w:t>
            </w:r>
          </w:p>
        </w:tc>
        <w:tc>
          <w:tcPr>
            <w:tcW w:w="863" w:type="dxa"/>
            <w:noWrap/>
            <w:vAlign w:val="center"/>
            <w:hideMark/>
          </w:tcPr>
          <w:p w14:paraId="69E62257" w14:textId="7266F5B2" w:rsidR="00DD4D5C" w:rsidRPr="00C07F6E" w:rsidRDefault="00714F4F" w:rsidP="002035E9">
            <w:pPr>
              <w:pStyle w:val="Footnote"/>
              <w:jc w:val="right"/>
            </w:pPr>
            <w:r>
              <w:t xml:space="preserve"> </w:t>
            </w:r>
          </w:p>
        </w:tc>
        <w:tc>
          <w:tcPr>
            <w:tcW w:w="862" w:type="dxa"/>
            <w:noWrap/>
            <w:vAlign w:val="center"/>
            <w:hideMark/>
          </w:tcPr>
          <w:p w14:paraId="3CC055B9" w14:textId="72ECAADE" w:rsidR="00DD4D5C" w:rsidRPr="00C07F6E" w:rsidRDefault="00714F4F" w:rsidP="002035E9">
            <w:pPr>
              <w:pStyle w:val="Footnote"/>
              <w:jc w:val="right"/>
            </w:pPr>
            <w:r>
              <w:t xml:space="preserve"> </w:t>
            </w:r>
          </w:p>
        </w:tc>
      </w:tr>
      <w:tr w:rsidR="00DD4D5C" w:rsidRPr="00C07F6E" w14:paraId="7A0CCF5F" w14:textId="77777777" w:rsidTr="00E44318">
        <w:trPr>
          <w:trHeight w:val="53"/>
          <w:jc w:val="center"/>
        </w:trPr>
        <w:tc>
          <w:tcPr>
            <w:tcW w:w="3895" w:type="dxa"/>
            <w:noWrap/>
            <w:vAlign w:val="center"/>
            <w:hideMark/>
          </w:tcPr>
          <w:p w14:paraId="194DF9F6" w14:textId="21AA4A80" w:rsidR="00DD4D5C" w:rsidRPr="00C07F6E" w:rsidRDefault="00DD4D5C" w:rsidP="00780234">
            <w:pPr>
              <w:pStyle w:val="Footnote"/>
              <w:ind w:left="144"/>
            </w:pPr>
            <w:r w:rsidRPr="00C07F6E">
              <w:t>Current liabilities</w:t>
            </w:r>
          </w:p>
        </w:tc>
        <w:tc>
          <w:tcPr>
            <w:tcW w:w="948" w:type="dxa"/>
            <w:vAlign w:val="center"/>
          </w:tcPr>
          <w:p w14:paraId="5F7B0085" w14:textId="77777777" w:rsidR="00DD4D5C" w:rsidRPr="00C07F6E" w:rsidRDefault="00DD4D5C" w:rsidP="002035E9">
            <w:pPr>
              <w:pStyle w:val="Footnote"/>
              <w:jc w:val="right"/>
            </w:pPr>
          </w:p>
        </w:tc>
        <w:tc>
          <w:tcPr>
            <w:tcW w:w="920" w:type="dxa"/>
            <w:noWrap/>
            <w:vAlign w:val="center"/>
            <w:hideMark/>
          </w:tcPr>
          <w:p w14:paraId="0CCFEA54" w14:textId="1CF8D2AA" w:rsidR="00DD4D5C" w:rsidRPr="00C07F6E" w:rsidRDefault="00714F4F" w:rsidP="002035E9">
            <w:pPr>
              <w:pStyle w:val="Footnote"/>
              <w:jc w:val="right"/>
            </w:pPr>
            <w:r>
              <w:t xml:space="preserve"> </w:t>
            </w:r>
          </w:p>
        </w:tc>
        <w:tc>
          <w:tcPr>
            <w:tcW w:w="863" w:type="dxa"/>
            <w:noWrap/>
            <w:vAlign w:val="center"/>
            <w:hideMark/>
          </w:tcPr>
          <w:p w14:paraId="1F5D3D3C" w14:textId="10B68626" w:rsidR="00DD4D5C" w:rsidRPr="00C07F6E" w:rsidRDefault="00714F4F" w:rsidP="002035E9">
            <w:pPr>
              <w:pStyle w:val="Footnote"/>
              <w:jc w:val="right"/>
            </w:pPr>
            <w:r>
              <w:t xml:space="preserve"> </w:t>
            </w:r>
          </w:p>
        </w:tc>
        <w:tc>
          <w:tcPr>
            <w:tcW w:w="862" w:type="dxa"/>
            <w:noWrap/>
            <w:vAlign w:val="center"/>
            <w:hideMark/>
          </w:tcPr>
          <w:p w14:paraId="5702DA6C" w14:textId="454510BC" w:rsidR="00DD4D5C" w:rsidRPr="00C07F6E" w:rsidRDefault="00714F4F" w:rsidP="002035E9">
            <w:pPr>
              <w:pStyle w:val="Footnote"/>
              <w:jc w:val="right"/>
            </w:pPr>
            <w:r>
              <w:t xml:space="preserve"> </w:t>
            </w:r>
          </w:p>
        </w:tc>
        <w:tc>
          <w:tcPr>
            <w:tcW w:w="863" w:type="dxa"/>
            <w:noWrap/>
            <w:vAlign w:val="center"/>
            <w:hideMark/>
          </w:tcPr>
          <w:p w14:paraId="238240D8" w14:textId="059FC73B" w:rsidR="00DD4D5C" w:rsidRPr="00C07F6E" w:rsidRDefault="00714F4F" w:rsidP="002035E9">
            <w:pPr>
              <w:pStyle w:val="Footnote"/>
              <w:jc w:val="right"/>
            </w:pPr>
            <w:r>
              <w:t xml:space="preserve"> </w:t>
            </w:r>
          </w:p>
        </w:tc>
        <w:tc>
          <w:tcPr>
            <w:tcW w:w="862" w:type="dxa"/>
            <w:noWrap/>
            <w:vAlign w:val="center"/>
            <w:hideMark/>
          </w:tcPr>
          <w:p w14:paraId="56FE6F9D" w14:textId="5DAAC81F" w:rsidR="00DD4D5C" w:rsidRPr="00C07F6E" w:rsidRDefault="00714F4F" w:rsidP="002035E9">
            <w:pPr>
              <w:pStyle w:val="Footnote"/>
              <w:jc w:val="right"/>
            </w:pPr>
            <w:r>
              <w:t xml:space="preserve"> </w:t>
            </w:r>
          </w:p>
        </w:tc>
      </w:tr>
      <w:tr w:rsidR="00DD4D5C" w:rsidRPr="00C07F6E" w14:paraId="78EF1441" w14:textId="77777777" w:rsidTr="00E44318">
        <w:trPr>
          <w:trHeight w:val="81"/>
          <w:jc w:val="center"/>
        </w:trPr>
        <w:tc>
          <w:tcPr>
            <w:tcW w:w="3895" w:type="dxa"/>
            <w:noWrap/>
            <w:vAlign w:val="center"/>
            <w:hideMark/>
          </w:tcPr>
          <w:p w14:paraId="587C5A95" w14:textId="7BCC351C" w:rsidR="00DD4D5C" w:rsidRPr="00C07F6E" w:rsidRDefault="00DD4D5C" w:rsidP="00780234">
            <w:pPr>
              <w:pStyle w:val="Footnote"/>
              <w:ind w:left="288"/>
            </w:pPr>
            <w:r w:rsidRPr="00C07F6E">
              <w:t>Short-term debt</w:t>
            </w:r>
          </w:p>
        </w:tc>
        <w:tc>
          <w:tcPr>
            <w:tcW w:w="948" w:type="dxa"/>
            <w:vAlign w:val="center"/>
          </w:tcPr>
          <w:p w14:paraId="35ABF5B3" w14:textId="2182FC1A" w:rsidR="00DD4D5C" w:rsidRPr="00C07F6E" w:rsidRDefault="00DD4D5C" w:rsidP="002035E9">
            <w:pPr>
              <w:pStyle w:val="Footnote"/>
              <w:jc w:val="right"/>
            </w:pPr>
            <w:r w:rsidRPr="00C07F6E">
              <w:t xml:space="preserve">2,815 </w:t>
            </w:r>
          </w:p>
        </w:tc>
        <w:tc>
          <w:tcPr>
            <w:tcW w:w="920" w:type="dxa"/>
            <w:noWrap/>
            <w:vAlign w:val="center"/>
            <w:hideMark/>
          </w:tcPr>
          <w:p w14:paraId="20FD9943" w14:textId="390E36FB" w:rsidR="00DD4D5C" w:rsidRPr="00C07F6E" w:rsidRDefault="00DD4D5C" w:rsidP="002035E9">
            <w:pPr>
              <w:pStyle w:val="Footnote"/>
              <w:jc w:val="right"/>
            </w:pPr>
            <w:r w:rsidRPr="00C07F6E">
              <w:t xml:space="preserve">1,998 </w:t>
            </w:r>
          </w:p>
        </w:tc>
        <w:tc>
          <w:tcPr>
            <w:tcW w:w="863" w:type="dxa"/>
            <w:noWrap/>
            <w:vAlign w:val="center"/>
            <w:hideMark/>
          </w:tcPr>
          <w:p w14:paraId="3BED72E3" w14:textId="7160043C" w:rsidR="00DD4D5C" w:rsidRPr="00C07F6E" w:rsidRDefault="00DD4D5C" w:rsidP="002035E9">
            <w:pPr>
              <w:pStyle w:val="Footnote"/>
              <w:jc w:val="right"/>
            </w:pPr>
            <w:r w:rsidRPr="00C07F6E">
              <w:t xml:space="preserve">1,904 </w:t>
            </w:r>
          </w:p>
        </w:tc>
        <w:tc>
          <w:tcPr>
            <w:tcW w:w="862" w:type="dxa"/>
            <w:noWrap/>
            <w:vAlign w:val="center"/>
            <w:hideMark/>
          </w:tcPr>
          <w:p w14:paraId="1F5D3640" w14:textId="0B8F75D3" w:rsidR="00DD4D5C" w:rsidRPr="00C07F6E" w:rsidRDefault="00DD4D5C" w:rsidP="002035E9">
            <w:pPr>
              <w:pStyle w:val="Footnote"/>
              <w:jc w:val="right"/>
            </w:pPr>
            <w:r w:rsidRPr="00C07F6E">
              <w:t xml:space="preserve">760 </w:t>
            </w:r>
          </w:p>
        </w:tc>
        <w:tc>
          <w:tcPr>
            <w:tcW w:w="863" w:type="dxa"/>
            <w:noWrap/>
            <w:vAlign w:val="center"/>
            <w:hideMark/>
          </w:tcPr>
          <w:p w14:paraId="55F6E92D" w14:textId="19A7D53B" w:rsidR="00DD4D5C" w:rsidRPr="00C07F6E" w:rsidRDefault="00DD4D5C" w:rsidP="002035E9">
            <w:pPr>
              <w:pStyle w:val="Footnote"/>
              <w:jc w:val="right"/>
            </w:pPr>
            <w:r w:rsidRPr="00C07F6E">
              <w:t xml:space="preserve">1,838 </w:t>
            </w:r>
          </w:p>
        </w:tc>
        <w:tc>
          <w:tcPr>
            <w:tcW w:w="862" w:type="dxa"/>
            <w:noWrap/>
            <w:vAlign w:val="center"/>
            <w:hideMark/>
          </w:tcPr>
          <w:p w14:paraId="7C5C3876" w14:textId="56ABE70A" w:rsidR="00DD4D5C" w:rsidRPr="00C07F6E" w:rsidRDefault="00DD4D5C" w:rsidP="002035E9">
            <w:pPr>
              <w:pStyle w:val="Footnote"/>
              <w:jc w:val="right"/>
            </w:pPr>
            <w:r w:rsidRPr="00C07F6E">
              <w:t xml:space="preserve">1,386 </w:t>
            </w:r>
          </w:p>
        </w:tc>
      </w:tr>
      <w:tr w:rsidR="00DD4D5C" w:rsidRPr="00C07F6E" w14:paraId="5399D03D" w14:textId="77777777" w:rsidTr="00E44318">
        <w:trPr>
          <w:trHeight w:val="43"/>
          <w:jc w:val="center"/>
        </w:trPr>
        <w:tc>
          <w:tcPr>
            <w:tcW w:w="3895" w:type="dxa"/>
            <w:noWrap/>
            <w:vAlign w:val="center"/>
            <w:hideMark/>
          </w:tcPr>
          <w:p w14:paraId="06E8F887" w14:textId="641E69EE" w:rsidR="00DD4D5C" w:rsidRPr="00C07F6E" w:rsidRDefault="00DD4D5C" w:rsidP="00780234">
            <w:pPr>
              <w:pStyle w:val="Footnote"/>
              <w:ind w:left="288"/>
            </w:pPr>
            <w:r w:rsidRPr="00C07F6E">
              <w:t>Capital leases</w:t>
            </w:r>
          </w:p>
        </w:tc>
        <w:tc>
          <w:tcPr>
            <w:tcW w:w="948" w:type="dxa"/>
            <w:vAlign w:val="center"/>
          </w:tcPr>
          <w:p w14:paraId="329310B6" w14:textId="1BCB43BA" w:rsidR="00DD4D5C" w:rsidRPr="00C07F6E" w:rsidRDefault="00DD4D5C" w:rsidP="002035E9">
            <w:pPr>
              <w:pStyle w:val="Footnote"/>
              <w:jc w:val="right"/>
            </w:pPr>
            <w:r w:rsidRPr="00C07F6E">
              <w:t xml:space="preserve">11 </w:t>
            </w:r>
          </w:p>
        </w:tc>
        <w:tc>
          <w:tcPr>
            <w:tcW w:w="920" w:type="dxa"/>
            <w:noWrap/>
            <w:vAlign w:val="center"/>
            <w:hideMark/>
          </w:tcPr>
          <w:p w14:paraId="4EF4DC66" w14:textId="5FF1E8EC" w:rsidR="00DD4D5C" w:rsidRPr="00C07F6E" w:rsidRDefault="00DD4D5C" w:rsidP="002035E9">
            <w:pPr>
              <w:pStyle w:val="Footnote"/>
              <w:jc w:val="right"/>
            </w:pPr>
            <w:r w:rsidRPr="00C07F6E">
              <w:t xml:space="preserve">10 </w:t>
            </w:r>
          </w:p>
        </w:tc>
        <w:tc>
          <w:tcPr>
            <w:tcW w:w="863" w:type="dxa"/>
            <w:noWrap/>
            <w:vAlign w:val="center"/>
            <w:hideMark/>
          </w:tcPr>
          <w:p w14:paraId="22B81D6F" w14:textId="5E8181F8" w:rsidR="00DD4D5C" w:rsidRPr="00C07F6E" w:rsidRDefault="00DD4D5C" w:rsidP="002035E9">
            <w:pPr>
              <w:pStyle w:val="Footnote"/>
              <w:jc w:val="right"/>
            </w:pPr>
            <w:r w:rsidRPr="00C07F6E">
              <w:t xml:space="preserve">6 </w:t>
            </w:r>
          </w:p>
        </w:tc>
        <w:tc>
          <w:tcPr>
            <w:tcW w:w="862" w:type="dxa"/>
            <w:noWrap/>
            <w:vAlign w:val="center"/>
            <w:hideMark/>
          </w:tcPr>
          <w:p w14:paraId="0C4DDFC7" w14:textId="2963F7F0" w:rsidR="00DD4D5C" w:rsidRPr="00C07F6E" w:rsidRDefault="00DD4D5C" w:rsidP="002035E9">
            <w:pPr>
              <w:pStyle w:val="Footnote"/>
              <w:jc w:val="right"/>
            </w:pPr>
            <w:r w:rsidRPr="00C07F6E">
              <w:t xml:space="preserve">6 </w:t>
            </w:r>
          </w:p>
        </w:tc>
        <w:tc>
          <w:tcPr>
            <w:tcW w:w="863" w:type="dxa"/>
            <w:noWrap/>
            <w:vAlign w:val="center"/>
            <w:hideMark/>
          </w:tcPr>
          <w:p w14:paraId="228E8E77" w14:textId="7DD2CBEA" w:rsidR="00DD4D5C" w:rsidRPr="00C07F6E" w:rsidRDefault="00714F4F" w:rsidP="002035E9">
            <w:pPr>
              <w:pStyle w:val="Footnote"/>
              <w:jc w:val="right"/>
            </w:pPr>
            <w:r>
              <w:t xml:space="preserve"> </w:t>
            </w:r>
          </w:p>
        </w:tc>
        <w:tc>
          <w:tcPr>
            <w:tcW w:w="862" w:type="dxa"/>
            <w:noWrap/>
            <w:vAlign w:val="center"/>
            <w:hideMark/>
          </w:tcPr>
          <w:p w14:paraId="51FC3569" w14:textId="1AE5C4E6" w:rsidR="00DD4D5C" w:rsidRPr="00C07F6E" w:rsidRDefault="00714F4F" w:rsidP="002035E9">
            <w:pPr>
              <w:pStyle w:val="Footnote"/>
              <w:jc w:val="right"/>
            </w:pPr>
            <w:r>
              <w:t xml:space="preserve"> </w:t>
            </w:r>
          </w:p>
        </w:tc>
      </w:tr>
      <w:tr w:rsidR="00DD4D5C" w:rsidRPr="00C07F6E" w14:paraId="567E8244" w14:textId="77777777" w:rsidTr="00E44318">
        <w:trPr>
          <w:trHeight w:val="87"/>
          <w:jc w:val="center"/>
        </w:trPr>
        <w:tc>
          <w:tcPr>
            <w:tcW w:w="3895" w:type="dxa"/>
            <w:noWrap/>
            <w:vAlign w:val="center"/>
            <w:hideMark/>
          </w:tcPr>
          <w:p w14:paraId="4ED69EDC" w14:textId="7BBF6CD0" w:rsidR="00DD4D5C" w:rsidRPr="00C07F6E" w:rsidRDefault="00DD4D5C" w:rsidP="00780234">
            <w:pPr>
              <w:pStyle w:val="Footnote"/>
              <w:ind w:left="288"/>
            </w:pPr>
            <w:r w:rsidRPr="00C07F6E">
              <w:t>Accounts payable</w:t>
            </w:r>
          </w:p>
        </w:tc>
        <w:tc>
          <w:tcPr>
            <w:tcW w:w="948" w:type="dxa"/>
            <w:vAlign w:val="center"/>
          </w:tcPr>
          <w:p w14:paraId="1A992A93" w14:textId="7B2B7ACA" w:rsidR="00DD4D5C" w:rsidRPr="00C07F6E" w:rsidRDefault="00DD4D5C" w:rsidP="002035E9">
            <w:pPr>
              <w:pStyle w:val="Footnote"/>
              <w:jc w:val="right"/>
            </w:pPr>
            <w:r w:rsidRPr="00C07F6E">
              <w:t xml:space="preserve">4,545 </w:t>
            </w:r>
          </w:p>
        </w:tc>
        <w:tc>
          <w:tcPr>
            <w:tcW w:w="920" w:type="dxa"/>
            <w:noWrap/>
            <w:vAlign w:val="center"/>
            <w:hideMark/>
          </w:tcPr>
          <w:p w14:paraId="01031C47" w14:textId="4E1297F6" w:rsidR="00DD4D5C" w:rsidRPr="00C07F6E" w:rsidRDefault="00DD4D5C" w:rsidP="002035E9">
            <w:pPr>
              <w:pStyle w:val="Footnote"/>
              <w:jc w:val="right"/>
            </w:pPr>
            <w:r w:rsidRPr="00C07F6E">
              <w:t xml:space="preserve">5,076 </w:t>
            </w:r>
          </w:p>
        </w:tc>
        <w:tc>
          <w:tcPr>
            <w:tcW w:w="863" w:type="dxa"/>
            <w:noWrap/>
            <w:vAlign w:val="center"/>
            <w:hideMark/>
          </w:tcPr>
          <w:p w14:paraId="6F607F38" w14:textId="3A5C8685" w:rsidR="00DD4D5C" w:rsidRPr="00C07F6E" w:rsidRDefault="00DD4D5C" w:rsidP="002035E9">
            <w:pPr>
              <w:pStyle w:val="Footnote"/>
              <w:jc w:val="right"/>
            </w:pPr>
            <w:r w:rsidRPr="00C07F6E">
              <w:t xml:space="preserve">5,831 </w:t>
            </w:r>
          </w:p>
        </w:tc>
        <w:tc>
          <w:tcPr>
            <w:tcW w:w="862" w:type="dxa"/>
            <w:noWrap/>
            <w:vAlign w:val="center"/>
            <w:hideMark/>
          </w:tcPr>
          <w:p w14:paraId="63FD86B9" w14:textId="0AA1611B" w:rsidR="00DD4D5C" w:rsidRPr="00C07F6E" w:rsidRDefault="00DD4D5C" w:rsidP="002035E9">
            <w:pPr>
              <w:pStyle w:val="Footnote"/>
              <w:jc w:val="right"/>
            </w:pPr>
            <w:r w:rsidRPr="00C07F6E">
              <w:t xml:space="preserve">6,036 </w:t>
            </w:r>
          </w:p>
        </w:tc>
        <w:tc>
          <w:tcPr>
            <w:tcW w:w="863" w:type="dxa"/>
            <w:noWrap/>
            <w:vAlign w:val="center"/>
            <w:hideMark/>
          </w:tcPr>
          <w:p w14:paraId="1026447F" w14:textId="6C16F28B" w:rsidR="00DD4D5C" w:rsidRPr="00C07F6E" w:rsidRDefault="00DD4D5C" w:rsidP="002035E9">
            <w:pPr>
              <w:pStyle w:val="Footnote"/>
              <w:jc w:val="right"/>
            </w:pPr>
            <w:r w:rsidRPr="00C07F6E">
              <w:t xml:space="preserve">5,971 </w:t>
            </w:r>
          </w:p>
        </w:tc>
        <w:tc>
          <w:tcPr>
            <w:tcW w:w="862" w:type="dxa"/>
            <w:noWrap/>
            <w:vAlign w:val="center"/>
            <w:hideMark/>
          </w:tcPr>
          <w:p w14:paraId="271E7516" w14:textId="47639F01" w:rsidR="00DD4D5C" w:rsidRPr="00C07F6E" w:rsidRDefault="00DD4D5C" w:rsidP="002035E9">
            <w:pPr>
              <w:pStyle w:val="Footnote"/>
              <w:jc w:val="right"/>
            </w:pPr>
            <w:r w:rsidRPr="00C07F6E">
              <w:t xml:space="preserve">5,782 </w:t>
            </w:r>
          </w:p>
        </w:tc>
      </w:tr>
      <w:tr w:rsidR="00DD4D5C" w:rsidRPr="00C07F6E" w14:paraId="0A6C5B0B" w14:textId="77777777" w:rsidTr="00E44318">
        <w:trPr>
          <w:trHeight w:val="43"/>
          <w:jc w:val="center"/>
        </w:trPr>
        <w:tc>
          <w:tcPr>
            <w:tcW w:w="3895" w:type="dxa"/>
            <w:noWrap/>
            <w:vAlign w:val="center"/>
            <w:hideMark/>
          </w:tcPr>
          <w:p w14:paraId="4E584A29" w14:textId="79BE6FC7" w:rsidR="00DD4D5C" w:rsidRPr="00C07F6E" w:rsidRDefault="00DD4D5C" w:rsidP="00780234">
            <w:pPr>
              <w:pStyle w:val="Footnote"/>
              <w:ind w:left="288"/>
            </w:pPr>
            <w:r w:rsidRPr="00C07F6E">
              <w:t>Taxes payable</w:t>
            </w:r>
          </w:p>
        </w:tc>
        <w:tc>
          <w:tcPr>
            <w:tcW w:w="948" w:type="dxa"/>
            <w:vAlign w:val="center"/>
          </w:tcPr>
          <w:p w14:paraId="2C21F078" w14:textId="53D7C167" w:rsidR="00DD4D5C" w:rsidRPr="00C07F6E" w:rsidRDefault="00DD4D5C" w:rsidP="002035E9">
            <w:pPr>
              <w:pStyle w:val="Footnote"/>
              <w:jc w:val="right"/>
            </w:pPr>
            <w:r w:rsidRPr="00C07F6E">
              <w:t xml:space="preserve">807 </w:t>
            </w:r>
          </w:p>
        </w:tc>
        <w:tc>
          <w:tcPr>
            <w:tcW w:w="920" w:type="dxa"/>
            <w:noWrap/>
            <w:vAlign w:val="center"/>
            <w:hideMark/>
          </w:tcPr>
          <w:p w14:paraId="2D1302D0" w14:textId="172376AB" w:rsidR="00DD4D5C" w:rsidRPr="00C07F6E" w:rsidRDefault="00DD4D5C" w:rsidP="002035E9">
            <w:pPr>
              <w:pStyle w:val="Footnote"/>
              <w:jc w:val="right"/>
            </w:pPr>
            <w:r w:rsidRPr="00C07F6E">
              <w:t xml:space="preserve">461 </w:t>
            </w:r>
          </w:p>
        </w:tc>
        <w:tc>
          <w:tcPr>
            <w:tcW w:w="863" w:type="dxa"/>
            <w:noWrap/>
            <w:vAlign w:val="center"/>
            <w:hideMark/>
          </w:tcPr>
          <w:p w14:paraId="4D5FA986" w14:textId="468C4753" w:rsidR="00DD4D5C" w:rsidRPr="00C07F6E" w:rsidRDefault="00DD4D5C" w:rsidP="002035E9">
            <w:pPr>
              <w:pStyle w:val="Footnote"/>
              <w:jc w:val="right"/>
            </w:pPr>
            <w:r w:rsidRPr="00C07F6E">
              <w:t xml:space="preserve">893 </w:t>
            </w:r>
          </w:p>
        </w:tc>
        <w:tc>
          <w:tcPr>
            <w:tcW w:w="862" w:type="dxa"/>
            <w:noWrap/>
            <w:vAlign w:val="center"/>
            <w:hideMark/>
          </w:tcPr>
          <w:p w14:paraId="69F749DA" w14:textId="0E9926C1" w:rsidR="00DD4D5C" w:rsidRPr="00C07F6E" w:rsidRDefault="00DD4D5C" w:rsidP="002035E9">
            <w:pPr>
              <w:pStyle w:val="Footnote"/>
              <w:jc w:val="right"/>
            </w:pPr>
            <w:r w:rsidRPr="00C07F6E">
              <w:t xml:space="preserve">959 </w:t>
            </w:r>
          </w:p>
        </w:tc>
        <w:tc>
          <w:tcPr>
            <w:tcW w:w="863" w:type="dxa"/>
            <w:noWrap/>
            <w:vAlign w:val="center"/>
            <w:hideMark/>
          </w:tcPr>
          <w:p w14:paraId="4ED917AC" w14:textId="2470674C" w:rsidR="00DD4D5C" w:rsidRPr="00C07F6E" w:rsidRDefault="00DD4D5C" w:rsidP="002035E9">
            <w:pPr>
              <w:pStyle w:val="Footnote"/>
              <w:jc w:val="right"/>
            </w:pPr>
            <w:r w:rsidRPr="00C07F6E">
              <w:t xml:space="preserve">416 </w:t>
            </w:r>
          </w:p>
        </w:tc>
        <w:tc>
          <w:tcPr>
            <w:tcW w:w="862" w:type="dxa"/>
            <w:noWrap/>
            <w:vAlign w:val="center"/>
            <w:hideMark/>
          </w:tcPr>
          <w:p w14:paraId="796DF567" w14:textId="07379665" w:rsidR="00DD4D5C" w:rsidRPr="00C07F6E" w:rsidRDefault="00DD4D5C" w:rsidP="002035E9">
            <w:pPr>
              <w:pStyle w:val="Footnote"/>
              <w:jc w:val="right"/>
            </w:pPr>
            <w:r w:rsidRPr="00C07F6E">
              <w:t xml:space="preserve">432 </w:t>
            </w:r>
          </w:p>
        </w:tc>
      </w:tr>
      <w:tr w:rsidR="00DD4D5C" w:rsidRPr="00C07F6E" w14:paraId="56E478D8" w14:textId="77777777" w:rsidTr="00E44318">
        <w:trPr>
          <w:trHeight w:val="43"/>
          <w:jc w:val="center"/>
        </w:trPr>
        <w:tc>
          <w:tcPr>
            <w:tcW w:w="3895" w:type="dxa"/>
            <w:noWrap/>
            <w:vAlign w:val="center"/>
            <w:hideMark/>
          </w:tcPr>
          <w:p w14:paraId="79ED7AC0" w14:textId="19D32E31" w:rsidR="00DD4D5C" w:rsidRPr="00C07F6E" w:rsidRDefault="00DD4D5C" w:rsidP="00780234">
            <w:pPr>
              <w:pStyle w:val="Footnote"/>
              <w:ind w:left="288"/>
            </w:pPr>
            <w:r w:rsidRPr="00C07F6E">
              <w:t>Other current liabilities</w:t>
            </w:r>
          </w:p>
        </w:tc>
        <w:tc>
          <w:tcPr>
            <w:tcW w:w="948" w:type="dxa"/>
            <w:vAlign w:val="center"/>
          </w:tcPr>
          <w:p w14:paraId="268B1C13" w14:textId="7A91549D" w:rsidR="00DD4D5C" w:rsidRPr="00C07F6E" w:rsidRDefault="00DD4D5C" w:rsidP="002035E9">
            <w:pPr>
              <w:pStyle w:val="Footnote"/>
              <w:jc w:val="right"/>
            </w:pPr>
            <w:r w:rsidRPr="00C07F6E">
              <w:t xml:space="preserve">11,536 </w:t>
            </w:r>
          </w:p>
        </w:tc>
        <w:tc>
          <w:tcPr>
            <w:tcW w:w="920" w:type="dxa"/>
            <w:noWrap/>
            <w:vAlign w:val="center"/>
            <w:hideMark/>
          </w:tcPr>
          <w:p w14:paraId="41C0D65A" w14:textId="34680685" w:rsidR="00DD4D5C" w:rsidRPr="00C07F6E" w:rsidRDefault="00DD4D5C" w:rsidP="002035E9">
            <w:pPr>
              <w:pStyle w:val="Footnote"/>
              <w:jc w:val="right"/>
            </w:pPr>
            <w:r w:rsidRPr="00C07F6E">
              <w:t xml:space="preserve">12,265 </w:t>
            </w:r>
          </w:p>
        </w:tc>
        <w:tc>
          <w:tcPr>
            <w:tcW w:w="863" w:type="dxa"/>
            <w:noWrap/>
            <w:vAlign w:val="center"/>
            <w:hideMark/>
          </w:tcPr>
          <w:p w14:paraId="1DEBFF2F" w14:textId="15CEDCFC" w:rsidR="00DD4D5C" w:rsidRPr="00C07F6E" w:rsidRDefault="00DD4D5C" w:rsidP="002035E9">
            <w:pPr>
              <w:pStyle w:val="Footnote"/>
              <w:jc w:val="right"/>
            </w:pPr>
            <w:r w:rsidRPr="00C07F6E">
              <w:t xml:space="preserve">12,765 </w:t>
            </w:r>
          </w:p>
        </w:tc>
        <w:tc>
          <w:tcPr>
            <w:tcW w:w="862" w:type="dxa"/>
            <w:noWrap/>
            <w:vAlign w:val="center"/>
            <w:hideMark/>
          </w:tcPr>
          <w:p w14:paraId="01A9624E" w14:textId="3C0059A8" w:rsidR="00DD4D5C" w:rsidRPr="00C07F6E" w:rsidRDefault="00DD4D5C" w:rsidP="002035E9">
            <w:pPr>
              <w:pStyle w:val="Footnote"/>
              <w:jc w:val="right"/>
            </w:pPr>
            <w:r w:rsidRPr="00C07F6E">
              <w:t xml:space="preserve">11,224 </w:t>
            </w:r>
          </w:p>
        </w:tc>
        <w:tc>
          <w:tcPr>
            <w:tcW w:w="863" w:type="dxa"/>
            <w:noWrap/>
            <w:vAlign w:val="center"/>
            <w:hideMark/>
          </w:tcPr>
          <w:p w14:paraId="5A2CEE9A" w14:textId="747C5F04" w:rsidR="00DD4D5C" w:rsidRPr="00C07F6E" w:rsidRDefault="00DD4D5C" w:rsidP="002035E9">
            <w:pPr>
              <w:pStyle w:val="Footnote"/>
              <w:jc w:val="right"/>
            </w:pPr>
            <w:r w:rsidRPr="00C07F6E">
              <w:t xml:space="preserve">11,024 </w:t>
            </w:r>
          </w:p>
        </w:tc>
        <w:tc>
          <w:tcPr>
            <w:tcW w:w="862" w:type="dxa"/>
            <w:noWrap/>
            <w:vAlign w:val="center"/>
            <w:hideMark/>
          </w:tcPr>
          <w:p w14:paraId="08CA607E" w14:textId="62560640" w:rsidR="00DD4D5C" w:rsidRPr="00C07F6E" w:rsidRDefault="00DD4D5C" w:rsidP="002035E9">
            <w:pPr>
              <w:pStyle w:val="Footnote"/>
              <w:jc w:val="right"/>
            </w:pPr>
            <w:r w:rsidRPr="00C07F6E">
              <w:t xml:space="preserve">10,131 </w:t>
            </w:r>
          </w:p>
        </w:tc>
      </w:tr>
      <w:tr w:rsidR="00DD4D5C" w:rsidRPr="00C07F6E" w14:paraId="6EC41044" w14:textId="77777777" w:rsidTr="00E44318">
        <w:trPr>
          <w:trHeight w:val="43"/>
          <w:jc w:val="center"/>
        </w:trPr>
        <w:tc>
          <w:tcPr>
            <w:tcW w:w="3895" w:type="dxa"/>
            <w:noWrap/>
            <w:vAlign w:val="center"/>
            <w:hideMark/>
          </w:tcPr>
          <w:p w14:paraId="15FCE3B8" w14:textId="6BF79BC6" w:rsidR="00DD4D5C" w:rsidRPr="00C07F6E" w:rsidRDefault="00DD4D5C" w:rsidP="00780234">
            <w:pPr>
              <w:pStyle w:val="Footnote"/>
              <w:ind w:left="144"/>
            </w:pPr>
            <w:r w:rsidRPr="00C07F6E">
              <w:t>Total current liabilities</w:t>
            </w:r>
          </w:p>
        </w:tc>
        <w:tc>
          <w:tcPr>
            <w:tcW w:w="948" w:type="dxa"/>
            <w:vAlign w:val="center"/>
          </w:tcPr>
          <w:p w14:paraId="21B8B6E1" w14:textId="193AB160" w:rsidR="00DD4D5C" w:rsidRPr="00C07F6E" w:rsidRDefault="00DD4D5C" w:rsidP="002035E9">
            <w:pPr>
              <w:pStyle w:val="Footnote"/>
              <w:jc w:val="right"/>
            </w:pPr>
            <w:r w:rsidRPr="00C07F6E">
              <w:t xml:space="preserve">19,714 </w:t>
            </w:r>
          </w:p>
        </w:tc>
        <w:tc>
          <w:tcPr>
            <w:tcW w:w="920" w:type="dxa"/>
            <w:noWrap/>
            <w:vAlign w:val="center"/>
            <w:hideMark/>
          </w:tcPr>
          <w:p w14:paraId="464C8F95" w14:textId="7BB36778" w:rsidR="00DD4D5C" w:rsidRPr="00C07F6E" w:rsidRDefault="00DD4D5C" w:rsidP="002035E9">
            <w:pPr>
              <w:pStyle w:val="Footnote"/>
              <w:jc w:val="right"/>
            </w:pPr>
            <w:r w:rsidRPr="00C07F6E">
              <w:t xml:space="preserve">19,810 </w:t>
            </w:r>
          </w:p>
        </w:tc>
        <w:tc>
          <w:tcPr>
            <w:tcW w:w="863" w:type="dxa"/>
            <w:noWrap/>
            <w:vAlign w:val="center"/>
            <w:hideMark/>
          </w:tcPr>
          <w:p w14:paraId="022D29AA" w14:textId="2C955E41" w:rsidR="00DD4D5C" w:rsidRPr="00C07F6E" w:rsidRDefault="00DD4D5C" w:rsidP="002035E9">
            <w:pPr>
              <w:pStyle w:val="Footnote"/>
              <w:jc w:val="right"/>
            </w:pPr>
            <w:r w:rsidRPr="00C07F6E">
              <w:t xml:space="preserve">21,399 </w:t>
            </w:r>
          </w:p>
        </w:tc>
        <w:tc>
          <w:tcPr>
            <w:tcW w:w="862" w:type="dxa"/>
            <w:noWrap/>
            <w:vAlign w:val="center"/>
            <w:hideMark/>
          </w:tcPr>
          <w:p w14:paraId="19A40CC4" w14:textId="794DC099" w:rsidR="00DD4D5C" w:rsidRPr="00C07F6E" w:rsidRDefault="00DD4D5C" w:rsidP="002035E9">
            <w:pPr>
              <w:pStyle w:val="Footnote"/>
              <w:jc w:val="right"/>
            </w:pPr>
            <w:r w:rsidRPr="00C07F6E">
              <w:t xml:space="preserve">18,985 </w:t>
            </w:r>
          </w:p>
        </w:tc>
        <w:tc>
          <w:tcPr>
            <w:tcW w:w="863" w:type="dxa"/>
            <w:noWrap/>
            <w:vAlign w:val="center"/>
            <w:hideMark/>
          </w:tcPr>
          <w:p w14:paraId="458A82E9" w14:textId="36E29762" w:rsidR="00DD4D5C" w:rsidRPr="00C07F6E" w:rsidRDefault="00DD4D5C" w:rsidP="002035E9">
            <w:pPr>
              <w:pStyle w:val="Footnote"/>
              <w:jc w:val="right"/>
            </w:pPr>
            <w:r w:rsidRPr="00C07F6E">
              <w:t xml:space="preserve">19,249 </w:t>
            </w:r>
          </w:p>
        </w:tc>
        <w:tc>
          <w:tcPr>
            <w:tcW w:w="862" w:type="dxa"/>
            <w:noWrap/>
            <w:vAlign w:val="center"/>
            <w:hideMark/>
          </w:tcPr>
          <w:p w14:paraId="6DCD0EF7" w14:textId="2DD6505C" w:rsidR="00DD4D5C" w:rsidRPr="00C07F6E" w:rsidRDefault="00DD4D5C" w:rsidP="002035E9">
            <w:pPr>
              <w:pStyle w:val="Footnote"/>
              <w:jc w:val="right"/>
            </w:pPr>
            <w:r w:rsidRPr="00C07F6E">
              <w:t xml:space="preserve">17,731 </w:t>
            </w:r>
          </w:p>
        </w:tc>
      </w:tr>
      <w:tr w:rsidR="00DD4D5C" w:rsidRPr="00C07F6E" w14:paraId="1BBAED21" w14:textId="77777777" w:rsidTr="00E44318">
        <w:trPr>
          <w:trHeight w:val="53"/>
          <w:jc w:val="center"/>
        </w:trPr>
        <w:tc>
          <w:tcPr>
            <w:tcW w:w="3895" w:type="dxa"/>
            <w:noWrap/>
            <w:vAlign w:val="center"/>
            <w:hideMark/>
          </w:tcPr>
          <w:p w14:paraId="72B0E854" w14:textId="0559EB77" w:rsidR="00DD4D5C" w:rsidRPr="00C07F6E" w:rsidRDefault="00DD4D5C" w:rsidP="00780234">
            <w:pPr>
              <w:pStyle w:val="Footnote"/>
              <w:ind w:left="144"/>
            </w:pPr>
            <w:r w:rsidRPr="00C07F6E">
              <w:t>Non-current liabilities</w:t>
            </w:r>
          </w:p>
        </w:tc>
        <w:tc>
          <w:tcPr>
            <w:tcW w:w="948" w:type="dxa"/>
            <w:vAlign w:val="center"/>
          </w:tcPr>
          <w:p w14:paraId="07CDC073" w14:textId="77777777" w:rsidR="00DD4D5C" w:rsidRPr="00C07F6E" w:rsidRDefault="00DD4D5C" w:rsidP="002035E9">
            <w:pPr>
              <w:pStyle w:val="Footnote"/>
              <w:jc w:val="right"/>
            </w:pPr>
          </w:p>
        </w:tc>
        <w:tc>
          <w:tcPr>
            <w:tcW w:w="920" w:type="dxa"/>
            <w:noWrap/>
            <w:vAlign w:val="center"/>
            <w:hideMark/>
          </w:tcPr>
          <w:p w14:paraId="7B5CBED6" w14:textId="65AAF7F7" w:rsidR="00DD4D5C" w:rsidRPr="00C07F6E" w:rsidRDefault="00714F4F" w:rsidP="002035E9">
            <w:pPr>
              <w:pStyle w:val="Footnote"/>
              <w:jc w:val="right"/>
            </w:pPr>
            <w:r>
              <w:t xml:space="preserve"> </w:t>
            </w:r>
          </w:p>
        </w:tc>
        <w:tc>
          <w:tcPr>
            <w:tcW w:w="863" w:type="dxa"/>
            <w:noWrap/>
            <w:vAlign w:val="center"/>
            <w:hideMark/>
          </w:tcPr>
          <w:p w14:paraId="30120763" w14:textId="6AF7A05C" w:rsidR="00DD4D5C" w:rsidRPr="00C07F6E" w:rsidRDefault="00714F4F" w:rsidP="002035E9">
            <w:pPr>
              <w:pStyle w:val="Footnote"/>
              <w:jc w:val="right"/>
            </w:pPr>
            <w:r>
              <w:t xml:space="preserve"> </w:t>
            </w:r>
          </w:p>
        </w:tc>
        <w:tc>
          <w:tcPr>
            <w:tcW w:w="862" w:type="dxa"/>
            <w:noWrap/>
            <w:vAlign w:val="center"/>
            <w:hideMark/>
          </w:tcPr>
          <w:p w14:paraId="3EB22D51" w14:textId="38CFDD43" w:rsidR="00DD4D5C" w:rsidRPr="00C07F6E" w:rsidRDefault="00714F4F" w:rsidP="002035E9">
            <w:pPr>
              <w:pStyle w:val="Footnote"/>
              <w:jc w:val="right"/>
            </w:pPr>
            <w:r>
              <w:t xml:space="preserve"> </w:t>
            </w:r>
          </w:p>
        </w:tc>
        <w:tc>
          <w:tcPr>
            <w:tcW w:w="863" w:type="dxa"/>
            <w:noWrap/>
            <w:vAlign w:val="center"/>
            <w:hideMark/>
          </w:tcPr>
          <w:p w14:paraId="548159C9" w14:textId="1968264A" w:rsidR="00DD4D5C" w:rsidRPr="00C07F6E" w:rsidRDefault="00714F4F" w:rsidP="002035E9">
            <w:pPr>
              <w:pStyle w:val="Footnote"/>
              <w:jc w:val="right"/>
            </w:pPr>
            <w:r>
              <w:t xml:space="preserve"> </w:t>
            </w:r>
          </w:p>
        </w:tc>
        <w:tc>
          <w:tcPr>
            <w:tcW w:w="862" w:type="dxa"/>
            <w:noWrap/>
            <w:vAlign w:val="center"/>
            <w:hideMark/>
          </w:tcPr>
          <w:p w14:paraId="015E5A4D" w14:textId="4B919B48" w:rsidR="00DD4D5C" w:rsidRPr="00C07F6E" w:rsidRDefault="00714F4F" w:rsidP="002035E9">
            <w:pPr>
              <w:pStyle w:val="Footnote"/>
              <w:jc w:val="right"/>
            </w:pPr>
            <w:r>
              <w:t xml:space="preserve"> </w:t>
            </w:r>
          </w:p>
        </w:tc>
      </w:tr>
      <w:tr w:rsidR="00DD4D5C" w:rsidRPr="00C07F6E" w14:paraId="4289A8EB" w14:textId="77777777" w:rsidTr="00E44318">
        <w:trPr>
          <w:trHeight w:val="60"/>
          <w:jc w:val="center"/>
        </w:trPr>
        <w:tc>
          <w:tcPr>
            <w:tcW w:w="3895" w:type="dxa"/>
            <w:noWrap/>
            <w:vAlign w:val="center"/>
            <w:hideMark/>
          </w:tcPr>
          <w:p w14:paraId="6D27C475" w14:textId="2BFEEE0D" w:rsidR="00DD4D5C" w:rsidRPr="00C07F6E" w:rsidRDefault="00DD4D5C" w:rsidP="00780234">
            <w:pPr>
              <w:pStyle w:val="Footnote"/>
              <w:ind w:left="288"/>
            </w:pPr>
            <w:r w:rsidRPr="00C07F6E">
              <w:t>Long-term debt</w:t>
            </w:r>
          </w:p>
        </w:tc>
        <w:tc>
          <w:tcPr>
            <w:tcW w:w="948" w:type="dxa"/>
            <w:vAlign w:val="center"/>
          </w:tcPr>
          <w:p w14:paraId="29A8AE0F" w14:textId="11D5B763" w:rsidR="00DD4D5C" w:rsidRPr="00C07F6E" w:rsidRDefault="00DD4D5C" w:rsidP="002035E9">
            <w:pPr>
              <w:pStyle w:val="Footnote"/>
              <w:jc w:val="right"/>
            </w:pPr>
            <w:r w:rsidRPr="00C07F6E">
              <w:t xml:space="preserve">10,623 </w:t>
            </w:r>
          </w:p>
        </w:tc>
        <w:tc>
          <w:tcPr>
            <w:tcW w:w="920" w:type="dxa"/>
            <w:noWrap/>
            <w:vAlign w:val="center"/>
            <w:hideMark/>
          </w:tcPr>
          <w:p w14:paraId="472A46BF" w14:textId="4EE8FBE6" w:rsidR="00DD4D5C" w:rsidRPr="00C07F6E" w:rsidRDefault="00DD4D5C" w:rsidP="002035E9">
            <w:pPr>
              <w:pStyle w:val="Footnote"/>
              <w:jc w:val="right"/>
            </w:pPr>
            <w:r w:rsidRPr="00C07F6E">
              <w:t xml:space="preserve">10,520 </w:t>
            </w:r>
          </w:p>
        </w:tc>
        <w:tc>
          <w:tcPr>
            <w:tcW w:w="863" w:type="dxa"/>
            <w:noWrap/>
            <w:vAlign w:val="center"/>
            <w:hideMark/>
          </w:tcPr>
          <w:p w14:paraId="3BE8EA4C" w14:textId="5B148377" w:rsidR="00DD4D5C" w:rsidRPr="00C07F6E" w:rsidRDefault="00DD4D5C" w:rsidP="002035E9">
            <w:pPr>
              <w:pStyle w:val="Footnote"/>
              <w:jc w:val="right"/>
            </w:pPr>
            <w:r w:rsidRPr="00C07F6E">
              <w:t xml:space="preserve">9,188 </w:t>
            </w:r>
          </w:p>
        </w:tc>
        <w:tc>
          <w:tcPr>
            <w:tcW w:w="862" w:type="dxa"/>
            <w:noWrap/>
            <w:vAlign w:val="center"/>
            <w:hideMark/>
          </w:tcPr>
          <w:p w14:paraId="71714870" w14:textId="3D044F10" w:rsidR="00DD4D5C" w:rsidRPr="00C07F6E" w:rsidRDefault="00DD4D5C" w:rsidP="002035E9">
            <w:pPr>
              <w:pStyle w:val="Footnote"/>
              <w:jc w:val="right"/>
            </w:pPr>
            <w:r w:rsidRPr="00C07F6E">
              <w:t xml:space="preserve">529 </w:t>
            </w:r>
          </w:p>
        </w:tc>
        <w:tc>
          <w:tcPr>
            <w:tcW w:w="863" w:type="dxa"/>
            <w:noWrap/>
            <w:vAlign w:val="center"/>
            <w:hideMark/>
          </w:tcPr>
          <w:p w14:paraId="21F4E0EF" w14:textId="6959E2B1" w:rsidR="00DD4D5C" w:rsidRPr="00C07F6E" w:rsidRDefault="00DD4D5C" w:rsidP="002035E9">
            <w:pPr>
              <w:pStyle w:val="Footnote"/>
              <w:jc w:val="right"/>
            </w:pPr>
            <w:r w:rsidRPr="00C07F6E">
              <w:t xml:space="preserve">9,911 </w:t>
            </w:r>
          </w:p>
        </w:tc>
        <w:tc>
          <w:tcPr>
            <w:tcW w:w="862" w:type="dxa"/>
            <w:noWrap/>
            <w:vAlign w:val="center"/>
            <w:hideMark/>
          </w:tcPr>
          <w:p w14:paraId="4A65E832" w14:textId="385A7DE3" w:rsidR="00DD4D5C" w:rsidRPr="00C07F6E" w:rsidRDefault="00DD4D5C" w:rsidP="002035E9">
            <w:pPr>
              <w:pStyle w:val="Footnote"/>
              <w:jc w:val="right"/>
            </w:pPr>
            <w:r w:rsidRPr="00C07F6E">
              <w:t xml:space="preserve">9,689 </w:t>
            </w:r>
          </w:p>
        </w:tc>
      </w:tr>
      <w:tr w:rsidR="00DD4D5C" w:rsidRPr="00C07F6E" w14:paraId="666778E2" w14:textId="77777777" w:rsidTr="00E44318">
        <w:trPr>
          <w:trHeight w:val="133"/>
          <w:jc w:val="center"/>
        </w:trPr>
        <w:tc>
          <w:tcPr>
            <w:tcW w:w="3895" w:type="dxa"/>
            <w:noWrap/>
            <w:vAlign w:val="center"/>
            <w:hideMark/>
          </w:tcPr>
          <w:p w14:paraId="362228A5" w14:textId="6DFF3AD7" w:rsidR="00DD4D5C" w:rsidRPr="00C07F6E" w:rsidRDefault="00DD4D5C" w:rsidP="00780234">
            <w:pPr>
              <w:pStyle w:val="Footnote"/>
              <w:ind w:left="288"/>
            </w:pPr>
            <w:r w:rsidRPr="00C07F6E">
              <w:t>Capital leases</w:t>
            </w:r>
          </w:p>
        </w:tc>
        <w:tc>
          <w:tcPr>
            <w:tcW w:w="948" w:type="dxa"/>
            <w:vAlign w:val="center"/>
          </w:tcPr>
          <w:p w14:paraId="577E23A6" w14:textId="029C424A" w:rsidR="00DD4D5C" w:rsidRPr="00C07F6E" w:rsidRDefault="00DD4D5C" w:rsidP="002035E9">
            <w:pPr>
              <w:pStyle w:val="Footnote"/>
              <w:jc w:val="right"/>
            </w:pPr>
            <w:r w:rsidRPr="00C07F6E">
              <w:t xml:space="preserve">88 </w:t>
            </w:r>
          </w:p>
        </w:tc>
        <w:tc>
          <w:tcPr>
            <w:tcW w:w="920" w:type="dxa"/>
            <w:noWrap/>
            <w:vAlign w:val="center"/>
            <w:hideMark/>
          </w:tcPr>
          <w:p w14:paraId="1D2A6BC0" w14:textId="3FA7B5AC" w:rsidR="00DD4D5C" w:rsidRPr="00C07F6E" w:rsidRDefault="00DD4D5C" w:rsidP="002035E9">
            <w:pPr>
              <w:pStyle w:val="Footnote"/>
              <w:jc w:val="right"/>
            </w:pPr>
            <w:r w:rsidRPr="00C07F6E">
              <w:t xml:space="preserve">131 </w:t>
            </w:r>
          </w:p>
        </w:tc>
        <w:tc>
          <w:tcPr>
            <w:tcW w:w="863" w:type="dxa"/>
            <w:noWrap/>
            <w:vAlign w:val="center"/>
            <w:hideMark/>
          </w:tcPr>
          <w:p w14:paraId="7F74736C" w14:textId="1FF16872" w:rsidR="00DD4D5C" w:rsidRPr="00C07F6E" w:rsidRDefault="00DD4D5C" w:rsidP="002035E9">
            <w:pPr>
              <w:pStyle w:val="Footnote"/>
              <w:jc w:val="right"/>
            </w:pPr>
            <w:r w:rsidRPr="00C07F6E">
              <w:t xml:space="preserve">115 </w:t>
            </w:r>
          </w:p>
        </w:tc>
        <w:tc>
          <w:tcPr>
            <w:tcW w:w="862" w:type="dxa"/>
            <w:noWrap/>
            <w:vAlign w:val="center"/>
            <w:hideMark/>
          </w:tcPr>
          <w:p w14:paraId="317CEBCC" w14:textId="0B40A98B" w:rsidR="00DD4D5C" w:rsidRPr="00C07F6E" w:rsidRDefault="00DD4D5C" w:rsidP="002035E9">
            <w:pPr>
              <w:pStyle w:val="Footnote"/>
              <w:jc w:val="right"/>
            </w:pPr>
            <w:r w:rsidRPr="00C07F6E">
              <w:t xml:space="preserve">9,539 </w:t>
            </w:r>
          </w:p>
        </w:tc>
        <w:tc>
          <w:tcPr>
            <w:tcW w:w="863" w:type="dxa"/>
            <w:noWrap/>
            <w:vAlign w:val="center"/>
            <w:hideMark/>
          </w:tcPr>
          <w:p w14:paraId="206ECACD" w14:textId="73814D4D" w:rsidR="00DD4D5C" w:rsidRPr="00C07F6E" w:rsidRDefault="00714F4F" w:rsidP="002035E9">
            <w:pPr>
              <w:pStyle w:val="Footnote"/>
              <w:jc w:val="right"/>
            </w:pPr>
            <w:r>
              <w:t xml:space="preserve"> </w:t>
            </w:r>
          </w:p>
        </w:tc>
        <w:tc>
          <w:tcPr>
            <w:tcW w:w="862" w:type="dxa"/>
            <w:noWrap/>
            <w:vAlign w:val="center"/>
            <w:hideMark/>
          </w:tcPr>
          <w:p w14:paraId="5566DE35" w14:textId="427F8546" w:rsidR="00DD4D5C" w:rsidRPr="00C07F6E" w:rsidRDefault="00714F4F" w:rsidP="002035E9">
            <w:pPr>
              <w:pStyle w:val="Footnote"/>
              <w:jc w:val="right"/>
            </w:pPr>
            <w:r>
              <w:t xml:space="preserve"> </w:t>
            </w:r>
          </w:p>
        </w:tc>
      </w:tr>
      <w:tr w:rsidR="00DD4D5C" w:rsidRPr="00C07F6E" w14:paraId="18276A47" w14:textId="77777777" w:rsidTr="00E44318">
        <w:trPr>
          <w:trHeight w:val="65"/>
          <w:jc w:val="center"/>
        </w:trPr>
        <w:tc>
          <w:tcPr>
            <w:tcW w:w="3895" w:type="dxa"/>
            <w:noWrap/>
            <w:vAlign w:val="center"/>
            <w:hideMark/>
          </w:tcPr>
          <w:p w14:paraId="2A9569F1" w14:textId="3128A379" w:rsidR="00DD4D5C" w:rsidRPr="00C07F6E" w:rsidRDefault="00DD4D5C" w:rsidP="00780234">
            <w:pPr>
              <w:pStyle w:val="Footnote"/>
              <w:ind w:left="288"/>
            </w:pPr>
            <w:r w:rsidRPr="00C07F6E">
              <w:t>Deferred taxes liabilities</w:t>
            </w:r>
          </w:p>
        </w:tc>
        <w:tc>
          <w:tcPr>
            <w:tcW w:w="948" w:type="dxa"/>
            <w:vAlign w:val="center"/>
          </w:tcPr>
          <w:p w14:paraId="410E1559" w14:textId="4AB501F4" w:rsidR="00DD4D5C" w:rsidRPr="00C07F6E" w:rsidRDefault="00DD4D5C" w:rsidP="002035E9">
            <w:pPr>
              <w:pStyle w:val="Footnote"/>
              <w:jc w:val="right"/>
            </w:pPr>
            <w:r w:rsidRPr="00C07F6E">
              <w:t xml:space="preserve">135 </w:t>
            </w:r>
          </w:p>
        </w:tc>
        <w:tc>
          <w:tcPr>
            <w:tcW w:w="920" w:type="dxa"/>
            <w:noWrap/>
            <w:vAlign w:val="center"/>
            <w:hideMark/>
          </w:tcPr>
          <w:p w14:paraId="5455C628" w14:textId="1D18B9EC" w:rsidR="00DD4D5C" w:rsidRPr="00C07F6E" w:rsidRDefault="00DD4D5C" w:rsidP="002035E9">
            <w:pPr>
              <w:pStyle w:val="Footnote"/>
              <w:jc w:val="right"/>
            </w:pPr>
            <w:r w:rsidRPr="00C07F6E">
              <w:t xml:space="preserve">199 </w:t>
            </w:r>
          </w:p>
        </w:tc>
        <w:tc>
          <w:tcPr>
            <w:tcW w:w="863" w:type="dxa"/>
            <w:noWrap/>
            <w:vAlign w:val="center"/>
            <w:hideMark/>
          </w:tcPr>
          <w:p w14:paraId="799FC9AA" w14:textId="58A142C3" w:rsidR="00DD4D5C" w:rsidRPr="00C07F6E" w:rsidRDefault="00DD4D5C" w:rsidP="002035E9">
            <w:pPr>
              <w:pStyle w:val="Footnote"/>
              <w:jc w:val="right"/>
            </w:pPr>
            <w:r w:rsidRPr="00C07F6E">
              <w:t xml:space="preserve">594 </w:t>
            </w:r>
          </w:p>
        </w:tc>
        <w:tc>
          <w:tcPr>
            <w:tcW w:w="862" w:type="dxa"/>
            <w:noWrap/>
            <w:vAlign w:val="center"/>
            <w:hideMark/>
          </w:tcPr>
          <w:p w14:paraId="0208767F" w14:textId="3D8B1D3D" w:rsidR="00DD4D5C" w:rsidRPr="00C07F6E" w:rsidRDefault="00DD4D5C" w:rsidP="002035E9">
            <w:pPr>
              <w:pStyle w:val="Footnote"/>
              <w:jc w:val="right"/>
            </w:pPr>
            <w:r w:rsidRPr="00C07F6E">
              <w:t xml:space="preserve">1,006 </w:t>
            </w:r>
          </w:p>
        </w:tc>
        <w:tc>
          <w:tcPr>
            <w:tcW w:w="863" w:type="dxa"/>
            <w:noWrap/>
            <w:vAlign w:val="center"/>
            <w:hideMark/>
          </w:tcPr>
          <w:p w14:paraId="19B6A3CE" w14:textId="1CED844E" w:rsidR="00DD4D5C" w:rsidRPr="00C07F6E" w:rsidRDefault="00DD4D5C" w:rsidP="002035E9">
            <w:pPr>
              <w:pStyle w:val="Footnote"/>
              <w:jc w:val="right"/>
            </w:pPr>
            <w:r w:rsidRPr="00C07F6E">
              <w:t xml:space="preserve">1,160 </w:t>
            </w:r>
          </w:p>
        </w:tc>
        <w:tc>
          <w:tcPr>
            <w:tcW w:w="862" w:type="dxa"/>
            <w:noWrap/>
            <w:vAlign w:val="center"/>
            <w:hideMark/>
          </w:tcPr>
          <w:p w14:paraId="0EB6DC20" w14:textId="5EF96153" w:rsidR="00DD4D5C" w:rsidRPr="00C07F6E" w:rsidRDefault="00DD4D5C" w:rsidP="002035E9">
            <w:pPr>
              <w:pStyle w:val="Footnote"/>
              <w:jc w:val="right"/>
            </w:pPr>
            <w:r w:rsidRPr="00C07F6E">
              <w:t xml:space="preserve">1,094 </w:t>
            </w:r>
          </w:p>
        </w:tc>
      </w:tr>
      <w:tr w:rsidR="00DD4D5C" w:rsidRPr="00C07F6E" w14:paraId="3744EFBE" w14:textId="77777777" w:rsidTr="00E44318">
        <w:trPr>
          <w:trHeight w:val="53"/>
          <w:jc w:val="center"/>
        </w:trPr>
        <w:tc>
          <w:tcPr>
            <w:tcW w:w="3895" w:type="dxa"/>
            <w:noWrap/>
            <w:vAlign w:val="center"/>
            <w:hideMark/>
          </w:tcPr>
          <w:p w14:paraId="3B24F78A" w14:textId="7F143903" w:rsidR="00DD4D5C" w:rsidRPr="00C07F6E" w:rsidRDefault="00DD4D5C" w:rsidP="00780234">
            <w:pPr>
              <w:pStyle w:val="Footnote"/>
              <w:ind w:left="288"/>
            </w:pPr>
            <w:r w:rsidRPr="00C07F6E">
              <w:t>Pensions and other benefits</w:t>
            </w:r>
          </w:p>
        </w:tc>
        <w:tc>
          <w:tcPr>
            <w:tcW w:w="948" w:type="dxa"/>
            <w:vAlign w:val="center"/>
          </w:tcPr>
          <w:p w14:paraId="1439497E" w14:textId="2017A7D0" w:rsidR="00DD4D5C" w:rsidRPr="00C07F6E" w:rsidRDefault="00DD4D5C" w:rsidP="002035E9">
            <w:pPr>
              <w:pStyle w:val="Footnote"/>
              <w:jc w:val="right"/>
            </w:pPr>
            <w:r w:rsidRPr="00C07F6E">
              <w:t xml:space="preserve">3,175 </w:t>
            </w:r>
          </w:p>
        </w:tc>
        <w:tc>
          <w:tcPr>
            <w:tcW w:w="920" w:type="dxa"/>
            <w:noWrap/>
            <w:vAlign w:val="center"/>
            <w:hideMark/>
          </w:tcPr>
          <w:p w14:paraId="74C530E0" w14:textId="468D974D" w:rsidR="00DD4D5C" w:rsidRPr="00C07F6E" w:rsidRDefault="00DD4D5C" w:rsidP="002035E9">
            <w:pPr>
              <w:pStyle w:val="Footnote"/>
              <w:jc w:val="right"/>
            </w:pPr>
            <w:r w:rsidRPr="00C07F6E">
              <w:t xml:space="preserve">4,842 </w:t>
            </w:r>
          </w:p>
        </w:tc>
        <w:tc>
          <w:tcPr>
            <w:tcW w:w="863" w:type="dxa"/>
            <w:noWrap/>
            <w:vAlign w:val="center"/>
            <w:hideMark/>
          </w:tcPr>
          <w:p w14:paraId="4BF0F3DD" w14:textId="40F23C6A" w:rsidR="00DD4D5C" w:rsidRPr="00C07F6E" w:rsidRDefault="00DD4D5C" w:rsidP="002035E9">
            <w:pPr>
              <w:pStyle w:val="Footnote"/>
              <w:jc w:val="right"/>
            </w:pPr>
            <w:r w:rsidRPr="00C07F6E">
              <w:t xml:space="preserve">3,193 </w:t>
            </w:r>
          </w:p>
        </w:tc>
        <w:tc>
          <w:tcPr>
            <w:tcW w:w="862" w:type="dxa"/>
            <w:noWrap/>
            <w:vAlign w:val="center"/>
            <w:hideMark/>
          </w:tcPr>
          <w:p w14:paraId="75C8541A" w14:textId="28048760" w:rsidR="00DD4D5C" w:rsidRPr="00C07F6E" w:rsidRDefault="00DD4D5C" w:rsidP="002035E9">
            <w:pPr>
              <w:pStyle w:val="Footnote"/>
              <w:jc w:val="right"/>
            </w:pPr>
            <w:r w:rsidRPr="00C07F6E">
              <w:t xml:space="preserve">2,378 </w:t>
            </w:r>
          </w:p>
        </w:tc>
        <w:tc>
          <w:tcPr>
            <w:tcW w:w="863" w:type="dxa"/>
            <w:noWrap/>
            <w:vAlign w:val="center"/>
            <w:hideMark/>
          </w:tcPr>
          <w:p w14:paraId="214F5C16" w14:textId="45DC230C" w:rsidR="00DD4D5C" w:rsidRPr="00C07F6E" w:rsidRDefault="00714F4F" w:rsidP="002035E9">
            <w:pPr>
              <w:pStyle w:val="Footnote"/>
              <w:jc w:val="right"/>
            </w:pPr>
            <w:r>
              <w:t xml:space="preserve"> </w:t>
            </w:r>
          </w:p>
        </w:tc>
        <w:tc>
          <w:tcPr>
            <w:tcW w:w="862" w:type="dxa"/>
            <w:noWrap/>
            <w:vAlign w:val="center"/>
            <w:hideMark/>
          </w:tcPr>
          <w:p w14:paraId="7C8C8E88" w14:textId="2939600C" w:rsidR="00DD4D5C" w:rsidRPr="00C07F6E" w:rsidRDefault="00714F4F" w:rsidP="002035E9">
            <w:pPr>
              <w:pStyle w:val="Footnote"/>
              <w:jc w:val="right"/>
            </w:pPr>
            <w:r>
              <w:t xml:space="preserve"> </w:t>
            </w:r>
          </w:p>
        </w:tc>
      </w:tr>
      <w:tr w:rsidR="00DD4D5C" w:rsidRPr="00C07F6E" w14:paraId="729CF659" w14:textId="77777777" w:rsidTr="00E44318">
        <w:trPr>
          <w:trHeight w:val="43"/>
          <w:jc w:val="center"/>
        </w:trPr>
        <w:tc>
          <w:tcPr>
            <w:tcW w:w="3895" w:type="dxa"/>
            <w:noWrap/>
            <w:vAlign w:val="center"/>
            <w:hideMark/>
          </w:tcPr>
          <w:p w14:paraId="6AAE1B12" w14:textId="19267A4A" w:rsidR="00DD4D5C" w:rsidRPr="00C07F6E" w:rsidRDefault="00DD4D5C" w:rsidP="00780234">
            <w:pPr>
              <w:pStyle w:val="Footnote"/>
              <w:ind w:left="288"/>
            </w:pPr>
            <w:r w:rsidRPr="00C07F6E">
              <w:t>Minority interest</w:t>
            </w:r>
          </w:p>
        </w:tc>
        <w:tc>
          <w:tcPr>
            <w:tcW w:w="948" w:type="dxa"/>
            <w:vAlign w:val="center"/>
          </w:tcPr>
          <w:p w14:paraId="34517395" w14:textId="50CA31AF" w:rsidR="00DD4D5C" w:rsidRPr="00C07F6E" w:rsidRDefault="00DD4D5C" w:rsidP="002035E9">
            <w:pPr>
              <w:pStyle w:val="Footnote"/>
              <w:jc w:val="right"/>
            </w:pPr>
            <w:r w:rsidRPr="00C07F6E">
              <w:t xml:space="preserve"> (10)</w:t>
            </w:r>
          </w:p>
        </w:tc>
        <w:tc>
          <w:tcPr>
            <w:tcW w:w="920" w:type="dxa"/>
            <w:noWrap/>
            <w:vAlign w:val="center"/>
            <w:hideMark/>
          </w:tcPr>
          <w:p w14:paraId="33CBE024" w14:textId="742E18C2" w:rsidR="00DD4D5C" w:rsidRPr="00C07F6E" w:rsidRDefault="00714F4F" w:rsidP="002035E9">
            <w:pPr>
              <w:pStyle w:val="Footnote"/>
              <w:jc w:val="right"/>
            </w:pPr>
            <w:r>
              <w:t xml:space="preserve"> </w:t>
            </w:r>
          </w:p>
        </w:tc>
        <w:tc>
          <w:tcPr>
            <w:tcW w:w="863" w:type="dxa"/>
            <w:noWrap/>
            <w:vAlign w:val="center"/>
            <w:hideMark/>
          </w:tcPr>
          <w:p w14:paraId="2F6283B8" w14:textId="77E0EF2C" w:rsidR="00DD4D5C" w:rsidRPr="00C07F6E" w:rsidRDefault="00DD4D5C" w:rsidP="002035E9">
            <w:pPr>
              <w:pStyle w:val="Footnote"/>
              <w:jc w:val="right"/>
            </w:pPr>
            <w:r w:rsidRPr="00C07F6E">
              <w:t xml:space="preserve">7 </w:t>
            </w:r>
          </w:p>
        </w:tc>
        <w:tc>
          <w:tcPr>
            <w:tcW w:w="862" w:type="dxa"/>
            <w:noWrap/>
            <w:vAlign w:val="center"/>
            <w:hideMark/>
          </w:tcPr>
          <w:p w14:paraId="7163FDFC" w14:textId="0B445AB5" w:rsidR="00DD4D5C" w:rsidRPr="00C07F6E" w:rsidRDefault="00DD4D5C" w:rsidP="002035E9">
            <w:pPr>
              <w:pStyle w:val="Footnote"/>
              <w:jc w:val="right"/>
            </w:pPr>
            <w:r w:rsidRPr="00C07F6E">
              <w:t xml:space="preserve">18 </w:t>
            </w:r>
          </w:p>
        </w:tc>
        <w:tc>
          <w:tcPr>
            <w:tcW w:w="863" w:type="dxa"/>
            <w:noWrap/>
            <w:vAlign w:val="center"/>
            <w:hideMark/>
          </w:tcPr>
          <w:p w14:paraId="2413AC14" w14:textId="58587EA3" w:rsidR="00DD4D5C" w:rsidRPr="00C07F6E" w:rsidRDefault="00DD4D5C" w:rsidP="002035E9">
            <w:pPr>
              <w:pStyle w:val="Footnote"/>
              <w:jc w:val="right"/>
            </w:pPr>
            <w:r w:rsidRPr="00C07F6E">
              <w:t xml:space="preserve">26 </w:t>
            </w:r>
          </w:p>
        </w:tc>
        <w:tc>
          <w:tcPr>
            <w:tcW w:w="862" w:type="dxa"/>
            <w:noWrap/>
            <w:vAlign w:val="center"/>
            <w:hideMark/>
          </w:tcPr>
          <w:p w14:paraId="21BD34BD" w14:textId="55FF057C" w:rsidR="00DD4D5C" w:rsidRPr="00C07F6E" w:rsidRDefault="00DD4D5C" w:rsidP="002035E9">
            <w:pPr>
              <w:pStyle w:val="Footnote"/>
              <w:jc w:val="right"/>
            </w:pPr>
            <w:r w:rsidRPr="00C07F6E">
              <w:t xml:space="preserve">88 </w:t>
            </w:r>
          </w:p>
        </w:tc>
      </w:tr>
      <w:tr w:rsidR="00DD4D5C" w:rsidRPr="00C07F6E" w14:paraId="09AD9DA4" w14:textId="77777777" w:rsidTr="00E44318">
        <w:trPr>
          <w:trHeight w:val="43"/>
          <w:jc w:val="center"/>
        </w:trPr>
        <w:tc>
          <w:tcPr>
            <w:tcW w:w="3895" w:type="dxa"/>
            <w:noWrap/>
            <w:vAlign w:val="center"/>
            <w:hideMark/>
          </w:tcPr>
          <w:p w14:paraId="0AA39D4F" w14:textId="2778CD4E" w:rsidR="00DD4D5C" w:rsidRPr="00C07F6E" w:rsidRDefault="00DD4D5C" w:rsidP="00780234">
            <w:pPr>
              <w:pStyle w:val="Footnote"/>
              <w:ind w:left="288"/>
            </w:pPr>
            <w:r w:rsidRPr="00C07F6E">
              <w:t>Other long-term liabilities</w:t>
            </w:r>
          </w:p>
        </w:tc>
        <w:tc>
          <w:tcPr>
            <w:tcW w:w="948" w:type="dxa"/>
            <w:vAlign w:val="center"/>
          </w:tcPr>
          <w:p w14:paraId="41D6A59C" w14:textId="338250D2" w:rsidR="00DD4D5C" w:rsidRPr="00C07F6E" w:rsidRDefault="00DD4D5C" w:rsidP="002035E9">
            <w:pPr>
              <w:pStyle w:val="Footnote"/>
              <w:jc w:val="right"/>
            </w:pPr>
            <w:r w:rsidRPr="00C07F6E">
              <w:t xml:space="preserve">1,553 </w:t>
            </w:r>
          </w:p>
        </w:tc>
        <w:tc>
          <w:tcPr>
            <w:tcW w:w="920" w:type="dxa"/>
            <w:noWrap/>
            <w:vAlign w:val="center"/>
            <w:hideMark/>
          </w:tcPr>
          <w:p w14:paraId="629C1734" w14:textId="29635BE9" w:rsidR="00DD4D5C" w:rsidRPr="00C07F6E" w:rsidRDefault="00DD4D5C" w:rsidP="002035E9">
            <w:pPr>
              <w:pStyle w:val="Footnote"/>
              <w:jc w:val="right"/>
            </w:pPr>
            <w:r w:rsidRPr="00C07F6E">
              <w:t xml:space="preserve">1,641 </w:t>
            </w:r>
          </w:p>
        </w:tc>
        <w:tc>
          <w:tcPr>
            <w:tcW w:w="863" w:type="dxa"/>
            <w:noWrap/>
            <w:vAlign w:val="center"/>
            <w:hideMark/>
          </w:tcPr>
          <w:p w14:paraId="19331550" w14:textId="63C9C864" w:rsidR="00DD4D5C" w:rsidRPr="00C07F6E" w:rsidRDefault="00DD4D5C" w:rsidP="002035E9">
            <w:pPr>
              <w:pStyle w:val="Footnote"/>
              <w:jc w:val="right"/>
            </w:pPr>
            <w:r w:rsidRPr="00C07F6E">
              <w:t xml:space="preserve">953 </w:t>
            </w:r>
          </w:p>
        </w:tc>
        <w:tc>
          <w:tcPr>
            <w:tcW w:w="862" w:type="dxa"/>
            <w:noWrap/>
            <w:vAlign w:val="center"/>
            <w:hideMark/>
          </w:tcPr>
          <w:p w14:paraId="57C5555C" w14:textId="4F19A0DC" w:rsidR="00DD4D5C" w:rsidRPr="00C07F6E" w:rsidRDefault="00DD4D5C" w:rsidP="002035E9">
            <w:pPr>
              <w:pStyle w:val="Footnote"/>
              <w:jc w:val="right"/>
            </w:pPr>
            <w:r w:rsidRPr="00C07F6E">
              <w:t xml:space="preserve">1,031 </w:t>
            </w:r>
          </w:p>
        </w:tc>
        <w:tc>
          <w:tcPr>
            <w:tcW w:w="863" w:type="dxa"/>
            <w:noWrap/>
            <w:vAlign w:val="center"/>
            <w:hideMark/>
          </w:tcPr>
          <w:p w14:paraId="48688635" w14:textId="253CED6B" w:rsidR="00DD4D5C" w:rsidRPr="00C07F6E" w:rsidRDefault="00DD4D5C" w:rsidP="002035E9">
            <w:pPr>
              <w:pStyle w:val="Footnote"/>
              <w:jc w:val="right"/>
            </w:pPr>
            <w:r w:rsidRPr="00C07F6E">
              <w:t xml:space="preserve">2,660 </w:t>
            </w:r>
          </w:p>
        </w:tc>
        <w:tc>
          <w:tcPr>
            <w:tcW w:w="862" w:type="dxa"/>
            <w:noWrap/>
            <w:vAlign w:val="center"/>
            <w:hideMark/>
          </w:tcPr>
          <w:p w14:paraId="6CF18CA6" w14:textId="2D6CDF04" w:rsidR="00DD4D5C" w:rsidRPr="00C07F6E" w:rsidRDefault="00DD4D5C" w:rsidP="002035E9">
            <w:pPr>
              <w:pStyle w:val="Footnote"/>
              <w:jc w:val="right"/>
            </w:pPr>
            <w:r w:rsidRPr="00C07F6E">
              <w:t xml:space="preserve">2,069 </w:t>
            </w:r>
          </w:p>
        </w:tc>
      </w:tr>
      <w:tr w:rsidR="00DD4D5C" w:rsidRPr="00C07F6E" w14:paraId="781BDA66" w14:textId="77777777" w:rsidTr="00E44318">
        <w:trPr>
          <w:trHeight w:val="191"/>
          <w:jc w:val="center"/>
        </w:trPr>
        <w:tc>
          <w:tcPr>
            <w:tcW w:w="3895" w:type="dxa"/>
            <w:noWrap/>
            <w:vAlign w:val="center"/>
            <w:hideMark/>
          </w:tcPr>
          <w:p w14:paraId="64854E41" w14:textId="32C65F68" w:rsidR="00DD4D5C" w:rsidRPr="00C07F6E" w:rsidRDefault="00DD4D5C" w:rsidP="00780234">
            <w:pPr>
              <w:pStyle w:val="Footnote"/>
              <w:ind w:left="144"/>
            </w:pPr>
            <w:r w:rsidRPr="00C07F6E">
              <w:t>Total non-current liabilities</w:t>
            </w:r>
          </w:p>
        </w:tc>
        <w:tc>
          <w:tcPr>
            <w:tcW w:w="948" w:type="dxa"/>
            <w:vAlign w:val="center"/>
          </w:tcPr>
          <w:p w14:paraId="6917FDDC" w14:textId="44B45852" w:rsidR="00DD4D5C" w:rsidRPr="00C07F6E" w:rsidRDefault="00DD4D5C" w:rsidP="002035E9">
            <w:pPr>
              <w:pStyle w:val="Footnote"/>
              <w:jc w:val="right"/>
            </w:pPr>
            <w:r w:rsidRPr="00C07F6E">
              <w:t xml:space="preserve">15,564 </w:t>
            </w:r>
          </w:p>
        </w:tc>
        <w:tc>
          <w:tcPr>
            <w:tcW w:w="920" w:type="dxa"/>
            <w:noWrap/>
            <w:vAlign w:val="center"/>
            <w:hideMark/>
          </w:tcPr>
          <w:p w14:paraId="5872D07D" w14:textId="55AD20A6" w:rsidR="00DD4D5C" w:rsidRPr="00C07F6E" w:rsidRDefault="00DD4D5C" w:rsidP="002035E9">
            <w:pPr>
              <w:pStyle w:val="Footnote"/>
              <w:jc w:val="right"/>
            </w:pPr>
            <w:r w:rsidRPr="00C07F6E">
              <w:t xml:space="preserve">17,333 </w:t>
            </w:r>
          </w:p>
        </w:tc>
        <w:tc>
          <w:tcPr>
            <w:tcW w:w="863" w:type="dxa"/>
            <w:noWrap/>
            <w:vAlign w:val="center"/>
            <w:hideMark/>
          </w:tcPr>
          <w:p w14:paraId="47B53702" w14:textId="6DCA587E" w:rsidR="00DD4D5C" w:rsidRPr="00C07F6E" w:rsidRDefault="00DD4D5C" w:rsidP="002035E9">
            <w:pPr>
              <w:pStyle w:val="Footnote"/>
              <w:jc w:val="right"/>
            </w:pPr>
            <w:r w:rsidRPr="00C07F6E">
              <w:t xml:space="preserve">14,050 </w:t>
            </w:r>
          </w:p>
        </w:tc>
        <w:tc>
          <w:tcPr>
            <w:tcW w:w="862" w:type="dxa"/>
            <w:noWrap/>
            <w:vAlign w:val="center"/>
            <w:hideMark/>
          </w:tcPr>
          <w:p w14:paraId="0E0C1B46" w14:textId="06B1D1F6" w:rsidR="00DD4D5C" w:rsidRPr="00C07F6E" w:rsidRDefault="00DD4D5C" w:rsidP="002035E9">
            <w:pPr>
              <w:pStyle w:val="Footnote"/>
              <w:jc w:val="right"/>
            </w:pPr>
            <w:r w:rsidRPr="00C07F6E">
              <w:t xml:space="preserve">14,501 </w:t>
            </w:r>
          </w:p>
        </w:tc>
        <w:tc>
          <w:tcPr>
            <w:tcW w:w="863" w:type="dxa"/>
            <w:noWrap/>
            <w:vAlign w:val="center"/>
            <w:hideMark/>
          </w:tcPr>
          <w:p w14:paraId="017F1437" w14:textId="6ED08B54" w:rsidR="00DD4D5C" w:rsidRPr="00C07F6E" w:rsidRDefault="00DD4D5C" w:rsidP="002035E9">
            <w:pPr>
              <w:pStyle w:val="Footnote"/>
              <w:jc w:val="right"/>
            </w:pPr>
            <w:r w:rsidRPr="00C07F6E">
              <w:t xml:space="preserve">13,757 </w:t>
            </w:r>
          </w:p>
        </w:tc>
        <w:tc>
          <w:tcPr>
            <w:tcW w:w="862" w:type="dxa"/>
            <w:noWrap/>
            <w:vAlign w:val="center"/>
            <w:hideMark/>
          </w:tcPr>
          <w:p w14:paraId="033735E9" w14:textId="517E01DC" w:rsidR="00DD4D5C" w:rsidRPr="00C07F6E" w:rsidRDefault="00DD4D5C" w:rsidP="002035E9">
            <w:pPr>
              <w:pStyle w:val="Footnote"/>
              <w:jc w:val="right"/>
            </w:pPr>
            <w:r w:rsidRPr="00C07F6E">
              <w:t xml:space="preserve">12,940 </w:t>
            </w:r>
          </w:p>
        </w:tc>
      </w:tr>
      <w:tr w:rsidR="00DD4D5C" w:rsidRPr="00C07F6E" w14:paraId="354CE904" w14:textId="77777777" w:rsidTr="00E44318">
        <w:trPr>
          <w:trHeight w:val="53"/>
          <w:jc w:val="center"/>
        </w:trPr>
        <w:tc>
          <w:tcPr>
            <w:tcW w:w="3895" w:type="dxa"/>
            <w:noWrap/>
            <w:vAlign w:val="center"/>
            <w:hideMark/>
          </w:tcPr>
          <w:p w14:paraId="5F966D94" w14:textId="77777777" w:rsidR="00DD4D5C" w:rsidRPr="00C07F6E" w:rsidRDefault="00DD4D5C" w:rsidP="002035E9">
            <w:pPr>
              <w:pStyle w:val="Footnote"/>
            </w:pPr>
            <w:r w:rsidRPr="00C07F6E">
              <w:t>Total liabilities</w:t>
            </w:r>
          </w:p>
        </w:tc>
        <w:tc>
          <w:tcPr>
            <w:tcW w:w="948" w:type="dxa"/>
            <w:vAlign w:val="center"/>
          </w:tcPr>
          <w:p w14:paraId="28F6B549" w14:textId="6A1A47EF" w:rsidR="00DD4D5C" w:rsidRPr="00C07F6E" w:rsidRDefault="00DD4D5C" w:rsidP="002035E9">
            <w:pPr>
              <w:pStyle w:val="Footnote"/>
              <w:jc w:val="right"/>
            </w:pPr>
            <w:r w:rsidRPr="00C07F6E">
              <w:t xml:space="preserve">35,278 </w:t>
            </w:r>
          </w:p>
        </w:tc>
        <w:tc>
          <w:tcPr>
            <w:tcW w:w="920" w:type="dxa"/>
            <w:noWrap/>
            <w:vAlign w:val="center"/>
            <w:hideMark/>
          </w:tcPr>
          <w:p w14:paraId="1B95884A" w14:textId="0D469510" w:rsidR="00DD4D5C" w:rsidRPr="00C07F6E" w:rsidRDefault="00DD4D5C" w:rsidP="002035E9">
            <w:pPr>
              <w:pStyle w:val="Footnote"/>
              <w:jc w:val="right"/>
            </w:pPr>
            <w:r w:rsidRPr="00C07F6E">
              <w:t xml:space="preserve">37,143 </w:t>
            </w:r>
          </w:p>
        </w:tc>
        <w:tc>
          <w:tcPr>
            <w:tcW w:w="863" w:type="dxa"/>
            <w:noWrap/>
            <w:vAlign w:val="center"/>
            <w:hideMark/>
          </w:tcPr>
          <w:p w14:paraId="529A3F65" w14:textId="67D1363D" w:rsidR="00DD4D5C" w:rsidRPr="00C07F6E" w:rsidRDefault="00DD4D5C" w:rsidP="002035E9">
            <w:pPr>
              <w:pStyle w:val="Footnote"/>
              <w:jc w:val="right"/>
            </w:pPr>
            <w:r w:rsidRPr="00C07F6E">
              <w:t xml:space="preserve">35,449 </w:t>
            </w:r>
          </w:p>
        </w:tc>
        <w:tc>
          <w:tcPr>
            <w:tcW w:w="862" w:type="dxa"/>
            <w:noWrap/>
            <w:vAlign w:val="center"/>
            <w:hideMark/>
          </w:tcPr>
          <w:p w14:paraId="027EEE98" w14:textId="601AC189" w:rsidR="00DD4D5C" w:rsidRPr="00C07F6E" w:rsidRDefault="00DD4D5C" w:rsidP="002035E9">
            <w:pPr>
              <w:pStyle w:val="Footnote"/>
              <w:jc w:val="right"/>
            </w:pPr>
            <w:r w:rsidRPr="00C07F6E">
              <w:t xml:space="preserve">33,486 </w:t>
            </w:r>
          </w:p>
        </w:tc>
        <w:tc>
          <w:tcPr>
            <w:tcW w:w="863" w:type="dxa"/>
            <w:noWrap/>
            <w:vAlign w:val="center"/>
            <w:hideMark/>
          </w:tcPr>
          <w:p w14:paraId="5A93FC15" w14:textId="7D7F9CE0" w:rsidR="00DD4D5C" w:rsidRPr="00C07F6E" w:rsidRDefault="00DD4D5C" w:rsidP="002035E9">
            <w:pPr>
              <w:pStyle w:val="Footnote"/>
              <w:jc w:val="right"/>
            </w:pPr>
            <w:r w:rsidRPr="00C07F6E">
              <w:t xml:space="preserve">33,006 </w:t>
            </w:r>
          </w:p>
        </w:tc>
        <w:tc>
          <w:tcPr>
            <w:tcW w:w="862" w:type="dxa"/>
            <w:noWrap/>
            <w:vAlign w:val="center"/>
            <w:hideMark/>
          </w:tcPr>
          <w:p w14:paraId="7A3A9AAD" w14:textId="23B24419" w:rsidR="00DD4D5C" w:rsidRPr="00C07F6E" w:rsidRDefault="00DD4D5C" w:rsidP="002035E9">
            <w:pPr>
              <w:pStyle w:val="Footnote"/>
              <w:jc w:val="right"/>
            </w:pPr>
            <w:r w:rsidRPr="00C07F6E">
              <w:t xml:space="preserve">30,671 </w:t>
            </w:r>
          </w:p>
        </w:tc>
      </w:tr>
      <w:tr w:rsidR="00DD4D5C" w:rsidRPr="00C07F6E" w14:paraId="165E66B7" w14:textId="77777777" w:rsidTr="00E44318">
        <w:trPr>
          <w:trHeight w:val="69"/>
          <w:jc w:val="center"/>
        </w:trPr>
        <w:tc>
          <w:tcPr>
            <w:tcW w:w="3895" w:type="dxa"/>
            <w:noWrap/>
            <w:vAlign w:val="center"/>
            <w:hideMark/>
          </w:tcPr>
          <w:p w14:paraId="62941631" w14:textId="77777777" w:rsidR="00DD4D5C" w:rsidRPr="00C07F6E" w:rsidRDefault="00DD4D5C" w:rsidP="002035E9">
            <w:pPr>
              <w:pStyle w:val="Footnote"/>
            </w:pPr>
            <w:r w:rsidRPr="00C07F6E">
              <w:t>Stockholders' equity</w:t>
            </w:r>
          </w:p>
        </w:tc>
        <w:tc>
          <w:tcPr>
            <w:tcW w:w="948" w:type="dxa"/>
            <w:vAlign w:val="center"/>
          </w:tcPr>
          <w:p w14:paraId="66244A89" w14:textId="77777777" w:rsidR="00DD4D5C" w:rsidRPr="00C07F6E" w:rsidRDefault="00DD4D5C" w:rsidP="002035E9">
            <w:pPr>
              <w:pStyle w:val="Footnote"/>
              <w:jc w:val="right"/>
            </w:pPr>
          </w:p>
        </w:tc>
        <w:tc>
          <w:tcPr>
            <w:tcW w:w="920" w:type="dxa"/>
            <w:noWrap/>
            <w:vAlign w:val="center"/>
            <w:hideMark/>
          </w:tcPr>
          <w:p w14:paraId="194C69D3" w14:textId="7F46EBE0" w:rsidR="00DD4D5C" w:rsidRPr="00C07F6E" w:rsidRDefault="00714F4F" w:rsidP="002035E9">
            <w:pPr>
              <w:pStyle w:val="Footnote"/>
              <w:jc w:val="right"/>
            </w:pPr>
            <w:r>
              <w:t xml:space="preserve"> </w:t>
            </w:r>
          </w:p>
        </w:tc>
        <w:tc>
          <w:tcPr>
            <w:tcW w:w="863" w:type="dxa"/>
            <w:noWrap/>
            <w:vAlign w:val="center"/>
            <w:hideMark/>
          </w:tcPr>
          <w:p w14:paraId="23848764" w14:textId="5ED3DB12" w:rsidR="00DD4D5C" w:rsidRPr="00C07F6E" w:rsidRDefault="00714F4F" w:rsidP="002035E9">
            <w:pPr>
              <w:pStyle w:val="Footnote"/>
              <w:jc w:val="right"/>
            </w:pPr>
            <w:r>
              <w:t xml:space="preserve"> </w:t>
            </w:r>
          </w:p>
        </w:tc>
        <w:tc>
          <w:tcPr>
            <w:tcW w:w="862" w:type="dxa"/>
            <w:noWrap/>
            <w:vAlign w:val="center"/>
            <w:hideMark/>
          </w:tcPr>
          <w:p w14:paraId="2E4AC299" w14:textId="0088348F" w:rsidR="00DD4D5C" w:rsidRPr="00C07F6E" w:rsidRDefault="00714F4F" w:rsidP="002035E9">
            <w:pPr>
              <w:pStyle w:val="Footnote"/>
              <w:jc w:val="right"/>
            </w:pPr>
            <w:r>
              <w:t xml:space="preserve"> </w:t>
            </w:r>
          </w:p>
        </w:tc>
        <w:tc>
          <w:tcPr>
            <w:tcW w:w="863" w:type="dxa"/>
            <w:noWrap/>
            <w:vAlign w:val="center"/>
            <w:hideMark/>
          </w:tcPr>
          <w:p w14:paraId="05183510" w14:textId="0454FE76" w:rsidR="00DD4D5C" w:rsidRPr="00C07F6E" w:rsidRDefault="00714F4F" w:rsidP="002035E9">
            <w:pPr>
              <w:pStyle w:val="Footnote"/>
              <w:jc w:val="right"/>
            </w:pPr>
            <w:r>
              <w:t xml:space="preserve"> </w:t>
            </w:r>
          </w:p>
        </w:tc>
        <w:tc>
          <w:tcPr>
            <w:tcW w:w="862" w:type="dxa"/>
            <w:noWrap/>
            <w:vAlign w:val="center"/>
            <w:hideMark/>
          </w:tcPr>
          <w:p w14:paraId="0CB85340" w14:textId="4BB2A44C" w:rsidR="00DD4D5C" w:rsidRPr="00C07F6E" w:rsidRDefault="00714F4F" w:rsidP="002035E9">
            <w:pPr>
              <w:pStyle w:val="Footnote"/>
              <w:jc w:val="right"/>
            </w:pPr>
            <w:r>
              <w:t xml:space="preserve"> </w:t>
            </w:r>
          </w:p>
        </w:tc>
      </w:tr>
      <w:tr w:rsidR="00DD4D5C" w:rsidRPr="00C07F6E" w14:paraId="41B7461F" w14:textId="77777777" w:rsidTr="00E44318">
        <w:trPr>
          <w:trHeight w:val="43"/>
          <w:jc w:val="center"/>
        </w:trPr>
        <w:tc>
          <w:tcPr>
            <w:tcW w:w="3895" w:type="dxa"/>
            <w:noWrap/>
            <w:vAlign w:val="center"/>
            <w:hideMark/>
          </w:tcPr>
          <w:p w14:paraId="3E973141" w14:textId="3BEA6A0D" w:rsidR="00DD4D5C" w:rsidRPr="00C07F6E" w:rsidRDefault="00DD4D5C" w:rsidP="00780234">
            <w:pPr>
              <w:pStyle w:val="Footnote"/>
              <w:ind w:left="144"/>
            </w:pPr>
            <w:r w:rsidRPr="00C07F6E">
              <w:t>Additional paid-in capital</w:t>
            </w:r>
          </w:p>
        </w:tc>
        <w:tc>
          <w:tcPr>
            <w:tcW w:w="948" w:type="dxa"/>
            <w:vAlign w:val="center"/>
          </w:tcPr>
          <w:p w14:paraId="49495BFC" w14:textId="08EB3D57" w:rsidR="00DD4D5C" w:rsidRPr="00C07F6E" w:rsidRDefault="00DD4D5C" w:rsidP="002035E9">
            <w:pPr>
              <w:pStyle w:val="Footnote"/>
              <w:jc w:val="right"/>
            </w:pPr>
            <w:r w:rsidRPr="00C07F6E">
              <w:t xml:space="preserve">5,095 </w:t>
            </w:r>
          </w:p>
        </w:tc>
        <w:tc>
          <w:tcPr>
            <w:tcW w:w="920" w:type="dxa"/>
            <w:noWrap/>
            <w:vAlign w:val="center"/>
            <w:hideMark/>
          </w:tcPr>
          <w:p w14:paraId="1E5AB66E" w14:textId="439CE64E" w:rsidR="00DD4D5C" w:rsidRPr="00C07F6E" w:rsidRDefault="00DD4D5C" w:rsidP="002035E9">
            <w:pPr>
              <w:pStyle w:val="Footnote"/>
              <w:jc w:val="right"/>
            </w:pPr>
            <w:r w:rsidRPr="00C07F6E">
              <w:t xml:space="preserve">5,094 </w:t>
            </w:r>
          </w:p>
        </w:tc>
        <w:tc>
          <w:tcPr>
            <w:tcW w:w="863" w:type="dxa"/>
            <w:noWrap/>
            <w:vAlign w:val="center"/>
            <w:hideMark/>
          </w:tcPr>
          <w:p w14:paraId="1915524F" w14:textId="753C24E9" w:rsidR="00DD4D5C" w:rsidRPr="00C07F6E" w:rsidRDefault="00DD4D5C" w:rsidP="002035E9">
            <w:pPr>
              <w:pStyle w:val="Footnote"/>
              <w:jc w:val="right"/>
            </w:pPr>
            <w:r w:rsidRPr="00C07F6E">
              <w:t xml:space="preserve">5,080 </w:t>
            </w:r>
          </w:p>
        </w:tc>
        <w:tc>
          <w:tcPr>
            <w:tcW w:w="862" w:type="dxa"/>
            <w:noWrap/>
            <w:vAlign w:val="center"/>
            <w:hideMark/>
          </w:tcPr>
          <w:p w14:paraId="62036AF4" w14:textId="1F60F209" w:rsidR="00DD4D5C" w:rsidRPr="00C07F6E" w:rsidRDefault="00DD4D5C" w:rsidP="002035E9">
            <w:pPr>
              <w:pStyle w:val="Footnote"/>
              <w:jc w:val="right"/>
            </w:pPr>
            <w:r w:rsidRPr="00C07F6E">
              <w:t xml:space="preserve">5,020 </w:t>
            </w:r>
          </w:p>
        </w:tc>
        <w:tc>
          <w:tcPr>
            <w:tcW w:w="863" w:type="dxa"/>
            <w:noWrap/>
            <w:vAlign w:val="center"/>
            <w:hideMark/>
          </w:tcPr>
          <w:p w14:paraId="382AECB5" w14:textId="6532129E" w:rsidR="00DD4D5C" w:rsidRPr="00C07F6E" w:rsidRDefault="00DD4D5C" w:rsidP="002035E9">
            <w:pPr>
              <w:pStyle w:val="Footnote"/>
              <w:jc w:val="right"/>
            </w:pPr>
            <w:r w:rsidRPr="00C07F6E">
              <w:t xml:space="preserve">4,964 </w:t>
            </w:r>
          </w:p>
        </w:tc>
        <w:tc>
          <w:tcPr>
            <w:tcW w:w="862" w:type="dxa"/>
            <w:noWrap/>
            <w:vAlign w:val="center"/>
            <w:hideMark/>
          </w:tcPr>
          <w:p w14:paraId="61C79BF7" w14:textId="4D011EF3" w:rsidR="00DD4D5C" w:rsidRPr="00C07F6E" w:rsidRDefault="00DD4D5C" w:rsidP="002035E9">
            <w:pPr>
              <w:pStyle w:val="Footnote"/>
              <w:jc w:val="right"/>
            </w:pPr>
            <w:r w:rsidRPr="00C07F6E">
              <w:t xml:space="preserve">4,896 </w:t>
            </w:r>
          </w:p>
        </w:tc>
      </w:tr>
      <w:tr w:rsidR="00DD4D5C" w:rsidRPr="00C07F6E" w14:paraId="7059154D" w14:textId="77777777" w:rsidTr="00E44318">
        <w:trPr>
          <w:trHeight w:val="53"/>
          <w:jc w:val="center"/>
        </w:trPr>
        <w:tc>
          <w:tcPr>
            <w:tcW w:w="3895" w:type="dxa"/>
            <w:noWrap/>
            <w:vAlign w:val="center"/>
            <w:hideMark/>
          </w:tcPr>
          <w:p w14:paraId="2F09E29D" w14:textId="54810BD1" w:rsidR="00DD4D5C" w:rsidRPr="00C07F6E" w:rsidRDefault="00DD4D5C" w:rsidP="00780234">
            <w:pPr>
              <w:pStyle w:val="Footnote"/>
              <w:ind w:left="144"/>
            </w:pPr>
            <w:r w:rsidRPr="00C07F6E">
              <w:t>Retained earnings</w:t>
            </w:r>
          </w:p>
        </w:tc>
        <w:tc>
          <w:tcPr>
            <w:tcW w:w="948" w:type="dxa"/>
            <w:vAlign w:val="center"/>
          </w:tcPr>
          <w:p w14:paraId="29476239" w14:textId="3F0D2B2A" w:rsidR="00DD4D5C" w:rsidRPr="00C07F6E" w:rsidRDefault="00DD4D5C" w:rsidP="002035E9">
            <w:pPr>
              <w:pStyle w:val="Footnote"/>
              <w:jc w:val="right"/>
            </w:pPr>
            <w:r w:rsidRPr="00C07F6E">
              <w:t xml:space="preserve">3,265 </w:t>
            </w:r>
          </w:p>
        </w:tc>
        <w:tc>
          <w:tcPr>
            <w:tcW w:w="920" w:type="dxa"/>
            <w:noWrap/>
            <w:vAlign w:val="center"/>
            <w:hideMark/>
          </w:tcPr>
          <w:p w14:paraId="328FFF99" w14:textId="773DD0C2" w:rsidR="00DD4D5C" w:rsidRPr="00C07F6E" w:rsidRDefault="00DD4D5C" w:rsidP="002035E9">
            <w:pPr>
              <w:pStyle w:val="Footnote"/>
              <w:jc w:val="right"/>
            </w:pPr>
            <w:r w:rsidRPr="00C07F6E">
              <w:t xml:space="preserve">1,985 </w:t>
            </w:r>
          </w:p>
        </w:tc>
        <w:tc>
          <w:tcPr>
            <w:tcW w:w="863" w:type="dxa"/>
            <w:noWrap/>
            <w:vAlign w:val="center"/>
            <w:hideMark/>
          </w:tcPr>
          <w:p w14:paraId="594D50B8" w14:textId="197E8EE7" w:rsidR="00DD4D5C" w:rsidRPr="00C07F6E" w:rsidRDefault="00DD4D5C" w:rsidP="002035E9">
            <w:pPr>
              <w:pStyle w:val="Footnote"/>
              <w:jc w:val="right"/>
            </w:pPr>
            <w:r w:rsidRPr="00C07F6E">
              <w:t xml:space="preserve">9,728 </w:t>
            </w:r>
          </w:p>
        </w:tc>
        <w:tc>
          <w:tcPr>
            <w:tcW w:w="862" w:type="dxa"/>
            <w:noWrap/>
            <w:vAlign w:val="center"/>
            <w:hideMark/>
          </w:tcPr>
          <w:p w14:paraId="061E8F45" w14:textId="273CE11A" w:rsidR="00DD4D5C" w:rsidRPr="00C07F6E" w:rsidRDefault="00DD4D5C" w:rsidP="002035E9">
            <w:pPr>
              <w:pStyle w:val="Footnote"/>
              <w:jc w:val="right"/>
            </w:pPr>
            <w:r w:rsidRPr="00C07F6E">
              <w:t xml:space="preserve">10,535 </w:t>
            </w:r>
          </w:p>
        </w:tc>
        <w:tc>
          <w:tcPr>
            <w:tcW w:w="863" w:type="dxa"/>
            <w:noWrap/>
            <w:vAlign w:val="center"/>
            <w:hideMark/>
          </w:tcPr>
          <w:p w14:paraId="5D6AF72C" w14:textId="65946A3A" w:rsidR="00DD4D5C" w:rsidRPr="00C07F6E" w:rsidRDefault="00DD4D5C" w:rsidP="002035E9">
            <w:pPr>
              <w:pStyle w:val="Footnote"/>
              <w:jc w:val="right"/>
            </w:pPr>
            <w:r w:rsidRPr="00C07F6E">
              <w:t xml:space="preserve">12,369 </w:t>
            </w:r>
          </w:p>
        </w:tc>
        <w:tc>
          <w:tcPr>
            <w:tcW w:w="862" w:type="dxa"/>
            <w:noWrap/>
            <w:vAlign w:val="center"/>
            <w:hideMark/>
          </w:tcPr>
          <w:p w14:paraId="6B993A29" w14:textId="09BC0D5D" w:rsidR="00DD4D5C" w:rsidRPr="00C07F6E" w:rsidRDefault="00DD4D5C" w:rsidP="002035E9">
            <w:pPr>
              <w:pStyle w:val="Footnote"/>
              <w:jc w:val="right"/>
            </w:pPr>
            <w:r w:rsidRPr="00C07F6E">
              <w:t xml:space="preserve">11,197 </w:t>
            </w:r>
          </w:p>
        </w:tc>
      </w:tr>
      <w:tr w:rsidR="00DD4D5C" w:rsidRPr="00C07F6E" w14:paraId="02D5B5C2" w14:textId="77777777" w:rsidTr="00E44318">
        <w:trPr>
          <w:trHeight w:val="110"/>
          <w:jc w:val="center"/>
        </w:trPr>
        <w:tc>
          <w:tcPr>
            <w:tcW w:w="3895" w:type="dxa"/>
            <w:noWrap/>
            <w:vAlign w:val="center"/>
            <w:hideMark/>
          </w:tcPr>
          <w:p w14:paraId="24932615" w14:textId="5F416DC2" w:rsidR="00DD4D5C" w:rsidRPr="00C07F6E" w:rsidRDefault="00DD4D5C" w:rsidP="00780234">
            <w:pPr>
              <w:pStyle w:val="Footnote"/>
              <w:ind w:left="144"/>
            </w:pPr>
            <w:r w:rsidRPr="00C07F6E">
              <w:t>Accumulated other comprehensive income</w:t>
            </w:r>
          </w:p>
        </w:tc>
        <w:tc>
          <w:tcPr>
            <w:tcW w:w="948" w:type="dxa"/>
            <w:vAlign w:val="center"/>
          </w:tcPr>
          <w:p w14:paraId="3C28B7E4" w14:textId="0E59578B" w:rsidR="00DD4D5C" w:rsidRPr="00C07F6E" w:rsidRDefault="00DD4D5C" w:rsidP="002035E9">
            <w:pPr>
              <w:pStyle w:val="Footnote"/>
              <w:jc w:val="right"/>
            </w:pPr>
            <w:r w:rsidRPr="00C07F6E">
              <w:t xml:space="preserve">266 </w:t>
            </w:r>
          </w:p>
        </w:tc>
        <w:tc>
          <w:tcPr>
            <w:tcW w:w="920" w:type="dxa"/>
            <w:noWrap/>
            <w:vAlign w:val="center"/>
            <w:hideMark/>
          </w:tcPr>
          <w:p w14:paraId="01236B84" w14:textId="1480302A" w:rsidR="00DD4D5C" w:rsidRPr="00C07F6E" w:rsidRDefault="00DD4D5C" w:rsidP="002035E9">
            <w:pPr>
              <w:pStyle w:val="Footnote"/>
              <w:jc w:val="right"/>
            </w:pPr>
            <w:r w:rsidRPr="00C07F6E">
              <w:t>(8)</w:t>
            </w:r>
          </w:p>
        </w:tc>
        <w:tc>
          <w:tcPr>
            <w:tcW w:w="863" w:type="dxa"/>
            <w:noWrap/>
            <w:vAlign w:val="center"/>
            <w:hideMark/>
          </w:tcPr>
          <w:p w14:paraId="46E05795" w14:textId="14C4655F" w:rsidR="00DD4D5C" w:rsidRPr="00C07F6E" w:rsidRDefault="00DD4D5C" w:rsidP="002035E9">
            <w:pPr>
              <w:pStyle w:val="Footnote"/>
              <w:jc w:val="right"/>
            </w:pPr>
            <w:r w:rsidRPr="00C07F6E">
              <w:t>(93)</w:t>
            </w:r>
          </w:p>
        </w:tc>
        <w:tc>
          <w:tcPr>
            <w:tcW w:w="862" w:type="dxa"/>
            <w:noWrap/>
            <w:vAlign w:val="center"/>
            <w:hideMark/>
          </w:tcPr>
          <w:p w14:paraId="278CC48D" w14:textId="4D71A422" w:rsidR="00DD4D5C" w:rsidRPr="00C07F6E" w:rsidRDefault="00DD4D5C" w:rsidP="002035E9">
            <w:pPr>
              <w:pStyle w:val="Footnote"/>
              <w:jc w:val="right"/>
            </w:pPr>
            <w:r w:rsidRPr="00C07F6E">
              <w:t xml:space="preserve">1,088 </w:t>
            </w:r>
          </w:p>
        </w:tc>
        <w:tc>
          <w:tcPr>
            <w:tcW w:w="863" w:type="dxa"/>
            <w:noWrap/>
            <w:vAlign w:val="center"/>
            <w:hideMark/>
          </w:tcPr>
          <w:p w14:paraId="5E5D16DC" w14:textId="1BB29627" w:rsidR="00DD4D5C" w:rsidRPr="00C07F6E" w:rsidRDefault="00DD4D5C" w:rsidP="002035E9">
            <w:pPr>
              <w:pStyle w:val="Footnote"/>
              <w:jc w:val="right"/>
            </w:pPr>
            <w:r w:rsidRPr="00C07F6E">
              <w:t xml:space="preserve">442 </w:t>
            </w:r>
          </w:p>
        </w:tc>
        <w:tc>
          <w:tcPr>
            <w:tcW w:w="862" w:type="dxa"/>
            <w:noWrap/>
            <w:vAlign w:val="center"/>
            <w:hideMark/>
          </w:tcPr>
          <w:p w14:paraId="3442D442" w14:textId="2D371BED" w:rsidR="00DD4D5C" w:rsidRPr="00C07F6E" w:rsidRDefault="00DD4D5C" w:rsidP="002035E9">
            <w:pPr>
              <w:pStyle w:val="Footnote"/>
              <w:jc w:val="right"/>
            </w:pPr>
            <w:r w:rsidRPr="00C07F6E">
              <w:t xml:space="preserve">442 </w:t>
            </w:r>
          </w:p>
        </w:tc>
      </w:tr>
      <w:tr w:rsidR="00DD4D5C" w:rsidRPr="00C07F6E" w14:paraId="42E39790" w14:textId="77777777" w:rsidTr="00E44318">
        <w:trPr>
          <w:trHeight w:val="53"/>
          <w:jc w:val="center"/>
        </w:trPr>
        <w:tc>
          <w:tcPr>
            <w:tcW w:w="3895" w:type="dxa"/>
            <w:noWrap/>
            <w:vAlign w:val="center"/>
            <w:hideMark/>
          </w:tcPr>
          <w:p w14:paraId="5BAA756B" w14:textId="77777777" w:rsidR="00DD4D5C" w:rsidRPr="00C07F6E" w:rsidRDefault="00DD4D5C" w:rsidP="002035E9">
            <w:pPr>
              <w:pStyle w:val="Footnote"/>
            </w:pPr>
            <w:r w:rsidRPr="00C07F6E">
              <w:t>Total stockholders' equity</w:t>
            </w:r>
          </w:p>
        </w:tc>
        <w:tc>
          <w:tcPr>
            <w:tcW w:w="948" w:type="dxa"/>
            <w:vAlign w:val="center"/>
          </w:tcPr>
          <w:p w14:paraId="35676E94" w14:textId="3637310F" w:rsidR="00DD4D5C" w:rsidRPr="00C07F6E" w:rsidRDefault="00DD4D5C" w:rsidP="002035E9">
            <w:pPr>
              <w:pStyle w:val="Footnote"/>
              <w:jc w:val="right"/>
            </w:pPr>
            <w:r w:rsidRPr="00C07F6E">
              <w:t xml:space="preserve">8,626 </w:t>
            </w:r>
          </w:p>
        </w:tc>
        <w:tc>
          <w:tcPr>
            <w:tcW w:w="920" w:type="dxa"/>
            <w:noWrap/>
            <w:vAlign w:val="center"/>
            <w:hideMark/>
          </w:tcPr>
          <w:p w14:paraId="5C09F30A" w14:textId="7E61DDBE" w:rsidR="00DD4D5C" w:rsidRPr="00C07F6E" w:rsidRDefault="00DD4D5C" w:rsidP="002035E9">
            <w:pPr>
              <w:pStyle w:val="Footnote"/>
              <w:jc w:val="right"/>
            </w:pPr>
            <w:r w:rsidRPr="00C07F6E">
              <w:t xml:space="preserve">7,071 </w:t>
            </w:r>
          </w:p>
        </w:tc>
        <w:tc>
          <w:tcPr>
            <w:tcW w:w="863" w:type="dxa"/>
            <w:noWrap/>
            <w:vAlign w:val="center"/>
            <w:hideMark/>
          </w:tcPr>
          <w:p w14:paraId="04BDA738" w14:textId="0B84C54D" w:rsidR="00DD4D5C" w:rsidRPr="00C07F6E" w:rsidRDefault="00DD4D5C" w:rsidP="002035E9">
            <w:pPr>
              <w:pStyle w:val="Footnote"/>
              <w:jc w:val="right"/>
            </w:pPr>
            <w:r w:rsidRPr="00C07F6E">
              <w:t xml:space="preserve">14,715 </w:t>
            </w:r>
          </w:p>
        </w:tc>
        <w:tc>
          <w:tcPr>
            <w:tcW w:w="862" w:type="dxa"/>
            <w:noWrap/>
            <w:vAlign w:val="center"/>
            <w:hideMark/>
          </w:tcPr>
          <w:p w14:paraId="7AC4C7FC" w14:textId="7F91D770" w:rsidR="00DD4D5C" w:rsidRPr="00C07F6E" w:rsidRDefault="00DD4D5C" w:rsidP="002035E9">
            <w:pPr>
              <w:pStyle w:val="Footnote"/>
              <w:jc w:val="right"/>
            </w:pPr>
            <w:r w:rsidRPr="00C07F6E">
              <w:t xml:space="preserve">16,643 </w:t>
            </w:r>
          </w:p>
        </w:tc>
        <w:tc>
          <w:tcPr>
            <w:tcW w:w="863" w:type="dxa"/>
            <w:noWrap/>
            <w:vAlign w:val="center"/>
            <w:hideMark/>
          </w:tcPr>
          <w:p w14:paraId="6A391B09" w14:textId="1902D3EF" w:rsidR="00DD4D5C" w:rsidRPr="00C07F6E" w:rsidRDefault="00DD4D5C" w:rsidP="002035E9">
            <w:pPr>
              <w:pStyle w:val="Footnote"/>
              <w:jc w:val="right"/>
            </w:pPr>
            <w:r w:rsidRPr="00C07F6E">
              <w:t xml:space="preserve">17,775 </w:t>
            </w:r>
          </w:p>
        </w:tc>
        <w:tc>
          <w:tcPr>
            <w:tcW w:w="862" w:type="dxa"/>
            <w:noWrap/>
            <w:vAlign w:val="center"/>
            <w:hideMark/>
          </w:tcPr>
          <w:p w14:paraId="2BCF184A" w14:textId="1C892F33" w:rsidR="00DD4D5C" w:rsidRPr="00C07F6E" w:rsidRDefault="00DD4D5C" w:rsidP="002035E9">
            <w:pPr>
              <w:pStyle w:val="Footnote"/>
              <w:jc w:val="right"/>
            </w:pPr>
            <w:r w:rsidRPr="00C07F6E">
              <w:t xml:space="preserve">16,535 </w:t>
            </w:r>
          </w:p>
        </w:tc>
      </w:tr>
      <w:tr w:rsidR="00DD4D5C" w:rsidRPr="00C07F6E" w14:paraId="59CB6911" w14:textId="77777777" w:rsidTr="00E44318">
        <w:trPr>
          <w:trHeight w:val="73"/>
          <w:jc w:val="center"/>
        </w:trPr>
        <w:tc>
          <w:tcPr>
            <w:tcW w:w="3895" w:type="dxa"/>
            <w:noWrap/>
            <w:vAlign w:val="center"/>
            <w:hideMark/>
          </w:tcPr>
          <w:p w14:paraId="303A507F" w14:textId="77777777" w:rsidR="00DD4D5C" w:rsidRPr="00C07F6E" w:rsidRDefault="00DD4D5C" w:rsidP="002035E9">
            <w:pPr>
              <w:pStyle w:val="Footnote"/>
            </w:pPr>
            <w:r w:rsidRPr="00C07F6E">
              <w:t>Total liabilities and stockholders' equity</w:t>
            </w:r>
          </w:p>
        </w:tc>
        <w:tc>
          <w:tcPr>
            <w:tcW w:w="948" w:type="dxa"/>
            <w:vAlign w:val="center"/>
          </w:tcPr>
          <w:p w14:paraId="482EE22A" w14:textId="55E473EB" w:rsidR="00DD4D5C" w:rsidRPr="00C07F6E" w:rsidRDefault="00DD4D5C" w:rsidP="002035E9">
            <w:pPr>
              <w:pStyle w:val="Footnote"/>
              <w:jc w:val="right"/>
            </w:pPr>
            <w:r w:rsidRPr="00C07F6E">
              <w:t xml:space="preserve">43,904 </w:t>
            </w:r>
          </w:p>
        </w:tc>
        <w:tc>
          <w:tcPr>
            <w:tcW w:w="920" w:type="dxa"/>
            <w:noWrap/>
            <w:vAlign w:val="center"/>
            <w:hideMark/>
          </w:tcPr>
          <w:p w14:paraId="49A750C8" w14:textId="383FE7A5" w:rsidR="00DD4D5C" w:rsidRPr="00C07F6E" w:rsidRDefault="00DD4D5C" w:rsidP="002035E9">
            <w:pPr>
              <w:pStyle w:val="Footnote"/>
              <w:jc w:val="right"/>
            </w:pPr>
            <w:r w:rsidRPr="00C07F6E">
              <w:t xml:space="preserve">44,214 </w:t>
            </w:r>
          </w:p>
        </w:tc>
        <w:tc>
          <w:tcPr>
            <w:tcW w:w="863" w:type="dxa"/>
            <w:noWrap/>
            <w:vAlign w:val="center"/>
            <w:hideMark/>
          </w:tcPr>
          <w:p w14:paraId="32D2D53C" w14:textId="06A686A7" w:rsidR="00DD4D5C" w:rsidRPr="00C07F6E" w:rsidRDefault="00DD4D5C" w:rsidP="002035E9">
            <w:pPr>
              <w:pStyle w:val="Footnote"/>
              <w:jc w:val="right"/>
            </w:pPr>
            <w:r w:rsidRPr="00C07F6E">
              <w:t xml:space="preserve">50,164 </w:t>
            </w:r>
          </w:p>
        </w:tc>
        <w:tc>
          <w:tcPr>
            <w:tcW w:w="862" w:type="dxa"/>
            <w:noWrap/>
            <w:vAlign w:val="center"/>
            <w:hideMark/>
          </w:tcPr>
          <w:p w14:paraId="5D4B2AB3" w14:textId="3D8862C0" w:rsidR="00DD4D5C" w:rsidRPr="00C07F6E" w:rsidRDefault="00DD4D5C" w:rsidP="002035E9">
            <w:pPr>
              <w:pStyle w:val="Footnote"/>
              <w:jc w:val="right"/>
            </w:pPr>
            <w:r w:rsidRPr="00C07F6E">
              <w:t xml:space="preserve">50,129 </w:t>
            </w:r>
          </w:p>
        </w:tc>
        <w:tc>
          <w:tcPr>
            <w:tcW w:w="863" w:type="dxa"/>
            <w:noWrap/>
            <w:vAlign w:val="center"/>
            <w:hideMark/>
          </w:tcPr>
          <w:p w14:paraId="27B1EEF1" w14:textId="34412E6D" w:rsidR="00DD4D5C" w:rsidRPr="00C07F6E" w:rsidRDefault="00DD4D5C" w:rsidP="002035E9">
            <w:pPr>
              <w:pStyle w:val="Footnote"/>
              <w:jc w:val="right"/>
            </w:pPr>
            <w:r w:rsidRPr="00C07F6E">
              <w:t xml:space="preserve">50,781 </w:t>
            </w:r>
          </w:p>
        </w:tc>
        <w:tc>
          <w:tcPr>
            <w:tcW w:w="862" w:type="dxa"/>
            <w:noWrap/>
            <w:vAlign w:val="center"/>
            <w:hideMark/>
          </w:tcPr>
          <w:p w14:paraId="70286C30" w14:textId="439EDACC" w:rsidR="00DD4D5C" w:rsidRPr="00C07F6E" w:rsidRDefault="00DD4D5C" w:rsidP="002035E9">
            <w:pPr>
              <w:pStyle w:val="Footnote"/>
              <w:jc w:val="right"/>
            </w:pPr>
            <w:r w:rsidRPr="00C07F6E">
              <w:t xml:space="preserve">47,206 </w:t>
            </w:r>
          </w:p>
        </w:tc>
      </w:tr>
    </w:tbl>
    <w:p w14:paraId="72A8A39E" w14:textId="02E35926" w:rsidR="005C18D8" w:rsidRPr="00427A98" w:rsidRDefault="005C18D8" w:rsidP="008E1462">
      <w:pPr>
        <w:pStyle w:val="ExhibitText"/>
        <w:rPr>
          <w:rFonts w:eastAsia="Arial"/>
          <w:sz w:val="6"/>
        </w:rPr>
      </w:pPr>
    </w:p>
    <w:p w14:paraId="589D2A55" w14:textId="6ACE77FD" w:rsidR="005C18D8" w:rsidRDefault="00830101" w:rsidP="005C18D8">
      <w:pPr>
        <w:pStyle w:val="Footnote"/>
        <w:rPr>
          <w:spacing w:val="-2"/>
          <w:kern w:val="17"/>
        </w:rPr>
      </w:pPr>
      <w:proofErr w:type="gramStart"/>
      <w:r w:rsidRPr="005C18D8">
        <w:rPr>
          <w:rFonts w:eastAsia="Arial"/>
          <w:spacing w:val="-2"/>
          <w:kern w:val="17"/>
        </w:rPr>
        <w:t xml:space="preserve">Source: Compiled by the case authors, based on </w:t>
      </w:r>
      <w:r w:rsidRPr="005C18D8">
        <w:rPr>
          <w:spacing w:val="-2"/>
          <w:kern w:val="17"/>
        </w:rPr>
        <w:t xml:space="preserve">Tesco PLC, </w:t>
      </w:r>
      <w:r w:rsidRPr="00780234">
        <w:rPr>
          <w:i/>
          <w:spacing w:val="-2"/>
          <w:kern w:val="17"/>
        </w:rPr>
        <w:t>Annual Report and Financial Statements 2016</w:t>
      </w:r>
      <w:r w:rsidRPr="005C18D8">
        <w:rPr>
          <w:spacing w:val="-2"/>
          <w:kern w:val="17"/>
        </w:rPr>
        <w:t xml:space="preserve">, 87, accessed </w:t>
      </w:r>
      <w:r w:rsidR="00F5032C" w:rsidRPr="005C18D8">
        <w:rPr>
          <w:spacing w:val="-2"/>
          <w:kern w:val="17"/>
        </w:rPr>
        <w:t>May</w:t>
      </w:r>
      <w:r w:rsidRPr="005C18D8">
        <w:rPr>
          <w:spacing w:val="-2"/>
          <w:kern w:val="17"/>
        </w:rPr>
        <w:t xml:space="preserve"> 22, 2016, www.tescoplc.com/media/264194/annual-report-2016.pdf; Tesco PLC, </w:t>
      </w:r>
      <w:r w:rsidRPr="00780234">
        <w:rPr>
          <w:i/>
          <w:spacing w:val="-2"/>
          <w:kern w:val="17"/>
        </w:rPr>
        <w:t>Annual Report and Financial Statements 2015</w:t>
      </w:r>
      <w:r w:rsidRPr="005C18D8">
        <w:rPr>
          <w:spacing w:val="-2"/>
          <w:kern w:val="17"/>
        </w:rPr>
        <w:t xml:space="preserve">, 85, accessed April 22, 2016, </w:t>
      </w:r>
      <w:r w:rsidR="005C18D8" w:rsidRPr="005C18D8">
        <w:rPr>
          <w:spacing w:val="-2"/>
          <w:kern w:val="17"/>
        </w:rPr>
        <w:t>www.tescoplc.com/files/pdf/reports/ar15</w:t>
      </w:r>
      <w:r w:rsidRPr="005C18D8">
        <w:rPr>
          <w:spacing w:val="-2"/>
          <w:kern w:val="17"/>
        </w:rPr>
        <w:t xml:space="preserve">/download_annual_report.pdf; Tesco PLC, </w:t>
      </w:r>
      <w:r w:rsidRPr="00780234">
        <w:rPr>
          <w:i/>
          <w:spacing w:val="-2"/>
          <w:kern w:val="17"/>
        </w:rPr>
        <w:t>Annual Report and Financial Statements 2014</w:t>
      </w:r>
      <w:r w:rsidRPr="005C18D8">
        <w:rPr>
          <w:spacing w:val="-2"/>
          <w:kern w:val="17"/>
        </w:rPr>
        <w:t xml:space="preserve">, 71, accessed April 22, 2016, www.tescoplc.com/files/pdf/reports/ar14/download_annual_report.pdf; Tesco PLC, </w:t>
      </w:r>
      <w:r w:rsidRPr="00780234">
        <w:rPr>
          <w:i/>
          <w:spacing w:val="-2"/>
          <w:kern w:val="17"/>
        </w:rPr>
        <w:t>Annual Report and Financial Statements 2013</w:t>
      </w:r>
      <w:r w:rsidRPr="005C18D8">
        <w:rPr>
          <w:spacing w:val="-2"/>
          <w:kern w:val="17"/>
        </w:rPr>
        <w:t xml:space="preserve">, 74, accessed April 22, 2016, </w:t>
      </w:r>
      <w:r w:rsidR="005C18D8" w:rsidRPr="005C18D8">
        <w:rPr>
          <w:spacing w:val="-2"/>
          <w:kern w:val="17"/>
        </w:rPr>
        <w:t>www.tescoplc.com/media/1456/tesco_annual</w:t>
      </w:r>
      <w:r w:rsidRPr="005C18D8">
        <w:rPr>
          <w:spacing w:val="-2"/>
          <w:kern w:val="17"/>
        </w:rPr>
        <w:t xml:space="preserve">_report_2013.pdf; Tesco PLC, </w:t>
      </w:r>
      <w:r w:rsidRPr="00780234">
        <w:rPr>
          <w:i/>
          <w:spacing w:val="-2"/>
          <w:kern w:val="17"/>
        </w:rPr>
        <w:t>Annual Report and Financial Statements 2012</w:t>
      </w:r>
      <w:r w:rsidRPr="005C18D8">
        <w:rPr>
          <w:spacing w:val="-2"/>
          <w:kern w:val="17"/>
        </w:rPr>
        <w:t xml:space="preserve">, 92, accessed April 22, 2016, www.tescoplc.com/media/1455/tesco_annual_report_2012.pdf; </w:t>
      </w:r>
      <w:r w:rsidR="008323C1">
        <w:rPr>
          <w:spacing w:val="-2"/>
          <w:kern w:val="17"/>
        </w:rPr>
        <w:t xml:space="preserve">and </w:t>
      </w:r>
      <w:r w:rsidRPr="005C18D8">
        <w:rPr>
          <w:spacing w:val="-2"/>
          <w:kern w:val="17"/>
        </w:rPr>
        <w:t xml:space="preserve">Tesco PLC, </w:t>
      </w:r>
      <w:r w:rsidRPr="00780234">
        <w:rPr>
          <w:i/>
          <w:spacing w:val="-2"/>
          <w:kern w:val="17"/>
        </w:rPr>
        <w:t>Annual Report and Financial Statements 2011</w:t>
      </w:r>
      <w:r w:rsidRPr="005C18D8">
        <w:rPr>
          <w:spacing w:val="-2"/>
          <w:kern w:val="17"/>
        </w:rPr>
        <w:t>, 96, accessed April 22, 2016, www.tescoplc.com/files/pdf/reports/tesco_annual_report_2011.pdf.</w:t>
      </w:r>
      <w:r w:rsidR="005C18D8">
        <w:rPr>
          <w:spacing w:val="-2"/>
          <w:kern w:val="17"/>
        </w:rPr>
        <w:br w:type="page"/>
      </w:r>
      <w:proofErr w:type="gramEnd"/>
    </w:p>
    <w:p w14:paraId="4E10749C" w14:textId="624F564C" w:rsidR="00DD4D5C" w:rsidRPr="00C07F6E" w:rsidRDefault="005C18D8" w:rsidP="005C18D8">
      <w:pPr>
        <w:pStyle w:val="ExhibitHeading"/>
        <w:jc w:val="left"/>
        <w:rPr>
          <w:rFonts w:eastAsia="Arial"/>
        </w:rPr>
      </w:pPr>
      <w:r>
        <w:rPr>
          <w:rFonts w:eastAsia="Arial"/>
        </w:rPr>
        <w:lastRenderedPageBreak/>
        <w:t>ENDNOTES</w:t>
      </w:r>
    </w:p>
    <w:sectPr w:rsidR="00DD4D5C" w:rsidRPr="00C07F6E" w:rsidSect="00EB5410">
      <w:headerReference w:type="default" r:id="rId14"/>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6E41F6" w14:textId="77777777" w:rsidR="00A360E6" w:rsidRDefault="00A360E6" w:rsidP="00D75295">
      <w:r>
        <w:separator/>
      </w:r>
    </w:p>
  </w:endnote>
  <w:endnote w:type="continuationSeparator" w:id="0">
    <w:p w14:paraId="2346F92A" w14:textId="77777777" w:rsidR="00A360E6" w:rsidRDefault="00A360E6" w:rsidP="00D75295">
      <w:r>
        <w:continuationSeparator/>
      </w:r>
    </w:p>
  </w:endnote>
  <w:endnote w:id="1">
    <w:p w14:paraId="766F921E" w14:textId="0DDE1D19" w:rsidR="00A360E6" w:rsidRPr="00C73585" w:rsidRDefault="00A360E6" w:rsidP="00C73585">
      <w:pPr>
        <w:pStyle w:val="Footnote"/>
      </w:pPr>
      <w:r w:rsidRPr="00C73585">
        <w:rPr>
          <w:rStyle w:val="EndnoteReference"/>
        </w:rPr>
        <w:endnoteRef/>
      </w:r>
      <w:r w:rsidRPr="00C73585">
        <w:t xml:space="preserve"> This case has been written </w:t>
      </w:r>
      <w:proofErr w:type="gramStart"/>
      <w:r w:rsidRPr="00C73585">
        <w:t>on the basis of</w:t>
      </w:r>
      <w:proofErr w:type="gramEnd"/>
      <w:r w:rsidRPr="00C73585">
        <w:t xml:space="preserve"> published sources only. Consequently, the interpretation and perspectives presented in this case are not necessarily those of </w:t>
      </w:r>
      <w:r>
        <w:t>Tesco PLC</w:t>
      </w:r>
      <w:r w:rsidRPr="00C73585">
        <w:t xml:space="preserve"> or any of its employees.</w:t>
      </w:r>
    </w:p>
  </w:endnote>
  <w:endnote w:id="2">
    <w:p w14:paraId="37FB6A68" w14:textId="3A841779" w:rsidR="00A360E6" w:rsidRPr="00C73585" w:rsidRDefault="00A360E6" w:rsidP="00C73585">
      <w:pPr>
        <w:pStyle w:val="Footnote"/>
        <w:rPr>
          <w:spacing w:val="-4"/>
          <w:kern w:val="17"/>
        </w:rPr>
      </w:pPr>
      <w:r w:rsidRPr="00C73585">
        <w:rPr>
          <w:rStyle w:val="EndnoteReference"/>
          <w:spacing w:val="-4"/>
          <w:kern w:val="17"/>
        </w:rPr>
        <w:endnoteRef/>
      </w:r>
      <w:r w:rsidRPr="00C73585">
        <w:rPr>
          <w:spacing w:val="-4"/>
          <w:kern w:val="17"/>
        </w:rPr>
        <w:t xml:space="preserve"> Tesco PLC, “Preliminary Results 2015/16,” 1, accessed April 22, 2016, www.tescoplc.com/media/1866/prelim_2015-2016_results_statement.pdf.</w:t>
      </w:r>
    </w:p>
  </w:endnote>
  <w:endnote w:id="3">
    <w:p w14:paraId="0A30CE07" w14:textId="578B74A4" w:rsidR="00A360E6" w:rsidRPr="00C73585" w:rsidRDefault="00A360E6" w:rsidP="004C795E">
      <w:pPr>
        <w:pStyle w:val="Footnote"/>
      </w:pPr>
      <w:r w:rsidRPr="00C73585">
        <w:rPr>
          <w:vertAlign w:val="superscript"/>
        </w:rPr>
        <w:endnoteRef/>
      </w:r>
      <w:r w:rsidRPr="00C73585">
        <w:t xml:space="preserve"> £</w:t>
      </w:r>
      <w:r w:rsidRPr="00C73585">
        <w:rPr>
          <w:rFonts w:eastAsiaTheme="minorEastAsia"/>
        </w:rPr>
        <w:t xml:space="preserve"> = GBP = Great </w:t>
      </w:r>
      <w:r>
        <w:rPr>
          <w:rFonts w:eastAsiaTheme="minorEastAsia"/>
        </w:rPr>
        <w:t>Britain</w:t>
      </w:r>
      <w:r w:rsidRPr="00C73585">
        <w:rPr>
          <w:rFonts w:eastAsiaTheme="minorEastAsia"/>
        </w:rPr>
        <w:t xml:space="preserve"> pounds; all currency amounts are in </w:t>
      </w:r>
      <w:r w:rsidRPr="00C73585">
        <w:t xml:space="preserve">£ </w:t>
      </w:r>
      <w:r w:rsidRPr="00C73585">
        <w:rPr>
          <w:rFonts w:eastAsiaTheme="minorEastAsia"/>
        </w:rPr>
        <w:t>unless otherwise specified;</w:t>
      </w:r>
      <w:r>
        <w:t xml:space="preserve"> TSCO share p</w:t>
      </w:r>
      <w:r w:rsidRPr="00C73585">
        <w:t xml:space="preserve">rice = £1.81 </w:t>
      </w:r>
      <w:r w:rsidRPr="00C73585">
        <w:rPr>
          <w:rFonts w:eastAsiaTheme="minorEastAsia"/>
        </w:rPr>
        <w:t>on February 27, 2016</w:t>
      </w:r>
      <w:r>
        <w:t>; Outstanding s</w:t>
      </w:r>
      <w:r w:rsidRPr="00C73585">
        <w:t xml:space="preserve">hares = 8,140,701,516 on February 27, 2016; </w:t>
      </w:r>
      <w:r>
        <w:t xml:space="preserve">and </w:t>
      </w:r>
      <w:r w:rsidRPr="00C73585">
        <w:t>Tesco PLC, “Share Price,” accessed May 17, 2016, www.tescoplc.com/investors/shar</w:t>
      </w:r>
      <w:r>
        <w:t>e-price-information/share-price</w:t>
      </w:r>
      <w:r w:rsidRPr="00C73585">
        <w:t>.</w:t>
      </w:r>
    </w:p>
  </w:endnote>
  <w:endnote w:id="4">
    <w:p w14:paraId="6CCD2D7B" w14:textId="788541E3" w:rsidR="00A360E6" w:rsidRPr="00C73585" w:rsidRDefault="00A360E6" w:rsidP="00C73585">
      <w:pPr>
        <w:pStyle w:val="Footnote"/>
      </w:pPr>
      <w:r w:rsidRPr="00C73585">
        <w:rPr>
          <w:rStyle w:val="EndnoteReference"/>
        </w:rPr>
        <w:endnoteRef/>
      </w:r>
      <w:r w:rsidRPr="00C73585">
        <w:t xml:space="preserve"> Jane Denton, “Sales Boom Sees Aldi Overtake Upmar</w:t>
      </w:r>
      <w:r>
        <w:t>ket Rival Waitrose to Become UK’</w:t>
      </w:r>
      <w:r w:rsidRPr="00C73585">
        <w:t xml:space="preserve">s Sixth-Biggest Supermarket,” This is Money, April 8, 2015, accessed April 26, 2016, www.thisismoney.co.uk/money/markets/article-3030079/British-shoppers-quids-prices-fall-fastest-rate-records-began-Aldi-UK-s-sixth-biggest-supermarket.html; </w:t>
      </w:r>
      <w:r>
        <w:t xml:space="preserve">and </w:t>
      </w:r>
      <w:r w:rsidRPr="00C73585">
        <w:t>“Top 10 UK Retailers by Sales in 2015,” Retail Economics, accessed April 26, 2016, www.retaileconomics.co.uk/top10-retailers.asp.</w:t>
      </w:r>
    </w:p>
  </w:endnote>
  <w:endnote w:id="5">
    <w:p w14:paraId="1D282D8A" w14:textId="3F97F156" w:rsidR="00A360E6" w:rsidRPr="00C73585" w:rsidRDefault="00A360E6" w:rsidP="00C73585">
      <w:pPr>
        <w:pStyle w:val="Footnote"/>
      </w:pPr>
      <w:r w:rsidRPr="00C73585">
        <w:rPr>
          <w:rStyle w:val="EndnoteReference"/>
        </w:rPr>
        <w:endnoteRef/>
      </w:r>
      <w:r w:rsidRPr="00C73585">
        <w:t xml:space="preserve"> Tesco PLC, </w:t>
      </w:r>
      <w:r w:rsidRPr="00780234">
        <w:rPr>
          <w:i/>
        </w:rPr>
        <w:t>Annual Report and Financial Statements 2016</w:t>
      </w:r>
      <w:r w:rsidRPr="00C73585">
        <w:t xml:space="preserve">, 4, accessed May 22, 2016, www.tescoplc.com/media/264194/annual-report-2016.pdf. </w:t>
      </w:r>
    </w:p>
  </w:endnote>
  <w:endnote w:id="6">
    <w:p w14:paraId="16FBE4A8" w14:textId="7592ADE7" w:rsidR="00A360E6" w:rsidRPr="00C73585" w:rsidRDefault="00A360E6" w:rsidP="00C73585">
      <w:pPr>
        <w:pStyle w:val="Footnote"/>
      </w:pPr>
      <w:r w:rsidRPr="00C73585">
        <w:rPr>
          <w:rStyle w:val="EndnoteReference"/>
        </w:rPr>
        <w:endnoteRef/>
      </w:r>
      <w:r w:rsidRPr="00C73585">
        <w:t xml:space="preserve"> “History,” Tesco PLC, accessed April 22, 2016, www.tescoplc.com/about-us/history.</w:t>
      </w:r>
    </w:p>
  </w:endnote>
  <w:endnote w:id="7">
    <w:p w14:paraId="1250949A" w14:textId="0F64F388" w:rsidR="00A360E6" w:rsidRPr="00C73585" w:rsidRDefault="00A360E6" w:rsidP="00C73585">
      <w:pPr>
        <w:pStyle w:val="Footnote"/>
      </w:pPr>
      <w:r w:rsidRPr="00C73585">
        <w:rPr>
          <w:rStyle w:val="EndnoteReference"/>
        </w:rPr>
        <w:endnoteRef/>
      </w:r>
      <w:r w:rsidRPr="00C73585">
        <w:t xml:space="preserve"> “Key Facts,” Tesco PLC, accessed April 22, 2016, www.tescoplc.com/about-us/key-facts.</w:t>
      </w:r>
    </w:p>
  </w:endnote>
  <w:endnote w:id="8">
    <w:p w14:paraId="2D62CAA7" w14:textId="2EDF70A3" w:rsidR="00A360E6" w:rsidRPr="00C73585" w:rsidRDefault="00A360E6" w:rsidP="00C73585">
      <w:pPr>
        <w:pStyle w:val="Footnote"/>
      </w:pPr>
      <w:r w:rsidRPr="00C73585">
        <w:rPr>
          <w:rStyle w:val="EndnoteReference"/>
        </w:rPr>
        <w:endnoteRef/>
      </w:r>
      <w:r w:rsidRPr="00C73585">
        <w:t xml:space="preserve"> J. William Carpenter, “The World's Top 10 Retailers (WMT, COST),” Investopedia, December 24, 2015, accessed May 5, 2016, www.investopedia.com/articles/markets/122415/worlds-top-10-retailers-wmt-cost.asp.</w:t>
      </w:r>
    </w:p>
  </w:endnote>
  <w:endnote w:id="9">
    <w:p w14:paraId="3845118B" w14:textId="252B5F2F" w:rsidR="00A360E6" w:rsidRPr="00C73585" w:rsidRDefault="00A360E6" w:rsidP="00C73585">
      <w:pPr>
        <w:pStyle w:val="Footnote"/>
      </w:pPr>
      <w:r w:rsidRPr="00C73585">
        <w:rPr>
          <w:rStyle w:val="EndnoteReference"/>
        </w:rPr>
        <w:endnoteRef/>
      </w:r>
      <w:r w:rsidRPr="00C73585">
        <w:t xml:space="preserve"> Deloitte, “Top 10 Global Retailers Show Modest Growth in 2014,” </w:t>
      </w:r>
      <w:r>
        <w:t>press release</w:t>
      </w:r>
      <w:r w:rsidRPr="00C73585">
        <w:t>, September 25, 2014, accessed May 5, 2016, www2.deloitte.com/an/en/pages/about-deloitte/articles/consumerbusiness.html.</w:t>
      </w:r>
    </w:p>
  </w:endnote>
  <w:endnote w:id="10">
    <w:p w14:paraId="609B607D" w14:textId="0BEF496C" w:rsidR="00A360E6" w:rsidRPr="00C73585" w:rsidRDefault="00A360E6" w:rsidP="00C73585">
      <w:pPr>
        <w:pStyle w:val="Footnote"/>
      </w:pPr>
      <w:r w:rsidRPr="00C73585">
        <w:rPr>
          <w:rStyle w:val="EndnoteReference"/>
        </w:rPr>
        <w:endnoteRef/>
      </w:r>
      <w:r w:rsidRPr="00C73585">
        <w:t xml:space="preserve"> Steve Hawkes, “Tesco Vows Shake-Up as Shares Crash by £5 Billion,” </w:t>
      </w:r>
      <w:r w:rsidRPr="00780234">
        <w:rPr>
          <w:i/>
        </w:rPr>
        <w:t>Sun</w:t>
      </w:r>
      <w:r w:rsidRPr="00C73585">
        <w:t>, January 13, 2012, accessed April 22, 2016, www.thesun.co.uk/sol/homepage/news/money/4057898/Tesco-vows-shake-up-as-shares-crash-by-5billion.html.</w:t>
      </w:r>
    </w:p>
  </w:endnote>
  <w:endnote w:id="11">
    <w:p w14:paraId="43846424" w14:textId="6AA2C154" w:rsidR="00A360E6" w:rsidRPr="00427A98" w:rsidRDefault="00A360E6" w:rsidP="00C73585">
      <w:pPr>
        <w:pStyle w:val="Footnote"/>
        <w:rPr>
          <w:spacing w:val="-6"/>
          <w:kern w:val="17"/>
        </w:rPr>
      </w:pPr>
      <w:r w:rsidRPr="00427A98">
        <w:rPr>
          <w:rStyle w:val="EndnoteReference"/>
          <w:spacing w:val="-6"/>
          <w:kern w:val="17"/>
        </w:rPr>
        <w:endnoteRef/>
      </w:r>
      <w:r w:rsidRPr="00427A98">
        <w:rPr>
          <w:spacing w:val="-6"/>
          <w:kern w:val="17"/>
        </w:rPr>
        <w:t xml:space="preserve"> “TESCO Share Price (TSCO),” London Stock Exchange, accessed April 22, 2016, www.londonstockexchange.com/exchange/prices-and-markets/stocks/summary/company-summary/GB0008847096GBGBXSET0.html.</w:t>
      </w:r>
    </w:p>
  </w:endnote>
  <w:endnote w:id="12">
    <w:p w14:paraId="48F9EE01" w14:textId="3887806B" w:rsidR="00A360E6" w:rsidRPr="00C73585" w:rsidRDefault="00A360E6" w:rsidP="00C73585">
      <w:pPr>
        <w:pStyle w:val="Footnote"/>
        <w:rPr>
          <w:spacing w:val="-2"/>
          <w:kern w:val="17"/>
        </w:rPr>
      </w:pPr>
      <w:r w:rsidRPr="00C73585">
        <w:rPr>
          <w:rStyle w:val="EndnoteReference"/>
          <w:spacing w:val="-2"/>
          <w:kern w:val="17"/>
        </w:rPr>
        <w:endnoteRef/>
      </w:r>
      <w:r w:rsidRPr="00C73585">
        <w:rPr>
          <w:spacing w:val="-2"/>
          <w:kern w:val="17"/>
        </w:rPr>
        <w:t xml:space="preserve"> AJ Bell Media, “Markets: Indices,” </w:t>
      </w:r>
      <w:r w:rsidRPr="00780234">
        <w:rPr>
          <w:i/>
          <w:spacing w:val="-2"/>
          <w:kern w:val="17"/>
        </w:rPr>
        <w:t>Telegraph</w:t>
      </w:r>
      <w:r w:rsidRPr="00C73585">
        <w:rPr>
          <w:spacing w:val="-2"/>
          <w:kern w:val="17"/>
        </w:rPr>
        <w:t>, accessed April 30, 2016, http://shares.telegraph.co.uk/indices/?index=UKX.</w:t>
      </w:r>
    </w:p>
  </w:endnote>
  <w:endnote w:id="13">
    <w:p w14:paraId="2FF5A1F0" w14:textId="4EB165F9" w:rsidR="00A360E6" w:rsidRPr="00C73585" w:rsidRDefault="00A360E6" w:rsidP="00C73585">
      <w:pPr>
        <w:pStyle w:val="Footnote"/>
        <w:rPr>
          <w:spacing w:val="-4"/>
          <w:kern w:val="17"/>
        </w:rPr>
      </w:pPr>
      <w:r w:rsidRPr="00C73585">
        <w:rPr>
          <w:rStyle w:val="EndnoteReference"/>
          <w:spacing w:val="-4"/>
          <w:kern w:val="17"/>
        </w:rPr>
        <w:endnoteRef/>
      </w:r>
      <w:r w:rsidRPr="00C73585">
        <w:rPr>
          <w:spacing w:val="-4"/>
          <w:kern w:val="17"/>
        </w:rPr>
        <w:t xml:space="preserve"> “Core Purpose and Values,” Tesco PLC, accessed April 22, 2016, www.tescoplc.com/about-us/core-purpose-and-values.</w:t>
      </w:r>
    </w:p>
  </w:endnote>
  <w:endnote w:id="14">
    <w:p w14:paraId="717134F3" w14:textId="20B71620" w:rsidR="00A360E6" w:rsidRPr="00C73585" w:rsidRDefault="00A360E6" w:rsidP="00C73585">
      <w:pPr>
        <w:pStyle w:val="Footnote"/>
      </w:pPr>
      <w:r w:rsidRPr="00C73585">
        <w:rPr>
          <w:rStyle w:val="EndnoteReference"/>
        </w:rPr>
        <w:endnoteRef/>
      </w:r>
      <w:r w:rsidRPr="00C73585">
        <w:t xml:space="preserve"> Tesco PLC, </w:t>
      </w:r>
      <w:r>
        <w:t xml:space="preserve">“Our Business Model,” in </w:t>
      </w:r>
      <w:r w:rsidRPr="00780234">
        <w:rPr>
          <w:i/>
        </w:rPr>
        <w:t>Annual Report and Financial Statements 2015</w:t>
      </w:r>
      <w:r w:rsidRPr="00C73585">
        <w:t xml:space="preserve">, </w:t>
      </w:r>
      <w:r>
        <w:t>8</w:t>
      </w:r>
      <w:r w:rsidRPr="00C73585">
        <w:t xml:space="preserve">, accessed April 22, 2016, www.tescoplc.com/media/1908/tescoar15_br_businessmodel.pdf. </w:t>
      </w:r>
    </w:p>
  </w:endnote>
  <w:endnote w:id="15">
    <w:p w14:paraId="56B150F6" w14:textId="029889F9" w:rsidR="00A360E6" w:rsidRPr="00C73585" w:rsidRDefault="00A360E6" w:rsidP="00C73585">
      <w:pPr>
        <w:pStyle w:val="Footnote"/>
      </w:pPr>
      <w:r w:rsidRPr="00C73585">
        <w:rPr>
          <w:rStyle w:val="EndnoteReference"/>
        </w:rPr>
        <w:endnoteRef/>
      </w:r>
      <w:r w:rsidRPr="00C73585">
        <w:t xml:space="preserve"> Richard Anderson, “Tesco Turns Stale as Competitors Freshen up Ideas,” BBC News, April 22, 2015, accessed October 2, 2016, www.bbc.com/news/business-29310445.</w:t>
      </w:r>
    </w:p>
  </w:endnote>
  <w:endnote w:id="16">
    <w:p w14:paraId="2A2500A6" w14:textId="57CBFF98" w:rsidR="00A360E6" w:rsidRPr="00C73585" w:rsidRDefault="00A360E6" w:rsidP="00C73585">
      <w:pPr>
        <w:pStyle w:val="Footnote"/>
      </w:pPr>
      <w:r w:rsidRPr="00C73585">
        <w:rPr>
          <w:rStyle w:val="EndnoteReference"/>
        </w:rPr>
        <w:endnoteRef/>
      </w:r>
      <w:r w:rsidRPr="00C73585">
        <w:t xml:space="preserve"> Tesco PLC, </w:t>
      </w:r>
      <w:r w:rsidRPr="00780234">
        <w:rPr>
          <w:i/>
        </w:rPr>
        <w:t>Annual Report and Financial Statements 2011</w:t>
      </w:r>
      <w:r w:rsidRPr="00C73585">
        <w:t>, 2, 2011, accessed April 22, 2016, www.tescoplc.com/files/pdf/reports/tesco_annual_report_2011.pdf.</w:t>
      </w:r>
    </w:p>
  </w:endnote>
  <w:endnote w:id="17">
    <w:p w14:paraId="16E5350C" w14:textId="2E4D463F" w:rsidR="00A360E6" w:rsidRPr="00C73585" w:rsidRDefault="00A360E6" w:rsidP="00C73585">
      <w:pPr>
        <w:pStyle w:val="Footnote"/>
      </w:pPr>
      <w:r w:rsidRPr="00C73585">
        <w:rPr>
          <w:rStyle w:val="EndnoteReference"/>
        </w:rPr>
        <w:endnoteRef/>
      </w:r>
      <w:r w:rsidRPr="00C73585">
        <w:t xml:space="preserve"> Zoe Wood, “Tesco Profits Fall for First Time in </w:t>
      </w:r>
      <w:r>
        <w:t>A</w:t>
      </w:r>
      <w:r w:rsidRPr="00C73585">
        <w:t xml:space="preserve">lmost 20 years,” </w:t>
      </w:r>
      <w:r w:rsidRPr="00780234">
        <w:rPr>
          <w:i/>
        </w:rPr>
        <w:t>Guardian</w:t>
      </w:r>
      <w:r w:rsidRPr="00C73585">
        <w:t>, October 3, 2012, accessed April 31, 2016, www.theguardian.com/business/2012/oct/03/tesco-profits-fall-uk-supermarkets</w:t>
      </w:r>
      <w:r>
        <w:t>.</w:t>
      </w:r>
    </w:p>
  </w:endnote>
  <w:endnote w:id="18">
    <w:p w14:paraId="53C5C1CC" w14:textId="0282BCC1" w:rsidR="00A360E6" w:rsidRPr="00C73585" w:rsidRDefault="00A360E6" w:rsidP="00C73585">
      <w:pPr>
        <w:pStyle w:val="Footnote"/>
      </w:pPr>
      <w:r w:rsidRPr="00C73585">
        <w:rPr>
          <w:vertAlign w:val="superscript"/>
        </w:rPr>
        <w:endnoteRef/>
      </w:r>
      <w:r w:rsidRPr="00C73585">
        <w:t xml:space="preserve"> “Tesco’s Board and Executive Committee,” Tesco PLC, accessed April 31, 2016, www.tescoplc.com/about-us/board-and-executive-committee/board/.</w:t>
      </w:r>
    </w:p>
  </w:endnote>
  <w:endnote w:id="19">
    <w:p w14:paraId="64A88A38" w14:textId="65D28E1C" w:rsidR="00A360E6" w:rsidRPr="00C73585" w:rsidRDefault="00A360E6" w:rsidP="00C73585">
      <w:pPr>
        <w:pStyle w:val="Footnote"/>
      </w:pPr>
      <w:r w:rsidRPr="00C73585">
        <w:rPr>
          <w:vertAlign w:val="superscript"/>
        </w:rPr>
        <w:endnoteRef/>
      </w:r>
      <w:r w:rsidRPr="00C73585">
        <w:t xml:space="preserve"> Rupert </w:t>
      </w:r>
      <w:proofErr w:type="spellStart"/>
      <w:r w:rsidRPr="00C73585">
        <w:t>Neate</w:t>
      </w:r>
      <w:proofErr w:type="spellEnd"/>
      <w:r w:rsidRPr="00C73585">
        <w:t xml:space="preserve">, “We Know Dave Lewis Can Sell Soap. Can He Really Run Tesco?” </w:t>
      </w:r>
      <w:r w:rsidRPr="00780234">
        <w:rPr>
          <w:i/>
        </w:rPr>
        <w:t>Guardian</w:t>
      </w:r>
      <w:r w:rsidRPr="00C73585">
        <w:t xml:space="preserve">, July 27, 2014, accessed October 2, 2016, www.theguardian.com/business/2014/jul/27/dave-lewis-tesco-manage-dove. </w:t>
      </w:r>
    </w:p>
  </w:endnote>
  <w:endnote w:id="20">
    <w:p w14:paraId="45D44D21" w14:textId="2C0C0E24" w:rsidR="00A360E6" w:rsidRPr="00427A98" w:rsidRDefault="00A360E6" w:rsidP="00C73585">
      <w:pPr>
        <w:pStyle w:val="Footnote"/>
        <w:rPr>
          <w:spacing w:val="-4"/>
          <w:kern w:val="17"/>
        </w:rPr>
      </w:pPr>
      <w:r w:rsidRPr="00427A98">
        <w:rPr>
          <w:rStyle w:val="EndnoteReference"/>
          <w:spacing w:val="-4"/>
          <w:kern w:val="17"/>
        </w:rPr>
        <w:endnoteRef/>
      </w:r>
      <w:r w:rsidRPr="00427A98">
        <w:rPr>
          <w:spacing w:val="-4"/>
          <w:kern w:val="17"/>
        </w:rPr>
        <w:t xml:space="preserve"> Paras </w:t>
      </w:r>
      <w:proofErr w:type="spellStart"/>
      <w:r w:rsidRPr="00427A98">
        <w:rPr>
          <w:spacing w:val="-4"/>
          <w:kern w:val="17"/>
        </w:rPr>
        <w:t>Anand</w:t>
      </w:r>
      <w:proofErr w:type="spellEnd"/>
      <w:r w:rsidRPr="00427A98">
        <w:rPr>
          <w:spacing w:val="-4"/>
          <w:kern w:val="17"/>
        </w:rPr>
        <w:t xml:space="preserve">, Head of European Equities, Fidelity International, as quoted by Ben Marlow and Katherine Rushton, “Shareholders Split on Phil Clarke's Resignation from Tesco,” </w:t>
      </w:r>
      <w:r w:rsidRPr="00427A98">
        <w:rPr>
          <w:i/>
          <w:spacing w:val="-4"/>
          <w:kern w:val="17"/>
        </w:rPr>
        <w:t>Telegraph</w:t>
      </w:r>
      <w:r w:rsidRPr="00427A98">
        <w:rPr>
          <w:spacing w:val="-4"/>
          <w:kern w:val="17"/>
        </w:rPr>
        <w:t>, July 21, 2014, accessed October 2, 2016, www.telegraph.co.uk/finance/newsbysector/epic/tsco/10980835/Shareholders-split-on-Phil-Clarkes-resignation-from-Tesco.html.</w:t>
      </w:r>
    </w:p>
  </w:endnote>
  <w:endnote w:id="21">
    <w:p w14:paraId="30CB81C0" w14:textId="6587445B" w:rsidR="00A360E6" w:rsidRPr="00C73585" w:rsidRDefault="00A360E6" w:rsidP="00C73585">
      <w:pPr>
        <w:pStyle w:val="Footnote"/>
      </w:pPr>
      <w:r w:rsidRPr="00C73585">
        <w:rPr>
          <w:vertAlign w:val="superscript"/>
        </w:rPr>
        <w:endnoteRef/>
      </w:r>
      <w:r w:rsidRPr="00C73585">
        <w:t xml:space="preserve"> “Tesco Shares Slump after Raised Profit Error,” BBC News, October 23, 2014, accessed April 31, 2016, www.bbc.com/news/business-29735685.</w:t>
      </w:r>
    </w:p>
  </w:endnote>
  <w:endnote w:id="22">
    <w:p w14:paraId="2A0AFB51" w14:textId="115649A1" w:rsidR="00A360E6" w:rsidRPr="00C73585" w:rsidRDefault="00A360E6" w:rsidP="00C73585">
      <w:pPr>
        <w:pStyle w:val="Footnote"/>
      </w:pPr>
      <w:r w:rsidRPr="00C73585">
        <w:rPr>
          <w:vertAlign w:val="superscript"/>
        </w:rPr>
        <w:endnoteRef/>
      </w:r>
      <w:r w:rsidRPr="00C73585">
        <w:t xml:space="preserve"> “The Retail Forecast for 2013–2016,” Centre for Retail Research,</w:t>
      </w:r>
      <w:r w:rsidRPr="00C73585" w:rsidDel="0044143D">
        <w:t xml:space="preserve"> </w:t>
      </w:r>
      <w:r w:rsidRPr="00C73585">
        <w:t>January 5, 2016, accessed April 31, 2016, www.retailresearch.org/retailforecast.php.</w:t>
      </w:r>
    </w:p>
  </w:endnote>
  <w:endnote w:id="23">
    <w:p w14:paraId="65DE41D3" w14:textId="2074643E" w:rsidR="00A360E6" w:rsidRPr="00C73585" w:rsidRDefault="00A360E6" w:rsidP="00C73585">
      <w:pPr>
        <w:pStyle w:val="Footnote"/>
      </w:pPr>
      <w:r w:rsidRPr="00C73585">
        <w:rPr>
          <w:rStyle w:val="EndnoteReference"/>
        </w:rPr>
        <w:endnoteRef/>
      </w:r>
      <w:r w:rsidRPr="00C73585">
        <w:t xml:space="preserve"> “Great Britain – Grocery </w:t>
      </w:r>
      <w:r>
        <w:t>M</w:t>
      </w:r>
      <w:r w:rsidRPr="00C73585">
        <w:t>arket Share (12 weeks ending)</w:t>
      </w:r>
      <w:r>
        <w:t>,</w:t>
      </w:r>
      <w:r w:rsidRPr="00C73585">
        <w:t xml:space="preserve">” Kantar </w:t>
      </w:r>
      <w:proofErr w:type="spellStart"/>
      <w:r w:rsidRPr="00C73585">
        <w:t>WorldPanel</w:t>
      </w:r>
      <w:proofErr w:type="spellEnd"/>
      <w:r w:rsidRPr="00C73585">
        <w:t>, 2016, accessed May 5, 2016, www.kantarworldpanel.com/en/grocery-market-share/great-britain</w:t>
      </w:r>
      <w:r>
        <w:t>.</w:t>
      </w:r>
    </w:p>
  </w:endnote>
  <w:endnote w:id="24">
    <w:p w14:paraId="476A8025" w14:textId="2C366110" w:rsidR="00A360E6" w:rsidRPr="00C73585" w:rsidRDefault="00A360E6" w:rsidP="00C73585">
      <w:pPr>
        <w:pStyle w:val="Footnote"/>
      </w:pPr>
      <w:r w:rsidRPr="00C73585">
        <w:rPr>
          <w:vertAlign w:val="superscript"/>
        </w:rPr>
        <w:endnoteRef/>
      </w:r>
      <w:r w:rsidRPr="00C73585">
        <w:t xml:space="preserve"> Ashley Armstrong, “Tesco Sells South Korean </w:t>
      </w:r>
      <w:proofErr w:type="spellStart"/>
      <w:r w:rsidRPr="00C73585">
        <w:t>Homeplus</w:t>
      </w:r>
      <w:proofErr w:type="spellEnd"/>
      <w:r w:rsidRPr="00C73585">
        <w:t xml:space="preserve"> Business for £4Bn,” </w:t>
      </w:r>
      <w:r w:rsidRPr="00780234">
        <w:rPr>
          <w:i/>
        </w:rPr>
        <w:t>Telegraph</w:t>
      </w:r>
      <w:proofErr w:type="gramStart"/>
      <w:r w:rsidRPr="00C73585">
        <w:t>,</w:t>
      </w:r>
      <w:proofErr w:type="gramEnd"/>
      <w:r w:rsidRPr="00C73585">
        <w:t xml:space="preserve"> September 7, 2015, accessed April 24, 2016, www.telegraph.co.uk/finance/11848185/Tesco-sells-South-Korean-business-for-4bn.html.</w:t>
      </w:r>
    </w:p>
  </w:endnote>
  <w:endnote w:id="25">
    <w:p w14:paraId="7EE8F371" w14:textId="5D0BE94A" w:rsidR="00A360E6" w:rsidRPr="00427A98" w:rsidRDefault="00A360E6" w:rsidP="00C73585">
      <w:pPr>
        <w:pStyle w:val="Footnote"/>
        <w:rPr>
          <w:spacing w:val="-6"/>
          <w:kern w:val="17"/>
        </w:rPr>
      </w:pPr>
      <w:r w:rsidRPr="00427A98">
        <w:rPr>
          <w:spacing w:val="-6"/>
          <w:kern w:val="17"/>
          <w:vertAlign w:val="superscript"/>
        </w:rPr>
        <w:endnoteRef/>
      </w:r>
      <w:r w:rsidRPr="00427A98">
        <w:rPr>
          <w:spacing w:val="-6"/>
          <w:kern w:val="17"/>
        </w:rPr>
        <w:t xml:space="preserve"> Tesco PLC, </w:t>
      </w:r>
      <w:r w:rsidRPr="00427A98">
        <w:rPr>
          <w:i/>
          <w:spacing w:val="-6"/>
          <w:kern w:val="17"/>
        </w:rPr>
        <w:t>Strategic Report 2015</w:t>
      </w:r>
      <w:r w:rsidRPr="00427A98">
        <w:rPr>
          <w:spacing w:val="-6"/>
          <w:kern w:val="17"/>
        </w:rPr>
        <w:t>, 3, accessed April 28, 2016, www.tescoplc.com/media/1189/tesco_cr15_strategicreport.pdf.</w:t>
      </w:r>
    </w:p>
  </w:endnote>
  <w:endnote w:id="26">
    <w:p w14:paraId="5414697B" w14:textId="2D01ACF3" w:rsidR="00A360E6" w:rsidRPr="00C73585" w:rsidRDefault="00A360E6" w:rsidP="00C73585">
      <w:pPr>
        <w:pStyle w:val="Footnote"/>
      </w:pPr>
      <w:r w:rsidRPr="00C73585">
        <w:rPr>
          <w:rStyle w:val="EndnoteReference"/>
        </w:rPr>
        <w:endnoteRef/>
      </w:r>
      <w:r w:rsidRPr="00C73585">
        <w:t xml:space="preserve"> </w:t>
      </w:r>
      <w:r>
        <w:t>Ibid</w:t>
      </w:r>
      <w:r w:rsidRPr="00C73585">
        <w:t xml:space="preserve">, </w:t>
      </w:r>
      <w:proofErr w:type="gramStart"/>
      <w:r w:rsidRPr="00C73585">
        <w:t>4</w:t>
      </w:r>
      <w:proofErr w:type="gramEnd"/>
      <w:r w:rsidRPr="00C73585">
        <w:t xml:space="preserve">. </w:t>
      </w:r>
    </w:p>
  </w:endnote>
  <w:endnote w:id="27">
    <w:p w14:paraId="5BC8DA76" w14:textId="567F5C7C" w:rsidR="00A360E6" w:rsidRPr="00C73585" w:rsidRDefault="00A360E6" w:rsidP="00C73585">
      <w:pPr>
        <w:pStyle w:val="Footnote"/>
      </w:pPr>
      <w:r w:rsidRPr="00C73585">
        <w:rPr>
          <w:rStyle w:val="EndnoteReference"/>
        </w:rPr>
        <w:endnoteRef/>
      </w:r>
      <w:r w:rsidRPr="00C73585">
        <w:t xml:space="preserve"> Ibid.</w:t>
      </w:r>
    </w:p>
  </w:endnote>
  <w:endnote w:id="28">
    <w:p w14:paraId="2E1F6B80" w14:textId="6FA6E362" w:rsidR="00A360E6" w:rsidRPr="00C73585" w:rsidRDefault="00A360E6" w:rsidP="00C73585">
      <w:pPr>
        <w:pStyle w:val="Footnote"/>
      </w:pPr>
      <w:r w:rsidRPr="00C73585">
        <w:rPr>
          <w:rStyle w:val="EndnoteReference"/>
        </w:rPr>
        <w:endnoteRef/>
      </w:r>
      <w:r w:rsidRPr="00C73585">
        <w:t xml:space="preserve"> Tesco PLC, </w:t>
      </w:r>
      <w:r w:rsidRPr="00780234">
        <w:rPr>
          <w:i/>
        </w:rPr>
        <w:t>Annual Report and Financial Statements 2016</w:t>
      </w:r>
      <w:r w:rsidRPr="00C73585">
        <w:t xml:space="preserve">, </w:t>
      </w:r>
      <w:r>
        <w:t xml:space="preserve">op. cit., </w:t>
      </w:r>
      <w:r w:rsidRPr="00C73585">
        <w:t>87</w:t>
      </w:r>
      <w:r>
        <w:t>.</w:t>
      </w:r>
    </w:p>
  </w:endnote>
  <w:endnote w:id="29">
    <w:p w14:paraId="7F60DC59" w14:textId="60548B96" w:rsidR="00A360E6" w:rsidRPr="00C73585" w:rsidRDefault="00A360E6" w:rsidP="00C73585">
      <w:pPr>
        <w:pStyle w:val="Footnote"/>
      </w:pPr>
      <w:r w:rsidRPr="00C73585">
        <w:rPr>
          <w:rStyle w:val="EndnoteReference"/>
        </w:rPr>
        <w:endnoteRef/>
      </w:r>
      <w:r w:rsidRPr="00C73585">
        <w:t xml:space="preserve"> Graham Ruddick, “Tesco to be </w:t>
      </w:r>
      <w:r>
        <w:t>C</w:t>
      </w:r>
      <w:r w:rsidRPr="00C73585">
        <w:t xml:space="preserve">ensured by Supermarket Watchdog </w:t>
      </w:r>
      <w:proofErr w:type="gramStart"/>
      <w:r w:rsidRPr="00C73585">
        <w:t>Over</w:t>
      </w:r>
      <w:proofErr w:type="gramEnd"/>
      <w:r w:rsidRPr="00C73585">
        <w:t xml:space="preserve"> Conduct with Suppliers,” </w:t>
      </w:r>
      <w:r w:rsidRPr="00780234">
        <w:rPr>
          <w:i/>
        </w:rPr>
        <w:t>Guardian</w:t>
      </w:r>
      <w:r w:rsidRPr="00C73585">
        <w:t>, January 25, 2016, accessed April 21, 2016, www.theguardian.com/business/2016/jan/25/tesco-censured-supermarket-watchdog-suppliers-groceries-code-adjudicator.</w:t>
      </w:r>
    </w:p>
  </w:endnote>
  <w:endnote w:id="30">
    <w:p w14:paraId="688BD1B3" w14:textId="267BE145" w:rsidR="00A360E6" w:rsidRPr="00C73585" w:rsidRDefault="00A360E6" w:rsidP="00C73585">
      <w:pPr>
        <w:pStyle w:val="Footnote"/>
      </w:pPr>
      <w:r w:rsidRPr="00C73585">
        <w:rPr>
          <w:rStyle w:val="EndnoteReference"/>
        </w:rPr>
        <w:endnoteRef/>
      </w:r>
      <w:r w:rsidRPr="00C73585">
        <w:t xml:space="preserve"> </w:t>
      </w:r>
      <w:proofErr w:type="spellStart"/>
      <w:r w:rsidRPr="00C73585">
        <w:t>Lynsey</w:t>
      </w:r>
      <w:proofErr w:type="spellEnd"/>
      <w:r w:rsidRPr="00C73585">
        <w:t xml:space="preserve"> Barber, “Tesco Share Price Falls as Serious Fraud Office’s Investigation </w:t>
      </w:r>
      <w:r>
        <w:t>i</w:t>
      </w:r>
      <w:r w:rsidRPr="00C73585">
        <w:t xml:space="preserve">s Set to </w:t>
      </w:r>
      <w:proofErr w:type="gramStart"/>
      <w:r w:rsidRPr="00C73585">
        <w:t>Conclude</w:t>
      </w:r>
      <w:proofErr w:type="gramEnd"/>
      <w:r w:rsidRPr="00C73585">
        <w:t>,” City A.M., January 25, 2016, accessed April 27, 2016, www.cityam.com/233040/the-serious-fraud-offices-tesco-investigation-is-set-to-conclude.</w:t>
      </w:r>
    </w:p>
  </w:endnote>
  <w:endnote w:id="31">
    <w:p w14:paraId="56F8A63A" w14:textId="132089A7" w:rsidR="00A360E6" w:rsidRPr="00C73585" w:rsidRDefault="00A360E6" w:rsidP="00C73585">
      <w:pPr>
        <w:pStyle w:val="Footnote"/>
        <w:rPr>
          <w:spacing w:val="-4"/>
          <w:kern w:val="17"/>
        </w:rPr>
      </w:pPr>
      <w:r w:rsidRPr="00C73585">
        <w:rPr>
          <w:rStyle w:val="EndnoteReference"/>
          <w:spacing w:val="-4"/>
          <w:kern w:val="17"/>
        </w:rPr>
        <w:endnoteRef/>
      </w:r>
      <w:r w:rsidRPr="00C73585">
        <w:rPr>
          <w:spacing w:val="-4"/>
          <w:kern w:val="17"/>
        </w:rPr>
        <w:t xml:space="preserve"> Ruddick, </w:t>
      </w:r>
      <w:r>
        <w:rPr>
          <w:spacing w:val="-4"/>
          <w:kern w:val="17"/>
        </w:rPr>
        <w:t>op. cit</w:t>
      </w:r>
      <w:r w:rsidRPr="00C73585">
        <w:rPr>
          <w:spacing w:val="-4"/>
          <w:kern w:val="17"/>
        </w:rPr>
        <w:t>.</w:t>
      </w:r>
    </w:p>
  </w:endnote>
  <w:endnote w:id="32">
    <w:p w14:paraId="1C0DF5FC" w14:textId="2DF1BFEC" w:rsidR="00A360E6" w:rsidRPr="00C73585" w:rsidRDefault="00A360E6" w:rsidP="00C73585">
      <w:pPr>
        <w:pStyle w:val="Footnote"/>
      </w:pPr>
      <w:r w:rsidRPr="00C73585">
        <w:rPr>
          <w:rStyle w:val="EndnoteReference"/>
        </w:rPr>
        <w:endnoteRef/>
      </w:r>
      <w:r w:rsidRPr="00C73585">
        <w:t xml:space="preserve"> Barber, </w:t>
      </w:r>
      <w:r>
        <w:t>op. cit</w:t>
      </w:r>
      <w:r w:rsidRPr="00C73585">
        <w:t>.</w:t>
      </w:r>
    </w:p>
  </w:endnote>
  <w:endnote w:id="33">
    <w:p w14:paraId="5EA28223" w14:textId="2E5C855F" w:rsidR="00A360E6" w:rsidRPr="00C73585" w:rsidRDefault="00A360E6" w:rsidP="00C73585">
      <w:pPr>
        <w:pStyle w:val="Footnote"/>
      </w:pPr>
      <w:r w:rsidRPr="00C73585">
        <w:rPr>
          <w:rStyle w:val="EndnoteReference"/>
        </w:rPr>
        <w:endnoteRef/>
      </w:r>
      <w:r w:rsidRPr="00C73585">
        <w:t xml:space="preserve"> </w:t>
      </w:r>
      <w:proofErr w:type="spellStart"/>
      <w:r w:rsidRPr="00C73585">
        <w:t>Saabira</w:t>
      </w:r>
      <w:proofErr w:type="spellEnd"/>
      <w:r w:rsidRPr="00C73585">
        <w:t xml:space="preserve"> Chaudhuri, “Tesco Shares Fall as Company Warns on Profit,” </w:t>
      </w:r>
      <w:r w:rsidRPr="00780234">
        <w:rPr>
          <w:i/>
        </w:rPr>
        <w:t>Wall Street Journal</w:t>
      </w:r>
      <w:r w:rsidRPr="00C73585">
        <w:t>, April 13, 2016, accessed April 22, 2016, www.wsj.com/articles/tesco-swings-to-full-year-profit-1460528432.</w:t>
      </w:r>
    </w:p>
  </w:endnote>
  <w:endnote w:id="34">
    <w:p w14:paraId="1B675E65" w14:textId="541CFA16" w:rsidR="00A360E6" w:rsidRPr="00C73585" w:rsidRDefault="00A360E6" w:rsidP="00C73585">
      <w:pPr>
        <w:pStyle w:val="Footnote"/>
      </w:pPr>
      <w:r w:rsidRPr="00C73585">
        <w:rPr>
          <w:vertAlign w:val="superscript"/>
        </w:rPr>
        <w:endnoteRef/>
      </w:r>
      <w:r w:rsidRPr="00C73585">
        <w:t xml:space="preserve"> Tesco PLC, </w:t>
      </w:r>
      <w:r w:rsidRPr="00780234">
        <w:rPr>
          <w:i/>
        </w:rPr>
        <w:t>Annual Report and Financial Statements 2016</w:t>
      </w:r>
      <w:r w:rsidRPr="00C73585">
        <w:t xml:space="preserve">, </w:t>
      </w:r>
      <w:r>
        <w:t xml:space="preserve">op. cit., </w:t>
      </w:r>
      <w:r w:rsidRPr="00C73585">
        <w:t>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CF0BCD" w14:textId="77777777" w:rsidR="00A360E6" w:rsidRDefault="00A360E6" w:rsidP="00D75295">
      <w:r>
        <w:separator/>
      </w:r>
    </w:p>
  </w:footnote>
  <w:footnote w:type="continuationSeparator" w:id="0">
    <w:p w14:paraId="75449BDC" w14:textId="77777777" w:rsidR="00A360E6" w:rsidRDefault="00A360E6"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88CA1C" w14:textId="741FDCF6" w:rsidR="00A360E6" w:rsidRDefault="00A360E6"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E44318">
      <w:rPr>
        <w:rFonts w:ascii="Arial" w:hAnsi="Arial"/>
        <w:b/>
        <w:noProof/>
      </w:rPr>
      <w:t>2</w:t>
    </w:r>
    <w:r>
      <w:rPr>
        <w:rFonts w:ascii="Arial" w:hAnsi="Arial"/>
        <w:b/>
      </w:rPr>
      <w:fldChar w:fldCharType="end"/>
    </w:r>
    <w:r>
      <w:rPr>
        <w:rFonts w:ascii="Arial" w:hAnsi="Arial"/>
        <w:b/>
      </w:rPr>
      <w:tab/>
      <w:t>9B17B004</w:t>
    </w:r>
  </w:p>
  <w:p w14:paraId="60BE84B6" w14:textId="77777777" w:rsidR="00A360E6" w:rsidRPr="00C92CC4" w:rsidRDefault="00A360E6">
    <w:pPr>
      <w:pStyle w:val="Header"/>
      <w:rPr>
        <w:sz w:val="18"/>
        <w:szCs w:val="18"/>
      </w:rPr>
    </w:pPr>
  </w:p>
  <w:p w14:paraId="07F633BB" w14:textId="77777777" w:rsidR="00A360E6" w:rsidRPr="00C92CC4" w:rsidRDefault="00A360E6">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06C67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884F17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02E38A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300615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E205C2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62694A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C0843F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CD4FAA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256DA4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B24BA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91E7F1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6"/>
    <w:multiLevelType w:val="hybridMultilevel"/>
    <w:tmpl w:val="68FE6A78"/>
    <w:lvl w:ilvl="0" w:tplc="04090001">
      <w:start w:val="1"/>
      <w:numFmt w:val="bullet"/>
      <w:lvlText w:val=""/>
      <w:lvlJc w:val="left"/>
      <w:pPr>
        <w:ind w:left="4188"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111913C9"/>
    <w:multiLevelType w:val="multilevel"/>
    <w:tmpl w:val="72C8C0A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182E49E5"/>
    <w:multiLevelType w:val="hybridMultilevel"/>
    <w:tmpl w:val="3B06B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523B6B"/>
    <w:multiLevelType w:val="hybridMultilevel"/>
    <w:tmpl w:val="57ACCA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EAE6BC4"/>
    <w:multiLevelType w:val="hybridMultilevel"/>
    <w:tmpl w:val="26E8EB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C8B6A1D"/>
    <w:multiLevelType w:val="hybridMultilevel"/>
    <w:tmpl w:val="2DCC57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4"/>
  </w:num>
  <w:num w:numId="3">
    <w:abstractNumId w:val="15"/>
  </w:num>
  <w:num w:numId="4">
    <w:abstractNumId w:val="12"/>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0"/>
  </w:num>
  <w:num w:numId="9">
    <w:abstractNumId w:val="1"/>
  </w:num>
  <w:num w:numId="10">
    <w:abstractNumId w:val="2"/>
  </w:num>
  <w:num w:numId="11">
    <w:abstractNumId w:val="3"/>
  </w:num>
  <w:num w:numId="12">
    <w:abstractNumId w:val="4"/>
  </w:num>
  <w:num w:numId="13">
    <w:abstractNumId w:val="9"/>
  </w:num>
  <w:num w:numId="14">
    <w:abstractNumId w:val="5"/>
  </w:num>
  <w:num w:numId="15">
    <w:abstractNumId w:val="6"/>
  </w:num>
  <w:num w:numId="16">
    <w:abstractNumId w:val="7"/>
  </w:num>
  <w:num w:numId="17">
    <w:abstractNumId w:val="8"/>
  </w:num>
  <w:num w:numId="18">
    <w:abstractNumId w:val="10"/>
  </w:num>
  <w:num w:numId="19">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6CDC"/>
    <w:rsid w:val="00013360"/>
    <w:rsid w:val="00016E24"/>
    <w:rsid w:val="000216CE"/>
    <w:rsid w:val="000231D7"/>
    <w:rsid w:val="00025DC7"/>
    <w:rsid w:val="00026486"/>
    <w:rsid w:val="00033195"/>
    <w:rsid w:val="00037E32"/>
    <w:rsid w:val="00044ECC"/>
    <w:rsid w:val="0004559A"/>
    <w:rsid w:val="0005297C"/>
    <w:rsid w:val="000531D3"/>
    <w:rsid w:val="000562D5"/>
    <w:rsid w:val="0005646B"/>
    <w:rsid w:val="000724FA"/>
    <w:rsid w:val="000730AE"/>
    <w:rsid w:val="0007322D"/>
    <w:rsid w:val="00080812"/>
    <w:rsid w:val="0008102D"/>
    <w:rsid w:val="00082610"/>
    <w:rsid w:val="00084911"/>
    <w:rsid w:val="00084A94"/>
    <w:rsid w:val="00084ED5"/>
    <w:rsid w:val="00091ACE"/>
    <w:rsid w:val="00094C0E"/>
    <w:rsid w:val="0009505B"/>
    <w:rsid w:val="00095FB5"/>
    <w:rsid w:val="000A7D68"/>
    <w:rsid w:val="000B32A3"/>
    <w:rsid w:val="000B575F"/>
    <w:rsid w:val="000C0FFD"/>
    <w:rsid w:val="000D3175"/>
    <w:rsid w:val="000D4C9D"/>
    <w:rsid w:val="000E3CAD"/>
    <w:rsid w:val="000E5FD6"/>
    <w:rsid w:val="000F0C22"/>
    <w:rsid w:val="000F411B"/>
    <w:rsid w:val="000F6A8A"/>
    <w:rsid w:val="000F6B09"/>
    <w:rsid w:val="000F6FDC"/>
    <w:rsid w:val="00104567"/>
    <w:rsid w:val="00107BFD"/>
    <w:rsid w:val="001133DB"/>
    <w:rsid w:val="0012732D"/>
    <w:rsid w:val="00132D4F"/>
    <w:rsid w:val="001370DC"/>
    <w:rsid w:val="00141202"/>
    <w:rsid w:val="00146473"/>
    <w:rsid w:val="00151AA1"/>
    <w:rsid w:val="00151BB3"/>
    <w:rsid w:val="001535E5"/>
    <w:rsid w:val="00154FC9"/>
    <w:rsid w:val="001551F2"/>
    <w:rsid w:val="00155CC9"/>
    <w:rsid w:val="00156EC8"/>
    <w:rsid w:val="00172A9B"/>
    <w:rsid w:val="0017404F"/>
    <w:rsid w:val="00174C15"/>
    <w:rsid w:val="0017655B"/>
    <w:rsid w:val="00191AE7"/>
    <w:rsid w:val="00191EAB"/>
    <w:rsid w:val="0019241A"/>
    <w:rsid w:val="0019357F"/>
    <w:rsid w:val="00194C05"/>
    <w:rsid w:val="00196482"/>
    <w:rsid w:val="001A5335"/>
    <w:rsid w:val="001A752D"/>
    <w:rsid w:val="001D0F9D"/>
    <w:rsid w:val="001D6A94"/>
    <w:rsid w:val="001F002A"/>
    <w:rsid w:val="002035E9"/>
    <w:rsid w:val="00203916"/>
    <w:rsid w:val="00203AA1"/>
    <w:rsid w:val="002041FD"/>
    <w:rsid w:val="00212229"/>
    <w:rsid w:val="00213E98"/>
    <w:rsid w:val="00216BAA"/>
    <w:rsid w:val="00223196"/>
    <w:rsid w:val="00255935"/>
    <w:rsid w:val="00257F83"/>
    <w:rsid w:val="00261197"/>
    <w:rsid w:val="0026615A"/>
    <w:rsid w:val="00267062"/>
    <w:rsid w:val="00275032"/>
    <w:rsid w:val="00282800"/>
    <w:rsid w:val="00284463"/>
    <w:rsid w:val="00284FCE"/>
    <w:rsid w:val="002853BE"/>
    <w:rsid w:val="00285A0C"/>
    <w:rsid w:val="002956AB"/>
    <w:rsid w:val="002A1BAD"/>
    <w:rsid w:val="002A3F91"/>
    <w:rsid w:val="002A64EF"/>
    <w:rsid w:val="002B033A"/>
    <w:rsid w:val="002B2CC2"/>
    <w:rsid w:val="002C43FC"/>
    <w:rsid w:val="002C7152"/>
    <w:rsid w:val="002E1936"/>
    <w:rsid w:val="002E32F0"/>
    <w:rsid w:val="002F1EC0"/>
    <w:rsid w:val="002F352B"/>
    <w:rsid w:val="002F460C"/>
    <w:rsid w:val="002F48D6"/>
    <w:rsid w:val="002F5AAA"/>
    <w:rsid w:val="002F5F50"/>
    <w:rsid w:val="003062ED"/>
    <w:rsid w:val="00310E28"/>
    <w:rsid w:val="00315860"/>
    <w:rsid w:val="00316065"/>
    <w:rsid w:val="00324AA4"/>
    <w:rsid w:val="003268A3"/>
    <w:rsid w:val="00333F12"/>
    <w:rsid w:val="00354899"/>
    <w:rsid w:val="00355FD6"/>
    <w:rsid w:val="00356C50"/>
    <w:rsid w:val="00361C8E"/>
    <w:rsid w:val="00364A5C"/>
    <w:rsid w:val="003666E1"/>
    <w:rsid w:val="00373FB1"/>
    <w:rsid w:val="00374C4D"/>
    <w:rsid w:val="003758D3"/>
    <w:rsid w:val="003763FD"/>
    <w:rsid w:val="00377346"/>
    <w:rsid w:val="00381F73"/>
    <w:rsid w:val="0038641E"/>
    <w:rsid w:val="00397E9D"/>
    <w:rsid w:val="003A61EF"/>
    <w:rsid w:val="003B30D8"/>
    <w:rsid w:val="003B3D71"/>
    <w:rsid w:val="003B7287"/>
    <w:rsid w:val="003B7EF2"/>
    <w:rsid w:val="003C1CDC"/>
    <w:rsid w:val="003C3FA4"/>
    <w:rsid w:val="003D00C7"/>
    <w:rsid w:val="003F0EDF"/>
    <w:rsid w:val="003F1282"/>
    <w:rsid w:val="003F2B0C"/>
    <w:rsid w:val="004221E4"/>
    <w:rsid w:val="0042722B"/>
    <w:rsid w:val="00427471"/>
    <w:rsid w:val="00427A98"/>
    <w:rsid w:val="00431B69"/>
    <w:rsid w:val="00431EDA"/>
    <w:rsid w:val="0044143D"/>
    <w:rsid w:val="004533D9"/>
    <w:rsid w:val="00454BF7"/>
    <w:rsid w:val="00455496"/>
    <w:rsid w:val="004576A9"/>
    <w:rsid w:val="0046070D"/>
    <w:rsid w:val="00464A6F"/>
    <w:rsid w:val="004663FD"/>
    <w:rsid w:val="00471088"/>
    <w:rsid w:val="00474E95"/>
    <w:rsid w:val="00483AF9"/>
    <w:rsid w:val="0048555B"/>
    <w:rsid w:val="00491A34"/>
    <w:rsid w:val="004B1CCB"/>
    <w:rsid w:val="004B2583"/>
    <w:rsid w:val="004B7140"/>
    <w:rsid w:val="004B7977"/>
    <w:rsid w:val="004B7F66"/>
    <w:rsid w:val="004C795E"/>
    <w:rsid w:val="004D73A5"/>
    <w:rsid w:val="004F20E9"/>
    <w:rsid w:val="004F23A1"/>
    <w:rsid w:val="005016C0"/>
    <w:rsid w:val="00501F22"/>
    <w:rsid w:val="0051272F"/>
    <w:rsid w:val="00514F28"/>
    <w:rsid w:val="00515A55"/>
    <w:rsid w:val="00532CF5"/>
    <w:rsid w:val="00534838"/>
    <w:rsid w:val="00536166"/>
    <w:rsid w:val="00544651"/>
    <w:rsid w:val="00544774"/>
    <w:rsid w:val="0055055C"/>
    <w:rsid w:val="005528CB"/>
    <w:rsid w:val="0055485D"/>
    <w:rsid w:val="00562FAC"/>
    <w:rsid w:val="00566771"/>
    <w:rsid w:val="00567FDF"/>
    <w:rsid w:val="00581E2E"/>
    <w:rsid w:val="005830D4"/>
    <w:rsid w:val="00584F15"/>
    <w:rsid w:val="00590383"/>
    <w:rsid w:val="005A31CB"/>
    <w:rsid w:val="005A610B"/>
    <w:rsid w:val="005B24B6"/>
    <w:rsid w:val="005C18D8"/>
    <w:rsid w:val="005D65E2"/>
    <w:rsid w:val="005E1877"/>
    <w:rsid w:val="005E1BE8"/>
    <w:rsid w:val="005E5CE6"/>
    <w:rsid w:val="005F02CD"/>
    <w:rsid w:val="005F2088"/>
    <w:rsid w:val="00610020"/>
    <w:rsid w:val="006163F7"/>
    <w:rsid w:val="00617958"/>
    <w:rsid w:val="00626B1A"/>
    <w:rsid w:val="006352BB"/>
    <w:rsid w:val="00641BB1"/>
    <w:rsid w:val="00652606"/>
    <w:rsid w:val="0066189B"/>
    <w:rsid w:val="0066281C"/>
    <w:rsid w:val="00663ACB"/>
    <w:rsid w:val="00665BD9"/>
    <w:rsid w:val="00672628"/>
    <w:rsid w:val="00675950"/>
    <w:rsid w:val="00682754"/>
    <w:rsid w:val="006839F4"/>
    <w:rsid w:val="00684ED7"/>
    <w:rsid w:val="00687299"/>
    <w:rsid w:val="006A2FE2"/>
    <w:rsid w:val="006A58A9"/>
    <w:rsid w:val="006A606D"/>
    <w:rsid w:val="006B7F7A"/>
    <w:rsid w:val="006C0371"/>
    <w:rsid w:val="006C07E4"/>
    <w:rsid w:val="006C08B6"/>
    <w:rsid w:val="006C0B1A"/>
    <w:rsid w:val="006C2097"/>
    <w:rsid w:val="006C3EB6"/>
    <w:rsid w:val="006C4384"/>
    <w:rsid w:val="006C6065"/>
    <w:rsid w:val="006C7F9F"/>
    <w:rsid w:val="006D092A"/>
    <w:rsid w:val="006D594B"/>
    <w:rsid w:val="006E2F6D"/>
    <w:rsid w:val="006E58F6"/>
    <w:rsid w:val="006E77E1"/>
    <w:rsid w:val="006F131D"/>
    <w:rsid w:val="006F1D9E"/>
    <w:rsid w:val="006F7CA8"/>
    <w:rsid w:val="00703A1E"/>
    <w:rsid w:val="00714F4F"/>
    <w:rsid w:val="00715A9D"/>
    <w:rsid w:val="00723805"/>
    <w:rsid w:val="00725052"/>
    <w:rsid w:val="00725383"/>
    <w:rsid w:val="00727B5B"/>
    <w:rsid w:val="00733D9C"/>
    <w:rsid w:val="007343F2"/>
    <w:rsid w:val="00737CAF"/>
    <w:rsid w:val="00740D3D"/>
    <w:rsid w:val="0074158E"/>
    <w:rsid w:val="00741709"/>
    <w:rsid w:val="00745298"/>
    <w:rsid w:val="0074680A"/>
    <w:rsid w:val="00747DC9"/>
    <w:rsid w:val="007512F0"/>
    <w:rsid w:val="00752BCD"/>
    <w:rsid w:val="00755372"/>
    <w:rsid w:val="00755809"/>
    <w:rsid w:val="0076238E"/>
    <w:rsid w:val="00766DA1"/>
    <w:rsid w:val="0077386E"/>
    <w:rsid w:val="00780234"/>
    <w:rsid w:val="00780263"/>
    <w:rsid w:val="00785B53"/>
    <w:rsid w:val="0078627D"/>
    <w:rsid w:val="007866A6"/>
    <w:rsid w:val="00791A19"/>
    <w:rsid w:val="007A0B2F"/>
    <w:rsid w:val="007A130D"/>
    <w:rsid w:val="007A2479"/>
    <w:rsid w:val="007A6481"/>
    <w:rsid w:val="007B64A1"/>
    <w:rsid w:val="007D3C8B"/>
    <w:rsid w:val="007D4102"/>
    <w:rsid w:val="007E08BD"/>
    <w:rsid w:val="007E24D5"/>
    <w:rsid w:val="007E5921"/>
    <w:rsid w:val="007F11EE"/>
    <w:rsid w:val="007F686A"/>
    <w:rsid w:val="00821FFC"/>
    <w:rsid w:val="00822119"/>
    <w:rsid w:val="00823DCE"/>
    <w:rsid w:val="008271CA"/>
    <w:rsid w:val="00830101"/>
    <w:rsid w:val="00830229"/>
    <w:rsid w:val="008323C1"/>
    <w:rsid w:val="00832EB5"/>
    <w:rsid w:val="00837A82"/>
    <w:rsid w:val="00842F07"/>
    <w:rsid w:val="008467D5"/>
    <w:rsid w:val="0084705F"/>
    <w:rsid w:val="00856D9F"/>
    <w:rsid w:val="008615E6"/>
    <w:rsid w:val="00866F6D"/>
    <w:rsid w:val="00884776"/>
    <w:rsid w:val="008855BA"/>
    <w:rsid w:val="008A4DC4"/>
    <w:rsid w:val="008B0382"/>
    <w:rsid w:val="008B5F59"/>
    <w:rsid w:val="008C0B2C"/>
    <w:rsid w:val="008C7C1A"/>
    <w:rsid w:val="008D3B6A"/>
    <w:rsid w:val="008D6764"/>
    <w:rsid w:val="008D6AE9"/>
    <w:rsid w:val="008E03B0"/>
    <w:rsid w:val="008E0BB8"/>
    <w:rsid w:val="008E1462"/>
    <w:rsid w:val="00904F39"/>
    <w:rsid w:val="009067A4"/>
    <w:rsid w:val="0090722E"/>
    <w:rsid w:val="00915DA9"/>
    <w:rsid w:val="009229AF"/>
    <w:rsid w:val="0093022C"/>
    <w:rsid w:val="00931988"/>
    <w:rsid w:val="0093207E"/>
    <w:rsid w:val="009340DB"/>
    <w:rsid w:val="00942A07"/>
    <w:rsid w:val="00945462"/>
    <w:rsid w:val="00947849"/>
    <w:rsid w:val="00956C94"/>
    <w:rsid w:val="009605CC"/>
    <w:rsid w:val="00960BE6"/>
    <w:rsid w:val="00963FDD"/>
    <w:rsid w:val="00972498"/>
    <w:rsid w:val="00974CC6"/>
    <w:rsid w:val="00976AD4"/>
    <w:rsid w:val="009863D3"/>
    <w:rsid w:val="00987ADB"/>
    <w:rsid w:val="0099420B"/>
    <w:rsid w:val="0099721C"/>
    <w:rsid w:val="009A312F"/>
    <w:rsid w:val="009A4A84"/>
    <w:rsid w:val="009A5348"/>
    <w:rsid w:val="009A67BB"/>
    <w:rsid w:val="009A7E23"/>
    <w:rsid w:val="009C5E3F"/>
    <w:rsid w:val="009C76D5"/>
    <w:rsid w:val="009E277F"/>
    <w:rsid w:val="009E74A9"/>
    <w:rsid w:val="009E7AF6"/>
    <w:rsid w:val="009F2F5A"/>
    <w:rsid w:val="009F7AA4"/>
    <w:rsid w:val="00A03170"/>
    <w:rsid w:val="00A04225"/>
    <w:rsid w:val="00A104EC"/>
    <w:rsid w:val="00A23DBA"/>
    <w:rsid w:val="00A360E6"/>
    <w:rsid w:val="00A36962"/>
    <w:rsid w:val="00A36D2A"/>
    <w:rsid w:val="00A452C0"/>
    <w:rsid w:val="00A559DB"/>
    <w:rsid w:val="00A64D3D"/>
    <w:rsid w:val="00A70DD6"/>
    <w:rsid w:val="00A72447"/>
    <w:rsid w:val="00A73449"/>
    <w:rsid w:val="00A77C16"/>
    <w:rsid w:val="00A86370"/>
    <w:rsid w:val="00A86EDE"/>
    <w:rsid w:val="00A93778"/>
    <w:rsid w:val="00A93B2A"/>
    <w:rsid w:val="00A97A64"/>
    <w:rsid w:val="00AA1135"/>
    <w:rsid w:val="00AB3788"/>
    <w:rsid w:val="00AB4B56"/>
    <w:rsid w:val="00AE0C53"/>
    <w:rsid w:val="00AE0DCF"/>
    <w:rsid w:val="00AE3AEF"/>
    <w:rsid w:val="00AE3CCF"/>
    <w:rsid w:val="00AE617F"/>
    <w:rsid w:val="00AF35FC"/>
    <w:rsid w:val="00B03639"/>
    <w:rsid w:val="00B0652A"/>
    <w:rsid w:val="00B141D4"/>
    <w:rsid w:val="00B216EE"/>
    <w:rsid w:val="00B306F7"/>
    <w:rsid w:val="00B345F2"/>
    <w:rsid w:val="00B34A6B"/>
    <w:rsid w:val="00B3757D"/>
    <w:rsid w:val="00B40937"/>
    <w:rsid w:val="00B423EF"/>
    <w:rsid w:val="00B434AE"/>
    <w:rsid w:val="00B4352E"/>
    <w:rsid w:val="00B453DE"/>
    <w:rsid w:val="00B4742F"/>
    <w:rsid w:val="00B6277E"/>
    <w:rsid w:val="00B67F5A"/>
    <w:rsid w:val="00B706BE"/>
    <w:rsid w:val="00B82AC4"/>
    <w:rsid w:val="00B901F9"/>
    <w:rsid w:val="00BA5063"/>
    <w:rsid w:val="00BA5FC7"/>
    <w:rsid w:val="00BC2ED0"/>
    <w:rsid w:val="00BD057B"/>
    <w:rsid w:val="00BD6EFB"/>
    <w:rsid w:val="00BE31D4"/>
    <w:rsid w:val="00BE3A6A"/>
    <w:rsid w:val="00BE43EA"/>
    <w:rsid w:val="00C04F5C"/>
    <w:rsid w:val="00C07F6E"/>
    <w:rsid w:val="00C15BE2"/>
    <w:rsid w:val="00C22219"/>
    <w:rsid w:val="00C24E40"/>
    <w:rsid w:val="00C3447F"/>
    <w:rsid w:val="00C35B1D"/>
    <w:rsid w:val="00C40DC0"/>
    <w:rsid w:val="00C41E03"/>
    <w:rsid w:val="00C4205B"/>
    <w:rsid w:val="00C57D89"/>
    <w:rsid w:val="00C65293"/>
    <w:rsid w:val="00C71ADA"/>
    <w:rsid w:val="00C7214C"/>
    <w:rsid w:val="00C73585"/>
    <w:rsid w:val="00C76C68"/>
    <w:rsid w:val="00C81491"/>
    <w:rsid w:val="00C81676"/>
    <w:rsid w:val="00C854FB"/>
    <w:rsid w:val="00C8698C"/>
    <w:rsid w:val="00C91509"/>
    <w:rsid w:val="00C91926"/>
    <w:rsid w:val="00C92CC4"/>
    <w:rsid w:val="00CA0A8A"/>
    <w:rsid w:val="00CA0AFB"/>
    <w:rsid w:val="00CA2CE1"/>
    <w:rsid w:val="00CA3976"/>
    <w:rsid w:val="00CA757B"/>
    <w:rsid w:val="00CB42A5"/>
    <w:rsid w:val="00CB6B09"/>
    <w:rsid w:val="00CC1787"/>
    <w:rsid w:val="00CC182C"/>
    <w:rsid w:val="00CC262C"/>
    <w:rsid w:val="00CC52AF"/>
    <w:rsid w:val="00CD0824"/>
    <w:rsid w:val="00CD2908"/>
    <w:rsid w:val="00CD60B2"/>
    <w:rsid w:val="00CF5A68"/>
    <w:rsid w:val="00D03A82"/>
    <w:rsid w:val="00D103D8"/>
    <w:rsid w:val="00D1114E"/>
    <w:rsid w:val="00D15344"/>
    <w:rsid w:val="00D31BEC"/>
    <w:rsid w:val="00D33D48"/>
    <w:rsid w:val="00D43987"/>
    <w:rsid w:val="00D45C2F"/>
    <w:rsid w:val="00D46292"/>
    <w:rsid w:val="00D506B3"/>
    <w:rsid w:val="00D600EE"/>
    <w:rsid w:val="00D619CD"/>
    <w:rsid w:val="00D63150"/>
    <w:rsid w:val="00D64A32"/>
    <w:rsid w:val="00D64EFC"/>
    <w:rsid w:val="00D7126D"/>
    <w:rsid w:val="00D75295"/>
    <w:rsid w:val="00D76CE9"/>
    <w:rsid w:val="00D93F01"/>
    <w:rsid w:val="00D94055"/>
    <w:rsid w:val="00D97F12"/>
    <w:rsid w:val="00DA1C95"/>
    <w:rsid w:val="00DA22D0"/>
    <w:rsid w:val="00DB0157"/>
    <w:rsid w:val="00DB39AE"/>
    <w:rsid w:val="00DB42E7"/>
    <w:rsid w:val="00DC134F"/>
    <w:rsid w:val="00DD4D5C"/>
    <w:rsid w:val="00DD56FD"/>
    <w:rsid w:val="00DE0A93"/>
    <w:rsid w:val="00DE1CB4"/>
    <w:rsid w:val="00DF32C2"/>
    <w:rsid w:val="00E00E42"/>
    <w:rsid w:val="00E04D5E"/>
    <w:rsid w:val="00E11D8A"/>
    <w:rsid w:val="00E21633"/>
    <w:rsid w:val="00E233AC"/>
    <w:rsid w:val="00E249C6"/>
    <w:rsid w:val="00E271E4"/>
    <w:rsid w:val="00E34C05"/>
    <w:rsid w:val="00E44318"/>
    <w:rsid w:val="00E471A7"/>
    <w:rsid w:val="00E47374"/>
    <w:rsid w:val="00E5555E"/>
    <w:rsid w:val="00E635CF"/>
    <w:rsid w:val="00E710D6"/>
    <w:rsid w:val="00E91C7C"/>
    <w:rsid w:val="00E91DB7"/>
    <w:rsid w:val="00EA2956"/>
    <w:rsid w:val="00EA612F"/>
    <w:rsid w:val="00EB1795"/>
    <w:rsid w:val="00EB5410"/>
    <w:rsid w:val="00EC6E0A"/>
    <w:rsid w:val="00ED18B9"/>
    <w:rsid w:val="00ED4E18"/>
    <w:rsid w:val="00EE110C"/>
    <w:rsid w:val="00EE1F37"/>
    <w:rsid w:val="00EE3DF1"/>
    <w:rsid w:val="00EE5E7F"/>
    <w:rsid w:val="00EF05DC"/>
    <w:rsid w:val="00EF3804"/>
    <w:rsid w:val="00EF6425"/>
    <w:rsid w:val="00F0159C"/>
    <w:rsid w:val="00F01F10"/>
    <w:rsid w:val="00F105B7"/>
    <w:rsid w:val="00F11FE9"/>
    <w:rsid w:val="00F1271F"/>
    <w:rsid w:val="00F1545E"/>
    <w:rsid w:val="00F17A21"/>
    <w:rsid w:val="00F430BD"/>
    <w:rsid w:val="00F477C9"/>
    <w:rsid w:val="00F47843"/>
    <w:rsid w:val="00F5032C"/>
    <w:rsid w:val="00F50E91"/>
    <w:rsid w:val="00F548B5"/>
    <w:rsid w:val="00F57D29"/>
    <w:rsid w:val="00F62618"/>
    <w:rsid w:val="00F80A56"/>
    <w:rsid w:val="00F82396"/>
    <w:rsid w:val="00F90533"/>
    <w:rsid w:val="00F92A99"/>
    <w:rsid w:val="00F96201"/>
    <w:rsid w:val="00FA1459"/>
    <w:rsid w:val="00FA4CF6"/>
    <w:rsid w:val="00FB6B12"/>
    <w:rsid w:val="00FB6D98"/>
    <w:rsid w:val="00FC30E9"/>
    <w:rsid w:val="00FC3CDC"/>
    <w:rsid w:val="00FC442A"/>
    <w:rsid w:val="00FD0B18"/>
    <w:rsid w:val="00FD0F82"/>
    <w:rsid w:val="00FE6300"/>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EF3C4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14F4F"/>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
    <w:qFormat/>
    <w:rsid w:val="00BE43EA"/>
    <w:pPr>
      <w:keepNext/>
      <w:keepLines/>
      <w:spacing w:before="480" w:after="120"/>
      <w:contextualSpacing/>
      <w:outlineLvl w:val="0"/>
    </w:pPr>
    <w:rPr>
      <w:b/>
      <w:color w:val="000000"/>
      <w:sz w:val="48"/>
      <w:szCs w:val="48"/>
    </w:rPr>
  </w:style>
  <w:style w:type="paragraph" w:styleId="Heading2">
    <w:name w:val="heading 2"/>
    <w:basedOn w:val="Normal"/>
    <w:next w:val="Normal"/>
    <w:link w:val="Heading2Char"/>
    <w:uiPriority w:val="9"/>
    <w:qFormat/>
    <w:rsid w:val="00BE43EA"/>
    <w:pPr>
      <w:keepNext/>
      <w:keepLines/>
      <w:spacing w:before="360" w:after="80"/>
      <w:contextualSpacing/>
      <w:outlineLvl w:val="1"/>
    </w:pPr>
    <w:rPr>
      <w:b/>
      <w:color w:val="000000"/>
      <w:sz w:val="36"/>
      <w:szCs w:val="36"/>
    </w:rPr>
  </w:style>
  <w:style w:type="paragraph" w:styleId="Heading3">
    <w:name w:val="heading 3"/>
    <w:basedOn w:val="Normal"/>
    <w:next w:val="Normal"/>
    <w:link w:val="Heading3Char"/>
    <w:uiPriority w:val="9"/>
    <w:qFormat/>
    <w:rsid w:val="00BE43EA"/>
    <w:pPr>
      <w:keepNext/>
      <w:keepLines/>
      <w:spacing w:before="280" w:after="80"/>
      <w:contextualSpacing/>
      <w:outlineLvl w:val="2"/>
    </w:pPr>
    <w:rPr>
      <w:b/>
      <w:color w:val="000000"/>
      <w:sz w:val="28"/>
      <w:szCs w:val="28"/>
    </w:rPr>
  </w:style>
  <w:style w:type="paragraph" w:styleId="Heading4">
    <w:name w:val="heading 4"/>
    <w:basedOn w:val="Normal"/>
    <w:next w:val="Normal"/>
    <w:link w:val="Heading4Char"/>
    <w:uiPriority w:val="9"/>
    <w:qFormat/>
    <w:rsid w:val="00BE43EA"/>
    <w:pPr>
      <w:keepNext/>
      <w:keepLines/>
      <w:spacing w:before="240" w:after="40"/>
      <w:contextualSpacing/>
      <w:outlineLvl w:val="3"/>
    </w:pPr>
    <w:rPr>
      <w:b/>
      <w:color w:val="000000"/>
      <w:sz w:val="24"/>
      <w:szCs w:val="24"/>
    </w:rPr>
  </w:style>
  <w:style w:type="paragraph" w:styleId="Heading5">
    <w:name w:val="heading 5"/>
    <w:basedOn w:val="Normal"/>
    <w:next w:val="Normal"/>
    <w:link w:val="Heading5Char"/>
    <w:uiPriority w:val="9"/>
    <w:qFormat/>
    <w:rsid w:val="00BE43EA"/>
    <w:pPr>
      <w:keepNext/>
      <w:keepLines/>
      <w:spacing w:before="220" w:after="40"/>
      <w:contextualSpacing/>
      <w:outlineLvl w:val="4"/>
    </w:pPr>
    <w:rPr>
      <w:b/>
      <w:color w:val="000000"/>
      <w:sz w:val="22"/>
      <w:szCs w:val="22"/>
    </w:rPr>
  </w:style>
  <w:style w:type="paragraph" w:styleId="Heading6">
    <w:name w:val="heading 6"/>
    <w:basedOn w:val="Normal"/>
    <w:next w:val="Normal"/>
    <w:link w:val="Heading6Char"/>
    <w:uiPriority w:val="9"/>
    <w:qFormat/>
    <w:rsid w:val="00BE43EA"/>
    <w:pPr>
      <w:keepNext/>
      <w:keepLines/>
      <w:spacing w:before="200" w:after="40"/>
      <w:contextualSpacing/>
      <w:outlineLvl w:val="5"/>
    </w:pPr>
    <w:rPr>
      <w:b/>
      <w:color w:val="000000"/>
    </w:rPr>
  </w:style>
  <w:style w:type="paragraph" w:styleId="Heading7">
    <w:name w:val="heading 7"/>
    <w:basedOn w:val="Normal"/>
    <w:next w:val="Normal"/>
    <w:link w:val="Heading7Char"/>
    <w:uiPriority w:val="9"/>
    <w:semiHidden/>
    <w:unhideWhenUsed/>
    <w:qFormat/>
    <w:rsid w:val="00DD4D5C"/>
    <w:pPr>
      <w:spacing w:after="120" w:line="252" w:lineRule="auto"/>
      <w:jc w:val="center"/>
      <w:outlineLvl w:val="6"/>
    </w:pPr>
    <w:rPr>
      <w:rFonts w:asciiTheme="majorHAnsi" w:eastAsiaTheme="minorHAnsi" w:hAnsiTheme="majorHAnsi" w:cstheme="majorBidi"/>
      <w:i/>
      <w:iCs/>
      <w:caps/>
      <w:color w:val="943634" w:themeColor="accent2" w:themeShade="BF"/>
      <w:spacing w:val="10"/>
      <w:sz w:val="22"/>
      <w:szCs w:val="22"/>
      <w:lang w:bidi="en-US"/>
    </w:rPr>
  </w:style>
  <w:style w:type="paragraph" w:styleId="Heading8">
    <w:name w:val="heading 8"/>
    <w:basedOn w:val="Normal"/>
    <w:next w:val="Normal"/>
    <w:link w:val="Heading8Char"/>
    <w:uiPriority w:val="9"/>
    <w:semiHidden/>
    <w:unhideWhenUsed/>
    <w:qFormat/>
    <w:rsid w:val="00DD4D5C"/>
    <w:pPr>
      <w:spacing w:after="120" w:line="252" w:lineRule="auto"/>
      <w:jc w:val="center"/>
      <w:outlineLvl w:val="7"/>
    </w:pPr>
    <w:rPr>
      <w:rFonts w:asciiTheme="majorHAnsi" w:eastAsiaTheme="minorHAnsi" w:hAnsiTheme="majorHAnsi" w:cstheme="majorBidi"/>
      <w:caps/>
      <w:spacing w:val="10"/>
      <w:lang w:bidi="en-US"/>
    </w:rPr>
  </w:style>
  <w:style w:type="paragraph" w:styleId="Heading9">
    <w:name w:val="heading 9"/>
    <w:basedOn w:val="Normal"/>
    <w:next w:val="Normal"/>
    <w:link w:val="Heading9Char"/>
    <w:uiPriority w:val="9"/>
    <w:semiHidden/>
    <w:unhideWhenUsed/>
    <w:qFormat/>
    <w:rsid w:val="00DD4D5C"/>
    <w:pPr>
      <w:spacing w:after="120" w:line="252" w:lineRule="auto"/>
      <w:jc w:val="center"/>
      <w:outlineLvl w:val="8"/>
    </w:pPr>
    <w:rPr>
      <w:rFonts w:asciiTheme="majorHAnsi" w:eastAsiaTheme="minorHAnsi" w:hAnsiTheme="majorHAnsi" w:cstheme="majorBidi"/>
      <w:i/>
      <w:iCs/>
      <w:caps/>
      <w:spacing w:val="1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091ACE"/>
    <w:pPr>
      <w:jc w:val="both"/>
    </w:pPr>
    <w:rPr>
      <w:rFonts w:ascii="Arial" w:hAnsi="Arial" w:cs="Arial"/>
      <w:sz w:val="17"/>
      <w:szCs w:val="17"/>
    </w:rPr>
  </w:style>
  <w:style w:type="character" w:customStyle="1" w:styleId="FootnoteChar">
    <w:name w:val="Footnote Char"/>
    <w:basedOn w:val="FootnoteTextChar"/>
    <w:link w:val="Footnote"/>
    <w:rsid w:val="00091ACE"/>
    <w:rPr>
      <w:rFonts w:ascii="Arial" w:eastAsia="Times New Roman" w:hAnsi="Arial" w:cs="Arial"/>
      <w:sz w:val="17"/>
      <w:szCs w:val="17"/>
      <w:lang w:val="en-GB"/>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20"/>
    <w:qFormat/>
    <w:rsid w:val="00FD0F82"/>
    <w:rPr>
      <w:i/>
      <w:iCs/>
    </w:rPr>
  </w:style>
  <w:style w:type="character" w:styleId="Strong">
    <w:name w:val="Strong"/>
    <w:basedOn w:val="DefaultParagraphFont"/>
    <w:uiPriority w:val="22"/>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styleId="NoSpacing">
    <w:name w:val="No Spacing"/>
    <w:link w:val="NoSpacingChar"/>
    <w:uiPriority w:val="1"/>
    <w:qFormat/>
    <w:rsid w:val="00374C4D"/>
    <w:pPr>
      <w:spacing w:after="0" w:line="240" w:lineRule="auto"/>
    </w:pPr>
    <w:rPr>
      <w:rFonts w:ascii="Times New Roman" w:eastAsia="Times New Roman" w:hAnsi="Times New Roman" w:cs="Times New Roman"/>
      <w:color w:val="000000"/>
      <w:sz w:val="20"/>
      <w:szCs w:val="20"/>
    </w:rPr>
  </w:style>
  <w:style w:type="character" w:customStyle="1" w:styleId="Heading1Char">
    <w:name w:val="Heading 1 Char"/>
    <w:basedOn w:val="DefaultParagraphFont"/>
    <w:link w:val="Heading1"/>
    <w:uiPriority w:val="9"/>
    <w:rsid w:val="00BE43EA"/>
    <w:rPr>
      <w:rFonts w:ascii="Times New Roman" w:eastAsia="Times New Roman" w:hAnsi="Times New Roman" w:cs="Times New Roman"/>
      <w:b/>
      <w:color w:val="000000"/>
      <w:sz w:val="48"/>
      <w:szCs w:val="48"/>
    </w:rPr>
  </w:style>
  <w:style w:type="character" w:customStyle="1" w:styleId="Heading2Char">
    <w:name w:val="Heading 2 Char"/>
    <w:basedOn w:val="DefaultParagraphFont"/>
    <w:link w:val="Heading2"/>
    <w:uiPriority w:val="9"/>
    <w:rsid w:val="00BE43EA"/>
    <w:rPr>
      <w:rFonts w:ascii="Times New Roman" w:eastAsia="Times New Roman" w:hAnsi="Times New Roman" w:cs="Times New Roman"/>
      <w:b/>
      <w:color w:val="000000"/>
      <w:sz w:val="36"/>
      <w:szCs w:val="36"/>
    </w:rPr>
  </w:style>
  <w:style w:type="character" w:customStyle="1" w:styleId="Heading3Char">
    <w:name w:val="Heading 3 Char"/>
    <w:basedOn w:val="DefaultParagraphFont"/>
    <w:link w:val="Heading3"/>
    <w:uiPriority w:val="9"/>
    <w:rsid w:val="00BE43EA"/>
    <w:rPr>
      <w:rFonts w:ascii="Times New Roman" w:eastAsia="Times New Roman" w:hAnsi="Times New Roman" w:cs="Times New Roman"/>
      <w:b/>
      <w:color w:val="000000"/>
      <w:sz w:val="28"/>
      <w:szCs w:val="28"/>
    </w:rPr>
  </w:style>
  <w:style w:type="character" w:customStyle="1" w:styleId="Heading4Char">
    <w:name w:val="Heading 4 Char"/>
    <w:basedOn w:val="DefaultParagraphFont"/>
    <w:link w:val="Heading4"/>
    <w:uiPriority w:val="9"/>
    <w:rsid w:val="00BE43EA"/>
    <w:rPr>
      <w:rFonts w:ascii="Times New Roman" w:eastAsia="Times New Roman" w:hAnsi="Times New Roman" w:cs="Times New Roman"/>
      <w:b/>
      <w:color w:val="000000"/>
      <w:sz w:val="24"/>
      <w:szCs w:val="24"/>
    </w:rPr>
  </w:style>
  <w:style w:type="character" w:customStyle="1" w:styleId="Heading5Char">
    <w:name w:val="Heading 5 Char"/>
    <w:basedOn w:val="DefaultParagraphFont"/>
    <w:link w:val="Heading5"/>
    <w:uiPriority w:val="9"/>
    <w:rsid w:val="00BE43EA"/>
    <w:rPr>
      <w:rFonts w:ascii="Times New Roman" w:eastAsia="Times New Roman" w:hAnsi="Times New Roman" w:cs="Times New Roman"/>
      <w:b/>
      <w:color w:val="000000"/>
    </w:rPr>
  </w:style>
  <w:style w:type="character" w:customStyle="1" w:styleId="Heading6Char">
    <w:name w:val="Heading 6 Char"/>
    <w:basedOn w:val="DefaultParagraphFont"/>
    <w:link w:val="Heading6"/>
    <w:uiPriority w:val="9"/>
    <w:rsid w:val="00BE43EA"/>
    <w:rPr>
      <w:rFonts w:ascii="Times New Roman" w:eastAsia="Times New Roman" w:hAnsi="Times New Roman" w:cs="Times New Roman"/>
      <w:b/>
      <w:color w:val="000000"/>
      <w:sz w:val="20"/>
      <w:szCs w:val="20"/>
    </w:rPr>
  </w:style>
  <w:style w:type="paragraph" w:styleId="Title">
    <w:name w:val="Title"/>
    <w:basedOn w:val="Normal"/>
    <w:next w:val="Normal"/>
    <w:link w:val="TitleChar"/>
    <w:uiPriority w:val="10"/>
    <w:qFormat/>
    <w:rsid w:val="00BE43EA"/>
    <w:pPr>
      <w:keepNext/>
      <w:keepLines/>
      <w:spacing w:before="480" w:after="120"/>
      <w:contextualSpacing/>
    </w:pPr>
    <w:rPr>
      <w:b/>
      <w:color w:val="000000"/>
      <w:sz w:val="72"/>
      <w:szCs w:val="72"/>
    </w:rPr>
  </w:style>
  <w:style w:type="character" w:customStyle="1" w:styleId="TitleChar">
    <w:name w:val="Title Char"/>
    <w:basedOn w:val="DefaultParagraphFont"/>
    <w:link w:val="Title"/>
    <w:uiPriority w:val="10"/>
    <w:rsid w:val="00BE43EA"/>
    <w:rPr>
      <w:rFonts w:ascii="Times New Roman" w:eastAsia="Times New Roman" w:hAnsi="Times New Roman" w:cs="Times New Roman"/>
      <w:b/>
      <w:color w:val="000000"/>
      <w:sz w:val="72"/>
      <w:szCs w:val="72"/>
    </w:rPr>
  </w:style>
  <w:style w:type="paragraph" w:styleId="Subtitle">
    <w:name w:val="Subtitle"/>
    <w:basedOn w:val="Normal"/>
    <w:next w:val="Normal"/>
    <w:link w:val="SubtitleChar"/>
    <w:uiPriority w:val="11"/>
    <w:qFormat/>
    <w:rsid w:val="00BE43EA"/>
    <w:pPr>
      <w:keepNext/>
      <w:keepLines/>
      <w:spacing w:before="360" w:after="80"/>
      <w:contextualSpacing/>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BE43EA"/>
    <w:rPr>
      <w:rFonts w:ascii="Georgia" w:eastAsia="Georgia" w:hAnsi="Georgia" w:cs="Georgia"/>
      <w:i/>
      <w:color w:val="666666"/>
      <w:sz w:val="48"/>
      <w:szCs w:val="48"/>
    </w:rPr>
  </w:style>
  <w:style w:type="paragraph" w:styleId="Caption">
    <w:name w:val="caption"/>
    <w:basedOn w:val="Normal"/>
    <w:next w:val="Normal"/>
    <w:uiPriority w:val="35"/>
    <w:unhideWhenUsed/>
    <w:qFormat/>
    <w:rsid w:val="00BE43EA"/>
    <w:pPr>
      <w:spacing w:after="200"/>
    </w:pPr>
    <w:rPr>
      <w:b/>
      <w:bCs/>
      <w:color w:val="4F81BD" w:themeColor="accent1"/>
      <w:sz w:val="18"/>
      <w:szCs w:val="18"/>
    </w:rPr>
  </w:style>
  <w:style w:type="character" w:customStyle="1" w:styleId="Heading7Char">
    <w:name w:val="Heading 7 Char"/>
    <w:basedOn w:val="DefaultParagraphFont"/>
    <w:link w:val="Heading7"/>
    <w:uiPriority w:val="9"/>
    <w:semiHidden/>
    <w:rsid w:val="00DD4D5C"/>
    <w:rPr>
      <w:rFonts w:asciiTheme="majorHAnsi" w:eastAsiaTheme="minorHAnsi" w:hAnsiTheme="majorHAnsi" w:cstheme="majorBidi"/>
      <w:i/>
      <w:iCs/>
      <w:caps/>
      <w:color w:val="943634" w:themeColor="accent2" w:themeShade="BF"/>
      <w:spacing w:val="10"/>
      <w:lang w:bidi="en-US"/>
    </w:rPr>
  </w:style>
  <w:style w:type="character" w:customStyle="1" w:styleId="Heading8Char">
    <w:name w:val="Heading 8 Char"/>
    <w:basedOn w:val="DefaultParagraphFont"/>
    <w:link w:val="Heading8"/>
    <w:uiPriority w:val="9"/>
    <w:semiHidden/>
    <w:rsid w:val="00DD4D5C"/>
    <w:rPr>
      <w:rFonts w:asciiTheme="majorHAnsi" w:eastAsiaTheme="minorHAnsi" w:hAnsiTheme="majorHAnsi" w:cstheme="majorBidi"/>
      <w:caps/>
      <w:spacing w:val="10"/>
      <w:sz w:val="20"/>
      <w:szCs w:val="20"/>
      <w:lang w:bidi="en-US"/>
    </w:rPr>
  </w:style>
  <w:style w:type="character" w:customStyle="1" w:styleId="Heading9Char">
    <w:name w:val="Heading 9 Char"/>
    <w:basedOn w:val="DefaultParagraphFont"/>
    <w:link w:val="Heading9"/>
    <w:uiPriority w:val="9"/>
    <w:semiHidden/>
    <w:rsid w:val="00DD4D5C"/>
    <w:rPr>
      <w:rFonts w:asciiTheme="majorHAnsi" w:eastAsiaTheme="minorHAnsi" w:hAnsiTheme="majorHAnsi" w:cstheme="majorBidi"/>
      <w:i/>
      <w:iCs/>
      <w:caps/>
      <w:spacing w:val="10"/>
      <w:sz w:val="20"/>
      <w:szCs w:val="20"/>
      <w:lang w:bidi="en-US"/>
    </w:rPr>
  </w:style>
  <w:style w:type="paragraph" w:customStyle="1" w:styleId="casehead10">
    <w:name w:val="casehead1"/>
    <w:basedOn w:val="Normal"/>
    <w:next w:val="BodyText"/>
    <w:rsid w:val="00DD4D5C"/>
    <w:pPr>
      <w:jc w:val="both"/>
    </w:pPr>
    <w:rPr>
      <w:rFonts w:ascii="Arial" w:hAnsi="Arial"/>
      <w:b/>
      <w:caps/>
    </w:rPr>
  </w:style>
  <w:style w:type="character" w:customStyle="1" w:styleId="NoSpacingChar">
    <w:name w:val="No Spacing Char"/>
    <w:basedOn w:val="DefaultParagraphFont"/>
    <w:link w:val="NoSpacing"/>
    <w:uiPriority w:val="1"/>
    <w:rsid w:val="00DD4D5C"/>
    <w:rPr>
      <w:rFonts w:ascii="Times New Roman" w:eastAsia="Times New Roman" w:hAnsi="Times New Roman" w:cs="Times New Roman"/>
      <w:color w:val="000000"/>
      <w:sz w:val="20"/>
      <w:szCs w:val="20"/>
    </w:rPr>
  </w:style>
  <w:style w:type="paragraph" w:styleId="Quote">
    <w:name w:val="Quote"/>
    <w:basedOn w:val="Normal"/>
    <w:next w:val="Normal"/>
    <w:link w:val="QuoteChar"/>
    <w:uiPriority w:val="29"/>
    <w:qFormat/>
    <w:rsid w:val="00DD4D5C"/>
    <w:pPr>
      <w:spacing w:after="200" w:line="252" w:lineRule="auto"/>
    </w:pPr>
    <w:rPr>
      <w:rFonts w:asciiTheme="majorHAnsi" w:eastAsiaTheme="minorHAnsi" w:hAnsiTheme="majorHAnsi" w:cstheme="majorBidi"/>
      <w:i/>
      <w:iCs/>
      <w:sz w:val="22"/>
      <w:szCs w:val="22"/>
      <w:lang w:bidi="en-US"/>
    </w:rPr>
  </w:style>
  <w:style w:type="character" w:customStyle="1" w:styleId="QuoteChar">
    <w:name w:val="Quote Char"/>
    <w:basedOn w:val="DefaultParagraphFont"/>
    <w:link w:val="Quote"/>
    <w:uiPriority w:val="29"/>
    <w:rsid w:val="00DD4D5C"/>
    <w:rPr>
      <w:rFonts w:asciiTheme="majorHAnsi" w:eastAsiaTheme="minorHAnsi" w:hAnsiTheme="majorHAnsi" w:cstheme="majorBidi"/>
      <w:i/>
      <w:iCs/>
      <w:lang w:bidi="en-US"/>
    </w:rPr>
  </w:style>
  <w:style w:type="paragraph" w:styleId="IntenseQuote">
    <w:name w:val="Intense Quote"/>
    <w:basedOn w:val="Normal"/>
    <w:next w:val="Normal"/>
    <w:link w:val="IntenseQuoteChar"/>
    <w:uiPriority w:val="30"/>
    <w:qFormat/>
    <w:rsid w:val="00DD4D5C"/>
    <w:pPr>
      <w:pBdr>
        <w:top w:val="dotted" w:sz="2" w:space="10" w:color="632423" w:themeColor="accent2" w:themeShade="80"/>
        <w:bottom w:val="dotted" w:sz="2" w:space="4" w:color="632423" w:themeColor="accent2" w:themeShade="80"/>
      </w:pBdr>
      <w:spacing w:before="160" w:after="200" w:line="300" w:lineRule="auto"/>
      <w:ind w:left="1440" w:right="1440"/>
    </w:pPr>
    <w:rPr>
      <w:rFonts w:asciiTheme="majorHAnsi" w:eastAsiaTheme="minorHAnsi" w:hAnsiTheme="majorHAnsi" w:cstheme="majorBidi"/>
      <w:caps/>
      <w:color w:val="622423" w:themeColor="accent2" w:themeShade="7F"/>
      <w:spacing w:val="5"/>
      <w:lang w:bidi="en-US"/>
    </w:rPr>
  </w:style>
  <w:style w:type="character" w:customStyle="1" w:styleId="IntenseQuoteChar">
    <w:name w:val="Intense Quote Char"/>
    <w:basedOn w:val="DefaultParagraphFont"/>
    <w:link w:val="IntenseQuote"/>
    <w:uiPriority w:val="30"/>
    <w:rsid w:val="00DD4D5C"/>
    <w:rPr>
      <w:rFonts w:asciiTheme="majorHAnsi" w:eastAsiaTheme="minorHAnsi" w:hAnsiTheme="majorHAnsi" w:cstheme="majorBidi"/>
      <w:caps/>
      <w:color w:val="622423" w:themeColor="accent2" w:themeShade="7F"/>
      <w:spacing w:val="5"/>
      <w:sz w:val="20"/>
      <w:szCs w:val="20"/>
      <w:lang w:bidi="en-US"/>
    </w:rPr>
  </w:style>
  <w:style w:type="character" w:styleId="SubtleEmphasis">
    <w:name w:val="Subtle Emphasis"/>
    <w:uiPriority w:val="19"/>
    <w:qFormat/>
    <w:rsid w:val="00DD4D5C"/>
    <w:rPr>
      <w:i/>
      <w:iCs/>
    </w:rPr>
  </w:style>
  <w:style w:type="character" w:styleId="IntenseEmphasis">
    <w:name w:val="Intense Emphasis"/>
    <w:uiPriority w:val="21"/>
    <w:qFormat/>
    <w:rsid w:val="00DD4D5C"/>
    <w:rPr>
      <w:i/>
      <w:iCs/>
      <w:caps/>
      <w:spacing w:val="10"/>
      <w:sz w:val="20"/>
      <w:szCs w:val="20"/>
    </w:rPr>
  </w:style>
  <w:style w:type="character" w:styleId="SubtleReference">
    <w:name w:val="Subtle Reference"/>
    <w:basedOn w:val="DefaultParagraphFont"/>
    <w:uiPriority w:val="31"/>
    <w:qFormat/>
    <w:rsid w:val="00DD4D5C"/>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DD4D5C"/>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DD4D5C"/>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DD4D5C"/>
    <w:pPr>
      <w:keepNext w:val="0"/>
      <w:keepLines w:val="0"/>
      <w:pBdr>
        <w:bottom w:val="thinThickSmallGap" w:sz="12" w:space="1" w:color="943634" w:themeColor="accent2" w:themeShade="BF"/>
      </w:pBdr>
      <w:spacing w:before="400" w:after="200" w:line="252" w:lineRule="auto"/>
      <w:contextualSpacing w:val="0"/>
      <w:jc w:val="center"/>
      <w:outlineLvl w:val="9"/>
    </w:pPr>
    <w:rPr>
      <w:rFonts w:asciiTheme="majorHAnsi" w:eastAsiaTheme="minorHAnsi" w:hAnsiTheme="majorHAnsi" w:cstheme="majorBidi"/>
      <w:b w:val="0"/>
      <w:caps/>
      <w:color w:val="632423" w:themeColor="accent2" w:themeShade="80"/>
      <w:spacing w:val="20"/>
      <w:sz w:val="28"/>
      <w:szCs w:val="28"/>
      <w:lang w:bidi="en-US"/>
    </w:rPr>
  </w:style>
  <w:style w:type="paragraph" w:customStyle="1" w:styleId="Default">
    <w:name w:val="Default"/>
    <w:rsid w:val="00DD4D5C"/>
    <w:pPr>
      <w:autoSpaceDE w:val="0"/>
      <w:autoSpaceDN w:val="0"/>
      <w:adjustRightInd w:val="0"/>
      <w:spacing w:after="0" w:line="240" w:lineRule="auto"/>
    </w:pPr>
    <w:rPr>
      <w:rFonts w:ascii="Times New Roman" w:eastAsiaTheme="minorEastAsia" w:hAnsi="Times New Roman" w:cs="Times New Roman"/>
      <w:color w:val="000000"/>
      <w:sz w:val="24"/>
      <w:szCs w:val="24"/>
      <w:lang w:val="en-SG" w:eastAsia="en-SG"/>
    </w:rPr>
  </w:style>
  <w:style w:type="character" w:styleId="PlaceholderText">
    <w:name w:val="Placeholder Text"/>
    <w:basedOn w:val="DefaultParagraphFont"/>
    <w:uiPriority w:val="99"/>
    <w:semiHidden/>
    <w:rsid w:val="00DD4D5C"/>
    <w:rPr>
      <w:color w:val="808080"/>
    </w:rPr>
  </w:style>
  <w:style w:type="character" w:styleId="FollowedHyperlink">
    <w:name w:val="FollowedHyperlink"/>
    <w:basedOn w:val="DefaultParagraphFont"/>
    <w:uiPriority w:val="99"/>
    <w:semiHidden/>
    <w:unhideWhenUsed/>
    <w:rsid w:val="00DD4D5C"/>
    <w:rPr>
      <w:color w:val="800080" w:themeColor="followedHyperlink"/>
      <w:u w:val="single"/>
    </w:rPr>
  </w:style>
  <w:style w:type="paragraph" w:styleId="DocumentMap">
    <w:name w:val="Document Map"/>
    <w:basedOn w:val="Normal"/>
    <w:link w:val="DocumentMapChar"/>
    <w:uiPriority w:val="99"/>
    <w:semiHidden/>
    <w:unhideWhenUsed/>
    <w:rsid w:val="0017404F"/>
    <w:rPr>
      <w:sz w:val="24"/>
      <w:szCs w:val="24"/>
    </w:rPr>
  </w:style>
  <w:style w:type="character" w:customStyle="1" w:styleId="DocumentMapChar">
    <w:name w:val="Document Map Char"/>
    <w:basedOn w:val="DefaultParagraphFont"/>
    <w:link w:val="DocumentMap"/>
    <w:uiPriority w:val="99"/>
    <w:semiHidden/>
    <w:rsid w:val="0017404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224511">
      <w:bodyDiv w:val="1"/>
      <w:marLeft w:val="0"/>
      <w:marRight w:val="0"/>
      <w:marTop w:val="0"/>
      <w:marBottom w:val="0"/>
      <w:divBdr>
        <w:top w:val="none" w:sz="0" w:space="0" w:color="auto"/>
        <w:left w:val="none" w:sz="0" w:space="0" w:color="auto"/>
        <w:bottom w:val="none" w:sz="0" w:space="0" w:color="auto"/>
        <w:right w:val="none" w:sz="0" w:space="0" w:color="auto"/>
      </w:divBdr>
    </w:div>
    <w:div w:id="267085815">
      <w:bodyDiv w:val="1"/>
      <w:marLeft w:val="0"/>
      <w:marRight w:val="0"/>
      <w:marTop w:val="0"/>
      <w:marBottom w:val="0"/>
      <w:divBdr>
        <w:top w:val="none" w:sz="0" w:space="0" w:color="auto"/>
        <w:left w:val="none" w:sz="0" w:space="0" w:color="auto"/>
        <w:bottom w:val="none" w:sz="0" w:space="0" w:color="auto"/>
        <w:right w:val="none" w:sz="0" w:space="0" w:color="auto"/>
      </w:divBdr>
    </w:div>
    <w:div w:id="567880926">
      <w:bodyDiv w:val="1"/>
      <w:marLeft w:val="0"/>
      <w:marRight w:val="0"/>
      <w:marTop w:val="0"/>
      <w:marBottom w:val="0"/>
      <w:divBdr>
        <w:top w:val="none" w:sz="0" w:space="0" w:color="auto"/>
        <w:left w:val="none" w:sz="0" w:space="0" w:color="auto"/>
        <w:bottom w:val="none" w:sz="0" w:space="0" w:color="auto"/>
        <w:right w:val="none" w:sz="0" w:space="0" w:color="auto"/>
      </w:divBdr>
    </w:div>
    <w:div w:id="581451422">
      <w:bodyDiv w:val="1"/>
      <w:marLeft w:val="0"/>
      <w:marRight w:val="0"/>
      <w:marTop w:val="0"/>
      <w:marBottom w:val="0"/>
      <w:divBdr>
        <w:top w:val="none" w:sz="0" w:space="0" w:color="auto"/>
        <w:left w:val="none" w:sz="0" w:space="0" w:color="auto"/>
        <w:bottom w:val="none" w:sz="0" w:space="0" w:color="auto"/>
        <w:right w:val="none" w:sz="0" w:space="0" w:color="auto"/>
      </w:divBdr>
    </w:div>
    <w:div w:id="593366901">
      <w:bodyDiv w:val="1"/>
      <w:marLeft w:val="0"/>
      <w:marRight w:val="0"/>
      <w:marTop w:val="0"/>
      <w:marBottom w:val="0"/>
      <w:divBdr>
        <w:top w:val="none" w:sz="0" w:space="0" w:color="auto"/>
        <w:left w:val="none" w:sz="0" w:space="0" w:color="auto"/>
        <w:bottom w:val="none" w:sz="0" w:space="0" w:color="auto"/>
        <w:right w:val="none" w:sz="0" w:space="0" w:color="auto"/>
      </w:divBdr>
    </w:div>
    <w:div w:id="1096901951">
      <w:bodyDiv w:val="1"/>
      <w:marLeft w:val="0"/>
      <w:marRight w:val="0"/>
      <w:marTop w:val="0"/>
      <w:marBottom w:val="0"/>
      <w:divBdr>
        <w:top w:val="none" w:sz="0" w:space="0" w:color="auto"/>
        <w:left w:val="none" w:sz="0" w:space="0" w:color="auto"/>
        <w:bottom w:val="none" w:sz="0" w:space="0" w:color="auto"/>
        <w:right w:val="none" w:sz="0" w:space="0" w:color="auto"/>
      </w:divBdr>
    </w:div>
    <w:div w:id="1317152270">
      <w:bodyDiv w:val="1"/>
      <w:marLeft w:val="0"/>
      <w:marRight w:val="0"/>
      <w:marTop w:val="0"/>
      <w:marBottom w:val="0"/>
      <w:divBdr>
        <w:top w:val="none" w:sz="0" w:space="0" w:color="auto"/>
        <w:left w:val="none" w:sz="0" w:space="0" w:color="auto"/>
        <w:bottom w:val="none" w:sz="0" w:space="0" w:color="auto"/>
        <w:right w:val="none" w:sz="0" w:space="0" w:color="auto"/>
      </w:divBdr>
    </w:div>
    <w:div w:id="1324815387">
      <w:bodyDiv w:val="1"/>
      <w:marLeft w:val="0"/>
      <w:marRight w:val="0"/>
      <w:marTop w:val="0"/>
      <w:marBottom w:val="0"/>
      <w:divBdr>
        <w:top w:val="none" w:sz="0" w:space="0" w:color="auto"/>
        <w:left w:val="none" w:sz="0" w:space="0" w:color="auto"/>
        <w:bottom w:val="none" w:sz="0" w:space="0" w:color="auto"/>
        <w:right w:val="none" w:sz="0" w:space="0" w:color="auto"/>
      </w:divBdr>
    </w:div>
    <w:div w:id="1375889329">
      <w:bodyDiv w:val="1"/>
      <w:marLeft w:val="0"/>
      <w:marRight w:val="0"/>
      <w:marTop w:val="0"/>
      <w:marBottom w:val="0"/>
      <w:divBdr>
        <w:top w:val="none" w:sz="0" w:space="0" w:color="auto"/>
        <w:left w:val="none" w:sz="0" w:space="0" w:color="auto"/>
        <w:bottom w:val="none" w:sz="0" w:space="0" w:color="auto"/>
        <w:right w:val="none" w:sz="0" w:space="0" w:color="auto"/>
      </w:divBdr>
    </w:div>
    <w:div w:id="1504665769">
      <w:bodyDiv w:val="1"/>
      <w:marLeft w:val="0"/>
      <w:marRight w:val="0"/>
      <w:marTop w:val="0"/>
      <w:marBottom w:val="0"/>
      <w:divBdr>
        <w:top w:val="none" w:sz="0" w:space="0" w:color="auto"/>
        <w:left w:val="none" w:sz="0" w:space="0" w:color="auto"/>
        <w:bottom w:val="none" w:sz="0" w:space="0" w:color="auto"/>
        <w:right w:val="none" w:sz="0" w:space="0" w:color="auto"/>
      </w:divBdr>
    </w:div>
    <w:div w:id="1679889416">
      <w:bodyDiv w:val="1"/>
      <w:marLeft w:val="0"/>
      <w:marRight w:val="0"/>
      <w:marTop w:val="0"/>
      <w:marBottom w:val="0"/>
      <w:divBdr>
        <w:top w:val="none" w:sz="0" w:space="0" w:color="auto"/>
        <w:left w:val="none" w:sz="0" w:space="0" w:color="auto"/>
        <w:bottom w:val="none" w:sz="0" w:space="0" w:color="auto"/>
        <w:right w:val="none" w:sz="0" w:space="0" w:color="auto"/>
      </w:divBdr>
    </w:div>
    <w:div w:id="1696269558">
      <w:bodyDiv w:val="1"/>
      <w:marLeft w:val="0"/>
      <w:marRight w:val="0"/>
      <w:marTop w:val="0"/>
      <w:marBottom w:val="0"/>
      <w:divBdr>
        <w:top w:val="none" w:sz="0" w:space="0" w:color="auto"/>
        <w:left w:val="none" w:sz="0" w:space="0" w:color="auto"/>
        <w:bottom w:val="none" w:sz="0" w:space="0" w:color="auto"/>
        <w:right w:val="none" w:sz="0" w:space="0" w:color="auto"/>
      </w:divBdr>
    </w:div>
    <w:div w:id="1920558744">
      <w:bodyDiv w:val="1"/>
      <w:marLeft w:val="0"/>
      <w:marRight w:val="0"/>
      <w:marTop w:val="0"/>
      <w:marBottom w:val="0"/>
      <w:divBdr>
        <w:top w:val="none" w:sz="0" w:space="0" w:color="auto"/>
        <w:left w:val="none" w:sz="0" w:space="0" w:color="auto"/>
        <w:bottom w:val="none" w:sz="0" w:space="0" w:color="auto"/>
        <w:right w:val="none" w:sz="0" w:space="0" w:color="auto"/>
      </w:divBdr>
    </w:div>
    <w:div w:id="214604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hyperlink" Target="https://iveypubs.my.salesforce.com/003A000001lzbXZ" TargetMode="Externa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anchittaneja\Downloads\Tesco%20From%20Troubles%20to%20Turnaround%20-%20Case%20Exhibi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anchittaneja\Downloads\Workbook1-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1"/>
          <c:order val="1"/>
          <c:tx>
            <c:strRef>
              <c:f>'Exhibit 1'!$D$7</c:f>
              <c:strCache>
                <c:ptCount val="1"/>
                <c:pt idx="0">
                  <c:v>TSCO - Close</c:v>
                </c:pt>
              </c:strCache>
            </c:strRef>
          </c:tx>
          <c:spPr>
            <a:ln w="28575" cap="rnd">
              <a:solidFill>
                <a:schemeClr val="dk1">
                  <a:tint val="55000"/>
                </a:schemeClr>
              </a:solidFill>
              <a:round/>
            </a:ln>
            <a:effectLst/>
          </c:spPr>
          <c:marker>
            <c:symbol val="none"/>
          </c:marker>
          <c:cat>
            <c:numRef>
              <c:f>'Exhibit 1'!$A$8:$A$60</c:f>
              <c:numCache>
                <c:formatCode>dd\-mmm\-yyyy</c:formatCode>
                <c:ptCount val="53"/>
                <c:pt idx="0">
                  <c:v>42521</c:v>
                </c:pt>
                <c:pt idx="1">
                  <c:v>42490</c:v>
                </c:pt>
                <c:pt idx="2">
                  <c:v>42460</c:v>
                </c:pt>
                <c:pt idx="3">
                  <c:v>42429</c:v>
                </c:pt>
                <c:pt idx="4">
                  <c:v>42400</c:v>
                </c:pt>
                <c:pt idx="5">
                  <c:v>42369</c:v>
                </c:pt>
                <c:pt idx="6">
                  <c:v>42338</c:v>
                </c:pt>
                <c:pt idx="7">
                  <c:v>42308</c:v>
                </c:pt>
                <c:pt idx="8">
                  <c:v>42277</c:v>
                </c:pt>
                <c:pt idx="9">
                  <c:v>42247</c:v>
                </c:pt>
                <c:pt idx="10">
                  <c:v>42216</c:v>
                </c:pt>
                <c:pt idx="11">
                  <c:v>42185</c:v>
                </c:pt>
                <c:pt idx="12">
                  <c:v>42155</c:v>
                </c:pt>
                <c:pt idx="13">
                  <c:v>42124</c:v>
                </c:pt>
                <c:pt idx="14">
                  <c:v>42094</c:v>
                </c:pt>
                <c:pt idx="15">
                  <c:v>42063</c:v>
                </c:pt>
                <c:pt idx="16">
                  <c:v>42035</c:v>
                </c:pt>
                <c:pt idx="17">
                  <c:v>42004</c:v>
                </c:pt>
                <c:pt idx="18">
                  <c:v>41973</c:v>
                </c:pt>
                <c:pt idx="19">
                  <c:v>41943</c:v>
                </c:pt>
                <c:pt idx="20">
                  <c:v>41912</c:v>
                </c:pt>
                <c:pt idx="21">
                  <c:v>41882</c:v>
                </c:pt>
                <c:pt idx="22">
                  <c:v>41851</c:v>
                </c:pt>
                <c:pt idx="23">
                  <c:v>41820</c:v>
                </c:pt>
                <c:pt idx="24">
                  <c:v>41790</c:v>
                </c:pt>
                <c:pt idx="25">
                  <c:v>41759</c:v>
                </c:pt>
                <c:pt idx="26">
                  <c:v>41729</c:v>
                </c:pt>
                <c:pt idx="27">
                  <c:v>41698</c:v>
                </c:pt>
                <c:pt idx="28">
                  <c:v>41670</c:v>
                </c:pt>
                <c:pt idx="29">
                  <c:v>41639</c:v>
                </c:pt>
                <c:pt idx="30">
                  <c:v>41608</c:v>
                </c:pt>
                <c:pt idx="31">
                  <c:v>41578</c:v>
                </c:pt>
                <c:pt idx="32">
                  <c:v>41547</c:v>
                </c:pt>
                <c:pt idx="33">
                  <c:v>41517</c:v>
                </c:pt>
                <c:pt idx="34">
                  <c:v>41486</c:v>
                </c:pt>
                <c:pt idx="35">
                  <c:v>41455</c:v>
                </c:pt>
                <c:pt idx="36">
                  <c:v>41425</c:v>
                </c:pt>
                <c:pt idx="37">
                  <c:v>41394</c:v>
                </c:pt>
                <c:pt idx="38">
                  <c:v>41364</c:v>
                </c:pt>
                <c:pt idx="39">
                  <c:v>41333</c:v>
                </c:pt>
                <c:pt idx="40">
                  <c:v>41305</c:v>
                </c:pt>
                <c:pt idx="41">
                  <c:v>41274</c:v>
                </c:pt>
                <c:pt idx="42">
                  <c:v>41243</c:v>
                </c:pt>
                <c:pt idx="43">
                  <c:v>41213</c:v>
                </c:pt>
                <c:pt idx="44">
                  <c:v>41182</c:v>
                </c:pt>
                <c:pt idx="45">
                  <c:v>41152</c:v>
                </c:pt>
                <c:pt idx="46">
                  <c:v>41121</c:v>
                </c:pt>
                <c:pt idx="47">
                  <c:v>41090</c:v>
                </c:pt>
                <c:pt idx="48">
                  <c:v>41060</c:v>
                </c:pt>
                <c:pt idx="49">
                  <c:v>41029</c:v>
                </c:pt>
                <c:pt idx="50">
                  <c:v>40999</c:v>
                </c:pt>
                <c:pt idx="51">
                  <c:v>40968</c:v>
                </c:pt>
                <c:pt idx="52">
                  <c:v>40939</c:v>
                </c:pt>
              </c:numCache>
            </c:numRef>
          </c:cat>
          <c:val>
            <c:numRef>
              <c:f>'Exhibit 1'!$D$8:$D$60</c:f>
              <c:numCache>
                <c:formatCode>#,##0.00</c:formatCode>
                <c:ptCount val="53"/>
                <c:pt idx="0">
                  <c:v>165.1</c:v>
                </c:pt>
                <c:pt idx="1">
                  <c:v>172.1</c:v>
                </c:pt>
                <c:pt idx="2">
                  <c:v>191.8</c:v>
                </c:pt>
                <c:pt idx="3">
                  <c:v>180.4</c:v>
                </c:pt>
                <c:pt idx="4">
                  <c:v>173.4</c:v>
                </c:pt>
                <c:pt idx="5">
                  <c:v>149.5</c:v>
                </c:pt>
                <c:pt idx="6">
                  <c:v>167.2</c:v>
                </c:pt>
                <c:pt idx="7">
                  <c:v>183.3</c:v>
                </c:pt>
                <c:pt idx="8">
                  <c:v>183.2</c:v>
                </c:pt>
                <c:pt idx="9">
                  <c:v>191.35</c:v>
                </c:pt>
                <c:pt idx="10">
                  <c:v>215.7</c:v>
                </c:pt>
                <c:pt idx="11">
                  <c:v>212.55</c:v>
                </c:pt>
                <c:pt idx="12">
                  <c:v>212.6</c:v>
                </c:pt>
                <c:pt idx="13">
                  <c:v>221</c:v>
                </c:pt>
                <c:pt idx="14">
                  <c:v>241.85</c:v>
                </c:pt>
                <c:pt idx="15">
                  <c:v>245.4</c:v>
                </c:pt>
                <c:pt idx="16">
                  <c:v>224.75</c:v>
                </c:pt>
                <c:pt idx="17">
                  <c:v>189</c:v>
                </c:pt>
                <c:pt idx="18">
                  <c:v>186.45</c:v>
                </c:pt>
                <c:pt idx="19">
                  <c:v>173.6</c:v>
                </c:pt>
                <c:pt idx="20">
                  <c:v>186.2</c:v>
                </c:pt>
                <c:pt idx="21">
                  <c:v>229.95</c:v>
                </c:pt>
                <c:pt idx="22">
                  <c:v>258</c:v>
                </c:pt>
                <c:pt idx="23">
                  <c:v>284.2</c:v>
                </c:pt>
                <c:pt idx="24">
                  <c:v>303.55</c:v>
                </c:pt>
                <c:pt idx="25">
                  <c:v>292.95</c:v>
                </c:pt>
                <c:pt idx="26">
                  <c:v>295.39999999999992</c:v>
                </c:pt>
                <c:pt idx="27">
                  <c:v>329.2</c:v>
                </c:pt>
                <c:pt idx="28">
                  <c:v>320.35000000000002</c:v>
                </c:pt>
                <c:pt idx="29">
                  <c:v>334.35</c:v>
                </c:pt>
                <c:pt idx="30">
                  <c:v>347.95</c:v>
                </c:pt>
                <c:pt idx="31">
                  <c:v>364.2</c:v>
                </c:pt>
                <c:pt idx="32">
                  <c:v>359</c:v>
                </c:pt>
                <c:pt idx="33">
                  <c:v>366.55</c:v>
                </c:pt>
                <c:pt idx="34">
                  <c:v>367.3</c:v>
                </c:pt>
                <c:pt idx="35">
                  <c:v>331.4</c:v>
                </c:pt>
                <c:pt idx="36">
                  <c:v>365.45</c:v>
                </c:pt>
                <c:pt idx="37">
                  <c:v>366.15</c:v>
                </c:pt>
                <c:pt idx="38">
                  <c:v>381.55</c:v>
                </c:pt>
                <c:pt idx="39">
                  <c:v>369.6</c:v>
                </c:pt>
                <c:pt idx="40">
                  <c:v>356.3</c:v>
                </c:pt>
                <c:pt idx="41">
                  <c:v>336</c:v>
                </c:pt>
                <c:pt idx="42">
                  <c:v>325.10000000000002</c:v>
                </c:pt>
                <c:pt idx="43">
                  <c:v>319.85000000000002</c:v>
                </c:pt>
                <c:pt idx="44">
                  <c:v>332</c:v>
                </c:pt>
                <c:pt idx="45">
                  <c:v>336.6</c:v>
                </c:pt>
                <c:pt idx="46">
                  <c:v>318.10000000000002</c:v>
                </c:pt>
                <c:pt idx="47">
                  <c:v>310.05</c:v>
                </c:pt>
                <c:pt idx="48">
                  <c:v>302.55</c:v>
                </c:pt>
                <c:pt idx="49">
                  <c:v>317.35000000000002</c:v>
                </c:pt>
                <c:pt idx="50">
                  <c:v>330</c:v>
                </c:pt>
                <c:pt idx="51">
                  <c:v>316.10000000000002</c:v>
                </c:pt>
                <c:pt idx="52">
                  <c:v>319.60000000000002</c:v>
                </c:pt>
              </c:numCache>
            </c:numRef>
          </c:val>
          <c:smooth val="0"/>
          <c:extLst>
            <c:ext xmlns:c16="http://schemas.microsoft.com/office/drawing/2014/chart" uri="{C3380CC4-5D6E-409C-BE32-E72D297353CC}">
              <c16:uniqueId val="{00000000-AC39-447B-B2EC-C666C968F9EE}"/>
            </c:ext>
          </c:extLst>
        </c:ser>
        <c:dLbls>
          <c:showLegendKey val="0"/>
          <c:showVal val="0"/>
          <c:showCatName val="0"/>
          <c:showSerName val="0"/>
          <c:showPercent val="0"/>
          <c:showBubbleSize val="0"/>
        </c:dLbls>
        <c:marker val="1"/>
        <c:smooth val="0"/>
        <c:axId val="1558004576"/>
        <c:axId val="1558006896"/>
      </c:lineChart>
      <c:lineChart>
        <c:grouping val="standard"/>
        <c:varyColors val="0"/>
        <c:ser>
          <c:idx val="0"/>
          <c:order val="0"/>
          <c:tx>
            <c:strRef>
              <c:f>'Exhibit 1'!$B$7</c:f>
              <c:strCache>
                <c:ptCount val="1"/>
                <c:pt idx="0">
                  <c:v>FTSE 100 - Close</c:v>
                </c:pt>
              </c:strCache>
            </c:strRef>
          </c:tx>
          <c:spPr>
            <a:ln w="28575" cap="rnd">
              <a:solidFill>
                <a:schemeClr val="dk1">
                  <a:tint val="88500"/>
                </a:schemeClr>
              </a:solidFill>
              <a:round/>
            </a:ln>
            <a:effectLst/>
          </c:spPr>
          <c:marker>
            <c:symbol val="none"/>
          </c:marker>
          <c:cat>
            <c:numRef>
              <c:f>'Exhibit 1'!$A$8:$A$60</c:f>
              <c:numCache>
                <c:formatCode>dd\-mmm\-yyyy</c:formatCode>
                <c:ptCount val="53"/>
                <c:pt idx="0">
                  <c:v>42521</c:v>
                </c:pt>
                <c:pt idx="1">
                  <c:v>42490</c:v>
                </c:pt>
                <c:pt idx="2">
                  <c:v>42460</c:v>
                </c:pt>
                <c:pt idx="3">
                  <c:v>42429</c:v>
                </c:pt>
                <c:pt idx="4">
                  <c:v>42400</c:v>
                </c:pt>
                <c:pt idx="5">
                  <c:v>42369</c:v>
                </c:pt>
                <c:pt idx="6">
                  <c:v>42338</c:v>
                </c:pt>
                <c:pt idx="7">
                  <c:v>42308</c:v>
                </c:pt>
                <c:pt idx="8">
                  <c:v>42277</c:v>
                </c:pt>
                <c:pt idx="9">
                  <c:v>42247</c:v>
                </c:pt>
                <c:pt idx="10">
                  <c:v>42216</c:v>
                </c:pt>
                <c:pt idx="11">
                  <c:v>42185</c:v>
                </c:pt>
                <c:pt idx="12">
                  <c:v>42155</c:v>
                </c:pt>
                <c:pt idx="13">
                  <c:v>42124</c:v>
                </c:pt>
                <c:pt idx="14">
                  <c:v>42094</c:v>
                </c:pt>
                <c:pt idx="15">
                  <c:v>42063</c:v>
                </c:pt>
                <c:pt idx="16">
                  <c:v>42035</c:v>
                </c:pt>
                <c:pt idx="17">
                  <c:v>42004</c:v>
                </c:pt>
                <c:pt idx="18">
                  <c:v>41973</c:v>
                </c:pt>
                <c:pt idx="19">
                  <c:v>41943</c:v>
                </c:pt>
                <c:pt idx="20">
                  <c:v>41912</c:v>
                </c:pt>
                <c:pt idx="21">
                  <c:v>41882</c:v>
                </c:pt>
                <c:pt idx="22">
                  <c:v>41851</c:v>
                </c:pt>
                <c:pt idx="23">
                  <c:v>41820</c:v>
                </c:pt>
                <c:pt idx="24">
                  <c:v>41790</c:v>
                </c:pt>
                <c:pt idx="25">
                  <c:v>41759</c:v>
                </c:pt>
                <c:pt idx="26">
                  <c:v>41729</c:v>
                </c:pt>
                <c:pt idx="27">
                  <c:v>41698</c:v>
                </c:pt>
                <c:pt idx="28">
                  <c:v>41670</c:v>
                </c:pt>
                <c:pt idx="29">
                  <c:v>41639</c:v>
                </c:pt>
                <c:pt idx="30">
                  <c:v>41608</c:v>
                </c:pt>
                <c:pt idx="31">
                  <c:v>41578</c:v>
                </c:pt>
                <c:pt idx="32">
                  <c:v>41547</c:v>
                </c:pt>
                <c:pt idx="33">
                  <c:v>41517</c:v>
                </c:pt>
                <c:pt idx="34">
                  <c:v>41486</c:v>
                </c:pt>
                <c:pt idx="35">
                  <c:v>41455</c:v>
                </c:pt>
                <c:pt idx="36">
                  <c:v>41425</c:v>
                </c:pt>
                <c:pt idx="37">
                  <c:v>41394</c:v>
                </c:pt>
                <c:pt idx="38">
                  <c:v>41364</c:v>
                </c:pt>
                <c:pt idx="39">
                  <c:v>41333</c:v>
                </c:pt>
                <c:pt idx="40">
                  <c:v>41305</c:v>
                </c:pt>
                <c:pt idx="41">
                  <c:v>41274</c:v>
                </c:pt>
                <c:pt idx="42">
                  <c:v>41243</c:v>
                </c:pt>
                <c:pt idx="43">
                  <c:v>41213</c:v>
                </c:pt>
                <c:pt idx="44">
                  <c:v>41182</c:v>
                </c:pt>
                <c:pt idx="45">
                  <c:v>41152</c:v>
                </c:pt>
                <c:pt idx="46">
                  <c:v>41121</c:v>
                </c:pt>
                <c:pt idx="47">
                  <c:v>41090</c:v>
                </c:pt>
                <c:pt idx="48">
                  <c:v>41060</c:v>
                </c:pt>
                <c:pt idx="49">
                  <c:v>41029</c:v>
                </c:pt>
                <c:pt idx="50">
                  <c:v>40999</c:v>
                </c:pt>
                <c:pt idx="51">
                  <c:v>40968</c:v>
                </c:pt>
                <c:pt idx="52">
                  <c:v>40939</c:v>
                </c:pt>
              </c:numCache>
            </c:numRef>
          </c:cat>
          <c:val>
            <c:numRef>
              <c:f>'Exhibit 1'!$B$8:$B$60</c:f>
              <c:numCache>
                <c:formatCode>#,##0.00</c:formatCode>
                <c:ptCount val="53"/>
                <c:pt idx="0">
                  <c:v>6230.79</c:v>
                </c:pt>
                <c:pt idx="1">
                  <c:v>6241.89</c:v>
                </c:pt>
                <c:pt idx="2">
                  <c:v>6174.9</c:v>
                </c:pt>
                <c:pt idx="3">
                  <c:v>6097.09</c:v>
                </c:pt>
                <c:pt idx="4">
                  <c:v>6083.79</c:v>
                </c:pt>
                <c:pt idx="5">
                  <c:v>6242.32</c:v>
                </c:pt>
                <c:pt idx="6">
                  <c:v>6356.09</c:v>
                </c:pt>
                <c:pt idx="7">
                  <c:v>6361.09</c:v>
                </c:pt>
                <c:pt idx="8">
                  <c:v>6061.61</c:v>
                </c:pt>
                <c:pt idx="9">
                  <c:v>6247.94</c:v>
                </c:pt>
                <c:pt idx="10">
                  <c:v>6696.28</c:v>
                </c:pt>
                <c:pt idx="11">
                  <c:v>6520.98</c:v>
                </c:pt>
                <c:pt idx="12">
                  <c:v>6984.43</c:v>
                </c:pt>
                <c:pt idx="13">
                  <c:v>6960.63</c:v>
                </c:pt>
                <c:pt idx="14">
                  <c:v>6773.04</c:v>
                </c:pt>
                <c:pt idx="15">
                  <c:v>6946.66</c:v>
                </c:pt>
                <c:pt idx="16">
                  <c:v>6749.4</c:v>
                </c:pt>
                <c:pt idx="17">
                  <c:v>6566.09</c:v>
                </c:pt>
                <c:pt idx="18">
                  <c:v>6722.62</c:v>
                </c:pt>
                <c:pt idx="19">
                  <c:v>6546.47</c:v>
                </c:pt>
                <c:pt idx="20">
                  <c:v>6622.72</c:v>
                </c:pt>
                <c:pt idx="21">
                  <c:v>6819.75</c:v>
                </c:pt>
                <c:pt idx="22">
                  <c:v>6730.11</c:v>
                </c:pt>
                <c:pt idx="23">
                  <c:v>6743.94</c:v>
                </c:pt>
                <c:pt idx="24">
                  <c:v>6844.51</c:v>
                </c:pt>
                <c:pt idx="25">
                  <c:v>6780.03</c:v>
                </c:pt>
                <c:pt idx="26">
                  <c:v>6598.37</c:v>
                </c:pt>
                <c:pt idx="27">
                  <c:v>6809.7</c:v>
                </c:pt>
                <c:pt idx="28">
                  <c:v>6510.44</c:v>
                </c:pt>
                <c:pt idx="29">
                  <c:v>6749.09</c:v>
                </c:pt>
                <c:pt idx="30">
                  <c:v>6650.57</c:v>
                </c:pt>
                <c:pt idx="31">
                  <c:v>6731.43</c:v>
                </c:pt>
                <c:pt idx="32">
                  <c:v>6462.22</c:v>
                </c:pt>
                <c:pt idx="33">
                  <c:v>6412.93</c:v>
                </c:pt>
                <c:pt idx="34">
                  <c:v>6621.06</c:v>
                </c:pt>
                <c:pt idx="35">
                  <c:v>6215.47</c:v>
                </c:pt>
                <c:pt idx="36">
                  <c:v>6583.09</c:v>
                </c:pt>
                <c:pt idx="37">
                  <c:v>6430.12</c:v>
                </c:pt>
                <c:pt idx="38">
                  <c:v>6411.74</c:v>
                </c:pt>
                <c:pt idx="39">
                  <c:v>6360.81</c:v>
                </c:pt>
                <c:pt idx="40">
                  <c:v>6276.88</c:v>
                </c:pt>
                <c:pt idx="41">
                  <c:v>5897.81</c:v>
                </c:pt>
                <c:pt idx="42">
                  <c:v>5866.82</c:v>
                </c:pt>
                <c:pt idx="43">
                  <c:v>5782.7</c:v>
                </c:pt>
                <c:pt idx="44">
                  <c:v>5742.07</c:v>
                </c:pt>
                <c:pt idx="45">
                  <c:v>5711.48</c:v>
                </c:pt>
                <c:pt idx="46">
                  <c:v>5635.28</c:v>
                </c:pt>
                <c:pt idx="47">
                  <c:v>5571.15</c:v>
                </c:pt>
                <c:pt idx="48">
                  <c:v>5320.86</c:v>
                </c:pt>
                <c:pt idx="49">
                  <c:v>5737.78</c:v>
                </c:pt>
                <c:pt idx="50">
                  <c:v>5768.45</c:v>
                </c:pt>
                <c:pt idx="51">
                  <c:v>5871.51</c:v>
                </c:pt>
                <c:pt idx="52">
                  <c:v>5681.61</c:v>
                </c:pt>
              </c:numCache>
            </c:numRef>
          </c:val>
          <c:smooth val="0"/>
          <c:extLst>
            <c:ext xmlns:c16="http://schemas.microsoft.com/office/drawing/2014/chart" uri="{C3380CC4-5D6E-409C-BE32-E72D297353CC}">
              <c16:uniqueId val="{00000001-AC39-447B-B2EC-C666C968F9EE}"/>
            </c:ext>
          </c:extLst>
        </c:ser>
        <c:dLbls>
          <c:showLegendKey val="0"/>
          <c:showVal val="0"/>
          <c:showCatName val="0"/>
          <c:showSerName val="0"/>
          <c:showPercent val="0"/>
          <c:showBubbleSize val="0"/>
        </c:dLbls>
        <c:marker val="1"/>
        <c:smooth val="0"/>
        <c:axId val="1558014192"/>
        <c:axId val="1558010800"/>
      </c:lineChart>
      <c:dateAx>
        <c:axId val="1558004576"/>
        <c:scaling>
          <c:orientation val="minMax"/>
        </c:scaling>
        <c:delete val="0"/>
        <c:axPos val="b"/>
        <c:numFmt formatCode="dd\-mmm\-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8006896"/>
        <c:crosses val="autoZero"/>
        <c:auto val="1"/>
        <c:lblOffset val="100"/>
        <c:baseTimeUnit val="months"/>
      </c:dateAx>
      <c:valAx>
        <c:axId val="1558006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TSCO Share Price (£)</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8004576"/>
        <c:crosses val="autoZero"/>
        <c:crossBetween val="between"/>
      </c:valAx>
      <c:valAx>
        <c:axId val="155801080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FTSE 100 Index Value (£)</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8014192"/>
        <c:crosses val="max"/>
        <c:crossBetween val="between"/>
      </c:valAx>
      <c:dateAx>
        <c:axId val="1558014192"/>
        <c:scaling>
          <c:orientation val="minMax"/>
        </c:scaling>
        <c:delete val="1"/>
        <c:axPos val="b"/>
        <c:numFmt formatCode="dd\-mmm\-yyyy" sourceLinked="1"/>
        <c:majorTickMark val="out"/>
        <c:minorTickMark val="none"/>
        <c:tickLblPos val="nextTo"/>
        <c:crossAx val="1558010800"/>
        <c:crosses val="autoZero"/>
        <c:auto val="1"/>
        <c:lblOffset val="100"/>
        <c:baseTimeUnit val="months"/>
      </c:dateAx>
      <c:spPr>
        <a:noFill/>
        <a:ln w="25400">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Sheet2!$B$1</c:f>
              <c:strCache>
                <c:ptCount val="1"/>
                <c:pt idx="0">
                  <c:v>Tesco</c:v>
                </c:pt>
              </c:strCache>
            </c:strRef>
          </c:tx>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charset="0"/>
                    <a:ea typeface="Times" charset="0"/>
                    <a:cs typeface="Times"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Sheet2!$A$2:$A$38</c:f>
              <c:strCache>
                <c:ptCount val="1"/>
                <c:pt idx="0">
                  <c:v>Average Market Share Growth (12 week ending)</c:v>
                </c:pt>
              </c:strCache>
            </c:strRef>
          </c:cat>
          <c:val>
            <c:numRef>
              <c:f>Sheet2!$B$2:$B$38</c:f>
            </c:numRef>
          </c:val>
          <c:extLst>
            <c:ext xmlns:c16="http://schemas.microsoft.com/office/drawing/2014/chart" uri="{C3380CC4-5D6E-409C-BE32-E72D297353CC}">
              <c16:uniqueId val="{00000000-1EB2-4992-AA8D-5B05B1FEBFC5}"/>
            </c:ext>
          </c:extLst>
        </c:ser>
        <c:ser>
          <c:idx val="1"/>
          <c:order val="1"/>
          <c:tx>
            <c:strRef>
              <c:f>Sheet2!$C$1</c:f>
              <c:strCache>
                <c:ptCount val="1"/>
                <c:pt idx="0">
                  <c:v>Tesco</c:v>
                </c:pt>
              </c:strCache>
            </c:strRef>
          </c:tx>
          <c:spPr>
            <a:solidFill>
              <a:schemeClr val="dk1">
                <a:tint val="5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charset="0"/>
                    <a:ea typeface="Arial" charset="0"/>
                    <a:cs typeface="Arial"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Sheet2!$A$2:$A$38</c:f>
              <c:strCache>
                <c:ptCount val="1"/>
                <c:pt idx="0">
                  <c:v>Average Market Share Growth (12 week ending)</c:v>
                </c:pt>
              </c:strCache>
            </c:strRef>
          </c:cat>
          <c:val>
            <c:numRef>
              <c:f>Sheet2!$C$2:$C$38</c:f>
              <c:numCache>
                <c:formatCode>_(* #,##0.00%_);_(* \(#,##0.00%\);_(* "-"??_);_(@_)</c:formatCode>
                <c:ptCount val="1"/>
                <c:pt idx="0">
                  <c:v>-1.4620347177114301E-3</c:v>
                </c:pt>
              </c:numCache>
            </c:numRef>
          </c:val>
          <c:extLst>
            <c:ext xmlns:c16="http://schemas.microsoft.com/office/drawing/2014/chart" uri="{C3380CC4-5D6E-409C-BE32-E72D297353CC}">
              <c16:uniqueId val="{00000001-1EB2-4992-AA8D-5B05B1FEBFC5}"/>
            </c:ext>
          </c:extLst>
        </c:ser>
        <c:ser>
          <c:idx val="2"/>
          <c:order val="2"/>
          <c:tx>
            <c:strRef>
              <c:f>Sheet2!$D$1</c:f>
              <c:strCache>
                <c:ptCount val="1"/>
                <c:pt idx="0">
                  <c:v>Sainsbury</c:v>
                </c:pt>
              </c:strCache>
            </c:strRef>
          </c:tx>
          <c:spPr>
            <a:solidFill>
              <a:schemeClr val="dk1">
                <a:tint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charset="0"/>
                    <a:ea typeface="Times" charset="0"/>
                    <a:cs typeface="Times"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Sheet2!$A$2:$A$38</c:f>
              <c:strCache>
                <c:ptCount val="1"/>
                <c:pt idx="0">
                  <c:v>Average Market Share Growth (12 week ending)</c:v>
                </c:pt>
              </c:strCache>
            </c:strRef>
          </c:cat>
          <c:val>
            <c:numRef>
              <c:f>Sheet2!$D$2:$D$38</c:f>
            </c:numRef>
          </c:val>
          <c:extLst>
            <c:ext xmlns:c16="http://schemas.microsoft.com/office/drawing/2014/chart" uri="{C3380CC4-5D6E-409C-BE32-E72D297353CC}">
              <c16:uniqueId val="{00000002-1EB2-4992-AA8D-5B05B1FEBFC5}"/>
            </c:ext>
          </c:extLst>
        </c:ser>
        <c:ser>
          <c:idx val="3"/>
          <c:order val="3"/>
          <c:tx>
            <c:strRef>
              <c:f>Sheet2!$E$1</c:f>
              <c:strCache>
                <c:ptCount val="1"/>
                <c:pt idx="0">
                  <c:v>Sainsbury's</c:v>
                </c:pt>
              </c:strCache>
            </c:strRef>
          </c:tx>
          <c:spPr>
            <a:solidFill>
              <a:schemeClr val="dk1">
                <a:tint val="9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charset="0"/>
                    <a:ea typeface="Arial" charset="0"/>
                    <a:cs typeface="Arial"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Sheet2!$A$2:$A$38</c:f>
              <c:strCache>
                <c:ptCount val="1"/>
                <c:pt idx="0">
                  <c:v>Average Market Share Growth (12 week ending)</c:v>
                </c:pt>
              </c:strCache>
            </c:strRef>
          </c:cat>
          <c:val>
            <c:numRef>
              <c:f>Sheet2!$E$2:$E$38</c:f>
              <c:numCache>
                <c:formatCode>_(* #,##0.00%_);_(* \(#,##0.00%\);_(* "-"??_);_(@_)</c:formatCode>
                <c:ptCount val="1"/>
                <c:pt idx="0">
                  <c:v>-1.9901087287014598E-3</c:v>
                </c:pt>
              </c:numCache>
            </c:numRef>
          </c:val>
          <c:extLst>
            <c:ext xmlns:c16="http://schemas.microsoft.com/office/drawing/2014/chart" uri="{C3380CC4-5D6E-409C-BE32-E72D297353CC}">
              <c16:uniqueId val="{00000003-1EB2-4992-AA8D-5B05B1FEBFC5}"/>
            </c:ext>
          </c:extLst>
        </c:ser>
        <c:ser>
          <c:idx val="4"/>
          <c:order val="4"/>
          <c:tx>
            <c:strRef>
              <c:f>Sheet2!$F$1</c:f>
              <c:strCache>
                <c:ptCount val="1"/>
                <c:pt idx="0">
                  <c:v>Asda</c:v>
                </c:pt>
              </c:strCache>
            </c:strRef>
          </c:tx>
          <c:spPr>
            <a:solidFill>
              <a:schemeClr val="dk1">
                <a:tint val="3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charset="0"/>
                    <a:ea typeface="Times" charset="0"/>
                    <a:cs typeface="Times"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Sheet2!$A$2:$A$38</c:f>
              <c:strCache>
                <c:ptCount val="1"/>
                <c:pt idx="0">
                  <c:v>Average Market Share Growth (12 week ending)</c:v>
                </c:pt>
              </c:strCache>
            </c:strRef>
          </c:cat>
          <c:val>
            <c:numRef>
              <c:f>Sheet2!$F$2:$F$38</c:f>
            </c:numRef>
          </c:val>
          <c:extLst>
            <c:ext xmlns:c16="http://schemas.microsoft.com/office/drawing/2014/chart" uri="{C3380CC4-5D6E-409C-BE32-E72D297353CC}">
              <c16:uniqueId val="{00000004-1EB2-4992-AA8D-5B05B1FEBFC5}"/>
            </c:ext>
          </c:extLst>
        </c:ser>
        <c:ser>
          <c:idx val="5"/>
          <c:order val="5"/>
          <c:tx>
            <c:strRef>
              <c:f>Sheet2!$G$1</c:f>
              <c:strCache>
                <c:ptCount val="1"/>
                <c:pt idx="0">
                  <c:v>Asda</c:v>
                </c:pt>
              </c:strCache>
            </c:strRef>
          </c:tx>
          <c:spPr>
            <a:solidFill>
              <a:schemeClr val="dk1">
                <a:tint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charset="0"/>
                    <a:ea typeface="Arial" charset="0"/>
                    <a:cs typeface="Arial"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Sheet2!$A$2:$A$38</c:f>
              <c:strCache>
                <c:ptCount val="1"/>
                <c:pt idx="0">
                  <c:v>Average Market Share Growth (12 week ending)</c:v>
                </c:pt>
              </c:strCache>
            </c:strRef>
          </c:cat>
          <c:val>
            <c:numRef>
              <c:f>Sheet2!$G$2:$G$38</c:f>
              <c:numCache>
                <c:formatCode>_(* #,##0.00%_);_(* \(#,##0.00%\);_(* "-"??_);_(@_)</c:formatCode>
                <c:ptCount val="1"/>
                <c:pt idx="0">
                  <c:v>-2.3932626804226702E-3</c:v>
                </c:pt>
              </c:numCache>
            </c:numRef>
          </c:val>
          <c:extLst>
            <c:ext xmlns:c16="http://schemas.microsoft.com/office/drawing/2014/chart" uri="{C3380CC4-5D6E-409C-BE32-E72D297353CC}">
              <c16:uniqueId val="{00000005-1EB2-4992-AA8D-5B05B1FEBFC5}"/>
            </c:ext>
          </c:extLst>
        </c:ser>
        <c:ser>
          <c:idx val="6"/>
          <c:order val="6"/>
          <c:tx>
            <c:strRef>
              <c:f>Sheet2!$H$1</c:f>
              <c:strCache>
                <c:ptCount val="1"/>
                <c:pt idx="0">
                  <c:v>Morrisons</c:v>
                </c:pt>
              </c:strCache>
            </c:strRef>
          </c:tx>
          <c:spPr>
            <a:solidFill>
              <a:schemeClr val="dk1">
                <a:tint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charset="0"/>
                    <a:ea typeface="Times" charset="0"/>
                    <a:cs typeface="Times"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Sheet2!$A$2:$A$38</c:f>
              <c:strCache>
                <c:ptCount val="1"/>
                <c:pt idx="0">
                  <c:v>Average Market Share Growth (12 week ending)</c:v>
                </c:pt>
              </c:strCache>
            </c:strRef>
          </c:cat>
          <c:val>
            <c:numRef>
              <c:f>Sheet2!$H$2:$H$38</c:f>
            </c:numRef>
          </c:val>
          <c:extLst>
            <c:ext xmlns:c16="http://schemas.microsoft.com/office/drawing/2014/chart" uri="{C3380CC4-5D6E-409C-BE32-E72D297353CC}">
              <c16:uniqueId val="{00000006-1EB2-4992-AA8D-5B05B1FEBFC5}"/>
            </c:ext>
          </c:extLst>
        </c:ser>
        <c:ser>
          <c:idx val="7"/>
          <c:order val="7"/>
          <c:tx>
            <c:strRef>
              <c:f>Sheet2!$I$1</c:f>
              <c:strCache>
                <c:ptCount val="1"/>
                <c:pt idx="0">
                  <c:v>Morrisons</c:v>
                </c:pt>
              </c:strCache>
            </c:strRef>
          </c:tx>
          <c:spPr>
            <a:solidFill>
              <a:schemeClr val="dk1">
                <a:tint val="88500"/>
              </a:schemeClr>
            </a:solidFill>
            <a:ln>
              <a:noFill/>
            </a:ln>
            <a:effectLst/>
          </c:spPr>
          <c:invertIfNegative val="0"/>
          <c:dLbls>
            <c:dLbl>
              <c:idx val="0"/>
              <c:layout>
                <c:manualLayout>
                  <c:x val="2.7855153203341595E-3"/>
                  <c:y val="1.3992537313432836E-2"/>
                </c:manualLayout>
              </c:layout>
              <c:dLblPos val="out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1-83CF-467A-9F6C-BEDC8A54CDE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charset="0"/>
                    <a:ea typeface="Arial" charset="0"/>
                    <a:cs typeface="Arial"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Sheet2!$A$2:$A$38</c:f>
              <c:strCache>
                <c:ptCount val="1"/>
                <c:pt idx="0">
                  <c:v>Average Market Share Growth (12 week ending)</c:v>
                </c:pt>
              </c:strCache>
            </c:strRef>
          </c:cat>
          <c:val>
            <c:numRef>
              <c:f>Sheet2!$I$2:$I$38</c:f>
              <c:numCache>
                <c:formatCode>_(* #,##0.00%_);_(* \(#,##0.00%\);_(* "-"??_);_(@_)</c:formatCode>
                <c:ptCount val="1"/>
                <c:pt idx="0">
                  <c:v>-2.8116951403681402E-3</c:v>
                </c:pt>
              </c:numCache>
            </c:numRef>
          </c:val>
          <c:extLst>
            <c:ext xmlns:c16="http://schemas.microsoft.com/office/drawing/2014/chart" uri="{C3380CC4-5D6E-409C-BE32-E72D297353CC}">
              <c16:uniqueId val="{00000007-1EB2-4992-AA8D-5B05B1FEBFC5}"/>
            </c:ext>
          </c:extLst>
        </c:ser>
        <c:ser>
          <c:idx val="8"/>
          <c:order val="8"/>
          <c:tx>
            <c:strRef>
              <c:f>Sheet2!$J$1</c:f>
              <c:strCache>
                <c:ptCount val="1"/>
                <c:pt idx="0">
                  <c:v>Aldi</c:v>
                </c:pt>
              </c:strCache>
            </c:strRef>
          </c:tx>
          <c:spPr>
            <a:solidFill>
              <a:schemeClr val="dk1">
                <a:tint val="5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charset="0"/>
                    <a:ea typeface="Times" charset="0"/>
                    <a:cs typeface="Times"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Sheet2!$A$2:$A$38</c:f>
              <c:strCache>
                <c:ptCount val="1"/>
                <c:pt idx="0">
                  <c:v>Average Market Share Growth (12 week ending)</c:v>
                </c:pt>
              </c:strCache>
            </c:strRef>
          </c:cat>
          <c:val>
            <c:numRef>
              <c:f>Sheet2!$J$2:$J$38</c:f>
            </c:numRef>
          </c:val>
          <c:extLst>
            <c:ext xmlns:c16="http://schemas.microsoft.com/office/drawing/2014/chart" uri="{C3380CC4-5D6E-409C-BE32-E72D297353CC}">
              <c16:uniqueId val="{00000008-1EB2-4992-AA8D-5B05B1FEBFC5}"/>
            </c:ext>
          </c:extLst>
        </c:ser>
        <c:ser>
          <c:idx val="9"/>
          <c:order val="9"/>
          <c:tx>
            <c:strRef>
              <c:f>Sheet2!$K$1</c:f>
              <c:strCache>
                <c:ptCount val="1"/>
                <c:pt idx="0">
                  <c:v>Aldi</c:v>
                </c:pt>
              </c:strCache>
            </c:strRef>
          </c:tx>
          <c:spPr>
            <a:solidFill>
              <a:schemeClr val="dk1">
                <a:tint val="75000"/>
              </a:schemeClr>
            </a:solidFill>
            <a:ln>
              <a:noFill/>
            </a:ln>
            <a:effectLst/>
          </c:spPr>
          <c:invertIfNegative val="0"/>
          <c:dLbls>
            <c:dLbl>
              <c:idx val="0"/>
              <c:layout>
                <c:manualLayout>
                  <c:x val="0"/>
                  <c:y val="2.3320895522388051E-2"/>
                </c:manualLayout>
              </c:layout>
              <c:dLblPos val="out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0-83CF-467A-9F6C-BEDC8A54CDE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charset="0"/>
                    <a:ea typeface="Arial" charset="0"/>
                    <a:cs typeface="Arial"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Sheet2!$A$2:$A$38</c:f>
              <c:strCache>
                <c:ptCount val="1"/>
                <c:pt idx="0">
                  <c:v>Average Market Share Growth (12 week ending)</c:v>
                </c:pt>
              </c:strCache>
            </c:strRef>
          </c:cat>
          <c:val>
            <c:numRef>
              <c:f>Sheet2!$K$2:$K$38</c:f>
              <c:numCache>
                <c:formatCode>_(* #,##0.00%_);_(* \(#,##0.00%\);_(* "-"??_);_(@_)</c:formatCode>
                <c:ptCount val="1"/>
                <c:pt idx="0">
                  <c:v>1.27822975054108E-2</c:v>
                </c:pt>
              </c:numCache>
            </c:numRef>
          </c:val>
          <c:extLst>
            <c:ext xmlns:c16="http://schemas.microsoft.com/office/drawing/2014/chart" uri="{C3380CC4-5D6E-409C-BE32-E72D297353CC}">
              <c16:uniqueId val="{00000009-1EB2-4992-AA8D-5B05B1FEBFC5}"/>
            </c:ext>
          </c:extLst>
        </c:ser>
        <c:ser>
          <c:idx val="10"/>
          <c:order val="10"/>
          <c:tx>
            <c:strRef>
              <c:f>Sheet2!$L$1</c:f>
              <c:strCache>
                <c:ptCount val="1"/>
                <c:pt idx="0">
                  <c:v>Lidi</c:v>
                </c:pt>
              </c:strCache>
            </c:strRef>
          </c:tx>
          <c:spPr>
            <a:solidFill>
              <a:schemeClr val="dk1">
                <a:tint val="9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charset="0"/>
                    <a:ea typeface="Times" charset="0"/>
                    <a:cs typeface="Times"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Sheet2!$A$2:$A$38</c:f>
              <c:strCache>
                <c:ptCount val="1"/>
                <c:pt idx="0">
                  <c:v>Average Market Share Growth (12 week ending)</c:v>
                </c:pt>
              </c:strCache>
            </c:strRef>
          </c:cat>
          <c:val>
            <c:numRef>
              <c:f>Sheet2!$L$2:$L$38</c:f>
            </c:numRef>
          </c:val>
          <c:extLst>
            <c:ext xmlns:c16="http://schemas.microsoft.com/office/drawing/2014/chart" uri="{C3380CC4-5D6E-409C-BE32-E72D297353CC}">
              <c16:uniqueId val="{0000000A-1EB2-4992-AA8D-5B05B1FEBFC5}"/>
            </c:ext>
          </c:extLst>
        </c:ser>
        <c:ser>
          <c:idx val="11"/>
          <c:order val="11"/>
          <c:tx>
            <c:strRef>
              <c:f>Sheet2!$M$1</c:f>
              <c:strCache>
                <c:ptCount val="1"/>
                <c:pt idx="0">
                  <c:v>Lidl</c:v>
                </c:pt>
              </c:strCache>
            </c:strRef>
          </c:tx>
          <c:spPr>
            <a:solidFill>
              <a:schemeClr val="dk1">
                <a:tint val="3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charset="0"/>
                    <a:ea typeface="Arial" charset="0"/>
                    <a:cs typeface="Arial"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Sheet2!$A$2:$A$38</c:f>
              <c:strCache>
                <c:ptCount val="1"/>
                <c:pt idx="0">
                  <c:v>Average Market Share Growth (12 week ending)</c:v>
                </c:pt>
              </c:strCache>
            </c:strRef>
          </c:cat>
          <c:val>
            <c:numRef>
              <c:f>Sheet2!$M$2:$M$38</c:f>
              <c:numCache>
                <c:formatCode>_(* #,##0.00%_);_(* \(#,##0.00%\);_(* "-"??_);_(@_)</c:formatCode>
                <c:ptCount val="1"/>
                <c:pt idx="0">
                  <c:v>1.1662211103241799E-2</c:v>
                </c:pt>
              </c:numCache>
            </c:numRef>
          </c:val>
          <c:extLst>
            <c:ext xmlns:c16="http://schemas.microsoft.com/office/drawing/2014/chart" uri="{C3380CC4-5D6E-409C-BE32-E72D297353CC}">
              <c16:uniqueId val="{0000000B-1EB2-4992-AA8D-5B05B1FEBFC5}"/>
            </c:ext>
          </c:extLst>
        </c:ser>
        <c:dLbls>
          <c:dLblPos val="outEnd"/>
          <c:showLegendKey val="0"/>
          <c:showVal val="1"/>
          <c:showCatName val="0"/>
          <c:showSerName val="0"/>
          <c:showPercent val="0"/>
          <c:showBubbleSize val="0"/>
        </c:dLbls>
        <c:gapWidth val="219"/>
        <c:overlap val="-27"/>
        <c:axId val="1557468208"/>
        <c:axId val="1557470528"/>
      </c:barChart>
      <c:catAx>
        <c:axId val="1557468208"/>
        <c:scaling>
          <c:orientation val="minMax"/>
        </c:scaling>
        <c:delete val="1"/>
        <c:axPos val="b"/>
        <c:numFmt formatCode="General" sourceLinked="1"/>
        <c:majorTickMark val="none"/>
        <c:minorTickMark val="none"/>
        <c:tickLblPos val="nextTo"/>
        <c:crossAx val="1557470528"/>
        <c:crosses val="autoZero"/>
        <c:auto val="1"/>
        <c:lblAlgn val="ctr"/>
        <c:lblOffset val="100"/>
        <c:noMultiLvlLbl val="0"/>
      </c:catAx>
      <c:valAx>
        <c:axId val="1557470528"/>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charset="0"/>
                <a:ea typeface="Arial" charset="0"/>
                <a:cs typeface="Arial" charset="0"/>
              </a:defRPr>
            </a:pPr>
            <a:endParaRPr lang="en-US"/>
          </a:p>
        </c:txPr>
        <c:crossAx val="155746820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charset="0"/>
              <a:ea typeface="Arial" charset="0"/>
              <a:cs typeface="Arial"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charset="0"/>
          <a:ea typeface="Times" charset="0"/>
          <a:cs typeface="Times"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316E9B-D2DC-4F74-8BF0-D3084EA4C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10</Pages>
  <Words>3750</Words>
  <Characters>21381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dc:description/>
  <cp:lastModifiedBy>Anderson, Cassandra</cp:lastModifiedBy>
  <cp:revision>3</cp:revision>
  <cp:lastPrinted>2017-02-13T06:45:00Z</cp:lastPrinted>
  <dcterms:created xsi:type="dcterms:W3CDTF">2017-03-07T15:49:00Z</dcterms:created>
  <dcterms:modified xsi:type="dcterms:W3CDTF">2017-03-13T14:11:00Z</dcterms:modified>
</cp:coreProperties>
</file>