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070" w:rsidRDefault="00DA7086">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eastAsia="en-GB"/>
        </w:rPr>
        <w:drawing>
          <wp:inline distT="0" distB="0" distL="0" distR="0" wp14:anchorId="64A365EA" wp14:editId="6B89A2A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116E93" w:rsidRPr="008D6F16" w:rsidRDefault="00116E93">
      <w:pPr>
        <w:pBdr>
          <w:bottom w:val="single" w:sz="18" w:space="1" w:color="auto"/>
        </w:pBdr>
        <w:tabs>
          <w:tab w:val="left" w:pos="-1440"/>
          <w:tab w:val="left" w:pos="-720"/>
          <w:tab w:val="left" w:pos="1"/>
        </w:tabs>
        <w:jc w:val="both"/>
        <w:rPr>
          <w:rFonts w:ascii="Arial" w:hAnsi="Arial"/>
          <w:b/>
          <w:sz w:val="24"/>
          <w:lang w:val="en-CA"/>
        </w:rPr>
      </w:pPr>
    </w:p>
    <w:p w:rsidR="00AF4070" w:rsidRPr="008D6F16" w:rsidRDefault="006D4C68">
      <w:pPr>
        <w:tabs>
          <w:tab w:val="left" w:pos="-1440"/>
          <w:tab w:val="left" w:pos="-720"/>
          <w:tab w:val="left" w:pos="1"/>
        </w:tabs>
        <w:jc w:val="right"/>
        <w:rPr>
          <w:rFonts w:ascii="Arial" w:hAnsi="Arial"/>
          <w:b/>
          <w:sz w:val="24"/>
          <w:lang w:val="en-CA"/>
        </w:rPr>
      </w:pPr>
      <w:r>
        <w:rPr>
          <w:rFonts w:ascii="Arial" w:hAnsi="Arial"/>
          <w:b/>
          <w:sz w:val="24"/>
          <w:lang w:val="en-CA"/>
        </w:rPr>
        <w:t>9B17B005</w:t>
      </w:r>
    </w:p>
    <w:p w:rsidR="00AF4070" w:rsidRPr="008D6F16" w:rsidRDefault="00AF4070">
      <w:pPr>
        <w:tabs>
          <w:tab w:val="left" w:pos="-1440"/>
          <w:tab w:val="left" w:pos="-720"/>
          <w:tab w:val="left" w:pos="1"/>
        </w:tabs>
        <w:jc w:val="both"/>
        <w:rPr>
          <w:rFonts w:ascii="Arial" w:hAnsi="Arial"/>
          <w:b/>
          <w:sz w:val="28"/>
          <w:lang w:val="en-CA"/>
        </w:rPr>
      </w:pPr>
    </w:p>
    <w:p w:rsidR="00AF4070" w:rsidRPr="008D6F16" w:rsidRDefault="00AF4070">
      <w:pPr>
        <w:tabs>
          <w:tab w:val="left" w:pos="-1440"/>
          <w:tab w:val="left" w:pos="-720"/>
          <w:tab w:val="left" w:pos="1"/>
        </w:tabs>
        <w:jc w:val="both"/>
        <w:rPr>
          <w:rFonts w:ascii="Arial" w:hAnsi="Arial"/>
          <w:b/>
          <w:sz w:val="28"/>
          <w:lang w:val="en-CA"/>
        </w:rPr>
      </w:pPr>
    </w:p>
    <w:p w:rsidR="00AF4070" w:rsidRPr="008D6F16" w:rsidRDefault="00DC3F0D" w:rsidP="00B576B6">
      <w:pPr>
        <w:tabs>
          <w:tab w:val="left" w:pos="-1440"/>
          <w:tab w:val="left" w:pos="-720"/>
          <w:tab w:val="left" w:pos="1"/>
        </w:tabs>
        <w:rPr>
          <w:rFonts w:ascii="Arial" w:hAnsi="Arial"/>
          <w:lang w:val="en-CA"/>
        </w:rPr>
      </w:pPr>
      <w:r w:rsidRPr="008D6F16">
        <w:rPr>
          <w:rFonts w:ascii="Arial" w:hAnsi="Arial"/>
          <w:b/>
          <w:sz w:val="28"/>
          <w:lang w:val="en-CA"/>
        </w:rPr>
        <w:tab/>
      </w:r>
      <w:r w:rsidR="00982C39">
        <w:rPr>
          <w:rFonts w:ascii="Arial" w:hAnsi="Arial"/>
          <w:b/>
          <w:sz w:val="28"/>
          <w:lang w:val="en-CA"/>
        </w:rPr>
        <w:t>SHAD VALLEY INTERNATIONAL: SUSTAINING THE PROGRAM WHILE MAINTAINING ACCESSIBILITY</w:t>
      </w:r>
    </w:p>
    <w:p w:rsidR="00AF4070" w:rsidRPr="008D6F16" w:rsidRDefault="00AF4070" w:rsidP="00A814DF">
      <w:pPr>
        <w:tabs>
          <w:tab w:val="left" w:pos="-1440"/>
          <w:tab w:val="left" w:pos="-720"/>
          <w:tab w:val="left" w:pos="1"/>
        </w:tabs>
        <w:jc w:val="both"/>
        <w:rPr>
          <w:rFonts w:ascii="Arial" w:hAnsi="Arial"/>
          <w:lang w:val="en-CA"/>
        </w:rPr>
      </w:pPr>
    </w:p>
    <w:p w:rsidR="00AF4070" w:rsidRPr="008D6F16" w:rsidRDefault="00AF4070" w:rsidP="00A814DF">
      <w:pPr>
        <w:pBdr>
          <w:bottom w:val="single" w:sz="8" w:space="1" w:color="auto"/>
        </w:pBdr>
        <w:tabs>
          <w:tab w:val="left" w:pos="-1440"/>
          <w:tab w:val="left" w:pos="-720"/>
          <w:tab w:val="left" w:pos="1"/>
        </w:tabs>
        <w:jc w:val="both"/>
        <w:rPr>
          <w:rFonts w:ascii="Arial" w:hAnsi="Arial"/>
          <w:lang w:val="en-CA"/>
        </w:rPr>
      </w:pPr>
    </w:p>
    <w:p w:rsidR="00AF4070" w:rsidRPr="008D6F16" w:rsidRDefault="00060FCF" w:rsidP="00A814DF">
      <w:pPr>
        <w:jc w:val="both"/>
        <w:rPr>
          <w:rFonts w:ascii="Arial" w:hAnsi="Arial"/>
          <w:i/>
          <w:sz w:val="16"/>
          <w:lang w:val="en-CA"/>
        </w:rPr>
      </w:pPr>
      <w:r w:rsidRPr="008D6F16">
        <w:rPr>
          <w:rFonts w:ascii="Arial" w:hAnsi="Arial"/>
          <w:lang w:val="en-CA"/>
        </w:rPr>
        <w:fldChar w:fldCharType="begin"/>
      </w:r>
      <w:r w:rsidR="00AF4070" w:rsidRPr="008D6F16">
        <w:rPr>
          <w:rFonts w:ascii="Arial" w:hAnsi="Arial"/>
          <w:lang w:val="en-CA"/>
        </w:rPr>
        <w:instrText>ADVANCE \d 2"</w:instrText>
      </w:r>
      <w:r w:rsidRPr="008D6F16">
        <w:rPr>
          <w:rFonts w:ascii="Arial" w:hAnsi="Arial"/>
          <w:lang w:val="en-CA"/>
        </w:rPr>
        <w:fldChar w:fldCharType="end"/>
      </w:r>
      <w:r w:rsidRPr="008D6F16">
        <w:rPr>
          <w:rFonts w:ascii="Arial" w:hAnsi="Arial"/>
          <w:i/>
          <w:sz w:val="16"/>
          <w:lang w:val="en-CA"/>
        </w:rPr>
        <w:fldChar w:fldCharType="begin">
          <w:ffData>
            <w:name w:val="Text3"/>
            <w:enabled/>
            <w:calcOnExit w:val="0"/>
            <w:statusText w:type="text" w:val="Type the Author's name or Author wrote this case under the supervision of?? - Tab"/>
            <w:textInput/>
          </w:ffData>
        </w:fldChar>
      </w:r>
      <w:bookmarkStart w:id="0" w:name="Text3"/>
      <w:r w:rsidR="00AF4070" w:rsidRPr="008D6F16">
        <w:rPr>
          <w:rFonts w:ascii="Arial" w:hAnsi="Arial"/>
          <w:i/>
          <w:sz w:val="16"/>
          <w:lang w:val="en-CA"/>
        </w:rPr>
        <w:instrText xml:space="preserve"> FORMTEXT </w:instrText>
      </w:r>
      <w:r w:rsidRPr="008D6F16">
        <w:rPr>
          <w:rFonts w:ascii="Arial" w:hAnsi="Arial"/>
          <w:i/>
          <w:sz w:val="16"/>
          <w:lang w:val="en-CA"/>
        </w:rPr>
      </w:r>
      <w:r w:rsidRPr="008D6F16">
        <w:rPr>
          <w:rFonts w:ascii="Arial" w:hAnsi="Arial"/>
          <w:i/>
          <w:sz w:val="16"/>
          <w:lang w:val="en-CA"/>
        </w:rPr>
        <w:fldChar w:fldCharType="separate"/>
      </w:r>
      <w:r w:rsidR="004D1D62" w:rsidRPr="008D6F16">
        <w:rPr>
          <w:rFonts w:ascii="Arial" w:hAnsi="Arial"/>
          <w:i/>
          <w:noProof/>
          <w:sz w:val="16"/>
          <w:lang w:val="en-CA"/>
        </w:rPr>
        <w:t>Ryan Rego</w:t>
      </w:r>
      <w:r w:rsidRPr="008D6F16">
        <w:rPr>
          <w:rFonts w:ascii="Arial" w:hAnsi="Arial"/>
          <w:i/>
          <w:sz w:val="16"/>
          <w:lang w:val="en-CA"/>
        </w:rPr>
        <w:fldChar w:fldCharType="end"/>
      </w:r>
      <w:bookmarkEnd w:id="0"/>
      <w:r w:rsidR="00AF4070" w:rsidRPr="008D6F16">
        <w:rPr>
          <w:rFonts w:ascii="Arial" w:hAnsi="Arial"/>
          <w:i/>
          <w:sz w:val="16"/>
          <w:lang w:val="en-CA"/>
        </w:rPr>
        <w:t xml:space="preserve"> </w:t>
      </w:r>
      <w:r w:rsidR="00285451" w:rsidRPr="008D6F16">
        <w:rPr>
          <w:rFonts w:ascii="Arial" w:hAnsi="Arial"/>
          <w:i/>
          <w:sz w:val="16"/>
          <w:lang w:val="en-CA"/>
        </w:rPr>
        <w:t>wrote</w:t>
      </w:r>
      <w:r w:rsidR="00AF4070" w:rsidRPr="008D6F16">
        <w:rPr>
          <w:rFonts w:ascii="Arial" w:hAnsi="Arial"/>
          <w:i/>
          <w:sz w:val="16"/>
          <w:lang w:val="en-CA"/>
        </w:rPr>
        <w:t xml:space="preserve"> this case under the supervision of </w:t>
      </w:r>
      <w:r w:rsidRPr="008D6F16">
        <w:rPr>
          <w:rFonts w:ascii="Arial" w:hAnsi="Arial"/>
          <w:i/>
          <w:sz w:val="16"/>
          <w:lang w:val="en-CA"/>
        </w:rPr>
        <w:fldChar w:fldCharType="begin">
          <w:ffData>
            <w:name w:val="Text6"/>
            <w:enabled/>
            <w:calcOnExit w:val="0"/>
            <w:statusText w:type="text" w:val="Type supervisor's name - press Tab"/>
            <w:textInput/>
          </w:ffData>
        </w:fldChar>
      </w:r>
      <w:bookmarkStart w:id="1" w:name="Text6"/>
      <w:r w:rsidR="00AF4070" w:rsidRPr="008D6F16">
        <w:rPr>
          <w:rFonts w:ascii="Arial" w:hAnsi="Arial"/>
          <w:i/>
          <w:sz w:val="16"/>
          <w:lang w:val="en-CA"/>
        </w:rPr>
        <w:instrText xml:space="preserve"> FORMTEXT </w:instrText>
      </w:r>
      <w:r w:rsidRPr="008D6F16">
        <w:rPr>
          <w:rFonts w:ascii="Arial" w:hAnsi="Arial"/>
          <w:i/>
          <w:sz w:val="16"/>
          <w:lang w:val="en-CA"/>
        </w:rPr>
      </w:r>
      <w:r w:rsidRPr="008D6F16">
        <w:rPr>
          <w:rFonts w:ascii="Arial" w:hAnsi="Arial"/>
          <w:i/>
          <w:sz w:val="16"/>
          <w:lang w:val="en-CA"/>
        </w:rPr>
        <w:fldChar w:fldCharType="separate"/>
      </w:r>
      <w:r w:rsidR="004D1D62" w:rsidRPr="008D6F16">
        <w:rPr>
          <w:rFonts w:ascii="Arial" w:hAnsi="Arial"/>
          <w:i/>
          <w:noProof/>
          <w:sz w:val="16"/>
          <w:lang w:val="en-CA"/>
        </w:rPr>
        <w:t>Elizabeth M.</w:t>
      </w:r>
      <w:r w:rsidR="007D383F">
        <w:rPr>
          <w:rFonts w:ascii="Arial" w:hAnsi="Arial"/>
          <w:i/>
          <w:noProof/>
          <w:sz w:val="16"/>
          <w:lang w:val="en-CA"/>
        </w:rPr>
        <w:t xml:space="preserve"> </w:t>
      </w:r>
      <w:r w:rsidR="004D1D62" w:rsidRPr="008D6F16">
        <w:rPr>
          <w:rFonts w:ascii="Arial" w:hAnsi="Arial"/>
          <w:i/>
          <w:noProof/>
          <w:sz w:val="16"/>
          <w:lang w:val="en-CA"/>
        </w:rPr>
        <w:t>A. Grasby</w:t>
      </w:r>
      <w:r w:rsidRPr="008D6F16">
        <w:rPr>
          <w:rFonts w:ascii="Arial" w:hAnsi="Arial"/>
          <w:i/>
          <w:sz w:val="16"/>
          <w:lang w:val="en-CA"/>
        </w:rPr>
        <w:fldChar w:fldCharType="end"/>
      </w:r>
      <w:bookmarkEnd w:id="1"/>
      <w:r w:rsidR="00AF4070" w:rsidRPr="008D6F16">
        <w:rPr>
          <w:rFonts w:ascii="Arial" w:hAnsi="Arial"/>
          <w:i/>
          <w:sz w:val="16"/>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rsidR="00AF4070" w:rsidRPr="008D6F16" w:rsidRDefault="00AF4070" w:rsidP="00A814DF">
      <w:pPr>
        <w:jc w:val="both"/>
        <w:rPr>
          <w:rFonts w:ascii="Arial" w:hAnsi="Arial"/>
          <w:i/>
          <w:sz w:val="16"/>
          <w:lang w:val="en-CA"/>
        </w:rPr>
      </w:pPr>
    </w:p>
    <w:p w:rsidR="00AF4070" w:rsidRDefault="00DA7086" w:rsidP="00A814DF">
      <w:pPr>
        <w:tabs>
          <w:tab w:val="left" w:pos="-1440"/>
          <w:tab w:val="left" w:pos="-720"/>
          <w:tab w:val="left" w:pos="1"/>
        </w:tabs>
        <w:jc w:val="both"/>
        <w:rPr>
          <w:rFonts w:ascii="Arial" w:hAnsi="Arial"/>
          <w:i/>
          <w:sz w:val="16"/>
          <w:lang w:val="en-CA"/>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F4070" w:rsidRPr="008D6F16" w:rsidRDefault="00AF4070" w:rsidP="00A814DF">
      <w:pPr>
        <w:tabs>
          <w:tab w:val="left" w:pos="-1440"/>
          <w:tab w:val="left" w:pos="-720"/>
          <w:tab w:val="left" w:pos="1"/>
        </w:tabs>
        <w:jc w:val="both"/>
        <w:rPr>
          <w:rFonts w:ascii="Arial" w:hAnsi="Arial"/>
          <w:i/>
          <w:sz w:val="16"/>
          <w:lang w:val="en-CA"/>
        </w:rPr>
      </w:pPr>
    </w:p>
    <w:p w:rsidR="00AF4070" w:rsidRPr="008D6F16" w:rsidRDefault="00982C39" w:rsidP="00BD2E29">
      <w:pPr>
        <w:pBdr>
          <w:bottom w:val="single" w:sz="8" w:space="1" w:color="auto"/>
        </w:pBdr>
        <w:tabs>
          <w:tab w:val="left" w:pos="-1440"/>
          <w:tab w:val="left" w:pos="-720"/>
          <w:tab w:val="left" w:pos="1"/>
          <w:tab w:val="right" w:pos="9360"/>
        </w:tabs>
        <w:jc w:val="both"/>
        <w:rPr>
          <w:rFonts w:ascii="Arial" w:hAnsi="Arial"/>
          <w:sz w:val="16"/>
          <w:lang w:val="en-CA"/>
        </w:rPr>
      </w:pPr>
      <w:r>
        <w:rPr>
          <w:rFonts w:ascii="Arial" w:hAnsi="Arial"/>
          <w:i/>
          <w:sz w:val="16"/>
          <w:lang w:val="en-CA"/>
        </w:rPr>
        <w:t>Copyright ©</w:t>
      </w:r>
      <w:r w:rsidR="00AF4070" w:rsidRPr="008D6F16">
        <w:rPr>
          <w:rFonts w:ascii="Arial" w:hAnsi="Arial"/>
          <w:i/>
          <w:sz w:val="16"/>
          <w:lang w:val="en-CA"/>
        </w:rPr>
        <w:t xml:space="preserve"> </w:t>
      </w:r>
      <w:r w:rsidR="00060FCF" w:rsidRPr="008D6F16">
        <w:rPr>
          <w:rFonts w:ascii="Arial" w:hAnsi="Arial"/>
          <w:i/>
          <w:sz w:val="16"/>
          <w:lang w:val="en-CA"/>
        </w:rPr>
        <w:fldChar w:fldCharType="begin">
          <w:ffData>
            <w:name w:val="Text4"/>
            <w:enabled/>
            <w:calcOnExit w:val="0"/>
            <w:statusText w:type="text" w:val="Input the year of the actual copyright."/>
            <w:textInput>
              <w:type w:val="number"/>
              <w:maxLength w:val="4"/>
            </w:textInput>
          </w:ffData>
        </w:fldChar>
      </w:r>
      <w:bookmarkStart w:id="2" w:name="Text4"/>
      <w:r w:rsidR="00AF4070" w:rsidRPr="008D6F16">
        <w:rPr>
          <w:rFonts w:ascii="Arial" w:hAnsi="Arial"/>
          <w:i/>
          <w:sz w:val="16"/>
          <w:lang w:val="en-CA"/>
        </w:rPr>
        <w:instrText xml:space="preserve"> FORMTEXT </w:instrText>
      </w:r>
      <w:r w:rsidR="00060FCF" w:rsidRPr="008D6F16">
        <w:rPr>
          <w:rFonts w:ascii="Arial" w:hAnsi="Arial"/>
          <w:i/>
          <w:sz w:val="16"/>
          <w:lang w:val="en-CA"/>
        </w:rPr>
      </w:r>
      <w:r w:rsidR="00060FCF" w:rsidRPr="008D6F16">
        <w:rPr>
          <w:rFonts w:ascii="Arial" w:hAnsi="Arial"/>
          <w:i/>
          <w:sz w:val="16"/>
          <w:lang w:val="en-CA"/>
        </w:rPr>
        <w:fldChar w:fldCharType="separate"/>
      </w:r>
      <w:r w:rsidR="004D1D62" w:rsidRPr="008D6F16">
        <w:rPr>
          <w:rFonts w:ascii="Arial" w:hAnsi="Arial"/>
          <w:i/>
          <w:sz w:val="16"/>
          <w:lang w:val="en-CA"/>
        </w:rPr>
        <w:t>201</w:t>
      </w:r>
      <w:r w:rsidR="00E52FD5">
        <w:rPr>
          <w:rFonts w:ascii="Arial" w:hAnsi="Arial"/>
          <w:i/>
          <w:sz w:val="16"/>
          <w:lang w:val="en-CA"/>
        </w:rPr>
        <w:t>7</w:t>
      </w:r>
      <w:r w:rsidR="00060FCF" w:rsidRPr="008D6F16">
        <w:rPr>
          <w:rFonts w:ascii="Arial" w:hAnsi="Arial"/>
          <w:i/>
          <w:sz w:val="16"/>
          <w:lang w:val="en-CA"/>
        </w:rPr>
        <w:fldChar w:fldCharType="end"/>
      </w:r>
      <w:bookmarkEnd w:id="2"/>
      <w:r w:rsidR="00AF4070" w:rsidRPr="008D6F16">
        <w:rPr>
          <w:rFonts w:ascii="Arial" w:hAnsi="Arial"/>
          <w:i/>
          <w:sz w:val="16"/>
          <w:lang w:val="en-CA"/>
        </w:rPr>
        <w:t xml:space="preserve">, </w:t>
      </w:r>
      <w:r w:rsidR="00742A7E" w:rsidRPr="008D6F16">
        <w:rPr>
          <w:rFonts w:ascii="Arial" w:hAnsi="Arial"/>
          <w:i/>
          <w:sz w:val="16"/>
          <w:lang w:val="en-CA"/>
        </w:rPr>
        <w:t>Richard Ivey School of Business Foundation</w:t>
      </w:r>
      <w:r w:rsidR="00AF4070" w:rsidRPr="008D6F16">
        <w:rPr>
          <w:rFonts w:ascii="Arial" w:hAnsi="Arial"/>
          <w:sz w:val="16"/>
          <w:lang w:val="en-CA"/>
        </w:rPr>
        <w:tab/>
      </w:r>
      <w:r w:rsidR="00AF4070" w:rsidRPr="008D6F16">
        <w:rPr>
          <w:rFonts w:ascii="Arial" w:hAnsi="Arial"/>
          <w:i/>
          <w:sz w:val="16"/>
          <w:lang w:val="en-CA"/>
        </w:rPr>
        <w:t xml:space="preserve">Version: </w:t>
      </w:r>
      <w:r>
        <w:rPr>
          <w:rFonts w:ascii="Arial" w:hAnsi="Arial"/>
          <w:i/>
          <w:sz w:val="16"/>
          <w:lang w:val="en-CA"/>
        </w:rPr>
        <w:t>2017-0</w:t>
      </w:r>
      <w:r w:rsidR="00DA7086">
        <w:rPr>
          <w:rFonts w:ascii="Arial" w:hAnsi="Arial"/>
          <w:i/>
          <w:sz w:val="16"/>
          <w:lang w:val="en-CA"/>
        </w:rPr>
        <w:t>3</w:t>
      </w:r>
      <w:r>
        <w:rPr>
          <w:rFonts w:ascii="Arial" w:hAnsi="Arial"/>
          <w:i/>
          <w:sz w:val="16"/>
          <w:lang w:val="en-CA"/>
        </w:rPr>
        <w:t>-</w:t>
      </w:r>
      <w:r w:rsidR="007D383F">
        <w:rPr>
          <w:rFonts w:ascii="Arial" w:hAnsi="Arial"/>
          <w:i/>
          <w:sz w:val="16"/>
          <w:lang w:val="en-CA"/>
        </w:rPr>
        <w:t>14</w:t>
      </w:r>
    </w:p>
    <w:p w:rsidR="00AF4070" w:rsidRPr="008907EC" w:rsidRDefault="00AF4070" w:rsidP="00A814DF">
      <w:pPr>
        <w:tabs>
          <w:tab w:val="left" w:pos="-1440"/>
          <w:tab w:val="left" w:pos="-720"/>
          <w:tab w:val="left" w:pos="1"/>
          <w:tab w:val="right" w:pos="7920"/>
        </w:tabs>
        <w:jc w:val="both"/>
        <w:rPr>
          <w:rFonts w:ascii="Arial" w:hAnsi="Arial"/>
          <w:sz w:val="14"/>
          <w:szCs w:val="14"/>
          <w:lang w:val="en-CA"/>
        </w:rPr>
      </w:pPr>
    </w:p>
    <w:p w:rsidR="00AF4070" w:rsidRPr="008907EC" w:rsidRDefault="00AF4070" w:rsidP="00A814DF">
      <w:pPr>
        <w:tabs>
          <w:tab w:val="left" w:pos="-1440"/>
          <w:tab w:val="left" w:pos="-720"/>
          <w:tab w:val="left" w:pos="1"/>
        </w:tabs>
        <w:jc w:val="both"/>
        <w:rPr>
          <w:rFonts w:ascii="Arial" w:hAnsi="Arial"/>
          <w:sz w:val="14"/>
          <w:szCs w:val="14"/>
          <w:lang w:val="en-CA"/>
        </w:rPr>
      </w:pPr>
    </w:p>
    <w:p w:rsidR="004A443D" w:rsidRDefault="004D1D62" w:rsidP="004D1D62">
      <w:pPr>
        <w:pStyle w:val="BodyText"/>
        <w:rPr>
          <w:lang w:val="en-CA"/>
        </w:rPr>
      </w:pPr>
      <w:r w:rsidRPr="008D6F16">
        <w:rPr>
          <w:lang w:val="en-CA"/>
        </w:rPr>
        <w:t>I</w:t>
      </w:r>
      <w:r w:rsidR="001F2043">
        <w:rPr>
          <w:lang w:val="en-CA"/>
        </w:rPr>
        <w:t>n</w:t>
      </w:r>
      <w:r w:rsidRPr="008D6F16">
        <w:rPr>
          <w:lang w:val="en-CA"/>
        </w:rPr>
        <w:t xml:space="preserve"> June 2016, Mary </w:t>
      </w:r>
      <w:proofErr w:type="spellStart"/>
      <w:r w:rsidRPr="008D6F16">
        <w:rPr>
          <w:lang w:val="en-CA"/>
        </w:rPr>
        <w:t>Hamoodi</w:t>
      </w:r>
      <w:proofErr w:type="spellEnd"/>
      <w:r w:rsidRPr="008D6F16">
        <w:rPr>
          <w:lang w:val="en-CA"/>
        </w:rPr>
        <w:t xml:space="preserve">, </w:t>
      </w:r>
      <w:r w:rsidR="00610DD7" w:rsidRPr="008D6F16">
        <w:rPr>
          <w:lang w:val="en-CA"/>
        </w:rPr>
        <w:t>d</w:t>
      </w:r>
      <w:r w:rsidRPr="008D6F16">
        <w:rPr>
          <w:lang w:val="en-CA"/>
        </w:rPr>
        <w:t xml:space="preserve">irector of </w:t>
      </w:r>
      <w:r w:rsidR="002D3801">
        <w:rPr>
          <w:lang w:val="en-CA"/>
        </w:rPr>
        <w:t>f</w:t>
      </w:r>
      <w:r w:rsidRPr="008D6F16">
        <w:rPr>
          <w:lang w:val="en-CA"/>
        </w:rPr>
        <w:t xml:space="preserve">inance and </w:t>
      </w:r>
      <w:r w:rsidR="002D3801">
        <w:rPr>
          <w:lang w:val="en-CA"/>
        </w:rPr>
        <w:t>o</w:t>
      </w:r>
      <w:r w:rsidRPr="008D6F16">
        <w:rPr>
          <w:lang w:val="en-CA"/>
        </w:rPr>
        <w:t>perations for S</w:t>
      </w:r>
      <w:r w:rsidR="001F2043">
        <w:rPr>
          <w:lang w:val="en-CA"/>
        </w:rPr>
        <w:t>had Valley International (S</w:t>
      </w:r>
      <w:r w:rsidRPr="008D6F16">
        <w:rPr>
          <w:lang w:val="en-CA"/>
        </w:rPr>
        <w:t>HAD</w:t>
      </w:r>
      <w:r w:rsidR="001F2043">
        <w:rPr>
          <w:lang w:val="en-CA"/>
        </w:rPr>
        <w:t>)</w:t>
      </w:r>
      <w:r w:rsidRPr="008D6F16">
        <w:rPr>
          <w:lang w:val="en-CA"/>
        </w:rPr>
        <w:t>, faced an important decision. Sh</w:t>
      </w:r>
      <w:r w:rsidR="00C42FEF" w:rsidRPr="008D6F16">
        <w:rPr>
          <w:lang w:val="en-CA"/>
        </w:rPr>
        <w:t>ould registration</w:t>
      </w:r>
      <w:r w:rsidRPr="008D6F16">
        <w:rPr>
          <w:lang w:val="en-CA"/>
        </w:rPr>
        <w:t xml:space="preserve"> fees for the annual SHAD p</w:t>
      </w:r>
      <w:r w:rsidR="00C42FEF" w:rsidRPr="008D6F16">
        <w:rPr>
          <w:lang w:val="en-CA"/>
        </w:rPr>
        <w:t>rogram be raised in 2017?</w:t>
      </w:r>
      <w:r w:rsidRPr="008D6F16">
        <w:rPr>
          <w:lang w:val="en-CA"/>
        </w:rPr>
        <w:t xml:space="preserve"> The SHAD program was a month-long summer program for high school students</w:t>
      </w:r>
      <w:r w:rsidR="002A6A41">
        <w:rPr>
          <w:lang w:val="en-CA"/>
        </w:rPr>
        <w:t>,</w:t>
      </w:r>
      <w:r w:rsidRPr="008D6F16">
        <w:rPr>
          <w:lang w:val="en-CA"/>
        </w:rPr>
        <w:t xml:space="preserve"> </w:t>
      </w:r>
      <w:r w:rsidR="00C42FEF" w:rsidRPr="008D6F16">
        <w:rPr>
          <w:lang w:val="en-CA"/>
        </w:rPr>
        <w:t>offered</w:t>
      </w:r>
      <w:r w:rsidRPr="008D6F16">
        <w:rPr>
          <w:lang w:val="en-CA"/>
        </w:rPr>
        <w:t xml:space="preserve"> </w:t>
      </w:r>
      <w:r w:rsidR="001F2043">
        <w:rPr>
          <w:lang w:val="en-CA"/>
        </w:rPr>
        <w:t xml:space="preserve">annually </w:t>
      </w:r>
      <w:r w:rsidRPr="008D6F16">
        <w:rPr>
          <w:lang w:val="en-CA"/>
        </w:rPr>
        <w:t>during the month of July. Th</w:t>
      </w:r>
      <w:r w:rsidR="00C42FEF" w:rsidRPr="008D6F16">
        <w:rPr>
          <w:lang w:val="en-CA"/>
        </w:rPr>
        <w:t>is</w:t>
      </w:r>
      <w:r w:rsidRPr="008D6F16">
        <w:rPr>
          <w:lang w:val="en-CA"/>
        </w:rPr>
        <w:t xml:space="preserve"> program took place in-residence at universities across Canada</w:t>
      </w:r>
      <w:r w:rsidR="00672834">
        <w:rPr>
          <w:lang w:val="en-CA"/>
        </w:rPr>
        <w:t>,</w:t>
      </w:r>
      <w:r w:rsidRPr="008D6F16">
        <w:rPr>
          <w:lang w:val="en-CA"/>
        </w:rPr>
        <w:t xml:space="preserve"> and</w:t>
      </w:r>
      <w:r w:rsidR="00C42FEF" w:rsidRPr="008D6F16">
        <w:rPr>
          <w:lang w:val="en-CA"/>
        </w:rPr>
        <w:t xml:space="preserve"> its content</w:t>
      </w:r>
      <w:r w:rsidRPr="008D6F16">
        <w:rPr>
          <w:lang w:val="en-CA"/>
        </w:rPr>
        <w:t xml:space="preserve"> focused on STEAM (</w:t>
      </w:r>
      <w:r w:rsidR="001F2043">
        <w:rPr>
          <w:lang w:val="en-CA"/>
        </w:rPr>
        <w:t>s</w:t>
      </w:r>
      <w:r w:rsidRPr="008D6F16">
        <w:rPr>
          <w:lang w:val="en-CA"/>
        </w:rPr>
        <w:t xml:space="preserve">cience, </w:t>
      </w:r>
      <w:r w:rsidR="001F2043">
        <w:rPr>
          <w:lang w:val="en-CA"/>
        </w:rPr>
        <w:t>t</w:t>
      </w:r>
      <w:r w:rsidRPr="008D6F16">
        <w:rPr>
          <w:lang w:val="en-CA"/>
        </w:rPr>
        <w:t xml:space="preserve">echnology, </w:t>
      </w:r>
      <w:r w:rsidR="001F2043">
        <w:rPr>
          <w:lang w:val="en-CA"/>
        </w:rPr>
        <w:t>e</w:t>
      </w:r>
      <w:r w:rsidRPr="008D6F16">
        <w:rPr>
          <w:lang w:val="en-CA"/>
        </w:rPr>
        <w:t xml:space="preserve">ngineering, </w:t>
      </w:r>
      <w:r w:rsidR="001F2043">
        <w:rPr>
          <w:lang w:val="en-CA"/>
        </w:rPr>
        <w:t>a</w:t>
      </w:r>
      <w:r w:rsidRPr="008D6F16">
        <w:rPr>
          <w:lang w:val="en-CA"/>
        </w:rPr>
        <w:t>rt</w:t>
      </w:r>
      <w:r w:rsidR="00674B34">
        <w:rPr>
          <w:lang w:val="en-CA"/>
        </w:rPr>
        <w:t>s</w:t>
      </w:r>
      <w:r w:rsidRPr="008D6F16">
        <w:rPr>
          <w:lang w:val="en-CA"/>
        </w:rPr>
        <w:t xml:space="preserve">, and </w:t>
      </w:r>
      <w:r w:rsidR="001F2043">
        <w:rPr>
          <w:lang w:val="en-CA"/>
        </w:rPr>
        <w:t>m</w:t>
      </w:r>
      <w:r w:rsidRPr="008D6F16">
        <w:rPr>
          <w:lang w:val="en-CA"/>
        </w:rPr>
        <w:t xml:space="preserve">ath), innovation, and entrepreneurship. </w:t>
      </w:r>
    </w:p>
    <w:p w:rsidR="00FA5BE7" w:rsidRDefault="00FA5BE7" w:rsidP="004D1D62">
      <w:pPr>
        <w:pStyle w:val="BodyText"/>
        <w:rPr>
          <w:lang w:val="en-CA"/>
        </w:rPr>
      </w:pPr>
    </w:p>
    <w:p w:rsidR="004D1D62" w:rsidRDefault="004D1D62" w:rsidP="004D1D62">
      <w:pPr>
        <w:pStyle w:val="BodyText"/>
        <w:rPr>
          <w:lang w:val="en-CA"/>
        </w:rPr>
      </w:pPr>
      <w:proofErr w:type="spellStart"/>
      <w:r w:rsidRPr="008D6F16">
        <w:rPr>
          <w:lang w:val="en-CA"/>
        </w:rPr>
        <w:t>Hamoodi</w:t>
      </w:r>
      <w:proofErr w:type="spellEnd"/>
      <w:r w:rsidRPr="008D6F16">
        <w:rPr>
          <w:lang w:val="en-CA"/>
        </w:rPr>
        <w:t xml:space="preserve"> was worried about SHAD’s cash flow for the upcoming year</w:t>
      </w:r>
      <w:r w:rsidR="007C6D2C" w:rsidRPr="008D6F16">
        <w:rPr>
          <w:lang w:val="en-CA"/>
        </w:rPr>
        <w:t>, and</w:t>
      </w:r>
      <w:r w:rsidRPr="008D6F16">
        <w:rPr>
          <w:lang w:val="en-CA"/>
        </w:rPr>
        <w:t xml:space="preserve"> raising fees </w:t>
      </w:r>
      <w:r w:rsidR="007C6D2C" w:rsidRPr="008D6F16">
        <w:rPr>
          <w:lang w:val="en-CA"/>
        </w:rPr>
        <w:t>would</w:t>
      </w:r>
      <w:r w:rsidRPr="008D6F16">
        <w:rPr>
          <w:lang w:val="en-CA"/>
        </w:rPr>
        <w:t xml:space="preserve"> alleviate some of the</w:t>
      </w:r>
      <w:r w:rsidR="007C6D2C" w:rsidRPr="008D6F16">
        <w:rPr>
          <w:lang w:val="en-CA"/>
        </w:rPr>
        <w:t xml:space="preserve"> program’s financial strain</w:t>
      </w:r>
      <w:r w:rsidRPr="008D6F16">
        <w:rPr>
          <w:lang w:val="en-CA"/>
        </w:rPr>
        <w:t xml:space="preserve">. She thought preparing a set of cash budgets for the 2017 fiscal year would help </w:t>
      </w:r>
      <w:r w:rsidR="007C6D2C" w:rsidRPr="008D6F16">
        <w:rPr>
          <w:lang w:val="en-CA"/>
        </w:rPr>
        <w:t>with</w:t>
      </w:r>
      <w:r w:rsidRPr="008D6F16">
        <w:rPr>
          <w:lang w:val="en-CA"/>
        </w:rPr>
        <w:t xml:space="preserve"> her decision. </w:t>
      </w:r>
      <w:proofErr w:type="spellStart"/>
      <w:r w:rsidR="007C6D2C" w:rsidRPr="008D6F16">
        <w:rPr>
          <w:lang w:val="en-CA"/>
        </w:rPr>
        <w:t>Hamoodi</w:t>
      </w:r>
      <w:proofErr w:type="spellEnd"/>
      <w:r w:rsidR="007C6D2C" w:rsidRPr="008D6F16">
        <w:rPr>
          <w:lang w:val="en-CA"/>
        </w:rPr>
        <w:t xml:space="preserve"> would have to</w:t>
      </w:r>
      <w:r w:rsidRPr="008D6F16">
        <w:rPr>
          <w:lang w:val="en-CA"/>
        </w:rPr>
        <w:t xml:space="preserve"> present</w:t>
      </w:r>
      <w:r w:rsidR="007C6D2C" w:rsidRPr="008D6F16">
        <w:rPr>
          <w:lang w:val="en-CA"/>
        </w:rPr>
        <w:t xml:space="preserve"> her decision</w:t>
      </w:r>
      <w:r w:rsidRPr="008D6F16">
        <w:rPr>
          <w:lang w:val="en-CA"/>
        </w:rPr>
        <w:t xml:space="preserve"> to SHAD’s </w:t>
      </w:r>
      <w:r w:rsidR="00610DD7" w:rsidRPr="008D6F16">
        <w:rPr>
          <w:lang w:val="en-CA"/>
        </w:rPr>
        <w:t>b</w:t>
      </w:r>
      <w:r w:rsidRPr="008D6F16">
        <w:rPr>
          <w:lang w:val="en-CA"/>
        </w:rPr>
        <w:t xml:space="preserve">oard of </w:t>
      </w:r>
      <w:r w:rsidR="00610DD7" w:rsidRPr="008D6F16">
        <w:rPr>
          <w:lang w:val="en-CA"/>
        </w:rPr>
        <w:t>d</w:t>
      </w:r>
      <w:r w:rsidRPr="008D6F16">
        <w:rPr>
          <w:lang w:val="en-CA"/>
        </w:rPr>
        <w:t>irectors</w:t>
      </w:r>
      <w:r w:rsidR="001F2043">
        <w:rPr>
          <w:lang w:val="en-CA"/>
        </w:rPr>
        <w:t>,</w:t>
      </w:r>
      <w:r w:rsidRPr="008D6F16">
        <w:rPr>
          <w:lang w:val="en-CA"/>
        </w:rPr>
        <w:t xml:space="preserve"> and</w:t>
      </w:r>
      <w:r w:rsidR="007C6D2C" w:rsidRPr="008D6F16">
        <w:rPr>
          <w:lang w:val="en-CA"/>
        </w:rPr>
        <w:t xml:space="preserve"> this decision</w:t>
      </w:r>
      <w:r w:rsidRPr="008D6F16">
        <w:rPr>
          <w:lang w:val="en-CA"/>
        </w:rPr>
        <w:t xml:space="preserve"> would have to be in line with </w:t>
      </w:r>
      <w:r w:rsidR="007C6D2C" w:rsidRPr="008D6F16">
        <w:rPr>
          <w:lang w:val="en-CA"/>
        </w:rPr>
        <w:t>SHAD’s</w:t>
      </w:r>
      <w:r w:rsidRPr="008D6F16">
        <w:rPr>
          <w:lang w:val="en-CA"/>
        </w:rPr>
        <w:t xml:space="preserve"> values and goals. </w:t>
      </w:r>
    </w:p>
    <w:p w:rsidR="00FA5BE7" w:rsidRDefault="00FA5BE7" w:rsidP="004D1D62">
      <w:pPr>
        <w:pStyle w:val="BodyText"/>
        <w:rPr>
          <w:lang w:val="en-CA"/>
        </w:rPr>
      </w:pPr>
    </w:p>
    <w:p w:rsidR="00FA5BE7" w:rsidRPr="008D6F16" w:rsidRDefault="00FA5BE7" w:rsidP="004D1D62">
      <w:pPr>
        <w:pStyle w:val="BodyText"/>
        <w:rPr>
          <w:lang w:val="en-CA"/>
        </w:rPr>
      </w:pPr>
    </w:p>
    <w:p w:rsidR="004D1D62" w:rsidRPr="008D6F16" w:rsidRDefault="007C6D2C" w:rsidP="004D1D62">
      <w:pPr>
        <w:pStyle w:val="casehead2"/>
        <w:rPr>
          <w:lang w:val="en-CA"/>
        </w:rPr>
      </w:pPr>
      <w:r w:rsidRPr="008D6F16">
        <w:rPr>
          <w:lang w:val="en-CA"/>
        </w:rPr>
        <w:t>HISTORY, GOALS</w:t>
      </w:r>
      <w:r w:rsidR="001F2043">
        <w:rPr>
          <w:lang w:val="en-CA"/>
        </w:rPr>
        <w:t>, AND</w:t>
      </w:r>
      <w:r w:rsidRPr="008D6F16">
        <w:rPr>
          <w:lang w:val="en-CA"/>
        </w:rPr>
        <w:t xml:space="preserve"> MISSION</w:t>
      </w:r>
    </w:p>
    <w:p w:rsidR="00FA5BE7" w:rsidRDefault="00FA5BE7" w:rsidP="004D1D62">
      <w:pPr>
        <w:pStyle w:val="BodyText"/>
        <w:rPr>
          <w:lang w:val="en-CA"/>
        </w:rPr>
      </w:pPr>
    </w:p>
    <w:p w:rsidR="004D1D62" w:rsidRPr="008D6F16" w:rsidRDefault="007C6D2C" w:rsidP="004D1D62">
      <w:pPr>
        <w:pStyle w:val="BodyText"/>
        <w:rPr>
          <w:lang w:val="en-CA"/>
        </w:rPr>
      </w:pPr>
      <w:r w:rsidRPr="008D6F16">
        <w:rPr>
          <w:lang w:val="en-CA"/>
        </w:rPr>
        <w:t xml:space="preserve">SHAD, </w:t>
      </w:r>
      <w:r w:rsidR="004D1D62" w:rsidRPr="008D6F16">
        <w:rPr>
          <w:lang w:val="en-CA"/>
        </w:rPr>
        <w:t>a reg</w:t>
      </w:r>
      <w:r w:rsidRPr="008D6F16">
        <w:rPr>
          <w:lang w:val="en-CA"/>
        </w:rPr>
        <w:t xml:space="preserve">istered charitable organization, </w:t>
      </w:r>
      <w:r w:rsidR="004D1D62" w:rsidRPr="008D6F16">
        <w:rPr>
          <w:lang w:val="en-CA"/>
        </w:rPr>
        <w:t>was founded in 1980. The first SHAD program was held at St. Andrew’s College in Aurora, Ontario, and from there</w:t>
      </w:r>
      <w:r w:rsidR="002A6A41">
        <w:rPr>
          <w:lang w:val="en-CA"/>
        </w:rPr>
        <w:t>, it</w:t>
      </w:r>
      <w:r w:rsidR="004D1D62" w:rsidRPr="008D6F16">
        <w:rPr>
          <w:lang w:val="en-CA"/>
        </w:rPr>
        <w:t xml:space="preserve"> </w:t>
      </w:r>
      <w:r w:rsidRPr="008D6F16">
        <w:rPr>
          <w:lang w:val="en-CA"/>
        </w:rPr>
        <w:t>expanded</w:t>
      </w:r>
      <w:r w:rsidR="004D1D62" w:rsidRPr="008D6F16">
        <w:rPr>
          <w:lang w:val="en-CA"/>
        </w:rPr>
        <w:t xml:space="preserve"> across Canada with the mission “to empower exceptional youth to make the world a better place.” </w:t>
      </w:r>
      <w:r w:rsidR="001F2043">
        <w:rPr>
          <w:lang w:val="en-CA"/>
        </w:rPr>
        <w:t xml:space="preserve">In </w:t>
      </w:r>
      <w:r w:rsidR="004D1D62" w:rsidRPr="008D6F16">
        <w:rPr>
          <w:lang w:val="en-CA"/>
        </w:rPr>
        <w:t>2016, SHAD’s head office was located in Waterloo, Ontario, and the SHAD program was held at 12 university</w:t>
      </w:r>
      <w:r w:rsidRPr="008D6F16">
        <w:rPr>
          <w:lang w:val="en-CA"/>
        </w:rPr>
        <w:t xml:space="preserve"> host</w:t>
      </w:r>
      <w:r w:rsidR="004D1D62" w:rsidRPr="008D6F16">
        <w:rPr>
          <w:lang w:val="en-CA"/>
        </w:rPr>
        <w:t xml:space="preserve"> campuses</w:t>
      </w:r>
      <w:r w:rsidRPr="008D6F16">
        <w:rPr>
          <w:lang w:val="en-CA"/>
        </w:rPr>
        <w:t xml:space="preserve"> (see Exhibit 1)</w:t>
      </w:r>
      <w:r w:rsidR="004D1D62" w:rsidRPr="008D6F16">
        <w:rPr>
          <w:lang w:val="en-CA"/>
        </w:rPr>
        <w:t xml:space="preserve">. Since </w:t>
      </w:r>
      <w:r w:rsidRPr="008D6F16">
        <w:rPr>
          <w:lang w:val="en-CA"/>
        </w:rPr>
        <w:t xml:space="preserve">its inception, </w:t>
      </w:r>
      <w:r w:rsidR="004D1D62" w:rsidRPr="008D6F16">
        <w:rPr>
          <w:lang w:val="en-CA"/>
        </w:rPr>
        <w:t xml:space="preserve">14,800 students in </w:t>
      </w:r>
      <w:r w:rsidR="004A443D">
        <w:rPr>
          <w:lang w:val="en-CA"/>
        </w:rPr>
        <w:t>G</w:t>
      </w:r>
      <w:r w:rsidR="004D1D62" w:rsidRPr="008D6F16">
        <w:rPr>
          <w:lang w:val="en-CA"/>
        </w:rPr>
        <w:t>rades 10, 11, and 12 ha</w:t>
      </w:r>
      <w:r w:rsidRPr="008D6F16">
        <w:rPr>
          <w:lang w:val="en-CA"/>
        </w:rPr>
        <w:t>d</w:t>
      </w:r>
      <w:r w:rsidR="004D1D62" w:rsidRPr="008D6F16">
        <w:rPr>
          <w:lang w:val="en-CA"/>
        </w:rPr>
        <w:t xml:space="preserve"> participated in the </w:t>
      </w:r>
      <w:r w:rsidRPr="008D6F16">
        <w:rPr>
          <w:lang w:val="en-CA"/>
        </w:rPr>
        <w:t xml:space="preserve">SHAD </w:t>
      </w:r>
      <w:r w:rsidR="004D1D62" w:rsidRPr="008D6F16">
        <w:rPr>
          <w:lang w:val="en-CA"/>
        </w:rPr>
        <w:t>program.</w:t>
      </w:r>
      <w:r w:rsidRPr="008D6F16">
        <w:rPr>
          <w:lang w:val="en-CA"/>
        </w:rPr>
        <w:t xml:space="preserve"> SHAD’s fiscal year started on November 1 each year.</w:t>
      </w:r>
    </w:p>
    <w:p w:rsidR="004D1D62" w:rsidRPr="008907EC" w:rsidRDefault="004D1D62" w:rsidP="004D1D62">
      <w:pPr>
        <w:pStyle w:val="BodyText"/>
        <w:rPr>
          <w:sz w:val="16"/>
          <w:szCs w:val="16"/>
          <w:lang w:val="en-CA"/>
        </w:rPr>
      </w:pPr>
    </w:p>
    <w:p w:rsidR="003833C7" w:rsidRDefault="007C6D2C" w:rsidP="004D1D62">
      <w:pPr>
        <w:pStyle w:val="BodyText"/>
        <w:rPr>
          <w:lang w:val="en-CA"/>
        </w:rPr>
      </w:pPr>
      <w:r w:rsidRPr="008D6F16">
        <w:rPr>
          <w:lang w:val="en-CA"/>
        </w:rPr>
        <w:t>S</w:t>
      </w:r>
      <w:r w:rsidR="004D1D62" w:rsidRPr="008D6F16">
        <w:rPr>
          <w:lang w:val="en-CA"/>
        </w:rPr>
        <w:t xml:space="preserve">tudents who </w:t>
      </w:r>
      <w:r w:rsidRPr="008D6F16">
        <w:rPr>
          <w:lang w:val="en-CA"/>
        </w:rPr>
        <w:t>participated in</w:t>
      </w:r>
      <w:r w:rsidR="004D1D62" w:rsidRPr="008D6F16">
        <w:rPr>
          <w:lang w:val="en-CA"/>
        </w:rPr>
        <w:t xml:space="preserve"> the SHAD program at one of the host universities</w:t>
      </w:r>
      <w:r w:rsidRPr="008D6F16">
        <w:rPr>
          <w:lang w:val="en-CA"/>
        </w:rPr>
        <w:t xml:space="preserve"> were called SHADs. Participants we</w:t>
      </w:r>
      <w:r w:rsidR="004D1D62" w:rsidRPr="008D6F16">
        <w:rPr>
          <w:lang w:val="en-CA"/>
        </w:rPr>
        <w:t>re defined as exceptional youth who ex</w:t>
      </w:r>
      <w:r w:rsidRPr="008D6F16">
        <w:rPr>
          <w:lang w:val="en-CA"/>
        </w:rPr>
        <w:t>celled academically, had</w:t>
      </w:r>
      <w:r w:rsidR="004D1D62" w:rsidRPr="008D6F16">
        <w:rPr>
          <w:lang w:val="en-CA"/>
        </w:rPr>
        <w:t xml:space="preserve"> demonstrated strong leadership skills</w:t>
      </w:r>
      <w:r w:rsidR="001F2043">
        <w:rPr>
          <w:lang w:val="en-CA"/>
        </w:rPr>
        <w:t>,</w:t>
      </w:r>
      <w:r w:rsidR="004D1D62" w:rsidRPr="008D6F16">
        <w:rPr>
          <w:lang w:val="en-CA"/>
        </w:rPr>
        <w:t xml:space="preserve"> and were involved in various extra-curricular activities in their communities. SHAD’s goal was to empower these youth “to recognize their own capabilities and envision their extraordinary potential as tomorrow’s leaders and change makers.” Many SHADs </w:t>
      </w:r>
      <w:r w:rsidRPr="008D6F16">
        <w:rPr>
          <w:lang w:val="en-CA"/>
        </w:rPr>
        <w:t>had</w:t>
      </w:r>
      <w:r w:rsidR="004D1D62" w:rsidRPr="008D6F16">
        <w:rPr>
          <w:lang w:val="en-CA"/>
        </w:rPr>
        <w:t xml:space="preserve"> gone on to become Rhodes</w:t>
      </w:r>
      <w:r w:rsidRPr="008D6F16">
        <w:rPr>
          <w:rStyle w:val="FootnoteReference"/>
          <w:lang w:val="en-CA"/>
        </w:rPr>
        <w:footnoteReference w:id="1"/>
      </w:r>
      <w:r w:rsidR="004D1D62" w:rsidRPr="008D6F16">
        <w:rPr>
          <w:lang w:val="en-CA"/>
        </w:rPr>
        <w:t xml:space="preserve"> and </w:t>
      </w:r>
      <w:r w:rsidR="004D1D62" w:rsidRPr="008D6F16">
        <w:rPr>
          <w:lang w:val="en-CA"/>
        </w:rPr>
        <w:lastRenderedPageBreak/>
        <w:t>Loran</w:t>
      </w:r>
      <w:r w:rsidR="0015658B" w:rsidRPr="008D6F16">
        <w:rPr>
          <w:rStyle w:val="FootnoteReference"/>
          <w:lang w:val="en-CA"/>
        </w:rPr>
        <w:footnoteReference w:id="2"/>
      </w:r>
      <w:r w:rsidR="004D1D62" w:rsidRPr="008D6F16">
        <w:rPr>
          <w:lang w:val="en-CA"/>
        </w:rPr>
        <w:t xml:space="preserve"> </w:t>
      </w:r>
      <w:r w:rsidR="002D3801">
        <w:rPr>
          <w:lang w:val="en-CA"/>
        </w:rPr>
        <w:t>S</w:t>
      </w:r>
      <w:r w:rsidR="004D1D62" w:rsidRPr="008D6F16">
        <w:rPr>
          <w:lang w:val="en-CA"/>
        </w:rPr>
        <w:t xml:space="preserve">cholars, </w:t>
      </w:r>
      <w:r w:rsidR="00610DD7" w:rsidRPr="008D6F16">
        <w:rPr>
          <w:lang w:val="en-CA"/>
        </w:rPr>
        <w:t xml:space="preserve">to </w:t>
      </w:r>
      <w:r w:rsidR="004D1D62" w:rsidRPr="008D6F16">
        <w:rPr>
          <w:lang w:val="en-CA"/>
        </w:rPr>
        <w:t>be named as Top 20 Under 20</w:t>
      </w:r>
      <w:r w:rsidR="002D3801">
        <w:rPr>
          <w:lang w:val="en-CA"/>
        </w:rPr>
        <w:t>,</w:t>
      </w:r>
      <w:r w:rsidR="0015658B" w:rsidRPr="008D6F16">
        <w:rPr>
          <w:rStyle w:val="FootnoteReference"/>
          <w:lang w:val="en-CA"/>
        </w:rPr>
        <w:footnoteReference w:id="3"/>
      </w:r>
      <w:r w:rsidR="002D3801">
        <w:rPr>
          <w:lang w:val="en-CA"/>
        </w:rPr>
        <w:t xml:space="preserve"> </w:t>
      </w:r>
      <w:r w:rsidR="00EF4BB5">
        <w:rPr>
          <w:lang w:val="en-CA"/>
        </w:rPr>
        <w:t xml:space="preserve">to be </w:t>
      </w:r>
      <w:r w:rsidR="006042DA" w:rsidRPr="008D6F16">
        <w:rPr>
          <w:lang w:val="en-CA"/>
        </w:rPr>
        <w:t xml:space="preserve">accepted </w:t>
      </w:r>
      <w:r w:rsidR="00EF4BB5">
        <w:rPr>
          <w:lang w:val="en-CA"/>
        </w:rPr>
        <w:t>in</w:t>
      </w:r>
      <w:r w:rsidR="006042DA" w:rsidRPr="008D6F16">
        <w:rPr>
          <w:lang w:val="en-CA"/>
        </w:rPr>
        <w:t xml:space="preserve">to </w:t>
      </w:r>
      <w:r w:rsidR="004D1D62" w:rsidRPr="008D6F16">
        <w:rPr>
          <w:lang w:val="en-CA"/>
        </w:rPr>
        <w:t xml:space="preserve">programs </w:t>
      </w:r>
      <w:r w:rsidR="006042DA" w:rsidRPr="008D6F16">
        <w:rPr>
          <w:lang w:val="en-CA"/>
        </w:rPr>
        <w:t>such as</w:t>
      </w:r>
      <w:r w:rsidR="004D1D62" w:rsidRPr="008D6F16">
        <w:rPr>
          <w:lang w:val="en-CA"/>
        </w:rPr>
        <w:t xml:space="preserve"> the Next 36</w:t>
      </w:r>
      <w:r w:rsidR="002D3801">
        <w:rPr>
          <w:lang w:val="en-CA"/>
        </w:rPr>
        <w:t>,</w:t>
      </w:r>
      <w:r w:rsidR="006042DA" w:rsidRPr="008D6F16">
        <w:rPr>
          <w:rStyle w:val="FootnoteReference"/>
          <w:lang w:val="en-CA"/>
        </w:rPr>
        <w:footnoteReference w:id="4"/>
      </w:r>
      <w:r w:rsidR="002D3801">
        <w:rPr>
          <w:lang w:val="en-CA"/>
        </w:rPr>
        <w:t xml:space="preserve"> </w:t>
      </w:r>
      <w:r w:rsidR="00610DD7" w:rsidRPr="008D6F16">
        <w:rPr>
          <w:lang w:val="en-CA"/>
        </w:rPr>
        <w:t xml:space="preserve">to </w:t>
      </w:r>
      <w:r w:rsidR="004D1D62" w:rsidRPr="008D6F16">
        <w:rPr>
          <w:lang w:val="en-CA"/>
        </w:rPr>
        <w:t xml:space="preserve">work with </w:t>
      </w:r>
      <w:r w:rsidR="003833C7" w:rsidRPr="008D6F16">
        <w:rPr>
          <w:lang w:val="en-CA"/>
        </w:rPr>
        <w:t xml:space="preserve">NASA </w:t>
      </w:r>
      <w:r w:rsidR="007D383F">
        <w:rPr>
          <w:lang w:val="en-CA"/>
        </w:rPr>
        <w:t xml:space="preserve">(National Aeronautics and Space Administration) </w:t>
      </w:r>
      <w:r w:rsidR="003833C7" w:rsidRPr="008D6F16">
        <w:rPr>
          <w:lang w:val="en-CA"/>
        </w:rPr>
        <w:t>and similar companies, and</w:t>
      </w:r>
      <w:r w:rsidR="004D1D62" w:rsidRPr="008D6F16">
        <w:rPr>
          <w:lang w:val="en-CA"/>
        </w:rPr>
        <w:t xml:space="preserve"> </w:t>
      </w:r>
      <w:r w:rsidR="00610DD7" w:rsidRPr="008D6F16">
        <w:rPr>
          <w:lang w:val="en-CA"/>
        </w:rPr>
        <w:t xml:space="preserve">to </w:t>
      </w:r>
      <w:r w:rsidR="004D1D62" w:rsidRPr="008D6F16">
        <w:rPr>
          <w:lang w:val="en-CA"/>
        </w:rPr>
        <w:t>start companies of their own.</w:t>
      </w:r>
    </w:p>
    <w:p w:rsidR="00FA5BE7" w:rsidRPr="008D6F16" w:rsidRDefault="00FA5BE7" w:rsidP="004D1D62">
      <w:pPr>
        <w:pStyle w:val="BodyText"/>
        <w:rPr>
          <w:lang w:val="en-CA"/>
        </w:rPr>
      </w:pPr>
    </w:p>
    <w:p w:rsidR="004D1D62" w:rsidRDefault="004D1D62" w:rsidP="004D1D62">
      <w:pPr>
        <w:pStyle w:val="BodyText"/>
        <w:rPr>
          <w:lang w:val="en-CA"/>
        </w:rPr>
      </w:pPr>
      <w:r w:rsidRPr="008D6F16">
        <w:rPr>
          <w:lang w:val="en-CA"/>
        </w:rPr>
        <w:t>SHAD prided itself on the strong peer network the program</w:t>
      </w:r>
      <w:r w:rsidR="003833C7" w:rsidRPr="008D6F16">
        <w:rPr>
          <w:lang w:val="en-CA"/>
        </w:rPr>
        <w:t xml:space="preserve"> </w:t>
      </w:r>
      <w:r w:rsidR="002A6A41">
        <w:rPr>
          <w:lang w:val="en-CA"/>
        </w:rPr>
        <w:t xml:space="preserve">it </w:t>
      </w:r>
      <w:r w:rsidR="003833C7" w:rsidRPr="008D6F16">
        <w:rPr>
          <w:lang w:val="en-CA"/>
        </w:rPr>
        <w:t>had</w:t>
      </w:r>
      <w:r w:rsidRPr="008D6F16">
        <w:rPr>
          <w:lang w:val="en-CA"/>
        </w:rPr>
        <w:t xml:space="preserve"> created</w:t>
      </w:r>
      <w:r w:rsidR="00610DD7" w:rsidRPr="008D6F16">
        <w:rPr>
          <w:lang w:val="en-CA"/>
        </w:rPr>
        <w:t>; h</w:t>
      </w:r>
      <w:r w:rsidRPr="008D6F16">
        <w:rPr>
          <w:lang w:val="en-CA"/>
        </w:rPr>
        <w:t>owever</w:t>
      </w:r>
      <w:r w:rsidR="003833C7" w:rsidRPr="008D6F16">
        <w:rPr>
          <w:lang w:val="en-CA"/>
        </w:rPr>
        <w:t xml:space="preserve">, despite having a strong brand, </w:t>
      </w:r>
      <w:r w:rsidRPr="008D6F16">
        <w:rPr>
          <w:lang w:val="en-CA"/>
        </w:rPr>
        <w:t>SHAD was no</w:t>
      </w:r>
      <w:r w:rsidR="003833C7" w:rsidRPr="008D6F16">
        <w:rPr>
          <w:lang w:val="en-CA"/>
        </w:rPr>
        <w:t xml:space="preserve">t yet widely recognized. Recently, </w:t>
      </w:r>
      <w:r w:rsidRPr="008D6F16">
        <w:rPr>
          <w:lang w:val="en-CA"/>
        </w:rPr>
        <w:t xml:space="preserve">steps had been taken to promote SHAD and </w:t>
      </w:r>
      <w:r w:rsidR="003833C7" w:rsidRPr="008D6F16">
        <w:rPr>
          <w:lang w:val="en-CA"/>
        </w:rPr>
        <w:t xml:space="preserve">to </w:t>
      </w:r>
      <w:r w:rsidRPr="008D6F16">
        <w:rPr>
          <w:lang w:val="en-CA"/>
        </w:rPr>
        <w:t>make it a more recognized name.</w:t>
      </w:r>
    </w:p>
    <w:p w:rsidR="00FA5BE7" w:rsidRPr="008D6F16" w:rsidRDefault="00FA5BE7" w:rsidP="004D1D62">
      <w:pPr>
        <w:pStyle w:val="BodyText"/>
        <w:rPr>
          <w:lang w:val="en-CA"/>
        </w:rPr>
      </w:pPr>
    </w:p>
    <w:p w:rsidR="004D1D62" w:rsidRDefault="004D1D62" w:rsidP="004D1D62">
      <w:pPr>
        <w:pStyle w:val="BodyText"/>
        <w:rPr>
          <w:lang w:val="en-CA"/>
        </w:rPr>
      </w:pPr>
      <w:r w:rsidRPr="008D6F16">
        <w:rPr>
          <w:lang w:val="en-CA"/>
        </w:rPr>
        <w:t>Each year, approximately 700 students</w:t>
      </w:r>
      <w:r w:rsidRPr="008D6F16">
        <w:rPr>
          <w:rStyle w:val="FootnoteReference"/>
          <w:lang w:val="en-CA"/>
        </w:rPr>
        <w:footnoteReference w:id="5"/>
      </w:r>
      <w:r w:rsidRPr="008D6F16">
        <w:rPr>
          <w:lang w:val="en-CA"/>
        </w:rPr>
        <w:t xml:space="preserve"> from across Canada and internationally were accepted into the program. </w:t>
      </w:r>
      <w:r w:rsidR="003833C7" w:rsidRPr="008D6F16">
        <w:rPr>
          <w:lang w:val="en-CA"/>
        </w:rPr>
        <w:t>T</w:t>
      </w:r>
      <w:r w:rsidRPr="008D6F16">
        <w:rPr>
          <w:lang w:val="en-CA"/>
        </w:rPr>
        <w:t>he cost per student was roughly $8,000</w:t>
      </w:r>
      <w:r w:rsidR="007D383F">
        <w:rPr>
          <w:rStyle w:val="FootnoteReference"/>
          <w:lang w:val="en-CA"/>
        </w:rPr>
        <w:footnoteReference w:id="6"/>
      </w:r>
      <w:r w:rsidRPr="008D6F16">
        <w:rPr>
          <w:lang w:val="en-CA"/>
        </w:rPr>
        <w:t xml:space="preserve"> in 2016 for the one-month program,</w:t>
      </w:r>
      <w:r w:rsidR="003833C7" w:rsidRPr="008D6F16">
        <w:rPr>
          <w:lang w:val="en-CA"/>
        </w:rPr>
        <w:t xml:space="preserve"> but</w:t>
      </w:r>
      <w:r w:rsidRPr="008D6F16">
        <w:rPr>
          <w:lang w:val="en-CA"/>
        </w:rPr>
        <w:t xml:space="preserve"> participant</w:t>
      </w:r>
      <w:r w:rsidR="002A6A41">
        <w:rPr>
          <w:lang w:val="en-CA"/>
        </w:rPr>
        <w:t xml:space="preserve">s were </w:t>
      </w:r>
      <w:r w:rsidR="003833C7" w:rsidRPr="008D6F16">
        <w:rPr>
          <w:lang w:val="en-CA"/>
        </w:rPr>
        <w:t xml:space="preserve">charged </w:t>
      </w:r>
      <w:r w:rsidR="002A6A41">
        <w:rPr>
          <w:lang w:val="en-CA"/>
        </w:rPr>
        <w:t>fees of</w:t>
      </w:r>
      <w:r w:rsidRPr="008D6F16">
        <w:rPr>
          <w:lang w:val="en-CA"/>
        </w:rPr>
        <w:t xml:space="preserve"> only $4,500. Despite pricing the program below cost, the price point was still </w:t>
      </w:r>
      <w:r w:rsidR="005F7221" w:rsidRPr="008D6F16">
        <w:rPr>
          <w:lang w:val="en-CA"/>
        </w:rPr>
        <w:t>too expensive</w:t>
      </w:r>
      <w:r w:rsidRPr="008D6F16">
        <w:rPr>
          <w:lang w:val="en-CA"/>
        </w:rPr>
        <w:t xml:space="preserve"> for many parents</w:t>
      </w:r>
      <w:r w:rsidR="005F7221" w:rsidRPr="008D6F16">
        <w:rPr>
          <w:lang w:val="en-CA"/>
        </w:rPr>
        <w:t>; h</w:t>
      </w:r>
      <w:r w:rsidRPr="008D6F16">
        <w:rPr>
          <w:lang w:val="en-CA"/>
        </w:rPr>
        <w:t xml:space="preserve">owever, </w:t>
      </w:r>
      <w:proofErr w:type="spellStart"/>
      <w:r w:rsidRPr="008D6F16">
        <w:rPr>
          <w:lang w:val="en-CA"/>
        </w:rPr>
        <w:t>Hamoodi</w:t>
      </w:r>
      <w:proofErr w:type="spellEnd"/>
      <w:r w:rsidRPr="008D6F16">
        <w:rPr>
          <w:lang w:val="en-CA"/>
        </w:rPr>
        <w:t xml:space="preserve"> believed that a student</w:t>
      </w:r>
      <w:r w:rsidR="00A21191">
        <w:rPr>
          <w:lang w:val="en-CA"/>
        </w:rPr>
        <w:t xml:space="preserve"> </w:t>
      </w:r>
      <w:r w:rsidR="005F7221" w:rsidRPr="008D6F16">
        <w:rPr>
          <w:lang w:val="en-CA"/>
        </w:rPr>
        <w:t xml:space="preserve">who </w:t>
      </w:r>
      <w:r w:rsidRPr="008D6F16">
        <w:rPr>
          <w:lang w:val="en-CA"/>
        </w:rPr>
        <w:t xml:space="preserve">had been accepted </w:t>
      </w:r>
      <w:r w:rsidR="00206829">
        <w:rPr>
          <w:lang w:val="en-CA"/>
        </w:rPr>
        <w:t>in</w:t>
      </w:r>
      <w:r w:rsidRPr="008D6F16">
        <w:rPr>
          <w:lang w:val="en-CA"/>
        </w:rPr>
        <w:t xml:space="preserve">to the program should never be turned away for financial reasons. As a result, students from all socioeconomic backgrounds attended the program. Many </w:t>
      </w:r>
      <w:r w:rsidR="003833C7" w:rsidRPr="008D6F16">
        <w:rPr>
          <w:lang w:val="en-CA"/>
        </w:rPr>
        <w:t xml:space="preserve">students </w:t>
      </w:r>
      <w:r w:rsidRPr="008D6F16">
        <w:rPr>
          <w:lang w:val="en-CA"/>
        </w:rPr>
        <w:t xml:space="preserve">were provided with partial scholarships and bursaries </w:t>
      </w:r>
      <w:r w:rsidR="005F7221" w:rsidRPr="008D6F16">
        <w:rPr>
          <w:lang w:val="en-CA"/>
        </w:rPr>
        <w:t>from</w:t>
      </w:r>
      <w:r w:rsidRPr="008D6F16">
        <w:rPr>
          <w:lang w:val="en-CA"/>
        </w:rPr>
        <w:t xml:space="preserve"> SHAD to cover the</w:t>
      </w:r>
      <w:r w:rsidR="003833C7" w:rsidRPr="008D6F16">
        <w:rPr>
          <w:lang w:val="en-CA"/>
        </w:rPr>
        <w:t>ir</w:t>
      </w:r>
      <w:r w:rsidRPr="008D6F16">
        <w:rPr>
          <w:lang w:val="en-CA"/>
        </w:rPr>
        <w:t xml:space="preserve"> participant fees. </w:t>
      </w:r>
      <w:r w:rsidR="003833C7" w:rsidRPr="008D6F16">
        <w:rPr>
          <w:lang w:val="en-CA"/>
        </w:rPr>
        <w:t xml:space="preserve">SHAD offered </w:t>
      </w:r>
      <w:r w:rsidR="00E52FD5">
        <w:rPr>
          <w:lang w:val="en-CA"/>
        </w:rPr>
        <w:t xml:space="preserve">an average of </w:t>
      </w:r>
      <w:r w:rsidRPr="008D6F16">
        <w:rPr>
          <w:lang w:val="en-CA"/>
        </w:rPr>
        <w:t>$50,000</w:t>
      </w:r>
      <w:r w:rsidR="00E52FD5">
        <w:rPr>
          <w:lang w:val="en-CA"/>
        </w:rPr>
        <w:t xml:space="preserve"> annually</w:t>
      </w:r>
      <w:r w:rsidRPr="008D6F16">
        <w:rPr>
          <w:lang w:val="en-CA"/>
        </w:rPr>
        <w:t xml:space="preserve"> in</w:t>
      </w:r>
      <w:r w:rsidR="003833C7" w:rsidRPr="008D6F16">
        <w:rPr>
          <w:lang w:val="en-CA"/>
        </w:rPr>
        <w:t xml:space="preserve"> partial scholarships and</w:t>
      </w:r>
      <w:r w:rsidRPr="008D6F16">
        <w:rPr>
          <w:lang w:val="en-CA"/>
        </w:rPr>
        <w:t xml:space="preserve"> bursaries</w:t>
      </w:r>
      <w:r w:rsidR="003833C7" w:rsidRPr="008D6F16">
        <w:rPr>
          <w:lang w:val="en-CA"/>
        </w:rPr>
        <w:t xml:space="preserve"> </w:t>
      </w:r>
      <w:r w:rsidR="003B2C30">
        <w:rPr>
          <w:lang w:val="en-CA"/>
        </w:rPr>
        <w:t>per host campus</w:t>
      </w:r>
      <w:r w:rsidR="003833C7" w:rsidRPr="008D6F16">
        <w:rPr>
          <w:lang w:val="en-CA"/>
        </w:rPr>
        <w:t>. These funds came from donations received by SHAD</w:t>
      </w:r>
      <w:r w:rsidR="00F53B08">
        <w:rPr>
          <w:lang w:val="en-CA"/>
        </w:rPr>
        <w:t xml:space="preserve"> (discussed later in the case)</w:t>
      </w:r>
      <w:r w:rsidR="003833C7" w:rsidRPr="008D6F16">
        <w:rPr>
          <w:lang w:val="en-CA"/>
        </w:rPr>
        <w:t>.</w:t>
      </w:r>
    </w:p>
    <w:p w:rsidR="00FA5BE7" w:rsidRDefault="00FA5BE7" w:rsidP="004D1D62">
      <w:pPr>
        <w:pStyle w:val="BodyText"/>
        <w:rPr>
          <w:lang w:val="en-CA"/>
        </w:rPr>
      </w:pPr>
    </w:p>
    <w:p w:rsidR="00FA5BE7" w:rsidRPr="008D6F16" w:rsidRDefault="00FA5BE7" w:rsidP="004D1D62">
      <w:pPr>
        <w:pStyle w:val="BodyText"/>
        <w:rPr>
          <w:lang w:val="en-CA"/>
        </w:rPr>
      </w:pPr>
    </w:p>
    <w:p w:rsidR="004D1D62" w:rsidRPr="008D6F16" w:rsidRDefault="003833C7" w:rsidP="004635C0">
      <w:pPr>
        <w:pStyle w:val="casehead1"/>
        <w:rPr>
          <w:lang w:val="en-CA"/>
        </w:rPr>
      </w:pPr>
      <w:r w:rsidRPr="008D6F16">
        <w:rPr>
          <w:lang w:val="en-CA"/>
        </w:rPr>
        <w:t>THE</w:t>
      </w:r>
      <w:r w:rsidR="004D1D62" w:rsidRPr="008D6F16">
        <w:rPr>
          <w:lang w:val="en-CA"/>
        </w:rPr>
        <w:t xml:space="preserve"> program</w:t>
      </w:r>
    </w:p>
    <w:p w:rsidR="003833C7" w:rsidRPr="00FA5BE7" w:rsidRDefault="003833C7" w:rsidP="003833C7">
      <w:pPr>
        <w:pStyle w:val="BodyText"/>
        <w:rPr>
          <w:lang w:val="en-CA"/>
        </w:rPr>
      </w:pPr>
    </w:p>
    <w:p w:rsidR="003833C7" w:rsidRPr="008D6F16" w:rsidRDefault="003833C7" w:rsidP="003833C7">
      <w:pPr>
        <w:pStyle w:val="BodyText"/>
        <w:rPr>
          <w:rFonts w:ascii="Arial" w:hAnsi="Arial" w:cs="Arial"/>
          <w:b/>
          <w:sz w:val="20"/>
          <w:szCs w:val="20"/>
          <w:lang w:val="en-CA"/>
        </w:rPr>
      </w:pPr>
      <w:r w:rsidRPr="008D6F16">
        <w:rPr>
          <w:rFonts w:ascii="Arial" w:hAnsi="Arial" w:cs="Arial"/>
          <w:b/>
          <w:sz w:val="20"/>
          <w:szCs w:val="20"/>
          <w:lang w:val="en-CA"/>
        </w:rPr>
        <w:t>Recruitment</w:t>
      </w:r>
    </w:p>
    <w:p w:rsidR="00FA5BE7" w:rsidRDefault="00FA5BE7" w:rsidP="004635C0">
      <w:pPr>
        <w:pStyle w:val="BodyText"/>
        <w:rPr>
          <w:lang w:val="en-CA"/>
        </w:rPr>
      </w:pPr>
    </w:p>
    <w:p w:rsidR="00FA484B" w:rsidRDefault="004D1D62" w:rsidP="004635C0">
      <w:pPr>
        <w:pStyle w:val="BodyText"/>
        <w:rPr>
          <w:lang w:val="en-CA"/>
        </w:rPr>
      </w:pPr>
      <w:r w:rsidRPr="008D6F16">
        <w:rPr>
          <w:lang w:val="en-CA"/>
        </w:rPr>
        <w:t>Preparation for the next year’s SHAD program started months in advance</w:t>
      </w:r>
      <w:r w:rsidR="00206829">
        <w:rPr>
          <w:lang w:val="en-CA"/>
        </w:rPr>
        <w:t>—</w:t>
      </w:r>
      <w:r w:rsidRPr="008D6F16">
        <w:rPr>
          <w:lang w:val="en-CA"/>
        </w:rPr>
        <w:t xml:space="preserve">soon after the previous year’s program ended. </w:t>
      </w:r>
      <w:r w:rsidR="003833C7" w:rsidRPr="008D6F16">
        <w:rPr>
          <w:lang w:val="en-CA"/>
        </w:rPr>
        <w:t>Timed with the new school year</w:t>
      </w:r>
      <w:r w:rsidRPr="008D6F16">
        <w:rPr>
          <w:lang w:val="en-CA"/>
        </w:rPr>
        <w:t xml:space="preserve"> in September, marketing efforts for the next year’s program began in August and continued through </w:t>
      </w:r>
      <w:r w:rsidR="003833C7" w:rsidRPr="008D6F16">
        <w:rPr>
          <w:lang w:val="en-CA"/>
        </w:rPr>
        <w:t xml:space="preserve">most of </w:t>
      </w:r>
      <w:r w:rsidRPr="008D6F16">
        <w:rPr>
          <w:lang w:val="en-CA"/>
        </w:rPr>
        <w:t xml:space="preserve">the first semester </w:t>
      </w:r>
      <w:r w:rsidR="003833C7" w:rsidRPr="008D6F16">
        <w:rPr>
          <w:lang w:val="en-CA"/>
        </w:rPr>
        <w:t xml:space="preserve">(September to January) </w:t>
      </w:r>
      <w:r w:rsidRPr="008D6F16">
        <w:rPr>
          <w:lang w:val="en-CA"/>
        </w:rPr>
        <w:t>of the school year.</w:t>
      </w:r>
    </w:p>
    <w:p w:rsidR="00FA5BE7" w:rsidRPr="008D6F16" w:rsidRDefault="00FA5BE7" w:rsidP="004635C0">
      <w:pPr>
        <w:pStyle w:val="BodyText"/>
        <w:rPr>
          <w:lang w:val="en-CA"/>
        </w:rPr>
      </w:pPr>
    </w:p>
    <w:p w:rsidR="004D1D62" w:rsidRDefault="004D1D62" w:rsidP="004635C0">
      <w:pPr>
        <w:pStyle w:val="BodyText"/>
        <w:rPr>
          <w:spacing w:val="-2"/>
          <w:lang w:val="en-CA"/>
        </w:rPr>
      </w:pPr>
      <w:r w:rsidRPr="006D4C68">
        <w:rPr>
          <w:spacing w:val="-2"/>
          <w:lang w:val="en-CA"/>
        </w:rPr>
        <w:t xml:space="preserve">If </w:t>
      </w:r>
      <w:r w:rsidR="002A6A41" w:rsidRPr="006D4C68">
        <w:rPr>
          <w:spacing w:val="-2"/>
          <w:lang w:val="en-CA"/>
        </w:rPr>
        <w:t xml:space="preserve">students were </w:t>
      </w:r>
      <w:r w:rsidRPr="006D4C68">
        <w:rPr>
          <w:spacing w:val="-2"/>
          <w:lang w:val="en-CA"/>
        </w:rPr>
        <w:t>interested</w:t>
      </w:r>
      <w:r w:rsidR="002A6A41" w:rsidRPr="006D4C68">
        <w:rPr>
          <w:spacing w:val="-2"/>
          <w:lang w:val="en-CA"/>
        </w:rPr>
        <w:t xml:space="preserve"> in SHAD</w:t>
      </w:r>
      <w:r w:rsidRPr="006D4C68">
        <w:rPr>
          <w:spacing w:val="-2"/>
          <w:lang w:val="en-CA"/>
        </w:rPr>
        <w:t xml:space="preserve">, </w:t>
      </w:r>
      <w:r w:rsidR="002A6A41" w:rsidRPr="006D4C68">
        <w:rPr>
          <w:spacing w:val="-2"/>
          <w:lang w:val="en-CA"/>
        </w:rPr>
        <w:t xml:space="preserve">they </w:t>
      </w:r>
      <w:r w:rsidRPr="006D4C68">
        <w:rPr>
          <w:spacing w:val="-2"/>
          <w:lang w:val="en-CA"/>
        </w:rPr>
        <w:t xml:space="preserve">applied to the program between September and the first week of December. These applications were screened by the </w:t>
      </w:r>
      <w:r w:rsidR="003B2C30" w:rsidRPr="006D4C68">
        <w:rPr>
          <w:spacing w:val="-2"/>
          <w:lang w:val="en-CA"/>
        </w:rPr>
        <w:t>p</w:t>
      </w:r>
      <w:r w:rsidRPr="006D4C68">
        <w:rPr>
          <w:spacing w:val="-2"/>
          <w:lang w:val="en-CA"/>
        </w:rPr>
        <w:t xml:space="preserve">rogram </w:t>
      </w:r>
      <w:r w:rsidR="005F7221" w:rsidRPr="006D4C68">
        <w:rPr>
          <w:spacing w:val="-2"/>
          <w:lang w:val="en-CA"/>
        </w:rPr>
        <w:t>d</w:t>
      </w:r>
      <w:r w:rsidRPr="006D4C68">
        <w:rPr>
          <w:spacing w:val="-2"/>
          <w:lang w:val="en-CA"/>
        </w:rPr>
        <w:t>irector</w:t>
      </w:r>
      <w:r w:rsidR="003B2C30" w:rsidRPr="006D4C68">
        <w:rPr>
          <w:spacing w:val="-2"/>
          <w:lang w:val="en-CA"/>
        </w:rPr>
        <w:t>s</w:t>
      </w:r>
      <w:r w:rsidRPr="006D4C68">
        <w:rPr>
          <w:spacing w:val="-2"/>
          <w:lang w:val="en-CA"/>
        </w:rPr>
        <w:t xml:space="preserve"> of the SHAD programs at the various campuses. </w:t>
      </w:r>
      <w:r w:rsidR="003833C7" w:rsidRPr="006D4C68">
        <w:rPr>
          <w:spacing w:val="-2"/>
          <w:lang w:val="en-CA"/>
        </w:rPr>
        <w:t>Simultaneously</w:t>
      </w:r>
      <w:r w:rsidRPr="006D4C68">
        <w:rPr>
          <w:spacing w:val="-2"/>
          <w:lang w:val="en-CA"/>
        </w:rPr>
        <w:t xml:space="preserve">, SHAD </w:t>
      </w:r>
      <w:r w:rsidR="003833C7" w:rsidRPr="006D4C68">
        <w:rPr>
          <w:spacing w:val="-2"/>
          <w:lang w:val="en-CA"/>
        </w:rPr>
        <w:t>contacted al</w:t>
      </w:r>
      <w:r w:rsidRPr="006D4C68">
        <w:rPr>
          <w:spacing w:val="-2"/>
          <w:lang w:val="en-CA"/>
        </w:rPr>
        <w:t>l parents to submit any requests for financial support.</w:t>
      </w:r>
      <w:r w:rsidR="00FA484B" w:rsidRPr="006D4C68">
        <w:rPr>
          <w:spacing w:val="-2"/>
          <w:lang w:val="en-CA"/>
        </w:rPr>
        <w:t xml:space="preserve"> </w:t>
      </w:r>
      <w:r w:rsidRPr="006D4C68">
        <w:rPr>
          <w:spacing w:val="-2"/>
          <w:lang w:val="en-CA"/>
        </w:rPr>
        <w:t>SHADs were notified if they were accepted into the program by March</w:t>
      </w:r>
      <w:r w:rsidR="00FA484B" w:rsidRPr="006D4C68">
        <w:rPr>
          <w:spacing w:val="-2"/>
          <w:lang w:val="en-CA"/>
        </w:rPr>
        <w:t xml:space="preserve"> each year</w:t>
      </w:r>
      <w:r w:rsidRPr="006D4C68">
        <w:rPr>
          <w:spacing w:val="-2"/>
          <w:lang w:val="en-CA"/>
        </w:rPr>
        <w:t>, at which point</w:t>
      </w:r>
      <w:r w:rsidR="003B2C30" w:rsidRPr="006D4C68">
        <w:rPr>
          <w:spacing w:val="-2"/>
          <w:lang w:val="en-CA"/>
        </w:rPr>
        <w:t xml:space="preserve"> a</w:t>
      </w:r>
      <w:r w:rsidRPr="006D4C68">
        <w:rPr>
          <w:spacing w:val="-2"/>
          <w:lang w:val="en-CA"/>
        </w:rPr>
        <w:t xml:space="preserve"> $500 deposit was required. In April, </w:t>
      </w:r>
      <w:r w:rsidR="00FA484B" w:rsidRPr="006D4C68">
        <w:rPr>
          <w:spacing w:val="-2"/>
          <w:lang w:val="en-CA"/>
        </w:rPr>
        <w:t xml:space="preserve">another </w:t>
      </w:r>
      <w:r w:rsidRPr="006D4C68">
        <w:rPr>
          <w:spacing w:val="-2"/>
          <w:lang w:val="en-CA"/>
        </w:rPr>
        <w:t>$2</w:t>
      </w:r>
      <w:r w:rsidR="005F7221" w:rsidRPr="006D4C68">
        <w:rPr>
          <w:spacing w:val="-2"/>
          <w:lang w:val="en-CA"/>
        </w:rPr>
        <w:t>,</w:t>
      </w:r>
      <w:r w:rsidRPr="006D4C68">
        <w:rPr>
          <w:spacing w:val="-2"/>
          <w:lang w:val="en-CA"/>
        </w:rPr>
        <w:t>000 was paid</w:t>
      </w:r>
      <w:r w:rsidR="005F7221" w:rsidRPr="006D4C68">
        <w:rPr>
          <w:spacing w:val="-2"/>
          <w:lang w:val="en-CA"/>
        </w:rPr>
        <w:t>,</w:t>
      </w:r>
      <w:r w:rsidRPr="006D4C68">
        <w:rPr>
          <w:rStyle w:val="FootnoteReference"/>
          <w:spacing w:val="-2"/>
          <w:lang w:val="en-CA"/>
        </w:rPr>
        <w:footnoteReference w:id="7"/>
      </w:r>
      <w:r w:rsidR="00FA484B" w:rsidRPr="006D4C68">
        <w:rPr>
          <w:spacing w:val="-2"/>
          <w:lang w:val="en-CA"/>
        </w:rPr>
        <w:t xml:space="preserve"> and the remaining amount was paid</w:t>
      </w:r>
      <w:r w:rsidRPr="006D4C68">
        <w:rPr>
          <w:spacing w:val="-2"/>
          <w:lang w:val="en-CA"/>
        </w:rPr>
        <w:t xml:space="preserve"> </w:t>
      </w:r>
      <w:r w:rsidR="00FA484B" w:rsidRPr="006D4C68">
        <w:rPr>
          <w:spacing w:val="-2"/>
          <w:lang w:val="en-CA"/>
        </w:rPr>
        <w:t>by</w:t>
      </w:r>
      <w:r w:rsidRPr="006D4C68">
        <w:rPr>
          <w:spacing w:val="-2"/>
          <w:lang w:val="en-CA"/>
        </w:rPr>
        <w:t xml:space="preserve"> June 1</w:t>
      </w:r>
      <w:r w:rsidR="005F7221" w:rsidRPr="006D4C68">
        <w:rPr>
          <w:spacing w:val="-2"/>
          <w:lang w:val="en-CA"/>
        </w:rPr>
        <w:t>.</w:t>
      </w:r>
      <w:r w:rsidRPr="006D4C68">
        <w:rPr>
          <w:rStyle w:val="FootnoteReference"/>
          <w:spacing w:val="-2"/>
          <w:lang w:val="en-CA"/>
        </w:rPr>
        <w:footnoteReference w:id="8"/>
      </w:r>
    </w:p>
    <w:p w:rsidR="00FA5BE7" w:rsidRDefault="00FA5BE7" w:rsidP="004635C0">
      <w:pPr>
        <w:pStyle w:val="BodyText"/>
        <w:rPr>
          <w:spacing w:val="-2"/>
          <w:lang w:val="en-CA"/>
        </w:rPr>
      </w:pPr>
    </w:p>
    <w:p w:rsidR="00FA5BE7" w:rsidRDefault="00FA5BE7" w:rsidP="004635C0">
      <w:pPr>
        <w:pStyle w:val="BodyText"/>
        <w:rPr>
          <w:spacing w:val="-2"/>
          <w:lang w:val="en-CA"/>
        </w:rPr>
      </w:pPr>
    </w:p>
    <w:p w:rsidR="00FA5BE7" w:rsidRDefault="00FA5BE7" w:rsidP="004635C0">
      <w:pPr>
        <w:pStyle w:val="BodyText"/>
        <w:rPr>
          <w:spacing w:val="-2"/>
          <w:lang w:val="en-CA"/>
        </w:rPr>
      </w:pPr>
    </w:p>
    <w:p w:rsidR="00FA5BE7" w:rsidRDefault="00FA5BE7" w:rsidP="004635C0">
      <w:pPr>
        <w:pStyle w:val="BodyText"/>
        <w:rPr>
          <w:spacing w:val="-2"/>
          <w:lang w:val="en-CA"/>
        </w:rPr>
      </w:pPr>
    </w:p>
    <w:p w:rsidR="00FA5BE7" w:rsidRPr="006D4C68" w:rsidRDefault="00FA5BE7" w:rsidP="004635C0">
      <w:pPr>
        <w:pStyle w:val="BodyText"/>
        <w:rPr>
          <w:spacing w:val="-2"/>
          <w:lang w:val="en-CA"/>
        </w:rPr>
      </w:pPr>
    </w:p>
    <w:p w:rsidR="004D1D62" w:rsidRPr="008D6F16" w:rsidRDefault="00FA484B" w:rsidP="004635C0">
      <w:pPr>
        <w:pStyle w:val="casehead2"/>
        <w:rPr>
          <w:lang w:val="en-CA"/>
        </w:rPr>
      </w:pPr>
      <w:r w:rsidRPr="008D6F16">
        <w:rPr>
          <w:lang w:val="en-CA"/>
        </w:rPr>
        <w:lastRenderedPageBreak/>
        <w:t>Program Costs</w:t>
      </w:r>
    </w:p>
    <w:p w:rsidR="004635C0" w:rsidRPr="00FA5BE7" w:rsidRDefault="004635C0" w:rsidP="004635C0">
      <w:pPr>
        <w:pStyle w:val="BodyText"/>
        <w:rPr>
          <w:lang w:val="en-CA"/>
        </w:rPr>
      </w:pPr>
    </w:p>
    <w:p w:rsidR="004D1D62" w:rsidRDefault="004D1D62" w:rsidP="004635C0">
      <w:pPr>
        <w:pStyle w:val="casehead3"/>
        <w:rPr>
          <w:lang w:val="en-CA"/>
        </w:rPr>
      </w:pPr>
      <w:r w:rsidRPr="008D6F16">
        <w:rPr>
          <w:lang w:val="en-CA"/>
        </w:rPr>
        <w:t xml:space="preserve">Equipment </w:t>
      </w:r>
      <w:r w:rsidR="00FA484B" w:rsidRPr="008D6F16">
        <w:rPr>
          <w:lang w:val="en-CA"/>
        </w:rPr>
        <w:t xml:space="preserve">and </w:t>
      </w:r>
      <w:r w:rsidRPr="008D6F16">
        <w:rPr>
          <w:lang w:val="en-CA"/>
        </w:rPr>
        <w:t>Supplies</w:t>
      </w:r>
    </w:p>
    <w:p w:rsidR="00C57A56" w:rsidRPr="00FA5BE7" w:rsidRDefault="00C57A56" w:rsidP="00DA7086">
      <w:pPr>
        <w:pStyle w:val="BodyText"/>
        <w:rPr>
          <w:lang w:val="en-CA"/>
        </w:rPr>
      </w:pPr>
    </w:p>
    <w:p w:rsidR="004D1D62" w:rsidRDefault="004D1D62" w:rsidP="004635C0">
      <w:pPr>
        <w:pStyle w:val="BodyText"/>
        <w:rPr>
          <w:lang w:val="en-CA"/>
        </w:rPr>
      </w:pPr>
      <w:r w:rsidRPr="008D6F16">
        <w:rPr>
          <w:lang w:val="en-CA"/>
        </w:rPr>
        <w:t xml:space="preserve">Equipment and supply costs </w:t>
      </w:r>
      <w:r w:rsidR="00FA484B" w:rsidRPr="008D6F16">
        <w:rPr>
          <w:lang w:val="en-CA"/>
        </w:rPr>
        <w:t>averaged</w:t>
      </w:r>
      <w:r w:rsidRPr="008D6F16">
        <w:rPr>
          <w:lang w:val="en-CA"/>
        </w:rPr>
        <w:t xml:space="preserve"> $7,000 for </w:t>
      </w:r>
      <w:r w:rsidR="00FA484B" w:rsidRPr="008D6F16">
        <w:rPr>
          <w:lang w:val="en-CA"/>
        </w:rPr>
        <w:t>one</w:t>
      </w:r>
      <w:r w:rsidRPr="008D6F16">
        <w:rPr>
          <w:lang w:val="en-CA"/>
        </w:rPr>
        <w:t xml:space="preserve"> program. </w:t>
      </w:r>
      <w:r w:rsidR="005F7221" w:rsidRPr="008D6F16">
        <w:rPr>
          <w:lang w:val="en-CA"/>
        </w:rPr>
        <w:t>Approximately</w:t>
      </w:r>
      <w:r w:rsidRPr="008D6F16">
        <w:rPr>
          <w:lang w:val="en-CA"/>
        </w:rPr>
        <w:t xml:space="preserve"> 75</w:t>
      </w:r>
      <w:r w:rsidR="005F7221" w:rsidRPr="008D6F16">
        <w:rPr>
          <w:lang w:val="en-CA"/>
        </w:rPr>
        <w:t xml:space="preserve"> per cent</w:t>
      </w:r>
      <w:r w:rsidRPr="008D6F16">
        <w:rPr>
          <w:lang w:val="en-CA"/>
        </w:rPr>
        <w:t xml:space="preserve"> of these expenses were paid in June,</w:t>
      </w:r>
      <w:r w:rsidR="00FA484B" w:rsidRPr="008D6F16">
        <w:rPr>
          <w:lang w:val="en-CA"/>
        </w:rPr>
        <w:t xml:space="preserve"> and</w:t>
      </w:r>
      <w:r w:rsidRPr="008D6F16">
        <w:rPr>
          <w:lang w:val="en-CA"/>
        </w:rPr>
        <w:t xml:space="preserve"> </w:t>
      </w:r>
      <w:r w:rsidR="001C70A1" w:rsidRPr="008D6F16">
        <w:rPr>
          <w:lang w:val="en-CA"/>
        </w:rPr>
        <w:t xml:space="preserve">the balance </w:t>
      </w:r>
      <w:r w:rsidRPr="008D6F16">
        <w:rPr>
          <w:lang w:val="en-CA"/>
        </w:rPr>
        <w:t>was purchased and paid for in July.</w:t>
      </w:r>
    </w:p>
    <w:p w:rsidR="008907EC" w:rsidRDefault="008907EC" w:rsidP="004635C0">
      <w:pPr>
        <w:pStyle w:val="BodyText"/>
        <w:rPr>
          <w:lang w:val="en-CA"/>
        </w:rPr>
      </w:pPr>
    </w:p>
    <w:p w:rsidR="008907EC" w:rsidRDefault="008907EC" w:rsidP="004635C0">
      <w:pPr>
        <w:pStyle w:val="BodyText"/>
        <w:rPr>
          <w:lang w:val="en-CA"/>
        </w:rPr>
      </w:pPr>
    </w:p>
    <w:p w:rsidR="004D1D62" w:rsidRPr="006D4C68" w:rsidRDefault="004D1D62" w:rsidP="006D4C68">
      <w:pPr>
        <w:pStyle w:val="casehead3"/>
      </w:pPr>
      <w:r w:rsidRPr="006D4C68">
        <w:t>Recreation Fees</w:t>
      </w:r>
    </w:p>
    <w:p w:rsidR="00FA5BE7" w:rsidRDefault="00FA5BE7" w:rsidP="004635C0">
      <w:pPr>
        <w:pStyle w:val="BodyText"/>
        <w:rPr>
          <w:lang w:val="en-CA"/>
        </w:rPr>
      </w:pPr>
    </w:p>
    <w:p w:rsidR="004D1D62" w:rsidRDefault="004D1D62" w:rsidP="004635C0">
      <w:pPr>
        <w:pStyle w:val="BodyText"/>
        <w:rPr>
          <w:lang w:val="en-CA"/>
        </w:rPr>
      </w:pPr>
      <w:r w:rsidRPr="008D6F16">
        <w:rPr>
          <w:lang w:val="en-CA"/>
        </w:rPr>
        <w:t xml:space="preserve">Most of the </w:t>
      </w:r>
      <w:r w:rsidR="001C70A1" w:rsidRPr="008D6F16">
        <w:rPr>
          <w:lang w:val="en-CA"/>
        </w:rPr>
        <w:t>program time</w:t>
      </w:r>
      <w:r w:rsidRPr="008D6F16">
        <w:rPr>
          <w:lang w:val="en-CA"/>
        </w:rPr>
        <w:t xml:space="preserve"> spent during the month was on the university campus, but SHADs </w:t>
      </w:r>
      <w:r w:rsidR="001C70A1" w:rsidRPr="008D6F16">
        <w:rPr>
          <w:lang w:val="en-CA"/>
        </w:rPr>
        <w:t xml:space="preserve">often camped and participated </w:t>
      </w:r>
      <w:r w:rsidR="00BD3F6D">
        <w:rPr>
          <w:lang w:val="en-CA"/>
        </w:rPr>
        <w:t>i</w:t>
      </w:r>
      <w:r w:rsidR="001C70A1" w:rsidRPr="008D6F16">
        <w:rPr>
          <w:lang w:val="en-CA"/>
        </w:rPr>
        <w:t xml:space="preserve">n trips into the cities of </w:t>
      </w:r>
      <w:r w:rsidRPr="008D6F16">
        <w:rPr>
          <w:lang w:val="en-CA"/>
        </w:rPr>
        <w:t>the host universities</w:t>
      </w:r>
      <w:r w:rsidR="001C70A1" w:rsidRPr="008D6F16">
        <w:rPr>
          <w:lang w:val="en-CA"/>
        </w:rPr>
        <w:t xml:space="preserve"> and </w:t>
      </w:r>
      <w:r w:rsidRPr="008D6F16">
        <w:rPr>
          <w:lang w:val="en-CA"/>
        </w:rPr>
        <w:t>wer</w:t>
      </w:r>
      <w:r w:rsidR="001C70A1" w:rsidRPr="008D6F16">
        <w:rPr>
          <w:lang w:val="en-CA"/>
        </w:rPr>
        <w:t xml:space="preserve">e also involved in </w:t>
      </w:r>
      <w:r w:rsidRPr="008D6F16">
        <w:rPr>
          <w:lang w:val="en-CA"/>
        </w:rPr>
        <w:t xml:space="preserve">activities that took place at the various sports stadiums on the university campus. These costs </w:t>
      </w:r>
      <w:r w:rsidR="001C70A1" w:rsidRPr="008D6F16">
        <w:rPr>
          <w:lang w:val="en-CA"/>
        </w:rPr>
        <w:t xml:space="preserve">averaged </w:t>
      </w:r>
      <w:r w:rsidRPr="008D6F16">
        <w:rPr>
          <w:lang w:val="en-CA"/>
        </w:rPr>
        <w:t>$3,500 and were paid in July.</w:t>
      </w:r>
    </w:p>
    <w:p w:rsidR="00FA5BE7" w:rsidRDefault="00FA5BE7" w:rsidP="004635C0">
      <w:pPr>
        <w:pStyle w:val="BodyText"/>
        <w:rPr>
          <w:lang w:val="en-CA"/>
        </w:rPr>
      </w:pPr>
    </w:p>
    <w:p w:rsidR="00FA5BE7" w:rsidRPr="008D6F16" w:rsidRDefault="00FA5BE7" w:rsidP="004635C0">
      <w:pPr>
        <w:pStyle w:val="BodyText"/>
        <w:rPr>
          <w:lang w:val="en-CA"/>
        </w:rPr>
      </w:pPr>
    </w:p>
    <w:p w:rsidR="004D1D62" w:rsidRPr="008D6F16" w:rsidRDefault="004D1D62" w:rsidP="004635C0">
      <w:pPr>
        <w:pStyle w:val="casehead3"/>
        <w:rPr>
          <w:lang w:val="en-CA"/>
        </w:rPr>
      </w:pPr>
      <w:r w:rsidRPr="008D6F16">
        <w:rPr>
          <w:lang w:val="en-CA"/>
        </w:rPr>
        <w:t>Transportation</w:t>
      </w:r>
    </w:p>
    <w:p w:rsidR="00FA5BE7" w:rsidRDefault="00FA5BE7" w:rsidP="004635C0">
      <w:pPr>
        <w:pStyle w:val="BodyText"/>
        <w:rPr>
          <w:lang w:val="en-CA"/>
        </w:rPr>
      </w:pPr>
    </w:p>
    <w:p w:rsidR="004D1D62" w:rsidRDefault="004D1D62" w:rsidP="004635C0">
      <w:pPr>
        <w:pStyle w:val="BodyText"/>
        <w:rPr>
          <w:lang w:val="en-CA"/>
        </w:rPr>
      </w:pPr>
      <w:r w:rsidRPr="008D6F16">
        <w:rPr>
          <w:lang w:val="en-CA"/>
        </w:rPr>
        <w:t>Buses were rented to take SHADs on various trips</w:t>
      </w:r>
      <w:r w:rsidR="002A6A41">
        <w:rPr>
          <w:lang w:val="en-CA"/>
        </w:rPr>
        <w:t>,</w:t>
      </w:r>
      <w:r w:rsidRPr="008D6F16">
        <w:rPr>
          <w:lang w:val="en-CA"/>
        </w:rPr>
        <w:t xml:space="preserve"> and cargo vans were rented to transport equipment</w:t>
      </w:r>
      <w:r w:rsidR="001C70A1" w:rsidRPr="008D6F16">
        <w:rPr>
          <w:lang w:val="en-CA"/>
        </w:rPr>
        <w:t xml:space="preserve"> at monthly charges of </w:t>
      </w:r>
      <w:r w:rsidRPr="008D6F16">
        <w:rPr>
          <w:lang w:val="en-CA"/>
        </w:rPr>
        <w:t>$2,400</w:t>
      </w:r>
      <w:r w:rsidR="001C70A1" w:rsidRPr="008D6F16">
        <w:rPr>
          <w:lang w:val="en-CA"/>
        </w:rPr>
        <w:t xml:space="preserve"> and</w:t>
      </w:r>
      <w:r w:rsidRPr="008D6F16">
        <w:rPr>
          <w:lang w:val="en-CA"/>
        </w:rPr>
        <w:t xml:space="preserve"> $2,000</w:t>
      </w:r>
      <w:r w:rsidR="001C70A1" w:rsidRPr="008D6F16">
        <w:rPr>
          <w:lang w:val="en-CA"/>
        </w:rPr>
        <w:t xml:space="preserve"> per van</w:t>
      </w:r>
      <w:r w:rsidRPr="008D6F16">
        <w:rPr>
          <w:lang w:val="en-CA"/>
        </w:rPr>
        <w:t xml:space="preserve">, </w:t>
      </w:r>
      <w:r w:rsidR="001C70A1" w:rsidRPr="008D6F16">
        <w:rPr>
          <w:lang w:val="en-CA"/>
        </w:rPr>
        <w:t xml:space="preserve">respectively. </w:t>
      </w:r>
      <w:r w:rsidRPr="008D6F16">
        <w:rPr>
          <w:lang w:val="en-CA"/>
        </w:rPr>
        <w:t>Fuel costs fluctuated substantially</w:t>
      </w:r>
      <w:r w:rsidR="001C70A1" w:rsidRPr="008D6F16">
        <w:rPr>
          <w:lang w:val="en-CA"/>
        </w:rPr>
        <w:t xml:space="preserve"> across Canada</w:t>
      </w:r>
      <w:r w:rsidR="002A6A41">
        <w:rPr>
          <w:lang w:val="en-CA"/>
        </w:rPr>
        <w:t>,</w:t>
      </w:r>
      <w:r w:rsidR="001C70A1" w:rsidRPr="008D6F16">
        <w:rPr>
          <w:lang w:val="en-CA"/>
        </w:rPr>
        <w:t xml:space="preserve"> and although fuel prices had been</w:t>
      </w:r>
      <w:r w:rsidRPr="008D6F16">
        <w:rPr>
          <w:lang w:val="en-CA"/>
        </w:rPr>
        <w:t xml:space="preserve"> lower in 2016, </w:t>
      </w:r>
      <w:proofErr w:type="spellStart"/>
      <w:r w:rsidRPr="008D6F16">
        <w:rPr>
          <w:lang w:val="en-CA"/>
        </w:rPr>
        <w:t>Hamoodi</w:t>
      </w:r>
      <w:proofErr w:type="spellEnd"/>
      <w:r w:rsidRPr="008D6F16">
        <w:rPr>
          <w:lang w:val="en-CA"/>
        </w:rPr>
        <w:t xml:space="preserve"> thought </w:t>
      </w:r>
      <w:r w:rsidR="001C70A1" w:rsidRPr="008D6F16">
        <w:rPr>
          <w:lang w:val="en-CA"/>
        </w:rPr>
        <w:t>it best to use</w:t>
      </w:r>
      <w:r w:rsidRPr="008D6F16">
        <w:rPr>
          <w:lang w:val="en-CA"/>
        </w:rPr>
        <w:t xml:space="preserve"> 2015 </w:t>
      </w:r>
      <w:r w:rsidR="001C70A1" w:rsidRPr="008D6F16">
        <w:rPr>
          <w:lang w:val="en-CA"/>
        </w:rPr>
        <w:t>fuel prices to</w:t>
      </w:r>
      <w:r w:rsidRPr="008D6F16">
        <w:rPr>
          <w:lang w:val="en-CA"/>
        </w:rPr>
        <w:t xml:space="preserve"> be more conservative </w:t>
      </w:r>
      <w:r w:rsidR="00E52FD5">
        <w:rPr>
          <w:lang w:val="en-CA"/>
        </w:rPr>
        <w:t>in her projections</w:t>
      </w:r>
      <w:r w:rsidR="007D383F">
        <w:rPr>
          <w:lang w:val="en-CA"/>
        </w:rPr>
        <w:t xml:space="preserve"> (see Exhibit 2)</w:t>
      </w:r>
      <w:r w:rsidR="00E52FD5">
        <w:rPr>
          <w:lang w:val="en-CA"/>
        </w:rPr>
        <w:t>. S</w:t>
      </w:r>
      <w:r w:rsidRPr="008D6F16">
        <w:rPr>
          <w:lang w:val="en-CA"/>
        </w:rPr>
        <w:t xml:space="preserve">he </w:t>
      </w:r>
      <w:r w:rsidR="00B857EF" w:rsidRPr="008D6F16">
        <w:rPr>
          <w:lang w:val="en-CA"/>
        </w:rPr>
        <w:t>decided</w:t>
      </w:r>
      <w:r w:rsidRPr="008D6F16">
        <w:rPr>
          <w:lang w:val="en-CA"/>
        </w:rPr>
        <w:t xml:space="preserve"> to use the highest fuel costs when determining transportation costs for a single SHAD program but an average fuel cost when </w:t>
      </w:r>
      <w:r w:rsidR="00B857EF" w:rsidRPr="008D6F16">
        <w:rPr>
          <w:lang w:val="en-CA"/>
        </w:rPr>
        <w:t>calculating</w:t>
      </w:r>
      <w:r w:rsidRPr="008D6F16">
        <w:rPr>
          <w:lang w:val="en-CA"/>
        </w:rPr>
        <w:t xml:space="preserve"> transportation costs for </w:t>
      </w:r>
      <w:r w:rsidR="00B857EF" w:rsidRPr="008D6F16">
        <w:rPr>
          <w:lang w:val="en-CA"/>
        </w:rPr>
        <w:t>the organization. A</w:t>
      </w:r>
      <w:r w:rsidR="005F7221" w:rsidRPr="008D6F16">
        <w:rPr>
          <w:lang w:val="en-CA"/>
        </w:rPr>
        <w:t xml:space="preserve"> cargo van </w:t>
      </w:r>
      <w:r w:rsidR="00B857EF" w:rsidRPr="008D6F16">
        <w:rPr>
          <w:lang w:val="en-CA"/>
        </w:rPr>
        <w:t>averaged</w:t>
      </w:r>
      <w:r w:rsidR="005F7221" w:rsidRPr="008D6F16">
        <w:rPr>
          <w:lang w:val="en-CA"/>
        </w:rPr>
        <w:t xml:space="preserve"> eight kilometres</w:t>
      </w:r>
      <w:r w:rsidRPr="008D6F16">
        <w:rPr>
          <w:lang w:val="en-CA"/>
        </w:rPr>
        <w:t xml:space="preserve"> for every </w:t>
      </w:r>
      <w:r w:rsidR="005F7221" w:rsidRPr="008D6F16">
        <w:rPr>
          <w:lang w:val="en-CA"/>
        </w:rPr>
        <w:t>l</w:t>
      </w:r>
      <w:r w:rsidRPr="008D6F16">
        <w:rPr>
          <w:lang w:val="en-CA"/>
        </w:rPr>
        <w:t>itre of fuel</w:t>
      </w:r>
      <w:r w:rsidR="002A6A41">
        <w:rPr>
          <w:lang w:val="en-CA"/>
        </w:rPr>
        <w:t>,</w:t>
      </w:r>
      <w:r w:rsidR="00B857EF" w:rsidRPr="008D6F16">
        <w:rPr>
          <w:lang w:val="en-CA"/>
        </w:rPr>
        <w:t xml:space="preserve"> and ea</w:t>
      </w:r>
      <w:r w:rsidRPr="008D6F16">
        <w:rPr>
          <w:lang w:val="en-CA"/>
        </w:rPr>
        <w:t>ch van was expected to be driven 3,000 k</w:t>
      </w:r>
      <w:r w:rsidR="005F7221" w:rsidRPr="008D6F16">
        <w:rPr>
          <w:lang w:val="en-CA"/>
        </w:rPr>
        <w:t>ilometres</w:t>
      </w:r>
      <w:r w:rsidRPr="008D6F16">
        <w:rPr>
          <w:lang w:val="en-CA"/>
        </w:rPr>
        <w:t xml:space="preserve"> during the month of July. Other miscellaneous transportation charges were </w:t>
      </w:r>
      <w:r w:rsidR="00B857EF" w:rsidRPr="008D6F16">
        <w:rPr>
          <w:lang w:val="en-CA"/>
        </w:rPr>
        <w:t>projected to total</w:t>
      </w:r>
      <w:r w:rsidRPr="008D6F16">
        <w:rPr>
          <w:lang w:val="en-CA"/>
        </w:rPr>
        <w:t xml:space="preserve"> $1,000</w:t>
      </w:r>
      <w:r w:rsidR="00B857EF" w:rsidRPr="008D6F16">
        <w:rPr>
          <w:lang w:val="en-CA"/>
        </w:rPr>
        <w:t xml:space="preserve"> for one program</w:t>
      </w:r>
      <w:r w:rsidRPr="008D6F16">
        <w:rPr>
          <w:lang w:val="en-CA"/>
        </w:rPr>
        <w:t>.</w:t>
      </w:r>
    </w:p>
    <w:p w:rsidR="00FA5BE7" w:rsidRPr="008D6F16" w:rsidRDefault="00FA5BE7" w:rsidP="004635C0">
      <w:pPr>
        <w:pStyle w:val="BodyText"/>
        <w:rPr>
          <w:lang w:val="en-CA"/>
        </w:rPr>
      </w:pPr>
    </w:p>
    <w:p w:rsidR="004D1D62" w:rsidRDefault="004D1D62" w:rsidP="004635C0">
      <w:pPr>
        <w:pStyle w:val="BodyText"/>
        <w:rPr>
          <w:lang w:val="en-CA"/>
        </w:rPr>
      </w:pPr>
      <w:r w:rsidRPr="008D6F16">
        <w:rPr>
          <w:lang w:val="en-CA"/>
        </w:rPr>
        <w:t>All</w:t>
      </w:r>
      <w:r w:rsidR="00B857EF" w:rsidRPr="008D6F16">
        <w:rPr>
          <w:lang w:val="en-CA"/>
        </w:rPr>
        <w:t xml:space="preserve"> rental and fuel</w:t>
      </w:r>
      <w:r w:rsidRPr="008D6F16">
        <w:rPr>
          <w:lang w:val="en-CA"/>
        </w:rPr>
        <w:t xml:space="preserve"> charges were paid in July, except for the cargo vans</w:t>
      </w:r>
      <w:r w:rsidR="00B857EF" w:rsidRPr="008D6F16">
        <w:rPr>
          <w:lang w:val="en-CA"/>
        </w:rPr>
        <w:t>’</w:t>
      </w:r>
      <w:r w:rsidRPr="008D6F16">
        <w:rPr>
          <w:lang w:val="en-CA"/>
        </w:rPr>
        <w:t xml:space="preserve"> rental fee. The cargo vans were used during the entire month and were returned and paid for after the staff team moved out of the campus residences</w:t>
      </w:r>
      <w:r w:rsidR="005F7221" w:rsidRPr="008D6F16">
        <w:rPr>
          <w:lang w:val="en-CA"/>
        </w:rPr>
        <w:t xml:space="preserve"> in the first week of August.</w:t>
      </w:r>
    </w:p>
    <w:p w:rsidR="00FA5BE7" w:rsidRDefault="00FA5BE7" w:rsidP="004635C0">
      <w:pPr>
        <w:pStyle w:val="BodyText"/>
        <w:rPr>
          <w:lang w:val="en-CA"/>
        </w:rPr>
      </w:pPr>
    </w:p>
    <w:p w:rsidR="00FA5BE7" w:rsidRPr="008D6F16" w:rsidRDefault="00FA5BE7" w:rsidP="004635C0">
      <w:pPr>
        <w:pStyle w:val="BodyText"/>
        <w:rPr>
          <w:lang w:val="en-CA"/>
        </w:rPr>
      </w:pPr>
    </w:p>
    <w:p w:rsidR="004D1D62" w:rsidRPr="008D6F16" w:rsidRDefault="004D1D62" w:rsidP="004635C0">
      <w:pPr>
        <w:pStyle w:val="casehead3"/>
        <w:rPr>
          <w:lang w:val="en-CA"/>
        </w:rPr>
      </w:pPr>
      <w:r w:rsidRPr="008D6F16">
        <w:rPr>
          <w:lang w:val="en-CA"/>
        </w:rPr>
        <w:t xml:space="preserve">Accommodations </w:t>
      </w:r>
      <w:r w:rsidR="00B857EF" w:rsidRPr="008D6F16">
        <w:rPr>
          <w:lang w:val="en-CA"/>
        </w:rPr>
        <w:t>and</w:t>
      </w:r>
      <w:r w:rsidRPr="008D6F16">
        <w:rPr>
          <w:lang w:val="en-CA"/>
        </w:rPr>
        <w:t xml:space="preserve"> Meals</w:t>
      </w:r>
    </w:p>
    <w:p w:rsidR="00FA5BE7" w:rsidRDefault="00FA5BE7" w:rsidP="004635C0">
      <w:pPr>
        <w:pStyle w:val="BodyText"/>
        <w:rPr>
          <w:lang w:val="en-CA"/>
        </w:rPr>
      </w:pPr>
    </w:p>
    <w:p w:rsidR="004D1D62" w:rsidRDefault="004D1D62" w:rsidP="004635C0">
      <w:pPr>
        <w:pStyle w:val="BodyText"/>
        <w:rPr>
          <w:lang w:val="en-CA"/>
        </w:rPr>
      </w:pPr>
      <w:r w:rsidRPr="008D6F16">
        <w:rPr>
          <w:lang w:val="en-CA"/>
        </w:rPr>
        <w:t xml:space="preserve">Room and board were provided for all staff members and SHADs during the program. These costs varied across campuses, </w:t>
      </w:r>
      <w:r w:rsidR="00B857EF" w:rsidRPr="008D6F16">
        <w:rPr>
          <w:lang w:val="en-CA"/>
        </w:rPr>
        <w:t xml:space="preserve">with the highest cost of </w:t>
      </w:r>
      <w:r w:rsidRPr="008D6F16">
        <w:rPr>
          <w:lang w:val="en-CA"/>
        </w:rPr>
        <w:t>$168,000 for a single SHAD p</w:t>
      </w:r>
      <w:r w:rsidR="00B857EF" w:rsidRPr="008D6F16">
        <w:rPr>
          <w:lang w:val="en-CA"/>
        </w:rPr>
        <w:t>rogram. When projecting the costs of a</w:t>
      </w:r>
      <w:r w:rsidRPr="008D6F16">
        <w:rPr>
          <w:lang w:val="en-CA"/>
        </w:rPr>
        <w:t xml:space="preserve"> SHAD program, </w:t>
      </w:r>
      <w:proofErr w:type="spellStart"/>
      <w:r w:rsidRPr="008D6F16">
        <w:rPr>
          <w:lang w:val="en-CA"/>
        </w:rPr>
        <w:t>Hamoodi</w:t>
      </w:r>
      <w:proofErr w:type="spellEnd"/>
      <w:r w:rsidRPr="008D6F16">
        <w:rPr>
          <w:lang w:val="en-CA"/>
        </w:rPr>
        <w:t xml:space="preserve"> wa</w:t>
      </w:r>
      <w:r w:rsidR="00B857EF" w:rsidRPr="008D6F16">
        <w:rPr>
          <w:lang w:val="en-CA"/>
        </w:rPr>
        <w:t>nted to be conservative, but when projecting</w:t>
      </w:r>
      <w:r w:rsidRPr="008D6F16">
        <w:rPr>
          <w:lang w:val="en-CA"/>
        </w:rPr>
        <w:t xml:space="preserve"> the organization’s cash budget, she </w:t>
      </w:r>
      <w:r w:rsidR="004537A3" w:rsidRPr="008D6F16">
        <w:rPr>
          <w:lang w:val="en-CA"/>
        </w:rPr>
        <w:t>thought</w:t>
      </w:r>
      <w:r w:rsidRPr="008D6F16">
        <w:rPr>
          <w:lang w:val="en-CA"/>
        </w:rPr>
        <w:t xml:space="preserve"> the historical average of $140,000 would be more suitable. Half of these costs were paid on July 1</w:t>
      </w:r>
      <w:r w:rsidR="00A21191">
        <w:rPr>
          <w:lang w:val="en-CA"/>
        </w:rPr>
        <w:t>,</w:t>
      </w:r>
      <w:r w:rsidR="00B857EF" w:rsidRPr="008D6F16">
        <w:rPr>
          <w:lang w:val="en-CA"/>
        </w:rPr>
        <w:t xml:space="preserve"> and the other half </w:t>
      </w:r>
      <w:r w:rsidR="002A6A41" w:rsidRPr="008D6F16">
        <w:rPr>
          <w:lang w:val="en-CA"/>
        </w:rPr>
        <w:t>w</w:t>
      </w:r>
      <w:r w:rsidR="002A6A41">
        <w:rPr>
          <w:lang w:val="en-CA"/>
        </w:rPr>
        <w:t>as</w:t>
      </w:r>
      <w:r w:rsidR="002A6A41" w:rsidRPr="008D6F16">
        <w:rPr>
          <w:lang w:val="en-CA"/>
        </w:rPr>
        <w:t xml:space="preserve"> </w:t>
      </w:r>
      <w:r w:rsidRPr="008D6F16">
        <w:rPr>
          <w:lang w:val="en-CA"/>
        </w:rPr>
        <w:t>paid when the staff team moved out in August.</w:t>
      </w:r>
    </w:p>
    <w:p w:rsidR="00FA5BE7" w:rsidRDefault="00FA5BE7" w:rsidP="004635C0">
      <w:pPr>
        <w:pStyle w:val="BodyText"/>
        <w:rPr>
          <w:lang w:val="en-CA"/>
        </w:rPr>
      </w:pPr>
    </w:p>
    <w:p w:rsidR="00FA5BE7" w:rsidRPr="008D6F16" w:rsidRDefault="00FA5BE7" w:rsidP="004635C0">
      <w:pPr>
        <w:pStyle w:val="BodyText"/>
        <w:rPr>
          <w:lang w:val="en-CA"/>
        </w:rPr>
      </w:pPr>
    </w:p>
    <w:p w:rsidR="004D1D62" w:rsidRPr="008D6F16" w:rsidRDefault="00B857EF" w:rsidP="004635C0">
      <w:pPr>
        <w:pStyle w:val="casehead3"/>
        <w:rPr>
          <w:lang w:val="en-CA"/>
        </w:rPr>
      </w:pPr>
      <w:r w:rsidRPr="008D6F16">
        <w:rPr>
          <w:lang w:val="en-CA"/>
        </w:rPr>
        <w:t>Other</w:t>
      </w:r>
    </w:p>
    <w:p w:rsidR="00FA5BE7" w:rsidRDefault="00FA5BE7" w:rsidP="004635C0">
      <w:pPr>
        <w:pStyle w:val="BodyText"/>
        <w:rPr>
          <w:lang w:val="en-CA"/>
        </w:rPr>
      </w:pPr>
    </w:p>
    <w:p w:rsidR="004D1D62" w:rsidRDefault="004D1D62" w:rsidP="004635C0">
      <w:pPr>
        <w:pStyle w:val="BodyText"/>
        <w:rPr>
          <w:lang w:val="en-CA"/>
        </w:rPr>
      </w:pPr>
      <w:r w:rsidRPr="008D6F16">
        <w:rPr>
          <w:lang w:val="en-CA"/>
        </w:rPr>
        <w:t>Other costs</w:t>
      </w:r>
      <w:r w:rsidR="001D42B8">
        <w:rPr>
          <w:lang w:val="en-CA"/>
        </w:rPr>
        <w:t xml:space="preserve"> </w:t>
      </w:r>
      <w:r w:rsidRPr="008D6F16">
        <w:rPr>
          <w:lang w:val="en-CA"/>
        </w:rPr>
        <w:t>associated with the SHAD program</w:t>
      </w:r>
      <w:r w:rsidR="00FA7D44">
        <w:rPr>
          <w:lang w:val="en-CA"/>
        </w:rPr>
        <w:t xml:space="preserve">, including wages, </w:t>
      </w:r>
      <w:r w:rsidRPr="008D6F16">
        <w:rPr>
          <w:lang w:val="en-CA"/>
        </w:rPr>
        <w:t xml:space="preserve">amounted to roughly $1,200 per participant. </w:t>
      </w:r>
      <w:r w:rsidR="00B857EF" w:rsidRPr="008D6F16">
        <w:rPr>
          <w:lang w:val="en-CA"/>
        </w:rPr>
        <w:t>Payment for these</w:t>
      </w:r>
      <w:r w:rsidRPr="008D6F16">
        <w:rPr>
          <w:lang w:val="en-CA"/>
        </w:rPr>
        <w:t xml:space="preserve"> costs w</w:t>
      </w:r>
      <w:r w:rsidR="00BD3F6D">
        <w:rPr>
          <w:lang w:val="en-CA"/>
        </w:rPr>
        <w:t>as</w:t>
      </w:r>
      <w:r w:rsidRPr="008D6F16">
        <w:rPr>
          <w:lang w:val="en-CA"/>
        </w:rPr>
        <w:t xml:space="preserve"> </w:t>
      </w:r>
      <w:r w:rsidR="00B857EF" w:rsidRPr="008D6F16">
        <w:rPr>
          <w:lang w:val="en-CA"/>
        </w:rPr>
        <w:t>split equally between</w:t>
      </w:r>
      <w:r w:rsidRPr="008D6F16">
        <w:rPr>
          <w:lang w:val="en-CA"/>
        </w:rPr>
        <w:t xml:space="preserve"> July</w:t>
      </w:r>
      <w:r w:rsidR="00B857EF" w:rsidRPr="008D6F16">
        <w:rPr>
          <w:lang w:val="en-CA"/>
        </w:rPr>
        <w:t xml:space="preserve"> and </w:t>
      </w:r>
      <w:r w:rsidRPr="008D6F16">
        <w:rPr>
          <w:lang w:val="en-CA"/>
        </w:rPr>
        <w:t>August.</w:t>
      </w:r>
    </w:p>
    <w:p w:rsidR="00FA5BE7" w:rsidRDefault="00FA5BE7" w:rsidP="004635C0">
      <w:pPr>
        <w:pStyle w:val="BodyText"/>
        <w:rPr>
          <w:lang w:val="en-CA"/>
        </w:rPr>
      </w:pPr>
    </w:p>
    <w:p w:rsidR="00FA5BE7" w:rsidRDefault="00FA5BE7" w:rsidP="004635C0">
      <w:pPr>
        <w:pStyle w:val="BodyText"/>
        <w:rPr>
          <w:lang w:val="en-CA"/>
        </w:rPr>
      </w:pPr>
    </w:p>
    <w:p w:rsidR="00FA5BE7" w:rsidRDefault="00FA5BE7" w:rsidP="004635C0">
      <w:pPr>
        <w:pStyle w:val="BodyText"/>
        <w:rPr>
          <w:lang w:val="en-CA"/>
        </w:rPr>
      </w:pPr>
    </w:p>
    <w:p w:rsidR="00FA5BE7" w:rsidRDefault="00FA5BE7" w:rsidP="004635C0">
      <w:pPr>
        <w:pStyle w:val="BodyText"/>
        <w:rPr>
          <w:lang w:val="en-CA"/>
        </w:rPr>
      </w:pPr>
    </w:p>
    <w:p w:rsidR="00FA5BE7" w:rsidRPr="008D6F16" w:rsidRDefault="00FA5BE7" w:rsidP="004635C0">
      <w:pPr>
        <w:pStyle w:val="BodyText"/>
        <w:rPr>
          <w:lang w:val="en-CA"/>
        </w:rPr>
      </w:pPr>
    </w:p>
    <w:p w:rsidR="004D1D62" w:rsidRPr="008D6F16" w:rsidRDefault="00B857EF" w:rsidP="004635C0">
      <w:pPr>
        <w:pStyle w:val="Casehead4"/>
        <w:rPr>
          <w:rFonts w:ascii="Arial" w:hAnsi="Arial" w:cs="Arial"/>
          <w:b/>
          <w:i w:val="0"/>
          <w:sz w:val="20"/>
          <w:lang w:val="en-CA"/>
        </w:rPr>
      </w:pPr>
      <w:r w:rsidRPr="008D6F16">
        <w:rPr>
          <w:rFonts w:ascii="Arial" w:hAnsi="Arial" w:cs="Arial"/>
          <w:b/>
          <w:i w:val="0"/>
          <w:sz w:val="20"/>
          <w:lang w:val="en-CA"/>
        </w:rPr>
        <w:lastRenderedPageBreak/>
        <w:t>S</w:t>
      </w:r>
      <w:r w:rsidR="00E52FD5">
        <w:rPr>
          <w:rFonts w:ascii="Arial" w:hAnsi="Arial" w:cs="Arial"/>
          <w:b/>
          <w:i w:val="0"/>
          <w:sz w:val="20"/>
          <w:lang w:val="en-CA"/>
        </w:rPr>
        <w:t>HAD</w:t>
      </w:r>
      <w:r w:rsidRPr="008D6F16">
        <w:rPr>
          <w:rFonts w:ascii="Arial" w:hAnsi="Arial" w:cs="Arial"/>
          <w:b/>
          <w:i w:val="0"/>
          <w:sz w:val="20"/>
          <w:lang w:val="en-CA"/>
        </w:rPr>
        <w:t xml:space="preserve"> Financials</w:t>
      </w:r>
    </w:p>
    <w:p w:rsidR="00B857EF" w:rsidRPr="00FA5BE7" w:rsidRDefault="00B857EF" w:rsidP="00B857EF">
      <w:pPr>
        <w:pStyle w:val="BodyText"/>
        <w:rPr>
          <w:lang w:val="en-CA"/>
        </w:rPr>
      </w:pPr>
    </w:p>
    <w:p w:rsidR="00B857EF" w:rsidRPr="008D6F16" w:rsidRDefault="00B857EF" w:rsidP="00B857EF">
      <w:pPr>
        <w:pStyle w:val="BodyText"/>
        <w:rPr>
          <w:u w:val="single"/>
          <w:lang w:val="en-CA"/>
        </w:rPr>
      </w:pPr>
      <w:r w:rsidRPr="008D6F16">
        <w:rPr>
          <w:u w:val="single"/>
          <w:lang w:val="en-CA"/>
        </w:rPr>
        <w:t>Donations</w:t>
      </w:r>
    </w:p>
    <w:p w:rsidR="00FA5BE7" w:rsidRDefault="00FA5BE7" w:rsidP="00DA7086">
      <w:pPr>
        <w:pStyle w:val="BodyText"/>
        <w:rPr>
          <w:lang w:val="en-CA"/>
        </w:rPr>
      </w:pPr>
    </w:p>
    <w:p w:rsidR="004D1D62" w:rsidRDefault="004D1D62" w:rsidP="00DA7086">
      <w:pPr>
        <w:pStyle w:val="BodyText"/>
        <w:rPr>
          <w:lang w:val="en-CA"/>
        </w:rPr>
      </w:pPr>
      <w:r w:rsidRPr="008D6F16">
        <w:rPr>
          <w:lang w:val="en-CA"/>
        </w:rPr>
        <w:t>SHAD had received donations from various sources since</w:t>
      </w:r>
      <w:r w:rsidR="00B857EF" w:rsidRPr="008D6F16">
        <w:rPr>
          <w:lang w:val="en-CA"/>
        </w:rPr>
        <w:t xml:space="preserve"> its</w:t>
      </w:r>
      <w:r w:rsidRPr="008D6F16">
        <w:rPr>
          <w:lang w:val="en-CA"/>
        </w:rPr>
        <w:t xml:space="preserve"> inception. The use of these funds was internally restricted</w:t>
      </w:r>
      <w:r w:rsidR="003E6D49" w:rsidRPr="008D6F16">
        <w:rPr>
          <w:lang w:val="en-CA"/>
        </w:rPr>
        <w:t>,</w:t>
      </w:r>
      <w:r w:rsidRPr="008D6F16">
        <w:rPr>
          <w:rStyle w:val="FootnoteReference"/>
          <w:lang w:val="en-CA"/>
        </w:rPr>
        <w:footnoteReference w:id="9"/>
      </w:r>
      <w:r w:rsidRPr="008D6F16">
        <w:rPr>
          <w:lang w:val="en-CA"/>
        </w:rPr>
        <w:t xml:space="preserve"> and they were typically </w:t>
      </w:r>
      <w:r w:rsidR="00B857EF" w:rsidRPr="008D6F16">
        <w:rPr>
          <w:lang w:val="en-CA"/>
        </w:rPr>
        <w:t>used to pay for</w:t>
      </w:r>
      <w:r w:rsidRPr="008D6F16">
        <w:rPr>
          <w:lang w:val="en-CA"/>
        </w:rPr>
        <w:t xml:space="preserve"> bursaries and scholarships to SHADs. Many of the funds were donated by individuals with either a previous or current association with the program</w:t>
      </w:r>
      <w:r w:rsidR="00B857EF" w:rsidRPr="008D6F16">
        <w:rPr>
          <w:lang w:val="en-CA"/>
        </w:rPr>
        <w:t xml:space="preserve">. These </w:t>
      </w:r>
      <w:r w:rsidRPr="008D6F16">
        <w:rPr>
          <w:lang w:val="en-CA"/>
        </w:rPr>
        <w:t>funds amounted to $3.4 million in 2016</w:t>
      </w:r>
      <w:r w:rsidR="00B857EF" w:rsidRPr="008D6F16">
        <w:rPr>
          <w:lang w:val="en-CA"/>
        </w:rPr>
        <w:t>,</w:t>
      </w:r>
      <w:r w:rsidRPr="008D6F16">
        <w:rPr>
          <w:lang w:val="en-CA"/>
        </w:rPr>
        <w:t xml:space="preserve"> and were held in secure investments</w:t>
      </w:r>
      <w:r w:rsidR="00B857EF" w:rsidRPr="008D6F16">
        <w:rPr>
          <w:lang w:val="en-CA"/>
        </w:rPr>
        <w:t>,</w:t>
      </w:r>
      <w:r w:rsidRPr="008D6F16">
        <w:rPr>
          <w:lang w:val="en-CA"/>
        </w:rPr>
        <w:t xml:space="preserve"> such as </w:t>
      </w:r>
      <w:r w:rsidR="003E6D49" w:rsidRPr="008D6F16">
        <w:rPr>
          <w:lang w:val="en-CA"/>
        </w:rPr>
        <w:t>guaranteed investment certificates</w:t>
      </w:r>
      <w:r w:rsidR="00B857EF" w:rsidRPr="008D6F16">
        <w:rPr>
          <w:lang w:val="en-CA"/>
        </w:rPr>
        <w:t>, and</w:t>
      </w:r>
      <w:r w:rsidRPr="008D6F16">
        <w:rPr>
          <w:lang w:val="en-CA"/>
        </w:rPr>
        <w:t xml:space="preserve"> earned an annual return of </w:t>
      </w:r>
      <w:r w:rsidR="00552E16">
        <w:rPr>
          <w:lang w:val="en-CA"/>
        </w:rPr>
        <w:t>2</w:t>
      </w:r>
      <w:r w:rsidR="003E6D49" w:rsidRPr="008D6F16">
        <w:rPr>
          <w:lang w:val="en-CA"/>
        </w:rPr>
        <w:t xml:space="preserve"> per cent</w:t>
      </w:r>
      <w:r w:rsidRPr="008D6F16">
        <w:rPr>
          <w:lang w:val="en-CA"/>
        </w:rPr>
        <w:t>.</w:t>
      </w:r>
    </w:p>
    <w:p w:rsidR="00FA5BE7" w:rsidRDefault="00FA5BE7" w:rsidP="00DA7086">
      <w:pPr>
        <w:pStyle w:val="BodyText"/>
        <w:rPr>
          <w:lang w:val="en-CA"/>
        </w:rPr>
      </w:pPr>
    </w:p>
    <w:p w:rsidR="00FA5BE7" w:rsidRDefault="00FA5BE7" w:rsidP="00DA7086">
      <w:pPr>
        <w:pStyle w:val="BodyText"/>
        <w:rPr>
          <w:lang w:val="en-CA"/>
        </w:rPr>
      </w:pPr>
    </w:p>
    <w:p w:rsidR="004D1D62" w:rsidRPr="008D6F16" w:rsidRDefault="00B857EF" w:rsidP="00DA7086">
      <w:pPr>
        <w:pStyle w:val="casehead3"/>
        <w:rPr>
          <w:i/>
          <w:lang w:val="en-CA"/>
        </w:rPr>
      </w:pPr>
      <w:r w:rsidRPr="008D6F16">
        <w:rPr>
          <w:lang w:val="en-CA"/>
        </w:rPr>
        <w:t>Ad</w:t>
      </w:r>
      <w:r w:rsidR="008D6F16" w:rsidRPr="008D6F16">
        <w:rPr>
          <w:lang w:val="en-CA"/>
        </w:rPr>
        <w:t>min</w:t>
      </w:r>
      <w:r w:rsidRPr="008D6F16">
        <w:rPr>
          <w:lang w:val="en-CA"/>
        </w:rPr>
        <w:t>istration Costs</w:t>
      </w:r>
    </w:p>
    <w:p w:rsidR="008566AC" w:rsidRPr="008907EC" w:rsidRDefault="008566AC" w:rsidP="00DA7086">
      <w:pPr>
        <w:pStyle w:val="BodyText"/>
        <w:rPr>
          <w:sz w:val="16"/>
          <w:szCs w:val="16"/>
        </w:rPr>
      </w:pPr>
    </w:p>
    <w:p w:rsidR="004D1D62" w:rsidRDefault="00373AEE" w:rsidP="008566AC">
      <w:pPr>
        <w:pStyle w:val="BodyText"/>
        <w:rPr>
          <w:lang w:val="en-CA"/>
        </w:rPr>
      </w:pPr>
      <w:r w:rsidRPr="008D6F16">
        <w:rPr>
          <w:lang w:val="en-CA"/>
        </w:rPr>
        <w:t>SHAD incurred expenses for its</w:t>
      </w:r>
      <w:r w:rsidR="004D1D62" w:rsidRPr="008D6F16">
        <w:rPr>
          <w:lang w:val="en-CA"/>
        </w:rPr>
        <w:t xml:space="preserve"> alumni outreach and communications,</w:t>
      </w:r>
      <w:r w:rsidRPr="008D6F16">
        <w:rPr>
          <w:lang w:val="en-CA"/>
        </w:rPr>
        <w:t xml:space="preserve"> the</w:t>
      </w:r>
      <w:r w:rsidR="004D1D62" w:rsidRPr="008D6F16">
        <w:rPr>
          <w:lang w:val="en-CA"/>
        </w:rPr>
        <w:t xml:space="preserve"> program</w:t>
      </w:r>
      <w:r w:rsidRPr="008D6F16">
        <w:rPr>
          <w:lang w:val="en-CA"/>
        </w:rPr>
        <w:t>’s</w:t>
      </w:r>
      <w:r w:rsidR="004D1D62" w:rsidRPr="008D6F16">
        <w:rPr>
          <w:lang w:val="en-CA"/>
        </w:rPr>
        <w:t xml:space="preserve"> development and evaluation, administrati</w:t>
      </w:r>
      <w:r w:rsidRPr="008D6F16">
        <w:rPr>
          <w:lang w:val="en-CA"/>
        </w:rPr>
        <w:t>on</w:t>
      </w:r>
      <w:r w:rsidR="004D1D62" w:rsidRPr="008D6F16">
        <w:rPr>
          <w:lang w:val="en-CA"/>
        </w:rPr>
        <w:t xml:space="preserve"> expenses, and bank and investment fees. These costs were paid as they were incurred.</w:t>
      </w:r>
    </w:p>
    <w:p w:rsidR="00FA5BE7" w:rsidRPr="008D6F16" w:rsidRDefault="00FA5BE7" w:rsidP="008566AC">
      <w:pPr>
        <w:pStyle w:val="BodyText"/>
        <w:rPr>
          <w:lang w:val="en-CA"/>
        </w:rPr>
      </w:pPr>
    </w:p>
    <w:p w:rsidR="004D1D62" w:rsidRDefault="004D1D62" w:rsidP="008566AC">
      <w:pPr>
        <w:pStyle w:val="BodyText"/>
        <w:rPr>
          <w:lang w:val="en-CA"/>
        </w:rPr>
      </w:pPr>
      <w:r w:rsidRPr="008D6F16">
        <w:rPr>
          <w:lang w:val="en-CA"/>
        </w:rPr>
        <w:t xml:space="preserve">Alumni outreach and communication expenses varied throughout the year. They were </w:t>
      </w:r>
      <w:r w:rsidR="00373AEE" w:rsidRPr="008D6F16">
        <w:rPr>
          <w:lang w:val="en-CA"/>
        </w:rPr>
        <w:t xml:space="preserve">projected </w:t>
      </w:r>
      <w:r w:rsidRPr="008D6F16">
        <w:rPr>
          <w:lang w:val="en-CA"/>
        </w:rPr>
        <w:t xml:space="preserve">to be </w:t>
      </w:r>
      <w:r w:rsidRPr="00BA3C83">
        <w:rPr>
          <w:lang w:val="en-CA"/>
        </w:rPr>
        <w:t xml:space="preserve">$20,000 </w:t>
      </w:r>
      <w:r w:rsidR="00373AEE" w:rsidRPr="00BA3C83">
        <w:rPr>
          <w:lang w:val="en-CA"/>
        </w:rPr>
        <w:t>a</w:t>
      </w:r>
      <w:r w:rsidRPr="00BA3C83">
        <w:rPr>
          <w:lang w:val="en-CA"/>
        </w:rPr>
        <w:t xml:space="preserve"> month in the first three months of the fiscal year</w:t>
      </w:r>
      <w:r w:rsidR="00672834">
        <w:rPr>
          <w:lang w:val="en-CA"/>
        </w:rPr>
        <w:t xml:space="preserve"> (starting November 1)</w:t>
      </w:r>
      <w:r w:rsidRPr="00BA3C83">
        <w:rPr>
          <w:lang w:val="en-CA"/>
        </w:rPr>
        <w:t xml:space="preserve"> and </w:t>
      </w:r>
      <w:r w:rsidR="00373AEE" w:rsidRPr="00BA3C83">
        <w:rPr>
          <w:lang w:val="en-CA"/>
        </w:rPr>
        <w:t xml:space="preserve">$40,000 for </w:t>
      </w:r>
      <w:r w:rsidRPr="00BA3C83">
        <w:rPr>
          <w:lang w:val="en-CA"/>
        </w:rPr>
        <w:t xml:space="preserve">the next three months. From May to July, alumni outreach </w:t>
      </w:r>
      <w:r w:rsidR="00373AEE" w:rsidRPr="00BA3C83">
        <w:rPr>
          <w:lang w:val="en-CA"/>
        </w:rPr>
        <w:t xml:space="preserve">activities </w:t>
      </w:r>
      <w:r w:rsidRPr="00BA3C83">
        <w:rPr>
          <w:lang w:val="en-CA"/>
        </w:rPr>
        <w:t xml:space="preserve">would </w:t>
      </w:r>
      <w:r w:rsidR="00373AEE" w:rsidRPr="00BA3C83">
        <w:rPr>
          <w:lang w:val="en-CA"/>
        </w:rPr>
        <w:t>decline</w:t>
      </w:r>
      <w:r w:rsidRPr="00BA3C83">
        <w:rPr>
          <w:lang w:val="en-CA"/>
        </w:rPr>
        <w:t xml:space="preserve"> </w:t>
      </w:r>
      <w:r w:rsidR="00373AEE" w:rsidRPr="00BA3C83">
        <w:rPr>
          <w:lang w:val="en-CA"/>
        </w:rPr>
        <w:t>while</w:t>
      </w:r>
      <w:r w:rsidRPr="00BA3C83">
        <w:rPr>
          <w:lang w:val="en-CA"/>
        </w:rPr>
        <w:t xml:space="preserve"> </w:t>
      </w:r>
      <w:r w:rsidR="00F53B08">
        <w:rPr>
          <w:lang w:val="en-CA"/>
        </w:rPr>
        <w:t xml:space="preserve">the </w:t>
      </w:r>
      <w:r w:rsidRPr="00BA3C83">
        <w:rPr>
          <w:lang w:val="en-CA"/>
        </w:rPr>
        <w:t xml:space="preserve">preparation </w:t>
      </w:r>
      <w:r w:rsidR="00F53B08">
        <w:rPr>
          <w:lang w:val="en-CA"/>
        </w:rPr>
        <w:t>and delivery of</w:t>
      </w:r>
      <w:r w:rsidRPr="00BA3C83">
        <w:rPr>
          <w:lang w:val="en-CA"/>
        </w:rPr>
        <w:t xml:space="preserve"> the SHAD program intensified</w:t>
      </w:r>
      <w:r w:rsidR="00F53B08">
        <w:rPr>
          <w:lang w:val="en-CA"/>
        </w:rPr>
        <w:t>;</w:t>
      </w:r>
      <w:r w:rsidR="003E6D49" w:rsidRPr="00BA3C83">
        <w:rPr>
          <w:lang w:val="en-CA"/>
        </w:rPr>
        <w:t xml:space="preserve"> t</w:t>
      </w:r>
      <w:r w:rsidRPr="00BA3C83">
        <w:rPr>
          <w:lang w:val="en-CA"/>
        </w:rPr>
        <w:t xml:space="preserve">herefore, </w:t>
      </w:r>
      <w:r w:rsidR="00373AEE" w:rsidRPr="00BA3C83">
        <w:rPr>
          <w:lang w:val="en-CA"/>
        </w:rPr>
        <w:t xml:space="preserve">these </w:t>
      </w:r>
      <w:r w:rsidRPr="00BA3C83">
        <w:rPr>
          <w:lang w:val="en-CA"/>
        </w:rPr>
        <w:t>expenses</w:t>
      </w:r>
      <w:r w:rsidR="00373AEE" w:rsidRPr="00BA3C83">
        <w:rPr>
          <w:lang w:val="en-CA"/>
        </w:rPr>
        <w:t xml:space="preserve"> would average </w:t>
      </w:r>
      <w:r w:rsidRPr="00BA3C83">
        <w:rPr>
          <w:lang w:val="en-CA"/>
        </w:rPr>
        <w:t xml:space="preserve">$3,000 </w:t>
      </w:r>
      <w:r w:rsidR="00373AEE" w:rsidRPr="00BA3C83">
        <w:rPr>
          <w:lang w:val="en-CA"/>
        </w:rPr>
        <w:t>a</w:t>
      </w:r>
      <w:r w:rsidRPr="00BA3C83">
        <w:rPr>
          <w:lang w:val="en-CA"/>
        </w:rPr>
        <w:t xml:space="preserve"> month during these months. </w:t>
      </w:r>
      <w:r w:rsidR="00373AEE" w:rsidRPr="00BA3C83">
        <w:rPr>
          <w:lang w:val="en-CA"/>
        </w:rPr>
        <w:t xml:space="preserve">In August, </w:t>
      </w:r>
      <w:r w:rsidRPr="00BA3C83">
        <w:rPr>
          <w:lang w:val="en-CA"/>
        </w:rPr>
        <w:t>alumni outreach would</w:t>
      </w:r>
      <w:r w:rsidR="00373AEE" w:rsidRPr="00BA3C83">
        <w:rPr>
          <w:lang w:val="en-CA"/>
        </w:rPr>
        <w:t xml:space="preserve"> again</w:t>
      </w:r>
      <w:r w:rsidRPr="00BA3C83">
        <w:rPr>
          <w:lang w:val="en-CA"/>
        </w:rPr>
        <w:t xml:space="preserve"> return to February</w:t>
      </w:r>
      <w:r w:rsidR="00552E16">
        <w:rPr>
          <w:lang w:val="en-CA"/>
        </w:rPr>
        <w:t>-</w:t>
      </w:r>
      <w:r w:rsidRPr="00BA3C83">
        <w:rPr>
          <w:lang w:val="en-CA"/>
        </w:rPr>
        <w:t>through</w:t>
      </w:r>
      <w:r w:rsidR="00552E16">
        <w:rPr>
          <w:lang w:val="en-CA"/>
        </w:rPr>
        <w:t>-</w:t>
      </w:r>
      <w:r w:rsidRPr="00BA3C83">
        <w:rPr>
          <w:lang w:val="en-CA"/>
        </w:rPr>
        <w:t>April levels for the</w:t>
      </w:r>
      <w:r w:rsidR="00373AEE" w:rsidRPr="00BA3C83">
        <w:rPr>
          <w:lang w:val="en-CA"/>
        </w:rPr>
        <w:t xml:space="preserve"> remainder</w:t>
      </w:r>
      <w:r w:rsidRPr="00BA3C83">
        <w:rPr>
          <w:lang w:val="en-CA"/>
        </w:rPr>
        <w:t xml:space="preserve"> of the</w:t>
      </w:r>
      <w:r w:rsidRPr="008D6F16">
        <w:rPr>
          <w:lang w:val="en-CA"/>
        </w:rPr>
        <w:t xml:space="preserve"> fiscal year.</w:t>
      </w:r>
    </w:p>
    <w:p w:rsidR="00FA5BE7" w:rsidRPr="008D6F16" w:rsidRDefault="00FA5BE7" w:rsidP="008566AC">
      <w:pPr>
        <w:pStyle w:val="BodyText"/>
        <w:rPr>
          <w:lang w:val="en-CA"/>
        </w:rPr>
      </w:pPr>
    </w:p>
    <w:p w:rsidR="004D1D62" w:rsidRDefault="004D1D62" w:rsidP="008566AC">
      <w:pPr>
        <w:pStyle w:val="BodyText"/>
        <w:rPr>
          <w:lang w:val="en-CA"/>
        </w:rPr>
      </w:pPr>
      <w:r w:rsidRPr="008D6F16">
        <w:rPr>
          <w:lang w:val="en-CA"/>
        </w:rPr>
        <w:t>Program development and evaluation w</w:t>
      </w:r>
      <w:r w:rsidR="000A7768">
        <w:rPr>
          <w:lang w:val="en-CA"/>
        </w:rPr>
        <w:t>ere</w:t>
      </w:r>
      <w:r w:rsidRPr="008D6F16">
        <w:rPr>
          <w:lang w:val="en-CA"/>
        </w:rPr>
        <w:t xml:space="preserve"> </w:t>
      </w:r>
      <w:r w:rsidR="00373AEE" w:rsidRPr="008D6F16">
        <w:rPr>
          <w:lang w:val="en-CA"/>
        </w:rPr>
        <w:t xml:space="preserve">viewed as </w:t>
      </w:r>
      <w:r w:rsidRPr="008D6F16">
        <w:rPr>
          <w:lang w:val="en-CA"/>
        </w:rPr>
        <w:t>key to the success of the</w:t>
      </w:r>
      <w:r w:rsidR="00373AEE" w:rsidRPr="008D6F16">
        <w:rPr>
          <w:lang w:val="en-CA"/>
        </w:rPr>
        <w:t xml:space="preserve"> SHAD</w:t>
      </w:r>
      <w:r w:rsidRPr="008D6F16">
        <w:rPr>
          <w:lang w:val="en-CA"/>
        </w:rPr>
        <w:t xml:space="preserve"> program. From November to April, this w</w:t>
      </w:r>
      <w:r w:rsidR="00D9485F">
        <w:rPr>
          <w:lang w:val="en-CA"/>
        </w:rPr>
        <w:t>ork was usually minimal</w:t>
      </w:r>
      <w:r w:rsidRPr="008D6F16">
        <w:rPr>
          <w:lang w:val="en-CA"/>
        </w:rPr>
        <w:t xml:space="preserve"> </w:t>
      </w:r>
      <w:r w:rsidR="003E6D49" w:rsidRPr="008D6F16">
        <w:rPr>
          <w:lang w:val="en-CA"/>
        </w:rPr>
        <w:t>because</w:t>
      </w:r>
      <w:r w:rsidRPr="008D6F16">
        <w:rPr>
          <w:lang w:val="en-CA"/>
        </w:rPr>
        <w:t xml:space="preserve"> the</w:t>
      </w:r>
      <w:r w:rsidR="00D9485F">
        <w:rPr>
          <w:lang w:val="en-CA"/>
        </w:rPr>
        <w:t xml:space="preserve"> next program was</w:t>
      </w:r>
      <w:r w:rsidRPr="008D6F16">
        <w:rPr>
          <w:lang w:val="en-CA"/>
        </w:rPr>
        <w:t xml:space="preserve"> still in the planning process. Program development and evaluation expenses were typically $1,700 </w:t>
      </w:r>
      <w:r w:rsidR="00D9485F">
        <w:rPr>
          <w:lang w:val="en-CA"/>
        </w:rPr>
        <w:t>a</w:t>
      </w:r>
      <w:r w:rsidRPr="008D6F16">
        <w:rPr>
          <w:lang w:val="en-CA"/>
        </w:rPr>
        <w:t xml:space="preserve"> month per campus during these months</w:t>
      </w:r>
      <w:r w:rsidR="00D9485F">
        <w:rPr>
          <w:lang w:val="en-CA"/>
        </w:rPr>
        <w:t>. F</w:t>
      </w:r>
      <w:r w:rsidRPr="008D6F16">
        <w:rPr>
          <w:lang w:val="en-CA"/>
        </w:rPr>
        <w:t>or the final six months of the fiscal year, the</w:t>
      </w:r>
      <w:r w:rsidR="00D9485F">
        <w:rPr>
          <w:lang w:val="en-CA"/>
        </w:rPr>
        <w:t>se</w:t>
      </w:r>
      <w:r w:rsidRPr="008D6F16">
        <w:rPr>
          <w:lang w:val="en-CA"/>
        </w:rPr>
        <w:t xml:space="preserve"> costs increased to $5,000 </w:t>
      </w:r>
      <w:r w:rsidR="00D9485F">
        <w:rPr>
          <w:lang w:val="en-CA"/>
        </w:rPr>
        <w:t>a month for each</w:t>
      </w:r>
      <w:r w:rsidRPr="008D6F16">
        <w:rPr>
          <w:lang w:val="en-CA"/>
        </w:rPr>
        <w:t xml:space="preserve"> campus.</w:t>
      </w:r>
    </w:p>
    <w:p w:rsidR="00FA5BE7" w:rsidRPr="008D6F16" w:rsidRDefault="00FA5BE7" w:rsidP="008566AC">
      <w:pPr>
        <w:pStyle w:val="BodyText"/>
        <w:rPr>
          <w:lang w:val="en-CA"/>
        </w:rPr>
      </w:pPr>
    </w:p>
    <w:p w:rsidR="004D1D62" w:rsidRPr="007D383F" w:rsidRDefault="004D1D62" w:rsidP="008566AC">
      <w:pPr>
        <w:pStyle w:val="BodyText"/>
        <w:rPr>
          <w:spacing w:val="-2"/>
          <w:lang w:val="en-CA"/>
        </w:rPr>
      </w:pPr>
      <w:r w:rsidRPr="007D383F">
        <w:rPr>
          <w:spacing w:val="-2"/>
          <w:lang w:val="en-CA"/>
        </w:rPr>
        <w:t xml:space="preserve">Administrative expenses were expected to </w:t>
      </w:r>
      <w:r w:rsidR="00D9485F" w:rsidRPr="007D383F">
        <w:rPr>
          <w:spacing w:val="-2"/>
          <w:lang w:val="en-CA"/>
        </w:rPr>
        <w:t>total</w:t>
      </w:r>
      <w:r w:rsidRPr="007D383F">
        <w:rPr>
          <w:spacing w:val="-2"/>
          <w:lang w:val="en-CA"/>
        </w:rPr>
        <w:t xml:space="preserve"> $216,000 for </w:t>
      </w:r>
      <w:r w:rsidR="00D9485F" w:rsidRPr="007D383F">
        <w:rPr>
          <w:spacing w:val="-2"/>
          <w:lang w:val="en-CA"/>
        </w:rPr>
        <w:t xml:space="preserve">fiscal </w:t>
      </w:r>
      <w:r w:rsidR="007D383F" w:rsidRPr="007D383F">
        <w:rPr>
          <w:spacing w:val="-2"/>
          <w:lang w:val="en-CA"/>
        </w:rPr>
        <w:t xml:space="preserve">year </w:t>
      </w:r>
      <w:r w:rsidRPr="007D383F">
        <w:rPr>
          <w:spacing w:val="-2"/>
          <w:lang w:val="en-CA"/>
        </w:rPr>
        <w:t>2017 and</w:t>
      </w:r>
      <w:r w:rsidR="00D9485F" w:rsidRPr="007D383F">
        <w:rPr>
          <w:spacing w:val="-2"/>
          <w:lang w:val="en-CA"/>
        </w:rPr>
        <w:t xml:space="preserve"> would be</w:t>
      </w:r>
      <w:r w:rsidRPr="007D383F">
        <w:rPr>
          <w:spacing w:val="-2"/>
          <w:lang w:val="en-CA"/>
        </w:rPr>
        <w:t xml:space="preserve"> spread evenly over the fiscal year. Bank and investment fees were $625 </w:t>
      </w:r>
      <w:r w:rsidR="00BA3C83" w:rsidRPr="007D383F">
        <w:rPr>
          <w:spacing w:val="-2"/>
          <w:lang w:val="en-CA"/>
        </w:rPr>
        <w:t>a</w:t>
      </w:r>
      <w:r w:rsidRPr="007D383F">
        <w:rPr>
          <w:spacing w:val="-2"/>
          <w:lang w:val="en-CA"/>
        </w:rPr>
        <w:t xml:space="preserve"> month in fiscal </w:t>
      </w:r>
      <w:r w:rsidR="007D383F" w:rsidRPr="007D383F">
        <w:rPr>
          <w:spacing w:val="-2"/>
          <w:lang w:val="en-CA"/>
        </w:rPr>
        <w:t xml:space="preserve">year </w:t>
      </w:r>
      <w:r w:rsidRPr="007D383F">
        <w:rPr>
          <w:spacing w:val="-2"/>
          <w:lang w:val="en-CA"/>
        </w:rPr>
        <w:t xml:space="preserve">2016 and </w:t>
      </w:r>
      <w:r w:rsidR="00D9485F" w:rsidRPr="007D383F">
        <w:rPr>
          <w:spacing w:val="-2"/>
          <w:lang w:val="en-CA"/>
        </w:rPr>
        <w:t xml:space="preserve">were </w:t>
      </w:r>
      <w:r w:rsidRPr="007D383F">
        <w:rPr>
          <w:spacing w:val="-2"/>
          <w:lang w:val="en-CA"/>
        </w:rPr>
        <w:t xml:space="preserve">withdrawn </w:t>
      </w:r>
      <w:r w:rsidR="00D9485F" w:rsidRPr="007D383F">
        <w:rPr>
          <w:spacing w:val="-2"/>
          <w:lang w:val="en-CA"/>
        </w:rPr>
        <w:t xml:space="preserve">automatically </w:t>
      </w:r>
      <w:r w:rsidRPr="007D383F">
        <w:rPr>
          <w:spacing w:val="-2"/>
          <w:lang w:val="en-CA"/>
        </w:rPr>
        <w:t xml:space="preserve">from SHAD’s </w:t>
      </w:r>
      <w:r w:rsidR="00D9485F" w:rsidRPr="007D383F">
        <w:rPr>
          <w:spacing w:val="-2"/>
          <w:lang w:val="en-CA"/>
        </w:rPr>
        <w:t xml:space="preserve">bank </w:t>
      </w:r>
      <w:r w:rsidRPr="007D383F">
        <w:rPr>
          <w:spacing w:val="-2"/>
          <w:lang w:val="en-CA"/>
        </w:rPr>
        <w:t>account. The</w:t>
      </w:r>
      <w:r w:rsidR="00BA3C83" w:rsidRPr="007D383F">
        <w:rPr>
          <w:spacing w:val="-2"/>
          <w:lang w:val="en-CA"/>
        </w:rPr>
        <w:t>se fees</w:t>
      </w:r>
      <w:r w:rsidRPr="007D383F">
        <w:rPr>
          <w:spacing w:val="-2"/>
          <w:lang w:val="en-CA"/>
        </w:rPr>
        <w:t xml:space="preserve"> were expected to </w:t>
      </w:r>
      <w:r w:rsidR="00D9485F" w:rsidRPr="007D383F">
        <w:rPr>
          <w:spacing w:val="-2"/>
          <w:lang w:val="en-CA"/>
        </w:rPr>
        <w:t>remain the same</w:t>
      </w:r>
      <w:r w:rsidRPr="007D383F">
        <w:rPr>
          <w:spacing w:val="-2"/>
          <w:lang w:val="en-CA"/>
        </w:rPr>
        <w:t xml:space="preserve"> in fiscal </w:t>
      </w:r>
      <w:r w:rsidR="007D383F" w:rsidRPr="007D383F">
        <w:rPr>
          <w:spacing w:val="-2"/>
          <w:lang w:val="en-CA"/>
        </w:rPr>
        <w:t xml:space="preserve">year </w:t>
      </w:r>
      <w:r w:rsidRPr="007D383F">
        <w:rPr>
          <w:spacing w:val="-2"/>
          <w:lang w:val="en-CA"/>
        </w:rPr>
        <w:t>2017.</w:t>
      </w:r>
    </w:p>
    <w:p w:rsidR="00FA5BE7" w:rsidRDefault="00FA5BE7" w:rsidP="008566AC">
      <w:pPr>
        <w:pStyle w:val="BodyText"/>
        <w:rPr>
          <w:lang w:val="en-CA"/>
        </w:rPr>
      </w:pPr>
    </w:p>
    <w:p w:rsidR="00FA5BE7" w:rsidRPr="008D6F16" w:rsidRDefault="00FA5BE7" w:rsidP="008566AC">
      <w:pPr>
        <w:pStyle w:val="BodyText"/>
        <w:rPr>
          <w:lang w:val="en-CA"/>
        </w:rPr>
      </w:pPr>
    </w:p>
    <w:p w:rsidR="004D1D62" w:rsidRPr="008D6F16" w:rsidRDefault="00D9485F" w:rsidP="008566AC">
      <w:pPr>
        <w:pStyle w:val="casehead1"/>
        <w:rPr>
          <w:lang w:val="en-CA"/>
        </w:rPr>
      </w:pPr>
      <w:r>
        <w:rPr>
          <w:lang w:val="en-CA"/>
        </w:rPr>
        <w:t>FEE INCREASE OPTION</w:t>
      </w:r>
      <w:r w:rsidR="001D42B8">
        <w:rPr>
          <w:lang w:val="en-CA"/>
        </w:rPr>
        <w:t xml:space="preserve"> in 2017</w:t>
      </w:r>
    </w:p>
    <w:p w:rsidR="00FA5BE7" w:rsidRDefault="00FA5BE7" w:rsidP="008566AC">
      <w:pPr>
        <w:pStyle w:val="BodyText"/>
        <w:rPr>
          <w:lang w:val="en-CA"/>
        </w:rPr>
      </w:pPr>
    </w:p>
    <w:p w:rsidR="004D1D62" w:rsidRDefault="00D9485F" w:rsidP="008566AC">
      <w:pPr>
        <w:pStyle w:val="BodyText"/>
        <w:rPr>
          <w:lang w:val="en-CA"/>
        </w:rPr>
      </w:pPr>
      <w:r>
        <w:rPr>
          <w:lang w:val="en-CA"/>
        </w:rPr>
        <w:t>M</w:t>
      </w:r>
      <w:r w:rsidR="004D1D62" w:rsidRPr="008D6F16">
        <w:rPr>
          <w:lang w:val="en-CA"/>
        </w:rPr>
        <w:t xml:space="preserve">ost of the </w:t>
      </w:r>
      <w:r w:rsidRPr="008D6F16">
        <w:rPr>
          <w:lang w:val="en-CA"/>
        </w:rPr>
        <w:t xml:space="preserve">projected </w:t>
      </w:r>
      <w:r w:rsidR="004D1D62" w:rsidRPr="008D6F16">
        <w:rPr>
          <w:lang w:val="en-CA"/>
        </w:rPr>
        <w:t xml:space="preserve">expenses </w:t>
      </w:r>
      <w:r>
        <w:rPr>
          <w:lang w:val="en-CA"/>
        </w:rPr>
        <w:t>f</w:t>
      </w:r>
      <w:r w:rsidR="004D1D62" w:rsidRPr="008D6F16">
        <w:rPr>
          <w:lang w:val="en-CA"/>
        </w:rPr>
        <w:t>or</w:t>
      </w:r>
      <w:r>
        <w:rPr>
          <w:lang w:val="en-CA"/>
        </w:rPr>
        <w:t xml:space="preserve"> fiscal</w:t>
      </w:r>
      <w:r w:rsidR="004D1D62" w:rsidRPr="008D6F16">
        <w:rPr>
          <w:lang w:val="en-CA"/>
        </w:rPr>
        <w:t xml:space="preserve"> </w:t>
      </w:r>
      <w:r w:rsidR="007D383F">
        <w:rPr>
          <w:lang w:val="en-CA"/>
        </w:rPr>
        <w:t xml:space="preserve">year </w:t>
      </w:r>
      <w:r w:rsidR="004D1D62" w:rsidRPr="008D6F16">
        <w:rPr>
          <w:lang w:val="en-CA"/>
        </w:rPr>
        <w:t xml:space="preserve">2017 were higher than </w:t>
      </w:r>
      <w:r w:rsidR="003E6D49" w:rsidRPr="008D6F16">
        <w:rPr>
          <w:lang w:val="en-CA"/>
        </w:rPr>
        <w:t xml:space="preserve">those in </w:t>
      </w:r>
      <w:r w:rsidR="004D1D62" w:rsidRPr="008D6F16">
        <w:rPr>
          <w:lang w:val="en-CA"/>
        </w:rPr>
        <w:t xml:space="preserve">previous years, </w:t>
      </w:r>
      <w:r>
        <w:rPr>
          <w:lang w:val="en-CA"/>
        </w:rPr>
        <w:t xml:space="preserve">and </w:t>
      </w:r>
      <w:proofErr w:type="spellStart"/>
      <w:r>
        <w:rPr>
          <w:lang w:val="en-CA"/>
        </w:rPr>
        <w:t>Hamoodi</w:t>
      </w:r>
      <w:proofErr w:type="spellEnd"/>
      <w:r w:rsidR="004D1D62" w:rsidRPr="008D6F16">
        <w:rPr>
          <w:lang w:val="en-CA"/>
        </w:rPr>
        <w:t xml:space="preserve"> was curious to see how this </w:t>
      </w:r>
      <w:r w:rsidR="001D42B8">
        <w:rPr>
          <w:lang w:val="en-CA"/>
        </w:rPr>
        <w:t xml:space="preserve">situation </w:t>
      </w:r>
      <w:r w:rsidR="004D1D62" w:rsidRPr="008D6F16">
        <w:rPr>
          <w:lang w:val="en-CA"/>
        </w:rPr>
        <w:t>would affect SHAD’s cash flow. SHAD had never been able to break even</w:t>
      </w:r>
      <w:r>
        <w:rPr>
          <w:lang w:val="en-CA"/>
        </w:rPr>
        <w:t xml:space="preserve"> using</w:t>
      </w:r>
      <w:r w:rsidR="003E6AE4">
        <w:rPr>
          <w:lang w:val="en-CA"/>
        </w:rPr>
        <w:t xml:space="preserve"> only</w:t>
      </w:r>
      <w:r>
        <w:rPr>
          <w:lang w:val="en-CA"/>
        </w:rPr>
        <w:t xml:space="preserve"> participant fees</w:t>
      </w:r>
      <w:r w:rsidR="004D1D62" w:rsidRPr="008D6F16">
        <w:rPr>
          <w:lang w:val="en-CA"/>
        </w:rPr>
        <w:t xml:space="preserve"> </w:t>
      </w:r>
      <w:r w:rsidR="003E6D49" w:rsidRPr="008D6F16">
        <w:rPr>
          <w:lang w:val="en-CA"/>
        </w:rPr>
        <w:t>since</w:t>
      </w:r>
      <w:r w:rsidR="004D1D62" w:rsidRPr="008D6F16">
        <w:rPr>
          <w:lang w:val="en-CA"/>
        </w:rPr>
        <w:t xml:space="preserve"> </w:t>
      </w:r>
      <w:r>
        <w:rPr>
          <w:lang w:val="en-CA"/>
        </w:rPr>
        <w:t xml:space="preserve">these </w:t>
      </w:r>
      <w:r w:rsidR="004D1D62" w:rsidRPr="008D6F16">
        <w:rPr>
          <w:lang w:val="en-CA"/>
        </w:rPr>
        <w:t>fe</w:t>
      </w:r>
      <w:r>
        <w:rPr>
          <w:lang w:val="en-CA"/>
        </w:rPr>
        <w:t>es were always</w:t>
      </w:r>
      <w:r w:rsidR="00365ABA">
        <w:rPr>
          <w:lang w:val="en-CA"/>
        </w:rPr>
        <w:t xml:space="preserve"> significantly</w:t>
      </w:r>
      <w:r>
        <w:rPr>
          <w:lang w:val="en-CA"/>
        </w:rPr>
        <w:t xml:space="preserve"> lower than the pro</w:t>
      </w:r>
      <w:r w:rsidR="00BA3C83">
        <w:rPr>
          <w:lang w:val="en-CA"/>
        </w:rPr>
        <w:t>gram</w:t>
      </w:r>
      <w:r w:rsidR="004D1D62" w:rsidRPr="008D6F16">
        <w:rPr>
          <w:lang w:val="en-CA"/>
        </w:rPr>
        <w:t xml:space="preserve"> cost per student. </w:t>
      </w:r>
      <w:r w:rsidR="00365ABA">
        <w:rPr>
          <w:lang w:val="en-CA"/>
        </w:rPr>
        <w:t xml:space="preserve">Although </w:t>
      </w:r>
      <w:r w:rsidR="001D42B8">
        <w:rPr>
          <w:lang w:val="en-CA"/>
        </w:rPr>
        <w:t xml:space="preserve">this shortfall created a </w:t>
      </w:r>
      <w:r w:rsidR="00365ABA">
        <w:rPr>
          <w:lang w:val="en-CA"/>
        </w:rPr>
        <w:t>challeng</w:t>
      </w:r>
      <w:r w:rsidR="001D42B8">
        <w:rPr>
          <w:lang w:val="en-CA"/>
        </w:rPr>
        <w:t>e</w:t>
      </w:r>
      <w:r w:rsidR="00BA3C83">
        <w:rPr>
          <w:lang w:val="en-CA"/>
        </w:rPr>
        <w:t xml:space="preserve"> because deficits were usually significant</w:t>
      </w:r>
      <w:r w:rsidR="00365ABA">
        <w:rPr>
          <w:lang w:val="en-CA"/>
        </w:rPr>
        <w:t xml:space="preserve">, </w:t>
      </w:r>
      <w:r w:rsidR="004D1D62" w:rsidRPr="008D6F16">
        <w:rPr>
          <w:lang w:val="en-CA"/>
        </w:rPr>
        <w:t>SHAD had secure</w:t>
      </w:r>
      <w:r>
        <w:rPr>
          <w:lang w:val="en-CA"/>
        </w:rPr>
        <w:t>d</w:t>
      </w:r>
      <w:r w:rsidR="004D1D62" w:rsidRPr="008D6F16">
        <w:rPr>
          <w:lang w:val="en-CA"/>
        </w:rPr>
        <w:t xml:space="preserve"> additional revenu</w:t>
      </w:r>
      <w:r w:rsidR="00365ABA">
        <w:rPr>
          <w:lang w:val="en-CA"/>
        </w:rPr>
        <w:t>e in the past through donations from alumni and</w:t>
      </w:r>
      <w:r w:rsidR="004D1D62" w:rsidRPr="008D6F16">
        <w:rPr>
          <w:lang w:val="en-CA"/>
        </w:rPr>
        <w:t xml:space="preserve"> spons</w:t>
      </w:r>
      <w:r w:rsidR="00365ABA">
        <w:rPr>
          <w:lang w:val="en-CA"/>
        </w:rPr>
        <w:t xml:space="preserve">orships from major corporations. Recently, SHAD had also secured funding </w:t>
      </w:r>
      <w:r w:rsidR="003E6D49" w:rsidRPr="008D6F16">
        <w:rPr>
          <w:lang w:val="en-CA"/>
        </w:rPr>
        <w:t xml:space="preserve">through </w:t>
      </w:r>
      <w:r w:rsidR="004D1D62" w:rsidRPr="008D6F16">
        <w:rPr>
          <w:lang w:val="en-CA"/>
        </w:rPr>
        <w:t>grants from</w:t>
      </w:r>
      <w:r w:rsidR="003E6D49" w:rsidRPr="008D6F16">
        <w:rPr>
          <w:lang w:val="en-CA"/>
        </w:rPr>
        <w:t xml:space="preserve"> the</w:t>
      </w:r>
      <w:r w:rsidR="00365ABA">
        <w:rPr>
          <w:lang w:val="en-CA"/>
        </w:rPr>
        <w:t xml:space="preserve"> </w:t>
      </w:r>
      <w:r w:rsidR="00243BAB">
        <w:rPr>
          <w:lang w:val="en-CA"/>
        </w:rPr>
        <w:t>G</w:t>
      </w:r>
      <w:r w:rsidR="00365ABA">
        <w:rPr>
          <w:lang w:val="en-CA"/>
        </w:rPr>
        <w:t>overnment of Ontario</w:t>
      </w:r>
      <w:r w:rsidR="00BA3C83">
        <w:rPr>
          <w:lang w:val="en-CA"/>
        </w:rPr>
        <w:t xml:space="preserve"> and was currently receiving financial support from the </w:t>
      </w:r>
      <w:r w:rsidR="00243BAB">
        <w:rPr>
          <w:lang w:val="en-CA"/>
        </w:rPr>
        <w:t>G</w:t>
      </w:r>
      <w:r w:rsidR="00BA3C83">
        <w:rPr>
          <w:lang w:val="en-CA"/>
        </w:rPr>
        <w:t>overnments of Manitoba, New Brunswick, Nova Scotia, and Prince Edward Island. No provincial financial support was provided by British Columbia, Al</w:t>
      </w:r>
      <w:r w:rsidR="005B33DB">
        <w:rPr>
          <w:lang w:val="en-CA"/>
        </w:rPr>
        <w:t>b</w:t>
      </w:r>
      <w:r w:rsidR="00BA3C83">
        <w:rPr>
          <w:lang w:val="en-CA"/>
        </w:rPr>
        <w:t>erta, Saskatchewan, and Newfoundland, and</w:t>
      </w:r>
      <w:r w:rsidR="00365ABA">
        <w:rPr>
          <w:lang w:val="en-CA"/>
        </w:rPr>
        <w:t xml:space="preserve"> n</w:t>
      </w:r>
      <w:r w:rsidR="004D1D62" w:rsidRPr="008D6F16">
        <w:rPr>
          <w:lang w:val="en-CA"/>
        </w:rPr>
        <w:t xml:space="preserve">o federal government funding had </w:t>
      </w:r>
      <w:r>
        <w:rPr>
          <w:lang w:val="en-CA"/>
        </w:rPr>
        <w:t xml:space="preserve">ever </w:t>
      </w:r>
      <w:r w:rsidR="004D1D62" w:rsidRPr="008D6F16">
        <w:rPr>
          <w:lang w:val="en-CA"/>
        </w:rPr>
        <w:t>been secured</w:t>
      </w:r>
      <w:r w:rsidR="003E6AE4">
        <w:rPr>
          <w:lang w:val="en-CA"/>
        </w:rPr>
        <w:t xml:space="preserve"> (s</w:t>
      </w:r>
      <w:r w:rsidR="004D1D62" w:rsidRPr="008D6F16">
        <w:rPr>
          <w:lang w:val="en-CA"/>
        </w:rPr>
        <w:t>ee Exhibit 3</w:t>
      </w:r>
      <w:r w:rsidR="003E6AE4">
        <w:rPr>
          <w:lang w:val="en-CA"/>
        </w:rPr>
        <w:t>)</w:t>
      </w:r>
      <w:r w:rsidR="004D1D62" w:rsidRPr="008D6F16">
        <w:rPr>
          <w:lang w:val="en-CA"/>
        </w:rPr>
        <w:t>.</w:t>
      </w:r>
    </w:p>
    <w:p w:rsidR="00FA5BE7" w:rsidRDefault="00FA5BE7" w:rsidP="008566AC">
      <w:pPr>
        <w:pStyle w:val="BodyText"/>
        <w:rPr>
          <w:lang w:val="en-CA"/>
        </w:rPr>
      </w:pPr>
    </w:p>
    <w:p w:rsidR="004D1D62" w:rsidRDefault="004D1D62" w:rsidP="008566AC">
      <w:pPr>
        <w:pStyle w:val="BodyText"/>
        <w:rPr>
          <w:spacing w:val="-2"/>
          <w:lang w:val="en-CA"/>
        </w:rPr>
      </w:pPr>
      <w:proofErr w:type="spellStart"/>
      <w:r w:rsidRPr="008907EC">
        <w:rPr>
          <w:spacing w:val="-2"/>
          <w:lang w:val="en-CA"/>
        </w:rPr>
        <w:lastRenderedPageBreak/>
        <w:t>Hamoodi</w:t>
      </w:r>
      <w:proofErr w:type="spellEnd"/>
      <w:r w:rsidRPr="008907EC">
        <w:rPr>
          <w:spacing w:val="-2"/>
          <w:lang w:val="en-CA"/>
        </w:rPr>
        <w:t xml:space="preserve"> wonder</w:t>
      </w:r>
      <w:r w:rsidR="005E53CE" w:rsidRPr="008907EC">
        <w:rPr>
          <w:spacing w:val="-2"/>
          <w:lang w:val="en-CA"/>
        </w:rPr>
        <w:t>ed</w:t>
      </w:r>
      <w:r w:rsidRPr="008907EC">
        <w:rPr>
          <w:spacing w:val="-2"/>
          <w:lang w:val="en-CA"/>
        </w:rPr>
        <w:t xml:space="preserve"> </w:t>
      </w:r>
      <w:r w:rsidR="005E53CE" w:rsidRPr="008907EC">
        <w:rPr>
          <w:spacing w:val="-2"/>
          <w:lang w:val="en-CA"/>
        </w:rPr>
        <w:t>whether</w:t>
      </w:r>
      <w:r w:rsidRPr="008907EC">
        <w:rPr>
          <w:spacing w:val="-2"/>
          <w:lang w:val="en-CA"/>
        </w:rPr>
        <w:t xml:space="preserve"> participant fees should be raised to $5,500 for the SHAD program. SHAD had raised fees in the past and never had a problem fi</w:t>
      </w:r>
      <w:r w:rsidR="00D9485F" w:rsidRPr="008907EC">
        <w:rPr>
          <w:spacing w:val="-2"/>
          <w:lang w:val="en-CA"/>
        </w:rPr>
        <w:t>lling the 700 participant slots each</w:t>
      </w:r>
      <w:r w:rsidRPr="008907EC">
        <w:rPr>
          <w:spacing w:val="-2"/>
          <w:lang w:val="en-CA"/>
        </w:rPr>
        <w:t xml:space="preserve"> year (see Exhibit 4). In fact, students were often waitlisted for the SHAD program. However, </w:t>
      </w:r>
      <w:proofErr w:type="spellStart"/>
      <w:r w:rsidRPr="008907EC">
        <w:rPr>
          <w:spacing w:val="-2"/>
          <w:lang w:val="en-CA"/>
        </w:rPr>
        <w:t>Hamoodi</w:t>
      </w:r>
      <w:proofErr w:type="spellEnd"/>
      <w:r w:rsidRPr="008907EC">
        <w:rPr>
          <w:spacing w:val="-2"/>
          <w:lang w:val="en-CA"/>
        </w:rPr>
        <w:t xml:space="preserve"> was wor</w:t>
      </w:r>
      <w:r w:rsidR="00D9485F" w:rsidRPr="008907EC">
        <w:rPr>
          <w:spacing w:val="-2"/>
          <w:lang w:val="en-CA"/>
        </w:rPr>
        <w:t xml:space="preserve">ried that raising fees </w:t>
      </w:r>
      <w:r w:rsidR="00514EC1" w:rsidRPr="008907EC">
        <w:rPr>
          <w:spacing w:val="-2"/>
          <w:lang w:val="en-CA"/>
        </w:rPr>
        <w:t xml:space="preserve">further </w:t>
      </w:r>
      <w:r w:rsidR="00D9485F" w:rsidRPr="008907EC">
        <w:rPr>
          <w:spacing w:val="-2"/>
          <w:lang w:val="en-CA"/>
        </w:rPr>
        <w:t>co</w:t>
      </w:r>
      <w:r w:rsidRPr="008907EC">
        <w:rPr>
          <w:spacing w:val="-2"/>
          <w:lang w:val="en-CA"/>
        </w:rPr>
        <w:t xml:space="preserve">uld be a deterrent to some students and </w:t>
      </w:r>
      <w:r w:rsidR="00D9485F" w:rsidRPr="008907EC">
        <w:rPr>
          <w:spacing w:val="-2"/>
          <w:lang w:val="en-CA"/>
        </w:rPr>
        <w:t>could</w:t>
      </w:r>
      <w:r w:rsidRPr="008907EC">
        <w:rPr>
          <w:spacing w:val="-2"/>
          <w:lang w:val="en-CA"/>
        </w:rPr>
        <w:t xml:space="preserve"> decrease the quality of the applicant pool. It </w:t>
      </w:r>
      <w:r w:rsidR="00D9485F" w:rsidRPr="008907EC">
        <w:rPr>
          <w:spacing w:val="-2"/>
          <w:lang w:val="en-CA"/>
        </w:rPr>
        <w:t>c</w:t>
      </w:r>
      <w:r w:rsidRPr="008907EC">
        <w:rPr>
          <w:spacing w:val="-2"/>
          <w:lang w:val="en-CA"/>
        </w:rPr>
        <w:t>ould also make it harder for teachers to promote</w:t>
      </w:r>
      <w:r w:rsidR="003E6AE4" w:rsidRPr="008907EC">
        <w:rPr>
          <w:spacing w:val="-2"/>
          <w:lang w:val="en-CA"/>
        </w:rPr>
        <w:t xml:space="preserve"> th</w:t>
      </w:r>
      <w:r w:rsidR="00990F6F" w:rsidRPr="008907EC">
        <w:rPr>
          <w:spacing w:val="-2"/>
          <w:lang w:val="en-CA"/>
        </w:rPr>
        <w:t>is</w:t>
      </w:r>
      <w:r w:rsidR="003E6AE4" w:rsidRPr="008907EC">
        <w:rPr>
          <w:spacing w:val="-2"/>
          <w:lang w:val="en-CA"/>
        </w:rPr>
        <w:t xml:space="preserve"> program</w:t>
      </w:r>
      <w:r w:rsidRPr="008907EC">
        <w:rPr>
          <w:spacing w:val="-2"/>
          <w:lang w:val="en-CA"/>
        </w:rPr>
        <w:t xml:space="preserve"> in </w:t>
      </w:r>
      <w:r w:rsidR="00D9485F" w:rsidRPr="008907EC">
        <w:rPr>
          <w:spacing w:val="-2"/>
          <w:lang w:val="en-CA"/>
        </w:rPr>
        <w:t xml:space="preserve">their </w:t>
      </w:r>
      <w:r w:rsidRPr="008907EC">
        <w:rPr>
          <w:spacing w:val="-2"/>
          <w:lang w:val="en-CA"/>
        </w:rPr>
        <w:t>high schools due to the high</w:t>
      </w:r>
      <w:r w:rsidR="00D9485F" w:rsidRPr="008907EC">
        <w:rPr>
          <w:spacing w:val="-2"/>
          <w:lang w:val="en-CA"/>
        </w:rPr>
        <w:t>er</w:t>
      </w:r>
      <w:r w:rsidRPr="008907EC">
        <w:rPr>
          <w:spacing w:val="-2"/>
          <w:lang w:val="en-CA"/>
        </w:rPr>
        <w:t xml:space="preserve"> price point.</w:t>
      </w:r>
    </w:p>
    <w:p w:rsidR="00FA5BE7" w:rsidRPr="008907EC" w:rsidRDefault="00FA5BE7" w:rsidP="008566AC">
      <w:pPr>
        <w:pStyle w:val="BodyText"/>
        <w:rPr>
          <w:spacing w:val="-2"/>
          <w:lang w:val="en-CA"/>
        </w:rPr>
      </w:pPr>
    </w:p>
    <w:p w:rsidR="00D9485F" w:rsidRDefault="00D9485F" w:rsidP="00DA7086">
      <w:pPr>
        <w:pStyle w:val="BodyText"/>
        <w:rPr>
          <w:lang w:val="en-CA"/>
        </w:rPr>
      </w:pPr>
      <w:proofErr w:type="spellStart"/>
      <w:r>
        <w:rPr>
          <w:lang w:val="en-CA"/>
        </w:rPr>
        <w:t>Hamoodi</w:t>
      </w:r>
      <w:proofErr w:type="spellEnd"/>
      <w:r>
        <w:rPr>
          <w:lang w:val="en-CA"/>
        </w:rPr>
        <w:t xml:space="preserve"> planne</w:t>
      </w:r>
      <w:r w:rsidR="004D1D62" w:rsidRPr="008D6F16">
        <w:rPr>
          <w:lang w:val="en-CA"/>
        </w:rPr>
        <w:t xml:space="preserve">d to prepare </w:t>
      </w:r>
      <w:r w:rsidR="005B33DB">
        <w:rPr>
          <w:lang w:val="en-CA"/>
        </w:rPr>
        <w:t xml:space="preserve">projected </w:t>
      </w:r>
      <w:r w:rsidR="004D1D62" w:rsidRPr="008D6F16">
        <w:rPr>
          <w:lang w:val="en-CA"/>
        </w:rPr>
        <w:t>cash budget</w:t>
      </w:r>
      <w:r w:rsidR="005B33DB">
        <w:rPr>
          <w:lang w:val="en-CA"/>
        </w:rPr>
        <w:t>s</w:t>
      </w:r>
      <w:r w:rsidR="004D1D62" w:rsidRPr="008D6F16">
        <w:rPr>
          <w:lang w:val="en-CA"/>
        </w:rPr>
        <w:t xml:space="preserve"> for</w:t>
      </w:r>
      <w:r>
        <w:rPr>
          <w:lang w:val="en-CA"/>
        </w:rPr>
        <w:t xml:space="preserve"> fiscal</w:t>
      </w:r>
      <w:r w:rsidR="004D1D62" w:rsidRPr="008D6F16">
        <w:rPr>
          <w:lang w:val="en-CA"/>
        </w:rPr>
        <w:t xml:space="preserve"> 2017</w:t>
      </w:r>
      <w:r w:rsidR="001B4706">
        <w:rPr>
          <w:lang w:val="en-CA"/>
        </w:rPr>
        <w:t xml:space="preserve"> for a single SHAD program and for the entire SHAD organization (all </w:t>
      </w:r>
      <w:r w:rsidR="00A03C84">
        <w:rPr>
          <w:lang w:val="en-CA"/>
        </w:rPr>
        <w:t>12</w:t>
      </w:r>
      <w:r w:rsidR="001B4706">
        <w:rPr>
          <w:lang w:val="en-CA"/>
        </w:rPr>
        <w:t xml:space="preserve"> programs and the organization’s revenues and expenses).</w:t>
      </w:r>
      <w:r w:rsidR="004D1D62" w:rsidRPr="008D6F16">
        <w:rPr>
          <w:lang w:val="en-CA"/>
        </w:rPr>
        <w:t xml:space="preserve"> </w:t>
      </w:r>
      <w:r w:rsidR="001B4706">
        <w:rPr>
          <w:lang w:val="en-CA"/>
        </w:rPr>
        <w:t>F</w:t>
      </w:r>
      <w:r w:rsidR="004D1D62" w:rsidRPr="008D6F16">
        <w:rPr>
          <w:lang w:val="en-CA"/>
        </w:rPr>
        <w:t>or</w:t>
      </w:r>
      <w:r w:rsidR="001B4706">
        <w:rPr>
          <w:lang w:val="en-CA"/>
        </w:rPr>
        <w:t xml:space="preserve"> the single SHAD program, s</w:t>
      </w:r>
      <w:r w:rsidR="004D1D62" w:rsidRPr="008D6F16">
        <w:rPr>
          <w:lang w:val="en-CA"/>
        </w:rPr>
        <w:t xml:space="preserve">he wanted to prepare </w:t>
      </w:r>
      <w:r w:rsidR="00514EC1">
        <w:rPr>
          <w:lang w:val="en-CA"/>
        </w:rPr>
        <w:t>one</w:t>
      </w:r>
      <w:r w:rsidR="001B4706">
        <w:rPr>
          <w:lang w:val="en-CA"/>
        </w:rPr>
        <w:t xml:space="preserve"> </w:t>
      </w:r>
      <w:r w:rsidR="004D1D62" w:rsidRPr="008D6F16">
        <w:rPr>
          <w:lang w:val="en-CA"/>
        </w:rPr>
        <w:t>cash budget with</w:t>
      </w:r>
      <w:r w:rsidR="001B4706">
        <w:rPr>
          <w:lang w:val="en-CA"/>
        </w:rPr>
        <w:t xml:space="preserve"> no increase in</w:t>
      </w:r>
      <w:r w:rsidR="004D1D62" w:rsidRPr="008D6F16">
        <w:rPr>
          <w:lang w:val="en-CA"/>
        </w:rPr>
        <w:t xml:space="preserve"> registration fees and a second cash budget</w:t>
      </w:r>
      <w:r w:rsidR="001B4706">
        <w:rPr>
          <w:lang w:val="en-CA"/>
        </w:rPr>
        <w:t xml:space="preserve"> with fees of</w:t>
      </w:r>
      <w:r w:rsidR="004D1D62" w:rsidRPr="008D6F16">
        <w:rPr>
          <w:lang w:val="en-CA"/>
        </w:rPr>
        <w:t xml:space="preserve"> $5,500</w:t>
      </w:r>
      <w:r w:rsidR="001B4706">
        <w:rPr>
          <w:lang w:val="en-CA"/>
        </w:rPr>
        <w:t xml:space="preserve"> per participant. For the entire SHAD organization, she would prepare two cash budgets</w:t>
      </w:r>
      <w:r w:rsidR="00514EC1">
        <w:rPr>
          <w:lang w:val="en-CA"/>
        </w:rPr>
        <w:t>, one</w:t>
      </w:r>
      <w:r w:rsidR="001B4706">
        <w:rPr>
          <w:lang w:val="en-CA"/>
        </w:rPr>
        <w:t xml:space="preserve"> with fees at $4,500 per participant and </w:t>
      </w:r>
      <w:r w:rsidR="00514EC1">
        <w:rPr>
          <w:lang w:val="en-CA"/>
        </w:rPr>
        <w:t xml:space="preserve">one with fees at </w:t>
      </w:r>
      <w:r w:rsidR="001B4706">
        <w:rPr>
          <w:lang w:val="en-CA"/>
        </w:rPr>
        <w:t xml:space="preserve">$5,500 per participant. These budgets would </w:t>
      </w:r>
      <w:r w:rsidR="004D1D62" w:rsidRPr="008D6F16">
        <w:rPr>
          <w:lang w:val="en-CA"/>
        </w:rPr>
        <w:t xml:space="preserve">start fiscal 2017 with </w:t>
      </w:r>
      <w:r w:rsidR="001B4706">
        <w:rPr>
          <w:lang w:val="en-CA"/>
        </w:rPr>
        <w:t xml:space="preserve">the organization’s </w:t>
      </w:r>
      <w:r w:rsidR="004D1D62" w:rsidRPr="008D6F16">
        <w:rPr>
          <w:lang w:val="en-CA"/>
        </w:rPr>
        <w:t>cash balance of $600,000.</w:t>
      </w:r>
    </w:p>
    <w:p w:rsidR="003E6AE4" w:rsidRDefault="003E6AE4" w:rsidP="00DA7086">
      <w:pPr>
        <w:pStyle w:val="BodyText"/>
        <w:rPr>
          <w:lang w:val="en-CA"/>
        </w:rPr>
      </w:pPr>
    </w:p>
    <w:p w:rsidR="00E162BF" w:rsidRDefault="00E162BF" w:rsidP="00DA7086">
      <w:pPr>
        <w:pStyle w:val="BodyText"/>
        <w:rPr>
          <w:lang w:val="en-CA"/>
        </w:rPr>
      </w:pPr>
    </w:p>
    <w:p w:rsidR="00D9485F" w:rsidRPr="00DA7086" w:rsidRDefault="00D9485F" w:rsidP="00DA7086">
      <w:pPr>
        <w:pStyle w:val="casehead1"/>
      </w:pPr>
      <w:r w:rsidRPr="00DA7086">
        <w:t>Conclusion</w:t>
      </w:r>
    </w:p>
    <w:p w:rsidR="00FA5BE7" w:rsidRDefault="00FA5BE7" w:rsidP="00DA7086">
      <w:pPr>
        <w:pStyle w:val="BodyText"/>
        <w:rPr>
          <w:lang w:val="en-CA"/>
        </w:rPr>
      </w:pPr>
    </w:p>
    <w:p w:rsidR="004D1D62" w:rsidRPr="008D6F16" w:rsidRDefault="004D1D62" w:rsidP="00DA7086">
      <w:pPr>
        <w:pStyle w:val="BodyText"/>
        <w:rPr>
          <w:lang w:val="en-CA"/>
        </w:rPr>
      </w:pPr>
      <w:proofErr w:type="spellStart"/>
      <w:r w:rsidRPr="008D6F16">
        <w:rPr>
          <w:lang w:val="en-CA"/>
        </w:rPr>
        <w:t>Hamoodi</w:t>
      </w:r>
      <w:proofErr w:type="spellEnd"/>
      <w:r w:rsidRPr="008D6F16">
        <w:rPr>
          <w:lang w:val="en-CA"/>
        </w:rPr>
        <w:t xml:space="preserve"> strongly believed in </w:t>
      </w:r>
      <w:r w:rsidR="005E53CE">
        <w:rPr>
          <w:lang w:val="en-CA"/>
        </w:rPr>
        <w:t>SHAD’s</w:t>
      </w:r>
      <w:r w:rsidR="005E53CE" w:rsidRPr="008D6F16">
        <w:rPr>
          <w:lang w:val="en-CA"/>
        </w:rPr>
        <w:t xml:space="preserve"> </w:t>
      </w:r>
      <w:r w:rsidRPr="008D6F16">
        <w:rPr>
          <w:lang w:val="en-CA"/>
        </w:rPr>
        <w:t>goal and mission</w:t>
      </w:r>
      <w:r w:rsidR="005E53CE">
        <w:rPr>
          <w:lang w:val="en-CA"/>
        </w:rPr>
        <w:t>,</w:t>
      </w:r>
      <w:r w:rsidRPr="008D6F16">
        <w:rPr>
          <w:lang w:val="en-CA"/>
        </w:rPr>
        <w:t xml:space="preserve"> and </w:t>
      </w:r>
      <w:r w:rsidR="005E53CE">
        <w:rPr>
          <w:lang w:val="en-CA"/>
        </w:rPr>
        <w:t xml:space="preserve">she </w:t>
      </w:r>
      <w:r w:rsidRPr="008D6F16">
        <w:rPr>
          <w:lang w:val="en-CA"/>
        </w:rPr>
        <w:t xml:space="preserve">knew that these </w:t>
      </w:r>
      <w:r w:rsidR="005B204A">
        <w:rPr>
          <w:lang w:val="en-CA"/>
        </w:rPr>
        <w:t xml:space="preserve">targets </w:t>
      </w:r>
      <w:r w:rsidRPr="008D6F16">
        <w:rPr>
          <w:lang w:val="en-CA"/>
        </w:rPr>
        <w:t xml:space="preserve">would need to be considered when presenting her decision to </w:t>
      </w:r>
      <w:r w:rsidR="001B4706">
        <w:rPr>
          <w:lang w:val="en-CA"/>
        </w:rPr>
        <w:t>SHAD’s</w:t>
      </w:r>
      <w:r w:rsidRPr="008D6F16">
        <w:rPr>
          <w:lang w:val="en-CA"/>
        </w:rPr>
        <w:t xml:space="preserve"> </w:t>
      </w:r>
      <w:r w:rsidR="001B4706">
        <w:rPr>
          <w:lang w:val="en-CA"/>
        </w:rPr>
        <w:t xml:space="preserve">other </w:t>
      </w:r>
      <w:r w:rsidR="003E6D49" w:rsidRPr="008D6F16">
        <w:rPr>
          <w:lang w:val="en-CA"/>
        </w:rPr>
        <w:t>d</w:t>
      </w:r>
      <w:r w:rsidRPr="008D6F16">
        <w:rPr>
          <w:lang w:val="en-CA"/>
        </w:rPr>
        <w:t xml:space="preserve">irectors and </w:t>
      </w:r>
      <w:r w:rsidR="003E6D49" w:rsidRPr="008D6F16">
        <w:rPr>
          <w:lang w:val="en-CA"/>
        </w:rPr>
        <w:t>the p</w:t>
      </w:r>
      <w:r w:rsidR="001B4706">
        <w:rPr>
          <w:lang w:val="en-CA"/>
        </w:rPr>
        <w:t>resident.</w:t>
      </w:r>
      <w:r w:rsidRPr="008D6F16">
        <w:rPr>
          <w:lang w:val="en-CA"/>
        </w:rPr>
        <w:t xml:space="preserve"> If she chose not to raise re</w:t>
      </w:r>
      <w:r w:rsidR="001B4706">
        <w:rPr>
          <w:lang w:val="en-CA"/>
        </w:rPr>
        <w:t xml:space="preserve">gistration fees, </w:t>
      </w:r>
      <w:proofErr w:type="spellStart"/>
      <w:r w:rsidR="005B204A" w:rsidRPr="008D6F16">
        <w:rPr>
          <w:lang w:val="en-CA"/>
        </w:rPr>
        <w:t>Hamoodi</w:t>
      </w:r>
      <w:proofErr w:type="spellEnd"/>
      <w:r w:rsidR="001B4706">
        <w:rPr>
          <w:lang w:val="en-CA"/>
        </w:rPr>
        <w:t xml:space="preserve"> would </w:t>
      </w:r>
      <w:r w:rsidR="00C93CDB">
        <w:rPr>
          <w:lang w:val="en-CA"/>
        </w:rPr>
        <w:t xml:space="preserve">need </w:t>
      </w:r>
      <w:r w:rsidR="001B4706">
        <w:rPr>
          <w:lang w:val="en-CA"/>
        </w:rPr>
        <w:t>a</w:t>
      </w:r>
      <w:r w:rsidRPr="008D6F16">
        <w:rPr>
          <w:lang w:val="en-CA"/>
        </w:rPr>
        <w:t xml:space="preserve"> plan to cover an</w:t>
      </w:r>
      <w:r w:rsidR="001B4706">
        <w:rPr>
          <w:lang w:val="en-CA"/>
        </w:rPr>
        <w:t xml:space="preserve">y </w:t>
      </w:r>
      <w:r w:rsidR="00514EC1">
        <w:rPr>
          <w:lang w:val="en-CA"/>
        </w:rPr>
        <w:t xml:space="preserve">projected </w:t>
      </w:r>
      <w:r w:rsidR="001B4706">
        <w:rPr>
          <w:lang w:val="en-CA"/>
        </w:rPr>
        <w:t>cash short</w:t>
      </w:r>
      <w:r w:rsidRPr="008D6F16">
        <w:rPr>
          <w:lang w:val="en-CA"/>
        </w:rPr>
        <w:t>falls.</w:t>
      </w:r>
    </w:p>
    <w:p w:rsidR="007A4CA4" w:rsidRPr="008D6F16" w:rsidRDefault="007A4CA4" w:rsidP="00DA7086">
      <w:pPr>
        <w:pStyle w:val="BodyText"/>
        <w:rPr>
          <w:lang w:val="en-CA"/>
        </w:rPr>
      </w:pPr>
    </w:p>
    <w:p w:rsidR="008566AC" w:rsidRPr="008D6F16" w:rsidRDefault="008566AC" w:rsidP="00DA7086">
      <w:pPr>
        <w:pStyle w:val="BodyText"/>
        <w:rPr>
          <w:lang w:val="en-CA"/>
        </w:rPr>
      </w:pPr>
      <w:r w:rsidRPr="008D6F16">
        <w:rPr>
          <w:lang w:val="en-CA"/>
        </w:rPr>
        <w:br w:type="page"/>
      </w:r>
    </w:p>
    <w:p w:rsidR="008566AC" w:rsidRPr="008D6F16" w:rsidRDefault="008566AC" w:rsidP="008566AC">
      <w:pPr>
        <w:pStyle w:val="casehead1"/>
        <w:jc w:val="center"/>
        <w:rPr>
          <w:lang w:val="en-CA"/>
        </w:rPr>
      </w:pPr>
      <w:r w:rsidRPr="008D6F16">
        <w:rPr>
          <w:lang w:val="en-CA"/>
        </w:rPr>
        <w:lastRenderedPageBreak/>
        <w:t>Exhibit 1: Host Campuses in Canada</w:t>
      </w:r>
    </w:p>
    <w:p w:rsidR="008566AC" w:rsidRPr="008D6F16" w:rsidRDefault="008566AC" w:rsidP="008566AC">
      <w:pPr>
        <w:pStyle w:val="BodyText"/>
        <w:rPr>
          <w:lang w:val="en-CA"/>
        </w:rPr>
      </w:pP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Carleton University</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Dalhousie University</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Lakehead University</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McMaster University</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Memorial University of Newfoundland</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Queen’s University</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University of Western Ontario</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University of British Columbia</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University of Calgary</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University of New Brunswick</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University of Saskatchewan</w:t>
      </w:r>
    </w:p>
    <w:p w:rsidR="00577AE5" w:rsidRPr="00DA7086" w:rsidRDefault="00577AE5" w:rsidP="00DA7086">
      <w:pPr>
        <w:pStyle w:val="ListParagraph"/>
        <w:numPr>
          <w:ilvl w:val="4"/>
          <w:numId w:val="1"/>
        </w:numPr>
        <w:tabs>
          <w:tab w:val="left" w:pos="2970"/>
          <w:tab w:val="left" w:pos="3240"/>
        </w:tabs>
        <w:spacing w:after="0" w:line="240" w:lineRule="auto"/>
        <w:ind w:left="3240" w:hanging="274"/>
        <w:rPr>
          <w:rFonts w:ascii="Arial" w:hAnsi="Arial" w:cs="Arial"/>
          <w:sz w:val="20"/>
          <w:szCs w:val="20"/>
        </w:rPr>
      </w:pPr>
      <w:r w:rsidRPr="00DA7086">
        <w:rPr>
          <w:rFonts w:ascii="Arial" w:hAnsi="Arial" w:cs="Arial"/>
          <w:sz w:val="20"/>
          <w:szCs w:val="20"/>
        </w:rPr>
        <w:t>University of Waterloo</w:t>
      </w:r>
    </w:p>
    <w:p w:rsidR="00DA7086" w:rsidRDefault="00DA7086" w:rsidP="00DA7086">
      <w:pPr>
        <w:pStyle w:val="FootnoteText1"/>
      </w:pPr>
    </w:p>
    <w:p w:rsidR="00577AE5" w:rsidRPr="00DA7086" w:rsidRDefault="00577AE5" w:rsidP="00DA7086">
      <w:pPr>
        <w:pStyle w:val="FootnoteText1"/>
        <w:rPr>
          <w:lang w:val="en-CA"/>
        </w:rPr>
      </w:pPr>
      <w:r w:rsidRPr="00DA7086">
        <w:t xml:space="preserve">Source: </w:t>
      </w:r>
      <w:r w:rsidR="005B204A" w:rsidRPr="00DA7086">
        <w:rPr>
          <w:lang w:val="en-CA"/>
        </w:rPr>
        <w:t xml:space="preserve">“Host Campuses,” SHAD, </w:t>
      </w:r>
      <w:r w:rsidR="005B204A" w:rsidRPr="00DA7086">
        <w:t xml:space="preserve">accessed January 12, 2017, </w:t>
      </w:r>
      <w:r w:rsidRPr="00DA7086">
        <w:t>http://shad.ca/campuses.htm</w:t>
      </w:r>
      <w:r w:rsidR="005B204A" w:rsidRPr="00DA7086">
        <w:t>.</w:t>
      </w:r>
    </w:p>
    <w:p w:rsidR="005B204A" w:rsidRPr="00DA7086" w:rsidRDefault="005B204A" w:rsidP="00E162BF">
      <w:pPr>
        <w:pStyle w:val="BodyText"/>
      </w:pPr>
    </w:p>
    <w:p w:rsidR="008566AC" w:rsidRPr="008B5BC6" w:rsidRDefault="008566AC" w:rsidP="00E162BF">
      <w:pPr>
        <w:pStyle w:val="BodyText"/>
      </w:pPr>
    </w:p>
    <w:p w:rsidR="008566AC" w:rsidRPr="008D6F16" w:rsidRDefault="008566AC" w:rsidP="008566AC">
      <w:pPr>
        <w:pStyle w:val="casehead1"/>
        <w:jc w:val="center"/>
        <w:rPr>
          <w:lang w:val="en-CA"/>
        </w:rPr>
      </w:pPr>
      <w:r w:rsidRPr="008D6F16">
        <w:rPr>
          <w:lang w:val="en-CA"/>
        </w:rPr>
        <w:t>Exhibit 2: Fuel Costs across Canada</w:t>
      </w:r>
    </w:p>
    <w:p w:rsidR="009F558B" w:rsidRPr="008D6F16" w:rsidRDefault="009F558B" w:rsidP="008566AC">
      <w:pPr>
        <w:pStyle w:val="BodyText"/>
        <w:rPr>
          <w:lang w:val="en-CA"/>
        </w:rPr>
      </w:pP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5"/>
        <w:gridCol w:w="720"/>
        <w:gridCol w:w="720"/>
        <w:gridCol w:w="720"/>
        <w:gridCol w:w="720"/>
        <w:gridCol w:w="720"/>
        <w:gridCol w:w="316"/>
        <w:gridCol w:w="3795"/>
      </w:tblGrid>
      <w:tr w:rsidR="008566AC" w:rsidRPr="00DA7086" w:rsidTr="00AC4613">
        <w:trPr>
          <w:trHeight w:val="310"/>
          <w:jc w:val="center"/>
        </w:trPr>
        <w:tc>
          <w:tcPr>
            <w:tcW w:w="9316" w:type="dxa"/>
            <w:gridSpan w:val="8"/>
            <w:shd w:val="clear" w:color="auto" w:fill="auto"/>
            <w:noWrap/>
            <w:vAlign w:val="bottom"/>
            <w:hideMark/>
          </w:tcPr>
          <w:p w:rsidR="008566AC" w:rsidRPr="00DA7086" w:rsidRDefault="008566AC" w:rsidP="004204A1">
            <w:pPr>
              <w:pStyle w:val="casehead1"/>
              <w:spacing w:before="100" w:after="100"/>
              <w:jc w:val="center"/>
              <w:rPr>
                <w:rFonts w:cs="Arial"/>
                <w:lang w:val="en-CA" w:eastAsia="en-CA"/>
              </w:rPr>
            </w:pPr>
            <w:r w:rsidRPr="00DA7086">
              <w:rPr>
                <w:rFonts w:cs="Arial"/>
                <w:lang w:val="en-CA" w:eastAsia="en-CA"/>
              </w:rPr>
              <w:t>Gasoline and fuel oil, average retail prices by urban centre (cents/L)</w:t>
            </w:r>
          </w:p>
        </w:tc>
      </w:tr>
      <w:tr w:rsidR="004204A1" w:rsidRPr="00DA7086" w:rsidTr="00AC4613">
        <w:trPr>
          <w:trHeight w:val="300"/>
          <w:jc w:val="center"/>
        </w:trPr>
        <w:tc>
          <w:tcPr>
            <w:tcW w:w="1605" w:type="dxa"/>
            <w:shd w:val="clear" w:color="auto" w:fill="auto"/>
            <w:noWrap/>
            <w:vAlign w:val="bottom"/>
          </w:tcPr>
          <w:p w:rsidR="008566AC" w:rsidRPr="00DA7086" w:rsidRDefault="008566AC" w:rsidP="004204A1">
            <w:pPr>
              <w:pStyle w:val="casehead2"/>
              <w:spacing w:before="100" w:after="100"/>
              <w:rPr>
                <w:rFonts w:cs="Arial"/>
                <w:lang w:val="en-CA" w:eastAsia="en-CA"/>
              </w:rPr>
            </w:pPr>
          </w:p>
        </w:tc>
        <w:tc>
          <w:tcPr>
            <w:tcW w:w="720" w:type="dxa"/>
            <w:shd w:val="clear" w:color="auto" w:fill="auto"/>
            <w:noWrap/>
            <w:vAlign w:val="bottom"/>
            <w:hideMark/>
          </w:tcPr>
          <w:p w:rsidR="008566AC" w:rsidRPr="00DA7086" w:rsidRDefault="008566AC" w:rsidP="00DA7086">
            <w:pPr>
              <w:pStyle w:val="casehead2"/>
              <w:spacing w:before="100" w:after="100"/>
              <w:jc w:val="center"/>
              <w:rPr>
                <w:rFonts w:cs="Arial"/>
                <w:lang w:val="en-CA" w:eastAsia="en-CA"/>
              </w:rPr>
            </w:pPr>
            <w:r w:rsidRPr="00DA7086">
              <w:rPr>
                <w:rFonts w:cs="Arial"/>
                <w:lang w:val="en-CA" w:eastAsia="en-CA"/>
              </w:rPr>
              <w:t>2012</w:t>
            </w:r>
          </w:p>
        </w:tc>
        <w:tc>
          <w:tcPr>
            <w:tcW w:w="720" w:type="dxa"/>
            <w:shd w:val="clear" w:color="auto" w:fill="auto"/>
            <w:noWrap/>
            <w:vAlign w:val="bottom"/>
            <w:hideMark/>
          </w:tcPr>
          <w:p w:rsidR="008566AC" w:rsidRPr="00DA7086" w:rsidRDefault="008566AC" w:rsidP="00DA7086">
            <w:pPr>
              <w:pStyle w:val="casehead2"/>
              <w:spacing w:before="100" w:after="100"/>
              <w:jc w:val="center"/>
              <w:rPr>
                <w:rFonts w:cs="Arial"/>
                <w:lang w:val="en-CA" w:eastAsia="en-CA"/>
              </w:rPr>
            </w:pPr>
            <w:r w:rsidRPr="00DA7086">
              <w:rPr>
                <w:rFonts w:cs="Arial"/>
                <w:lang w:val="en-CA" w:eastAsia="en-CA"/>
              </w:rPr>
              <w:t>2013</w:t>
            </w:r>
          </w:p>
        </w:tc>
        <w:tc>
          <w:tcPr>
            <w:tcW w:w="720" w:type="dxa"/>
            <w:shd w:val="clear" w:color="auto" w:fill="auto"/>
            <w:noWrap/>
            <w:vAlign w:val="bottom"/>
            <w:hideMark/>
          </w:tcPr>
          <w:p w:rsidR="008566AC" w:rsidRPr="00DA7086" w:rsidRDefault="008566AC" w:rsidP="00DA7086">
            <w:pPr>
              <w:pStyle w:val="casehead2"/>
              <w:spacing w:before="100" w:after="100"/>
              <w:jc w:val="center"/>
              <w:rPr>
                <w:rFonts w:cs="Arial"/>
                <w:lang w:val="en-CA" w:eastAsia="en-CA"/>
              </w:rPr>
            </w:pPr>
            <w:r w:rsidRPr="00DA7086">
              <w:rPr>
                <w:rFonts w:cs="Arial"/>
                <w:lang w:val="en-CA" w:eastAsia="en-CA"/>
              </w:rPr>
              <w:t>2014</w:t>
            </w:r>
          </w:p>
        </w:tc>
        <w:tc>
          <w:tcPr>
            <w:tcW w:w="720" w:type="dxa"/>
            <w:shd w:val="clear" w:color="auto" w:fill="auto"/>
            <w:noWrap/>
            <w:vAlign w:val="bottom"/>
            <w:hideMark/>
          </w:tcPr>
          <w:p w:rsidR="008566AC" w:rsidRPr="00DA7086" w:rsidRDefault="008566AC" w:rsidP="00DA7086">
            <w:pPr>
              <w:pStyle w:val="casehead2"/>
              <w:spacing w:before="100" w:after="100"/>
              <w:jc w:val="center"/>
              <w:rPr>
                <w:rFonts w:cs="Arial"/>
                <w:lang w:val="en-CA" w:eastAsia="en-CA"/>
              </w:rPr>
            </w:pPr>
            <w:r w:rsidRPr="00DA7086">
              <w:rPr>
                <w:rFonts w:cs="Arial"/>
                <w:lang w:val="en-CA" w:eastAsia="en-CA"/>
              </w:rPr>
              <w:t>2015</w:t>
            </w:r>
          </w:p>
        </w:tc>
        <w:tc>
          <w:tcPr>
            <w:tcW w:w="720" w:type="dxa"/>
            <w:shd w:val="clear" w:color="auto" w:fill="auto"/>
            <w:noWrap/>
            <w:vAlign w:val="bottom"/>
            <w:hideMark/>
          </w:tcPr>
          <w:p w:rsidR="008566AC" w:rsidRPr="00DA7086" w:rsidRDefault="008566AC" w:rsidP="00DA7086">
            <w:pPr>
              <w:pStyle w:val="casehead2"/>
              <w:spacing w:before="100" w:after="100"/>
              <w:jc w:val="center"/>
              <w:rPr>
                <w:rFonts w:cs="Arial"/>
                <w:lang w:val="en-CA" w:eastAsia="en-CA"/>
              </w:rPr>
            </w:pPr>
            <w:r w:rsidRPr="00DA7086">
              <w:rPr>
                <w:rFonts w:cs="Arial"/>
                <w:lang w:val="en-CA" w:eastAsia="en-CA"/>
              </w:rPr>
              <w:t>2016</w:t>
            </w:r>
          </w:p>
        </w:tc>
        <w:tc>
          <w:tcPr>
            <w:tcW w:w="4111" w:type="dxa"/>
            <w:gridSpan w:val="2"/>
            <w:shd w:val="clear" w:color="auto" w:fill="auto"/>
            <w:noWrap/>
            <w:vAlign w:val="bottom"/>
            <w:hideMark/>
          </w:tcPr>
          <w:p w:rsidR="008566AC" w:rsidRPr="00DA7086" w:rsidRDefault="008566AC" w:rsidP="00DA7086">
            <w:pPr>
              <w:pStyle w:val="casehead2"/>
              <w:spacing w:before="100" w:after="100"/>
              <w:jc w:val="center"/>
              <w:rPr>
                <w:rFonts w:cs="Arial"/>
                <w:lang w:val="en-CA" w:eastAsia="en-CA"/>
              </w:rPr>
            </w:pPr>
            <w:r w:rsidRPr="00DA7086">
              <w:rPr>
                <w:rFonts w:cs="Arial"/>
                <w:lang w:val="en-CA" w:eastAsia="en-CA"/>
              </w:rPr>
              <w:t>SHAD Campuses in the Area</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St. John</w:t>
            </w:r>
            <w:r w:rsidR="00243BAB" w:rsidRPr="00DA7086">
              <w:rPr>
                <w:rFonts w:ascii="Arial" w:hAnsi="Arial" w:cs="Arial"/>
                <w:b/>
                <w:bCs/>
                <w:color w:val="000000"/>
                <w:lang w:val="en-CA" w:eastAsia="en-CA"/>
              </w:rPr>
              <w:t>’</w:t>
            </w:r>
            <w:r w:rsidRPr="00DA7086">
              <w:rPr>
                <w:rFonts w:ascii="Arial" w:hAnsi="Arial" w:cs="Arial"/>
                <w:b/>
                <w:bCs/>
                <w:color w:val="000000"/>
                <w:lang w:val="en-CA" w:eastAsia="en-CA"/>
              </w:rPr>
              <w:t>s</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133.3</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134.5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134.4</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106.8</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89.7</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Memorial University of Newfoundland</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Charlottetown</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122.8</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128</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135.5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100.2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86.7</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Halifax</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132.2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137.5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135.9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100.1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86.2</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Dalhousie University</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Saint John</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127.7</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131.1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130.8</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95.5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86.9</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University of New-Brunswick</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Québec</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133.1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139.2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134.1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101.4</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90.1</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Montréal</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137.2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142.8</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137.3</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112</w:t>
            </w:r>
            <w:r w:rsidR="004204A1" w:rsidRPr="00DA7086">
              <w:rPr>
                <w:rFonts w:ascii="Arial" w:hAnsi="Arial" w:cs="Arial"/>
                <w:color w:val="000000"/>
                <w:lang w:val="en-CA" w:eastAsia="en-CA"/>
              </w:rPr>
              <w:t>.0</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98.1</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Ottawa</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124</w:t>
            </w:r>
            <w:r w:rsidR="004204A1" w:rsidRPr="00DA7086">
              <w:rPr>
                <w:rFonts w:ascii="Arial" w:hAnsi="Arial" w:cs="Arial"/>
                <w:color w:val="000000"/>
                <w:lang w:val="en-CA" w:eastAsia="en-CA"/>
              </w:rPr>
              <w:t>.0</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128.3</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128.7</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98.2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85.1</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2</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Carleton University, Queen</w:t>
            </w:r>
            <w:r w:rsidR="00243BAB" w:rsidRPr="00DA7086">
              <w:rPr>
                <w:rFonts w:ascii="Arial" w:hAnsi="Arial" w:cs="Arial"/>
                <w:color w:val="000000"/>
                <w:lang w:val="en-CA" w:eastAsia="en-CA"/>
              </w:rPr>
              <w:t>’</w:t>
            </w:r>
            <w:r w:rsidRPr="00DA7086">
              <w:rPr>
                <w:rFonts w:ascii="Arial" w:hAnsi="Arial" w:cs="Arial"/>
                <w:color w:val="000000"/>
                <w:lang w:val="en-CA" w:eastAsia="en-CA"/>
              </w:rPr>
              <w:t>s University</w:t>
            </w:r>
          </w:p>
        </w:tc>
      </w:tr>
      <w:tr w:rsidR="008566AC" w:rsidRPr="00DA7086" w:rsidTr="00AC4613">
        <w:trPr>
          <w:trHeight w:val="57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Toronto</w:t>
            </w:r>
          </w:p>
          <w:p w:rsidR="009F558B" w:rsidRPr="00DA7086" w:rsidRDefault="009F558B" w:rsidP="004204A1">
            <w:pPr>
              <w:rPr>
                <w:rFonts w:ascii="Arial" w:hAnsi="Arial" w:cs="Arial"/>
                <w:b/>
                <w:bCs/>
                <w:color w:val="000000"/>
                <w:lang w:val="en-CA" w:eastAsia="en-CA"/>
              </w:rPr>
            </w:pP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126.3</w:t>
            </w:r>
          </w:p>
          <w:p w:rsidR="004204A1" w:rsidRPr="00DA7086" w:rsidRDefault="004204A1" w:rsidP="00C42FEF">
            <w:pPr>
              <w:jc w:val="center"/>
              <w:rPr>
                <w:rFonts w:ascii="Arial" w:hAnsi="Arial" w:cs="Arial"/>
                <w:color w:val="000000"/>
                <w:lang w:val="en-CA" w:eastAsia="en-CA"/>
              </w:rPr>
            </w:pP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130.8</w:t>
            </w:r>
          </w:p>
          <w:p w:rsidR="004204A1" w:rsidRPr="00DA7086" w:rsidRDefault="004204A1" w:rsidP="00C42FEF">
            <w:pPr>
              <w:jc w:val="center"/>
              <w:rPr>
                <w:rFonts w:ascii="Arial" w:hAnsi="Arial" w:cs="Arial"/>
                <w:color w:val="000000"/>
                <w:lang w:val="en-CA" w:eastAsia="en-CA"/>
              </w:rPr>
            </w:pP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130.6</w:t>
            </w:r>
          </w:p>
          <w:p w:rsidR="004204A1" w:rsidRPr="00DA7086" w:rsidRDefault="004204A1" w:rsidP="00C42FEF">
            <w:pPr>
              <w:jc w:val="center"/>
              <w:rPr>
                <w:rFonts w:ascii="Arial" w:hAnsi="Arial" w:cs="Arial"/>
                <w:color w:val="000000"/>
                <w:lang w:val="en-CA" w:eastAsia="en-CA"/>
              </w:rPr>
            </w:pP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101.4</w:t>
            </w:r>
          </w:p>
          <w:p w:rsidR="004204A1" w:rsidRPr="00DA7086" w:rsidRDefault="004204A1" w:rsidP="00C42FEF">
            <w:pPr>
              <w:jc w:val="center"/>
              <w:rPr>
                <w:rFonts w:ascii="Arial" w:hAnsi="Arial" w:cs="Arial"/>
                <w:color w:val="000000"/>
                <w:lang w:val="en-CA" w:eastAsia="en-CA"/>
              </w:rPr>
            </w:pP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89.8</w:t>
            </w:r>
          </w:p>
          <w:p w:rsidR="004204A1" w:rsidRPr="00DA7086" w:rsidRDefault="004204A1" w:rsidP="00C42FEF">
            <w:pPr>
              <w:jc w:val="center"/>
              <w:rPr>
                <w:rFonts w:ascii="Arial" w:hAnsi="Arial" w:cs="Arial"/>
                <w:color w:val="000000"/>
                <w:lang w:val="en-CA" w:eastAsia="en-CA"/>
              </w:rPr>
            </w:pP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3</w:t>
            </w:r>
          </w:p>
          <w:p w:rsidR="004204A1" w:rsidRPr="00DA7086" w:rsidRDefault="004204A1" w:rsidP="00C42FEF">
            <w:pPr>
              <w:jc w:val="center"/>
              <w:rPr>
                <w:rFonts w:ascii="Arial" w:hAnsi="Arial" w:cs="Arial"/>
                <w:color w:val="000000"/>
                <w:lang w:val="en-CA" w:eastAsia="en-CA"/>
              </w:rPr>
            </w:pPr>
          </w:p>
        </w:tc>
        <w:tc>
          <w:tcPr>
            <w:tcW w:w="3795" w:type="dxa"/>
            <w:shd w:val="clear" w:color="auto" w:fill="auto"/>
            <w:vAlign w:val="bottom"/>
            <w:hideMark/>
          </w:tcPr>
          <w:p w:rsidR="008566AC" w:rsidRPr="00DA7086" w:rsidRDefault="008566AC" w:rsidP="00AC4613">
            <w:pPr>
              <w:rPr>
                <w:rFonts w:ascii="Arial" w:hAnsi="Arial" w:cs="Arial"/>
                <w:color w:val="000000"/>
                <w:lang w:val="en-CA" w:eastAsia="en-CA"/>
              </w:rPr>
            </w:pPr>
            <w:r w:rsidRPr="00DA7086">
              <w:rPr>
                <w:rFonts w:ascii="Arial" w:hAnsi="Arial" w:cs="Arial"/>
                <w:color w:val="000000"/>
                <w:lang w:val="en-CA" w:eastAsia="en-CA"/>
              </w:rPr>
              <w:t>Western University, McMaster University, University of Waterloo</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Thunder Bay</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126.6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127.8</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130.6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106.3</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87.1</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Lakehead University</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Winnipeg</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108.6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114.1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111.7</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89.7</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74.7</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Regina</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115.9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117.4</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118.6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93.5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72.5</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Saskatoon</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115.5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117.6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118.1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94.6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74</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University of Saskatchew</w:t>
            </w:r>
            <w:r w:rsidR="004204A1" w:rsidRPr="00DA7086">
              <w:rPr>
                <w:rFonts w:ascii="Arial" w:hAnsi="Arial" w:cs="Arial"/>
                <w:color w:val="000000"/>
                <w:lang w:val="en-CA" w:eastAsia="en-CA"/>
              </w:rPr>
              <w:t>a</w:t>
            </w:r>
            <w:r w:rsidRPr="00DA7086">
              <w:rPr>
                <w:rFonts w:ascii="Arial" w:hAnsi="Arial" w:cs="Arial"/>
                <w:color w:val="000000"/>
                <w:lang w:val="en-CA" w:eastAsia="en-CA"/>
              </w:rPr>
              <w:t>n</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Edmonton</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103.9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107.1</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107.6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82.4</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63.1</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Calgary</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107.3</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110.9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87.9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73.5</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University of Calgary</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Vancouver</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129.5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137.6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131.6</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117.2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105.9</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w:t>
            </w:r>
          </w:p>
        </w:tc>
        <w:tc>
          <w:tcPr>
            <w:tcW w:w="3795" w:type="dxa"/>
            <w:shd w:val="clear" w:color="auto" w:fill="auto"/>
            <w:noWrap/>
            <w:vAlign w:val="bottom"/>
            <w:hideMark/>
          </w:tcPr>
          <w:p w:rsidR="008566AC" w:rsidRPr="00DA7086" w:rsidRDefault="008566AC" w:rsidP="004204A1">
            <w:pPr>
              <w:rPr>
                <w:rFonts w:ascii="Arial" w:hAnsi="Arial" w:cs="Arial"/>
                <w:color w:val="000000"/>
                <w:lang w:val="en-CA" w:eastAsia="en-CA"/>
              </w:rPr>
            </w:pPr>
            <w:r w:rsidRPr="00DA7086">
              <w:rPr>
                <w:rFonts w:ascii="Arial" w:hAnsi="Arial" w:cs="Arial"/>
                <w:color w:val="000000"/>
                <w:lang w:val="en-CA" w:eastAsia="en-CA"/>
              </w:rPr>
              <w:t>University of British Columbia</w:t>
            </w: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Victoria</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114.4</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123.5</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119.7</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103.2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98.1</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29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Whitehorse</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125.9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128.2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131.9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97.4</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90.8</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r w:rsidR="008566AC" w:rsidRPr="00DA7086" w:rsidTr="00AC4613">
        <w:trPr>
          <w:trHeight w:val="300"/>
          <w:jc w:val="center"/>
        </w:trPr>
        <w:tc>
          <w:tcPr>
            <w:tcW w:w="1605" w:type="dxa"/>
            <w:shd w:val="clear" w:color="auto" w:fill="auto"/>
            <w:noWrap/>
            <w:vAlign w:val="bottom"/>
            <w:hideMark/>
          </w:tcPr>
          <w:p w:rsidR="008566AC" w:rsidRPr="00DA7086" w:rsidRDefault="008566AC" w:rsidP="004204A1">
            <w:pPr>
              <w:rPr>
                <w:rFonts w:ascii="Arial" w:hAnsi="Arial" w:cs="Arial"/>
                <w:b/>
                <w:bCs/>
                <w:color w:val="000000"/>
                <w:lang w:val="en-CA" w:eastAsia="en-CA"/>
              </w:rPr>
            </w:pPr>
            <w:r w:rsidRPr="00DA7086">
              <w:rPr>
                <w:rFonts w:ascii="Arial" w:hAnsi="Arial" w:cs="Arial"/>
                <w:b/>
                <w:bCs/>
                <w:color w:val="000000"/>
                <w:lang w:val="en-CA" w:eastAsia="en-CA"/>
              </w:rPr>
              <w:t>Yellowknife</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138.9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138.9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138.9</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110.2</w:t>
            </w:r>
          </w:p>
        </w:tc>
        <w:tc>
          <w:tcPr>
            <w:tcW w:w="720"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96.5</w:t>
            </w:r>
          </w:p>
        </w:tc>
        <w:tc>
          <w:tcPr>
            <w:tcW w:w="316" w:type="dxa"/>
            <w:shd w:val="clear" w:color="auto" w:fill="auto"/>
            <w:noWrap/>
            <w:vAlign w:val="bottom"/>
            <w:hideMark/>
          </w:tcPr>
          <w:p w:rsidR="008566AC" w:rsidRPr="00DA7086" w:rsidRDefault="008566AC" w:rsidP="00C42FEF">
            <w:pPr>
              <w:jc w:val="center"/>
              <w:rPr>
                <w:rFonts w:ascii="Arial" w:hAnsi="Arial" w:cs="Arial"/>
                <w:color w:val="000000"/>
                <w:lang w:val="en-CA" w:eastAsia="en-CA"/>
              </w:rPr>
            </w:pPr>
            <w:r w:rsidRPr="00DA7086">
              <w:rPr>
                <w:rFonts w:ascii="Arial" w:hAnsi="Arial" w:cs="Arial"/>
                <w:color w:val="000000"/>
                <w:lang w:val="en-CA" w:eastAsia="en-CA"/>
              </w:rPr>
              <w:t>0</w:t>
            </w:r>
          </w:p>
        </w:tc>
        <w:tc>
          <w:tcPr>
            <w:tcW w:w="3795" w:type="dxa"/>
            <w:shd w:val="clear" w:color="auto" w:fill="auto"/>
            <w:noWrap/>
            <w:vAlign w:val="bottom"/>
          </w:tcPr>
          <w:p w:rsidR="008566AC" w:rsidRPr="00DA7086" w:rsidRDefault="008566AC" w:rsidP="004204A1">
            <w:pPr>
              <w:rPr>
                <w:rFonts w:ascii="Arial" w:hAnsi="Arial" w:cs="Arial"/>
                <w:color w:val="000000"/>
                <w:lang w:val="en-CA" w:eastAsia="en-CA"/>
              </w:rPr>
            </w:pPr>
          </w:p>
        </w:tc>
      </w:tr>
    </w:tbl>
    <w:p w:rsidR="00DA7086" w:rsidRDefault="00DA7086" w:rsidP="00DA7086">
      <w:pPr>
        <w:pStyle w:val="FootnoteText1"/>
      </w:pPr>
    </w:p>
    <w:p w:rsidR="008566AC" w:rsidRPr="008B5BC6" w:rsidRDefault="008566AC" w:rsidP="00DA7086">
      <w:pPr>
        <w:pStyle w:val="FootnoteText1"/>
      </w:pPr>
      <w:r w:rsidRPr="008B5BC6">
        <w:t xml:space="preserve">Source: </w:t>
      </w:r>
      <w:r w:rsidR="00552140">
        <w:t xml:space="preserve">“Gasoline and Fuel Oil, Average Retail Prices by Urban Centre (Regular Unleaded Gasoline at Self Service Filling Stations),” Canada: Statistics Canada, last modified January 20, 2017, accessed </w:t>
      </w:r>
      <w:r w:rsidR="00552140" w:rsidRPr="008B5BC6">
        <w:t>January 12, 2017</w:t>
      </w:r>
      <w:r w:rsidR="00552140">
        <w:t xml:space="preserve">, </w:t>
      </w:r>
      <w:r w:rsidR="004204A1" w:rsidRPr="008B5BC6">
        <w:t>www.statcan.gc.ca/tables-tableaux/sum-som/l01/cst01/econ154a-eng.htm</w:t>
      </w:r>
      <w:r w:rsidR="00552140">
        <w:t>.</w:t>
      </w:r>
    </w:p>
    <w:p w:rsidR="008566AC" w:rsidRPr="008B5BC6" w:rsidRDefault="008566AC" w:rsidP="00DA7086">
      <w:pPr>
        <w:pStyle w:val="BodyText"/>
      </w:pPr>
      <w:r w:rsidRPr="008B5BC6">
        <w:br w:type="page"/>
      </w:r>
    </w:p>
    <w:p w:rsidR="008566AC" w:rsidRPr="008D6F16" w:rsidRDefault="008566AC" w:rsidP="008566AC">
      <w:pPr>
        <w:pStyle w:val="casehead1"/>
        <w:jc w:val="center"/>
        <w:rPr>
          <w:lang w:val="en-CA"/>
        </w:rPr>
      </w:pPr>
      <w:r w:rsidRPr="008D6F16">
        <w:rPr>
          <w:lang w:val="en-CA"/>
        </w:rPr>
        <w:lastRenderedPageBreak/>
        <w:t>Exhibit 3: SHAD Supporters</w:t>
      </w:r>
    </w:p>
    <w:p w:rsidR="008566AC" w:rsidRPr="008D6F16" w:rsidRDefault="008566AC" w:rsidP="008566AC">
      <w:pPr>
        <w:pStyle w:val="BodyText"/>
        <w:rPr>
          <w:lang w:val="en-CA"/>
        </w:rPr>
      </w:pP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6660"/>
      </w:tblGrid>
      <w:tr w:rsidR="00577AE5" w:rsidRPr="00DA7086" w:rsidTr="00577AE5">
        <w:trPr>
          <w:gridBefore w:val="1"/>
          <w:wBefore w:w="270" w:type="dxa"/>
          <w:trHeight w:val="274"/>
        </w:trPr>
        <w:tc>
          <w:tcPr>
            <w:tcW w:w="6660" w:type="dxa"/>
            <w:noWrap/>
            <w:hideMark/>
          </w:tcPr>
          <w:p w:rsidR="00577AE5" w:rsidRPr="00DA7086" w:rsidRDefault="00577AE5" w:rsidP="005E53CE">
            <w:pPr>
              <w:pStyle w:val="casehead1"/>
              <w:rPr>
                <w:rFonts w:cs="Arial"/>
                <w:sz w:val="20"/>
                <w:szCs w:val="20"/>
              </w:rPr>
            </w:pPr>
            <w:r w:rsidRPr="00DA7086">
              <w:rPr>
                <w:rFonts w:cs="Arial"/>
                <w:sz w:val="20"/>
                <w:szCs w:val="20"/>
              </w:rPr>
              <w:t>Corporations</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proofErr w:type="spellStart"/>
            <w:r w:rsidRPr="00DA7086">
              <w:rPr>
                <w:rFonts w:ascii="Arial" w:hAnsi="Arial" w:cs="Arial"/>
                <w:sz w:val="20"/>
                <w:szCs w:val="20"/>
              </w:rPr>
              <w:t>AltaGas</w:t>
            </w:r>
            <w:proofErr w:type="spellEnd"/>
            <w:r w:rsidRPr="00DA7086">
              <w:rPr>
                <w:rFonts w:ascii="Arial" w:hAnsi="Arial" w:cs="Arial"/>
                <w:sz w:val="20"/>
                <w:szCs w:val="20"/>
              </w:rPr>
              <w:t xml:space="preserve"> Ltd.</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Amgen Inc.</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Christie Digital Systems USA, Inc.</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Crescent Point Energy Corp.</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Great-West Life</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London Life</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The Canada Life Assurance Company</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Hatch Ltd.</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Hibernia Management and Development Company Ltd.</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Merck Sharp &amp; Dohme Corp.</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Microsoft Corporation</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NB Power</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proofErr w:type="spellStart"/>
            <w:r w:rsidRPr="00DA7086">
              <w:rPr>
                <w:rFonts w:ascii="Arial" w:hAnsi="Arial" w:cs="Arial"/>
                <w:sz w:val="20"/>
                <w:szCs w:val="20"/>
              </w:rPr>
              <w:t>Nexen</w:t>
            </w:r>
            <w:proofErr w:type="spellEnd"/>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Nuclear Waste Management Organization</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Ontario Power Generation Inc.</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The Pythian Group Inc.</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Royal Bank of Canada</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SAP SE</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Talisman Energy Inc.</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ADP, LLC.</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Annapolis Capital</w:t>
            </w:r>
          </w:p>
        </w:tc>
      </w:tr>
      <w:tr w:rsidR="00577AE5" w:rsidRPr="00DA7086" w:rsidTr="00577AE5">
        <w:trPr>
          <w:gridBefore w:val="1"/>
          <w:wBefore w:w="270" w:type="dxa"/>
          <w:trHeight w:val="274"/>
        </w:trPr>
        <w:tc>
          <w:tcPr>
            <w:tcW w:w="6660" w:type="dxa"/>
            <w:noWrap/>
            <w:hideMark/>
          </w:tcPr>
          <w:p w:rsidR="00577AE5" w:rsidRPr="00DA7086" w:rsidRDefault="00577AE5" w:rsidP="005E53CE">
            <w:pPr>
              <w:pStyle w:val="BodyText"/>
              <w:rPr>
                <w:rFonts w:ascii="Arial" w:hAnsi="Arial" w:cs="Arial"/>
                <w:sz w:val="20"/>
                <w:szCs w:val="20"/>
              </w:rPr>
            </w:pPr>
            <w:proofErr w:type="spellStart"/>
            <w:r w:rsidRPr="00DA7086">
              <w:rPr>
                <w:rFonts w:ascii="Arial" w:hAnsi="Arial" w:cs="Arial"/>
                <w:sz w:val="20"/>
                <w:szCs w:val="20"/>
              </w:rPr>
              <w:t>Maplesoft</w:t>
            </w:r>
            <w:proofErr w:type="spellEnd"/>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p>
        </w:tc>
      </w:tr>
      <w:tr w:rsidR="00577AE5" w:rsidRPr="00DA7086" w:rsidTr="00577AE5">
        <w:trPr>
          <w:gridBefore w:val="1"/>
          <w:wBefore w:w="270" w:type="dxa"/>
          <w:trHeight w:val="274"/>
        </w:trPr>
        <w:tc>
          <w:tcPr>
            <w:tcW w:w="6660" w:type="dxa"/>
            <w:noWrap/>
          </w:tcPr>
          <w:p w:rsidR="00577AE5" w:rsidRPr="00DA7086" w:rsidRDefault="00577AE5" w:rsidP="005E53CE">
            <w:pPr>
              <w:pStyle w:val="casehead1"/>
              <w:rPr>
                <w:rFonts w:cs="Arial"/>
                <w:sz w:val="20"/>
                <w:szCs w:val="20"/>
              </w:rPr>
            </w:pPr>
            <w:r w:rsidRPr="00DA7086">
              <w:rPr>
                <w:rFonts w:cs="Arial"/>
                <w:sz w:val="20"/>
                <w:szCs w:val="20"/>
              </w:rPr>
              <w:t>Foundations</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Canada Foundation for Innovation</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John Dobson Foundation</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McCain Foundation</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Michael Smith Foundation for Health Research</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r w:rsidRPr="00DA7086">
              <w:rPr>
                <w:rFonts w:ascii="Arial" w:hAnsi="Arial" w:cs="Arial"/>
                <w:sz w:val="20"/>
                <w:szCs w:val="20"/>
              </w:rPr>
              <w:t>New Brunswick Innovation Foundation</w:t>
            </w:r>
          </w:p>
        </w:tc>
      </w:tr>
      <w:tr w:rsidR="00577AE5" w:rsidRPr="00DA7086" w:rsidTr="00577AE5">
        <w:trPr>
          <w:gridBefore w:val="1"/>
          <w:wBefore w:w="270" w:type="dxa"/>
          <w:trHeight w:val="274"/>
        </w:trPr>
        <w:tc>
          <w:tcPr>
            <w:tcW w:w="6660" w:type="dxa"/>
            <w:noWrap/>
          </w:tcPr>
          <w:p w:rsidR="00577AE5" w:rsidRPr="00DA7086" w:rsidRDefault="00577AE5" w:rsidP="005E53CE">
            <w:pPr>
              <w:pStyle w:val="BodyText"/>
              <w:rPr>
                <w:rFonts w:ascii="Arial" w:hAnsi="Arial" w:cs="Arial"/>
                <w:sz w:val="20"/>
                <w:szCs w:val="20"/>
              </w:rPr>
            </w:pPr>
          </w:p>
        </w:tc>
      </w:tr>
      <w:tr w:rsidR="00577AE5" w:rsidRPr="00DA7086" w:rsidTr="00577AE5">
        <w:trPr>
          <w:gridBefore w:val="1"/>
          <w:wBefore w:w="270" w:type="dxa"/>
          <w:trHeight w:val="274"/>
        </w:trPr>
        <w:tc>
          <w:tcPr>
            <w:tcW w:w="6660" w:type="dxa"/>
            <w:noWrap/>
          </w:tcPr>
          <w:p w:rsidR="00577AE5" w:rsidRPr="00DA7086" w:rsidRDefault="00577AE5" w:rsidP="005E53CE">
            <w:pPr>
              <w:pStyle w:val="casehead1"/>
              <w:rPr>
                <w:rFonts w:cs="Arial"/>
                <w:sz w:val="20"/>
                <w:szCs w:val="20"/>
              </w:rPr>
            </w:pPr>
            <w:r w:rsidRPr="00DA7086">
              <w:rPr>
                <w:rFonts w:cs="Arial"/>
                <w:sz w:val="20"/>
                <w:szCs w:val="20"/>
              </w:rPr>
              <w:t>Government</w:t>
            </w:r>
          </w:p>
        </w:tc>
      </w:tr>
      <w:tr w:rsidR="00577AE5" w:rsidRPr="00DA7086" w:rsidTr="00577AE5">
        <w:tblPrEx>
          <w:jc w:val="center"/>
        </w:tblPrEx>
        <w:trPr>
          <w:trHeight w:val="274"/>
          <w:jc w:val="center"/>
        </w:trPr>
        <w:tc>
          <w:tcPr>
            <w:tcW w:w="6930" w:type="dxa"/>
            <w:gridSpan w:val="2"/>
            <w:noWrap/>
          </w:tcPr>
          <w:p w:rsidR="00577AE5" w:rsidRPr="00DA7086" w:rsidRDefault="00577AE5" w:rsidP="005E53CE">
            <w:pPr>
              <w:pStyle w:val="BodyText"/>
              <w:rPr>
                <w:rFonts w:ascii="Arial" w:hAnsi="Arial" w:cs="Arial"/>
                <w:sz w:val="20"/>
                <w:szCs w:val="20"/>
              </w:rPr>
            </w:pPr>
          </w:p>
        </w:tc>
      </w:tr>
      <w:tr w:rsidR="00577AE5" w:rsidRPr="00DA7086" w:rsidTr="00577AE5">
        <w:tblPrEx>
          <w:jc w:val="center"/>
        </w:tblPrEx>
        <w:trPr>
          <w:trHeight w:val="274"/>
          <w:jc w:val="center"/>
        </w:trPr>
        <w:tc>
          <w:tcPr>
            <w:tcW w:w="6930" w:type="dxa"/>
            <w:gridSpan w:val="2"/>
            <w:noWrap/>
            <w:hideMark/>
          </w:tcPr>
          <w:p w:rsidR="00577AE5" w:rsidRPr="00DA7086" w:rsidRDefault="00577AE5" w:rsidP="00577AE5">
            <w:pPr>
              <w:pStyle w:val="BodyText"/>
              <w:rPr>
                <w:rFonts w:ascii="Arial" w:hAnsi="Arial" w:cs="Arial"/>
                <w:sz w:val="20"/>
                <w:szCs w:val="20"/>
              </w:rPr>
            </w:pPr>
            <w:r w:rsidRPr="00DA7086">
              <w:rPr>
                <w:rFonts w:ascii="Arial" w:hAnsi="Arial" w:cs="Arial"/>
                <w:sz w:val="20"/>
                <w:szCs w:val="20"/>
              </w:rPr>
              <w:t>Government of Manitoba</w:t>
            </w:r>
          </w:p>
        </w:tc>
      </w:tr>
      <w:tr w:rsidR="00577AE5" w:rsidRPr="00DA7086" w:rsidTr="00577AE5">
        <w:tblPrEx>
          <w:jc w:val="center"/>
        </w:tblPrEx>
        <w:trPr>
          <w:trHeight w:val="274"/>
          <w:jc w:val="center"/>
        </w:trPr>
        <w:tc>
          <w:tcPr>
            <w:tcW w:w="6930" w:type="dxa"/>
            <w:gridSpan w:val="2"/>
            <w:noWrap/>
            <w:hideMark/>
          </w:tcPr>
          <w:p w:rsidR="00577AE5" w:rsidRPr="00DA7086" w:rsidRDefault="00577AE5" w:rsidP="00577AE5">
            <w:pPr>
              <w:pStyle w:val="BodyText"/>
              <w:rPr>
                <w:rFonts w:ascii="Arial" w:hAnsi="Arial" w:cs="Arial"/>
                <w:sz w:val="20"/>
                <w:szCs w:val="20"/>
              </w:rPr>
            </w:pPr>
            <w:r w:rsidRPr="00DA7086">
              <w:rPr>
                <w:rFonts w:ascii="Arial" w:hAnsi="Arial" w:cs="Arial"/>
                <w:sz w:val="20"/>
                <w:szCs w:val="20"/>
              </w:rPr>
              <w:t>Government of New Brunswick</w:t>
            </w:r>
          </w:p>
        </w:tc>
      </w:tr>
      <w:tr w:rsidR="00577AE5" w:rsidRPr="00DA7086" w:rsidTr="00577AE5">
        <w:tblPrEx>
          <w:jc w:val="center"/>
        </w:tblPrEx>
        <w:trPr>
          <w:trHeight w:val="274"/>
          <w:jc w:val="center"/>
        </w:trPr>
        <w:tc>
          <w:tcPr>
            <w:tcW w:w="6930" w:type="dxa"/>
            <w:gridSpan w:val="2"/>
            <w:noWrap/>
            <w:hideMark/>
          </w:tcPr>
          <w:p w:rsidR="00577AE5" w:rsidRPr="00DA7086" w:rsidRDefault="00577AE5" w:rsidP="00577AE5">
            <w:pPr>
              <w:pStyle w:val="BodyText"/>
              <w:rPr>
                <w:rFonts w:ascii="Arial" w:hAnsi="Arial" w:cs="Arial"/>
                <w:sz w:val="20"/>
                <w:szCs w:val="20"/>
              </w:rPr>
            </w:pPr>
            <w:r w:rsidRPr="00DA7086">
              <w:rPr>
                <w:rFonts w:ascii="Arial" w:hAnsi="Arial" w:cs="Arial"/>
                <w:sz w:val="20"/>
                <w:szCs w:val="20"/>
              </w:rPr>
              <w:t>Government of Nova Scotia</w:t>
            </w:r>
          </w:p>
        </w:tc>
      </w:tr>
      <w:tr w:rsidR="00577AE5" w:rsidRPr="00DA7086" w:rsidTr="00577AE5">
        <w:tblPrEx>
          <w:jc w:val="center"/>
        </w:tblPrEx>
        <w:trPr>
          <w:trHeight w:val="274"/>
          <w:jc w:val="center"/>
        </w:trPr>
        <w:tc>
          <w:tcPr>
            <w:tcW w:w="6930" w:type="dxa"/>
            <w:gridSpan w:val="2"/>
            <w:noWrap/>
            <w:hideMark/>
          </w:tcPr>
          <w:p w:rsidR="00577AE5" w:rsidRPr="00DA7086" w:rsidRDefault="00577AE5" w:rsidP="00577AE5">
            <w:pPr>
              <w:pStyle w:val="BodyText"/>
              <w:rPr>
                <w:rFonts w:ascii="Arial" w:hAnsi="Arial" w:cs="Arial"/>
                <w:sz w:val="20"/>
                <w:szCs w:val="20"/>
              </w:rPr>
            </w:pPr>
            <w:r w:rsidRPr="00DA7086">
              <w:rPr>
                <w:rFonts w:ascii="Arial" w:hAnsi="Arial" w:cs="Arial"/>
                <w:sz w:val="20"/>
                <w:szCs w:val="20"/>
              </w:rPr>
              <w:t>NSERC (Natural Sciences and Engineering Research Council of Canada)</w:t>
            </w:r>
          </w:p>
        </w:tc>
      </w:tr>
      <w:tr w:rsidR="00577AE5" w:rsidRPr="00DA7086" w:rsidTr="00577AE5">
        <w:tblPrEx>
          <w:jc w:val="center"/>
        </w:tblPrEx>
        <w:trPr>
          <w:trHeight w:val="274"/>
          <w:jc w:val="center"/>
        </w:trPr>
        <w:tc>
          <w:tcPr>
            <w:tcW w:w="6930" w:type="dxa"/>
            <w:gridSpan w:val="2"/>
            <w:noWrap/>
            <w:hideMark/>
          </w:tcPr>
          <w:p w:rsidR="00577AE5" w:rsidRPr="00DA7086" w:rsidRDefault="00577AE5" w:rsidP="00577AE5">
            <w:pPr>
              <w:pStyle w:val="BodyText"/>
              <w:rPr>
                <w:rFonts w:ascii="Arial" w:hAnsi="Arial" w:cs="Arial"/>
                <w:sz w:val="20"/>
                <w:szCs w:val="20"/>
              </w:rPr>
            </w:pPr>
            <w:r w:rsidRPr="00DA7086">
              <w:rPr>
                <w:rFonts w:ascii="Arial" w:hAnsi="Arial" w:cs="Arial"/>
                <w:sz w:val="20"/>
                <w:szCs w:val="20"/>
              </w:rPr>
              <w:t>Government of Ontario</w:t>
            </w:r>
          </w:p>
        </w:tc>
      </w:tr>
      <w:tr w:rsidR="00577AE5" w:rsidRPr="00DA7086" w:rsidTr="00577AE5">
        <w:tblPrEx>
          <w:jc w:val="center"/>
        </w:tblPrEx>
        <w:trPr>
          <w:trHeight w:val="274"/>
          <w:jc w:val="center"/>
        </w:trPr>
        <w:tc>
          <w:tcPr>
            <w:tcW w:w="6930" w:type="dxa"/>
            <w:gridSpan w:val="2"/>
            <w:noWrap/>
            <w:hideMark/>
          </w:tcPr>
          <w:p w:rsidR="00577AE5" w:rsidRPr="00DA7086" w:rsidRDefault="00577AE5" w:rsidP="00577AE5">
            <w:pPr>
              <w:pStyle w:val="BodyText"/>
              <w:rPr>
                <w:rFonts w:ascii="Arial" w:hAnsi="Arial" w:cs="Arial"/>
                <w:sz w:val="20"/>
                <w:szCs w:val="20"/>
              </w:rPr>
            </w:pPr>
            <w:r w:rsidRPr="00DA7086">
              <w:rPr>
                <w:rFonts w:ascii="Arial" w:hAnsi="Arial" w:cs="Arial"/>
                <w:sz w:val="20"/>
                <w:szCs w:val="20"/>
              </w:rPr>
              <w:t>Government of Prince Edward Island</w:t>
            </w:r>
          </w:p>
        </w:tc>
      </w:tr>
    </w:tbl>
    <w:p w:rsidR="00DA7086" w:rsidRDefault="00DA7086" w:rsidP="00DA7086">
      <w:pPr>
        <w:pStyle w:val="FootnoteText1"/>
      </w:pPr>
    </w:p>
    <w:p w:rsidR="00DA7086" w:rsidRDefault="00577AE5" w:rsidP="00DA7086">
      <w:pPr>
        <w:pStyle w:val="FootnoteText1"/>
      </w:pPr>
      <w:r w:rsidRPr="00DA7086">
        <w:t>Source:</w:t>
      </w:r>
      <w:r w:rsidR="004F5129">
        <w:t xml:space="preserve"> </w:t>
      </w:r>
      <w:r w:rsidR="00B51FC6">
        <w:t xml:space="preserve">“Supporter,” </w:t>
      </w:r>
      <w:r w:rsidR="004F5129">
        <w:t>SHAD, accessed January 12, 2017,</w:t>
      </w:r>
      <w:r w:rsidRPr="00DA7086">
        <w:t xml:space="preserve"> http://shad.ca/Supporters-list.htm.</w:t>
      </w:r>
    </w:p>
    <w:p w:rsidR="00DA7086" w:rsidRDefault="00DA7086">
      <w:pPr>
        <w:rPr>
          <w:rFonts w:ascii="Arial" w:hAnsi="Arial" w:cs="Arial"/>
          <w:sz w:val="17"/>
          <w:szCs w:val="17"/>
        </w:rPr>
      </w:pPr>
      <w:r>
        <w:rPr>
          <w:rFonts w:ascii="Arial" w:hAnsi="Arial" w:cs="Arial"/>
          <w:sz w:val="17"/>
          <w:szCs w:val="17"/>
        </w:rPr>
        <w:br w:type="page"/>
      </w:r>
    </w:p>
    <w:p w:rsidR="008566AC" w:rsidRPr="00DA7086" w:rsidRDefault="008566AC" w:rsidP="00DA7086">
      <w:pPr>
        <w:pStyle w:val="casehead1"/>
        <w:jc w:val="center"/>
      </w:pPr>
      <w:r w:rsidRPr="00DA7086">
        <w:lastRenderedPageBreak/>
        <w:t>Exhibit 4</w:t>
      </w:r>
      <w:r w:rsidR="004204A1" w:rsidRPr="00DA7086">
        <w:t>:</w:t>
      </w:r>
      <w:r w:rsidRPr="00DA7086">
        <w:t xml:space="preserve"> Application and </w:t>
      </w:r>
      <w:r w:rsidR="001B4706" w:rsidRPr="00DA7086">
        <w:t xml:space="preserve">Registration </w:t>
      </w:r>
      <w:r w:rsidRPr="00DA7086">
        <w:t>Fee History</w:t>
      </w:r>
    </w:p>
    <w:p w:rsidR="008566AC" w:rsidRPr="00DA7086" w:rsidRDefault="008566AC" w:rsidP="00DA7086">
      <w:pPr>
        <w:pStyle w:val="BodyText"/>
      </w:pPr>
    </w:p>
    <w:tbl>
      <w:tblPr>
        <w:tblW w:w="7366" w:type="dxa"/>
        <w:jc w:val="center"/>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1245"/>
        <w:gridCol w:w="1276"/>
        <w:gridCol w:w="1276"/>
        <w:gridCol w:w="1181"/>
        <w:gridCol w:w="9"/>
      </w:tblGrid>
      <w:tr w:rsidR="008566AC" w:rsidRPr="00DA7086" w:rsidTr="00DA7086">
        <w:trPr>
          <w:trHeight w:val="320"/>
          <w:jc w:val="center"/>
        </w:trPr>
        <w:tc>
          <w:tcPr>
            <w:tcW w:w="7366" w:type="dxa"/>
            <w:gridSpan w:val="6"/>
            <w:shd w:val="clear" w:color="auto" w:fill="auto"/>
            <w:noWrap/>
            <w:vAlign w:val="bottom"/>
            <w:hideMark/>
          </w:tcPr>
          <w:p w:rsidR="008566AC" w:rsidRPr="00DA7086" w:rsidRDefault="008566AC" w:rsidP="004204A1">
            <w:pPr>
              <w:pStyle w:val="casehead1"/>
              <w:spacing w:before="100" w:after="100"/>
              <w:jc w:val="center"/>
              <w:rPr>
                <w:rFonts w:cs="Arial"/>
                <w:lang w:val="en-CA" w:eastAsia="en-CA"/>
              </w:rPr>
            </w:pPr>
            <w:r w:rsidRPr="00DA7086">
              <w:rPr>
                <w:rFonts w:cs="Arial"/>
                <w:lang w:val="en-CA" w:eastAsia="en-CA"/>
              </w:rPr>
              <w:t>Number of Applications</w:t>
            </w:r>
          </w:p>
        </w:tc>
      </w:tr>
      <w:tr w:rsidR="008566AC" w:rsidRPr="00DA7086" w:rsidTr="00DA7086">
        <w:trPr>
          <w:gridAfter w:val="1"/>
          <w:wAfter w:w="9" w:type="dxa"/>
          <w:trHeight w:val="260"/>
          <w:jc w:val="center"/>
        </w:trPr>
        <w:tc>
          <w:tcPr>
            <w:tcW w:w="2379" w:type="dxa"/>
            <w:shd w:val="clear" w:color="auto" w:fill="auto"/>
            <w:noWrap/>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Location</w:t>
            </w:r>
          </w:p>
        </w:tc>
        <w:tc>
          <w:tcPr>
            <w:tcW w:w="1245" w:type="dxa"/>
            <w:shd w:val="clear" w:color="auto" w:fill="auto"/>
            <w:noWrap/>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2012</w:t>
            </w:r>
          </w:p>
        </w:tc>
        <w:tc>
          <w:tcPr>
            <w:tcW w:w="1276" w:type="dxa"/>
            <w:shd w:val="clear" w:color="auto" w:fill="auto"/>
            <w:noWrap/>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2013</w:t>
            </w:r>
          </w:p>
        </w:tc>
        <w:tc>
          <w:tcPr>
            <w:tcW w:w="1276" w:type="dxa"/>
            <w:shd w:val="clear" w:color="auto" w:fill="auto"/>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2014</w:t>
            </w:r>
          </w:p>
        </w:tc>
        <w:tc>
          <w:tcPr>
            <w:tcW w:w="1181" w:type="dxa"/>
            <w:shd w:val="clear" w:color="auto" w:fill="auto"/>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2015</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Newfoundland</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27</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14</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27</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99</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Nova Scotia</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19</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15</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32</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18</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Prince Edward Island</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13</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4</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4</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New Brunswick</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50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38</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43</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58</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Quebec</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23</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15</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14</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14</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Ontario</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674</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642</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731</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855</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Manitoba</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31</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38</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21</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25</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Saskatchewan</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7</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4</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12</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20</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Alberta</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67</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62</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58</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82</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British Colombia</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180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169</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160</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178</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Northwest Territories</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Nunavut</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Yukon</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3</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0</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4</w:t>
            </w:r>
          </w:p>
        </w:tc>
      </w:tr>
      <w:tr w:rsidR="008566AC" w:rsidRPr="00DA7086" w:rsidTr="00DA7086">
        <w:trPr>
          <w:gridAfter w:val="1"/>
          <w:wAfter w:w="9" w:type="dxa"/>
          <w:trHeight w:val="250"/>
          <w:jc w:val="center"/>
        </w:trPr>
        <w:tc>
          <w:tcPr>
            <w:tcW w:w="2379" w:type="dxa"/>
            <w:shd w:val="clear" w:color="auto" w:fill="auto"/>
            <w:noWrap/>
            <w:vAlign w:val="bottom"/>
            <w:hideMark/>
          </w:tcPr>
          <w:p w:rsidR="008566AC" w:rsidRPr="00DA7086" w:rsidRDefault="008566AC" w:rsidP="00C42FEF">
            <w:pPr>
              <w:rPr>
                <w:rFonts w:ascii="Arial" w:hAnsi="Arial" w:cs="Arial"/>
                <w:lang w:val="en-CA" w:eastAsia="en-CA"/>
              </w:rPr>
            </w:pPr>
            <w:r w:rsidRPr="00DA7086">
              <w:rPr>
                <w:rFonts w:ascii="Arial" w:hAnsi="Arial" w:cs="Arial"/>
                <w:lang w:val="en-CA" w:eastAsia="en-CA"/>
              </w:rPr>
              <w:t>International</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21</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19</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22</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13</w:t>
            </w:r>
          </w:p>
        </w:tc>
      </w:tr>
      <w:tr w:rsidR="008566AC" w:rsidRPr="00DA7086" w:rsidTr="00DA7086">
        <w:trPr>
          <w:gridAfter w:val="1"/>
          <w:wAfter w:w="9" w:type="dxa"/>
          <w:trHeight w:val="270"/>
          <w:jc w:val="center"/>
        </w:trPr>
        <w:tc>
          <w:tcPr>
            <w:tcW w:w="2379" w:type="dxa"/>
            <w:shd w:val="clear" w:color="auto" w:fill="auto"/>
            <w:noWrap/>
            <w:vAlign w:val="bottom"/>
            <w:hideMark/>
          </w:tcPr>
          <w:p w:rsidR="008566AC" w:rsidRPr="00DA7086" w:rsidRDefault="008566AC" w:rsidP="00C42FEF">
            <w:pPr>
              <w:rPr>
                <w:rFonts w:ascii="Arial" w:hAnsi="Arial" w:cs="Arial"/>
                <w:b/>
                <w:bCs/>
                <w:lang w:val="en-CA" w:eastAsia="en-CA"/>
              </w:rPr>
            </w:pPr>
            <w:r w:rsidRPr="00DA7086">
              <w:rPr>
                <w:rFonts w:ascii="Arial" w:hAnsi="Arial" w:cs="Arial"/>
                <w:b/>
                <w:bCs/>
                <w:lang w:val="en-CA" w:eastAsia="en-CA"/>
              </w:rPr>
              <w:t>Total</w:t>
            </w:r>
          </w:p>
        </w:tc>
        <w:tc>
          <w:tcPr>
            <w:tcW w:w="1245" w:type="dxa"/>
            <w:shd w:val="clear" w:color="auto" w:fill="auto"/>
            <w:noWrap/>
            <w:vAlign w:val="bottom"/>
            <w:hideMark/>
          </w:tcPr>
          <w:p w:rsidR="008566AC" w:rsidRPr="00DA7086" w:rsidRDefault="004204A1" w:rsidP="004204A1">
            <w:pPr>
              <w:tabs>
                <w:tab w:val="right" w:pos="780"/>
              </w:tabs>
              <w:rPr>
                <w:rFonts w:ascii="Arial" w:hAnsi="Arial" w:cs="Arial"/>
                <w:bCs/>
                <w:lang w:val="en-CA" w:eastAsia="en-CA"/>
              </w:rPr>
            </w:pPr>
            <w:r w:rsidRPr="00DA7086">
              <w:rPr>
                <w:rFonts w:ascii="Arial" w:hAnsi="Arial" w:cs="Arial"/>
                <w:bCs/>
                <w:lang w:val="en-CA" w:eastAsia="en-CA"/>
              </w:rPr>
              <w:tab/>
            </w:r>
            <w:r w:rsidR="008566AC" w:rsidRPr="00DA7086">
              <w:rPr>
                <w:rFonts w:ascii="Arial" w:hAnsi="Arial" w:cs="Arial"/>
                <w:bCs/>
                <w:lang w:val="en-CA" w:eastAsia="en-CA"/>
              </w:rPr>
              <w:t>1</w:t>
            </w:r>
            <w:r w:rsidRPr="00DA7086">
              <w:rPr>
                <w:rFonts w:ascii="Arial" w:hAnsi="Arial" w:cs="Arial"/>
                <w:bCs/>
                <w:lang w:val="en-CA" w:eastAsia="en-CA"/>
              </w:rPr>
              <w:t>,</w:t>
            </w:r>
            <w:r w:rsidR="008566AC" w:rsidRPr="00DA7086">
              <w:rPr>
                <w:rFonts w:ascii="Arial" w:hAnsi="Arial" w:cs="Arial"/>
                <w:bCs/>
                <w:lang w:val="en-CA" w:eastAsia="en-CA"/>
              </w:rPr>
              <w:t>115</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w:t>
            </w:r>
            <w:r w:rsidRPr="00DA7086">
              <w:rPr>
                <w:rFonts w:ascii="Arial" w:hAnsi="Arial" w:cs="Arial"/>
                <w:lang w:val="en-CA" w:eastAsia="en-CA"/>
              </w:rPr>
              <w:t>,</w:t>
            </w:r>
            <w:r w:rsidR="008566AC" w:rsidRPr="00DA7086">
              <w:rPr>
                <w:rFonts w:ascii="Arial" w:hAnsi="Arial" w:cs="Arial"/>
                <w:lang w:val="en-CA" w:eastAsia="en-CA"/>
              </w:rPr>
              <w:t>026</w:t>
            </w:r>
          </w:p>
        </w:tc>
        <w:tc>
          <w:tcPr>
            <w:tcW w:w="1276"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w:t>
            </w:r>
            <w:r w:rsidRPr="00DA7086">
              <w:rPr>
                <w:rFonts w:ascii="Arial" w:hAnsi="Arial" w:cs="Arial"/>
                <w:lang w:val="en-CA" w:eastAsia="en-CA"/>
              </w:rPr>
              <w:t>,</w:t>
            </w:r>
            <w:r w:rsidR="008566AC" w:rsidRPr="00DA7086">
              <w:rPr>
                <w:rFonts w:ascii="Arial" w:hAnsi="Arial" w:cs="Arial"/>
                <w:lang w:val="en-CA" w:eastAsia="en-CA"/>
              </w:rPr>
              <w:t>125</w:t>
            </w:r>
          </w:p>
        </w:tc>
        <w:tc>
          <w:tcPr>
            <w:tcW w:w="1181" w:type="dxa"/>
            <w:shd w:val="clear" w:color="auto" w:fill="auto"/>
            <w:noWrap/>
            <w:vAlign w:val="bottom"/>
            <w:hideMark/>
          </w:tcPr>
          <w:p w:rsidR="008566AC" w:rsidRPr="00DA7086" w:rsidRDefault="004204A1" w:rsidP="004204A1">
            <w:pPr>
              <w:tabs>
                <w:tab w:val="right" w:pos="780"/>
              </w:tabs>
              <w:rPr>
                <w:rFonts w:ascii="Arial" w:hAnsi="Arial" w:cs="Arial"/>
                <w:lang w:val="en-CA" w:eastAsia="en-CA"/>
              </w:rPr>
            </w:pPr>
            <w:r w:rsidRPr="00DA7086">
              <w:rPr>
                <w:rFonts w:ascii="Arial" w:hAnsi="Arial" w:cs="Arial"/>
                <w:lang w:val="en-CA" w:eastAsia="en-CA"/>
              </w:rPr>
              <w:tab/>
            </w:r>
            <w:r w:rsidR="008566AC" w:rsidRPr="00DA7086">
              <w:rPr>
                <w:rFonts w:ascii="Arial" w:hAnsi="Arial" w:cs="Arial"/>
                <w:lang w:val="en-CA" w:eastAsia="en-CA"/>
              </w:rPr>
              <w:t>1</w:t>
            </w:r>
            <w:r w:rsidRPr="00DA7086">
              <w:rPr>
                <w:rFonts w:ascii="Arial" w:hAnsi="Arial" w:cs="Arial"/>
                <w:lang w:val="en-CA" w:eastAsia="en-CA"/>
              </w:rPr>
              <w:t>,</w:t>
            </w:r>
            <w:r w:rsidR="008566AC" w:rsidRPr="00DA7086">
              <w:rPr>
                <w:rFonts w:ascii="Arial" w:hAnsi="Arial" w:cs="Arial"/>
                <w:lang w:val="en-CA" w:eastAsia="en-CA"/>
              </w:rPr>
              <w:t>370</w:t>
            </w:r>
          </w:p>
        </w:tc>
      </w:tr>
      <w:tr w:rsidR="008566AC" w:rsidRPr="00DA7086" w:rsidTr="00DA7086">
        <w:trPr>
          <w:gridAfter w:val="1"/>
          <w:wAfter w:w="9" w:type="dxa"/>
          <w:trHeight w:val="280"/>
          <w:jc w:val="center"/>
        </w:trPr>
        <w:tc>
          <w:tcPr>
            <w:tcW w:w="2379" w:type="dxa"/>
            <w:shd w:val="clear" w:color="auto" w:fill="auto"/>
            <w:noWrap/>
            <w:vAlign w:val="bottom"/>
            <w:hideMark/>
          </w:tcPr>
          <w:p w:rsidR="008566AC" w:rsidRPr="00DA7086" w:rsidRDefault="008566AC" w:rsidP="00C42FEF">
            <w:pPr>
              <w:jc w:val="right"/>
              <w:rPr>
                <w:rFonts w:ascii="Arial" w:hAnsi="Arial" w:cs="Arial"/>
                <w:b/>
                <w:bCs/>
                <w:lang w:val="en-CA" w:eastAsia="en-CA"/>
              </w:rPr>
            </w:pPr>
          </w:p>
        </w:tc>
        <w:tc>
          <w:tcPr>
            <w:tcW w:w="1245" w:type="dxa"/>
            <w:shd w:val="clear" w:color="auto" w:fill="auto"/>
            <w:noWrap/>
            <w:vAlign w:val="bottom"/>
            <w:hideMark/>
          </w:tcPr>
          <w:p w:rsidR="008566AC" w:rsidRPr="00DA7086" w:rsidRDefault="008566AC" w:rsidP="00C42FEF">
            <w:pPr>
              <w:jc w:val="right"/>
              <w:rPr>
                <w:rFonts w:ascii="Arial" w:hAnsi="Arial" w:cs="Arial"/>
                <w:lang w:val="en-CA" w:eastAsia="en-CA"/>
              </w:rPr>
            </w:pPr>
          </w:p>
        </w:tc>
        <w:tc>
          <w:tcPr>
            <w:tcW w:w="1276" w:type="dxa"/>
            <w:shd w:val="clear" w:color="auto" w:fill="auto"/>
            <w:noWrap/>
            <w:vAlign w:val="bottom"/>
            <w:hideMark/>
          </w:tcPr>
          <w:p w:rsidR="008566AC" w:rsidRPr="00DA7086" w:rsidRDefault="008566AC" w:rsidP="00C42FEF">
            <w:pPr>
              <w:rPr>
                <w:rFonts w:ascii="Arial" w:hAnsi="Arial" w:cs="Arial"/>
                <w:lang w:val="en-CA" w:eastAsia="en-CA"/>
              </w:rPr>
            </w:pPr>
          </w:p>
        </w:tc>
        <w:tc>
          <w:tcPr>
            <w:tcW w:w="1276" w:type="dxa"/>
            <w:shd w:val="clear" w:color="auto" w:fill="auto"/>
            <w:noWrap/>
            <w:vAlign w:val="bottom"/>
            <w:hideMark/>
          </w:tcPr>
          <w:p w:rsidR="008566AC" w:rsidRPr="00DA7086" w:rsidRDefault="008566AC" w:rsidP="00C42FEF">
            <w:pPr>
              <w:rPr>
                <w:rFonts w:ascii="Arial" w:hAnsi="Arial" w:cs="Arial"/>
                <w:lang w:val="en-CA" w:eastAsia="en-CA"/>
              </w:rPr>
            </w:pPr>
          </w:p>
        </w:tc>
        <w:tc>
          <w:tcPr>
            <w:tcW w:w="1181" w:type="dxa"/>
            <w:shd w:val="clear" w:color="auto" w:fill="auto"/>
            <w:noWrap/>
            <w:vAlign w:val="bottom"/>
            <w:hideMark/>
          </w:tcPr>
          <w:p w:rsidR="008566AC" w:rsidRPr="00DA7086" w:rsidRDefault="008566AC" w:rsidP="00C42FEF">
            <w:pPr>
              <w:rPr>
                <w:rFonts w:ascii="Arial" w:hAnsi="Arial" w:cs="Arial"/>
                <w:lang w:val="en-CA" w:eastAsia="en-CA"/>
              </w:rPr>
            </w:pPr>
          </w:p>
        </w:tc>
      </w:tr>
      <w:tr w:rsidR="008566AC" w:rsidRPr="00DA7086" w:rsidTr="00DA7086">
        <w:trPr>
          <w:gridAfter w:val="1"/>
          <w:wAfter w:w="9" w:type="dxa"/>
          <w:trHeight w:val="270"/>
          <w:jc w:val="center"/>
        </w:trPr>
        <w:tc>
          <w:tcPr>
            <w:tcW w:w="2379" w:type="dxa"/>
            <w:shd w:val="clear" w:color="auto" w:fill="auto"/>
            <w:noWrap/>
            <w:vAlign w:val="bottom"/>
            <w:hideMark/>
          </w:tcPr>
          <w:p w:rsidR="008566AC" w:rsidRPr="00DA7086" w:rsidRDefault="008566AC" w:rsidP="004204A1">
            <w:pPr>
              <w:pStyle w:val="casehead2"/>
              <w:spacing w:before="100" w:after="100"/>
              <w:jc w:val="center"/>
              <w:rPr>
                <w:rFonts w:cs="Arial"/>
                <w:lang w:val="en-CA" w:eastAsia="en-CA"/>
              </w:rPr>
            </w:pPr>
          </w:p>
        </w:tc>
        <w:tc>
          <w:tcPr>
            <w:tcW w:w="1245" w:type="dxa"/>
            <w:shd w:val="clear" w:color="auto" w:fill="auto"/>
            <w:noWrap/>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2012</w:t>
            </w:r>
          </w:p>
        </w:tc>
        <w:tc>
          <w:tcPr>
            <w:tcW w:w="1276" w:type="dxa"/>
            <w:shd w:val="clear" w:color="auto" w:fill="auto"/>
            <w:noWrap/>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2013</w:t>
            </w:r>
          </w:p>
        </w:tc>
        <w:tc>
          <w:tcPr>
            <w:tcW w:w="1276" w:type="dxa"/>
            <w:shd w:val="clear" w:color="auto" w:fill="auto"/>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2014</w:t>
            </w:r>
          </w:p>
        </w:tc>
        <w:tc>
          <w:tcPr>
            <w:tcW w:w="1181" w:type="dxa"/>
            <w:shd w:val="clear" w:color="auto" w:fill="auto"/>
            <w:vAlign w:val="bottom"/>
            <w:hideMark/>
          </w:tcPr>
          <w:p w:rsidR="008566AC" w:rsidRPr="00DA7086" w:rsidRDefault="008566AC" w:rsidP="004204A1">
            <w:pPr>
              <w:pStyle w:val="casehead2"/>
              <w:spacing w:before="100" w:after="100"/>
              <w:jc w:val="center"/>
              <w:rPr>
                <w:rFonts w:cs="Arial"/>
                <w:lang w:val="en-CA" w:eastAsia="en-CA"/>
              </w:rPr>
            </w:pPr>
            <w:r w:rsidRPr="00DA7086">
              <w:rPr>
                <w:rFonts w:cs="Arial"/>
                <w:lang w:val="en-CA" w:eastAsia="en-CA"/>
              </w:rPr>
              <w:t>2015</w:t>
            </w:r>
          </w:p>
        </w:tc>
      </w:tr>
      <w:tr w:rsidR="008566AC" w:rsidRPr="00DA7086" w:rsidTr="00DA7086">
        <w:trPr>
          <w:gridAfter w:val="1"/>
          <w:wAfter w:w="9" w:type="dxa"/>
          <w:trHeight w:val="270"/>
          <w:jc w:val="center"/>
        </w:trPr>
        <w:tc>
          <w:tcPr>
            <w:tcW w:w="2379" w:type="dxa"/>
            <w:shd w:val="clear" w:color="auto" w:fill="auto"/>
            <w:noWrap/>
            <w:vAlign w:val="bottom"/>
            <w:hideMark/>
          </w:tcPr>
          <w:p w:rsidR="008566AC" w:rsidRPr="00DA7086" w:rsidRDefault="008566AC" w:rsidP="00C42FEF">
            <w:pPr>
              <w:rPr>
                <w:rFonts w:ascii="Arial" w:hAnsi="Arial" w:cs="Arial"/>
                <w:b/>
                <w:bCs/>
                <w:lang w:val="en-CA" w:eastAsia="en-CA"/>
              </w:rPr>
            </w:pPr>
            <w:r w:rsidRPr="00DA7086">
              <w:rPr>
                <w:rFonts w:ascii="Arial" w:hAnsi="Arial" w:cs="Arial"/>
                <w:b/>
                <w:bCs/>
                <w:lang w:val="en-CA" w:eastAsia="en-CA"/>
              </w:rPr>
              <w:t>Program Fee</w:t>
            </w:r>
          </w:p>
        </w:tc>
        <w:tc>
          <w:tcPr>
            <w:tcW w:w="1245" w:type="dxa"/>
            <w:shd w:val="clear" w:color="auto" w:fill="auto"/>
            <w:noWrap/>
            <w:vAlign w:val="bottom"/>
            <w:hideMark/>
          </w:tcPr>
          <w:p w:rsidR="008566AC" w:rsidRPr="00DA7086" w:rsidRDefault="008566AC" w:rsidP="004204A1">
            <w:pPr>
              <w:jc w:val="center"/>
              <w:rPr>
                <w:rFonts w:ascii="Arial" w:hAnsi="Arial" w:cs="Arial"/>
                <w:lang w:val="en-CA" w:eastAsia="en-CA"/>
              </w:rPr>
            </w:pPr>
            <w:r w:rsidRPr="00DA7086">
              <w:rPr>
                <w:rFonts w:ascii="Arial" w:hAnsi="Arial" w:cs="Arial"/>
                <w:lang w:val="en-CA" w:eastAsia="en-CA"/>
              </w:rPr>
              <w:t>$ 3,850</w:t>
            </w:r>
          </w:p>
        </w:tc>
        <w:tc>
          <w:tcPr>
            <w:tcW w:w="1276" w:type="dxa"/>
            <w:shd w:val="clear" w:color="auto" w:fill="auto"/>
            <w:noWrap/>
            <w:vAlign w:val="bottom"/>
            <w:hideMark/>
          </w:tcPr>
          <w:p w:rsidR="008566AC" w:rsidRPr="00DA7086" w:rsidRDefault="008566AC" w:rsidP="004204A1">
            <w:pPr>
              <w:jc w:val="center"/>
              <w:rPr>
                <w:rFonts w:ascii="Arial" w:hAnsi="Arial" w:cs="Arial"/>
                <w:lang w:val="en-CA" w:eastAsia="en-CA"/>
              </w:rPr>
            </w:pPr>
            <w:r w:rsidRPr="00DA7086">
              <w:rPr>
                <w:rFonts w:ascii="Arial" w:hAnsi="Arial" w:cs="Arial"/>
                <w:lang w:val="en-CA" w:eastAsia="en-CA"/>
              </w:rPr>
              <w:t>$ 3,950</w:t>
            </w:r>
          </w:p>
        </w:tc>
        <w:tc>
          <w:tcPr>
            <w:tcW w:w="1276" w:type="dxa"/>
            <w:shd w:val="clear" w:color="auto" w:fill="auto"/>
            <w:noWrap/>
            <w:vAlign w:val="bottom"/>
            <w:hideMark/>
          </w:tcPr>
          <w:p w:rsidR="008566AC" w:rsidRPr="00DA7086" w:rsidRDefault="008566AC" w:rsidP="004204A1">
            <w:pPr>
              <w:jc w:val="center"/>
              <w:rPr>
                <w:rFonts w:ascii="Arial" w:hAnsi="Arial" w:cs="Arial"/>
                <w:lang w:val="en-CA" w:eastAsia="en-CA"/>
              </w:rPr>
            </w:pPr>
            <w:r w:rsidRPr="00DA7086">
              <w:rPr>
                <w:rFonts w:ascii="Arial" w:hAnsi="Arial" w:cs="Arial"/>
                <w:lang w:val="en-CA" w:eastAsia="en-CA"/>
              </w:rPr>
              <w:t>$ 4,150</w:t>
            </w:r>
          </w:p>
        </w:tc>
        <w:tc>
          <w:tcPr>
            <w:tcW w:w="1181" w:type="dxa"/>
            <w:shd w:val="clear" w:color="auto" w:fill="auto"/>
            <w:noWrap/>
            <w:vAlign w:val="bottom"/>
            <w:hideMark/>
          </w:tcPr>
          <w:p w:rsidR="008566AC" w:rsidRPr="00DA7086" w:rsidRDefault="008566AC" w:rsidP="004204A1">
            <w:pPr>
              <w:jc w:val="center"/>
              <w:rPr>
                <w:rFonts w:ascii="Arial" w:hAnsi="Arial" w:cs="Arial"/>
                <w:lang w:val="en-CA" w:eastAsia="en-CA"/>
              </w:rPr>
            </w:pPr>
            <w:r w:rsidRPr="00DA7086">
              <w:rPr>
                <w:rFonts w:ascii="Arial" w:hAnsi="Arial" w:cs="Arial"/>
                <w:lang w:val="en-CA" w:eastAsia="en-CA"/>
              </w:rPr>
              <w:t>$ 4,500</w:t>
            </w:r>
          </w:p>
        </w:tc>
      </w:tr>
    </w:tbl>
    <w:p w:rsidR="00DA7086" w:rsidRDefault="00DA7086" w:rsidP="00DA7086">
      <w:pPr>
        <w:pStyle w:val="FootnoteText1"/>
        <w:rPr>
          <w:lang w:val="en-CA"/>
        </w:rPr>
      </w:pPr>
    </w:p>
    <w:p w:rsidR="008566AC" w:rsidRPr="00A03C84" w:rsidRDefault="004204A1" w:rsidP="00DA7086">
      <w:pPr>
        <w:pStyle w:val="FootnoteText1"/>
        <w:rPr>
          <w:lang w:val="en-CA"/>
        </w:rPr>
      </w:pPr>
      <w:r w:rsidRPr="00A03C84">
        <w:rPr>
          <w:lang w:val="en-CA"/>
        </w:rPr>
        <w:t xml:space="preserve">Source: Company </w:t>
      </w:r>
      <w:r w:rsidR="00C36DA3">
        <w:rPr>
          <w:lang w:val="en-CA"/>
        </w:rPr>
        <w:t>f</w:t>
      </w:r>
      <w:r w:rsidRPr="00A03C84">
        <w:rPr>
          <w:lang w:val="en-CA"/>
        </w:rPr>
        <w:t>iles</w:t>
      </w:r>
      <w:r w:rsidR="00AC4613">
        <w:rPr>
          <w:lang w:val="en-CA"/>
        </w:rPr>
        <w:t>.</w:t>
      </w:r>
    </w:p>
    <w:p w:rsidR="008566AC" w:rsidRPr="008D6F16" w:rsidRDefault="008566AC" w:rsidP="008566AC">
      <w:pPr>
        <w:pStyle w:val="BodyText"/>
        <w:rPr>
          <w:lang w:val="en-CA"/>
        </w:rPr>
      </w:pPr>
      <w:bookmarkStart w:id="3" w:name="_GoBack"/>
      <w:bookmarkEnd w:id="3"/>
    </w:p>
    <w:sectPr w:rsidR="008566AC" w:rsidRPr="008D6F16" w:rsidSect="00BD2E29">
      <w:headerReference w:type="default" r:id="rId12"/>
      <w:endnotePr>
        <w:numFmt w:val="decimal"/>
      </w:endnotePr>
      <w:type w:val="continuous"/>
      <w:pgSz w:w="12240" w:h="15840" w:code="1"/>
      <w:pgMar w:top="1080" w:right="1440" w:bottom="1440" w:left="1440" w:header="108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086" w:rsidRDefault="00DA7086">
      <w:r>
        <w:separator/>
      </w:r>
    </w:p>
  </w:endnote>
  <w:endnote w:type="continuationSeparator" w:id="0">
    <w:p w:rsidR="00DA7086" w:rsidRDefault="00DA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086" w:rsidRDefault="00DA7086">
      <w:r>
        <w:separator/>
      </w:r>
    </w:p>
  </w:footnote>
  <w:footnote w:type="continuationSeparator" w:id="0">
    <w:p w:rsidR="00DA7086" w:rsidRDefault="00DA7086">
      <w:r>
        <w:continuationSeparator/>
      </w:r>
    </w:p>
  </w:footnote>
  <w:footnote w:id="1">
    <w:p w:rsidR="00DA7086" w:rsidRPr="0015658B" w:rsidRDefault="00DA7086" w:rsidP="00A56A11">
      <w:pPr>
        <w:pStyle w:val="FootnoteText1"/>
        <w:rPr>
          <w:rFonts w:cs="Arial"/>
          <w:szCs w:val="17"/>
          <w:lang w:val="en-CA"/>
        </w:rPr>
      </w:pPr>
      <w:r w:rsidRPr="006042DA">
        <w:rPr>
          <w:rStyle w:val="FootnoteReference"/>
          <w:szCs w:val="17"/>
        </w:rPr>
        <w:footnoteRef/>
      </w:r>
      <w:r w:rsidRPr="006042DA">
        <w:rPr>
          <w:szCs w:val="17"/>
        </w:rPr>
        <w:t xml:space="preserve"> </w:t>
      </w:r>
      <w:r w:rsidRPr="0015658B">
        <w:t xml:space="preserve">Rhodes </w:t>
      </w:r>
      <w:r>
        <w:t xml:space="preserve">Scholars were </w:t>
      </w:r>
      <w:r w:rsidRPr="0015658B">
        <w:t>non-British students</w:t>
      </w:r>
      <w:r>
        <w:t xml:space="preserve"> who were </w:t>
      </w:r>
      <w:r w:rsidRPr="0015658B">
        <w:t>award</w:t>
      </w:r>
      <w:r>
        <w:t xml:space="preserve">ed a chance to pursue postgraduate studies </w:t>
      </w:r>
      <w:r w:rsidRPr="0015658B">
        <w:t xml:space="preserve">at the University of Oxford. The </w:t>
      </w:r>
      <w:r>
        <w:t xml:space="preserve">Rhodes </w:t>
      </w:r>
      <w:proofErr w:type="gramStart"/>
      <w:r>
        <w:t>Scholarship</w:t>
      </w:r>
      <w:proofErr w:type="gramEnd"/>
      <w:r w:rsidRPr="0015658B">
        <w:t xml:space="preserve"> </w:t>
      </w:r>
      <w:r>
        <w:t>wa</w:t>
      </w:r>
      <w:r w:rsidRPr="0015658B">
        <w:t xml:space="preserve">s </w:t>
      </w:r>
      <w:r>
        <w:t xml:space="preserve">considered </w:t>
      </w:r>
      <w:r w:rsidRPr="0015658B">
        <w:t>one of the world</w:t>
      </w:r>
      <w:r w:rsidR="007D383F">
        <w:t>’</w:t>
      </w:r>
      <w:r w:rsidRPr="0015658B">
        <w:t>s most prestigious</w:t>
      </w:r>
      <w:r>
        <w:t xml:space="preserve"> </w:t>
      </w:r>
      <w:hyperlink r:id="rId1" w:tooltip="Scholarship" w:history="1">
        <w:r w:rsidRPr="0015658B">
          <w:t>scholarships</w:t>
        </w:r>
      </w:hyperlink>
      <w:r w:rsidR="007D383F">
        <w:t>;</w:t>
      </w:r>
      <w:r>
        <w:rPr>
          <w:rFonts w:cs="Arial"/>
          <w:szCs w:val="17"/>
        </w:rPr>
        <w:t xml:space="preserve"> “Welcome,” The Rhodes Trust: The Rhodes Scholarships, accessed </w:t>
      </w:r>
      <w:r>
        <w:rPr>
          <w:rFonts w:cs="Arial"/>
          <w:spacing w:val="-1"/>
          <w:szCs w:val="17"/>
        </w:rPr>
        <w:t xml:space="preserve">January 12, 2017, </w:t>
      </w:r>
      <w:r w:rsidRPr="002D3801">
        <w:rPr>
          <w:rFonts w:cs="Arial"/>
          <w:spacing w:val="-1"/>
          <w:szCs w:val="17"/>
        </w:rPr>
        <w:t>www.rhodeshouse.ox.ac.uk/</w:t>
      </w:r>
      <w:r>
        <w:rPr>
          <w:rFonts w:cs="Arial"/>
          <w:spacing w:val="-1"/>
          <w:szCs w:val="17"/>
        </w:rPr>
        <w:t>.</w:t>
      </w:r>
    </w:p>
  </w:footnote>
  <w:footnote w:id="2">
    <w:p w:rsidR="00DA7086" w:rsidRPr="008907EC" w:rsidRDefault="00DA7086" w:rsidP="008907EC">
      <w:pPr>
        <w:pStyle w:val="FootnoteText1"/>
      </w:pPr>
      <w:r w:rsidRPr="008907EC">
        <w:rPr>
          <w:rStyle w:val="FootnoteReference"/>
        </w:rPr>
        <w:footnoteRef/>
      </w:r>
      <w:r w:rsidRPr="008907EC">
        <w:t xml:space="preserve"> Loran Scholars were recipients of Canada’s largest independent undergraduate merit award on the basis of character, service, and leadership</w:t>
      </w:r>
      <w:r w:rsidR="007D383F">
        <w:t>;</w:t>
      </w:r>
      <w:r w:rsidRPr="008907EC">
        <w:t xml:space="preserve"> “Contact Us,” Loran Scholars Foundation: Character Service Leadership, accessed January 12, 2017, www.loranscholar.ca/.</w:t>
      </w:r>
    </w:p>
  </w:footnote>
  <w:footnote w:id="3">
    <w:p w:rsidR="00DA7086" w:rsidRPr="008907EC" w:rsidRDefault="00DA7086" w:rsidP="008907EC">
      <w:pPr>
        <w:pStyle w:val="FootnoteText1"/>
      </w:pPr>
      <w:r w:rsidRPr="008907EC">
        <w:rPr>
          <w:rStyle w:val="FootnoteReference"/>
        </w:rPr>
        <w:footnoteRef/>
      </w:r>
      <w:r w:rsidRPr="008907EC">
        <w:t xml:space="preserve"> Those named as Top 20 </w:t>
      </w:r>
      <w:proofErr w:type="gramStart"/>
      <w:r w:rsidRPr="008907EC">
        <w:t>Under</w:t>
      </w:r>
      <w:proofErr w:type="gramEnd"/>
      <w:r w:rsidRPr="008907EC">
        <w:t xml:space="preserve"> 20 were Canadians under the age of 20 who had demonstrated a high level of innovation, leadership, and achievement in their communities and abroad. Twenty Canadians were named to this list annually</w:t>
      </w:r>
      <w:r w:rsidR="007D383F">
        <w:t>;</w:t>
      </w:r>
      <w:r w:rsidRPr="008907EC">
        <w:t xml:space="preserve"> “Home: About the Top 20 </w:t>
      </w:r>
      <w:proofErr w:type="gramStart"/>
      <w:r w:rsidRPr="008907EC">
        <w:t>Under</w:t>
      </w:r>
      <w:proofErr w:type="gramEnd"/>
      <w:r w:rsidRPr="008907EC">
        <w:t xml:space="preserve"> 20 Award,” Plan: Plan Canada, accessed January 12, 2017, http://plancanada.ca/about-the-top-20-under-20-award.</w:t>
      </w:r>
    </w:p>
  </w:footnote>
  <w:footnote w:id="4">
    <w:p w:rsidR="00DA7086" w:rsidRPr="008907EC" w:rsidRDefault="00DA7086" w:rsidP="008907EC">
      <w:pPr>
        <w:pStyle w:val="FootnoteText1"/>
      </w:pPr>
      <w:r w:rsidRPr="008907EC">
        <w:rPr>
          <w:rStyle w:val="FootnoteReference"/>
        </w:rPr>
        <w:footnoteRef/>
      </w:r>
      <w:r w:rsidRPr="008907EC">
        <w:t xml:space="preserve"> The Next 36 was a program for high-potential, young entrepreneurs living in Canada. It provided them with mentorship, capital, and founder development opportunities to help launch their ventures</w:t>
      </w:r>
      <w:r w:rsidR="007D383F">
        <w:t>;</w:t>
      </w:r>
      <w:r w:rsidRPr="008907EC">
        <w:t xml:space="preserve"> “The Next 36 is Now: Next Canada,” Next Canada, accessed January 12, 2017, www.thenext36org.ca/thenext36/program-info.</w:t>
      </w:r>
    </w:p>
  </w:footnote>
  <w:footnote w:id="5">
    <w:p w:rsidR="00DA7086" w:rsidRPr="008907EC" w:rsidRDefault="00DA7086" w:rsidP="008907EC">
      <w:pPr>
        <w:pStyle w:val="FootnoteText1"/>
      </w:pPr>
      <w:r w:rsidRPr="008907EC">
        <w:rPr>
          <w:rStyle w:val="FootnoteReference"/>
        </w:rPr>
        <w:footnoteRef/>
      </w:r>
      <w:r w:rsidRPr="008907EC">
        <w:t xml:space="preserve"> Each campus operated with roughly the same number of students.</w:t>
      </w:r>
    </w:p>
  </w:footnote>
  <w:footnote w:id="6">
    <w:p w:rsidR="007D383F" w:rsidRPr="007D383F" w:rsidRDefault="007D383F" w:rsidP="007D383F">
      <w:pPr>
        <w:pStyle w:val="FootnoteText1"/>
      </w:pPr>
      <w:r>
        <w:rPr>
          <w:rStyle w:val="FootnoteReference"/>
        </w:rPr>
        <w:footnoteRef/>
      </w:r>
      <w:r>
        <w:t xml:space="preserve"> All currency in Canadian dollars unless specified otherwise.</w:t>
      </w:r>
    </w:p>
  </w:footnote>
  <w:footnote w:id="7">
    <w:p w:rsidR="00DA7086" w:rsidRPr="008907EC" w:rsidRDefault="00DA7086" w:rsidP="008907EC">
      <w:pPr>
        <w:pStyle w:val="FootnoteText1"/>
      </w:pPr>
      <w:r w:rsidRPr="008907EC">
        <w:rPr>
          <w:rStyle w:val="FootnoteReference"/>
        </w:rPr>
        <w:footnoteRef/>
      </w:r>
      <w:r w:rsidRPr="008907EC">
        <w:t xml:space="preserve"> Scholarships and bursaries offered by SHAD were applied during the month of April.</w:t>
      </w:r>
    </w:p>
  </w:footnote>
  <w:footnote w:id="8">
    <w:p w:rsidR="00DA7086" w:rsidRPr="008907EC" w:rsidRDefault="00DA7086" w:rsidP="008907EC">
      <w:pPr>
        <w:pStyle w:val="FootnoteText1"/>
      </w:pPr>
      <w:r w:rsidRPr="008907EC">
        <w:rPr>
          <w:rStyle w:val="FootnoteReference"/>
        </w:rPr>
        <w:footnoteRef/>
      </w:r>
      <w:r w:rsidRPr="008907EC">
        <w:t xml:space="preserve"> If </w:t>
      </w:r>
      <w:proofErr w:type="spellStart"/>
      <w:r w:rsidRPr="008907EC">
        <w:t>Hamoodi</w:t>
      </w:r>
      <w:proofErr w:type="spellEnd"/>
      <w:r w:rsidRPr="008907EC">
        <w:t xml:space="preserve"> decided to raise fees, the increased amount would be collected in June.</w:t>
      </w:r>
    </w:p>
  </w:footnote>
  <w:footnote w:id="9">
    <w:p w:rsidR="00DA7086" w:rsidRPr="003F22E2" w:rsidRDefault="00DA7086" w:rsidP="003E6D49">
      <w:pPr>
        <w:pStyle w:val="FootnoteText1"/>
      </w:pPr>
      <w:r w:rsidRPr="003F22E2">
        <w:rPr>
          <w:rStyle w:val="FootnoteReference"/>
          <w:rFonts w:ascii="Times New Roman" w:hAnsi="Times New Roman"/>
        </w:rPr>
        <w:footnoteRef/>
      </w:r>
      <w:r w:rsidRPr="003F22E2">
        <w:t xml:space="preserve"> Being internally restricted meant that these funds</w:t>
      </w:r>
      <w:r>
        <w:t xml:space="preserve"> were mainly used to provide scholarships and bursaries for SHADs.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086" w:rsidRDefault="00DA7086"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C4613">
      <w:rPr>
        <w:rFonts w:ascii="Arial" w:hAnsi="Arial"/>
        <w:b/>
        <w:noProof/>
      </w:rPr>
      <w:t>2</w:t>
    </w:r>
    <w:r>
      <w:rPr>
        <w:rFonts w:ascii="Arial" w:hAnsi="Arial"/>
        <w:b/>
      </w:rPr>
      <w:fldChar w:fldCharType="end"/>
    </w:r>
    <w:r>
      <w:rPr>
        <w:rFonts w:ascii="Arial" w:hAnsi="Arial"/>
        <w:b/>
      </w:rPr>
      <w:tab/>
      <w:t>9B17B005</w:t>
    </w:r>
  </w:p>
  <w:p w:rsidR="00DA7086" w:rsidRPr="008907EC" w:rsidRDefault="00DA7086"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sz w:val="16"/>
        <w:szCs w:val="16"/>
      </w:rPr>
    </w:pPr>
  </w:p>
  <w:p w:rsidR="00DA7086" w:rsidRPr="008907EC" w:rsidRDefault="00DA7086"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02C50"/>
    <w:multiLevelType w:val="hybridMultilevel"/>
    <w:tmpl w:val="8400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48"/>
    <w:rsid w:val="00015961"/>
    <w:rsid w:val="0003587F"/>
    <w:rsid w:val="0005351A"/>
    <w:rsid w:val="00060FCF"/>
    <w:rsid w:val="00083ED8"/>
    <w:rsid w:val="000A2CBE"/>
    <w:rsid w:val="000A7768"/>
    <w:rsid w:val="000F262D"/>
    <w:rsid w:val="00116E93"/>
    <w:rsid w:val="00124873"/>
    <w:rsid w:val="00127E91"/>
    <w:rsid w:val="001306A0"/>
    <w:rsid w:val="00131EAB"/>
    <w:rsid w:val="00133F9D"/>
    <w:rsid w:val="00147E48"/>
    <w:rsid w:val="001505CD"/>
    <w:rsid w:val="0015658B"/>
    <w:rsid w:val="001A7500"/>
    <w:rsid w:val="001B4706"/>
    <w:rsid w:val="001B5BA1"/>
    <w:rsid w:val="001C70A1"/>
    <w:rsid w:val="001D42B8"/>
    <w:rsid w:val="001E7765"/>
    <w:rsid w:val="001F2043"/>
    <w:rsid w:val="001F5934"/>
    <w:rsid w:val="00200E1A"/>
    <w:rsid w:val="00206829"/>
    <w:rsid w:val="00243BAB"/>
    <w:rsid w:val="00260D65"/>
    <w:rsid w:val="00263763"/>
    <w:rsid w:val="00266B0C"/>
    <w:rsid w:val="00276018"/>
    <w:rsid w:val="002775AA"/>
    <w:rsid w:val="00285451"/>
    <w:rsid w:val="00297BDD"/>
    <w:rsid w:val="002A6A41"/>
    <w:rsid w:val="002D3801"/>
    <w:rsid w:val="00301DC0"/>
    <w:rsid w:val="003647E6"/>
    <w:rsid w:val="00365ABA"/>
    <w:rsid w:val="00373AEE"/>
    <w:rsid w:val="003833C7"/>
    <w:rsid w:val="003B0C96"/>
    <w:rsid w:val="003B18C0"/>
    <w:rsid w:val="003B2C30"/>
    <w:rsid w:val="003D46BC"/>
    <w:rsid w:val="003E6AE4"/>
    <w:rsid w:val="003E6D49"/>
    <w:rsid w:val="003F777A"/>
    <w:rsid w:val="004204A1"/>
    <w:rsid w:val="004537A3"/>
    <w:rsid w:val="004635C0"/>
    <w:rsid w:val="004A21B2"/>
    <w:rsid w:val="004A443D"/>
    <w:rsid w:val="004B74FE"/>
    <w:rsid w:val="004D1D62"/>
    <w:rsid w:val="004F4EBA"/>
    <w:rsid w:val="004F5129"/>
    <w:rsid w:val="00514EC1"/>
    <w:rsid w:val="00552140"/>
    <w:rsid w:val="00552E16"/>
    <w:rsid w:val="00577AE5"/>
    <w:rsid w:val="00580E35"/>
    <w:rsid w:val="005965B4"/>
    <w:rsid w:val="005A0AD8"/>
    <w:rsid w:val="005B204A"/>
    <w:rsid w:val="005B33DB"/>
    <w:rsid w:val="005E53CE"/>
    <w:rsid w:val="005E6208"/>
    <w:rsid w:val="005E7885"/>
    <w:rsid w:val="005F7221"/>
    <w:rsid w:val="006042DA"/>
    <w:rsid w:val="00610DD7"/>
    <w:rsid w:val="006319AA"/>
    <w:rsid w:val="0065197F"/>
    <w:rsid w:val="00654547"/>
    <w:rsid w:val="00672834"/>
    <w:rsid w:val="00674B34"/>
    <w:rsid w:val="006838FB"/>
    <w:rsid w:val="00684DB5"/>
    <w:rsid w:val="0069110D"/>
    <w:rsid w:val="00696965"/>
    <w:rsid w:val="006C7A1A"/>
    <w:rsid w:val="006D4C68"/>
    <w:rsid w:val="007129F9"/>
    <w:rsid w:val="00731E01"/>
    <w:rsid w:val="00734D6B"/>
    <w:rsid w:val="00742A7E"/>
    <w:rsid w:val="00750CBE"/>
    <w:rsid w:val="0077169A"/>
    <w:rsid w:val="00783DCD"/>
    <w:rsid w:val="007A4CA4"/>
    <w:rsid w:val="007B462E"/>
    <w:rsid w:val="007C6CEC"/>
    <w:rsid w:val="007C6D2C"/>
    <w:rsid w:val="007D383F"/>
    <w:rsid w:val="00840141"/>
    <w:rsid w:val="008420E4"/>
    <w:rsid w:val="008566AC"/>
    <w:rsid w:val="008907EC"/>
    <w:rsid w:val="008B5BC6"/>
    <w:rsid w:val="008C458C"/>
    <w:rsid w:val="008D6F16"/>
    <w:rsid w:val="008E1348"/>
    <w:rsid w:val="00964605"/>
    <w:rsid w:val="00982C39"/>
    <w:rsid w:val="00990F6F"/>
    <w:rsid w:val="009A3C26"/>
    <w:rsid w:val="009F558B"/>
    <w:rsid w:val="00A03C84"/>
    <w:rsid w:val="00A17BBC"/>
    <w:rsid w:val="00A21191"/>
    <w:rsid w:val="00A33274"/>
    <w:rsid w:val="00A53864"/>
    <w:rsid w:val="00A56A11"/>
    <w:rsid w:val="00A814DF"/>
    <w:rsid w:val="00A835BF"/>
    <w:rsid w:val="00A977C9"/>
    <w:rsid w:val="00AC4613"/>
    <w:rsid w:val="00AD2B3F"/>
    <w:rsid w:val="00AD5F82"/>
    <w:rsid w:val="00AF15DD"/>
    <w:rsid w:val="00AF4070"/>
    <w:rsid w:val="00B0769D"/>
    <w:rsid w:val="00B2081F"/>
    <w:rsid w:val="00B357E3"/>
    <w:rsid w:val="00B367A0"/>
    <w:rsid w:val="00B47E67"/>
    <w:rsid w:val="00B51FC6"/>
    <w:rsid w:val="00B576B6"/>
    <w:rsid w:val="00B857EF"/>
    <w:rsid w:val="00BA3C83"/>
    <w:rsid w:val="00BD2E29"/>
    <w:rsid w:val="00BD3F6D"/>
    <w:rsid w:val="00C10AB3"/>
    <w:rsid w:val="00C12EEF"/>
    <w:rsid w:val="00C36DA3"/>
    <w:rsid w:val="00C42FEF"/>
    <w:rsid w:val="00C57A56"/>
    <w:rsid w:val="00C80F19"/>
    <w:rsid w:val="00C93CDB"/>
    <w:rsid w:val="00C94F10"/>
    <w:rsid w:val="00CB4093"/>
    <w:rsid w:val="00CB4322"/>
    <w:rsid w:val="00D0235B"/>
    <w:rsid w:val="00D251A3"/>
    <w:rsid w:val="00D26AD1"/>
    <w:rsid w:val="00D6630A"/>
    <w:rsid w:val="00D9485F"/>
    <w:rsid w:val="00DA2BB3"/>
    <w:rsid w:val="00DA7086"/>
    <w:rsid w:val="00DC3F0D"/>
    <w:rsid w:val="00DC6CD7"/>
    <w:rsid w:val="00DE4F88"/>
    <w:rsid w:val="00E04E04"/>
    <w:rsid w:val="00E07CF9"/>
    <w:rsid w:val="00E162BF"/>
    <w:rsid w:val="00E32B19"/>
    <w:rsid w:val="00E52FD5"/>
    <w:rsid w:val="00E5322E"/>
    <w:rsid w:val="00E54B1E"/>
    <w:rsid w:val="00EC2116"/>
    <w:rsid w:val="00EE7E09"/>
    <w:rsid w:val="00EF4BB5"/>
    <w:rsid w:val="00F2230A"/>
    <w:rsid w:val="00F460CB"/>
    <w:rsid w:val="00F53B08"/>
    <w:rsid w:val="00F9125B"/>
    <w:rsid w:val="00F93280"/>
    <w:rsid w:val="00FA484B"/>
    <w:rsid w:val="00FA5BE7"/>
    <w:rsid w:val="00FA7BF7"/>
    <w:rsid w:val="00FA7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FC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0FCF"/>
    <w:pPr>
      <w:tabs>
        <w:tab w:val="center" w:pos="4320"/>
        <w:tab w:val="right" w:pos="8640"/>
      </w:tabs>
    </w:pPr>
  </w:style>
  <w:style w:type="paragraph" w:styleId="Footer">
    <w:name w:val="footer"/>
    <w:basedOn w:val="Normal"/>
    <w:rsid w:val="00060FCF"/>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rsid w:val="00060FCF"/>
    <w:pPr>
      <w:jc w:val="both"/>
    </w:pPr>
    <w:rPr>
      <w:rFonts w:ascii="Arial" w:hAnsi="Arial"/>
      <w:b/>
      <w:caps/>
    </w:rPr>
  </w:style>
  <w:style w:type="paragraph" w:customStyle="1" w:styleId="casehead2">
    <w:name w:val="casehead2"/>
    <w:basedOn w:val="Normal"/>
    <w:next w:val="BodyText"/>
    <w:rsid w:val="00060FCF"/>
    <w:pPr>
      <w:jc w:val="both"/>
    </w:pPr>
    <w:rPr>
      <w:rFonts w:ascii="Arial" w:hAnsi="Arial"/>
      <w:b/>
    </w:rPr>
  </w:style>
  <w:style w:type="paragraph" w:customStyle="1" w:styleId="casehead3">
    <w:name w:val="casehead3"/>
    <w:basedOn w:val="Normal"/>
    <w:next w:val="BodyText"/>
    <w:rsid w:val="006D4C68"/>
    <w:pPr>
      <w:jc w:val="both"/>
    </w:pPr>
    <w:rPr>
      <w:sz w:val="22"/>
      <w:u w:val="single"/>
    </w:rPr>
  </w:style>
  <w:style w:type="paragraph" w:customStyle="1" w:styleId="FootnoteText1">
    <w:name w:val="Footnote Text1"/>
    <w:basedOn w:val="Normal"/>
    <w:next w:val="BodyText"/>
    <w:rsid w:val="00A56A11"/>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rsid w:val="00060FCF"/>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styleId="Hyperlink">
    <w:name w:val="Hyperlink"/>
    <w:basedOn w:val="DefaultParagraphFont"/>
    <w:uiPriority w:val="99"/>
    <w:unhideWhenUsed/>
    <w:rsid w:val="008566AC"/>
    <w:rPr>
      <w:color w:val="0563C1" w:themeColor="hyperlink"/>
      <w:u w:val="single"/>
    </w:rPr>
  </w:style>
  <w:style w:type="character" w:customStyle="1" w:styleId="apple-converted-space">
    <w:name w:val="apple-converted-space"/>
    <w:basedOn w:val="DefaultParagraphFont"/>
    <w:rsid w:val="007C6D2C"/>
  </w:style>
  <w:style w:type="character" w:styleId="Emphasis">
    <w:name w:val="Emphasis"/>
    <w:basedOn w:val="DefaultParagraphFont"/>
    <w:uiPriority w:val="20"/>
    <w:qFormat/>
    <w:rsid w:val="007C6D2C"/>
    <w:rPr>
      <w:i/>
      <w:iCs/>
    </w:rPr>
  </w:style>
  <w:style w:type="character" w:styleId="CommentReference">
    <w:name w:val="annotation reference"/>
    <w:basedOn w:val="DefaultParagraphFont"/>
    <w:rsid w:val="00116E93"/>
    <w:rPr>
      <w:sz w:val="16"/>
      <w:szCs w:val="16"/>
    </w:rPr>
  </w:style>
  <w:style w:type="paragraph" w:styleId="CommentText">
    <w:name w:val="annotation text"/>
    <w:basedOn w:val="Normal"/>
    <w:link w:val="CommentTextChar"/>
    <w:rsid w:val="00116E93"/>
  </w:style>
  <w:style w:type="character" w:customStyle="1" w:styleId="CommentTextChar">
    <w:name w:val="Comment Text Char"/>
    <w:basedOn w:val="DefaultParagraphFont"/>
    <w:link w:val="CommentText"/>
    <w:rsid w:val="00116E93"/>
  </w:style>
  <w:style w:type="paragraph" w:styleId="CommentSubject">
    <w:name w:val="annotation subject"/>
    <w:basedOn w:val="CommentText"/>
    <w:next w:val="CommentText"/>
    <w:link w:val="CommentSubjectChar"/>
    <w:rsid w:val="00116E93"/>
    <w:rPr>
      <w:b/>
      <w:bCs/>
    </w:rPr>
  </w:style>
  <w:style w:type="character" w:customStyle="1" w:styleId="CommentSubjectChar">
    <w:name w:val="Comment Subject Char"/>
    <w:basedOn w:val="CommentTextChar"/>
    <w:link w:val="CommentSubject"/>
    <w:rsid w:val="00116E93"/>
    <w:rPr>
      <w:b/>
      <w:bCs/>
    </w:rPr>
  </w:style>
  <w:style w:type="paragraph" w:styleId="Revision">
    <w:name w:val="Revision"/>
    <w:hidden/>
    <w:uiPriority w:val="99"/>
    <w:semiHidden/>
    <w:rsid w:val="00672834"/>
    <w:rPr>
      <w:lang w:val="en-GB"/>
    </w:rPr>
  </w:style>
  <w:style w:type="paragraph" w:styleId="ListParagraph">
    <w:name w:val="List Paragraph"/>
    <w:basedOn w:val="Normal"/>
    <w:uiPriority w:val="34"/>
    <w:qFormat/>
    <w:rsid w:val="00577AE5"/>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577AE5"/>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FC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0FCF"/>
    <w:pPr>
      <w:tabs>
        <w:tab w:val="center" w:pos="4320"/>
        <w:tab w:val="right" w:pos="8640"/>
      </w:tabs>
    </w:pPr>
  </w:style>
  <w:style w:type="paragraph" w:styleId="Footer">
    <w:name w:val="footer"/>
    <w:basedOn w:val="Normal"/>
    <w:rsid w:val="00060FCF"/>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rsid w:val="00060FCF"/>
    <w:pPr>
      <w:jc w:val="both"/>
    </w:pPr>
    <w:rPr>
      <w:rFonts w:ascii="Arial" w:hAnsi="Arial"/>
      <w:b/>
      <w:caps/>
    </w:rPr>
  </w:style>
  <w:style w:type="paragraph" w:customStyle="1" w:styleId="casehead2">
    <w:name w:val="casehead2"/>
    <w:basedOn w:val="Normal"/>
    <w:next w:val="BodyText"/>
    <w:rsid w:val="00060FCF"/>
    <w:pPr>
      <w:jc w:val="both"/>
    </w:pPr>
    <w:rPr>
      <w:rFonts w:ascii="Arial" w:hAnsi="Arial"/>
      <w:b/>
    </w:rPr>
  </w:style>
  <w:style w:type="paragraph" w:customStyle="1" w:styleId="casehead3">
    <w:name w:val="casehead3"/>
    <w:basedOn w:val="Normal"/>
    <w:next w:val="BodyText"/>
    <w:rsid w:val="006D4C68"/>
    <w:pPr>
      <w:jc w:val="both"/>
    </w:pPr>
    <w:rPr>
      <w:sz w:val="22"/>
      <w:u w:val="single"/>
    </w:rPr>
  </w:style>
  <w:style w:type="paragraph" w:customStyle="1" w:styleId="FootnoteText1">
    <w:name w:val="Footnote Text1"/>
    <w:basedOn w:val="Normal"/>
    <w:next w:val="BodyText"/>
    <w:rsid w:val="00A56A11"/>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rsid w:val="00060FCF"/>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styleId="Hyperlink">
    <w:name w:val="Hyperlink"/>
    <w:basedOn w:val="DefaultParagraphFont"/>
    <w:uiPriority w:val="99"/>
    <w:unhideWhenUsed/>
    <w:rsid w:val="008566AC"/>
    <w:rPr>
      <w:color w:val="0563C1" w:themeColor="hyperlink"/>
      <w:u w:val="single"/>
    </w:rPr>
  </w:style>
  <w:style w:type="character" w:customStyle="1" w:styleId="apple-converted-space">
    <w:name w:val="apple-converted-space"/>
    <w:basedOn w:val="DefaultParagraphFont"/>
    <w:rsid w:val="007C6D2C"/>
  </w:style>
  <w:style w:type="character" w:styleId="Emphasis">
    <w:name w:val="Emphasis"/>
    <w:basedOn w:val="DefaultParagraphFont"/>
    <w:uiPriority w:val="20"/>
    <w:qFormat/>
    <w:rsid w:val="007C6D2C"/>
    <w:rPr>
      <w:i/>
      <w:iCs/>
    </w:rPr>
  </w:style>
  <w:style w:type="character" w:styleId="CommentReference">
    <w:name w:val="annotation reference"/>
    <w:basedOn w:val="DefaultParagraphFont"/>
    <w:rsid w:val="00116E93"/>
    <w:rPr>
      <w:sz w:val="16"/>
      <w:szCs w:val="16"/>
    </w:rPr>
  </w:style>
  <w:style w:type="paragraph" w:styleId="CommentText">
    <w:name w:val="annotation text"/>
    <w:basedOn w:val="Normal"/>
    <w:link w:val="CommentTextChar"/>
    <w:rsid w:val="00116E93"/>
  </w:style>
  <w:style w:type="character" w:customStyle="1" w:styleId="CommentTextChar">
    <w:name w:val="Comment Text Char"/>
    <w:basedOn w:val="DefaultParagraphFont"/>
    <w:link w:val="CommentText"/>
    <w:rsid w:val="00116E93"/>
  </w:style>
  <w:style w:type="paragraph" w:styleId="CommentSubject">
    <w:name w:val="annotation subject"/>
    <w:basedOn w:val="CommentText"/>
    <w:next w:val="CommentText"/>
    <w:link w:val="CommentSubjectChar"/>
    <w:rsid w:val="00116E93"/>
    <w:rPr>
      <w:b/>
      <w:bCs/>
    </w:rPr>
  </w:style>
  <w:style w:type="character" w:customStyle="1" w:styleId="CommentSubjectChar">
    <w:name w:val="Comment Subject Char"/>
    <w:basedOn w:val="CommentTextChar"/>
    <w:link w:val="CommentSubject"/>
    <w:rsid w:val="00116E93"/>
    <w:rPr>
      <w:b/>
      <w:bCs/>
    </w:rPr>
  </w:style>
  <w:style w:type="paragraph" w:styleId="Revision">
    <w:name w:val="Revision"/>
    <w:hidden/>
    <w:uiPriority w:val="99"/>
    <w:semiHidden/>
    <w:rsid w:val="00672834"/>
    <w:rPr>
      <w:lang w:val="en-GB"/>
    </w:rPr>
  </w:style>
  <w:style w:type="paragraph" w:styleId="ListParagraph">
    <w:name w:val="List Paragraph"/>
    <w:basedOn w:val="Normal"/>
    <w:uiPriority w:val="34"/>
    <w:qFormat/>
    <w:rsid w:val="00577AE5"/>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577AE5"/>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uller\AppData\Roaming\Microsoft\Templates\Ivey%20Case\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E1CEA-BE01-4712-9753-D12153F9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64</TotalTime>
  <Pages>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15595</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Karen Pepers1</cp:lastModifiedBy>
  <cp:revision>8</cp:revision>
  <cp:lastPrinted>2017-01-12T19:34:00Z</cp:lastPrinted>
  <dcterms:created xsi:type="dcterms:W3CDTF">2017-03-08T19:50:00Z</dcterms:created>
  <dcterms:modified xsi:type="dcterms:W3CDTF">2017-03-14T13:00:00Z</dcterms:modified>
</cp:coreProperties>
</file>